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242FA" w14:textId="77777777" w:rsidR="00E44B80" w:rsidRPr="00F637B3" w:rsidRDefault="00E44B80" w:rsidP="00E44B80">
      <w:pPr>
        <w:jc w:val="center"/>
        <w:rPr>
          <w:b/>
          <w:szCs w:val="20"/>
        </w:rPr>
      </w:pPr>
      <w:r w:rsidRPr="00F637B3">
        <w:rPr>
          <w:b/>
          <w:noProof/>
          <w:szCs w:val="20"/>
          <w:lang w:eastAsia="en-AU"/>
        </w:rPr>
        <w:drawing>
          <wp:inline distT="0" distB="0" distL="0" distR="0" wp14:anchorId="68DB45CD" wp14:editId="3F11B811">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2710395A" w14:textId="40609197" w:rsidR="008B2610" w:rsidRDefault="006F2B6D" w:rsidP="00F971CC">
      <w:pPr>
        <w:pStyle w:val="Title"/>
        <w:spacing w:before="2600"/>
      </w:pPr>
      <w:r>
        <w:t xml:space="preserve">MSAC </w:t>
      </w:r>
      <w:r w:rsidR="008B2610" w:rsidRPr="001906CD">
        <w:t xml:space="preserve">Application </w:t>
      </w:r>
      <w:r>
        <w:t>1649</w:t>
      </w:r>
    </w:p>
    <w:p w14:paraId="347504F1" w14:textId="77777777" w:rsidR="0056015F" w:rsidRDefault="0056015F" w:rsidP="0056015F"/>
    <w:p w14:paraId="34AFA46A" w14:textId="061B085C" w:rsidR="00137AC7" w:rsidRPr="00EB76E5" w:rsidRDefault="00137AC7" w:rsidP="004A715D">
      <w:pPr>
        <w:pStyle w:val="TitleBlue"/>
      </w:pPr>
      <w:r w:rsidRPr="00EB76E5">
        <w:t xml:space="preserve">Modification of the wording of minimally invasive glaucoma surgery existing item number to encompass the use of a </w:t>
      </w:r>
      <w:proofErr w:type="spellStart"/>
      <w:r w:rsidRPr="00EB76E5">
        <w:t>microcatheter</w:t>
      </w:r>
      <w:proofErr w:type="spellEnd"/>
    </w:p>
    <w:p w14:paraId="51DCD013" w14:textId="090A440A" w:rsidR="003013A9" w:rsidRPr="00D73646" w:rsidRDefault="003013A9" w:rsidP="006F2B6D">
      <w:pPr>
        <w:pStyle w:val="Title"/>
        <w:spacing w:before="240"/>
        <w:jc w:val="left"/>
        <w:rPr>
          <w:sz w:val="28"/>
          <w:szCs w:val="28"/>
        </w:rPr>
      </w:pPr>
    </w:p>
    <w:p w14:paraId="1F273F12" w14:textId="77777777" w:rsidR="00E44B80" w:rsidRPr="00154B00" w:rsidRDefault="00300EEB" w:rsidP="003F7CB9">
      <w:r>
        <w:t>T</w:t>
      </w:r>
      <w:r w:rsidR="008B2610" w:rsidRPr="00154B00">
        <w:t xml:space="preserve">his application form is to </w:t>
      </w:r>
      <w:proofErr w:type="gramStart"/>
      <w:r w:rsidR="008B2610" w:rsidRPr="00154B00">
        <w:t>be completed</w:t>
      </w:r>
      <w:proofErr w:type="gramEnd"/>
      <w:r w:rsidR="008B2610" w:rsidRPr="00154B00">
        <w:t xml:space="preserve">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3FAB6B08"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t>
      </w:r>
      <w:proofErr w:type="gramStart"/>
      <w:r w:rsidR="009F5758" w:rsidRPr="00154B00">
        <w:t>will not be accepted</w:t>
      </w:r>
      <w:proofErr w:type="gramEnd"/>
      <w:r w:rsidR="009F5758" w:rsidRPr="00154B00">
        <w:t>.</w:t>
      </w:r>
    </w:p>
    <w:p w14:paraId="2E35F56A"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67149F60" w14:textId="77777777" w:rsidR="009F5758" w:rsidRPr="00154B00" w:rsidRDefault="009F5758" w:rsidP="003F7CB9">
      <w:pPr>
        <w:spacing w:before="0" w:after="0"/>
      </w:pPr>
    </w:p>
    <w:p w14:paraId="1D3304BD"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4949787D"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22A0253C"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74C12FC2"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325211D3" w14:textId="0D76A3A3"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1182984F" w14:textId="11E8B61A"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D024A6">
        <w:t xml:space="preserve">Nova Eye Medical </w:t>
      </w:r>
      <w:r w:rsidR="00137AC7">
        <w:t>Ltd</w:t>
      </w:r>
    </w:p>
    <w:p w14:paraId="5A19BB35" w14:textId="5A6B3E67"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EB76E5" w:rsidRPr="00EB76E5">
        <w:t>15 007 702 927</w:t>
      </w:r>
    </w:p>
    <w:p w14:paraId="282FB60C" w14:textId="69884478"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D024A6">
        <w:t>Nova Eye Medical</w:t>
      </w:r>
    </w:p>
    <w:p w14:paraId="4967C360" w14:textId="77777777" w:rsidR="00C171FB" w:rsidRPr="00C171FB" w:rsidRDefault="00C171FB" w:rsidP="00C171FB"/>
    <w:p w14:paraId="2CBF0BA0" w14:textId="1D3D85D5" w:rsidR="00C171FB" w:rsidRPr="00C171FB" w:rsidRDefault="00C171FB" w:rsidP="00C171FB">
      <w:pPr>
        <w:rPr>
          <w:b/>
        </w:rPr>
      </w:pPr>
      <w:r>
        <w:rPr>
          <w:b/>
        </w:rPr>
        <w:t xml:space="preserve">Primary contact name: </w:t>
      </w:r>
      <w:r w:rsidR="006A5271" w:rsidRPr="006F2B6D">
        <w:rPr>
          <w:b/>
        </w:rPr>
        <w:t>REDACCTED</w:t>
      </w:r>
    </w:p>
    <w:p w14:paraId="382DB31F"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4C3D765E" w14:textId="1426DCE9"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6A5271" w:rsidRPr="006F2B6D">
        <w:rPr>
          <w:b/>
        </w:rPr>
        <w:t>REDACTED</w:t>
      </w:r>
    </w:p>
    <w:p w14:paraId="6CF2C046" w14:textId="51A4534B"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6A5271" w:rsidRPr="006F2B6D">
        <w:rPr>
          <w:b/>
        </w:rPr>
        <w:t>REDATCTED</w:t>
      </w:r>
    </w:p>
    <w:p w14:paraId="37C72C40" w14:textId="1A40C57D"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6A5271" w:rsidRPr="006F2B6D">
        <w:rPr>
          <w:b/>
        </w:rPr>
        <w:t>REDACTED</w:t>
      </w:r>
    </w:p>
    <w:p w14:paraId="6EF95F99" w14:textId="77777777" w:rsidR="00C171FB" w:rsidRDefault="00C171FB" w:rsidP="00C171FB">
      <w:pPr>
        <w:rPr>
          <w:b/>
        </w:rPr>
      </w:pPr>
    </w:p>
    <w:p w14:paraId="6FD5744E" w14:textId="295E3CAE" w:rsidR="00C171FB" w:rsidRPr="00C171FB" w:rsidRDefault="00C171FB" w:rsidP="00C171FB">
      <w:pPr>
        <w:rPr>
          <w:b/>
        </w:rPr>
      </w:pPr>
      <w:r>
        <w:rPr>
          <w:b/>
        </w:rPr>
        <w:t xml:space="preserve">Alternative contact name: </w:t>
      </w:r>
      <w:r w:rsidR="006A5271" w:rsidRPr="006F2B6D">
        <w:rPr>
          <w:b/>
        </w:rPr>
        <w:t>REDACTED</w:t>
      </w:r>
    </w:p>
    <w:p w14:paraId="6ADBBAC3"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0A98B05F" w14:textId="3095B13A"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6A5271" w:rsidRPr="006F2B6D">
        <w:rPr>
          <w:b/>
        </w:rPr>
        <w:t>REDACTED</w:t>
      </w:r>
    </w:p>
    <w:p w14:paraId="1EB2E4C9" w14:textId="3A5B2C35" w:rsidR="00C171FB" w:rsidRDefault="00C171FB" w:rsidP="00C171FB">
      <w:pPr>
        <w:pBdr>
          <w:top w:val="single" w:sz="4" w:space="1" w:color="auto"/>
          <w:left w:val="single" w:sz="4" w:space="4" w:color="auto"/>
          <w:bottom w:val="single" w:sz="4" w:space="1" w:color="auto"/>
          <w:right w:val="single" w:sz="4" w:space="4" w:color="auto"/>
        </w:pBdr>
      </w:pPr>
      <w:r>
        <w:t>Mobile:</w:t>
      </w:r>
      <w:r w:rsidRPr="006F2B6D">
        <w:rPr>
          <w:b/>
        </w:rPr>
        <w:t xml:space="preserve"> </w:t>
      </w:r>
      <w:r w:rsidR="006A5271" w:rsidRPr="006F2B6D">
        <w:rPr>
          <w:b/>
        </w:rPr>
        <w:t>REDACTED</w:t>
      </w:r>
    </w:p>
    <w:p w14:paraId="4FFFB64E" w14:textId="36ACE6E6" w:rsidR="00C171FB" w:rsidRDefault="00C171FB" w:rsidP="00C171FB">
      <w:pPr>
        <w:pBdr>
          <w:top w:val="single" w:sz="4" w:space="1" w:color="auto"/>
          <w:left w:val="single" w:sz="4" w:space="4" w:color="auto"/>
          <w:bottom w:val="single" w:sz="4" w:space="1" w:color="auto"/>
          <w:right w:val="single" w:sz="4" w:space="4" w:color="auto"/>
        </w:pBdr>
      </w:pPr>
      <w:r>
        <w:t>Email:</w:t>
      </w:r>
      <w:r w:rsidRPr="006F2B6D">
        <w:rPr>
          <w:b/>
        </w:rPr>
        <w:t xml:space="preserve"> </w:t>
      </w:r>
      <w:r w:rsidR="006A5271" w:rsidRPr="006F2B6D">
        <w:rPr>
          <w:b/>
        </w:rPr>
        <w:t>REDACTED</w:t>
      </w:r>
    </w:p>
    <w:p w14:paraId="2001AC86" w14:textId="77777777" w:rsidR="00C171FB" w:rsidRPr="00C171FB" w:rsidRDefault="00C171FB" w:rsidP="00C171FB"/>
    <w:p w14:paraId="7B445084" w14:textId="77777777" w:rsidR="00534C5F" w:rsidRPr="00154B00" w:rsidRDefault="00494011" w:rsidP="004A0BF4">
      <w:pPr>
        <w:pStyle w:val="Heading2"/>
      </w:pPr>
      <w:r>
        <w:t xml:space="preserve">(a) </w:t>
      </w:r>
      <w:r w:rsidR="00534C5F">
        <w:t>Are you a lobbyist acting on behalf of an Applicant?</w:t>
      </w:r>
    </w:p>
    <w:p w14:paraId="06D1CEDE" w14:textId="30EAAAD6" w:rsidR="00A6491A" w:rsidRDefault="00D024A6" w:rsidP="00A6491A">
      <w:pPr>
        <w:spacing w:before="0" w:after="0"/>
        <w:ind w:left="426"/>
        <w:rPr>
          <w:szCs w:val="20"/>
        </w:rPr>
      </w:pPr>
      <w:r>
        <w:rPr>
          <w:szCs w:val="20"/>
        </w:rPr>
        <w:fldChar w:fldCharType="begin">
          <w:ffData>
            <w:name w:val="Check1"/>
            <w:enabled/>
            <w:calcOnExit w:val="0"/>
            <w:checkBox>
              <w:sizeAuto/>
              <w:default w:val="1"/>
            </w:checkBox>
          </w:ffData>
        </w:fldChar>
      </w:r>
      <w:bookmarkStart w:id="1" w:name="Check1"/>
      <w:r>
        <w:rPr>
          <w:szCs w:val="20"/>
        </w:rPr>
        <w:instrText xml:space="preserve"> FORMCHECKBOX </w:instrText>
      </w:r>
      <w:r w:rsidR="00027348">
        <w:rPr>
          <w:szCs w:val="20"/>
        </w:rPr>
      </w:r>
      <w:r w:rsidR="00027348">
        <w:rPr>
          <w:szCs w:val="20"/>
        </w:rPr>
        <w:fldChar w:fldCharType="separate"/>
      </w:r>
      <w:r>
        <w:rPr>
          <w:szCs w:val="20"/>
        </w:rPr>
        <w:fldChar w:fldCharType="end"/>
      </w:r>
      <w:bookmarkEnd w:id="1"/>
      <w:r w:rsidR="00A6491A">
        <w:rPr>
          <w:szCs w:val="20"/>
        </w:rPr>
        <w:t xml:space="preserve"> Yes</w:t>
      </w:r>
    </w:p>
    <w:p w14:paraId="39F9D851"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27348">
        <w:rPr>
          <w:szCs w:val="20"/>
        </w:rPr>
      </w:r>
      <w:r w:rsidR="00027348">
        <w:rPr>
          <w:szCs w:val="20"/>
        </w:rPr>
        <w:fldChar w:fldCharType="separate"/>
      </w:r>
      <w:r w:rsidRPr="00753C44">
        <w:rPr>
          <w:szCs w:val="20"/>
        </w:rPr>
        <w:fldChar w:fldCharType="end"/>
      </w:r>
      <w:r>
        <w:rPr>
          <w:szCs w:val="20"/>
        </w:rPr>
        <w:t xml:space="preserve"> No</w:t>
      </w:r>
      <w:r w:rsidRPr="00753C44">
        <w:rPr>
          <w:szCs w:val="20"/>
        </w:rPr>
        <w:t xml:space="preserve">  </w:t>
      </w:r>
    </w:p>
    <w:p w14:paraId="40EC61B5" w14:textId="77777777" w:rsidR="00534C5F" w:rsidRPr="00154B00" w:rsidRDefault="00534C5F" w:rsidP="00494011">
      <w:pPr>
        <w:pStyle w:val="Heading2"/>
        <w:numPr>
          <w:ilvl w:val="0"/>
          <w:numId w:val="23"/>
        </w:numPr>
      </w:pPr>
      <w:r w:rsidRPr="00154B00">
        <w:t xml:space="preserve">If yes, </w:t>
      </w:r>
      <w:proofErr w:type="gramStart"/>
      <w:r>
        <w:t xml:space="preserve">are </w:t>
      </w:r>
      <w:r w:rsidRPr="00FE33A6">
        <w:t>you</w:t>
      </w:r>
      <w:r>
        <w:t xml:space="preserve"> listed</w:t>
      </w:r>
      <w:proofErr w:type="gramEnd"/>
      <w:r>
        <w:t xml:space="preserve"> on the Register of Lobbyists?</w:t>
      </w:r>
    </w:p>
    <w:p w14:paraId="476D4521" w14:textId="344261A5" w:rsidR="00A6491A" w:rsidRDefault="00D024A6"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27348">
        <w:rPr>
          <w:szCs w:val="20"/>
        </w:rPr>
      </w:r>
      <w:r w:rsidR="00027348">
        <w:rPr>
          <w:szCs w:val="20"/>
        </w:rPr>
        <w:fldChar w:fldCharType="separate"/>
      </w:r>
      <w:r>
        <w:rPr>
          <w:szCs w:val="20"/>
        </w:rPr>
        <w:fldChar w:fldCharType="end"/>
      </w:r>
      <w:r w:rsidR="00A6491A">
        <w:rPr>
          <w:szCs w:val="20"/>
        </w:rPr>
        <w:t xml:space="preserve"> Yes</w:t>
      </w:r>
    </w:p>
    <w:p w14:paraId="4601DDCD"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27348">
        <w:rPr>
          <w:szCs w:val="20"/>
        </w:rPr>
      </w:r>
      <w:r w:rsidR="00027348">
        <w:rPr>
          <w:szCs w:val="20"/>
        </w:rPr>
        <w:fldChar w:fldCharType="separate"/>
      </w:r>
      <w:r w:rsidRPr="00753C44">
        <w:rPr>
          <w:szCs w:val="20"/>
        </w:rPr>
        <w:fldChar w:fldCharType="end"/>
      </w:r>
      <w:r>
        <w:rPr>
          <w:szCs w:val="20"/>
        </w:rPr>
        <w:t xml:space="preserve"> No</w:t>
      </w:r>
      <w:r w:rsidRPr="00753C44">
        <w:rPr>
          <w:szCs w:val="20"/>
        </w:rPr>
        <w:t xml:space="preserve">  </w:t>
      </w:r>
    </w:p>
    <w:p w14:paraId="50A6E101" w14:textId="77777777" w:rsidR="00E04FB3" w:rsidRDefault="00E04FB3" w:rsidP="005C333E">
      <w:pPr>
        <w:spacing w:before="0" w:after="0"/>
        <w:ind w:left="426"/>
        <w:rPr>
          <w:b/>
          <w:szCs w:val="20"/>
        </w:rPr>
      </w:pPr>
      <w:r w:rsidRPr="00154B00">
        <w:rPr>
          <w:b/>
          <w:szCs w:val="20"/>
        </w:rPr>
        <w:br w:type="page"/>
      </w:r>
    </w:p>
    <w:p w14:paraId="2D12D3E8"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46583E60" w14:textId="77777777" w:rsidR="000B3CD0" w:rsidRDefault="000B3CD0" w:rsidP="00730C04">
      <w:pPr>
        <w:pStyle w:val="Heading2"/>
      </w:pPr>
      <w:r w:rsidRPr="00154B00">
        <w:t>Application title</w:t>
      </w:r>
      <w:r w:rsidR="00A8732C">
        <w:t xml:space="preserve"> </w:t>
      </w:r>
    </w:p>
    <w:p w14:paraId="425DD393" w14:textId="1B752E60" w:rsidR="009056C5" w:rsidRPr="006F2B6D" w:rsidRDefault="008A6E8D" w:rsidP="00A6491A">
      <w:pPr>
        <w:ind w:left="284"/>
      </w:pPr>
      <w:r w:rsidRPr="006F2B6D">
        <w:t>Modification of</w:t>
      </w:r>
      <w:r w:rsidR="00ED4262" w:rsidRPr="006F2B6D">
        <w:t xml:space="preserve"> the wording of</w:t>
      </w:r>
      <w:r w:rsidRPr="006F2B6D">
        <w:t xml:space="preserve"> minimally</w:t>
      </w:r>
      <w:r w:rsidR="00EB76E5" w:rsidRPr="006F2B6D">
        <w:t xml:space="preserve"> </w:t>
      </w:r>
      <w:r w:rsidRPr="006F2B6D">
        <w:t>invasive glaucoma surgery (MIGs)</w:t>
      </w:r>
      <w:r w:rsidR="009A2781" w:rsidRPr="006F2B6D">
        <w:t xml:space="preserve"> </w:t>
      </w:r>
      <w:r w:rsidRPr="006F2B6D">
        <w:t>existing item number to encompass the use of a</w:t>
      </w:r>
      <w:r w:rsidR="009A2781" w:rsidRPr="006F2B6D">
        <w:t xml:space="preserve"> </w:t>
      </w:r>
      <w:proofErr w:type="spellStart"/>
      <w:r w:rsidR="009A2781" w:rsidRPr="006F2B6D">
        <w:t>microcatheter</w:t>
      </w:r>
      <w:proofErr w:type="spellEnd"/>
      <w:r w:rsidR="009A2781" w:rsidRPr="006F2B6D">
        <w:t xml:space="preserve"> to </w:t>
      </w:r>
      <w:r w:rsidR="00013A00" w:rsidRPr="006F2B6D">
        <w:t xml:space="preserve">decrease outflow resistance in </w:t>
      </w:r>
      <w:r w:rsidR="009A2781" w:rsidRPr="006F2B6D">
        <w:t xml:space="preserve">the trabecular meshwork, </w:t>
      </w:r>
      <w:proofErr w:type="spellStart"/>
      <w:r w:rsidR="009A2781" w:rsidRPr="006F2B6D">
        <w:t>Schlemm’s</w:t>
      </w:r>
      <w:proofErr w:type="spellEnd"/>
      <w:r w:rsidR="009A2781" w:rsidRPr="006F2B6D">
        <w:t xml:space="preserve"> canal and distal outflow system</w:t>
      </w:r>
      <w:r w:rsidR="007E5D90">
        <w:t>.</w:t>
      </w:r>
    </w:p>
    <w:p w14:paraId="248A7B0E" w14:textId="77777777" w:rsidR="009B4E1E" w:rsidRPr="006F2B6D" w:rsidRDefault="009B4E1E" w:rsidP="004A0BF4">
      <w:pPr>
        <w:pStyle w:val="Heading2"/>
      </w:pPr>
      <w:r w:rsidRPr="006F2B6D">
        <w:t>Provide a succinct description of the medical condition relevant to the proposed service</w:t>
      </w:r>
      <w:r w:rsidR="000955E7" w:rsidRPr="006F2B6D">
        <w:t xml:space="preserve"> (no more than 150 words</w:t>
      </w:r>
      <w:r w:rsidR="00F93784" w:rsidRPr="006F2B6D">
        <w:t xml:space="preserve"> – </w:t>
      </w:r>
      <w:r w:rsidR="00C847AE" w:rsidRPr="006F2B6D">
        <w:t>further</w:t>
      </w:r>
      <w:r w:rsidR="00F93784" w:rsidRPr="006F2B6D">
        <w:t xml:space="preserve"> information will be </w:t>
      </w:r>
      <w:r w:rsidR="00C847AE" w:rsidRPr="006F2B6D">
        <w:t xml:space="preserve">requested </w:t>
      </w:r>
      <w:r w:rsidR="003F2711" w:rsidRPr="006F2B6D">
        <w:t>at Part F</w:t>
      </w:r>
      <w:r w:rsidR="00C847AE" w:rsidRPr="006F2B6D">
        <w:t xml:space="preserve"> of the Application Form</w:t>
      </w:r>
      <w:r w:rsidR="000955E7" w:rsidRPr="006F2B6D">
        <w:t>)</w:t>
      </w:r>
    </w:p>
    <w:p w14:paraId="6F9F9AF4" w14:textId="72430163" w:rsidR="002C3345" w:rsidRPr="006F2B6D" w:rsidRDefault="00D558C0" w:rsidP="00A6491A">
      <w:pPr>
        <w:ind w:left="284"/>
      </w:pPr>
      <w:r w:rsidRPr="006F2B6D">
        <w:t>Glaucoma is a chronic progressive optic neuropathy characterised by atrophy of the optic nerve and loss of retinal ganglion cells resulting in progressive vision loss and possible blindness</w:t>
      </w:r>
      <w:r w:rsidRPr="006F2B6D">
        <w:rPr>
          <w:rStyle w:val="FootnoteReference"/>
        </w:rPr>
        <w:footnoteReference w:id="1"/>
      </w:r>
      <w:r w:rsidR="00C81BBE" w:rsidRPr="006F2B6D">
        <w:t>. Open angle glaucoma (OAG) is the most common form of the disease</w:t>
      </w:r>
      <w:r w:rsidR="00CB3D96" w:rsidRPr="006F2B6D">
        <w:t xml:space="preserve"> caused by high intraocular pressure</w:t>
      </w:r>
      <w:r w:rsidR="00D20B0A" w:rsidRPr="006F2B6D">
        <w:t xml:space="preserve"> (IOP</w:t>
      </w:r>
      <w:proofErr w:type="gramStart"/>
      <w:r w:rsidR="00D20B0A" w:rsidRPr="006F2B6D">
        <w:t>)</w:t>
      </w:r>
      <w:r w:rsidR="00C81BBE" w:rsidRPr="006F2B6D">
        <w:t xml:space="preserve"> .</w:t>
      </w:r>
      <w:proofErr w:type="gramEnd"/>
      <w:r w:rsidR="00C81BBE" w:rsidRPr="006F2B6D">
        <w:t xml:space="preserve">  The drainage angle formed by the cornea and iris remains open</w:t>
      </w:r>
      <w:r w:rsidR="00CB3D96" w:rsidRPr="006F2B6D">
        <w:t>,</w:t>
      </w:r>
      <w:r w:rsidR="00C81BBE" w:rsidRPr="006F2B6D">
        <w:t xml:space="preserve"> but the trabecular meshwork is partially blocked. This causes pressure in the eye </w:t>
      </w:r>
      <w:proofErr w:type="gramStart"/>
      <w:r w:rsidR="00C81BBE" w:rsidRPr="006F2B6D">
        <w:t>to gradually increase</w:t>
      </w:r>
      <w:proofErr w:type="gramEnd"/>
      <w:r w:rsidR="00C81BBE" w:rsidRPr="006F2B6D">
        <w:t>.</w:t>
      </w:r>
      <w:r w:rsidR="00CB3D96" w:rsidRPr="006F2B6D">
        <w:t xml:space="preserve"> </w:t>
      </w:r>
    </w:p>
    <w:p w14:paraId="59087ECC" w14:textId="1DBAA2D4" w:rsidR="000955E7" w:rsidRPr="006F2B6D" w:rsidRDefault="000955E7" w:rsidP="004A0BF4">
      <w:pPr>
        <w:pStyle w:val="Heading2"/>
      </w:pPr>
      <w:r w:rsidRPr="006F2B6D">
        <w:t>Prov</w:t>
      </w:r>
      <w:r w:rsidR="00D11EB1" w:rsidRPr="006F2B6D">
        <w:t>i</w:t>
      </w:r>
      <w:r w:rsidRPr="006F2B6D">
        <w:t>de a succinct description of the proposed medical service (no more than 150 words</w:t>
      </w:r>
      <w:r w:rsidR="00C847AE" w:rsidRPr="006F2B6D">
        <w:t xml:space="preserve"> </w:t>
      </w:r>
      <w:r w:rsidR="00F93784" w:rsidRPr="006F2B6D">
        <w:t xml:space="preserve">– </w:t>
      </w:r>
      <w:r w:rsidR="00C847AE" w:rsidRPr="006F2B6D">
        <w:t>further</w:t>
      </w:r>
      <w:r w:rsidR="00F93784" w:rsidRPr="006F2B6D">
        <w:t xml:space="preserve"> information will be </w:t>
      </w:r>
      <w:r w:rsidR="00C847AE" w:rsidRPr="006F2B6D">
        <w:t>requested</w:t>
      </w:r>
      <w:r w:rsidR="00F93784" w:rsidRPr="006F2B6D">
        <w:t xml:space="preserve"> </w:t>
      </w:r>
      <w:r w:rsidR="00883641" w:rsidRPr="006F2B6D">
        <w:t>at</w:t>
      </w:r>
      <w:r w:rsidR="00C847AE" w:rsidRPr="006F2B6D">
        <w:t xml:space="preserve"> </w:t>
      </w:r>
      <w:r w:rsidR="00026412" w:rsidRPr="006F2B6D">
        <w:t>Part 6</w:t>
      </w:r>
      <w:r w:rsidR="00C847AE" w:rsidRPr="006F2B6D">
        <w:t xml:space="preserve"> of the Application Form</w:t>
      </w:r>
      <w:r w:rsidRPr="006F2B6D">
        <w:t>)</w:t>
      </w:r>
    </w:p>
    <w:p w14:paraId="35F53133" w14:textId="6151EDBD" w:rsidR="00CB12EC" w:rsidRPr="006F2B6D" w:rsidRDefault="00CB3D96" w:rsidP="00A6491A">
      <w:pPr>
        <w:ind w:left="284"/>
      </w:pPr>
      <w:r w:rsidRPr="006F2B6D">
        <w:t xml:space="preserve">Similarly, to stents placed into </w:t>
      </w:r>
      <w:proofErr w:type="spellStart"/>
      <w:r w:rsidRPr="006F2B6D">
        <w:t>Schlemm’s</w:t>
      </w:r>
      <w:proofErr w:type="spellEnd"/>
      <w:r w:rsidRPr="006F2B6D">
        <w:t xml:space="preserve"> canal, a </w:t>
      </w:r>
      <w:proofErr w:type="spellStart"/>
      <w:r w:rsidRPr="006F2B6D">
        <w:t>microcatheter</w:t>
      </w:r>
      <w:proofErr w:type="spellEnd"/>
      <w:r w:rsidRPr="006F2B6D">
        <w:t xml:space="preserve"> is </w:t>
      </w:r>
      <w:r w:rsidR="00013A00" w:rsidRPr="006F2B6D">
        <w:t xml:space="preserve">first inserted into </w:t>
      </w:r>
      <w:proofErr w:type="spellStart"/>
      <w:r w:rsidR="00013A00" w:rsidRPr="006F2B6D">
        <w:t>Schlemm’s</w:t>
      </w:r>
      <w:proofErr w:type="spellEnd"/>
      <w:r w:rsidR="00013A00" w:rsidRPr="006F2B6D">
        <w:t xml:space="preserve"> canal via the trabecular meshwork and </w:t>
      </w:r>
      <w:proofErr w:type="gramStart"/>
      <w:r w:rsidRPr="006F2B6D">
        <w:t xml:space="preserve">circumnavigated </w:t>
      </w:r>
      <w:r w:rsidR="00013A00" w:rsidRPr="006F2B6D">
        <w:t xml:space="preserve"> 360</w:t>
      </w:r>
      <w:proofErr w:type="gramEnd"/>
      <w:r w:rsidR="00013A00" w:rsidRPr="006F2B6D">
        <w:rPr>
          <w:rFonts w:cstheme="minorHAnsi"/>
        </w:rPr>
        <w:t>°</w:t>
      </w:r>
      <w:r w:rsidR="00013A00" w:rsidRPr="006F2B6D">
        <w:t xml:space="preserve"> within </w:t>
      </w:r>
      <w:proofErr w:type="spellStart"/>
      <w:r w:rsidRPr="006F2B6D">
        <w:t>Schlemm’s</w:t>
      </w:r>
      <w:proofErr w:type="spellEnd"/>
      <w:r w:rsidRPr="006F2B6D">
        <w:t xml:space="preserve"> canal. </w:t>
      </w:r>
      <w:r w:rsidR="00013A00" w:rsidRPr="006F2B6D">
        <w:t xml:space="preserve">The </w:t>
      </w:r>
      <w:proofErr w:type="spellStart"/>
      <w:r w:rsidR="00013A00" w:rsidRPr="006F2B6D">
        <w:t>microcatheter</w:t>
      </w:r>
      <w:proofErr w:type="spellEnd"/>
      <w:r w:rsidR="00013A00" w:rsidRPr="006F2B6D">
        <w:t xml:space="preserve"> breaks inner lumen adhesions and opens stenotic areas of the canal.</w:t>
      </w:r>
      <w:r w:rsidR="003230CB" w:rsidRPr="006F2B6D">
        <w:t xml:space="preserve"> </w:t>
      </w:r>
      <w:r w:rsidR="00013A00" w:rsidRPr="006F2B6D">
        <w:t>T</w:t>
      </w:r>
      <w:r w:rsidRPr="006F2B6D">
        <w:t xml:space="preserve">he </w:t>
      </w:r>
      <w:proofErr w:type="spellStart"/>
      <w:r w:rsidRPr="006F2B6D">
        <w:t>microcatheter</w:t>
      </w:r>
      <w:proofErr w:type="spellEnd"/>
      <w:r w:rsidRPr="006F2B6D">
        <w:t xml:space="preserve"> dilates the canal </w:t>
      </w:r>
      <w:r w:rsidR="00013A00" w:rsidRPr="006F2B6D">
        <w:t>with high molecular weight O</w:t>
      </w:r>
      <w:r w:rsidR="00C3367C" w:rsidRPr="006F2B6D">
        <w:t xml:space="preserve">cular </w:t>
      </w:r>
      <w:proofErr w:type="spellStart"/>
      <w:r w:rsidR="00013A00" w:rsidRPr="006F2B6D">
        <w:t>V</w:t>
      </w:r>
      <w:r w:rsidR="00C3367C" w:rsidRPr="006F2B6D">
        <w:t>iscosurgery</w:t>
      </w:r>
      <w:proofErr w:type="spellEnd"/>
      <w:r w:rsidR="00C3367C" w:rsidRPr="006F2B6D">
        <w:t xml:space="preserve"> </w:t>
      </w:r>
      <w:r w:rsidR="00013A00" w:rsidRPr="006F2B6D">
        <w:t>D</w:t>
      </w:r>
      <w:r w:rsidR="00C3367C" w:rsidRPr="006F2B6D">
        <w:t>evice</w:t>
      </w:r>
      <w:r w:rsidR="00476911" w:rsidRPr="006F2B6D">
        <w:t xml:space="preserve"> (OVD)</w:t>
      </w:r>
      <w:r w:rsidR="00013A00" w:rsidRPr="006F2B6D">
        <w:t xml:space="preserve"> fluid (</w:t>
      </w:r>
      <w:proofErr w:type="spellStart"/>
      <w:r w:rsidR="00013A00" w:rsidRPr="006F2B6D">
        <w:t>viscodilation</w:t>
      </w:r>
      <w:proofErr w:type="spellEnd"/>
      <w:r w:rsidR="00013A00" w:rsidRPr="006F2B6D">
        <w:t xml:space="preserve">) </w:t>
      </w:r>
      <w:r w:rsidRPr="006F2B6D">
        <w:t xml:space="preserve">and separates </w:t>
      </w:r>
      <w:proofErr w:type="spellStart"/>
      <w:r w:rsidRPr="006F2B6D">
        <w:t>herniations</w:t>
      </w:r>
      <w:proofErr w:type="spellEnd"/>
      <w:r w:rsidRPr="006F2B6D">
        <w:t xml:space="preserve"> of the trabecular meshwork into the collector </w:t>
      </w:r>
      <w:proofErr w:type="gramStart"/>
      <w:r w:rsidRPr="006F2B6D">
        <w:t>channels</w:t>
      </w:r>
      <w:r w:rsidR="00013A00" w:rsidRPr="006F2B6D">
        <w:t xml:space="preserve"> ,</w:t>
      </w:r>
      <w:proofErr w:type="gramEnd"/>
      <w:r w:rsidR="00013A00" w:rsidRPr="006F2B6D">
        <w:t xml:space="preserve"> thereby reducing IOP</w:t>
      </w:r>
      <w:r w:rsidRPr="006F2B6D">
        <w:t xml:space="preserve">.  </w:t>
      </w:r>
    </w:p>
    <w:p w14:paraId="1A6D4A3F" w14:textId="769DC16F"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6DC608C2" w14:textId="52915425" w:rsidR="00753C44" w:rsidRDefault="00CB3D96"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27348">
        <w:rPr>
          <w:szCs w:val="20"/>
        </w:rPr>
      </w:r>
      <w:r w:rsidR="00027348">
        <w:rPr>
          <w:szCs w:val="20"/>
        </w:rPr>
        <w:fldChar w:fldCharType="separate"/>
      </w:r>
      <w:r>
        <w:rPr>
          <w:szCs w:val="20"/>
        </w:rPr>
        <w:fldChar w:fldCharType="end"/>
      </w:r>
      <w:r w:rsidR="006B6390">
        <w:rPr>
          <w:szCs w:val="20"/>
        </w:rPr>
        <w:t xml:space="preserve"> Yes</w:t>
      </w:r>
    </w:p>
    <w:p w14:paraId="614AEB51" w14:textId="02D5F975"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27348">
        <w:rPr>
          <w:szCs w:val="20"/>
        </w:rPr>
      </w:r>
      <w:r w:rsidR="00027348">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1232718C" w14:textId="1B37B250"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w:t>
      </w:r>
      <w:proofErr w:type="gramStart"/>
      <w:r w:rsidR="00D11EB1" w:rsidRPr="0011036E">
        <w:rPr>
          <w:rStyle w:val="Strong"/>
          <w:rFonts w:asciiTheme="minorHAnsi" w:eastAsiaTheme="minorHAnsi" w:hAnsiTheme="minorHAnsi" w:cstheme="minorBidi"/>
          <w:b/>
        </w:rPr>
        <w:t xml:space="preserve">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covered</w:t>
      </w:r>
      <w:proofErr w:type="gramEnd"/>
      <w:r w:rsidRPr="0011036E">
        <w:rPr>
          <w:rStyle w:val="Strong"/>
          <w:rFonts w:asciiTheme="minorHAnsi" w:eastAsiaTheme="minorHAnsi" w:hAnsiTheme="minorHAnsi" w:cstheme="minorBidi"/>
          <w:b/>
        </w:rPr>
        <w:t xml:space="preserve">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343AC9A6" w14:textId="156C75DA" w:rsidR="00753C44" w:rsidRDefault="00CB3D96" w:rsidP="00A6491A">
      <w:pPr>
        <w:spacing w:before="0" w:after="0"/>
        <w:ind w:left="284"/>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027348">
        <w:rPr>
          <w:szCs w:val="20"/>
        </w:rPr>
      </w:r>
      <w:r w:rsidR="00027348">
        <w:rPr>
          <w:szCs w:val="20"/>
        </w:rPr>
        <w:fldChar w:fldCharType="separate"/>
      </w:r>
      <w:r>
        <w:rPr>
          <w:szCs w:val="20"/>
        </w:rPr>
        <w:fldChar w:fldCharType="end"/>
      </w:r>
      <w:bookmarkEnd w:id="2"/>
      <w:r w:rsidR="006B6390">
        <w:rPr>
          <w:szCs w:val="20"/>
        </w:rPr>
        <w:t xml:space="preserve"> </w:t>
      </w:r>
      <w:r w:rsidR="00753C44" w:rsidRPr="00154B00">
        <w:rPr>
          <w:szCs w:val="20"/>
        </w:rPr>
        <w:t>Amendment to existing MBS item</w:t>
      </w:r>
      <w:r w:rsidR="00753C44">
        <w:rPr>
          <w:szCs w:val="20"/>
        </w:rPr>
        <w:t>(s)</w:t>
      </w:r>
    </w:p>
    <w:p w14:paraId="4E56AB36" w14:textId="33E65FA3"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27348">
        <w:rPr>
          <w:szCs w:val="20"/>
        </w:rPr>
      </w:r>
      <w:r w:rsidR="00027348">
        <w:rPr>
          <w:szCs w:val="20"/>
        </w:rPr>
        <w:fldChar w:fldCharType="separate"/>
      </w:r>
      <w:r w:rsidRPr="00753C44">
        <w:rPr>
          <w:szCs w:val="20"/>
        </w:rPr>
        <w:fldChar w:fldCharType="end"/>
      </w:r>
      <w:r>
        <w:rPr>
          <w:szCs w:val="20"/>
        </w:rPr>
        <w:t xml:space="preserve"> </w:t>
      </w:r>
      <w:r w:rsidR="00753C44" w:rsidRPr="00154B00">
        <w:rPr>
          <w:szCs w:val="20"/>
        </w:rPr>
        <w:t>New MBS item</w:t>
      </w:r>
      <w:r w:rsidR="00753C44">
        <w:rPr>
          <w:szCs w:val="20"/>
        </w:rPr>
        <w:t>(s)</w:t>
      </w:r>
    </w:p>
    <w:p w14:paraId="6DF32283" w14:textId="34EDFE56" w:rsidR="000B3CD0"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w:t>
      </w:r>
      <w:proofErr w:type="gramStart"/>
      <w:r w:rsidR="00126B33" w:rsidRPr="0011036E">
        <w:rPr>
          <w:rStyle w:val="Strong"/>
          <w:rFonts w:asciiTheme="minorHAnsi" w:eastAsiaTheme="minorHAnsi" w:hAnsiTheme="minorHAnsi" w:cstheme="minorBidi"/>
          <w:b/>
        </w:rPr>
        <w:t>is being sought</w:t>
      </w:r>
      <w:proofErr w:type="gramEnd"/>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tbl>
      <w:tblPr>
        <w:tblStyle w:val="TableGrid"/>
        <w:tblW w:w="0" w:type="auto"/>
        <w:tblInd w:w="284" w:type="dxa"/>
        <w:tblLook w:val="04A0" w:firstRow="1" w:lastRow="0" w:firstColumn="1" w:lastColumn="0" w:noHBand="0" w:noVBand="1"/>
        <w:tblCaption w:val="Text box"/>
        <w:tblDescription w:val="Text box"/>
      </w:tblPr>
      <w:tblGrid>
        <w:gridCol w:w="8732"/>
      </w:tblGrid>
      <w:tr w:rsidR="003230CB" w14:paraId="22E3C6B3" w14:textId="77777777" w:rsidTr="003A5070">
        <w:trPr>
          <w:tblHeader/>
        </w:trPr>
        <w:tc>
          <w:tcPr>
            <w:tcW w:w="8732" w:type="dxa"/>
          </w:tcPr>
          <w:p w14:paraId="5B4AF322" w14:textId="77777777" w:rsidR="003230CB" w:rsidRPr="006F2B6D" w:rsidRDefault="003230CB" w:rsidP="003230CB">
            <w:bookmarkStart w:id="3" w:name="_Hlk46141390"/>
            <w:r w:rsidRPr="006F2B6D">
              <w:t>42504 </w:t>
            </w:r>
          </w:p>
          <w:p w14:paraId="655E47CD" w14:textId="77777777" w:rsidR="003230CB" w:rsidRPr="006F2B6D" w:rsidRDefault="003230CB" w:rsidP="006F2B6D">
            <w:pPr>
              <w:spacing w:after="0"/>
            </w:pPr>
            <w:r w:rsidRPr="006F2B6D">
              <w:rPr>
                <w:b/>
                <w:bCs/>
              </w:rPr>
              <w:t>Group</w:t>
            </w:r>
          </w:p>
          <w:p w14:paraId="6CF56540" w14:textId="77777777" w:rsidR="003230CB" w:rsidRPr="006F2B6D" w:rsidRDefault="003230CB" w:rsidP="006F2B6D">
            <w:pPr>
              <w:spacing w:before="0"/>
            </w:pPr>
            <w:r w:rsidRPr="006F2B6D">
              <w:t>T8 - Surgical Operations</w:t>
            </w:r>
          </w:p>
          <w:p w14:paraId="1D3A4A07" w14:textId="77777777" w:rsidR="003230CB" w:rsidRPr="006F2B6D" w:rsidRDefault="003230CB" w:rsidP="006F2B6D">
            <w:pPr>
              <w:spacing w:before="0" w:after="0"/>
            </w:pPr>
            <w:r w:rsidRPr="006F2B6D">
              <w:rPr>
                <w:b/>
                <w:bCs/>
              </w:rPr>
              <w:t>Subgroup</w:t>
            </w:r>
          </w:p>
          <w:p w14:paraId="6036B918" w14:textId="77777777" w:rsidR="003230CB" w:rsidRPr="006F2B6D" w:rsidRDefault="003230CB" w:rsidP="006F2B6D">
            <w:pPr>
              <w:spacing w:before="0" w:after="0"/>
            </w:pPr>
            <w:r w:rsidRPr="006F2B6D">
              <w:t>9 - Ophthalmology</w:t>
            </w:r>
          </w:p>
          <w:p w14:paraId="2E67C3A8" w14:textId="77777777" w:rsidR="003230CB" w:rsidRPr="006F2B6D" w:rsidRDefault="003230CB" w:rsidP="003230CB">
            <w:r w:rsidRPr="006F2B6D">
              <w:t>Glaucoma, implantation of a micro-bypass surgery stent system into the trabecular meshwork, if:</w:t>
            </w:r>
          </w:p>
          <w:p w14:paraId="5DC9DA1F" w14:textId="77777777" w:rsidR="003230CB" w:rsidRPr="006F2B6D" w:rsidRDefault="003230CB" w:rsidP="003230CB">
            <w:r w:rsidRPr="006F2B6D">
              <w:t>(a) conservative therapies have failed, are likely to fail, or are contraindicated; and</w:t>
            </w:r>
          </w:p>
          <w:p w14:paraId="23C1CC27" w14:textId="77777777" w:rsidR="003230CB" w:rsidRPr="006F2B6D" w:rsidRDefault="003230CB" w:rsidP="003230CB">
            <w:r w:rsidRPr="006F2B6D">
              <w:t>(b) the service is performed by a specialist with training that is recognised by the Conjoint Committee for the Recognition of Training in Micro-Bypass Glaucoma Surgery</w:t>
            </w:r>
          </w:p>
          <w:p w14:paraId="1E9593C8" w14:textId="6D7A06DB" w:rsidR="003230CB" w:rsidRPr="006F2B6D" w:rsidRDefault="003230CB" w:rsidP="006F2B6D">
            <w:pPr>
              <w:spacing w:after="0"/>
            </w:pPr>
            <w:r w:rsidRPr="006F2B6D">
              <w:t> </w:t>
            </w:r>
            <w:hyperlink r:id="rId11" w:history="1">
              <w:r w:rsidRPr="006F2B6D">
                <w:rPr>
                  <w:rStyle w:val="Hyperlink"/>
                  <w:color w:val="auto"/>
                </w:rPr>
                <w:t>Multiple Operation Rule</w:t>
              </w:r>
            </w:hyperlink>
          </w:p>
          <w:p w14:paraId="6B5322CA" w14:textId="77777777" w:rsidR="003230CB" w:rsidRPr="006F2B6D" w:rsidRDefault="003230CB" w:rsidP="006F2B6D">
            <w:pPr>
              <w:spacing w:before="0"/>
            </w:pPr>
            <w:r w:rsidRPr="006F2B6D">
              <w:t>(</w:t>
            </w:r>
            <w:proofErr w:type="spellStart"/>
            <w:r w:rsidRPr="006F2B6D">
              <w:t>Anaes</w:t>
            </w:r>
            <w:proofErr w:type="spellEnd"/>
            <w:r w:rsidRPr="006F2B6D">
              <w:t>.)</w:t>
            </w:r>
          </w:p>
          <w:p w14:paraId="2A15D6F2" w14:textId="4E329F57" w:rsidR="003230CB" w:rsidRPr="003230CB" w:rsidRDefault="003230CB" w:rsidP="00A6491A">
            <w:pPr>
              <w:rPr>
                <w:color w:val="1F497D" w:themeColor="text2"/>
              </w:rPr>
            </w:pPr>
            <w:r w:rsidRPr="006F2B6D">
              <w:rPr>
                <w:b/>
                <w:bCs/>
              </w:rPr>
              <w:t>Fee:</w:t>
            </w:r>
            <w:r w:rsidRPr="006F2B6D">
              <w:t> $310.15 </w:t>
            </w:r>
            <w:r w:rsidRPr="006F2B6D">
              <w:rPr>
                <w:b/>
                <w:bCs/>
              </w:rPr>
              <w:t>Benefit:</w:t>
            </w:r>
            <w:r w:rsidRPr="006F2B6D">
              <w:t> 75% = $232.65 85% = $263.65</w:t>
            </w:r>
            <w:bookmarkEnd w:id="3"/>
          </w:p>
        </w:tc>
      </w:tr>
    </w:tbl>
    <w:p w14:paraId="7D678975"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proofErr w:type="gramStart"/>
      <w:r w:rsidRPr="0011036E">
        <w:rPr>
          <w:rStyle w:val="Strong"/>
          <w:rFonts w:asciiTheme="minorHAnsi" w:eastAsiaTheme="minorHAnsi" w:hAnsiTheme="minorHAnsi" w:cstheme="minorBidi"/>
          <w:b/>
        </w:rPr>
        <w:t>is being sought</w:t>
      </w:r>
      <w:proofErr w:type="gramEnd"/>
      <w:r w:rsidRPr="0011036E">
        <w:rPr>
          <w:rStyle w:val="Strong"/>
          <w:rFonts w:asciiTheme="minorHAnsi" w:eastAsiaTheme="minorHAnsi" w:hAnsiTheme="minorHAnsi" w:cstheme="minorBidi"/>
          <w:b/>
        </w:rPr>
        <w: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081156A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27348">
        <w:rPr>
          <w:b/>
          <w:szCs w:val="20"/>
        </w:rPr>
      </w:r>
      <w:r w:rsidR="0002734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1C34FB3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27348">
        <w:rPr>
          <w:b/>
          <w:szCs w:val="20"/>
        </w:rPr>
      </w:r>
      <w:r w:rsidR="0002734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379529B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27348">
        <w:rPr>
          <w:b/>
          <w:szCs w:val="20"/>
        </w:rPr>
      </w:r>
      <w:r w:rsidR="0002734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706E440B"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27348">
        <w:rPr>
          <w:b/>
          <w:szCs w:val="20"/>
        </w:rPr>
      </w:r>
      <w:r w:rsidR="0002734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51354FC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27348">
        <w:rPr>
          <w:b/>
          <w:szCs w:val="20"/>
        </w:rPr>
      </w:r>
      <w:r w:rsidR="00027348">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05429A2E"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27348">
        <w:rPr>
          <w:b/>
          <w:szCs w:val="20"/>
        </w:rPr>
      </w:r>
      <w:r w:rsidR="00027348">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6721871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27348">
        <w:rPr>
          <w:b/>
          <w:szCs w:val="20"/>
        </w:rPr>
      </w:r>
      <w:r w:rsidR="0002734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0C494A6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27348">
        <w:rPr>
          <w:b/>
          <w:szCs w:val="20"/>
        </w:rPr>
      </w:r>
      <w:r w:rsidR="0002734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72B8870B" w14:textId="495C4AFF" w:rsidR="002A270B" w:rsidRDefault="00C3367C" w:rsidP="004A263B">
      <w:pPr>
        <w:pStyle w:val="ListParagraph"/>
        <w:numPr>
          <w:ilvl w:val="0"/>
          <w:numId w:val="34"/>
        </w:numPr>
        <w:ind w:left="851" w:hanging="425"/>
        <w:rPr>
          <w:rStyle w:val="Strong"/>
        </w:rPr>
      </w:pPr>
      <w:r>
        <w:rPr>
          <w:b/>
          <w:szCs w:val="20"/>
        </w:rPr>
        <w:fldChar w:fldCharType="begin">
          <w:ffData>
            <w:name w:val=""/>
            <w:enabled/>
            <w:calcOnExit w:val="0"/>
            <w:checkBox>
              <w:sizeAuto/>
              <w:default w:val="1"/>
            </w:checkBox>
          </w:ffData>
        </w:fldChar>
      </w:r>
      <w:r>
        <w:rPr>
          <w:b/>
          <w:szCs w:val="20"/>
        </w:rPr>
        <w:instrText xml:space="preserve"> FORMCHECKBOX </w:instrText>
      </w:r>
      <w:r w:rsidR="00027348">
        <w:rPr>
          <w:b/>
          <w:szCs w:val="20"/>
        </w:rPr>
      </w:r>
      <w:r w:rsidR="00027348">
        <w:rPr>
          <w:b/>
          <w:szCs w:val="20"/>
        </w:rPr>
        <w:fldChar w:fldCharType="separate"/>
      </w:r>
      <w:r>
        <w:rPr>
          <w:b/>
          <w:szCs w:val="20"/>
        </w:rPr>
        <w:fldChar w:fldCharType="end"/>
      </w:r>
      <w:r w:rsidR="004A263B" w:rsidRPr="004A263B">
        <w:rPr>
          <w:b/>
          <w:szCs w:val="20"/>
        </w:rPr>
        <w:t xml:space="preserve"> </w:t>
      </w:r>
      <w:r w:rsidR="002A270B" w:rsidRPr="004A263B">
        <w:rPr>
          <w:rStyle w:val="Strong"/>
          <w:b w:val="0"/>
        </w:rPr>
        <w:t>Other (please describe below)</w:t>
      </w:r>
      <w:r w:rsidR="00A6491A" w:rsidRPr="004A263B">
        <w:rPr>
          <w:rStyle w:val="Strong"/>
          <w:b w:val="0"/>
        </w:rPr>
        <w:t>:</w:t>
      </w:r>
    </w:p>
    <w:p w14:paraId="2C21963A" w14:textId="426DC596" w:rsidR="002A270B" w:rsidRPr="006F2B6D" w:rsidRDefault="00F4703E" w:rsidP="00A6491A">
      <w:pPr>
        <w:ind w:left="284"/>
      </w:pPr>
      <w:r w:rsidRPr="006F2B6D">
        <w:t xml:space="preserve">The applicant believes that the wording of the current item </w:t>
      </w:r>
      <w:proofErr w:type="gramStart"/>
      <w:r w:rsidRPr="006F2B6D">
        <w:t>number,</w:t>
      </w:r>
      <w:proofErr w:type="gramEnd"/>
      <w:r w:rsidRPr="006F2B6D">
        <w:t xml:space="preserve"> has the unintended consequence of excluding currently used technology (</w:t>
      </w:r>
      <w:proofErr w:type="spellStart"/>
      <w:r w:rsidRPr="006F2B6D">
        <w:t>microcatheters</w:t>
      </w:r>
      <w:proofErr w:type="spellEnd"/>
      <w:r w:rsidRPr="006F2B6D">
        <w:t xml:space="preserve">).  </w:t>
      </w:r>
    </w:p>
    <w:p w14:paraId="1F8CF1D5"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w:t>
      </w:r>
      <w:proofErr w:type="gramStart"/>
      <w:r w:rsidR="003433D1" w:rsidRPr="007E39E4">
        <w:rPr>
          <w:rStyle w:val="Strong"/>
          <w:rFonts w:asciiTheme="minorHAnsi" w:eastAsiaTheme="minorHAnsi" w:hAnsiTheme="minorHAnsi" w:cstheme="minorBidi"/>
          <w:b/>
        </w:rPr>
        <w:t>is being requested</w:t>
      </w:r>
      <w:proofErr w:type="gramEnd"/>
      <w:r w:rsidRPr="007E39E4">
        <w:rPr>
          <w:rStyle w:val="Strong"/>
          <w:rFonts w:asciiTheme="minorHAnsi" w:eastAsiaTheme="minorHAnsi" w:hAnsiTheme="minorHAnsi" w:cstheme="minorBidi"/>
          <w:b/>
        </w:rPr>
        <w:t>, what is the nature of the change to the MBS being sought?</w:t>
      </w:r>
    </w:p>
    <w:p w14:paraId="7D264C25"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027348">
        <w:rPr>
          <w:b/>
          <w:szCs w:val="20"/>
        </w:rPr>
      </w:r>
      <w:r w:rsidR="00027348">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41442A7E"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027348">
        <w:rPr>
          <w:b/>
          <w:szCs w:val="20"/>
        </w:rPr>
      </w:r>
      <w:r w:rsidR="00027348">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6F1EF1C5"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027348">
        <w:rPr>
          <w:b/>
          <w:szCs w:val="20"/>
        </w:rPr>
      </w:r>
      <w:r w:rsidR="00027348">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112E1625"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027348">
        <w:rPr>
          <w:b/>
          <w:szCs w:val="20"/>
        </w:rPr>
      </w:r>
      <w:r w:rsidR="00027348">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30143B6B"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133857A2"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27348">
        <w:rPr>
          <w:szCs w:val="20"/>
        </w:rPr>
      </w:r>
      <w:r w:rsidR="00027348">
        <w:rPr>
          <w:szCs w:val="20"/>
        </w:rPr>
        <w:fldChar w:fldCharType="separate"/>
      </w:r>
      <w:r w:rsidRPr="000A5B32">
        <w:rPr>
          <w:szCs w:val="20"/>
        </w:rPr>
        <w:fldChar w:fldCharType="end"/>
      </w:r>
      <w:r w:rsidRPr="000A5B32">
        <w:rPr>
          <w:szCs w:val="20"/>
        </w:rPr>
        <w:t xml:space="preserve"> Yes</w:t>
      </w:r>
    </w:p>
    <w:p w14:paraId="73869A92" w14:textId="55FF952C" w:rsidR="00626365" w:rsidRDefault="00F4703E"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27348">
        <w:rPr>
          <w:szCs w:val="20"/>
        </w:rPr>
      </w:r>
      <w:r w:rsidR="00027348">
        <w:rPr>
          <w:szCs w:val="20"/>
        </w:rPr>
        <w:fldChar w:fldCharType="separate"/>
      </w:r>
      <w:r>
        <w:rPr>
          <w:szCs w:val="20"/>
        </w:rPr>
        <w:fldChar w:fldCharType="end"/>
      </w:r>
      <w:r w:rsidR="000A5B32" w:rsidRPr="000A5B32">
        <w:rPr>
          <w:szCs w:val="20"/>
        </w:rPr>
        <w:t xml:space="preserve"> No</w:t>
      </w:r>
    </w:p>
    <w:p w14:paraId="2791B470"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1BC3E81C" w14:textId="5A56BE7A" w:rsidR="000A5B32" w:rsidRPr="006F2B6D" w:rsidRDefault="00C3367C" w:rsidP="00A6491A">
      <w:pPr>
        <w:ind w:left="284"/>
        <w:rPr>
          <w:rStyle w:val="Strong"/>
        </w:rPr>
      </w:pPr>
      <w:r w:rsidRPr="006F2B6D">
        <w:t>N</w:t>
      </w:r>
      <w:r w:rsidR="00641BBD" w:rsidRPr="006F2B6D">
        <w:t>ot applicable</w:t>
      </w:r>
    </w:p>
    <w:p w14:paraId="45AC2F39" w14:textId="77777777" w:rsidR="000B3CD0" w:rsidRDefault="000B3CD0" w:rsidP="00730C04">
      <w:pPr>
        <w:pStyle w:val="Heading2"/>
      </w:pPr>
      <w:r w:rsidRPr="00154B00">
        <w:t xml:space="preserve">What is the type of </w:t>
      </w:r>
      <w:proofErr w:type="gramStart"/>
      <w:r w:rsidRPr="00154B00">
        <w:t>service:</w:t>
      </w:r>
      <w:proofErr w:type="gramEnd"/>
    </w:p>
    <w:p w14:paraId="799C6842" w14:textId="422E9F39" w:rsidR="00A6594E" w:rsidRDefault="00F4703E"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027348">
        <w:rPr>
          <w:b/>
          <w:szCs w:val="20"/>
        </w:rPr>
      </w:r>
      <w:r w:rsidR="00027348">
        <w:rPr>
          <w:b/>
          <w:szCs w:val="20"/>
        </w:rPr>
        <w:fldChar w:fldCharType="separate"/>
      </w:r>
      <w:r>
        <w:rPr>
          <w:b/>
          <w:szCs w:val="20"/>
        </w:rPr>
        <w:fldChar w:fldCharType="end"/>
      </w:r>
      <w:r w:rsidR="00A6594E" w:rsidRPr="0027105F">
        <w:rPr>
          <w:b/>
          <w:szCs w:val="20"/>
        </w:rPr>
        <w:t xml:space="preserve"> </w:t>
      </w:r>
      <w:r w:rsidR="00A6594E">
        <w:t>Therapeutic medical service</w:t>
      </w:r>
    </w:p>
    <w:p w14:paraId="0058A1EB"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27348">
        <w:rPr>
          <w:b/>
          <w:szCs w:val="20"/>
        </w:rPr>
      </w:r>
      <w:r w:rsidR="00027348">
        <w:rPr>
          <w:b/>
          <w:szCs w:val="20"/>
        </w:rPr>
        <w:fldChar w:fldCharType="separate"/>
      </w:r>
      <w:r w:rsidRPr="0027105F">
        <w:rPr>
          <w:b/>
          <w:szCs w:val="20"/>
        </w:rPr>
        <w:fldChar w:fldCharType="end"/>
      </w:r>
      <w:r w:rsidRPr="0027105F">
        <w:rPr>
          <w:b/>
          <w:szCs w:val="20"/>
        </w:rPr>
        <w:t xml:space="preserve"> </w:t>
      </w:r>
      <w:r>
        <w:t>Investigative medical service</w:t>
      </w:r>
    </w:p>
    <w:p w14:paraId="63486440"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27348">
        <w:rPr>
          <w:b/>
          <w:szCs w:val="20"/>
        </w:rPr>
      </w:r>
      <w:r w:rsidR="00027348">
        <w:rPr>
          <w:b/>
          <w:szCs w:val="20"/>
        </w:rPr>
        <w:fldChar w:fldCharType="separate"/>
      </w:r>
      <w:r w:rsidRPr="0027105F">
        <w:rPr>
          <w:b/>
          <w:szCs w:val="20"/>
        </w:rPr>
        <w:fldChar w:fldCharType="end"/>
      </w:r>
      <w:r w:rsidRPr="0027105F">
        <w:rPr>
          <w:b/>
          <w:szCs w:val="20"/>
        </w:rPr>
        <w:t xml:space="preserve"> </w:t>
      </w:r>
      <w:r>
        <w:t>Single consultation medical service</w:t>
      </w:r>
    </w:p>
    <w:p w14:paraId="6B3AC7B6"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27348">
        <w:rPr>
          <w:b/>
          <w:szCs w:val="20"/>
        </w:rPr>
      </w:r>
      <w:r w:rsidR="00027348">
        <w:rPr>
          <w:b/>
          <w:szCs w:val="20"/>
        </w:rPr>
        <w:fldChar w:fldCharType="separate"/>
      </w:r>
      <w:r w:rsidRPr="0027105F">
        <w:rPr>
          <w:b/>
          <w:szCs w:val="20"/>
        </w:rPr>
        <w:fldChar w:fldCharType="end"/>
      </w:r>
      <w:r w:rsidRPr="0027105F">
        <w:rPr>
          <w:b/>
          <w:szCs w:val="20"/>
        </w:rPr>
        <w:t xml:space="preserve"> </w:t>
      </w:r>
      <w:r>
        <w:t>Global consultation medical service</w:t>
      </w:r>
    </w:p>
    <w:p w14:paraId="490C7EE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27348">
        <w:rPr>
          <w:b/>
          <w:szCs w:val="20"/>
        </w:rPr>
      </w:r>
      <w:r w:rsidR="00027348">
        <w:rPr>
          <w:b/>
          <w:szCs w:val="20"/>
        </w:rPr>
        <w:fldChar w:fldCharType="separate"/>
      </w:r>
      <w:r w:rsidRPr="0027105F">
        <w:rPr>
          <w:b/>
          <w:szCs w:val="20"/>
        </w:rPr>
        <w:fldChar w:fldCharType="end"/>
      </w:r>
      <w:r w:rsidRPr="0027105F">
        <w:rPr>
          <w:b/>
          <w:szCs w:val="20"/>
        </w:rPr>
        <w:t xml:space="preserve"> </w:t>
      </w:r>
      <w:r>
        <w:t>Allied health service</w:t>
      </w:r>
    </w:p>
    <w:p w14:paraId="7F6CA859"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27348">
        <w:rPr>
          <w:b/>
          <w:szCs w:val="20"/>
        </w:rPr>
      </w:r>
      <w:r w:rsidR="00027348">
        <w:rPr>
          <w:b/>
          <w:szCs w:val="20"/>
        </w:rPr>
        <w:fldChar w:fldCharType="separate"/>
      </w:r>
      <w:r w:rsidRPr="0027105F">
        <w:rPr>
          <w:b/>
          <w:szCs w:val="20"/>
        </w:rPr>
        <w:fldChar w:fldCharType="end"/>
      </w:r>
      <w:r w:rsidRPr="0027105F">
        <w:rPr>
          <w:b/>
          <w:szCs w:val="20"/>
        </w:rPr>
        <w:t xml:space="preserve"> </w:t>
      </w:r>
      <w:r>
        <w:t>Co-dependent technology</w:t>
      </w:r>
    </w:p>
    <w:p w14:paraId="06834F07"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27348">
        <w:rPr>
          <w:b/>
          <w:szCs w:val="20"/>
        </w:rPr>
      </w:r>
      <w:r w:rsidR="00027348">
        <w:rPr>
          <w:b/>
          <w:szCs w:val="20"/>
        </w:rPr>
        <w:fldChar w:fldCharType="separate"/>
      </w:r>
      <w:r w:rsidRPr="0027105F">
        <w:rPr>
          <w:b/>
          <w:szCs w:val="20"/>
        </w:rPr>
        <w:fldChar w:fldCharType="end"/>
      </w:r>
      <w:r w:rsidRPr="0027105F">
        <w:rPr>
          <w:b/>
          <w:szCs w:val="20"/>
        </w:rPr>
        <w:t xml:space="preserve"> </w:t>
      </w:r>
      <w:r>
        <w:t>Hybrid health technology</w:t>
      </w:r>
    </w:p>
    <w:p w14:paraId="767B7A35" w14:textId="119F37F5"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24327B36" w14:textId="7BBABD92" w:rsidR="00F4703E" w:rsidRPr="00F4703E" w:rsidRDefault="00F4703E" w:rsidP="00F4703E">
      <w:r>
        <w:t xml:space="preserve">Not Applicable </w:t>
      </w:r>
    </w:p>
    <w:p w14:paraId="7A0C4C12"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027348">
        <w:rPr>
          <w:b/>
          <w:szCs w:val="20"/>
        </w:rPr>
      </w:r>
      <w:r w:rsidR="00027348">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44CF4274"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027348">
        <w:rPr>
          <w:b/>
          <w:szCs w:val="20"/>
        </w:rPr>
      </w:r>
      <w:r w:rsidR="00027348">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5E3535FA" w14:textId="77777777" w:rsidR="00A6594E" w:rsidRPr="006F2B6D" w:rsidRDefault="00A6594E" w:rsidP="00AF4466">
      <w:pPr>
        <w:pStyle w:val="ListParagraph"/>
        <w:numPr>
          <w:ilvl w:val="0"/>
          <w:numId w:val="36"/>
        </w:numPr>
        <w:spacing w:before="0" w:after="0"/>
        <w:ind w:left="851" w:hanging="425"/>
      </w:pPr>
      <w:r w:rsidRPr="006F2B6D">
        <w:rPr>
          <w:b/>
          <w:szCs w:val="20"/>
        </w:rPr>
        <w:fldChar w:fldCharType="begin">
          <w:ffData>
            <w:name w:val="Check2"/>
            <w:enabled/>
            <w:calcOnExit w:val="0"/>
            <w:checkBox>
              <w:sizeAuto/>
              <w:default w:val="0"/>
            </w:checkBox>
          </w:ffData>
        </w:fldChar>
      </w:r>
      <w:r w:rsidRPr="006F2B6D">
        <w:rPr>
          <w:b/>
          <w:szCs w:val="20"/>
        </w:rPr>
        <w:instrText xml:space="preserve"> FORMCHECKBOX </w:instrText>
      </w:r>
      <w:r w:rsidR="00027348">
        <w:rPr>
          <w:b/>
          <w:szCs w:val="20"/>
        </w:rPr>
      </w:r>
      <w:r w:rsidR="00027348">
        <w:rPr>
          <w:b/>
          <w:szCs w:val="20"/>
        </w:rPr>
        <w:fldChar w:fldCharType="separate"/>
      </w:r>
      <w:r w:rsidRPr="006F2B6D">
        <w:rPr>
          <w:b/>
          <w:szCs w:val="20"/>
        </w:rPr>
        <w:fldChar w:fldCharType="end"/>
      </w:r>
      <w:r w:rsidRPr="006F2B6D">
        <w:rPr>
          <w:b/>
          <w:szCs w:val="20"/>
        </w:rPr>
        <w:t xml:space="preserve"> </w:t>
      </w:r>
      <w:r w:rsidRPr="006F2B6D">
        <w:t>Provides information about prognosis</w:t>
      </w:r>
    </w:p>
    <w:p w14:paraId="3A64AFDB" w14:textId="77777777" w:rsidR="00A6594E" w:rsidRPr="006F2B6D" w:rsidRDefault="00A6594E" w:rsidP="00AF4466">
      <w:pPr>
        <w:pStyle w:val="ListParagraph"/>
        <w:numPr>
          <w:ilvl w:val="0"/>
          <w:numId w:val="36"/>
        </w:numPr>
        <w:spacing w:before="0" w:after="0"/>
        <w:ind w:left="851" w:hanging="425"/>
      </w:pPr>
      <w:r w:rsidRPr="006F2B6D">
        <w:rPr>
          <w:b/>
          <w:szCs w:val="20"/>
        </w:rPr>
        <w:fldChar w:fldCharType="begin">
          <w:ffData>
            <w:name w:val="Check2"/>
            <w:enabled/>
            <w:calcOnExit w:val="0"/>
            <w:checkBox>
              <w:sizeAuto/>
              <w:default w:val="0"/>
            </w:checkBox>
          </w:ffData>
        </w:fldChar>
      </w:r>
      <w:r w:rsidRPr="006F2B6D">
        <w:rPr>
          <w:b/>
          <w:szCs w:val="20"/>
        </w:rPr>
        <w:instrText xml:space="preserve"> FORMCHECKBOX </w:instrText>
      </w:r>
      <w:r w:rsidR="00027348">
        <w:rPr>
          <w:b/>
          <w:szCs w:val="20"/>
        </w:rPr>
      </w:r>
      <w:r w:rsidR="00027348">
        <w:rPr>
          <w:b/>
          <w:szCs w:val="20"/>
        </w:rPr>
        <w:fldChar w:fldCharType="separate"/>
      </w:r>
      <w:r w:rsidRPr="006F2B6D">
        <w:rPr>
          <w:b/>
          <w:szCs w:val="20"/>
        </w:rPr>
        <w:fldChar w:fldCharType="end"/>
      </w:r>
      <w:r w:rsidRPr="006F2B6D">
        <w:rPr>
          <w:b/>
          <w:szCs w:val="20"/>
        </w:rPr>
        <w:t xml:space="preserve"> </w:t>
      </w:r>
      <w:r w:rsidRPr="006F2B6D">
        <w:t>Identifies a patient as suitable for therapy by predicting a variation in the effect of the therapy</w:t>
      </w:r>
    </w:p>
    <w:p w14:paraId="43BB3DF3" w14:textId="77777777" w:rsidR="00A6594E" w:rsidRPr="006F2B6D" w:rsidRDefault="00A6594E" w:rsidP="00AF4466">
      <w:pPr>
        <w:pStyle w:val="ListParagraph"/>
        <w:numPr>
          <w:ilvl w:val="0"/>
          <w:numId w:val="36"/>
        </w:numPr>
        <w:spacing w:before="0" w:after="0"/>
        <w:ind w:left="851" w:hanging="425"/>
      </w:pPr>
      <w:r w:rsidRPr="006F2B6D">
        <w:rPr>
          <w:b/>
          <w:szCs w:val="20"/>
        </w:rPr>
        <w:fldChar w:fldCharType="begin">
          <w:ffData>
            <w:name w:val="Check2"/>
            <w:enabled/>
            <w:calcOnExit w:val="0"/>
            <w:checkBox>
              <w:sizeAuto/>
              <w:default w:val="0"/>
            </w:checkBox>
          </w:ffData>
        </w:fldChar>
      </w:r>
      <w:r w:rsidRPr="006F2B6D">
        <w:rPr>
          <w:b/>
          <w:szCs w:val="20"/>
        </w:rPr>
        <w:instrText xml:space="preserve"> FORMCHECKBOX </w:instrText>
      </w:r>
      <w:r w:rsidR="00027348">
        <w:rPr>
          <w:b/>
          <w:szCs w:val="20"/>
        </w:rPr>
      </w:r>
      <w:r w:rsidR="00027348">
        <w:rPr>
          <w:b/>
          <w:szCs w:val="20"/>
        </w:rPr>
        <w:fldChar w:fldCharType="separate"/>
      </w:r>
      <w:r w:rsidRPr="006F2B6D">
        <w:rPr>
          <w:b/>
          <w:szCs w:val="20"/>
        </w:rPr>
        <w:fldChar w:fldCharType="end"/>
      </w:r>
      <w:r w:rsidRPr="006F2B6D">
        <w:rPr>
          <w:b/>
          <w:szCs w:val="20"/>
        </w:rPr>
        <w:t xml:space="preserve"> </w:t>
      </w:r>
      <w:r w:rsidRPr="006F2B6D">
        <w:t>Monitors a patient over time to assess treatment response and guide subsequent treatment decisions</w:t>
      </w:r>
    </w:p>
    <w:p w14:paraId="01446182" w14:textId="77777777" w:rsidR="000B3CD0" w:rsidRPr="006F2B6D" w:rsidRDefault="000B3CD0" w:rsidP="00730C04">
      <w:pPr>
        <w:pStyle w:val="Heading2"/>
      </w:pPr>
      <w:r w:rsidRPr="006F2B6D">
        <w:t xml:space="preserve">Does </w:t>
      </w:r>
      <w:r w:rsidR="00C209C2" w:rsidRPr="006F2B6D">
        <w:t>your</w:t>
      </w:r>
      <w:r w:rsidRPr="006F2B6D">
        <w:t xml:space="preserve"> service rely on another medical </w:t>
      </w:r>
      <w:r w:rsidR="001E1180" w:rsidRPr="006F2B6D">
        <w:t>product</w:t>
      </w:r>
      <w:r w:rsidRPr="006F2B6D">
        <w:t xml:space="preserve"> to achieve or to enhance its intended effect?</w:t>
      </w:r>
    </w:p>
    <w:p w14:paraId="375D5D9E" w14:textId="77777777" w:rsidR="00FE16C1" w:rsidRPr="006F2B6D" w:rsidRDefault="00FE16C1" w:rsidP="00A6491A">
      <w:pPr>
        <w:spacing w:before="0" w:after="0"/>
        <w:ind w:left="284"/>
      </w:pPr>
      <w:r w:rsidRPr="006F2B6D">
        <w:rPr>
          <w:b/>
          <w:szCs w:val="20"/>
        </w:rPr>
        <w:fldChar w:fldCharType="begin">
          <w:ffData>
            <w:name w:val="Check2"/>
            <w:enabled/>
            <w:calcOnExit w:val="0"/>
            <w:checkBox>
              <w:sizeAuto/>
              <w:default w:val="0"/>
            </w:checkBox>
          </w:ffData>
        </w:fldChar>
      </w:r>
      <w:r w:rsidRPr="006F2B6D">
        <w:rPr>
          <w:b/>
          <w:szCs w:val="20"/>
        </w:rPr>
        <w:instrText xml:space="preserve"> FORMCHECKBOX </w:instrText>
      </w:r>
      <w:r w:rsidR="00027348">
        <w:rPr>
          <w:b/>
          <w:szCs w:val="20"/>
        </w:rPr>
      </w:r>
      <w:r w:rsidR="00027348">
        <w:rPr>
          <w:b/>
          <w:szCs w:val="20"/>
        </w:rPr>
        <w:fldChar w:fldCharType="separate"/>
      </w:r>
      <w:r w:rsidRPr="006F2B6D">
        <w:rPr>
          <w:b/>
          <w:szCs w:val="20"/>
        </w:rPr>
        <w:fldChar w:fldCharType="end"/>
      </w:r>
      <w:r w:rsidRPr="006F2B6D">
        <w:rPr>
          <w:b/>
          <w:szCs w:val="20"/>
        </w:rPr>
        <w:t xml:space="preserve"> </w:t>
      </w:r>
      <w:r w:rsidRPr="006F2B6D">
        <w:t>Pharmaceutical / Biological</w:t>
      </w:r>
    </w:p>
    <w:p w14:paraId="13DD4261" w14:textId="086F8A6A" w:rsidR="00FE16C1" w:rsidRPr="006F2B6D" w:rsidRDefault="00F4703E" w:rsidP="00A6491A">
      <w:pPr>
        <w:spacing w:before="0" w:after="0"/>
        <w:ind w:left="284"/>
      </w:pPr>
      <w:r w:rsidRPr="006F2B6D">
        <w:rPr>
          <w:b/>
          <w:szCs w:val="20"/>
        </w:rPr>
        <w:fldChar w:fldCharType="begin">
          <w:ffData>
            <w:name w:val=""/>
            <w:enabled/>
            <w:calcOnExit w:val="0"/>
            <w:checkBox>
              <w:sizeAuto/>
              <w:default w:val="1"/>
            </w:checkBox>
          </w:ffData>
        </w:fldChar>
      </w:r>
      <w:r w:rsidRPr="006F2B6D">
        <w:rPr>
          <w:b/>
          <w:szCs w:val="20"/>
        </w:rPr>
        <w:instrText xml:space="preserve"> FORMCHECKBOX </w:instrText>
      </w:r>
      <w:r w:rsidR="00027348">
        <w:rPr>
          <w:b/>
          <w:szCs w:val="20"/>
        </w:rPr>
      </w:r>
      <w:r w:rsidR="00027348">
        <w:rPr>
          <w:b/>
          <w:szCs w:val="20"/>
        </w:rPr>
        <w:fldChar w:fldCharType="separate"/>
      </w:r>
      <w:r w:rsidRPr="006F2B6D">
        <w:rPr>
          <w:b/>
          <w:szCs w:val="20"/>
        </w:rPr>
        <w:fldChar w:fldCharType="end"/>
      </w:r>
      <w:r w:rsidR="00FE16C1" w:rsidRPr="006F2B6D">
        <w:rPr>
          <w:b/>
          <w:szCs w:val="20"/>
        </w:rPr>
        <w:t xml:space="preserve"> </w:t>
      </w:r>
      <w:r w:rsidR="00FE16C1" w:rsidRPr="006F2B6D">
        <w:t>Prosthesis or device</w:t>
      </w:r>
    </w:p>
    <w:p w14:paraId="2A484939" w14:textId="34C7D757" w:rsidR="00FE16C1" w:rsidRPr="006F2B6D" w:rsidRDefault="00FE16C1" w:rsidP="00A6491A">
      <w:pPr>
        <w:spacing w:before="0" w:after="0"/>
        <w:ind w:left="284"/>
      </w:pPr>
      <w:r w:rsidRPr="006F2B6D">
        <w:rPr>
          <w:b/>
          <w:szCs w:val="20"/>
        </w:rPr>
        <w:fldChar w:fldCharType="begin">
          <w:ffData>
            <w:name w:val="Check2"/>
            <w:enabled/>
            <w:calcOnExit w:val="0"/>
            <w:checkBox>
              <w:sizeAuto/>
              <w:default w:val="0"/>
            </w:checkBox>
          </w:ffData>
        </w:fldChar>
      </w:r>
      <w:r w:rsidRPr="006F2B6D">
        <w:rPr>
          <w:b/>
          <w:szCs w:val="20"/>
        </w:rPr>
        <w:instrText xml:space="preserve"> FORMCHECKBOX </w:instrText>
      </w:r>
      <w:r w:rsidR="00027348">
        <w:rPr>
          <w:b/>
          <w:szCs w:val="20"/>
        </w:rPr>
      </w:r>
      <w:r w:rsidR="00027348">
        <w:rPr>
          <w:b/>
          <w:szCs w:val="20"/>
        </w:rPr>
        <w:fldChar w:fldCharType="separate"/>
      </w:r>
      <w:r w:rsidRPr="006F2B6D">
        <w:rPr>
          <w:b/>
          <w:szCs w:val="20"/>
        </w:rPr>
        <w:fldChar w:fldCharType="end"/>
      </w:r>
      <w:r w:rsidRPr="006F2B6D">
        <w:rPr>
          <w:b/>
          <w:szCs w:val="20"/>
        </w:rPr>
        <w:t xml:space="preserve"> </w:t>
      </w:r>
      <w:r w:rsidRPr="006F2B6D">
        <w:t>No</w:t>
      </w:r>
    </w:p>
    <w:p w14:paraId="719CFE4B" w14:textId="2ED46D59" w:rsidR="00AD1C51" w:rsidRPr="006F2B6D" w:rsidRDefault="00AD1C51" w:rsidP="00A6491A">
      <w:pPr>
        <w:spacing w:before="0" w:after="0"/>
        <w:ind w:left="284"/>
      </w:pPr>
    </w:p>
    <w:p w14:paraId="2673AA9A" w14:textId="0841F405" w:rsidR="00AD1C51" w:rsidRPr="006F2B6D" w:rsidRDefault="00AD1C51" w:rsidP="00A6491A">
      <w:pPr>
        <w:spacing w:before="0" w:after="0"/>
        <w:ind w:left="284"/>
      </w:pPr>
      <w:r w:rsidRPr="006F2B6D">
        <w:t xml:space="preserve">In addition to micro-bypass stents currently specified in the item number, the service relies on the use of a </w:t>
      </w:r>
      <w:proofErr w:type="spellStart"/>
      <w:r w:rsidRPr="006F2B6D">
        <w:t>microcatheter</w:t>
      </w:r>
      <w:proofErr w:type="spellEnd"/>
      <w:r w:rsidRPr="006F2B6D">
        <w:t xml:space="preserve"> that </w:t>
      </w:r>
      <w:proofErr w:type="spellStart"/>
      <w:r w:rsidRPr="006F2B6D">
        <w:t>visco</w:t>
      </w:r>
      <w:proofErr w:type="spellEnd"/>
      <w:r w:rsidRPr="006F2B6D">
        <w:t xml:space="preserve">-dilates </w:t>
      </w:r>
      <w:proofErr w:type="spellStart"/>
      <w:r w:rsidRPr="006F2B6D">
        <w:t>Schlemm’s</w:t>
      </w:r>
      <w:proofErr w:type="spellEnd"/>
      <w:r w:rsidRPr="006F2B6D">
        <w:t xml:space="preserve"> canal.</w:t>
      </w:r>
      <w:r w:rsidR="00D20B0A" w:rsidRPr="006F2B6D">
        <w:t xml:space="preserve"> </w:t>
      </w:r>
      <w:r w:rsidR="00C3367C" w:rsidRPr="006F2B6D">
        <w:t xml:space="preserve">High molecular weight OVD </w:t>
      </w:r>
      <w:r w:rsidR="00D20B0A" w:rsidRPr="006F2B6D">
        <w:t xml:space="preserve">fluid </w:t>
      </w:r>
      <w:proofErr w:type="gramStart"/>
      <w:r w:rsidR="00D20B0A" w:rsidRPr="006F2B6D">
        <w:t>is injected</w:t>
      </w:r>
      <w:proofErr w:type="gramEnd"/>
      <w:r w:rsidR="00D20B0A" w:rsidRPr="006F2B6D">
        <w:t xml:space="preserve"> into </w:t>
      </w:r>
      <w:proofErr w:type="spellStart"/>
      <w:r w:rsidR="00D20B0A" w:rsidRPr="006F2B6D">
        <w:t>Schlemm’s</w:t>
      </w:r>
      <w:proofErr w:type="spellEnd"/>
      <w:r w:rsidR="00D20B0A" w:rsidRPr="006F2B6D">
        <w:t xml:space="preserve"> canal during the procedure.</w:t>
      </w:r>
    </w:p>
    <w:p w14:paraId="322DDC36" w14:textId="3A1DC313" w:rsidR="000E5439" w:rsidRPr="006F2B6D" w:rsidRDefault="00530204" w:rsidP="00730C04">
      <w:pPr>
        <w:pStyle w:val="Heading2"/>
      </w:pPr>
      <w:r w:rsidRPr="006F2B6D">
        <w:lastRenderedPageBreak/>
        <w:t xml:space="preserve">(a)  </w:t>
      </w:r>
      <w:r w:rsidR="000E5439" w:rsidRPr="006F2B6D">
        <w:t xml:space="preserve">If the proposed service has a pharmaceutical component to it, </w:t>
      </w:r>
      <w:proofErr w:type="gramStart"/>
      <w:r w:rsidR="000E5439" w:rsidRPr="006F2B6D">
        <w:t>is it already covered</w:t>
      </w:r>
      <w:proofErr w:type="gramEnd"/>
      <w:r w:rsidR="000E5439" w:rsidRPr="006F2B6D">
        <w:t xml:space="preserve"> under an existing Pharmaceutical Benefits Scheme (PBS) listing?</w:t>
      </w:r>
    </w:p>
    <w:p w14:paraId="22D17D15" w14:textId="7585FAA9" w:rsidR="00F4703E" w:rsidRPr="006F2B6D" w:rsidRDefault="00F4703E" w:rsidP="00F4703E">
      <w:r w:rsidRPr="006F2B6D">
        <w:t>Not applicable</w:t>
      </w:r>
    </w:p>
    <w:p w14:paraId="2465C88E" w14:textId="77777777" w:rsidR="00FE16C1" w:rsidRPr="006F2B6D" w:rsidRDefault="00FE16C1" w:rsidP="00A6491A">
      <w:pPr>
        <w:spacing w:before="0" w:after="0"/>
        <w:ind w:left="284"/>
        <w:rPr>
          <w:szCs w:val="20"/>
        </w:rPr>
      </w:pPr>
      <w:r w:rsidRPr="006F2B6D">
        <w:rPr>
          <w:szCs w:val="20"/>
        </w:rPr>
        <w:fldChar w:fldCharType="begin">
          <w:ffData>
            <w:name w:val="Check1"/>
            <w:enabled/>
            <w:calcOnExit w:val="0"/>
            <w:checkBox>
              <w:sizeAuto/>
              <w:default w:val="0"/>
            </w:checkBox>
          </w:ffData>
        </w:fldChar>
      </w:r>
      <w:r w:rsidRPr="006F2B6D">
        <w:rPr>
          <w:szCs w:val="20"/>
        </w:rPr>
        <w:instrText xml:space="preserve"> FORMCHECKBOX </w:instrText>
      </w:r>
      <w:r w:rsidR="00027348">
        <w:rPr>
          <w:szCs w:val="20"/>
        </w:rPr>
      </w:r>
      <w:r w:rsidR="00027348">
        <w:rPr>
          <w:szCs w:val="20"/>
        </w:rPr>
        <w:fldChar w:fldCharType="separate"/>
      </w:r>
      <w:r w:rsidRPr="006F2B6D">
        <w:rPr>
          <w:szCs w:val="20"/>
        </w:rPr>
        <w:fldChar w:fldCharType="end"/>
      </w:r>
      <w:r w:rsidRPr="006F2B6D">
        <w:rPr>
          <w:szCs w:val="20"/>
        </w:rPr>
        <w:t xml:space="preserve"> Yes</w:t>
      </w:r>
    </w:p>
    <w:p w14:paraId="6FCBA741" w14:textId="77777777" w:rsidR="00FE16C1" w:rsidRPr="006F2B6D" w:rsidRDefault="00FE16C1" w:rsidP="00A6491A">
      <w:pPr>
        <w:spacing w:before="0" w:after="0"/>
        <w:ind w:left="284"/>
        <w:rPr>
          <w:szCs w:val="20"/>
        </w:rPr>
      </w:pPr>
      <w:r w:rsidRPr="006F2B6D">
        <w:rPr>
          <w:szCs w:val="20"/>
        </w:rPr>
        <w:fldChar w:fldCharType="begin">
          <w:ffData>
            <w:name w:val="Check2"/>
            <w:enabled/>
            <w:calcOnExit w:val="0"/>
            <w:checkBox>
              <w:sizeAuto/>
              <w:default w:val="0"/>
            </w:checkBox>
          </w:ffData>
        </w:fldChar>
      </w:r>
      <w:r w:rsidRPr="006F2B6D">
        <w:rPr>
          <w:szCs w:val="20"/>
        </w:rPr>
        <w:instrText xml:space="preserve"> FORMCHECKBOX </w:instrText>
      </w:r>
      <w:r w:rsidR="00027348">
        <w:rPr>
          <w:szCs w:val="20"/>
        </w:rPr>
      </w:r>
      <w:r w:rsidR="00027348">
        <w:rPr>
          <w:szCs w:val="20"/>
        </w:rPr>
        <w:fldChar w:fldCharType="separate"/>
      </w:r>
      <w:r w:rsidRPr="006F2B6D">
        <w:rPr>
          <w:szCs w:val="20"/>
        </w:rPr>
        <w:fldChar w:fldCharType="end"/>
      </w:r>
      <w:r w:rsidRPr="006F2B6D">
        <w:rPr>
          <w:szCs w:val="20"/>
        </w:rPr>
        <w:t xml:space="preserve"> No  </w:t>
      </w:r>
    </w:p>
    <w:p w14:paraId="72DC673D" w14:textId="77777777" w:rsidR="00EC127A" w:rsidRPr="006F2B6D" w:rsidRDefault="000E5439" w:rsidP="00530204">
      <w:pPr>
        <w:pStyle w:val="Heading2"/>
        <w:numPr>
          <w:ilvl w:val="0"/>
          <w:numId w:val="25"/>
        </w:numPr>
      </w:pPr>
      <w:r w:rsidRPr="006F2B6D">
        <w:t xml:space="preserve">If yes, </w:t>
      </w:r>
      <w:r w:rsidR="00BB003A" w:rsidRPr="006F2B6D">
        <w:t>please list</w:t>
      </w:r>
      <w:r w:rsidRPr="006F2B6D">
        <w:t xml:space="preserve"> the</w:t>
      </w:r>
      <w:r w:rsidR="00BB003A" w:rsidRPr="006F2B6D">
        <w:t xml:space="preserve"> relevant</w:t>
      </w:r>
      <w:r w:rsidRPr="006F2B6D">
        <w:t xml:space="preserve"> PBS </w:t>
      </w:r>
      <w:r w:rsidR="001E23EA" w:rsidRPr="006F2B6D">
        <w:t>item code</w:t>
      </w:r>
      <w:r w:rsidRPr="006F2B6D">
        <w:t>(s)</w:t>
      </w:r>
      <w:r w:rsidR="007E39E4" w:rsidRPr="006F2B6D">
        <w:t>:</w:t>
      </w:r>
    </w:p>
    <w:p w14:paraId="0C718E78" w14:textId="343FC6C8" w:rsidR="007E39E4" w:rsidRPr="006F2B6D" w:rsidRDefault="00AD1C51" w:rsidP="00A6491A">
      <w:pPr>
        <w:ind w:left="284"/>
        <w:rPr>
          <w:b/>
          <w:szCs w:val="20"/>
        </w:rPr>
      </w:pPr>
      <w:r w:rsidRPr="006F2B6D">
        <w:t>Not applicable</w:t>
      </w:r>
    </w:p>
    <w:p w14:paraId="7B733615" w14:textId="74163BDA" w:rsidR="00411735" w:rsidRPr="006F2B6D" w:rsidRDefault="00411735" w:rsidP="00530204">
      <w:pPr>
        <w:pStyle w:val="Heading2"/>
        <w:numPr>
          <w:ilvl w:val="0"/>
          <w:numId w:val="25"/>
        </w:numPr>
      </w:pPr>
      <w:r w:rsidRPr="006F2B6D">
        <w:t xml:space="preserve">If no, is an application </w:t>
      </w:r>
      <w:r w:rsidR="001E23EA" w:rsidRPr="006F2B6D">
        <w:t xml:space="preserve">(submission) </w:t>
      </w:r>
      <w:r w:rsidRPr="006F2B6D">
        <w:t xml:space="preserve">in the process of </w:t>
      </w:r>
      <w:proofErr w:type="gramStart"/>
      <w:r w:rsidRPr="006F2B6D">
        <w:t>being considered</w:t>
      </w:r>
      <w:proofErr w:type="gramEnd"/>
      <w:r w:rsidRPr="006F2B6D">
        <w:t xml:space="preserve"> by the </w:t>
      </w:r>
      <w:r w:rsidR="00802553" w:rsidRPr="006F2B6D">
        <w:t>Pharmaceutical Benefits Advisory Committee (</w:t>
      </w:r>
      <w:r w:rsidRPr="006F2B6D">
        <w:t>PBAC</w:t>
      </w:r>
      <w:r w:rsidR="00802553" w:rsidRPr="006F2B6D">
        <w:t>)</w:t>
      </w:r>
      <w:r w:rsidRPr="006F2B6D">
        <w:t>?</w:t>
      </w:r>
    </w:p>
    <w:p w14:paraId="140322CB" w14:textId="12893FE4" w:rsidR="00AD1C51" w:rsidRPr="006F2B6D" w:rsidRDefault="00AD1C51" w:rsidP="00AD1C51">
      <w:r w:rsidRPr="006F2B6D">
        <w:t xml:space="preserve">      Not applicable</w:t>
      </w:r>
    </w:p>
    <w:p w14:paraId="0DEEAF14" w14:textId="77777777" w:rsidR="007E39E4" w:rsidRPr="006F2B6D" w:rsidRDefault="007E39E4" w:rsidP="00A6491A">
      <w:pPr>
        <w:spacing w:before="0" w:after="0"/>
        <w:ind w:left="284"/>
        <w:rPr>
          <w:szCs w:val="20"/>
        </w:rPr>
      </w:pPr>
      <w:r w:rsidRPr="006F2B6D">
        <w:rPr>
          <w:szCs w:val="20"/>
        </w:rPr>
        <w:fldChar w:fldCharType="begin">
          <w:ffData>
            <w:name w:val="Check1"/>
            <w:enabled/>
            <w:calcOnExit w:val="0"/>
            <w:checkBox>
              <w:sizeAuto/>
              <w:default w:val="0"/>
            </w:checkBox>
          </w:ffData>
        </w:fldChar>
      </w:r>
      <w:r w:rsidRPr="006F2B6D">
        <w:rPr>
          <w:szCs w:val="20"/>
        </w:rPr>
        <w:instrText xml:space="preserve"> FORMCHECKBOX </w:instrText>
      </w:r>
      <w:r w:rsidR="00027348">
        <w:rPr>
          <w:szCs w:val="20"/>
        </w:rPr>
      </w:r>
      <w:r w:rsidR="00027348">
        <w:rPr>
          <w:szCs w:val="20"/>
        </w:rPr>
        <w:fldChar w:fldCharType="separate"/>
      </w:r>
      <w:r w:rsidRPr="006F2B6D">
        <w:rPr>
          <w:szCs w:val="20"/>
        </w:rPr>
        <w:fldChar w:fldCharType="end"/>
      </w:r>
      <w:r w:rsidRPr="006F2B6D">
        <w:rPr>
          <w:szCs w:val="20"/>
        </w:rPr>
        <w:t xml:space="preserve"> Yes</w:t>
      </w:r>
      <w:r w:rsidR="001E6919" w:rsidRPr="006F2B6D">
        <w:rPr>
          <w:szCs w:val="20"/>
        </w:rPr>
        <w:t xml:space="preserve"> (please provide PBAC submission item number below)</w:t>
      </w:r>
    </w:p>
    <w:p w14:paraId="18BF5807" w14:textId="77777777" w:rsidR="001E6919" w:rsidRPr="006F2B6D" w:rsidRDefault="007E39E4" w:rsidP="001E6919">
      <w:pPr>
        <w:spacing w:before="0"/>
        <w:ind w:left="284"/>
        <w:rPr>
          <w:szCs w:val="20"/>
        </w:rPr>
      </w:pPr>
      <w:r w:rsidRPr="006F2B6D">
        <w:rPr>
          <w:szCs w:val="20"/>
        </w:rPr>
        <w:fldChar w:fldCharType="begin">
          <w:ffData>
            <w:name w:val="Check2"/>
            <w:enabled/>
            <w:calcOnExit w:val="0"/>
            <w:checkBox>
              <w:sizeAuto/>
              <w:default w:val="0"/>
            </w:checkBox>
          </w:ffData>
        </w:fldChar>
      </w:r>
      <w:r w:rsidRPr="006F2B6D">
        <w:rPr>
          <w:szCs w:val="20"/>
        </w:rPr>
        <w:instrText xml:space="preserve"> FORMCHECKBOX </w:instrText>
      </w:r>
      <w:r w:rsidR="00027348">
        <w:rPr>
          <w:szCs w:val="20"/>
        </w:rPr>
      </w:r>
      <w:r w:rsidR="00027348">
        <w:rPr>
          <w:szCs w:val="20"/>
        </w:rPr>
        <w:fldChar w:fldCharType="separate"/>
      </w:r>
      <w:r w:rsidRPr="006F2B6D">
        <w:rPr>
          <w:szCs w:val="20"/>
        </w:rPr>
        <w:fldChar w:fldCharType="end"/>
      </w:r>
      <w:r w:rsidR="001E6919" w:rsidRPr="006F2B6D">
        <w:rPr>
          <w:szCs w:val="20"/>
        </w:rPr>
        <w:t xml:space="preserve"> No</w:t>
      </w:r>
    </w:p>
    <w:p w14:paraId="7FA0BC23" w14:textId="1E009FA8" w:rsidR="001E6919" w:rsidRPr="006F2B6D" w:rsidRDefault="00AD1C51" w:rsidP="00A6491A">
      <w:pPr>
        <w:spacing w:before="0" w:after="0"/>
        <w:ind w:left="284"/>
        <w:rPr>
          <w:szCs w:val="20"/>
        </w:rPr>
      </w:pPr>
      <w:r w:rsidRPr="006F2B6D">
        <w:t>Not applicable</w:t>
      </w:r>
    </w:p>
    <w:p w14:paraId="545E8260" w14:textId="18F9B951" w:rsidR="000E5439" w:rsidRPr="006F2B6D" w:rsidRDefault="000E5439" w:rsidP="00530204">
      <w:pPr>
        <w:pStyle w:val="Heading2"/>
        <w:numPr>
          <w:ilvl w:val="0"/>
          <w:numId w:val="25"/>
        </w:numPr>
      </w:pPr>
      <w:r w:rsidRPr="006F2B6D">
        <w:t>If you are seeking both MBS and PBS listing</w:t>
      </w:r>
      <w:r w:rsidR="00B75965" w:rsidRPr="006F2B6D">
        <w:t>, what is the trade name and generic name of the pharmaceutical?</w:t>
      </w:r>
    </w:p>
    <w:p w14:paraId="3F471545" w14:textId="538B8A95" w:rsidR="00AD1C51" w:rsidRPr="006F2B6D" w:rsidRDefault="00AD1C51" w:rsidP="00AD1C51">
      <w:pPr>
        <w:ind w:firstLine="284"/>
      </w:pPr>
      <w:r w:rsidRPr="006F2B6D">
        <w:t>Not applicable</w:t>
      </w:r>
    </w:p>
    <w:p w14:paraId="52893CF7" w14:textId="45BDB98E" w:rsidR="00B75965" w:rsidRDefault="006F2B6D" w:rsidP="00530204">
      <w:pPr>
        <w:pStyle w:val="Heading2"/>
      </w:pPr>
      <w:r>
        <w:t xml:space="preserve"> </w:t>
      </w:r>
      <w:r w:rsidR="00530204">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75F4ADB0" w14:textId="709DD02C" w:rsidR="001E6958" w:rsidRDefault="00AD1C51"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27348">
        <w:rPr>
          <w:szCs w:val="20"/>
        </w:rPr>
      </w:r>
      <w:r w:rsidR="00027348">
        <w:rPr>
          <w:szCs w:val="20"/>
        </w:rPr>
        <w:fldChar w:fldCharType="separate"/>
      </w:r>
      <w:r>
        <w:rPr>
          <w:szCs w:val="20"/>
        </w:rPr>
        <w:fldChar w:fldCharType="end"/>
      </w:r>
      <w:r w:rsidR="001E6958" w:rsidRPr="000A5B32">
        <w:rPr>
          <w:szCs w:val="20"/>
        </w:rPr>
        <w:t xml:space="preserve"> Yes</w:t>
      </w:r>
    </w:p>
    <w:p w14:paraId="46B83C10" w14:textId="68D9D4CC" w:rsidR="001E6958" w:rsidRDefault="00AD1C51"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27348">
        <w:rPr>
          <w:szCs w:val="20"/>
        </w:rPr>
      </w:r>
      <w:r w:rsidR="00027348">
        <w:rPr>
          <w:szCs w:val="20"/>
        </w:rPr>
        <w:fldChar w:fldCharType="separate"/>
      </w:r>
      <w:r>
        <w:rPr>
          <w:szCs w:val="20"/>
        </w:rPr>
        <w:fldChar w:fldCharType="end"/>
      </w:r>
      <w:r w:rsidR="001E6958">
        <w:rPr>
          <w:szCs w:val="20"/>
        </w:rPr>
        <w:t xml:space="preserve"> No  </w:t>
      </w:r>
    </w:p>
    <w:p w14:paraId="73BF9EB5" w14:textId="77777777" w:rsidR="00AD1C51" w:rsidRDefault="00AD1C51" w:rsidP="00A6491A">
      <w:pPr>
        <w:spacing w:before="0" w:after="0"/>
        <w:ind w:left="284"/>
        <w:rPr>
          <w:szCs w:val="20"/>
        </w:rPr>
      </w:pPr>
    </w:p>
    <w:p w14:paraId="76FFF881" w14:textId="157E81C6" w:rsidR="000B6DB9" w:rsidRPr="006F2B6D" w:rsidRDefault="00AD1C51" w:rsidP="00A6491A">
      <w:pPr>
        <w:spacing w:before="0" w:after="0"/>
        <w:ind w:left="284"/>
        <w:rPr>
          <w:szCs w:val="20"/>
        </w:rPr>
      </w:pPr>
      <w:r w:rsidRPr="006F2B6D">
        <w:rPr>
          <w:szCs w:val="20"/>
        </w:rPr>
        <w:t>The service</w:t>
      </w:r>
      <w:r w:rsidR="003230CB" w:rsidRPr="006F2B6D">
        <w:rPr>
          <w:szCs w:val="20"/>
        </w:rPr>
        <w:t>s</w:t>
      </w:r>
      <w:r w:rsidRPr="006F2B6D">
        <w:rPr>
          <w:szCs w:val="20"/>
        </w:rPr>
        <w:t xml:space="preserve"> </w:t>
      </w:r>
      <w:r w:rsidR="003230CB" w:rsidRPr="006F2B6D">
        <w:rPr>
          <w:szCs w:val="20"/>
        </w:rPr>
        <w:t xml:space="preserve">are </w:t>
      </w:r>
      <w:r w:rsidRPr="006F2B6D">
        <w:rPr>
          <w:szCs w:val="20"/>
        </w:rPr>
        <w:t xml:space="preserve">reliant on either </w:t>
      </w:r>
      <w:proofErr w:type="gramStart"/>
      <w:r w:rsidRPr="006F2B6D">
        <w:rPr>
          <w:szCs w:val="20"/>
        </w:rPr>
        <w:t>micro bypass stent systems</w:t>
      </w:r>
      <w:proofErr w:type="gramEnd"/>
      <w:r w:rsidRPr="006F2B6D">
        <w:rPr>
          <w:szCs w:val="20"/>
        </w:rPr>
        <w:t xml:space="preserve"> or </w:t>
      </w:r>
      <w:r w:rsidR="00006F2C" w:rsidRPr="006F2B6D">
        <w:t>h</w:t>
      </w:r>
      <w:r w:rsidR="00C3367C" w:rsidRPr="006F2B6D">
        <w:t xml:space="preserve">igh molecular weight OVD </w:t>
      </w:r>
      <w:r w:rsidR="00E06000">
        <w:t xml:space="preserve">when using </w:t>
      </w:r>
      <w:proofErr w:type="spellStart"/>
      <w:r w:rsidR="00E06000">
        <w:t>micro</w:t>
      </w:r>
      <w:r w:rsidR="00006F2C" w:rsidRPr="006F2B6D">
        <w:t>catheters</w:t>
      </w:r>
      <w:proofErr w:type="spellEnd"/>
      <w:r w:rsidR="00006F2C" w:rsidRPr="006F2B6D">
        <w:t xml:space="preserve">. </w:t>
      </w:r>
    </w:p>
    <w:p w14:paraId="2FCF2158" w14:textId="77777777" w:rsidR="000B6DB9" w:rsidRPr="006F2B6D" w:rsidRDefault="000B6DB9" w:rsidP="00A6491A">
      <w:pPr>
        <w:spacing w:before="0" w:after="0"/>
        <w:ind w:left="284"/>
        <w:rPr>
          <w:szCs w:val="20"/>
        </w:rPr>
      </w:pPr>
    </w:p>
    <w:p w14:paraId="456A1F27" w14:textId="77777777" w:rsidR="003230CB" w:rsidRPr="006F2B6D" w:rsidRDefault="000B6DB9" w:rsidP="00A6491A">
      <w:pPr>
        <w:spacing w:before="0" w:after="0"/>
        <w:ind w:left="284"/>
        <w:rPr>
          <w:szCs w:val="20"/>
        </w:rPr>
      </w:pPr>
      <w:r w:rsidRPr="006F2B6D">
        <w:rPr>
          <w:szCs w:val="20"/>
        </w:rPr>
        <w:t xml:space="preserve">There is one known </w:t>
      </w:r>
      <w:proofErr w:type="spellStart"/>
      <w:r w:rsidRPr="006F2B6D">
        <w:rPr>
          <w:szCs w:val="20"/>
        </w:rPr>
        <w:t>microcatheter</w:t>
      </w:r>
      <w:proofErr w:type="spellEnd"/>
      <w:r w:rsidRPr="006F2B6D">
        <w:rPr>
          <w:szCs w:val="20"/>
        </w:rPr>
        <w:t xml:space="preserve"> system in use in Australia. This is the </w:t>
      </w:r>
      <w:proofErr w:type="spellStart"/>
      <w:r w:rsidRPr="006F2B6D">
        <w:rPr>
          <w:szCs w:val="20"/>
        </w:rPr>
        <w:t>iTrack</w:t>
      </w:r>
      <w:proofErr w:type="spellEnd"/>
      <w:r w:rsidRPr="006F2B6D">
        <w:rPr>
          <w:szCs w:val="20"/>
        </w:rPr>
        <w:t xml:space="preserve"> Surgical System</w:t>
      </w:r>
      <w:r w:rsidR="002D7225" w:rsidRPr="006F2B6D">
        <w:rPr>
          <w:szCs w:val="20"/>
        </w:rPr>
        <w:t>.</w:t>
      </w:r>
      <w:r w:rsidR="00006F2C" w:rsidRPr="006F2B6D">
        <w:rPr>
          <w:szCs w:val="20"/>
        </w:rPr>
        <w:t xml:space="preserve"> </w:t>
      </w:r>
      <w:proofErr w:type="spellStart"/>
      <w:r w:rsidR="00006F2C" w:rsidRPr="006F2B6D">
        <w:rPr>
          <w:szCs w:val="20"/>
        </w:rPr>
        <w:t>Microcathetors</w:t>
      </w:r>
      <w:proofErr w:type="spellEnd"/>
      <w:r w:rsidR="00006F2C" w:rsidRPr="006F2B6D">
        <w:rPr>
          <w:szCs w:val="20"/>
        </w:rPr>
        <w:t xml:space="preserve"> are not included on the Prosthesis list.</w:t>
      </w:r>
    </w:p>
    <w:p w14:paraId="0144DF9F" w14:textId="77777777" w:rsidR="001E6919" w:rsidRPr="001E6958" w:rsidRDefault="001E6919" w:rsidP="00A6491A">
      <w:pPr>
        <w:spacing w:before="0" w:after="0"/>
        <w:ind w:left="284"/>
        <w:rPr>
          <w:szCs w:val="20"/>
        </w:rPr>
      </w:pPr>
    </w:p>
    <w:p w14:paraId="4A4384FE" w14:textId="0E4F4B69"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1B51E0E3" w14:textId="0467B321" w:rsidR="001E6958" w:rsidRPr="006F2B6D" w:rsidRDefault="001E6958" w:rsidP="00027348">
      <w:pPr>
        <w:spacing w:after="0"/>
        <w:ind w:left="284"/>
      </w:pPr>
      <w:bookmarkStart w:id="4" w:name="_Hlk43800008"/>
      <w:r w:rsidRPr="006F2B6D">
        <w:t xml:space="preserve">Billing code(s): </w:t>
      </w:r>
      <w:r w:rsidR="00CC2160" w:rsidRPr="006F2B6D">
        <w:t>ER501</w:t>
      </w:r>
    </w:p>
    <w:p w14:paraId="2F2D36E3" w14:textId="56EB210D" w:rsidR="001E6958" w:rsidRPr="006F2B6D" w:rsidRDefault="001E6958" w:rsidP="00A6491A">
      <w:pPr>
        <w:spacing w:before="0" w:after="0"/>
        <w:ind w:left="284"/>
      </w:pPr>
      <w:r w:rsidRPr="006F2B6D">
        <w:t xml:space="preserve">Trade name of prostheses: </w:t>
      </w:r>
      <w:r w:rsidR="00CC2160" w:rsidRPr="006F2B6D">
        <w:t xml:space="preserve">Hydrus </w:t>
      </w:r>
      <w:proofErr w:type="spellStart"/>
      <w:r w:rsidR="00CC2160" w:rsidRPr="006F2B6D">
        <w:t>Microstent</w:t>
      </w:r>
      <w:proofErr w:type="spellEnd"/>
    </w:p>
    <w:p w14:paraId="749F74CF" w14:textId="65148C52" w:rsidR="001E6958" w:rsidRPr="006F2B6D" w:rsidRDefault="001E6958" w:rsidP="00A6491A">
      <w:pPr>
        <w:spacing w:before="0" w:after="0"/>
        <w:ind w:left="284"/>
      </w:pPr>
      <w:r w:rsidRPr="006F2B6D">
        <w:t xml:space="preserve">Clinical name of prostheses: </w:t>
      </w:r>
      <w:r w:rsidR="00CC2160" w:rsidRPr="006F2B6D">
        <w:t xml:space="preserve">Hydrus </w:t>
      </w:r>
      <w:proofErr w:type="spellStart"/>
      <w:r w:rsidR="00CC2160" w:rsidRPr="006F2B6D">
        <w:t>Microstent</w:t>
      </w:r>
      <w:proofErr w:type="spellEnd"/>
    </w:p>
    <w:p w14:paraId="7F2688E8" w14:textId="19529527" w:rsidR="00CC2160" w:rsidRPr="006F2B6D" w:rsidRDefault="001E6958" w:rsidP="00027348">
      <w:pPr>
        <w:spacing w:before="0" w:after="0"/>
        <w:ind w:left="284"/>
      </w:pPr>
      <w:r w:rsidRPr="006F2B6D">
        <w:t xml:space="preserve">Other device components delivered as part of the service: </w:t>
      </w:r>
    </w:p>
    <w:bookmarkEnd w:id="4"/>
    <w:p w14:paraId="1FA2DA79" w14:textId="2A612347" w:rsidR="00CC2160" w:rsidRPr="006F2B6D" w:rsidRDefault="00CC2160" w:rsidP="00027348">
      <w:pPr>
        <w:spacing w:after="0"/>
        <w:ind w:left="284"/>
      </w:pPr>
      <w:r w:rsidRPr="006F2B6D">
        <w:t>Billing code(s): RQ075</w:t>
      </w:r>
    </w:p>
    <w:p w14:paraId="45A42734" w14:textId="0CC8E893" w:rsidR="00CC2160" w:rsidRPr="006F2B6D" w:rsidRDefault="00CC2160" w:rsidP="00CC2160">
      <w:pPr>
        <w:spacing w:before="0" w:after="0"/>
        <w:ind w:left="284"/>
      </w:pPr>
      <w:r w:rsidRPr="006F2B6D">
        <w:t xml:space="preserve">Trade name of prostheses: </w:t>
      </w:r>
      <w:proofErr w:type="spellStart"/>
      <w:r w:rsidRPr="006F2B6D">
        <w:t>iStent</w:t>
      </w:r>
      <w:proofErr w:type="spellEnd"/>
      <w:r w:rsidRPr="006F2B6D">
        <w:t xml:space="preserve"> Inject System</w:t>
      </w:r>
    </w:p>
    <w:p w14:paraId="4580C829" w14:textId="7529E441" w:rsidR="00CC2160" w:rsidRPr="006F2B6D" w:rsidRDefault="00CC2160" w:rsidP="00CC2160">
      <w:pPr>
        <w:spacing w:before="0" w:after="0"/>
        <w:ind w:left="284"/>
      </w:pPr>
      <w:r w:rsidRPr="006F2B6D">
        <w:t xml:space="preserve">Clinical name of prostheses: </w:t>
      </w:r>
      <w:proofErr w:type="spellStart"/>
      <w:r w:rsidRPr="006F2B6D">
        <w:t>iStent</w:t>
      </w:r>
      <w:proofErr w:type="spellEnd"/>
      <w:r w:rsidRPr="006F2B6D">
        <w:t xml:space="preserve"> Inject System</w:t>
      </w:r>
    </w:p>
    <w:p w14:paraId="2F9F50FA" w14:textId="33850DE1" w:rsidR="00CC2160" w:rsidRPr="006F2B6D" w:rsidRDefault="00CC2160" w:rsidP="00027348">
      <w:pPr>
        <w:spacing w:before="0" w:after="0"/>
        <w:ind w:left="284"/>
      </w:pPr>
      <w:r w:rsidRPr="006F2B6D">
        <w:t>Other device components delivered as part of the service: Preloaded injection system</w:t>
      </w:r>
    </w:p>
    <w:p w14:paraId="59588941" w14:textId="112C6652" w:rsidR="00CC2160" w:rsidRPr="006F2B6D" w:rsidRDefault="00CC2160" w:rsidP="00027348">
      <w:pPr>
        <w:spacing w:after="0"/>
        <w:ind w:left="284"/>
      </w:pPr>
      <w:r w:rsidRPr="006F2B6D">
        <w:t>Billing code(s): RQ084</w:t>
      </w:r>
    </w:p>
    <w:p w14:paraId="34967A46" w14:textId="0D1AB90F" w:rsidR="00CC2160" w:rsidRPr="006F2B6D" w:rsidRDefault="00CC2160" w:rsidP="00CC2160">
      <w:pPr>
        <w:spacing w:before="0" w:after="0"/>
        <w:ind w:left="284"/>
      </w:pPr>
      <w:r w:rsidRPr="006F2B6D">
        <w:t xml:space="preserve">Trade name of prostheses: </w:t>
      </w:r>
      <w:proofErr w:type="spellStart"/>
      <w:r w:rsidRPr="006F2B6D">
        <w:t>Glaukos</w:t>
      </w:r>
      <w:proofErr w:type="spellEnd"/>
      <w:r w:rsidRPr="006F2B6D">
        <w:t xml:space="preserve"> </w:t>
      </w:r>
      <w:proofErr w:type="spellStart"/>
      <w:r w:rsidRPr="006F2B6D">
        <w:t>iS</w:t>
      </w:r>
      <w:r w:rsidR="007D3AC9" w:rsidRPr="006F2B6D">
        <w:t>t</w:t>
      </w:r>
      <w:r w:rsidRPr="006F2B6D">
        <w:t>ent</w:t>
      </w:r>
      <w:proofErr w:type="spellEnd"/>
      <w:r w:rsidRPr="006F2B6D">
        <w:t xml:space="preserve"> Inject W S</w:t>
      </w:r>
    </w:p>
    <w:p w14:paraId="0BDDAC58" w14:textId="080D0347" w:rsidR="00CC2160" w:rsidRPr="006F2B6D" w:rsidRDefault="00CC2160" w:rsidP="00CC2160">
      <w:pPr>
        <w:spacing w:before="0" w:after="0"/>
        <w:ind w:left="284"/>
      </w:pPr>
      <w:r w:rsidRPr="006F2B6D">
        <w:t xml:space="preserve">Clinical name of prostheses: </w:t>
      </w:r>
      <w:proofErr w:type="spellStart"/>
      <w:r w:rsidRPr="006F2B6D">
        <w:t>iStent</w:t>
      </w:r>
      <w:proofErr w:type="spellEnd"/>
      <w:r w:rsidRPr="006F2B6D">
        <w:t xml:space="preserve"> Inject System</w:t>
      </w:r>
      <w:r w:rsidR="007D3AC9" w:rsidRPr="006F2B6D">
        <w:t xml:space="preserve"> W S</w:t>
      </w:r>
    </w:p>
    <w:p w14:paraId="23178BBD" w14:textId="0D512C9E" w:rsidR="00CC2160" w:rsidRPr="006F2B6D" w:rsidRDefault="00CC2160" w:rsidP="00027348">
      <w:pPr>
        <w:spacing w:before="0" w:after="0"/>
        <w:ind w:left="284"/>
      </w:pPr>
      <w:r w:rsidRPr="006F2B6D">
        <w:t>Other device components delivered as part of the service: Preloaded injection system</w:t>
      </w:r>
    </w:p>
    <w:p w14:paraId="300A8AB0" w14:textId="5C320227" w:rsidR="008F165C" w:rsidRPr="006F2B6D" w:rsidRDefault="008F165C" w:rsidP="00027348">
      <w:pPr>
        <w:spacing w:after="0"/>
        <w:ind w:left="284"/>
      </w:pPr>
      <w:r w:rsidRPr="006F2B6D">
        <w:t>Billing code(s): AO008</w:t>
      </w:r>
    </w:p>
    <w:p w14:paraId="1F773CE9" w14:textId="062FCE2A" w:rsidR="008F165C" w:rsidRPr="006F2B6D" w:rsidRDefault="008F165C" w:rsidP="008F165C">
      <w:pPr>
        <w:spacing w:before="0" w:after="0"/>
        <w:ind w:left="284"/>
      </w:pPr>
      <w:r w:rsidRPr="006F2B6D">
        <w:t xml:space="preserve">Trade name of prostheses: </w:t>
      </w:r>
      <w:proofErr w:type="spellStart"/>
      <w:r w:rsidRPr="006F2B6D">
        <w:t>Healon</w:t>
      </w:r>
      <w:proofErr w:type="spellEnd"/>
      <w:r w:rsidRPr="006F2B6D">
        <w:t>, Intraocular Viscoelastic fluid</w:t>
      </w:r>
    </w:p>
    <w:p w14:paraId="3C68683F" w14:textId="0FFF00BC" w:rsidR="008F165C" w:rsidRPr="006F2B6D" w:rsidRDefault="008F165C" w:rsidP="008F165C">
      <w:pPr>
        <w:spacing w:before="0" w:after="0"/>
        <w:ind w:left="284"/>
      </w:pPr>
      <w:r w:rsidRPr="006F2B6D">
        <w:t xml:space="preserve">Clinical name of prostheses: Sodium </w:t>
      </w:r>
      <w:proofErr w:type="spellStart"/>
      <w:r w:rsidRPr="006F2B6D">
        <w:t>Hyaluronate</w:t>
      </w:r>
      <w:proofErr w:type="spellEnd"/>
    </w:p>
    <w:p w14:paraId="5D696AF2" w14:textId="774C9301" w:rsidR="008F165C" w:rsidRPr="006F2B6D" w:rsidRDefault="008F165C" w:rsidP="00027348">
      <w:pPr>
        <w:spacing w:before="0" w:after="0"/>
        <w:ind w:left="284"/>
      </w:pPr>
      <w:r w:rsidRPr="006F2B6D">
        <w:t xml:space="preserve">Other device components delivered as part of the service: </w:t>
      </w:r>
    </w:p>
    <w:p w14:paraId="1503DCDE" w14:textId="2A7BECDA" w:rsidR="008F165C" w:rsidRPr="006F2B6D" w:rsidRDefault="008F165C" w:rsidP="00027348">
      <w:pPr>
        <w:spacing w:after="0"/>
        <w:ind w:left="284"/>
      </w:pPr>
      <w:r w:rsidRPr="006F2B6D">
        <w:t>Billing code(s): AO0</w:t>
      </w:r>
      <w:r w:rsidR="004C2F66" w:rsidRPr="006F2B6D">
        <w:t>10</w:t>
      </w:r>
      <w:bookmarkStart w:id="5" w:name="_GoBack"/>
      <w:bookmarkEnd w:id="5"/>
    </w:p>
    <w:p w14:paraId="503D0099" w14:textId="6F3A37AA" w:rsidR="008F165C" w:rsidRPr="006F2B6D" w:rsidRDefault="008F165C" w:rsidP="008F165C">
      <w:pPr>
        <w:spacing w:before="0" w:after="0"/>
        <w:ind w:left="284"/>
      </w:pPr>
      <w:r w:rsidRPr="006F2B6D">
        <w:t xml:space="preserve">Trade name of prostheses: </w:t>
      </w:r>
      <w:proofErr w:type="spellStart"/>
      <w:r w:rsidRPr="006F2B6D">
        <w:t>Healon</w:t>
      </w:r>
      <w:proofErr w:type="spellEnd"/>
      <w:r w:rsidRPr="006F2B6D">
        <w:t xml:space="preserve"> </w:t>
      </w:r>
      <w:r w:rsidR="004C2F66" w:rsidRPr="006F2B6D">
        <w:t>GV</w:t>
      </w:r>
      <w:r w:rsidRPr="006F2B6D">
        <w:t>, Intraocular Viscoelastic fluid</w:t>
      </w:r>
    </w:p>
    <w:p w14:paraId="4F4CC027" w14:textId="77777777" w:rsidR="008F165C" w:rsidRPr="006F2B6D" w:rsidRDefault="008F165C" w:rsidP="008F165C">
      <w:pPr>
        <w:spacing w:before="0" w:after="0"/>
        <w:ind w:left="284"/>
      </w:pPr>
      <w:r w:rsidRPr="006F2B6D">
        <w:t xml:space="preserve">Clinical name of prostheses: Sodium </w:t>
      </w:r>
      <w:proofErr w:type="spellStart"/>
      <w:r w:rsidRPr="006F2B6D">
        <w:t>Hyaluronate</w:t>
      </w:r>
      <w:proofErr w:type="spellEnd"/>
    </w:p>
    <w:p w14:paraId="4E747873" w14:textId="77777777" w:rsidR="008F165C" w:rsidRPr="006F2B6D" w:rsidRDefault="008F165C" w:rsidP="008F165C">
      <w:pPr>
        <w:spacing w:before="0" w:after="0"/>
        <w:ind w:left="284"/>
      </w:pPr>
      <w:r w:rsidRPr="006F2B6D">
        <w:t xml:space="preserve">Other device components delivered as part of the service: </w:t>
      </w:r>
    </w:p>
    <w:p w14:paraId="653DBD46" w14:textId="77777777" w:rsidR="008F165C" w:rsidRPr="001E6958" w:rsidRDefault="008F165C" w:rsidP="008F165C">
      <w:pPr>
        <w:spacing w:before="0" w:after="0"/>
        <w:ind w:left="284"/>
      </w:pPr>
    </w:p>
    <w:p w14:paraId="08E80498" w14:textId="6BA05645" w:rsidR="00411735" w:rsidRDefault="00411735" w:rsidP="00530204">
      <w:pPr>
        <w:pStyle w:val="Heading2"/>
        <w:numPr>
          <w:ilvl w:val="0"/>
          <w:numId w:val="26"/>
        </w:numPr>
      </w:pPr>
      <w:bookmarkStart w:id="6" w:name="_Hlk45525725"/>
      <w:r w:rsidRPr="001E6958">
        <w:t xml:space="preserve">If no, is an application in the process of </w:t>
      </w:r>
      <w:proofErr w:type="gramStart"/>
      <w:r w:rsidRPr="001E6958">
        <w:t>being considered</w:t>
      </w:r>
      <w:proofErr w:type="gramEnd"/>
      <w:r w:rsidRPr="001E6958">
        <w:t xml:space="preserve">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bookmarkEnd w:id="6"/>
    <w:p w14:paraId="011A890F" w14:textId="66F66AD9" w:rsidR="00AD1C51" w:rsidRPr="00AD1C51" w:rsidRDefault="00AD1C51" w:rsidP="00AD1C51">
      <w:pPr>
        <w:ind w:left="284"/>
      </w:pPr>
      <w:r>
        <w:t>Not applicable</w:t>
      </w:r>
    </w:p>
    <w:p w14:paraId="4804DF42"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27348">
        <w:rPr>
          <w:szCs w:val="20"/>
        </w:rPr>
      </w:r>
      <w:r w:rsidR="00027348">
        <w:rPr>
          <w:szCs w:val="20"/>
        </w:rPr>
        <w:fldChar w:fldCharType="separate"/>
      </w:r>
      <w:r w:rsidRPr="000A5B32">
        <w:rPr>
          <w:szCs w:val="20"/>
        </w:rPr>
        <w:fldChar w:fldCharType="end"/>
      </w:r>
      <w:r w:rsidRPr="000A5B32">
        <w:rPr>
          <w:szCs w:val="20"/>
        </w:rPr>
        <w:t xml:space="preserve"> Yes</w:t>
      </w:r>
    </w:p>
    <w:p w14:paraId="7DF5CEF9"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027348">
        <w:rPr>
          <w:szCs w:val="20"/>
        </w:rPr>
      </w:r>
      <w:r w:rsidR="00027348">
        <w:rPr>
          <w:szCs w:val="20"/>
        </w:rPr>
        <w:fldChar w:fldCharType="separate"/>
      </w:r>
      <w:r w:rsidRPr="000A5B32">
        <w:rPr>
          <w:szCs w:val="20"/>
        </w:rPr>
        <w:fldChar w:fldCharType="end"/>
      </w:r>
      <w:r>
        <w:rPr>
          <w:szCs w:val="20"/>
        </w:rPr>
        <w:t xml:space="preserve"> No  </w:t>
      </w:r>
    </w:p>
    <w:p w14:paraId="5A122B27"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 xml:space="preserve">s or device component in the Australian market </w:t>
      </w:r>
      <w:proofErr w:type="gramStart"/>
      <w:r w:rsidRPr="009939DC">
        <w:t>place which</w:t>
      </w:r>
      <w:proofErr w:type="gramEnd"/>
      <w:r w:rsidRPr="009939DC">
        <w:t xml:space="preserve"> this application is relevant to?</w:t>
      </w:r>
    </w:p>
    <w:p w14:paraId="060E6B63"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27348">
        <w:rPr>
          <w:szCs w:val="20"/>
        </w:rPr>
      </w:r>
      <w:r w:rsidR="00027348">
        <w:rPr>
          <w:szCs w:val="20"/>
        </w:rPr>
        <w:fldChar w:fldCharType="separate"/>
      </w:r>
      <w:r w:rsidRPr="000A5B32">
        <w:rPr>
          <w:szCs w:val="20"/>
        </w:rPr>
        <w:fldChar w:fldCharType="end"/>
      </w:r>
      <w:r w:rsidRPr="000A5B32">
        <w:rPr>
          <w:szCs w:val="20"/>
        </w:rPr>
        <w:t xml:space="preserve"> Yes</w:t>
      </w:r>
    </w:p>
    <w:p w14:paraId="723A5DDF" w14:textId="03C7DAA0" w:rsidR="009939DC" w:rsidRPr="001E6958" w:rsidRDefault="00AD1C51"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27348">
        <w:rPr>
          <w:szCs w:val="20"/>
        </w:rPr>
      </w:r>
      <w:r w:rsidR="00027348">
        <w:rPr>
          <w:szCs w:val="20"/>
        </w:rPr>
        <w:fldChar w:fldCharType="separate"/>
      </w:r>
      <w:r>
        <w:rPr>
          <w:szCs w:val="20"/>
        </w:rPr>
        <w:fldChar w:fldCharType="end"/>
      </w:r>
      <w:r w:rsidR="009939DC">
        <w:rPr>
          <w:szCs w:val="20"/>
        </w:rPr>
        <w:t xml:space="preserve"> No  </w:t>
      </w:r>
    </w:p>
    <w:p w14:paraId="44303AF5" w14:textId="77777777" w:rsidR="009939DC" w:rsidRPr="006F2B6D" w:rsidRDefault="00016B6E" w:rsidP="00530204">
      <w:pPr>
        <w:pStyle w:val="Heading2"/>
        <w:numPr>
          <w:ilvl w:val="0"/>
          <w:numId w:val="26"/>
        </w:numPr>
      </w:pPr>
      <w:r w:rsidRPr="006F2B6D">
        <w:t>If yes, please provide the name(s) of the spon</w:t>
      </w:r>
      <w:r w:rsidR="009939DC" w:rsidRPr="006F2B6D">
        <w:t>sor(s) and / or manufacturer(s):</w:t>
      </w:r>
    </w:p>
    <w:p w14:paraId="0952A817" w14:textId="0CD3CF64" w:rsidR="00016B6E" w:rsidRPr="006F2B6D" w:rsidRDefault="00AD1C51" w:rsidP="00A6491A">
      <w:pPr>
        <w:ind w:left="284"/>
      </w:pPr>
      <w:r w:rsidRPr="006F2B6D">
        <w:t>Not applicable</w:t>
      </w:r>
    </w:p>
    <w:p w14:paraId="43074117" w14:textId="77777777" w:rsidR="0084657B" w:rsidRPr="006F2B6D" w:rsidRDefault="00A9062D" w:rsidP="00530204">
      <w:pPr>
        <w:pStyle w:val="Heading2"/>
      </w:pPr>
      <w:proofErr w:type="gramStart"/>
      <w:r w:rsidRPr="006F2B6D">
        <w:t>P</w:t>
      </w:r>
      <w:r w:rsidR="0084657B" w:rsidRPr="006F2B6D">
        <w:t xml:space="preserve">lease identify </w:t>
      </w:r>
      <w:r w:rsidR="00E8649B" w:rsidRPr="006F2B6D">
        <w:t xml:space="preserve">any single </w:t>
      </w:r>
      <w:r w:rsidR="00016B6E" w:rsidRPr="006F2B6D">
        <w:t>and / or multi-</w:t>
      </w:r>
      <w:r w:rsidR="00E8649B" w:rsidRPr="006F2B6D">
        <w:t>use consumables</w:t>
      </w:r>
      <w:r w:rsidR="0084657B" w:rsidRPr="006F2B6D">
        <w:t xml:space="preserve"> </w:t>
      </w:r>
      <w:r w:rsidR="00E8649B" w:rsidRPr="006F2B6D">
        <w:t>delivered as part of the service?</w:t>
      </w:r>
      <w:proofErr w:type="gramEnd"/>
    </w:p>
    <w:p w14:paraId="0858D4D1" w14:textId="60073B02" w:rsidR="009939DC" w:rsidRPr="006F2B6D" w:rsidRDefault="009939DC" w:rsidP="00A6491A">
      <w:pPr>
        <w:spacing w:before="0" w:after="0"/>
        <w:ind w:left="284"/>
      </w:pPr>
      <w:r w:rsidRPr="006F2B6D">
        <w:t xml:space="preserve">Single use consumables: </w:t>
      </w:r>
      <w:r w:rsidR="000B6DB9" w:rsidRPr="006F2B6D">
        <w:t xml:space="preserve">The </w:t>
      </w:r>
      <w:proofErr w:type="spellStart"/>
      <w:r w:rsidR="000B6DB9" w:rsidRPr="006F2B6D">
        <w:t>iTrack</w:t>
      </w:r>
      <w:proofErr w:type="spellEnd"/>
      <w:r w:rsidR="000B6DB9" w:rsidRPr="006F2B6D">
        <w:t xml:space="preserve"> Surgical System is a single use device.</w:t>
      </w:r>
    </w:p>
    <w:p w14:paraId="346DCD0C" w14:textId="4C3505B1" w:rsidR="003230CB" w:rsidRPr="006F2B6D" w:rsidRDefault="009939DC" w:rsidP="00A6491A">
      <w:pPr>
        <w:spacing w:before="0" w:after="0"/>
        <w:ind w:left="284"/>
      </w:pPr>
      <w:r w:rsidRPr="006F2B6D">
        <w:t>Multi-use consumables:</w:t>
      </w:r>
      <w:r w:rsidR="006F2B6D" w:rsidRPr="006F2B6D">
        <w:t xml:space="preserve"> </w:t>
      </w:r>
      <w:r w:rsidR="00006F2C" w:rsidRPr="006F2B6D">
        <w:t>N</w:t>
      </w:r>
      <w:r w:rsidR="00641BBD" w:rsidRPr="006F2B6D">
        <w:t xml:space="preserve">ot </w:t>
      </w:r>
      <w:r w:rsidR="00006F2C" w:rsidRPr="006F2B6D">
        <w:t>A</w:t>
      </w:r>
      <w:r w:rsidR="00641BBD" w:rsidRPr="006F2B6D">
        <w:t>pplicable</w:t>
      </w:r>
    </w:p>
    <w:p w14:paraId="52E91803" w14:textId="2FAA5439" w:rsidR="00F301F1" w:rsidRPr="00855944" w:rsidRDefault="00F301F1" w:rsidP="00A6491A">
      <w:pPr>
        <w:spacing w:before="0" w:after="0"/>
        <w:ind w:left="284"/>
      </w:pPr>
      <w:r w:rsidRPr="00855944">
        <w:br w:type="page"/>
      </w:r>
    </w:p>
    <w:p w14:paraId="534B0CDF"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0139A26E"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1B18FA27" w14:textId="5EBD881B" w:rsidR="00A26343" w:rsidRPr="00A26343" w:rsidRDefault="00A26343" w:rsidP="00A6491A">
      <w:pPr>
        <w:spacing w:before="0" w:after="0"/>
        <w:ind w:left="284"/>
        <w:rPr>
          <w:szCs w:val="20"/>
        </w:rPr>
      </w:pPr>
      <w:r w:rsidRPr="00A26343">
        <w:rPr>
          <w:szCs w:val="20"/>
        </w:rPr>
        <w:t>Type of therapeutic good</w:t>
      </w:r>
      <w:r w:rsidRPr="00B15059">
        <w:rPr>
          <w:color w:val="1F497D" w:themeColor="text2"/>
          <w:szCs w:val="20"/>
        </w:rPr>
        <w:t xml:space="preserve">: </w:t>
      </w:r>
      <w:r w:rsidR="00691E64" w:rsidRPr="00B15059">
        <w:rPr>
          <w:color w:val="1F497D" w:themeColor="text2"/>
          <w:szCs w:val="20"/>
        </w:rPr>
        <w:t xml:space="preserve">Ophthalmic </w:t>
      </w:r>
      <w:proofErr w:type="spellStart"/>
      <w:r w:rsidR="00691E64" w:rsidRPr="00B15059">
        <w:rPr>
          <w:color w:val="1F497D" w:themeColor="text2"/>
          <w:szCs w:val="20"/>
        </w:rPr>
        <w:t>cannular</w:t>
      </w:r>
      <w:proofErr w:type="spellEnd"/>
      <w:r w:rsidR="00691E64" w:rsidRPr="00B15059">
        <w:rPr>
          <w:color w:val="1F497D" w:themeColor="text2"/>
          <w:szCs w:val="20"/>
        </w:rPr>
        <w:t xml:space="preserve">, irrigation/aspiration, </w:t>
      </w:r>
      <w:proofErr w:type="spellStart"/>
      <w:r w:rsidR="00691E64" w:rsidRPr="00B15059">
        <w:rPr>
          <w:color w:val="1F497D" w:themeColor="text2"/>
          <w:szCs w:val="20"/>
        </w:rPr>
        <w:t>fibreoptic</w:t>
      </w:r>
      <w:proofErr w:type="spellEnd"/>
      <w:r w:rsidR="00691E64" w:rsidRPr="00B15059">
        <w:rPr>
          <w:color w:val="1F497D" w:themeColor="text2"/>
          <w:szCs w:val="20"/>
        </w:rPr>
        <w:t xml:space="preserve">, </w:t>
      </w:r>
      <w:r w:rsidR="000137BD" w:rsidRPr="00B15059">
        <w:rPr>
          <w:color w:val="1F497D" w:themeColor="text2"/>
          <w:szCs w:val="20"/>
        </w:rPr>
        <w:t>single use</w:t>
      </w:r>
    </w:p>
    <w:p w14:paraId="284179BF" w14:textId="4DA2318D" w:rsidR="00A26343" w:rsidRPr="00B15059" w:rsidRDefault="00A26343" w:rsidP="00A6491A">
      <w:pPr>
        <w:spacing w:before="0" w:after="0"/>
        <w:ind w:left="284"/>
        <w:rPr>
          <w:color w:val="1F497D" w:themeColor="text2"/>
          <w:szCs w:val="20"/>
        </w:rPr>
      </w:pPr>
      <w:r w:rsidRPr="00A26343">
        <w:rPr>
          <w:szCs w:val="20"/>
        </w:rPr>
        <w:t>Manufacturer’s name</w:t>
      </w:r>
      <w:r>
        <w:rPr>
          <w:szCs w:val="20"/>
        </w:rPr>
        <w:t xml:space="preserve">: </w:t>
      </w:r>
      <w:proofErr w:type="spellStart"/>
      <w:r w:rsidR="00691E64" w:rsidRPr="00B15059">
        <w:rPr>
          <w:color w:val="1F497D" w:themeColor="text2"/>
        </w:rPr>
        <w:t>Ellex</w:t>
      </w:r>
      <w:proofErr w:type="spellEnd"/>
      <w:r w:rsidR="00691E64" w:rsidRPr="00B15059">
        <w:rPr>
          <w:color w:val="1F497D" w:themeColor="text2"/>
        </w:rPr>
        <w:t xml:space="preserve"> </w:t>
      </w:r>
      <w:proofErr w:type="spellStart"/>
      <w:r w:rsidR="00691E64" w:rsidRPr="00B15059">
        <w:rPr>
          <w:color w:val="1F497D" w:themeColor="text2"/>
        </w:rPr>
        <w:t>iScience</w:t>
      </w:r>
      <w:proofErr w:type="spellEnd"/>
      <w:r w:rsidR="00691E64" w:rsidRPr="00B15059">
        <w:rPr>
          <w:color w:val="1F497D" w:themeColor="text2"/>
        </w:rPr>
        <w:t xml:space="preserve"> </w:t>
      </w:r>
      <w:proofErr w:type="spellStart"/>
      <w:r w:rsidR="00691E64" w:rsidRPr="00B15059">
        <w:rPr>
          <w:color w:val="1F497D" w:themeColor="text2"/>
        </w:rPr>
        <w:t>Inc</w:t>
      </w:r>
      <w:proofErr w:type="spellEnd"/>
    </w:p>
    <w:p w14:paraId="72E84F9D" w14:textId="5E2660F7" w:rsidR="00A26343" w:rsidRPr="00B15059" w:rsidRDefault="00A26343" w:rsidP="00A6491A">
      <w:pPr>
        <w:spacing w:before="0" w:after="0"/>
        <w:ind w:left="284"/>
        <w:rPr>
          <w:color w:val="1F497D" w:themeColor="text2"/>
          <w:szCs w:val="20"/>
        </w:rPr>
      </w:pPr>
      <w:r w:rsidRPr="00A26343">
        <w:rPr>
          <w:szCs w:val="20"/>
        </w:rPr>
        <w:t>Sponsor’s name</w:t>
      </w:r>
      <w:r>
        <w:rPr>
          <w:szCs w:val="20"/>
        </w:rPr>
        <w:t xml:space="preserve">: </w:t>
      </w:r>
      <w:r w:rsidR="004066C3">
        <w:rPr>
          <w:color w:val="1F497D" w:themeColor="text2"/>
        </w:rPr>
        <w:t>Medical Manufacturers</w:t>
      </w:r>
      <w:r w:rsidR="00187CEB">
        <w:rPr>
          <w:color w:val="1F497D" w:themeColor="text2"/>
        </w:rPr>
        <w:t xml:space="preserve"> Pty Ltd</w:t>
      </w:r>
    </w:p>
    <w:p w14:paraId="55433D92" w14:textId="77777777" w:rsidR="005E2CE3" w:rsidRPr="00154B00" w:rsidRDefault="005E2CE3" w:rsidP="0011369B">
      <w:pPr>
        <w:pStyle w:val="Heading2"/>
        <w:numPr>
          <w:ilvl w:val="0"/>
          <w:numId w:val="27"/>
        </w:numPr>
      </w:pPr>
      <w:proofErr w:type="gramStart"/>
      <w:r>
        <w:t xml:space="preserve">Is the </w:t>
      </w:r>
      <w:r w:rsidRPr="0043654D">
        <w:t>medical</w:t>
      </w:r>
      <w:r>
        <w:t xml:space="preserve"> device classified</w:t>
      </w:r>
      <w:proofErr w:type="gramEnd"/>
      <w:r>
        <w:t xml:space="preserve"> by the TGA as either a Class III or Active Implantable Medical Device (AIMD) against the TGA regulatory scheme for devices?</w:t>
      </w:r>
    </w:p>
    <w:p w14:paraId="0F9DF21E"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27348">
        <w:rPr>
          <w:szCs w:val="20"/>
        </w:rPr>
      </w:r>
      <w:r w:rsidR="00027348">
        <w:rPr>
          <w:szCs w:val="20"/>
        </w:rPr>
        <w:fldChar w:fldCharType="separate"/>
      </w:r>
      <w:r w:rsidRPr="000A5B32">
        <w:rPr>
          <w:szCs w:val="20"/>
        </w:rPr>
        <w:fldChar w:fldCharType="end"/>
      </w:r>
      <w:r w:rsidRPr="000A5B32">
        <w:rPr>
          <w:szCs w:val="20"/>
        </w:rPr>
        <w:t xml:space="preserve"> </w:t>
      </w:r>
      <w:r w:rsidRPr="00615F42">
        <w:rPr>
          <w:szCs w:val="20"/>
        </w:rPr>
        <w:t>Class III</w:t>
      </w:r>
    </w:p>
    <w:p w14:paraId="395E27D7"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27348">
        <w:rPr>
          <w:szCs w:val="20"/>
        </w:rPr>
      </w:r>
      <w:r w:rsidR="00027348">
        <w:rPr>
          <w:szCs w:val="20"/>
        </w:rPr>
        <w:fldChar w:fldCharType="separate"/>
      </w:r>
      <w:r w:rsidRPr="000A5B32">
        <w:rPr>
          <w:szCs w:val="20"/>
        </w:rPr>
        <w:fldChar w:fldCharType="end"/>
      </w:r>
      <w:r w:rsidRPr="000A5B32">
        <w:rPr>
          <w:szCs w:val="20"/>
        </w:rPr>
        <w:t xml:space="preserve"> </w:t>
      </w:r>
      <w:r w:rsidRPr="00615F42">
        <w:rPr>
          <w:szCs w:val="20"/>
        </w:rPr>
        <w:t>AIMD</w:t>
      </w:r>
    </w:p>
    <w:p w14:paraId="6C2B2CC2" w14:textId="5F2490E3" w:rsidR="005E2CE3" w:rsidRPr="00154B00" w:rsidRDefault="00691E64"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27348">
        <w:rPr>
          <w:szCs w:val="20"/>
        </w:rPr>
      </w:r>
      <w:r w:rsidR="00027348">
        <w:rPr>
          <w:szCs w:val="20"/>
        </w:rPr>
        <w:fldChar w:fldCharType="separate"/>
      </w:r>
      <w:r>
        <w:rPr>
          <w:szCs w:val="20"/>
        </w:rPr>
        <w:fldChar w:fldCharType="end"/>
      </w:r>
      <w:r w:rsidR="00615F42" w:rsidRPr="000A5B32">
        <w:rPr>
          <w:szCs w:val="20"/>
        </w:rPr>
        <w:t xml:space="preserve"> </w:t>
      </w:r>
      <w:r w:rsidR="00615F42" w:rsidRPr="00615F42">
        <w:rPr>
          <w:szCs w:val="20"/>
        </w:rPr>
        <w:t>N/A</w:t>
      </w:r>
    </w:p>
    <w:p w14:paraId="4F60FD85"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w:t>
      </w:r>
      <w:proofErr w:type="gramStart"/>
      <w:r w:rsidR="003421AE" w:rsidRPr="00A6491A">
        <w:t>be used</w:t>
      </w:r>
      <w:proofErr w:type="gramEnd"/>
      <w:r w:rsidR="003421AE" w:rsidRPr="00A6491A">
        <w:t xml:space="preserve"> in the service exempt from the regulatory requirements of the </w:t>
      </w:r>
      <w:r w:rsidR="003421AE" w:rsidRPr="00A6491A">
        <w:rPr>
          <w:i/>
        </w:rPr>
        <w:t>Therapeutic Goods Act 1989</w:t>
      </w:r>
      <w:r w:rsidR="003421AE" w:rsidRPr="00A6491A">
        <w:t>?</w:t>
      </w:r>
    </w:p>
    <w:p w14:paraId="56EAB8A6"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27348">
        <w:rPr>
          <w:szCs w:val="20"/>
        </w:rPr>
      </w:r>
      <w:r w:rsidR="00027348">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05BA9046" w14:textId="2F8909B9" w:rsidR="003421AE" w:rsidRPr="00615F42" w:rsidRDefault="00691E64"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27348">
        <w:rPr>
          <w:szCs w:val="20"/>
        </w:rPr>
      </w:r>
      <w:r w:rsidR="00027348">
        <w:rPr>
          <w:szCs w:val="20"/>
        </w:rPr>
        <w:fldChar w:fldCharType="separate"/>
      </w:r>
      <w:r>
        <w:rPr>
          <w:szCs w:val="20"/>
        </w:rPr>
        <w:fldChar w:fldCharType="end"/>
      </w:r>
      <w:r w:rsidR="00615F42">
        <w:rPr>
          <w:szCs w:val="20"/>
        </w:rPr>
        <w:t xml:space="preserve"> No</w:t>
      </w:r>
    </w:p>
    <w:p w14:paraId="613D8A58" w14:textId="77777777" w:rsidR="00D85676" w:rsidRDefault="00D85676" w:rsidP="0011369B">
      <w:pPr>
        <w:pStyle w:val="Heading2"/>
        <w:numPr>
          <w:ilvl w:val="0"/>
          <w:numId w:val="28"/>
        </w:numPr>
      </w:pPr>
      <w:r w:rsidRPr="00154B00">
        <w:t xml:space="preserve">If no, has it been </w:t>
      </w:r>
      <w:proofErr w:type="gramStart"/>
      <w:r w:rsidRPr="00154B00">
        <w:t>listed or registered</w:t>
      </w:r>
      <w:proofErr w:type="gramEnd"/>
      <w:r w:rsidRPr="00154B00">
        <w:t xml:space="preserve"> or included in the Australian Register of Therapeutic Goods (ARTG) by the Therapeutic </w:t>
      </w:r>
      <w:r w:rsidRPr="0043654D">
        <w:t>Goods</w:t>
      </w:r>
      <w:r w:rsidRPr="00154B00">
        <w:t xml:space="preserve"> Administration (TGA)</w:t>
      </w:r>
      <w:r w:rsidR="00403333">
        <w:t>?</w:t>
      </w:r>
    </w:p>
    <w:p w14:paraId="10F145A9" w14:textId="6D720DBF" w:rsidR="0043654D" w:rsidRPr="006F2B6D" w:rsidRDefault="006F2B6D" w:rsidP="006F2B6D">
      <w:pPr>
        <w:spacing w:before="0" w:after="0"/>
        <w:ind w:firstLine="284"/>
        <w:rPr>
          <w:szCs w:val="20"/>
        </w:rPr>
      </w:pPr>
      <w:r w:rsidRPr="006F2B6D">
        <w:rPr>
          <w:szCs w:val="20"/>
        </w:rPr>
        <w:fldChar w:fldCharType="begin">
          <w:ffData>
            <w:name w:val=""/>
            <w:enabled/>
            <w:calcOnExit w:val="0"/>
            <w:checkBox>
              <w:sizeAuto/>
              <w:default w:val="1"/>
            </w:checkBox>
          </w:ffData>
        </w:fldChar>
      </w:r>
      <w:r w:rsidRPr="006F2B6D">
        <w:rPr>
          <w:szCs w:val="20"/>
        </w:rPr>
        <w:instrText xml:space="preserve"> FORMCHECKBOX </w:instrText>
      </w:r>
      <w:r w:rsidR="00027348">
        <w:rPr>
          <w:szCs w:val="20"/>
        </w:rPr>
      </w:r>
      <w:r w:rsidR="00027348">
        <w:rPr>
          <w:szCs w:val="20"/>
        </w:rPr>
        <w:fldChar w:fldCharType="separate"/>
      </w:r>
      <w:r w:rsidRPr="006F2B6D">
        <w:rPr>
          <w:szCs w:val="20"/>
        </w:rPr>
        <w:fldChar w:fldCharType="end"/>
      </w:r>
      <w:r w:rsidRPr="006F2B6D">
        <w:rPr>
          <w:szCs w:val="20"/>
        </w:rPr>
        <w:t xml:space="preserve"> </w:t>
      </w:r>
      <w:r>
        <w:rPr>
          <w:szCs w:val="20"/>
        </w:rPr>
        <w:t>Yes</w:t>
      </w:r>
      <w:r w:rsidRPr="006F2B6D">
        <w:rPr>
          <w:szCs w:val="20"/>
        </w:rPr>
        <w:t xml:space="preserve"> </w:t>
      </w:r>
      <w:r w:rsidR="0043654D" w:rsidRPr="006F2B6D">
        <w:rPr>
          <w:szCs w:val="20"/>
        </w:rPr>
        <w:t>(if yes, please provide details below)</w:t>
      </w:r>
    </w:p>
    <w:p w14:paraId="130A2942"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27348">
        <w:rPr>
          <w:szCs w:val="20"/>
        </w:rPr>
      </w:r>
      <w:r w:rsidR="00027348">
        <w:rPr>
          <w:szCs w:val="20"/>
        </w:rPr>
        <w:fldChar w:fldCharType="separate"/>
      </w:r>
      <w:r w:rsidRPr="000A5B32">
        <w:rPr>
          <w:szCs w:val="20"/>
        </w:rPr>
        <w:fldChar w:fldCharType="end"/>
      </w:r>
      <w:r>
        <w:rPr>
          <w:szCs w:val="20"/>
        </w:rPr>
        <w:t xml:space="preserve"> No</w:t>
      </w:r>
    </w:p>
    <w:p w14:paraId="07DD79AF" w14:textId="77777777" w:rsidR="0043654D" w:rsidRPr="00615F42" w:rsidRDefault="0043654D" w:rsidP="0043654D">
      <w:pPr>
        <w:spacing w:before="0" w:after="0"/>
        <w:ind w:left="284"/>
        <w:rPr>
          <w:b/>
          <w:szCs w:val="20"/>
        </w:rPr>
      </w:pPr>
    </w:p>
    <w:p w14:paraId="5691E499" w14:textId="6234401E"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691E64">
        <w:t>244570</w:t>
      </w:r>
    </w:p>
    <w:p w14:paraId="35FB9A00" w14:textId="098CBAE9" w:rsidR="0043654D" w:rsidRPr="006F2B6D" w:rsidRDefault="0043654D" w:rsidP="0043654D">
      <w:pPr>
        <w:spacing w:before="0" w:after="0"/>
        <w:ind w:left="284"/>
        <w:rPr>
          <w:szCs w:val="20"/>
        </w:rPr>
      </w:pPr>
      <w:r w:rsidRPr="006F2B6D">
        <w:rPr>
          <w:szCs w:val="20"/>
        </w:rPr>
        <w:t xml:space="preserve">TGA approved indication(s), if applicable:  </w:t>
      </w:r>
    </w:p>
    <w:p w14:paraId="104FB25E" w14:textId="5F614C0C" w:rsidR="00F301F1" w:rsidRPr="006F2B6D" w:rsidRDefault="0043654D" w:rsidP="0043654D">
      <w:pPr>
        <w:spacing w:before="0" w:after="0"/>
        <w:ind w:left="284"/>
        <w:rPr>
          <w:szCs w:val="20"/>
        </w:rPr>
      </w:pPr>
      <w:r w:rsidRPr="006F2B6D">
        <w:rPr>
          <w:szCs w:val="20"/>
        </w:rPr>
        <w:t xml:space="preserve">TGA approved purpose(s), if applicable:  </w:t>
      </w:r>
      <w:r w:rsidR="00EB76E5" w:rsidRPr="006F2B6D">
        <w:t>F</w:t>
      </w:r>
      <w:r w:rsidR="00691E64" w:rsidRPr="006F2B6D">
        <w:t xml:space="preserve">luid infusion and aspiration during surgery; catheterisation and </w:t>
      </w:r>
      <w:proofErr w:type="spellStart"/>
      <w:r w:rsidR="00691E64" w:rsidRPr="006F2B6D">
        <w:t>viscodilation</w:t>
      </w:r>
      <w:proofErr w:type="spellEnd"/>
      <w:r w:rsidR="00691E64" w:rsidRPr="006F2B6D">
        <w:t xml:space="preserve"> during surgery; placement of a tensing suture within the canal to reduce the IOP of patients with glaucoma.</w:t>
      </w:r>
    </w:p>
    <w:p w14:paraId="5C7A74BF" w14:textId="1E35DAC6" w:rsidR="00C0796F" w:rsidRPr="006F2B6D" w:rsidRDefault="00C0796F" w:rsidP="00530204">
      <w:pPr>
        <w:pStyle w:val="Heading2"/>
      </w:pPr>
      <w:r w:rsidRPr="006F2B6D">
        <w:t xml:space="preserve">If the therapeutic good </w:t>
      </w:r>
      <w:proofErr w:type="gramStart"/>
      <w:r w:rsidRPr="006F2B6D">
        <w:t>has not been listed</w:t>
      </w:r>
      <w:proofErr w:type="gramEnd"/>
      <w:r w:rsidRPr="006F2B6D">
        <w:t>, registered or included in the ARTG, is the therapeutic good in the process of being considered for inclusion by the TGA?</w:t>
      </w:r>
    </w:p>
    <w:p w14:paraId="1316AD0F" w14:textId="1C3E3F05" w:rsidR="00691E64" w:rsidRPr="006F2B6D" w:rsidRDefault="00691E64" w:rsidP="00691E64">
      <w:pPr>
        <w:ind w:left="284"/>
      </w:pPr>
      <w:r w:rsidRPr="006F2B6D">
        <w:t>Not applicable</w:t>
      </w:r>
    </w:p>
    <w:p w14:paraId="60DDB0DB" w14:textId="77777777" w:rsidR="0047581D" w:rsidRPr="006F2B6D" w:rsidRDefault="0047581D" w:rsidP="0047581D">
      <w:pPr>
        <w:spacing w:before="0" w:after="0"/>
        <w:ind w:left="284"/>
        <w:rPr>
          <w:szCs w:val="20"/>
        </w:rPr>
      </w:pPr>
      <w:r w:rsidRPr="006F2B6D">
        <w:rPr>
          <w:szCs w:val="20"/>
        </w:rPr>
        <w:fldChar w:fldCharType="begin">
          <w:ffData>
            <w:name w:val="Check1"/>
            <w:enabled/>
            <w:calcOnExit w:val="0"/>
            <w:checkBox>
              <w:sizeAuto/>
              <w:default w:val="0"/>
            </w:checkBox>
          </w:ffData>
        </w:fldChar>
      </w:r>
      <w:r w:rsidRPr="006F2B6D">
        <w:rPr>
          <w:szCs w:val="20"/>
        </w:rPr>
        <w:instrText xml:space="preserve"> FORMCHECKBOX </w:instrText>
      </w:r>
      <w:r w:rsidR="00027348">
        <w:rPr>
          <w:szCs w:val="20"/>
        </w:rPr>
      </w:r>
      <w:r w:rsidR="00027348">
        <w:rPr>
          <w:szCs w:val="20"/>
        </w:rPr>
        <w:fldChar w:fldCharType="separate"/>
      </w:r>
      <w:r w:rsidRPr="006F2B6D">
        <w:rPr>
          <w:szCs w:val="20"/>
        </w:rPr>
        <w:fldChar w:fldCharType="end"/>
      </w:r>
      <w:r w:rsidRPr="006F2B6D">
        <w:rPr>
          <w:szCs w:val="20"/>
        </w:rPr>
        <w:t xml:space="preserve"> Yes (please provide details below)</w:t>
      </w:r>
    </w:p>
    <w:p w14:paraId="33D6A9DC" w14:textId="77777777" w:rsidR="0047581D" w:rsidRPr="006F2B6D" w:rsidRDefault="0047581D" w:rsidP="0047581D">
      <w:pPr>
        <w:spacing w:before="0" w:after="0"/>
        <w:ind w:left="284"/>
        <w:rPr>
          <w:szCs w:val="20"/>
        </w:rPr>
      </w:pPr>
      <w:r w:rsidRPr="006F2B6D">
        <w:rPr>
          <w:szCs w:val="20"/>
        </w:rPr>
        <w:fldChar w:fldCharType="begin">
          <w:ffData>
            <w:name w:val="Check1"/>
            <w:enabled/>
            <w:calcOnExit w:val="0"/>
            <w:checkBox>
              <w:sizeAuto/>
              <w:default w:val="0"/>
            </w:checkBox>
          </w:ffData>
        </w:fldChar>
      </w:r>
      <w:r w:rsidRPr="006F2B6D">
        <w:rPr>
          <w:szCs w:val="20"/>
        </w:rPr>
        <w:instrText xml:space="preserve"> FORMCHECKBOX </w:instrText>
      </w:r>
      <w:r w:rsidR="00027348">
        <w:rPr>
          <w:szCs w:val="20"/>
        </w:rPr>
      </w:r>
      <w:r w:rsidR="00027348">
        <w:rPr>
          <w:szCs w:val="20"/>
        </w:rPr>
        <w:fldChar w:fldCharType="separate"/>
      </w:r>
      <w:r w:rsidRPr="006F2B6D">
        <w:rPr>
          <w:szCs w:val="20"/>
        </w:rPr>
        <w:fldChar w:fldCharType="end"/>
      </w:r>
      <w:r w:rsidRPr="006F2B6D">
        <w:rPr>
          <w:szCs w:val="20"/>
        </w:rPr>
        <w:t xml:space="preserve"> No</w:t>
      </w:r>
    </w:p>
    <w:p w14:paraId="4D3F30C4" w14:textId="77777777" w:rsidR="0047581D" w:rsidRPr="006F2B6D" w:rsidRDefault="0047581D" w:rsidP="0047581D">
      <w:pPr>
        <w:spacing w:before="0" w:after="0"/>
        <w:rPr>
          <w:b/>
          <w:szCs w:val="20"/>
        </w:rPr>
      </w:pPr>
    </w:p>
    <w:p w14:paraId="0C3EB2DC" w14:textId="6AE3FA24" w:rsidR="0047581D" w:rsidRPr="006F2B6D" w:rsidRDefault="0047581D" w:rsidP="0047581D">
      <w:pPr>
        <w:spacing w:before="0" w:after="0"/>
        <w:rPr>
          <w:szCs w:val="20"/>
        </w:rPr>
      </w:pPr>
      <w:r w:rsidRPr="006F2B6D">
        <w:rPr>
          <w:szCs w:val="20"/>
        </w:rPr>
        <w:t xml:space="preserve">Date of submission to TGA:  </w:t>
      </w:r>
      <w:r w:rsidR="00691E64" w:rsidRPr="006F2B6D">
        <w:rPr>
          <w:szCs w:val="20"/>
        </w:rPr>
        <w:t>Not applicable</w:t>
      </w:r>
    </w:p>
    <w:p w14:paraId="5C606BBA" w14:textId="72FF0529" w:rsidR="0047581D" w:rsidRPr="006F2B6D" w:rsidRDefault="0047581D" w:rsidP="0047581D">
      <w:pPr>
        <w:spacing w:before="0" w:after="0"/>
        <w:rPr>
          <w:szCs w:val="20"/>
        </w:rPr>
      </w:pPr>
      <w:r w:rsidRPr="006F2B6D">
        <w:rPr>
          <w:szCs w:val="20"/>
        </w:rPr>
        <w:t xml:space="preserve">Estimated date by which TGA approval </w:t>
      </w:r>
      <w:proofErr w:type="gramStart"/>
      <w:r w:rsidRPr="006F2B6D">
        <w:rPr>
          <w:szCs w:val="20"/>
        </w:rPr>
        <w:t>can be expected</w:t>
      </w:r>
      <w:proofErr w:type="gramEnd"/>
      <w:r w:rsidRPr="006F2B6D">
        <w:rPr>
          <w:b/>
          <w:bCs/>
          <w:szCs w:val="20"/>
        </w:rPr>
        <w:t xml:space="preserve">:  </w:t>
      </w:r>
      <w:r w:rsidR="00691E64" w:rsidRPr="006F2B6D">
        <w:rPr>
          <w:szCs w:val="20"/>
        </w:rPr>
        <w:t>Not applicable</w:t>
      </w:r>
    </w:p>
    <w:p w14:paraId="7A11952F" w14:textId="75E629F3" w:rsidR="0047581D" w:rsidRPr="006F2B6D" w:rsidRDefault="0047581D" w:rsidP="0047581D">
      <w:pPr>
        <w:spacing w:before="0" w:after="0"/>
        <w:rPr>
          <w:szCs w:val="20"/>
        </w:rPr>
      </w:pPr>
      <w:r w:rsidRPr="006F2B6D">
        <w:rPr>
          <w:szCs w:val="20"/>
        </w:rPr>
        <w:t>TGA Application ID:</w:t>
      </w:r>
      <w:r w:rsidR="00691E64" w:rsidRPr="006F2B6D">
        <w:rPr>
          <w:szCs w:val="20"/>
        </w:rPr>
        <w:t xml:space="preserve"> Not applicable</w:t>
      </w:r>
      <w:r w:rsidRPr="006F2B6D">
        <w:rPr>
          <w:szCs w:val="20"/>
        </w:rPr>
        <w:t xml:space="preserve">  </w:t>
      </w:r>
    </w:p>
    <w:p w14:paraId="0F952B61" w14:textId="1BAE7FFF" w:rsidR="0047581D" w:rsidRPr="006F2B6D" w:rsidRDefault="0047581D" w:rsidP="0047581D">
      <w:pPr>
        <w:spacing w:before="0" w:after="0"/>
        <w:rPr>
          <w:szCs w:val="20"/>
        </w:rPr>
      </w:pPr>
      <w:r w:rsidRPr="006F2B6D">
        <w:rPr>
          <w:szCs w:val="20"/>
        </w:rPr>
        <w:t xml:space="preserve">TGA approved indication(s), if applicable: </w:t>
      </w:r>
      <w:r w:rsidR="00691E64" w:rsidRPr="006F2B6D">
        <w:rPr>
          <w:szCs w:val="20"/>
        </w:rPr>
        <w:t>Not applicable</w:t>
      </w:r>
    </w:p>
    <w:p w14:paraId="68ADF317" w14:textId="50B4AFEE" w:rsidR="003433D1" w:rsidRPr="006F2B6D" w:rsidRDefault="0047581D" w:rsidP="0047581D">
      <w:pPr>
        <w:spacing w:before="0" w:after="0"/>
        <w:rPr>
          <w:szCs w:val="20"/>
        </w:rPr>
      </w:pPr>
      <w:r w:rsidRPr="006F2B6D">
        <w:rPr>
          <w:szCs w:val="20"/>
        </w:rPr>
        <w:t xml:space="preserve">TGA approved purpose(s), if applicable:  </w:t>
      </w:r>
      <w:r w:rsidR="00691E64" w:rsidRPr="006F2B6D">
        <w:rPr>
          <w:szCs w:val="20"/>
        </w:rPr>
        <w:t>Not applicable</w:t>
      </w:r>
    </w:p>
    <w:p w14:paraId="7453A4CD" w14:textId="3ECE24DD" w:rsidR="00C0796F" w:rsidRPr="006F2B6D" w:rsidRDefault="000A110D" w:rsidP="00530204">
      <w:pPr>
        <w:pStyle w:val="Heading2"/>
      </w:pPr>
      <w:r w:rsidRPr="006F2B6D">
        <w:t>I</w:t>
      </w:r>
      <w:r w:rsidR="00C0796F" w:rsidRPr="006F2B6D">
        <w:t xml:space="preserve">f the therapeutic good </w:t>
      </w:r>
      <w:r w:rsidR="00F83A9D" w:rsidRPr="006F2B6D">
        <w:t xml:space="preserve">is not in the process of </w:t>
      </w:r>
      <w:proofErr w:type="gramStart"/>
      <w:r w:rsidR="00F83A9D" w:rsidRPr="006F2B6D">
        <w:t>being considered</w:t>
      </w:r>
      <w:proofErr w:type="gramEnd"/>
      <w:r w:rsidR="00F83A9D" w:rsidRPr="006F2B6D">
        <w:t xml:space="preserve"> for listing</w:t>
      </w:r>
      <w:r w:rsidR="00C0796F" w:rsidRPr="006F2B6D">
        <w:t xml:space="preserve">, </w:t>
      </w:r>
      <w:r w:rsidR="00F83A9D" w:rsidRPr="006F2B6D">
        <w:t xml:space="preserve">registration </w:t>
      </w:r>
      <w:r w:rsidR="00C0796F" w:rsidRPr="006F2B6D">
        <w:t xml:space="preserve">or </w:t>
      </w:r>
      <w:r w:rsidR="00F83A9D" w:rsidRPr="006F2B6D">
        <w:t>inclusion by the TGA, is an application to the TGA being prepared?</w:t>
      </w:r>
    </w:p>
    <w:p w14:paraId="0568FF3E" w14:textId="1E2381CA" w:rsidR="00691E64" w:rsidRPr="006F2B6D" w:rsidRDefault="00691E64" w:rsidP="00691E64">
      <w:r w:rsidRPr="006F2B6D">
        <w:t>Not applicable</w:t>
      </w:r>
    </w:p>
    <w:p w14:paraId="47E63872" w14:textId="77777777" w:rsidR="000A110D" w:rsidRPr="006F2B6D" w:rsidRDefault="000A110D" w:rsidP="000A110D">
      <w:pPr>
        <w:spacing w:before="0" w:after="0"/>
        <w:ind w:left="284"/>
        <w:rPr>
          <w:szCs w:val="20"/>
        </w:rPr>
      </w:pPr>
      <w:r w:rsidRPr="006F2B6D">
        <w:rPr>
          <w:szCs w:val="20"/>
        </w:rPr>
        <w:fldChar w:fldCharType="begin">
          <w:ffData>
            <w:name w:val="Check1"/>
            <w:enabled/>
            <w:calcOnExit w:val="0"/>
            <w:checkBox>
              <w:sizeAuto/>
              <w:default w:val="0"/>
            </w:checkBox>
          </w:ffData>
        </w:fldChar>
      </w:r>
      <w:r w:rsidRPr="006F2B6D">
        <w:rPr>
          <w:szCs w:val="20"/>
        </w:rPr>
        <w:instrText xml:space="preserve"> FORMCHECKBOX </w:instrText>
      </w:r>
      <w:r w:rsidR="00027348">
        <w:rPr>
          <w:szCs w:val="20"/>
        </w:rPr>
      </w:r>
      <w:r w:rsidR="00027348">
        <w:rPr>
          <w:szCs w:val="20"/>
        </w:rPr>
        <w:fldChar w:fldCharType="separate"/>
      </w:r>
      <w:r w:rsidRPr="006F2B6D">
        <w:rPr>
          <w:szCs w:val="20"/>
        </w:rPr>
        <w:fldChar w:fldCharType="end"/>
      </w:r>
      <w:r w:rsidRPr="006F2B6D">
        <w:rPr>
          <w:szCs w:val="20"/>
        </w:rPr>
        <w:t xml:space="preserve"> Yes (please provide details below)</w:t>
      </w:r>
    </w:p>
    <w:p w14:paraId="66103D83" w14:textId="77777777" w:rsidR="000A110D" w:rsidRPr="006F2B6D" w:rsidRDefault="000A110D" w:rsidP="000A110D">
      <w:pPr>
        <w:spacing w:before="0" w:after="0"/>
        <w:ind w:left="284"/>
        <w:rPr>
          <w:szCs w:val="20"/>
        </w:rPr>
      </w:pPr>
      <w:r w:rsidRPr="006F2B6D">
        <w:rPr>
          <w:szCs w:val="20"/>
        </w:rPr>
        <w:fldChar w:fldCharType="begin">
          <w:ffData>
            <w:name w:val="Check1"/>
            <w:enabled/>
            <w:calcOnExit w:val="0"/>
            <w:checkBox>
              <w:sizeAuto/>
              <w:default w:val="0"/>
            </w:checkBox>
          </w:ffData>
        </w:fldChar>
      </w:r>
      <w:r w:rsidRPr="006F2B6D">
        <w:rPr>
          <w:szCs w:val="20"/>
        </w:rPr>
        <w:instrText xml:space="preserve"> FORMCHECKBOX </w:instrText>
      </w:r>
      <w:r w:rsidR="00027348">
        <w:rPr>
          <w:szCs w:val="20"/>
        </w:rPr>
      </w:r>
      <w:r w:rsidR="00027348">
        <w:rPr>
          <w:szCs w:val="20"/>
        </w:rPr>
        <w:fldChar w:fldCharType="separate"/>
      </w:r>
      <w:r w:rsidRPr="006F2B6D">
        <w:rPr>
          <w:szCs w:val="20"/>
        </w:rPr>
        <w:fldChar w:fldCharType="end"/>
      </w:r>
      <w:r w:rsidRPr="006F2B6D">
        <w:rPr>
          <w:szCs w:val="20"/>
        </w:rPr>
        <w:t xml:space="preserve"> No</w:t>
      </w:r>
    </w:p>
    <w:p w14:paraId="1814AB1A" w14:textId="77777777" w:rsidR="000A110D" w:rsidRPr="006F2B6D" w:rsidRDefault="000A110D" w:rsidP="00971EDB">
      <w:pPr>
        <w:spacing w:before="0" w:after="0"/>
        <w:rPr>
          <w:szCs w:val="20"/>
        </w:rPr>
      </w:pPr>
    </w:p>
    <w:p w14:paraId="6BF4B61F" w14:textId="5AB0861C" w:rsidR="00971EDB" w:rsidRPr="006F2B6D" w:rsidRDefault="00971EDB" w:rsidP="00971EDB">
      <w:pPr>
        <w:spacing w:before="0" w:after="0"/>
        <w:rPr>
          <w:szCs w:val="20"/>
        </w:rPr>
      </w:pPr>
      <w:r w:rsidRPr="006F2B6D">
        <w:rPr>
          <w:szCs w:val="20"/>
        </w:rPr>
        <w:t xml:space="preserve">Estimated date of submission to TGA:  </w:t>
      </w:r>
      <w:r w:rsidR="00691E64" w:rsidRPr="006F2B6D">
        <w:rPr>
          <w:szCs w:val="20"/>
        </w:rPr>
        <w:t>Not applicable</w:t>
      </w:r>
    </w:p>
    <w:p w14:paraId="25FBAD83" w14:textId="3048B086" w:rsidR="00971EDB" w:rsidRPr="006F2B6D" w:rsidRDefault="00971EDB" w:rsidP="00971EDB">
      <w:pPr>
        <w:spacing w:before="0" w:after="0"/>
        <w:rPr>
          <w:szCs w:val="20"/>
        </w:rPr>
      </w:pPr>
      <w:r w:rsidRPr="006F2B6D">
        <w:rPr>
          <w:szCs w:val="20"/>
        </w:rPr>
        <w:t xml:space="preserve">Proposed indication(s), if applicable:  </w:t>
      </w:r>
      <w:r w:rsidR="00691E64" w:rsidRPr="006F2B6D">
        <w:rPr>
          <w:szCs w:val="20"/>
        </w:rPr>
        <w:t>Not applicable</w:t>
      </w:r>
    </w:p>
    <w:p w14:paraId="7A076E15" w14:textId="3D8C7450" w:rsidR="00F83A9D" w:rsidRPr="006F2B6D" w:rsidRDefault="00971EDB" w:rsidP="00D13C73">
      <w:pPr>
        <w:spacing w:before="0" w:after="0"/>
        <w:rPr>
          <w:szCs w:val="20"/>
        </w:rPr>
      </w:pPr>
      <w:r w:rsidRPr="006F2B6D">
        <w:rPr>
          <w:szCs w:val="20"/>
        </w:rPr>
        <w:t xml:space="preserve">Proposed purpose(s), if applicable:  </w:t>
      </w:r>
      <w:r w:rsidR="00691E64" w:rsidRPr="006F2B6D">
        <w:rPr>
          <w:szCs w:val="20"/>
        </w:rPr>
        <w:t>Not applicable</w:t>
      </w:r>
    </w:p>
    <w:p w14:paraId="0A170D4C" w14:textId="77777777" w:rsidR="00DD308E" w:rsidRDefault="00DD308E">
      <w:pPr>
        <w:rPr>
          <w:b/>
          <w:sz w:val="32"/>
          <w:szCs w:val="32"/>
        </w:rPr>
        <w:sectPr w:rsidR="00DD308E" w:rsidSect="006F2B6D">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708" w:footer="708" w:gutter="0"/>
          <w:pgNumType w:start="0"/>
          <w:cols w:space="708"/>
          <w:titlePg/>
          <w:docGrid w:linePitch="360"/>
        </w:sectPr>
      </w:pPr>
    </w:p>
    <w:p w14:paraId="3165E537"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2D174932"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477"/>
        <w:gridCol w:w="1975"/>
        <w:gridCol w:w="2580"/>
        <w:gridCol w:w="3328"/>
        <w:gridCol w:w="3780"/>
        <w:gridCol w:w="1808"/>
      </w:tblGrid>
      <w:tr w:rsidR="00DD308E" w14:paraId="4BE203FC" w14:textId="77777777" w:rsidTr="006F2B6D">
        <w:trPr>
          <w:cantSplit/>
          <w:tblHeader/>
        </w:trPr>
        <w:tc>
          <w:tcPr>
            <w:tcW w:w="171" w:type="pct"/>
          </w:tcPr>
          <w:p w14:paraId="715FD150" w14:textId="77777777" w:rsidR="00DD308E" w:rsidRDefault="00DD308E" w:rsidP="00855944">
            <w:pPr>
              <w:pStyle w:val="TableHEADER"/>
            </w:pPr>
          </w:p>
        </w:tc>
        <w:tc>
          <w:tcPr>
            <w:tcW w:w="708" w:type="pct"/>
          </w:tcPr>
          <w:p w14:paraId="03EDD537" w14:textId="77777777" w:rsidR="00DD308E" w:rsidRDefault="00DD308E" w:rsidP="00855944">
            <w:pPr>
              <w:pStyle w:val="TableHEADER"/>
            </w:pPr>
            <w:r>
              <w:t>Type of study design*</w:t>
            </w:r>
          </w:p>
        </w:tc>
        <w:tc>
          <w:tcPr>
            <w:tcW w:w="925" w:type="pct"/>
          </w:tcPr>
          <w:p w14:paraId="561948DD" w14:textId="77777777" w:rsidR="00DD308E" w:rsidRDefault="00DD308E" w:rsidP="00855944">
            <w:pPr>
              <w:pStyle w:val="TableHEADER"/>
            </w:pPr>
            <w:r>
              <w:t>Title of journal article  or research project (including any trial identifier or study lead if relevant)</w:t>
            </w:r>
          </w:p>
        </w:tc>
        <w:tc>
          <w:tcPr>
            <w:tcW w:w="1193" w:type="pct"/>
          </w:tcPr>
          <w:p w14:paraId="230D34BB" w14:textId="77777777" w:rsidR="00DD308E" w:rsidRDefault="00DD308E" w:rsidP="00855944">
            <w:pPr>
              <w:pStyle w:val="TableHEADER"/>
            </w:pPr>
            <w:r>
              <w:t>Short description of research  (max 50 words)**</w:t>
            </w:r>
          </w:p>
        </w:tc>
        <w:tc>
          <w:tcPr>
            <w:tcW w:w="1355" w:type="pct"/>
          </w:tcPr>
          <w:p w14:paraId="4CACB9BB" w14:textId="77777777" w:rsidR="00DD308E" w:rsidRDefault="00DD308E" w:rsidP="00855944">
            <w:pPr>
              <w:pStyle w:val="TableHEADER"/>
            </w:pPr>
            <w:r w:rsidRPr="00E82F54">
              <w:t xml:space="preserve">Website link to </w:t>
            </w:r>
            <w:r>
              <w:t>journal article or research (if available)</w:t>
            </w:r>
          </w:p>
        </w:tc>
        <w:tc>
          <w:tcPr>
            <w:tcW w:w="648" w:type="pct"/>
          </w:tcPr>
          <w:p w14:paraId="195E25EF" w14:textId="77777777" w:rsidR="00DD308E" w:rsidRDefault="00DD308E" w:rsidP="00855944">
            <w:pPr>
              <w:pStyle w:val="TableHEADER"/>
            </w:pPr>
            <w:r w:rsidRPr="00E82F54">
              <w:t>Date</w:t>
            </w:r>
            <w:r>
              <w:t xml:space="preserve"> of publication</w:t>
            </w:r>
            <w:r w:rsidRPr="00E82F54">
              <w:t>*</w:t>
            </w:r>
            <w:r>
              <w:t>**</w:t>
            </w:r>
          </w:p>
        </w:tc>
      </w:tr>
      <w:tr w:rsidR="00DD308E" w14:paraId="41AC74A7" w14:textId="77777777" w:rsidTr="006F2B6D">
        <w:trPr>
          <w:cantSplit/>
        </w:trPr>
        <w:tc>
          <w:tcPr>
            <w:tcW w:w="171" w:type="pct"/>
          </w:tcPr>
          <w:p w14:paraId="38BFC34C" w14:textId="77777777" w:rsidR="00DD308E" w:rsidRPr="00965B6B" w:rsidRDefault="00DD308E" w:rsidP="00DD308E">
            <w:pPr>
              <w:rPr>
                <w:szCs w:val="20"/>
              </w:rPr>
            </w:pPr>
            <w:r w:rsidRPr="00965B6B">
              <w:rPr>
                <w:szCs w:val="20"/>
              </w:rPr>
              <w:t>1</w:t>
            </w:r>
            <w:r>
              <w:rPr>
                <w:szCs w:val="20"/>
              </w:rPr>
              <w:t>.</w:t>
            </w:r>
          </w:p>
        </w:tc>
        <w:tc>
          <w:tcPr>
            <w:tcW w:w="708" w:type="pct"/>
          </w:tcPr>
          <w:p w14:paraId="2FB411E7" w14:textId="3F9BE9C4" w:rsidR="00DD308E" w:rsidRPr="006F2B6D" w:rsidRDefault="00F5338D" w:rsidP="00DD308E">
            <w:pPr>
              <w:rPr>
                <w:szCs w:val="20"/>
              </w:rPr>
            </w:pPr>
            <w:r w:rsidRPr="006F2B6D">
              <w:rPr>
                <w:szCs w:val="20"/>
              </w:rPr>
              <w:t>Retrospective comparative consecutive case series</w:t>
            </w:r>
          </w:p>
        </w:tc>
        <w:tc>
          <w:tcPr>
            <w:tcW w:w="925" w:type="pct"/>
          </w:tcPr>
          <w:p w14:paraId="2A1F95D9" w14:textId="5E70E612" w:rsidR="00DD308E" w:rsidRPr="006F2B6D" w:rsidRDefault="00F5338D" w:rsidP="00DD308E">
            <w:pPr>
              <w:rPr>
                <w:szCs w:val="20"/>
              </w:rPr>
            </w:pPr>
            <w:r w:rsidRPr="006F2B6D">
              <w:rPr>
                <w:szCs w:val="20"/>
              </w:rPr>
              <w:t xml:space="preserve">Gallardo MJ, </w:t>
            </w:r>
            <w:proofErr w:type="spellStart"/>
            <w:r w:rsidRPr="006F2B6D">
              <w:rPr>
                <w:szCs w:val="20"/>
              </w:rPr>
              <w:t>Supnet</w:t>
            </w:r>
            <w:proofErr w:type="spellEnd"/>
            <w:r w:rsidRPr="006F2B6D">
              <w:rPr>
                <w:szCs w:val="20"/>
              </w:rPr>
              <w:t xml:space="preserve"> RA, Ahmed, II, ‘</w:t>
            </w:r>
            <w:proofErr w:type="spellStart"/>
            <w:r w:rsidRPr="006F2B6D">
              <w:rPr>
                <w:i/>
                <w:iCs/>
                <w:szCs w:val="20"/>
              </w:rPr>
              <w:t>Viscodilation</w:t>
            </w:r>
            <w:proofErr w:type="spellEnd"/>
            <w:r w:rsidRPr="006F2B6D">
              <w:rPr>
                <w:i/>
                <w:iCs/>
                <w:szCs w:val="20"/>
              </w:rPr>
              <w:t xml:space="preserve"> of </w:t>
            </w:r>
            <w:proofErr w:type="spellStart"/>
            <w:r w:rsidRPr="006F2B6D">
              <w:rPr>
                <w:i/>
                <w:iCs/>
                <w:szCs w:val="20"/>
              </w:rPr>
              <w:t>Schlemm’s</w:t>
            </w:r>
            <w:proofErr w:type="spellEnd"/>
            <w:r w:rsidRPr="006F2B6D">
              <w:rPr>
                <w:i/>
                <w:iCs/>
                <w:szCs w:val="20"/>
              </w:rPr>
              <w:t xml:space="preserve"> canal for the reduction of IOP via an ab-</w:t>
            </w:r>
            <w:proofErr w:type="spellStart"/>
            <w:r w:rsidRPr="006F2B6D">
              <w:rPr>
                <w:i/>
                <w:iCs/>
                <w:szCs w:val="20"/>
              </w:rPr>
              <w:t>interno</w:t>
            </w:r>
            <w:proofErr w:type="spellEnd"/>
            <w:r w:rsidRPr="006F2B6D">
              <w:rPr>
                <w:i/>
                <w:iCs/>
                <w:szCs w:val="20"/>
              </w:rPr>
              <w:t xml:space="preserve"> approach’ </w:t>
            </w:r>
            <w:r w:rsidRPr="006F2B6D">
              <w:rPr>
                <w:szCs w:val="20"/>
              </w:rPr>
              <w:t xml:space="preserve"> Clinical Ophthalmology 2018;12 2149-2155</w:t>
            </w:r>
          </w:p>
        </w:tc>
        <w:tc>
          <w:tcPr>
            <w:tcW w:w="1193" w:type="pct"/>
          </w:tcPr>
          <w:p w14:paraId="18C471E3" w14:textId="1F587138" w:rsidR="00DD308E" w:rsidRPr="006F2B6D" w:rsidRDefault="00F5338D" w:rsidP="00DD308E">
            <w:pPr>
              <w:rPr>
                <w:szCs w:val="20"/>
              </w:rPr>
            </w:pPr>
            <w:r w:rsidRPr="006F2B6D">
              <w:rPr>
                <w:szCs w:val="20"/>
              </w:rPr>
              <w:t>Retrospective comparative consecutive case series for patients with uncontrolled primary open angle</w:t>
            </w:r>
            <w:r w:rsidR="00526B18" w:rsidRPr="006F2B6D">
              <w:rPr>
                <w:szCs w:val="20"/>
              </w:rPr>
              <w:t xml:space="preserve"> treated with </w:t>
            </w:r>
            <w:proofErr w:type="spellStart"/>
            <w:r w:rsidR="00526B18" w:rsidRPr="006F2B6D">
              <w:rPr>
                <w:szCs w:val="20"/>
              </w:rPr>
              <w:t>microcatheter</w:t>
            </w:r>
            <w:proofErr w:type="spellEnd"/>
            <w:r w:rsidR="00526B18" w:rsidRPr="006F2B6D">
              <w:rPr>
                <w:szCs w:val="20"/>
              </w:rPr>
              <w:t xml:space="preserve"> dilation of </w:t>
            </w:r>
            <w:proofErr w:type="spellStart"/>
            <w:r w:rsidR="00526B18" w:rsidRPr="006F2B6D">
              <w:rPr>
                <w:szCs w:val="20"/>
              </w:rPr>
              <w:t>Schlemm’s</w:t>
            </w:r>
            <w:proofErr w:type="spellEnd"/>
            <w:r w:rsidR="00526B18" w:rsidRPr="006F2B6D">
              <w:rPr>
                <w:szCs w:val="20"/>
              </w:rPr>
              <w:t xml:space="preserve"> Canal</w:t>
            </w:r>
            <w:r w:rsidRPr="006F2B6D">
              <w:rPr>
                <w:szCs w:val="20"/>
              </w:rPr>
              <w:t>. Primary outcome measures: Mean lower IOP and mean number of                                                             glaucoma medications.</w:t>
            </w:r>
          </w:p>
        </w:tc>
        <w:tc>
          <w:tcPr>
            <w:tcW w:w="1355" w:type="pct"/>
          </w:tcPr>
          <w:p w14:paraId="4351D2F4" w14:textId="09CB3F78" w:rsidR="00DD308E" w:rsidRPr="00B15059" w:rsidRDefault="00F5338D" w:rsidP="00DD308E">
            <w:pPr>
              <w:rPr>
                <w:b/>
                <w:color w:val="1F497D" w:themeColor="text2"/>
                <w:szCs w:val="20"/>
              </w:rPr>
            </w:pPr>
            <w:r w:rsidRPr="00B15059">
              <w:rPr>
                <w:b/>
                <w:color w:val="1F497D" w:themeColor="text2"/>
                <w:szCs w:val="20"/>
              </w:rPr>
              <w:t>https://www.ncbi.nlm.nih.gov/pmc/articles/PMC6205145/</w:t>
            </w:r>
          </w:p>
        </w:tc>
        <w:tc>
          <w:tcPr>
            <w:tcW w:w="648" w:type="pct"/>
          </w:tcPr>
          <w:p w14:paraId="3516AB0A" w14:textId="20019AAB" w:rsidR="00DD308E" w:rsidRPr="006F2B6D" w:rsidRDefault="00526B18" w:rsidP="00DD308E">
            <w:pPr>
              <w:rPr>
                <w:b/>
                <w:szCs w:val="20"/>
              </w:rPr>
            </w:pPr>
            <w:r w:rsidRPr="006F2B6D">
              <w:rPr>
                <w:b/>
                <w:szCs w:val="20"/>
              </w:rPr>
              <w:t>201</w:t>
            </w:r>
            <w:r w:rsidR="004066C3" w:rsidRPr="006F2B6D">
              <w:rPr>
                <w:b/>
                <w:szCs w:val="20"/>
              </w:rPr>
              <w:t>8</w:t>
            </w:r>
          </w:p>
        </w:tc>
      </w:tr>
      <w:tr w:rsidR="00DD308E" w14:paraId="5E1AAF6E" w14:textId="77777777" w:rsidTr="006F2B6D">
        <w:trPr>
          <w:cantSplit/>
        </w:trPr>
        <w:tc>
          <w:tcPr>
            <w:tcW w:w="171" w:type="pct"/>
          </w:tcPr>
          <w:p w14:paraId="1003F23A" w14:textId="77777777" w:rsidR="00DD308E" w:rsidRPr="00965B6B" w:rsidRDefault="00DD308E" w:rsidP="00DD308E">
            <w:pPr>
              <w:rPr>
                <w:szCs w:val="20"/>
              </w:rPr>
            </w:pPr>
            <w:r>
              <w:rPr>
                <w:szCs w:val="20"/>
              </w:rPr>
              <w:t>2.</w:t>
            </w:r>
          </w:p>
        </w:tc>
        <w:tc>
          <w:tcPr>
            <w:tcW w:w="708" w:type="pct"/>
          </w:tcPr>
          <w:p w14:paraId="02706075" w14:textId="5C35C25A" w:rsidR="00DD308E" w:rsidRPr="006F2B6D" w:rsidRDefault="00526B18" w:rsidP="00DD308E">
            <w:pPr>
              <w:rPr>
                <w:szCs w:val="20"/>
              </w:rPr>
            </w:pPr>
            <w:r w:rsidRPr="006F2B6D">
              <w:rPr>
                <w:szCs w:val="20"/>
              </w:rPr>
              <w:t>Non-randomised single centre retrospective chart review</w:t>
            </w:r>
          </w:p>
        </w:tc>
        <w:tc>
          <w:tcPr>
            <w:tcW w:w="925" w:type="pct"/>
          </w:tcPr>
          <w:p w14:paraId="2C3123A0" w14:textId="267A5AF0" w:rsidR="00DD308E" w:rsidRPr="006F2B6D" w:rsidRDefault="00526B18" w:rsidP="00DD308E">
            <w:pPr>
              <w:rPr>
                <w:szCs w:val="20"/>
              </w:rPr>
            </w:pPr>
            <w:proofErr w:type="spellStart"/>
            <w:r w:rsidRPr="006F2B6D">
              <w:rPr>
                <w:szCs w:val="20"/>
              </w:rPr>
              <w:t>Khaime</w:t>
            </w:r>
            <w:proofErr w:type="spellEnd"/>
            <w:r w:rsidRPr="006F2B6D">
              <w:rPr>
                <w:szCs w:val="20"/>
              </w:rPr>
              <w:t xml:space="preserve"> MA, Dvorak JD, Ding K </w:t>
            </w:r>
            <w:r w:rsidRPr="006F2B6D">
              <w:rPr>
                <w:i/>
                <w:iCs/>
                <w:szCs w:val="20"/>
              </w:rPr>
              <w:t xml:space="preserve">‘An Analysis of 3-Year Outcomes Following </w:t>
            </w:r>
            <w:proofErr w:type="spellStart"/>
            <w:r w:rsidRPr="006F2B6D">
              <w:rPr>
                <w:i/>
                <w:iCs/>
                <w:szCs w:val="20"/>
              </w:rPr>
              <w:t>Canaloplasty</w:t>
            </w:r>
            <w:proofErr w:type="spellEnd"/>
            <w:r w:rsidRPr="006F2B6D">
              <w:rPr>
                <w:i/>
                <w:iCs/>
                <w:szCs w:val="20"/>
              </w:rPr>
              <w:t xml:space="preserve"> for the Treatment of Open-Angle Glaucoma’ </w:t>
            </w:r>
            <w:proofErr w:type="spellStart"/>
            <w:r w:rsidRPr="006F2B6D">
              <w:rPr>
                <w:szCs w:val="20"/>
              </w:rPr>
              <w:t>Hindawi</w:t>
            </w:r>
            <w:proofErr w:type="spellEnd"/>
            <w:r w:rsidRPr="006F2B6D">
              <w:rPr>
                <w:szCs w:val="20"/>
              </w:rPr>
              <w:t xml:space="preserve"> Journal of Ophthalmology Vol 2017, Article 2904272 </w:t>
            </w:r>
          </w:p>
        </w:tc>
        <w:tc>
          <w:tcPr>
            <w:tcW w:w="1193" w:type="pct"/>
          </w:tcPr>
          <w:p w14:paraId="743070AA" w14:textId="2935702F" w:rsidR="00DD308E" w:rsidRPr="006F2B6D" w:rsidRDefault="00526B18" w:rsidP="00DD308E">
            <w:pPr>
              <w:rPr>
                <w:szCs w:val="20"/>
              </w:rPr>
            </w:pPr>
            <w:r w:rsidRPr="006F2B6D">
              <w:rPr>
                <w:szCs w:val="20"/>
              </w:rPr>
              <w:t xml:space="preserve">277 eyes </w:t>
            </w:r>
            <w:proofErr w:type="gramStart"/>
            <w:r w:rsidRPr="006F2B6D">
              <w:rPr>
                <w:szCs w:val="20"/>
              </w:rPr>
              <w:t>were treated</w:t>
            </w:r>
            <w:proofErr w:type="gramEnd"/>
            <w:r w:rsidRPr="006F2B6D">
              <w:rPr>
                <w:szCs w:val="20"/>
              </w:rPr>
              <w:t xml:space="preserve"> with </w:t>
            </w:r>
            <w:proofErr w:type="spellStart"/>
            <w:r w:rsidRPr="006F2B6D">
              <w:rPr>
                <w:szCs w:val="20"/>
              </w:rPr>
              <w:t>canaloplasty</w:t>
            </w:r>
            <w:proofErr w:type="spellEnd"/>
            <w:r w:rsidRPr="006F2B6D">
              <w:rPr>
                <w:szCs w:val="20"/>
              </w:rPr>
              <w:t xml:space="preserve"> or combined cataract-</w:t>
            </w:r>
            <w:proofErr w:type="spellStart"/>
            <w:r w:rsidRPr="006F2B6D">
              <w:rPr>
                <w:szCs w:val="20"/>
              </w:rPr>
              <w:t>canaloplasty</w:t>
            </w:r>
            <w:proofErr w:type="spellEnd"/>
            <w:r w:rsidRPr="006F2B6D">
              <w:rPr>
                <w:szCs w:val="20"/>
              </w:rPr>
              <w:t xml:space="preserve"> surgery. Primary endpoints: Mean IOP and mean number o</w:t>
            </w:r>
            <w:r w:rsidR="00AC2431" w:rsidRPr="006F2B6D">
              <w:rPr>
                <w:szCs w:val="20"/>
              </w:rPr>
              <w:t>f</w:t>
            </w:r>
            <w:r w:rsidRPr="006F2B6D">
              <w:rPr>
                <w:szCs w:val="20"/>
              </w:rPr>
              <w:t xml:space="preserve"> glaucoma medications. Secondary endpoints: visual acuity and surgical/postsurgical complications</w:t>
            </w:r>
          </w:p>
        </w:tc>
        <w:tc>
          <w:tcPr>
            <w:tcW w:w="1355" w:type="pct"/>
          </w:tcPr>
          <w:p w14:paraId="015F1BCE" w14:textId="4C0BACFF" w:rsidR="00DD308E" w:rsidRPr="00B15059" w:rsidRDefault="00526B18" w:rsidP="00DD308E">
            <w:pPr>
              <w:rPr>
                <w:b/>
                <w:color w:val="1F497D" w:themeColor="text2"/>
                <w:szCs w:val="20"/>
              </w:rPr>
            </w:pPr>
            <w:r w:rsidRPr="00B15059">
              <w:rPr>
                <w:b/>
                <w:color w:val="1F497D" w:themeColor="text2"/>
                <w:szCs w:val="20"/>
              </w:rPr>
              <w:t>https://www.ncbi.nlm.nih.gov/pmc/articles/PMC5642877/</w:t>
            </w:r>
          </w:p>
        </w:tc>
        <w:tc>
          <w:tcPr>
            <w:tcW w:w="648" w:type="pct"/>
          </w:tcPr>
          <w:p w14:paraId="38BA4CA2" w14:textId="7ECBFBD2" w:rsidR="00DD308E" w:rsidRPr="006F2B6D" w:rsidRDefault="00526B18" w:rsidP="00DD308E">
            <w:pPr>
              <w:rPr>
                <w:b/>
                <w:szCs w:val="20"/>
              </w:rPr>
            </w:pPr>
            <w:r w:rsidRPr="006F2B6D">
              <w:t>2017</w:t>
            </w:r>
          </w:p>
        </w:tc>
      </w:tr>
      <w:tr w:rsidR="00DD308E" w14:paraId="30DF0777" w14:textId="77777777" w:rsidTr="006F2B6D">
        <w:trPr>
          <w:cantSplit/>
        </w:trPr>
        <w:tc>
          <w:tcPr>
            <w:tcW w:w="171" w:type="pct"/>
          </w:tcPr>
          <w:p w14:paraId="40C8E654" w14:textId="77777777" w:rsidR="00DD308E" w:rsidRPr="00965B6B" w:rsidRDefault="00DD308E" w:rsidP="00DD308E">
            <w:pPr>
              <w:rPr>
                <w:szCs w:val="20"/>
              </w:rPr>
            </w:pPr>
            <w:r>
              <w:rPr>
                <w:szCs w:val="20"/>
              </w:rPr>
              <w:lastRenderedPageBreak/>
              <w:t>3.</w:t>
            </w:r>
          </w:p>
        </w:tc>
        <w:tc>
          <w:tcPr>
            <w:tcW w:w="708" w:type="pct"/>
          </w:tcPr>
          <w:p w14:paraId="7638F669" w14:textId="35284FF0" w:rsidR="00DD308E" w:rsidRPr="006F2B6D" w:rsidRDefault="00B06406" w:rsidP="00DD308E">
            <w:pPr>
              <w:rPr>
                <w:szCs w:val="20"/>
              </w:rPr>
            </w:pPr>
            <w:r w:rsidRPr="006F2B6D">
              <w:rPr>
                <w:szCs w:val="20"/>
              </w:rPr>
              <w:t>Pros</w:t>
            </w:r>
            <w:r w:rsidR="00F92B41" w:rsidRPr="006F2B6D">
              <w:rPr>
                <w:szCs w:val="20"/>
              </w:rPr>
              <w:t xml:space="preserve">pective </w:t>
            </w:r>
            <w:r w:rsidR="007C1E21" w:rsidRPr="006F2B6D">
              <w:rPr>
                <w:szCs w:val="20"/>
              </w:rPr>
              <w:t>multicentre non-randomised</w:t>
            </w:r>
          </w:p>
        </w:tc>
        <w:tc>
          <w:tcPr>
            <w:tcW w:w="925" w:type="pct"/>
          </w:tcPr>
          <w:p w14:paraId="02520871" w14:textId="460C8DEF" w:rsidR="00DD308E" w:rsidRPr="006F2B6D" w:rsidRDefault="007C1E21" w:rsidP="00DD308E">
            <w:pPr>
              <w:rPr>
                <w:szCs w:val="20"/>
              </w:rPr>
            </w:pPr>
            <w:r w:rsidRPr="006F2B6D">
              <w:rPr>
                <w:szCs w:val="20"/>
              </w:rPr>
              <w:t xml:space="preserve">Lewis RA, von Wolff K, </w:t>
            </w:r>
            <w:proofErr w:type="spellStart"/>
            <w:r w:rsidRPr="006F2B6D">
              <w:rPr>
                <w:szCs w:val="20"/>
              </w:rPr>
              <w:t>Tetz</w:t>
            </w:r>
            <w:proofErr w:type="spellEnd"/>
            <w:r w:rsidRPr="006F2B6D">
              <w:rPr>
                <w:szCs w:val="20"/>
              </w:rPr>
              <w:t xml:space="preserve">, m, </w:t>
            </w:r>
            <w:proofErr w:type="spellStart"/>
            <w:r w:rsidRPr="006F2B6D">
              <w:rPr>
                <w:szCs w:val="20"/>
              </w:rPr>
              <w:t>Koerber</w:t>
            </w:r>
            <w:proofErr w:type="spellEnd"/>
            <w:r w:rsidRPr="006F2B6D">
              <w:rPr>
                <w:szCs w:val="20"/>
              </w:rPr>
              <w:t xml:space="preserve"> N, Kearney JR, </w:t>
            </w:r>
            <w:proofErr w:type="spellStart"/>
            <w:r w:rsidRPr="006F2B6D">
              <w:rPr>
                <w:szCs w:val="20"/>
              </w:rPr>
              <w:t>Shingleton</w:t>
            </w:r>
            <w:proofErr w:type="spellEnd"/>
            <w:r w:rsidRPr="006F2B6D">
              <w:rPr>
                <w:szCs w:val="20"/>
              </w:rPr>
              <w:t xml:space="preserve">, BJ, Samuelson, TW </w:t>
            </w:r>
            <w:r w:rsidRPr="006F2B6D">
              <w:rPr>
                <w:i/>
                <w:iCs/>
                <w:szCs w:val="20"/>
              </w:rPr>
              <w:t>‘</w:t>
            </w:r>
            <w:proofErr w:type="spellStart"/>
            <w:r w:rsidRPr="006F2B6D">
              <w:rPr>
                <w:i/>
                <w:iCs/>
                <w:szCs w:val="20"/>
              </w:rPr>
              <w:t>Canaloplasty</w:t>
            </w:r>
            <w:proofErr w:type="spellEnd"/>
            <w:r w:rsidRPr="006F2B6D">
              <w:rPr>
                <w:i/>
                <w:iCs/>
                <w:szCs w:val="20"/>
              </w:rPr>
              <w:t xml:space="preserve">: Three-year results of circumferential </w:t>
            </w:r>
            <w:proofErr w:type="spellStart"/>
            <w:r w:rsidRPr="006F2B6D">
              <w:rPr>
                <w:i/>
                <w:iCs/>
                <w:szCs w:val="20"/>
              </w:rPr>
              <w:t>viscodilation</w:t>
            </w:r>
            <w:proofErr w:type="spellEnd"/>
            <w:r w:rsidRPr="006F2B6D">
              <w:rPr>
                <w:i/>
                <w:iCs/>
                <w:szCs w:val="20"/>
              </w:rPr>
              <w:t xml:space="preserve"> of </w:t>
            </w:r>
            <w:proofErr w:type="spellStart"/>
            <w:r w:rsidRPr="006F2B6D">
              <w:rPr>
                <w:i/>
                <w:iCs/>
                <w:szCs w:val="20"/>
              </w:rPr>
              <w:t>Schlemm</w:t>
            </w:r>
            <w:proofErr w:type="spellEnd"/>
            <w:r w:rsidRPr="006F2B6D">
              <w:rPr>
                <w:i/>
                <w:iCs/>
                <w:szCs w:val="20"/>
              </w:rPr>
              <w:t xml:space="preserve"> canal using a </w:t>
            </w:r>
            <w:proofErr w:type="spellStart"/>
            <w:r w:rsidRPr="006F2B6D">
              <w:rPr>
                <w:i/>
                <w:iCs/>
                <w:szCs w:val="20"/>
              </w:rPr>
              <w:t>microcatheter</w:t>
            </w:r>
            <w:proofErr w:type="spellEnd"/>
            <w:r w:rsidRPr="006F2B6D">
              <w:rPr>
                <w:i/>
                <w:iCs/>
                <w:szCs w:val="20"/>
              </w:rPr>
              <w:t xml:space="preserve"> to treat open-angle glaucoma’ </w:t>
            </w:r>
            <w:r w:rsidRPr="006F2B6D">
              <w:rPr>
                <w:szCs w:val="20"/>
              </w:rPr>
              <w:t xml:space="preserve">J Cataract Refract </w:t>
            </w:r>
            <w:proofErr w:type="spellStart"/>
            <w:r w:rsidRPr="006F2B6D">
              <w:rPr>
                <w:szCs w:val="20"/>
              </w:rPr>
              <w:t>Surg</w:t>
            </w:r>
            <w:proofErr w:type="spellEnd"/>
            <w:r w:rsidRPr="006F2B6D">
              <w:rPr>
                <w:szCs w:val="20"/>
              </w:rPr>
              <w:t xml:space="preserve"> 2011; 37:682-690</w:t>
            </w:r>
          </w:p>
        </w:tc>
        <w:tc>
          <w:tcPr>
            <w:tcW w:w="1193" w:type="pct"/>
          </w:tcPr>
          <w:p w14:paraId="201A98EA" w14:textId="1FE01E28" w:rsidR="00DD308E" w:rsidRPr="006F2B6D" w:rsidRDefault="007C1E21" w:rsidP="00DD308E">
            <w:pPr>
              <w:rPr>
                <w:szCs w:val="20"/>
              </w:rPr>
            </w:pPr>
            <w:r w:rsidRPr="006F2B6D">
              <w:rPr>
                <w:szCs w:val="20"/>
              </w:rPr>
              <w:t xml:space="preserve">Prospective multicentre trial of 157 eyes treated with a flexible </w:t>
            </w:r>
            <w:proofErr w:type="spellStart"/>
            <w:r w:rsidRPr="006F2B6D">
              <w:rPr>
                <w:szCs w:val="20"/>
              </w:rPr>
              <w:t>microcatheter</w:t>
            </w:r>
            <w:proofErr w:type="spellEnd"/>
            <w:r w:rsidRPr="006F2B6D">
              <w:rPr>
                <w:szCs w:val="20"/>
              </w:rPr>
              <w:t xml:space="preserve"> to </w:t>
            </w:r>
            <w:proofErr w:type="spellStart"/>
            <w:r w:rsidRPr="006F2B6D">
              <w:rPr>
                <w:szCs w:val="20"/>
              </w:rPr>
              <w:t>viscodilate</w:t>
            </w:r>
            <w:proofErr w:type="spellEnd"/>
            <w:r w:rsidRPr="006F2B6D">
              <w:rPr>
                <w:szCs w:val="20"/>
              </w:rPr>
              <w:t xml:space="preserve"> </w:t>
            </w:r>
            <w:proofErr w:type="spellStart"/>
            <w:r w:rsidRPr="006F2B6D">
              <w:rPr>
                <w:szCs w:val="20"/>
              </w:rPr>
              <w:t>Schlemm’s</w:t>
            </w:r>
            <w:proofErr w:type="spellEnd"/>
            <w:r w:rsidRPr="006F2B6D">
              <w:rPr>
                <w:szCs w:val="20"/>
              </w:rPr>
              <w:t xml:space="preserve"> canal followed for three years. Primary outcome measures were mean IOP and mean glaucoma medication use. Secondary outcomes: visual acuity and surgical and post-surgical complications</w:t>
            </w:r>
          </w:p>
        </w:tc>
        <w:tc>
          <w:tcPr>
            <w:tcW w:w="1355" w:type="pct"/>
          </w:tcPr>
          <w:p w14:paraId="376915E3" w14:textId="3FB18DDA" w:rsidR="00DD308E" w:rsidRPr="00B15059" w:rsidRDefault="00C01EDB" w:rsidP="00DD308E">
            <w:pPr>
              <w:rPr>
                <w:b/>
                <w:bCs/>
                <w:color w:val="1F497D" w:themeColor="text2"/>
                <w:szCs w:val="20"/>
              </w:rPr>
            </w:pPr>
            <w:r w:rsidRPr="00B15059">
              <w:rPr>
                <w:b/>
                <w:bCs/>
                <w:color w:val="1F497D" w:themeColor="text2"/>
              </w:rPr>
              <w:t>https://journals.lww.com/jcrs/Abstract/2011/04000/Canaloplasty__Three_year_results_of.11.aspx</w:t>
            </w:r>
          </w:p>
        </w:tc>
        <w:tc>
          <w:tcPr>
            <w:tcW w:w="648" w:type="pct"/>
          </w:tcPr>
          <w:p w14:paraId="55797DE1" w14:textId="60B7E2AD" w:rsidR="00DD308E" w:rsidRPr="006F2B6D" w:rsidRDefault="00C01EDB" w:rsidP="00DD308E">
            <w:pPr>
              <w:rPr>
                <w:b/>
                <w:szCs w:val="20"/>
              </w:rPr>
            </w:pPr>
            <w:r w:rsidRPr="006F2B6D">
              <w:rPr>
                <w:b/>
                <w:szCs w:val="20"/>
              </w:rPr>
              <w:t>2011</w:t>
            </w:r>
          </w:p>
        </w:tc>
      </w:tr>
      <w:tr w:rsidR="00DD308E" w14:paraId="1EB76DB1" w14:textId="77777777" w:rsidTr="006F2B6D">
        <w:trPr>
          <w:cantSplit/>
        </w:trPr>
        <w:tc>
          <w:tcPr>
            <w:tcW w:w="171" w:type="pct"/>
          </w:tcPr>
          <w:p w14:paraId="772E3B31" w14:textId="77777777" w:rsidR="00DD308E" w:rsidRPr="00965B6B" w:rsidRDefault="00DD308E" w:rsidP="00DD308E">
            <w:pPr>
              <w:rPr>
                <w:szCs w:val="20"/>
              </w:rPr>
            </w:pPr>
            <w:r>
              <w:rPr>
                <w:szCs w:val="20"/>
              </w:rPr>
              <w:t>4.</w:t>
            </w:r>
          </w:p>
        </w:tc>
        <w:tc>
          <w:tcPr>
            <w:tcW w:w="708" w:type="pct"/>
          </w:tcPr>
          <w:p w14:paraId="43A1B445" w14:textId="3BDE8638" w:rsidR="00DD308E" w:rsidRPr="006F2B6D" w:rsidRDefault="00880B9F" w:rsidP="00DD308E">
            <w:pPr>
              <w:rPr>
                <w:bCs/>
                <w:szCs w:val="20"/>
              </w:rPr>
            </w:pPr>
            <w:r w:rsidRPr="006F2B6D">
              <w:rPr>
                <w:bCs/>
              </w:rPr>
              <w:t>Consecutive case series</w:t>
            </w:r>
          </w:p>
        </w:tc>
        <w:tc>
          <w:tcPr>
            <w:tcW w:w="925" w:type="pct"/>
          </w:tcPr>
          <w:p w14:paraId="2D8DA371" w14:textId="65E6E8BA" w:rsidR="00DD308E" w:rsidRPr="006F2B6D" w:rsidRDefault="00880B9F" w:rsidP="00DD308E">
            <w:pPr>
              <w:rPr>
                <w:szCs w:val="20"/>
              </w:rPr>
            </w:pPr>
            <w:proofErr w:type="spellStart"/>
            <w:r w:rsidRPr="006F2B6D">
              <w:rPr>
                <w:bCs/>
              </w:rPr>
              <w:t>Korber</w:t>
            </w:r>
            <w:proofErr w:type="spellEnd"/>
            <w:r w:rsidRPr="006F2B6D">
              <w:rPr>
                <w:bCs/>
              </w:rPr>
              <w:t xml:space="preserve"> </w:t>
            </w:r>
            <w:r w:rsidRPr="006F2B6D">
              <w:rPr>
                <w:bCs/>
                <w:i/>
                <w:iCs/>
              </w:rPr>
              <w:t xml:space="preserve">‘Ab </w:t>
            </w:r>
            <w:proofErr w:type="spellStart"/>
            <w:r w:rsidRPr="006F2B6D">
              <w:rPr>
                <w:bCs/>
                <w:i/>
                <w:iCs/>
              </w:rPr>
              <w:t>interno</w:t>
            </w:r>
            <w:proofErr w:type="spellEnd"/>
            <w:r w:rsidRPr="006F2B6D">
              <w:rPr>
                <w:bCs/>
                <w:i/>
                <w:iCs/>
              </w:rPr>
              <w:t xml:space="preserve"> </w:t>
            </w:r>
            <w:proofErr w:type="spellStart"/>
            <w:r w:rsidRPr="006F2B6D">
              <w:rPr>
                <w:bCs/>
                <w:i/>
                <w:iCs/>
              </w:rPr>
              <w:t>canaloplasty</w:t>
            </w:r>
            <w:proofErr w:type="spellEnd"/>
            <w:r w:rsidRPr="006F2B6D">
              <w:rPr>
                <w:bCs/>
                <w:i/>
                <w:iCs/>
              </w:rPr>
              <w:t xml:space="preserve"> for the treatment of glaucoma: a case series study’ </w:t>
            </w:r>
            <w:proofErr w:type="spellStart"/>
            <w:r w:rsidRPr="006F2B6D">
              <w:rPr>
                <w:bCs/>
              </w:rPr>
              <w:t>Spektrum</w:t>
            </w:r>
            <w:proofErr w:type="spellEnd"/>
            <w:r w:rsidRPr="006F2B6D">
              <w:rPr>
                <w:bCs/>
              </w:rPr>
              <w:t xml:space="preserve"> </w:t>
            </w:r>
            <w:proofErr w:type="spellStart"/>
            <w:r w:rsidRPr="006F2B6D">
              <w:rPr>
                <w:bCs/>
              </w:rPr>
              <w:t>Augenhelkd</w:t>
            </w:r>
            <w:proofErr w:type="spellEnd"/>
            <w:r w:rsidRPr="006F2B6D">
              <w:rPr>
                <w:bCs/>
              </w:rPr>
              <w:t xml:space="preserve"> (2018) 32:223-227</w:t>
            </w:r>
          </w:p>
        </w:tc>
        <w:tc>
          <w:tcPr>
            <w:tcW w:w="1193" w:type="pct"/>
          </w:tcPr>
          <w:p w14:paraId="2DC400DE" w14:textId="6F0CE397" w:rsidR="00DD308E" w:rsidRPr="006F2B6D" w:rsidRDefault="00880B9F" w:rsidP="00DD308E">
            <w:pPr>
              <w:rPr>
                <w:szCs w:val="20"/>
              </w:rPr>
            </w:pPr>
            <w:r w:rsidRPr="006F2B6D">
              <w:rPr>
                <w:szCs w:val="20"/>
              </w:rPr>
              <w:t>Single centre consecutive case series study of 20 patients treated with ab-</w:t>
            </w:r>
            <w:proofErr w:type="spellStart"/>
            <w:r w:rsidRPr="006F2B6D">
              <w:rPr>
                <w:szCs w:val="20"/>
              </w:rPr>
              <w:t>interno</w:t>
            </w:r>
            <w:proofErr w:type="spellEnd"/>
            <w:r w:rsidRPr="006F2B6D">
              <w:rPr>
                <w:szCs w:val="20"/>
              </w:rPr>
              <w:t xml:space="preserve"> </w:t>
            </w:r>
            <w:proofErr w:type="spellStart"/>
            <w:r w:rsidRPr="006F2B6D">
              <w:rPr>
                <w:szCs w:val="20"/>
              </w:rPr>
              <w:t>canuloplasty</w:t>
            </w:r>
            <w:proofErr w:type="spellEnd"/>
            <w:r w:rsidRPr="006F2B6D">
              <w:rPr>
                <w:szCs w:val="20"/>
              </w:rPr>
              <w:t xml:space="preserve">.                                                                                                                                                      Primary outcome measures: Mean IOP and mean number of </w:t>
            </w:r>
            <w:proofErr w:type="spellStart"/>
            <w:r w:rsidRPr="006F2B6D">
              <w:rPr>
                <w:szCs w:val="20"/>
              </w:rPr>
              <w:t>antiglaucoma</w:t>
            </w:r>
            <w:proofErr w:type="spellEnd"/>
            <w:r w:rsidRPr="006F2B6D">
              <w:rPr>
                <w:szCs w:val="20"/>
              </w:rPr>
              <w:t xml:space="preserve"> medications</w:t>
            </w:r>
          </w:p>
        </w:tc>
        <w:tc>
          <w:tcPr>
            <w:tcW w:w="1355" w:type="pct"/>
          </w:tcPr>
          <w:p w14:paraId="5361FDD1" w14:textId="6F189852" w:rsidR="00DD308E" w:rsidRPr="00B15059" w:rsidRDefault="00880B9F" w:rsidP="00DD308E">
            <w:pPr>
              <w:rPr>
                <w:b/>
                <w:color w:val="1F497D" w:themeColor="text2"/>
                <w:szCs w:val="20"/>
              </w:rPr>
            </w:pPr>
            <w:r w:rsidRPr="00B15059">
              <w:rPr>
                <w:b/>
                <w:color w:val="1F497D" w:themeColor="text2"/>
                <w:szCs w:val="20"/>
              </w:rPr>
              <w:t>https://www.ncbi.nlm.nih.gov/pmc/articles/PMC6280802/</w:t>
            </w:r>
          </w:p>
        </w:tc>
        <w:tc>
          <w:tcPr>
            <w:tcW w:w="648" w:type="pct"/>
          </w:tcPr>
          <w:p w14:paraId="71532B77" w14:textId="6FC32EC8" w:rsidR="00DD308E" w:rsidRPr="006F2B6D" w:rsidRDefault="00880B9F" w:rsidP="00DD308E">
            <w:pPr>
              <w:rPr>
                <w:b/>
                <w:szCs w:val="20"/>
              </w:rPr>
            </w:pPr>
            <w:r w:rsidRPr="006F2B6D">
              <w:rPr>
                <w:b/>
                <w:szCs w:val="20"/>
              </w:rPr>
              <w:t>2016</w:t>
            </w:r>
          </w:p>
        </w:tc>
      </w:tr>
    </w:tbl>
    <w:p w14:paraId="2FA6895A"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22F019E3" w14:textId="77777777" w:rsidR="00DD308E" w:rsidRDefault="00DD308E" w:rsidP="00DD308E">
      <w:pPr>
        <w:spacing w:after="0"/>
        <w:ind w:left="426"/>
        <w:rPr>
          <w:i/>
          <w:szCs w:val="20"/>
        </w:rPr>
      </w:pPr>
      <w:r>
        <w:rPr>
          <w:i/>
          <w:szCs w:val="20"/>
        </w:rPr>
        <w:t xml:space="preserve">**Provide </w:t>
      </w:r>
      <w:proofErr w:type="gramStart"/>
      <w:r>
        <w:rPr>
          <w:i/>
          <w:szCs w:val="20"/>
        </w:rPr>
        <w:t>high level</w:t>
      </w:r>
      <w:proofErr w:type="gramEnd"/>
      <w:r>
        <w:rPr>
          <w:i/>
          <w:szCs w:val="20"/>
        </w:rPr>
        <w:t xml:space="preserve"> information including population numbers and whether patients are being recruited or in post-recruitment, including providing the trial registration number to allow for tracking purposes.</w:t>
      </w:r>
    </w:p>
    <w:p w14:paraId="701DEB49"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46D836D8" w14:textId="77777777" w:rsidR="00DD308E" w:rsidRDefault="00DD308E" w:rsidP="00DD308E">
      <w:pPr>
        <w:rPr>
          <w:i/>
          <w:szCs w:val="20"/>
        </w:rPr>
      </w:pPr>
      <w:r>
        <w:rPr>
          <w:i/>
          <w:szCs w:val="20"/>
        </w:rPr>
        <w:br w:type="page"/>
      </w:r>
    </w:p>
    <w:p w14:paraId="6FBCE8E3"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3D3F464C" w14:textId="77777777" w:rsidR="004C49EF" w:rsidRDefault="004C49EF" w:rsidP="00530204">
      <w:pPr>
        <w:pStyle w:val="Heading2"/>
      </w:pPr>
      <w:r w:rsidRPr="00E82F54">
        <w:lastRenderedPageBreak/>
        <w:t xml:space="preserve">Identify yet to be published research that may have results available in the near </w:t>
      </w:r>
      <w:proofErr w:type="gramStart"/>
      <w:r w:rsidRPr="00E82F54">
        <w:t>future</w:t>
      </w:r>
      <w:proofErr w:type="gramEnd"/>
      <w:r w:rsidRPr="00E82F54">
        <w:t xml:space="preserv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5000" w:type="pct"/>
        <w:tblLayout w:type="fixed"/>
        <w:tblLook w:val="04A0" w:firstRow="1" w:lastRow="0" w:firstColumn="1" w:lastColumn="0" w:noHBand="0" w:noVBand="1"/>
        <w:tblCaption w:val="Summary of Evidence - Yet to be Published"/>
      </w:tblPr>
      <w:tblGrid>
        <w:gridCol w:w="419"/>
        <w:gridCol w:w="2006"/>
        <w:gridCol w:w="2647"/>
        <w:gridCol w:w="3428"/>
        <w:gridCol w:w="4279"/>
        <w:gridCol w:w="1169"/>
      </w:tblGrid>
      <w:tr w:rsidR="004C49EF" w14:paraId="2B3F5248" w14:textId="77777777" w:rsidTr="00641BBD">
        <w:trPr>
          <w:cantSplit/>
          <w:tblHeader/>
        </w:trPr>
        <w:tc>
          <w:tcPr>
            <w:tcW w:w="150" w:type="pct"/>
          </w:tcPr>
          <w:p w14:paraId="3F78B8F0" w14:textId="77777777" w:rsidR="004C49EF" w:rsidRDefault="004C49EF" w:rsidP="00855944">
            <w:pPr>
              <w:pStyle w:val="TableHEADER"/>
            </w:pPr>
          </w:p>
        </w:tc>
        <w:tc>
          <w:tcPr>
            <w:tcW w:w="719" w:type="pct"/>
          </w:tcPr>
          <w:p w14:paraId="155B952C" w14:textId="77777777" w:rsidR="004C49EF" w:rsidRDefault="004C49EF" w:rsidP="00855944">
            <w:pPr>
              <w:pStyle w:val="TableHEADER"/>
            </w:pPr>
            <w:r>
              <w:t>Type of study design*</w:t>
            </w:r>
          </w:p>
        </w:tc>
        <w:tc>
          <w:tcPr>
            <w:tcW w:w="949" w:type="pct"/>
          </w:tcPr>
          <w:p w14:paraId="7576857C" w14:textId="77777777" w:rsidR="004C49EF" w:rsidRDefault="004C49EF" w:rsidP="00855944">
            <w:pPr>
              <w:pStyle w:val="TableHEADER"/>
            </w:pPr>
            <w:r>
              <w:t>Title of research (including any trial identifier if relevant)</w:t>
            </w:r>
          </w:p>
        </w:tc>
        <w:tc>
          <w:tcPr>
            <w:tcW w:w="1229" w:type="pct"/>
          </w:tcPr>
          <w:p w14:paraId="5EEBD158" w14:textId="77777777" w:rsidR="004C49EF" w:rsidRDefault="00367C1B" w:rsidP="00855944">
            <w:pPr>
              <w:pStyle w:val="TableHEADER"/>
            </w:pPr>
            <w:r>
              <w:t xml:space="preserve">Short description of research </w:t>
            </w:r>
            <w:r w:rsidR="004C49EF">
              <w:t>(max 50 words)**</w:t>
            </w:r>
          </w:p>
        </w:tc>
        <w:tc>
          <w:tcPr>
            <w:tcW w:w="1534" w:type="pct"/>
          </w:tcPr>
          <w:p w14:paraId="17CAFB02" w14:textId="77777777" w:rsidR="004C49EF" w:rsidRDefault="004C49EF" w:rsidP="00855944">
            <w:pPr>
              <w:pStyle w:val="TableHEADER"/>
            </w:pPr>
            <w:r w:rsidRPr="00E82F54">
              <w:t xml:space="preserve">Website link to </w:t>
            </w:r>
            <w:r>
              <w:t>research (if available)</w:t>
            </w:r>
          </w:p>
        </w:tc>
        <w:tc>
          <w:tcPr>
            <w:tcW w:w="419" w:type="pct"/>
          </w:tcPr>
          <w:p w14:paraId="610C2DA1" w14:textId="77777777" w:rsidR="004C49EF" w:rsidRPr="006F2B6D" w:rsidRDefault="004C49EF" w:rsidP="00855944">
            <w:pPr>
              <w:pStyle w:val="TableHEADER"/>
            </w:pPr>
            <w:r w:rsidRPr="006F2B6D">
              <w:t>Date***</w:t>
            </w:r>
          </w:p>
        </w:tc>
      </w:tr>
      <w:tr w:rsidR="004C49EF" w14:paraId="73FD85D6" w14:textId="77777777" w:rsidTr="00641BBD">
        <w:trPr>
          <w:cantSplit/>
        </w:trPr>
        <w:tc>
          <w:tcPr>
            <w:tcW w:w="150" w:type="pct"/>
          </w:tcPr>
          <w:p w14:paraId="37445100" w14:textId="77777777" w:rsidR="004C49EF" w:rsidRPr="006F2B6D" w:rsidRDefault="004C49EF" w:rsidP="00526478">
            <w:pPr>
              <w:rPr>
                <w:szCs w:val="20"/>
              </w:rPr>
            </w:pPr>
            <w:r w:rsidRPr="006F2B6D">
              <w:rPr>
                <w:szCs w:val="20"/>
              </w:rPr>
              <w:t>1.</w:t>
            </w:r>
          </w:p>
        </w:tc>
        <w:tc>
          <w:tcPr>
            <w:tcW w:w="719" w:type="pct"/>
          </w:tcPr>
          <w:p w14:paraId="52E4335B" w14:textId="194E9025" w:rsidR="004C49EF" w:rsidRPr="006F2B6D" w:rsidRDefault="00187CEB" w:rsidP="00526478">
            <w:pPr>
              <w:rPr>
                <w:b/>
                <w:szCs w:val="20"/>
              </w:rPr>
            </w:pPr>
            <w:r w:rsidRPr="006F2B6D">
              <w:rPr>
                <w:rFonts w:ascii="Arial" w:hAnsi="Arial" w:cs="Arial"/>
                <w:sz w:val="22"/>
                <w:shd w:val="clear" w:color="auto" w:fill="FFFFFF"/>
              </w:rPr>
              <w:t xml:space="preserve"> </w:t>
            </w:r>
            <w:r w:rsidRPr="006F2B6D">
              <w:rPr>
                <w:rFonts w:cstheme="minorHAnsi"/>
                <w:szCs w:val="20"/>
                <w:shd w:val="clear" w:color="auto" w:fill="FFFFFF"/>
              </w:rPr>
              <w:t>Prospective, multi-cent</w:t>
            </w:r>
            <w:r w:rsidR="00641BBD" w:rsidRPr="006F2B6D">
              <w:rPr>
                <w:rFonts w:cstheme="minorHAnsi"/>
                <w:szCs w:val="20"/>
                <w:shd w:val="clear" w:color="auto" w:fill="FFFFFF"/>
              </w:rPr>
              <w:t>re</w:t>
            </w:r>
            <w:r w:rsidRPr="006F2B6D">
              <w:rPr>
                <w:rFonts w:cstheme="minorHAnsi"/>
                <w:szCs w:val="20"/>
                <w:shd w:val="clear" w:color="auto" w:fill="FFFFFF"/>
              </w:rPr>
              <w:t xml:space="preserve"> registry study.</w:t>
            </w:r>
          </w:p>
        </w:tc>
        <w:tc>
          <w:tcPr>
            <w:tcW w:w="949" w:type="pct"/>
          </w:tcPr>
          <w:p w14:paraId="5D210E2D" w14:textId="36F75229" w:rsidR="00187CEB" w:rsidRPr="006F2B6D" w:rsidRDefault="00187CEB" w:rsidP="00187CEB">
            <w:pPr>
              <w:spacing w:line="280" w:lineRule="exact"/>
              <w:rPr>
                <w:rFonts w:ascii="Arial" w:hAnsi="Arial" w:cs="Arial"/>
                <w:i/>
                <w:iCs/>
                <w:sz w:val="22"/>
              </w:rPr>
            </w:pPr>
            <w:r w:rsidRPr="006F2B6D">
              <w:t xml:space="preserve"> </w:t>
            </w:r>
            <w:proofErr w:type="spellStart"/>
            <w:r w:rsidRPr="006F2B6D">
              <w:t>Lubek</w:t>
            </w:r>
            <w:proofErr w:type="spellEnd"/>
            <w:r w:rsidRPr="006F2B6D">
              <w:t xml:space="preserve"> D, Singh I &amp; </w:t>
            </w:r>
            <w:proofErr w:type="spellStart"/>
            <w:r w:rsidRPr="006F2B6D">
              <w:t>Noecker</w:t>
            </w:r>
            <w:proofErr w:type="spellEnd"/>
            <w:r w:rsidRPr="006F2B6D">
              <w:t xml:space="preserve"> R, </w:t>
            </w:r>
            <w:r w:rsidRPr="006F2B6D">
              <w:rPr>
                <w:rFonts w:cstheme="minorHAnsi"/>
                <w:i/>
                <w:iCs/>
                <w:szCs w:val="20"/>
              </w:rPr>
              <w:t xml:space="preserve">Evaluation Of Endothelial Cell Density and Loss Following </w:t>
            </w:r>
            <w:proofErr w:type="spellStart"/>
            <w:r w:rsidRPr="006F2B6D">
              <w:rPr>
                <w:rFonts w:cstheme="minorHAnsi"/>
                <w:i/>
                <w:iCs/>
                <w:szCs w:val="20"/>
              </w:rPr>
              <w:t>i</w:t>
            </w:r>
            <w:proofErr w:type="spellEnd"/>
            <w:r w:rsidRPr="006F2B6D">
              <w:rPr>
                <w:rFonts w:cstheme="minorHAnsi"/>
                <w:i/>
                <w:iCs/>
                <w:szCs w:val="20"/>
              </w:rPr>
              <w:t>-Track Ab-</w:t>
            </w:r>
            <w:proofErr w:type="spellStart"/>
            <w:r w:rsidRPr="006F2B6D">
              <w:rPr>
                <w:rFonts w:cstheme="minorHAnsi"/>
                <w:i/>
                <w:iCs/>
                <w:szCs w:val="20"/>
              </w:rPr>
              <w:t>Interno</w:t>
            </w:r>
            <w:proofErr w:type="spellEnd"/>
            <w:r w:rsidRPr="006F2B6D">
              <w:rPr>
                <w:rFonts w:cstheme="minorHAnsi"/>
                <w:i/>
                <w:iCs/>
                <w:szCs w:val="20"/>
              </w:rPr>
              <w:t xml:space="preserve"> Canal Based Surgery</w:t>
            </w:r>
          </w:p>
          <w:p w14:paraId="17931968" w14:textId="5829CDF5" w:rsidR="004C49EF" w:rsidRPr="006F2B6D" w:rsidRDefault="004C49EF" w:rsidP="00526478">
            <w:pPr>
              <w:rPr>
                <w:b/>
                <w:szCs w:val="20"/>
              </w:rPr>
            </w:pPr>
          </w:p>
        </w:tc>
        <w:tc>
          <w:tcPr>
            <w:tcW w:w="1229" w:type="pct"/>
          </w:tcPr>
          <w:p w14:paraId="1F34999E" w14:textId="4917B64D" w:rsidR="00187CEB" w:rsidRPr="006F2B6D" w:rsidRDefault="00187CEB" w:rsidP="00187CEB">
            <w:pPr>
              <w:autoSpaceDE w:val="0"/>
              <w:autoSpaceDN w:val="0"/>
              <w:spacing w:line="280" w:lineRule="exact"/>
              <w:rPr>
                <w:rFonts w:cstheme="minorHAnsi"/>
                <w:szCs w:val="20"/>
              </w:rPr>
            </w:pPr>
            <w:r w:rsidRPr="006F2B6D">
              <w:rPr>
                <w:rFonts w:ascii="Arial" w:hAnsi="Arial" w:cs="Arial"/>
                <w:sz w:val="22"/>
              </w:rPr>
              <w:t xml:space="preserve"> </w:t>
            </w:r>
            <w:r w:rsidRPr="006F2B6D">
              <w:rPr>
                <w:rFonts w:cstheme="minorHAnsi"/>
                <w:szCs w:val="20"/>
              </w:rPr>
              <w:t>Preliminary results of a prospective, multi-</w:t>
            </w:r>
            <w:proofErr w:type="spellStart"/>
            <w:r w:rsidRPr="006F2B6D">
              <w:rPr>
                <w:rFonts w:cstheme="minorHAnsi"/>
                <w:szCs w:val="20"/>
              </w:rPr>
              <w:t>center</w:t>
            </w:r>
            <w:proofErr w:type="spellEnd"/>
            <w:r w:rsidRPr="006F2B6D">
              <w:rPr>
                <w:rFonts w:cstheme="minorHAnsi"/>
                <w:szCs w:val="20"/>
              </w:rPr>
              <w:t xml:space="preserve"> RWE study evaluating the endothelial cell density in patients who underwent </w:t>
            </w:r>
            <w:proofErr w:type="spellStart"/>
            <w:r w:rsidRPr="006F2B6D">
              <w:rPr>
                <w:rFonts w:cstheme="minorHAnsi"/>
                <w:szCs w:val="20"/>
              </w:rPr>
              <w:t>iTrack</w:t>
            </w:r>
            <w:proofErr w:type="spellEnd"/>
            <w:r w:rsidRPr="006F2B6D">
              <w:rPr>
                <w:rFonts w:cstheme="minorHAnsi"/>
                <w:szCs w:val="20"/>
              </w:rPr>
              <w:t xml:space="preserve">™ in addition to efficacy outcomes i.e. IOP and reduction in medication burden. Preliminary 6-month results demonstrate minimal change in endothelial cell density following </w:t>
            </w:r>
            <w:proofErr w:type="spellStart"/>
            <w:r w:rsidRPr="006F2B6D">
              <w:rPr>
                <w:rFonts w:cstheme="minorHAnsi"/>
                <w:szCs w:val="20"/>
              </w:rPr>
              <w:t>iTrack</w:t>
            </w:r>
            <w:proofErr w:type="spellEnd"/>
            <w:r w:rsidRPr="006F2B6D">
              <w:rPr>
                <w:rFonts w:cstheme="minorHAnsi"/>
                <w:szCs w:val="20"/>
              </w:rPr>
              <w:t>™ that is comparable to cataract surgery alone at -3.1%.</w:t>
            </w:r>
          </w:p>
          <w:p w14:paraId="01425B1D" w14:textId="3FF60B74" w:rsidR="004C49EF" w:rsidRPr="006F2B6D" w:rsidRDefault="004C49EF" w:rsidP="00526478">
            <w:pPr>
              <w:rPr>
                <w:b/>
                <w:szCs w:val="20"/>
              </w:rPr>
            </w:pPr>
          </w:p>
        </w:tc>
        <w:tc>
          <w:tcPr>
            <w:tcW w:w="1534" w:type="pct"/>
          </w:tcPr>
          <w:p w14:paraId="69AE2114" w14:textId="2DB985C9" w:rsidR="004C49EF" w:rsidRPr="00D13C73" w:rsidRDefault="00187CEB" w:rsidP="00526478">
            <w:pPr>
              <w:rPr>
                <w:b/>
                <w:color w:val="1F497D" w:themeColor="text2"/>
                <w:szCs w:val="20"/>
              </w:rPr>
            </w:pPr>
            <w:r w:rsidRPr="00D13C73">
              <w:rPr>
                <w:color w:val="1F497D" w:themeColor="text2"/>
              </w:rPr>
              <w:t xml:space="preserve"> </w:t>
            </w:r>
            <w:hyperlink r:id="rId18" w:history="1">
              <w:r w:rsidRPr="00D13C73">
                <w:rPr>
                  <w:rStyle w:val="Hyperlink"/>
                  <w:rFonts w:cstheme="minorHAnsi"/>
                  <w:color w:val="1F497D" w:themeColor="text2"/>
                  <w:szCs w:val="20"/>
                </w:rPr>
                <w:t>https://ascrs.confex.com/ascrs/20am/meetingapp.cgi/Paper/68712</w:t>
              </w:r>
            </w:hyperlink>
          </w:p>
        </w:tc>
        <w:tc>
          <w:tcPr>
            <w:tcW w:w="419" w:type="pct"/>
          </w:tcPr>
          <w:p w14:paraId="5837E949" w14:textId="414E3361" w:rsidR="004C49EF" w:rsidRPr="006F2B6D" w:rsidRDefault="00187CEB" w:rsidP="00526478">
            <w:pPr>
              <w:rPr>
                <w:b/>
                <w:szCs w:val="20"/>
              </w:rPr>
            </w:pPr>
            <w:r w:rsidRPr="006F2B6D">
              <w:rPr>
                <w:rFonts w:ascii="Arial" w:hAnsi="Arial" w:cs="Arial"/>
                <w:sz w:val="22"/>
              </w:rPr>
              <w:t xml:space="preserve"> </w:t>
            </w:r>
            <w:r w:rsidRPr="006F2B6D">
              <w:rPr>
                <w:rFonts w:cstheme="minorHAnsi"/>
                <w:szCs w:val="20"/>
              </w:rPr>
              <w:t>Interim 12-month data to be published in 2021</w:t>
            </w:r>
          </w:p>
        </w:tc>
      </w:tr>
    </w:tbl>
    <w:p w14:paraId="34CB727F"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7BF43425" w14:textId="77777777" w:rsidR="004C49EF" w:rsidRDefault="004C49EF" w:rsidP="004C49EF">
      <w:pPr>
        <w:spacing w:after="0"/>
        <w:ind w:left="426"/>
        <w:rPr>
          <w:i/>
          <w:szCs w:val="20"/>
        </w:rPr>
      </w:pPr>
      <w:r>
        <w:rPr>
          <w:i/>
          <w:szCs w:val="20"/>
        </w:rPr>
        <w:t xml:space="preserve">**Provide </w:t>
      </w:r>
      <w:proofErr w:type="gramStart"/>
      <w:r>
        <w:rPr>
          <w:i/>
          <w:szCs w:val="20"/>
        </w:rPr>
        <w:t>high level</w:t>
      </w:r>
      <w:proofErr w:type="gramEnd"/>
      <w:r>
        <w:rPr>
          <w:i/>
          <w:szCs w:val="20"/>
        </w:rPr>
        <w:t xml:space="preserve"> information including population numbers and whether patients are being recruited or in post-recruitment.</w:t>
      </w:r>
    </w:p>
    <w:p w14:paraId="6281709E"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proofErr w:type="gramStart"/>
      <w:r>
        <w:rPr>
          <w:i/>
          <w:szCs w:val="20"/>
        </w:rPr>
        <w:t>will be</w:t>
      </w:r>
      <w:r w:rsidRPr="00E82F54">
        <w:rPr>
          <w:i/>
          <w:szCs w:val="20"/>
        </w:rPr>
        <w:t xml:space="preserve"> made</w:t>
      </w:r>
      <w:proofErr w:type="gramEnd"/>
      <w:r w:rsidRPr="00E82F54">
        <w:rPr>
          <w:i/>
          <w:szCs w:val="20"/>
        </w:rPr>
        <w:t xml:space="preserve"> available</w:t>
      </w:r>
      <w:r>
        <w:rPr>
          <w:i/>
          <w:szCs w:val="20"/>
        </w:rPr>
        <w:t xml:space="preserve"> (to the best of your knowledge)</w:t>
      </w:r>
      <w:r w:rsidRPr="00E82F54">
        <w:rPr>
          <w:i/>
          <w:szCs w:val="20"/>
        </w:rPr>
        <w:t>.</w:t>
      </w:r>
    </w:p>
    <w:p w14:paraId="1ACA3CEF"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5B906700"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4DCC6475"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04A4AD6A" w14:textId="1CDFDAC2" w:rsidR="00CE6394" w:rsidRPr="006F2B6D" w:rsidRDefault="0020228B" w:rsidP="006F2B6D">
      <w:pPr>
        <w:ind w:left="426"/>
        <w:rPr>
          <w:b/>
          <w:color w:val="1F497D" w:themeColor="text2"/>
        </w:rPr>
      </w:pPr>
      <w:r w:rsidRPr="006F2B6D">
        <w:rPr>
          <w:b/>
        </w:rPr>
        <w:t>REDACTED</w:t>
      </w:r>
    </w:p>
    <w:p w14:paraId="1184E28C"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w:t>
      </w:r>
      <w:proofErr w:type="gramStart"/>
      <w:r>
        <w:t>may be impacted</w:t>
      </w:r>
      <w:proofErr w:type="gramEnd"/>
      <w:r>
        <w:t xml:space="preserve"> by this medical service</w:t>
      </w:r>
      <w:r w:rsidR="00F93784">
        <w:t xml:space="preserve"> (i.e. those who provide the comparator service)</w:t>
      </w:r>
      <w:r w:rsidR="00197D29">
        <w:t>:</w:t>
      </w:r>
    </w:p>
    <w:p w14:paraId="31F3C15E" w14:textId="2419A3B1" w:rsidR="00EA173C" w:rsidRPr="006F2B6D" w:rsidRDefault="00ED4262" w:rsidP="00A727B6">
      <w:pPr>
        <w:ind w:left="426"/>
      </w:pPr>
      <w:r w:rsidRPr="006F2B6D">
        <w:t>The same professionals provide the service</w:t>
      </w:r>
      <w:r w:rsidR="00D13C73" w:rsidRPr="006F2B6D">
        <w:t>s</w:t>
      </w:r>
      <w:r w:rsidRPr="006F2B6D">
        <w:t xml:space="preserve"> associated with the current </w:t>
      </w:r>
      <w:r w:rsidR="00AD0273" w:rsidRPr="006F2B6D">
        <w:t>wording of the item number</w:t>
      </w:r>
      <w:r w:rsidRPr="006F2B6D">
        <w:t>.  Modifying the wording of the item number w</w:t>
      </w:r>
      <w:r w:rsidR="00AD0273" w:rsidRPr="006F2B6D">
        <w:t>ould only increase the choice of device.</w:t>
      </w:r>
    </w:p>
    <w:p w14:paraId="6F4E08F0"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1FB9DE91" w14:textId="11C55068" w:rsidR="00E82F54" w:rsidRPr="006F2B6D" w:rsidRDefault="0020228B" w:rsidP="00A727B6">
      <w:pPr>
        <w:ind w:left="426"/>
        <w:rPr>
          <w:b/>
          <w:color w:val="1F497D" w:themeColor="text2"/>
          <w:szCs w:val="20"/>
        </w:rPr>
      </w:pPr>
      <w:r w:rsidRPr="006F2B6D">
        <w:rPr>
          <w:b/>
          <w:color w:val="1F497D" w:themeColor="text2"/>
        </w:rPr>
        <w:t>REDACTED</w:t>
      </w:r>
    </w:p>
    <w:p w14:paraId="389C326C"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5B473997" w14:textId="369F2B64" w:rsidR="00EE6450" w:rsidRDefault="00CE6394" w:rsidP="00EE6450">
      <w:pPr>
        <w:ind w:left="426"/>
        <w:rPr>
          <w:color w:val="1F497D" w:themeColor="text2"/>
        </w:rPr>
      </w:pPr>
      <w:r>
        <w:rPr>
          <w:color w:val="1F497D" w:themeColor="text2"/>
        </w:rPr>
        <w:t xml:space="preserve">The following devices are also used in the trabecular network and are </w:t>
      </w:r>
      <w:r w:rsidR="0066158A">
        <w:rPr>
          <w:color w:val="1F497D" w:themeColor="text2"/>
        </w:rPr>
        <w:t>included in the current wording of the item number</w:t>
      </w:r>
    </w:p>
    <w:p w14:paraId="13505B05" w14:textId="614038A9" w:rsidR="0066158A" w:rsidRDefault="0066158A" w:rsidP="00EE6450">
      <w:pPr>
        <w:ind w:left="426"/>
        <w:rPr>
          <w:color w:val="1F497D" w:themeColor="text2"/>
        </w:rPr>
      </w:pPr>
      <w:r>
        <w:rPr>
          <w:color w:val="1F497D" w:themeColor="text2"/>
        </w:rPr>
        <w:t xml:space="preserve">Sponsor: </w:t>
      </w:r>
      <w:proofErr w:type="spellStart"/>
      <w:r>
        <w:rPr>
          <w:color w:val="1F497D" w:themeColor="text2"/>
        </w:rPr>
        <w:t>Ophthalmico</w:t>
      </w:r>
      <w:proofErr w:type="spellEnd"/>
      <w:r>
        <w:rPr>
          <w:color w:val="1F497D" w:themeColor="text2"/>
        </w:rPr>
        <w:t xml:space="preserve"> Pty Ltd, Manufacturer: </w:t>
      </w:r>
      <w:proofErr w:type="spellStart"/>
      <w:r>
        <w:rPr>
          <w:color w:val="1F497D" w:themeColor="text2"/>
        </w:rPr>
        <w:t>Ivantis</w:t>
      </w:r>
      <w:proofErr w:type="spellEnd"/>
      <w:r>
        <w:rPr>
          <w:color w:val="1F497D" w:themeColor="text2"/>
        </w:rPr>
        <w:t xml:space="preserve"> </w:t>
      </w:r>
      <w:proofErr w:type="spellStart"/>
      <w:r>
        <w:rPr>
          <w:color w:val="1F497D" w:themeColor="text2"/>
        </w:rPr>
        <w:t>Inc</w:t>
      </w:r>
      <w:proofErr w:type="spellEnd"/>
      <w:r>
        <w:rPr>
          <w:color w:val="1F497D" w:themeColor="text2"/>
        </w:rPr>
        <w:t xml:space="preserve">, Device: Hydrus </w:t>
      </w:r>
      <w:proofErr w:type="spellStart"/>
      <w:r>
        <w:rPr>
          <w:color w:val="1F497D" w:themeColor="text2"/>
        </w:rPr>
        <w:t>Microstent</w:t>
      </w:r>
      <w:proofErr w:type="spellEnd"/>
    </w:p>
    <w:p w14:paraId="77CA9989" w14:textId="0140DBF0" w:rsidR="0066158A" w:rsidRPr="00CE6394" w:rsidRDefault="0066158A" w:rsidP="00EE6450">
      <w:pPr>
        <w:ind w:left="426"/>
        <w:rPr>
          <w:color w:val="1F497D" w:themeColor="text2"/>
          <w:szCs w:val="20"/>
        </w:rPr>
      </w:pPr>
      <w:r>
        <w:rPr>
          <w:color w:val="1F497D" w:themeColor="text2"/>
        </w:rPr>
        <w:t xml:space="preserve">Sponsor: </w:t>
      </w:r>
      <w:proofErr w:type="spellStart"/>
      <w:r>
        <w:rPr>
          <w:color w:val="1F497D" w:themeColor="text2"/>
        </w:rPr>
        <w:t>RQSolutions</w:t>
      </w:r>
      <w:proofErr w:type="spellEnd"/>
      <w:r>
        <w:rPr>
          <w:color w:val="1F497D" w:themeColor="text2"/>
        </w:rPr>
        <w:t xml:space="preserve">, Manufacturer: </w:t>
      </w:r>
      <w:proofErr w:type="spellStart"/>
      <w:r>
        <w:rPr>
          <w:color w:val="1F497D" w:themeColor="text2"/>
        </w:rPr>
        <w:t>Glaukos</w:t>
      </w:r>
      <w:proofErr w:type="spellEnd"/>
      <w:r>
        <w:rPr>
          <w:color w:val="1F497D" w:themeColor="text2"/>
        </w:rPr>
        <w:t xml:space="preserve"> </w:t>
      </w:r>
      <w:proofErr w:type="spellStart"/>
      <w:r>
        <w:rPr>
          <w:color w:val="1F497D" w:themeColor="text2"/>
        </w:rPr>
        <w:t>Inc</w:t>
      </w:r>
      <w:proofErr w:type="spellEnd"/>
      <w:r>
        <w:rPr>
          <w:color w:val="1F497D" w:themeColor="text2"/>
        </w:rPr>
        <w:t xml:space="preserve">, Device: </w:t>
      </w:r>
      <w:proofErr w:type="spellStart"/>
      <w:r>
        <w:rPr>
          <w:color w:val="1F497D" w:themeColor="text2"/>
        </w:rPr>
        <w:t>IStent</w:t>
      </w:r>
      <w:proofErr w:type="spellEnd"/>
      <w:r>
        <w:rPr>
          <w:color w:val="1F497D" w:themeColor="text2"/>
        </w:rPr>
        <w:t xml:space="preserve"> Inject</w:t>
      </w:r>
    </w:p>
    <w:p w14:paraId="56794652" w14:textId="77777777" w:rsidR="00E82F54" w:rsidRDefault="00E82F54" w:rsidP="00530204">
      <w:pPr>
        <w:pStyle w:val="Heading2"/>
      </w:pPr>
      <w:r w:rsidRPr="00154B00">
        <w:t xml:space="preserve">Nominate two experts who </w:t>
      </w:r>
      <w:proofErr w:type="gramStart"/>
      <w:r w:rsidRPr="00154B00">
        <w:t>could be approached</w:t>
      </w:r>
      <w:proofErr w:type="gramEnd"/>
      <w:r w:rsidRPr="00154B00">
        <w:t xml:space="preserve"> about the proposed medical service and the current clinical management of the service(s):</w:t>
      </w:r>
    </w:p>
    <w:p w14:paraId="058BAA49" w14:textId="77777777" w:rsidR="00A96329" w:rsidRPr="00A96329" w:rsidRDefault="00A96329" w:rsidP="00A96329"/>
    <w:p w14:paraId="5A10549C" w14:textId="530952B6" w:rsidR="00987ABE" w:rsidRPr="006F2B6D" w:rsidRDefault="00987ABE" w:rsidP="00987ABE">
      <w:pPr>
        <w:ind w:left="426"/>
        <w:rPr>
          <w:szCs w:val="20"/>
        </w:rPr>
      </w:pPr>
      <w:r w:rsidRPr="006F2B6D">
        <w:rPr>
          <w:szCs w:val="20"/>
        </w:rPr>
        <w:t xml:space="preserve">Name of expert </w:t>
      </w:r>
      <w:r w:rsidR="0020228B" w:rsidRPr="006F2B6D">
        <w:rPr>
          <w:b/>
          <w:szCs w:val="20"/>
        </w:rPr>
        <w:t>REDACTED</w:t>
      </w:r>
    </w:p>
    <w:p w14:paraId="3F8AD750" w14:textId="14EFD187" w:rsidR="00987ABE" w:rsidRPr="006F2B6D" w:rsidRDefault="00987ABE" w:rsidP="00987ABE">
      <w:pPr>
        <w:ind w:left="426"/>
        <w:rPr>
          <w:szCs w:val="20"/>
        </w:rPr>
      </w:pPr>
      <w:r w:rsidRPr="006F2B6D">
        <w:rPr>
          <w:szCs w:val="20"/>
        </w:rPr>
        <w:t xml:space="preserve">Telephone number(s): </w:t>
      </w:r>
      <w:r w:rsidR="00280D8E" w:rsidRPr="006F2B6D">
        <w:t xml:space="preserve"> </w:t>
      </w:r>
      <w:r w:rsidR="0020228B" w:rsidRPr="006F2B6D">
        <w:rPr>
          <w:b/>
        </w:rPr>
        <w:t>REDACTED</w:t>
      </w:r>
    </w:p>
    <w:p w14:paraId="4C72EE74" w14:textId="346FC928" w:rsidR="00987ABE" w:rsidRPr="006F2B6D" w:rsidRDefault="00987ABE" w:rsidP="00987ABE">
      <w:pPr>
        <w:ind w:left="426"/>
        <w:rPr>
          <w:szCs w:val="20"/>
        </w:rPr>
      </w:pPr>
      <w:r w:rsidRPr="006F2B6D">
        <w:rPr>
          <w:szCs w:val="20"/>
        </w:rPr>
        <w:t xml:space="preserve">Email address: </w:t>
      </w:r>
      <w:r w:rsidR="00280D8E" w:rsidRPr="006F2B6D">
        <w:rPr>
          <w:b/>
        </w:rPr>
        <w:t xml:space="preserve"> </w:t>
      </w:r>
      <w:r w:rsidR="0020228B" w:rsidRPr="006F2B6D">
        <w:rPr>
          <w:b/>
        </w:rPr>
        <w:t>REDACTED</w:t>
      </w:r>
    </w:p>
    <w:p w14:paraId="709C7E43" w14:textId="64A8BD48" w:rsidR="00C01719" w:rsidRPr="006F2B6D" w:rsidRDefault="00987ABE" w:rsidP="00987ABE">
      <w:pPr>
        <w:ind w:left="426"/>
      </w:pPr>
      <w:r w:rsidRPr="006F2B6D">
        <w:rPr>
          <w:szCs w:val="20"/>
        </w:rPr>
        <w:t xml:space="preserve">Justification of expertise: </w:t>
      </w:r>
      <w:r w:rsidR="00280D8E" w:rsidRPr="006F2B6D">
        <w:t xml:space="preserve"> M.B.B.S, B. Human Bio, F.R.A.N.Z.C.O. </w:t>
      </w:r>
    </w:p>
    <w:p w14:paraId="7032C289" w14:textId="7128935A" w:rsidR="00987ABE" w:rsidRPr="006F2B6D" w:rsidRDefault="0020228B" w:rsidP="00987ABE">
      <w:pPr>
        <w:ind w:left="426"/>
        <w:rPr>
          <w:rFonts w:cstheme="minorHAnsi"/>
          <w:b/>
          <w:szCs w:val="20"/>
        </w:rPr>
      </w:pPr>
      <w:r w:rsidRPr="006F2B6D">
        <w:rPr>
          <w:b/>
        </w:rPr>
        <w:t>REDACTED</w:t>
      </w:r>
    </w:p>
    <w:p w14:paraId="665DFF46" w14:textId="77777777" w:rsidR="00987ABE" w:rsidRPr="006F2B6D" w:rsidRDefault="00987ABE" w:rsidP="00987ABE">
      <w:pPr>
        <w:ind w:left="426"/>
        <w:rPr>
          <w:szCs w:val="20"/>
        </w:rPr>
      </w:pPr>
    </w:p>
    <w:p w14:paraId="3F1703DC" w14:textId="68F03039" w:rsidR="00987ABE" w:rsidRPr="006F2B6D" w:rsidRDefault="00987ABE" w:rsidP="00987ABE">
      <w:pPr>
        <w:ind w:left="426"/>
        <w:rPr>
          <w:szCs w:val="20"/>
        </w:rPr>
      </w:pPr>
      <w:r w:rsidRPr="006F2B6D">
        <w:rPr>
          <w:szCs w:val="20"/>
        </w:rPr>
        <w:t>Name of expert 2:</w:t>
      </w:r>
      <w:r w:rsidRPr="006F2B6D">
        <w:rPr>
          <w:b/>
          <w:szCs w:val="20"/>
        </w:rPr>
        <w:t xml:space="preserve"> </w:t>
      </w:r>
      <w:r w:rsidR="0020228B" w:rsidRPr="006F2B6D">
        <w:rPr>
          <w:b/>
          <w:szCs w:val="20"/>
        </w:rPr>
        <w:t>REDACTED</w:t>
      </w:r>
    </w:p>
    <w:p w14:paraId="70FBEA2F" w14:textId="2711A330" w:rsidR="00987ABE" w:rsidRPr="006F2B6D" w:rsidRDefault="00987ABE" w:rsidP="00987ABE">
      <w:pPr>
        <w:ind w:left="426"/>
        <w:rPr>
          <w:szCs w:val="20"/>
        </w:rPr>
      </w:pPr>
      <w:r w:rsidRPr="006F2B6D">
        <w:rPr>
          <w:szCs w:val="20"/>
        </w:rPr>
        <w:t>Telephone number(s):</w:t>
      </w:r>
      <w:r w:rsidRPr="006F2B6D">
        <w:rPr>
          <w:b/>
          <w:szCs w:val="20"/>
        </w:rPr>
        <w:t xml:space="preserve"> </w:t>
      </w:r>
      <w:r w:rsidR="0020228B" w:rsidRPr="006F2B6D">
        <w:rPr>
          <w:b/>
          <w:szCs w:val="20"/>
        </w:rPr>
        <w:t>REDACTED</w:t>
      </w:r>
    </w:p>
    <w:p w14:paraId="0B53F00F" w14:textId="37B0E541" w:rsidR="00987ABE" w:rsidRPr="006F2B6D" w:rsidRDefault="00987ABE" w:rsidP="00987ABE">
      <w:pPr>
        <w:ind w:left="426"/>
        <w:rPr>
          <w:szCs w:val="20"/>
        </w:rPr>
      </w:pPr>
      <w:r w:rsidRPr="006F2B6D">
        <w:rPr>
          <w:szCs w:val="20"/>
        </w:rPr>
        <w:t>Email address</w:t>
      </w:r>
      <w:r w:rsidRPr="006F2B6D">
        <w:rPr>
          <w:b/>
          <w:szCs w:val="20"/>
        </w:rPr>
        <w:t xml:space="preserve">: </w:t>
      </w:r>
      <w:r w:rsidR="00D46FFD" w:rsidRPr="006F2B6D">
        <w:rPr>
          <w:b/>
        </w:rPr>
        <w:t xml:space="preserve"> </w:t>
      </w:r>
      <w:r w:rsidR="0020228B" w:rsidRPr="006F2B6D">
        <w:rPr>
          <w:b/>
        </w:rPr>
        <w:t>REDACTED</w:t>
      </w:r>
    </w:p>
    <w:p w14:paraId="2E2D20FA" w14:textId="387251CB" w:rsidR="00E82F54" w:rsidRPr="006F2B6D" w:rsidRDefault="00987ABE" w:rsidP="00987ABE">
      <w:pPr>
        <w:ind w:left="426"/>
      </w:pPr>
      <w:r w:rsidRPr="006F2B6D">
        <w:rPr>
          <w:szCs w:val="20"/>
        </w:rPr>
        <w:t xml:space="preserve">Justification of expertise: </w:t>
      </w:r>
      <w:r w:rsidR="00D46FFD" w:rsidRPr="006F2B6D">
        <w:t xml:space="preserve">B. </w:t>
      </w:r>
      <w:proofErr w:type="spellStart"/>
      <w:r w:rsidR="00D46FFD" w:rsidRPr="006F2B6D">
        <w:t>Sc</w:t>
      </w:r>
      <w:proofErr w:type="spellEnd"/>
      <w:r w:rsidR="00D46FFD" w:rsidRPr="006F2B6D">
        <w:t>, M.B.B.S., FRCOPH, FEBO, FAMS, FRANZCO, Specialist glaucoma surgeon</w:t>
      </w:r>
      <w:r w:rsidR="00427386" w:rsidRPr="006F2B6D">
        <w:t xml:space="preserve"> </w:t>
      </w:r>
    </w:p>
    <w:p w14:paraId="72EC497C" w14:textId="64D30CE4" w:rsidR="00427386" w:rsidRPr="006F2B6D" w:rsidRDefault="0020228B" w:rsidP="006F2B6D">
      <w:pPr>
        <w:pStyle w:val="NormalWeb"/>
        <w:shd w:val="clear" w:color="auto" w:fill="FFFFFF"/>
        <w:spacing w:before="0" w:beforeAutospacing="0" w:after="0" w:afterAutospacing="0"/>
        <w:ind w:firstLine="426"/>
        <w:rPr>
          <w:rFonts w:asciiTheme="minorHAnsi" w:hAnsiTheme="minorHAnsi" w:cstheme="minorHAnsi"/>
          <w:b/>
          <w:sz w:val="20"/>
          <w:szCs w:val="20"/>
        </w:rPr>
      </w:pPr>
      <w:r w:rsidRPr="006F2B6D">
        <w:rPr>
          <w:rFonts w:asciiTheme="minorHAnsi" w:hAnsiTheme="minorHAnsi" w:cstheme="minorHAnsi"/>
          <w:b/>
          <w:sz w:val="20"/>
          <w:szCs w:val="20"/>
        </w:rPr>
        <w:t>REDACTED</w:t>
      </w:r>
    </w:p>
    <w:p w14:paraId="1456F323" w14:textId="3486AD00" w:rsidR="00987ABE" w:rsidRDefault="00987ABE" w:rsidP="006F2B6D">
      <w:pPr>
        <w:rPr>
          <w:i/>
          <w:szCs w:val="20"/>
        </w:rPr>
      </w:pPr>
    </w:p>
    <w:p w14:paraId="66BA30CC" w14:textId="77777777"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0FEEECF6" w14:textId="77777777" w:rsidR="003433D1" w:rsidRDefault="003433D1">
      <w:pPr>
        <w:rPr>
          <w:b/>
          <w:sz w:val="32"/>
          <w:szCs w:val="32"/>
        </w:rPr>
      </w:pPr>
      <w:r>
        <w:rPr>
          <w:b/>
          <w:sz w:val="32"/>
          <w:szCs w:val="32"/>
        </w:rPr>
        <w:br w:type="page"/>
      </w:r>
    </w:p>
    <w:p w14:paraId="5C054D97"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527E8AD9" w14:textId="77777777" w:rsidR="0021185D" w:rsidRPr="005C3AE7" w:rsidRDefault="005C3AE7" w:rsidP="005C3AE7">
      <w:pPr>
        <w:pStyle w:val="Subtitle"/>
      </w:pPr>
      <w:r w:rsidRPr="005C3AE7">
        <w:t xml:space="preserve">PART 6a – </w:t>
      </w:r>
      <w:r w:rsidR="0021185D" w:rsidRPr="005C3AE7">
        <w:t>INFORMATION ABOUT THE PROPOSED POPULATION</w:t>
      </w:r>
    </w:p>
    <w:p w14:paraId="5BA17D5F"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5D539DD8" w14:textId="530DA93D" w:rsidR="002A6753" w:rsidRPr="006F2B6D" w:rsidRDefault="0066158A" w:rsidP="006F2B6D">
      <w:pPr>
        <w:ind w:left="284"/>
      </w:pPr>
      <w:r w:rsidRPr="006F2B6D">
        <w:t>Open angle glaucoma (OAG) is a progressive disease</w:t>
      </w:r>
      <w:r w:rsidR="00A520DD" w:rsidRPr="006F2B6D">
        <w:t xml:space="preserve">, which is characterised by atrophy of the optic nerve and loss of retinal ganglion cells, resulting in progressive vision loss and possible blindness. </w:t>
      </w:r>
      <w:proofErr w:type="gramStart"/>
      <w:r w:rsidR="00A520DD" w:rsidRPr="006F2B6D">
        <w:t>80%</w:t>
      </w:r>
      <w:proofErr w:type="gramEnd"/>
      <w:r w:rsidR="00A520DD" w:rsidRPr="006F2B6D">
        <w:t xml:space="preserve"> of all cases of glaucoma are likely to be classified as OAG</w:t>
      </w:r>
      <w:r w:rsidR="00A520DD" w:rsidRPr="006F2B6D">
        <w:rPr>
          <w:rStyle w:val="FootnoteReference"/>
        </w:rPr>
        <w:footnoteReference w:id="2"/>
      </w:r>
      <w:r w:rsidR="00D92FBD" w:rsidRPr="006F2B6D">
        <w:t xml:space="preserve">.  </w:t>
      </w:r>
    </w:p>
    <w:p w14:paraId="4E226818" w14:textId="643D96F5" w:rsidR="00D92FBD" w:rsidRPr="006F2B6D" w:rsidRDefault="00D92FBD" w:rsidP="006F2B6D">
      <w:pPr>
        <w:ind w:left="284"/>
      </w:pPr>
      <w:r w:rsidRPr="006F2B6D">
        <w:t xml:space="preserve">High intraocular pressure (IOP) is the primary modifiable risk factor associated with progression of </w:t>
      </w:r>
      <w:r w:rsidR="001C17E1" w:rsidRPr="006F2B6D">
        <w:t>OAG. A second significant risk factor is aging</w:t>
      </w:r>
      <w:r w:rsidR="001C17E1" w:rsidRPr="006F2B6D">
        <w:rPr>
          <w:rStyle w:val="FootnoteReference"/>
        </w:rPr>
        <w:footnoteReference w:id="3"/>
      </w:r>
      <w:r w:rsidR="001C17E1" w:rsidRPr="006F2B6D">
        <w:t xml:space="preserve"> as it is possible that the optic nerve becomes more vulnerable to IOP with age.  Family history of glaucoma is also a risk fact</w:t>
      </w:r>
      <w:r w:rsidR="005C1680" w:rsidRPr="006F2B6D">
        <w:t>or</w:t>
      </w:r>
      <w:r w:rsidR="001C17E1" w:rsidRPr="006F2B6D">
        <w:t xml:space="preserve"> with a 10-fold increase in risk for those with a </w:t>
      </w:r>
      <w:proofErr w:type="gramStart"/>
      <w:r w:rsidR="001C17E1" w:rsidRPr="006F2B6D">
        <w:t>first degree</w:t>
      </w:r>
      <w:proofErr w:type="gramEnd"/>
      <w:r w:rsidR="001C17E1" w:rsidRPr="006F2B6D">
        <w:t xml:space="preserve"> relative with glaucoma</w:t>
      </w:r>
      <w:r w:rsidR="001C17E1" w:rsidRPr="006F2B6D">
        <w:rPr>
          <w:rStyle w:val="FootnoteReference"/>
        </w:rPr>
        <w:footnoteReference w:id="4"/>
      </w:r>
      <w:r w:rsidR="002D2456" w:rsidRPr="006F2B6D">
        <w:t xml:space="preserve">.  As glaucoma is a painless condition, the disease can progress and damage the optic nerve before the condition </w:t>
      </w:r>
      <w:proofErr w:type="gramStart"/>
      <w:r w:rsidR="002D2456" w:rsidRPr="006F2B6D">
        <w:t>is diagnosed</w:t>
      </w:r>
      <w:proofErr w:type="gramEnd"/>
      <w:r w:rsidR="002D2456" w:rsidRPr="006F2B6D">
        <w:t xml:space="preserve">. National Health and Medical Research Council (NHMRC) guidelines recommend that people over the age of 50 should have a regular comprehensive eye </w:t>
      </w:r>
      <w:proofErr w:type="gramStart"/>
      <w:r w:rsidR="002D2456" w:rsidRPr="006F2B6D">
        <w:t>examination,</w:t>
      </w:r>
      <w:proofErr w:type="gramEnd"/>
      <w:r w:rsidR="002D2456" w:rsidRPr="006F2B6D">
        <w:t xml:space="preserve"> or that people over 40 with a family history of glaucoma or other risk factors</w:t>
      </w:r>
      <w:r w:rsidR="002D2456" w:rsidRPr="006F2B6D">
        <w:rPr>
          <w:rStyle w:val="FootnoteReference"/>
        </w:rPr>
        <w:footnoteReference w:id="5"/>
      </w:r>
      <w:r w:rsidR="002D2456" w:rsidRPr="006F2B6D">
        <w:t>.</w:t>
      </w:r>
    </w:p>
    <w:p w14:paraId="54388D3B" w14:textId="4311221A" w:rsidR="002D2456" w:rsidRPr="006F2B6D" w:rsidRDefault="002D2456" w:rsidP="006F2B6D">
      <w:pPr>
        <w:ind w:left="284"/>
      </w:pPr>
      <w:r w:rsidRPr="006F2B6D">
        <w:t xml:space="preserve">OAG </w:t>
      </w:r>
      <w:proofErr w:type="gramStart"/>
      <w:r w:rsidRPr="006F2B6D">
        <w:t>can be classified</w:t>
      </w:r>
      <w:proofErr w:type="gramEnd"/>
      <w:r w:rsidRPr="006F2B6D">
        <w:t xml:space="preserve"> by stages.  </w:t>
      </w:r>
      <w:r w:rsidR="00D909E7" w:rsidRPr="006F2B6D">
        <w:t>There are several methods for grading glaucoma, the most common being that of the American Academy of Ophthalmology (AAO)</w:t>
      </w:r>
      <w:r w:rsidR="00D909E7" w:rsidRPr="006F2B6D">
        <w:rPr>
          <w:rStyle w:val="FootnoteReference"/>
        </w:rPr>
        <w:footnoteReference w:id="6"/>
      </w:r>
      <w:r w:rsidR="00D909E7" w:rsidRPr="006F2B6D">
        <w:t xml:space="preserve">. </w:t>
      </w:r>
    </w:p>
    <w:p w14:paraId="021F8287" w14:textId="77777777" w:rsidR="00D909E7" w:rsidRPr="006F2B6D" w:rsidRDefault="00D909E7" w:rsidP="006F2B6D">
      <w:pPr>
        <w:pStyle w:val="ListParagraph"/>
        <w:numPr>
          <w:ilvl w:val="0"/>
          <w:numId w:val="37"/>
        </w:numPr>
        <w:ind w:left="284" w:firstLine="0"/>
        <w:rPr>
          <w:szCs w:val="20"/>
        </w:rPr>
      </w:pPr>
      <w:r w:rsidRPr="006F2B6D">
        <w:rPr>
          <w:b/>
          <w:bCs/>
          <w:szCs w:val="20"/>
        </w:rPr>
        <w:t>Mild</w:t>
      </w:r>
      <w:r w:rsidRPr="006F2B6D">
        <w:rPr>
          <w:szCs w:val="20"/>
        </w:rPr>
        <w:t xml:space="preserve">: Optic disk or retinal </w:t>
      </w:r>
      <w:proofErr w:type="gramStart"/>
      <w:r w:rsidRPr="006F2B6D">
        <w:rPr>
          <w:szCs w:val="20"/>
        </w:rPr>
        <w:t>nerve fibre layer abnormalities</w:t>
      </w:r>
      <w:proofErr w:type="gramEnd"/>
      <w:r w:rsidRPr="006F2B6D">
        <w:rPr>
          <w:szCs w:val="20"/>
        </w:rPr>
        <w:t xml:space="preserve"> consistent with glaucoma and a normal visual field as tested with standard automated </w:t>
      </w:r>
      <w:proofErr w:type="spellStart"/>
      <w:r w:rsidRPr="006F2B6D">
        <w:rPr>
          <w:szCs w:val="20"/>
        </w:rPr>
        <w:t>perimetry</w:t>
      </w:r>
      <w:proofErr w:type="spellEnd"/>
      <w:r w:rsidRPr="006F2B6D">
        <w:rPr>
          <w:szCs w:val="20"/>
        </w:rPr>
        <w:t>.</w:t>
      </w:r>
    </w:p>
    <w:p w14:paraId="0DDF1903" w14:textId="7C32454F" w:rsidR="00D909E7" w:rsidRPr="006F2B6D" w:rsidRDefault="00D909E7" w:rsidP="006F2B6D">
      <w:pPr>
        <w:pStyle w:val="ListParagraph"/>
        <w:numPr>
          <w:ilvl w:val="0"/>
          <w:numId w:val="37"/>
        </w:numPr>
        <w:ind w:left="284" w:firstLine="0"/>
        <w:rPr>
          <w:szCs w:val="20"/>
        </w:rPr>
      </w:pPr>
      <w:r w:rsidRPr="006F2B6D">
        <w:rPr>
          <w:b/>
          <w:bCs/>
          <w:szCs w:val="20"/>
        </w:rPr>
        <w:t>Moderate</w:t>
      </w:r>
      <w:r w:rsidRPr="006F2B6D">
        <w:rPr>
          <w:szCs w:val="20"/>
        </w:rPr>
        <w:t xml:space="preserve">: Optic disk or retinal nerve fibre layer abnormalities consistent with glaucoma and visual field abnormalities in one </w:t>
      </w:r>
      <w:proofErr w:type="spellStart"/>
      <w:r w:rsidRPr="006F2B6D">
        <w:rPr>
          <w:szCs w:val="20"/>
        </w:rPr>
        <w:t>hemifield</w:t>
      </w:r>
      <w:proofErr w:type="spellEnd"/>
      <w:r w:rsidRPr="006F2B6D">
        <w:rPr>
          <w:szCs w:val="20"/>
        </w:rPr>
        <w:t xml:space="preserve"> that are not within 5 degrees of fixation as tested with standard automated </w:t>
      </w:r>
      <w:proofErr w:type="spellStart"/>
      <w:r w:rsidRPr="006F2B6D">
        <w:rPr>
          <w:szCs w:val="20"/>
        </w:rPr>
        <w:t>perimetry</w:t>
      </w:r>
      <w:proofErr w:type="spellEnd"/>
      <w:r w:rsidRPr="006F2B6D">
        <w:rPr>
          <w:szCs w:val="20"/>
        </w:rPr>
        <w:t>.</w:t>
      </w:r>
    </w:p>
    <w:p w14:paraId="42CF42C3" w14:textId="4A37C372" w:rsidR="00D909E7" w:rsidRPr="006F2B6D" w:rsidRDefault="00D909E7" w:rsidP="006F2B6D">
      <w:pPr>
        <w:pStyle w:val="ListParagraph"/>
        <w:numPr>
          <w:ilvl w:val="0"/>
          <w:numId w:val="37"/>
        </w:numPr>
        <w:ind w:left="284" w:firstLine="0"/>
        <w:rPr>
          <w:szCs w:val="20"/>
        </w:rPr>
      </w:pPr>
      <w:r w:rsidRPr="006F2B6D">
        <w:rPr>
          <w:b/>
          <w:bCs/>
          <w:szCs w:val="20"/>
        </w:rPr>
        <w:t>Severe</w:t>
      </w:r>
      <w:r w:rsidRPr="006F2B6D">
        <w:rPr>
          <w:szCs w:val="20"/>
        </w:rPr>
        <w:t xml:space="preserve">: Optic disk or </w:t>
      </w:r>
      <w:proofErr w:type="gramStart"/>
      <w:r w:rsidRPr="006F2B6D">
        <w:rPr>
          <w:szCs w:val="20"/>
        </w:rPr>
        <w:t>retinal nerve fibre layer abnormalities</w:t>
      </w:r>
      <w:proofErr w:type="gramEnd"/>
      <w:r w:rsidRPr="006F2B6D">
        <w:rPr>
          <w:szCs w:val="20"/>
        </w:rPr>
        <w:t xml:space="preserve"> consistent with glaucoma as and visual field abnormalities in both </w:t>
      </w:r>
      <w:proofErr w:type="spellStart"/>
      <w:r w:rsidRPr="006F2B6D">
        <w:rPr>
          <w:szCs w:val="20"/>
        </w:rPr>
        <w:t>hemifields</w:t>
      </w:r>
      <w:proofErr w:type="spellEnd"/>
      <w:r w:rsidRPr="006F2B6D">
        <w:rPr>
          <w:szCs w:val="20"/>
        </w:rPr>
        <w:t xml:space="preserve"> and/or loss within 5 degrees of fixation in at least one </w:t>
      </w:r>
      <w:proofErr w:type="spellStart"/>
      <w:r w:rsidRPr="006F2B6D">
        <w:rPr>
          <w:szCs w:val="20"/>
        </w:rPr>
        <w:t>hemifield</w:t>
      </w:r>
      <w:proofErr w:type="spellEnd"/>
      <w:r w:rsidRPr="006F2B6D">
        <w:rPr>
          <w:szCs w:val="20"/>
        </w:rPr>
        <w:t xml:space="preserve"> as tested with standard automated </w:t>
      </w:r>
      <w:proofErr w:type="spellStart"/>
      <w:r w:rsidRPr="006F2B6D">
        <w:rPr>
          <w:szCs w:val="20"/>
        </w:rPr>
        <w:t>perimetry</w:t>
      </w:r>
      <w:proofErr w:type="spellEnd"/>
      <w:r w:rsidRPr="006F2B6D">
        <w:rPr>
          <w:szCs w:val="20"/>
        </w:rPr>
        <w:t>.</w:t>
      </w:r>
    </w:p>
    <w:p w14:paraId="035610E5" w14:textId="5792F759" w:rsidR="00D909E7" w:rsidRPr="006F2B6D" w:rsidRDefault="00D909E7" w:rsidP="006F2B6D">
      <w:pPr>
        <w:pStyle w:val="ListParagraph"/>
        <w:numPr>
          <w:ilvl w:val="0"/>
          <w:numId w:val="37"/>
        </w:numPr>
        <w:ind w:left="284" w:firstLine="0"/>
        <w:rPr>
          <w:szCs w:val="20"/>
        </w:rPr>
      </w:pPr>
      <w:r w:rsidRPr="006F2B6D">
        <w:rPr>
          <w:b/>
          <w:bCs/>
          <w:szCs w:val="20"/>
        </w:rPr>
        <w:t>Indeterminate</w:t>
      </w:r>
      <w:r w:rsidRPr="006F2B6D">
        <w:rPr>
          <w:szCs w:val="20"/>
        </w:rPr>
        <w:t>: Optic disk or retinal nerve fibre layer abnormalities consistent with glaucoma as detailed above, inability of patient to perform visual field testing, unreliable/uninterpretable visual field test results.</w:t>
      </w:r>
    </w:p>
    <w:p w14:paraId="3C27EEC5" w14:textId="04DBCEA9" w:rsidR="006259CD" w:rsidRPr="006F2B6D" w:rsidRDefault="006259CD" w:rsidP="006F2B6D">
      <w:pPr>
        <w:ind w:left="284"/>
        <w:rPr>
          <w:szCs w:val="20"/>
        </w:rPr>
      </w:pPr>
      <w:r w:rsidRPr="006F2B6D">
        <w:rPr>
          <w:szCs w:val="20"/>
        </w:rPr>
        <w:t>Glaucoma is the leading cause of vision loss in Australia</w:t>
      </w:r>
      <w:r w:rsidRPr="006F2B6D">
        <w:rPr>
          <w:rStyle w:val="FootnoteReference"/>
          <w:szCs w:val="20"/>
        </w:rPr>
        <w:footnoteReference w:id="7"/>
      </w:r>
      <w:r w:rsidRPr="006F2B6D">
        <w:rPr>
          <w:szCs w:val="20"/>
        </w:rPr>
        <w:t xml:space="preserve"> and results in a significant societal financial burden</w:t>
      </w:r>
      <w:r w:rsidRPr="006F2B6D">
        <w:rPr>
          <w:rStyle w:val="FootnoteReference"/>
          <w:szCs w:val="20"/>
        </w:rPr>
        <w:footnoteReference w:id="8"/>
      </w:r>
      <w:r w:rsidRPr="006F2B6D">
        <w:rPr>
          <w:szCs w:val="20"/>
        </w:rPr>
        <w:t xml:space="preserve">.  </w:t>
      </w:r>
      <w:r w:rsidR="00753E1E" w:rsidRPr="006F2B6D">
        <w:rPr>
          <w:szCs w:val="20"/>
        </w:rPr>
        <w:t xml:space="preserve">It </w:t>
      </w:r>
      <w:proofErr w:type="gramStart"/>
      <w:r w:rsidR="00753E1E" w:rsidRPr="006F2B6D">
        <w:rPr>
          <w:szCs w:val="20"/>
        </w:rPr>
        <w:t>is estimated</w:t>
      </w:r>
      <w:proofErr w:type="gramEnd"/>
      <w:r w:rsidR="00753E1E" w:rsidRPr="006F2B6D">
        <w:rPr>
          <w:szCs w:val="20"/>
        </w:rPr>
        <w:t xml:space="preserve"> that 198,923 non-indigenous Australians over 50 and 2139 indigenous Australians over 40 have glaucoma</w:t>
      </w:r>
      <w:r w:rsidR="00753E1E" w:rsidRPr="006F2B6D">
        <w:rPr>
          <w:rStyle w:val="FootnoteReference"/>
          <w:szCs w:val="20"/>
        </w:rPr>
        <w:footnoteReference w:id="9"/>
      </w:r>
      <w:r w:rsidR="00753E1E" w:rsidRPr="006F2B6D">
        <w:rPr>
          <w:szCs w:val="20"/>
        </w:rPr>
        <w:t>.</w:t>
      </w:r>
    </w:p>
    <w:p w14:paraId="33D2ED94" w14:textId="77777777" w:rsidR="006F2B6D" w:rsidRDefault="006F2B6D">
      <w:pPr>
        <w:spacing w:before="0" w:after="200" w:line="276" w:lineRule="auto"/>
        <w:rPr>
          <w:b/>
          <w:szCs w:val="20"/>
        </w:rPr>
      </w:pPr>
      <w:r>
        <w:br w:type="page"/>
      </w:r>
    </w:p>
    <w:p w14:paraId="6BDB5CBB" w14:textId="5060FCE6" w:rsidR="00AA5FDA" w:rsidRDefault="00AA5FDA" w:rsidP="00530204">
      <w:pPr>
        <w:pStyle w:val="Heading2"/>
      </w:pPr>
      <w:r w:rsidRPr="00154B00">
        <w:lastRenderedPageBreak/>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5CC20E0C" w14:textId="2C6B0710" w:rsidR="00EB344C" w:rsidRPr="006F2B6D" w:rsidRDefault="00753E1E" w:rsidP="006F2B6D">
      <w:pPr>
        <w:ind w:left="284"/>
      </w:pPr>
      <w:r w:rsidRPr="006F2B6D">
        <w:t>Patients who are eligible for the treatment encompassed by item number</w:t>
      </w:r>
      <w:r w:rsidR="00EB344C" w:rsidRPr="006F2B6D">
        <w:t xml:space="preserve"> 42504</w:t>
      </w:r>
      <w:r w:rsidR="00D13C73" w:rsidRPr="006F2B6D">
        <w:t xml:space="preserve"> </w:t>
      </w:r>
      <w:r w:rsidR="00EB344C" w:rsidRPr="006F2B6D">
        <w:t xml:space="preserve">are those patients who </w:t>
      </w:r>
      <w:proofErr w:type="gramStart"/>
      <w:r w:rsidR="00EB344C" w:rsidRPr="006F2B6D">
        <w:t>have been diagnosed</w:t>
      </w:r>
      <w:proofErr w:type="gramEnd"/>
      <w:r w:rsidR="00EB344C" w:rsidRPr="006F2B6D">
        <w:t xml:space="preserve"> with OAG and who have failed conservative therapies. The primary goal of interventions to treat OAG is the lowering of IOP </w:t>
      </w:r>
      <w:proofErr w:type="gramStart"/>
      <w:r w:rsidR="00EB344C" w:rsidRPr="006F2B6D">
        <w:t>so as to</w:t>
      </w:r>
      <w:proofErr w:type="gramEnd"/>
      <w:r w:rsidR="00EB344C" w:rsidRPr="006F2B6D">
        <w:t xml:space="preserve"> prevent progressive pressure induced injury to the optic nerve. Normal IOP is often considered </w:t>
      </w:r>
      <w:proofErr w:type="gramStart"/>
      <w:r w:rsidR="00EB344C" w:rsidRPr="006F2B6D">
        <w:t>to be less</w:t>
      </w:r>
      <w:proofErr w:type="gramEnd"/>
      <w:r w:rsidR="00EB344C" w:rsidRPr="006F2B6D">
        <w:t xml:space="preserve"> than 21mmHg, however this number is statistically derived and therefore an appropriate ‘target’ IOP must be determined based on an individual’s risk factors, age and clinical presentation (Shiga 2018).</w:t>
      </w:r>
    </w:p>
    <w:p w14:paraId="1BA1D23B" w14:textId="03FB9A54" w:rsidR="00EB344C" w:rsidRPr="006F2B6D" w:rsidRDefault="00EB344C" w:rsidP="006F2B6D">
      <w:pPr>
        <w:ind w:left="284"/>
      </w:pPr>
      <w:r w:rsidRPr="006F2B6D">
        <w:t>First line therapy for OAG is topical medication designed to reduce aqueous production, promote aqueous outflow or both. Patients may be prescribed single medications or a combination of medications. Types of medications include:</w:t>
      </w:r>
    </w:p>
    <w:p w14:paraId="2A0ADC2E" w14:textId="77777777" w:rsidR="00EB344C" w:rsidRPr="006F2B6D" w:rsidRDefault="00EB344C" w:rsidP="006F2B6D">
      <w:pPr>
        <w:ind w:left="284"/>
      </w:pPr>
      <w:r w:rsidRPr="006F2B6D">
        <w:t>•</w:t>
      </w:r>
      <w:r w:rsidRPr="006F2B6D">
        <w:tab/>
        <w:t xml:space="preserve">Alpha </w:t>
      </w:r>
      <w:proofErr w:type="spellStart"/>
      <w:r w:rsidRPr="006F2B6D">
        <w:t>agonoists</w:t>
      </w:r>
      <w:proofErr w:type="spellEnd"/>
    </w:p>
    <w:p w14:paraId="7DAD93C5" w14:textId="77777777" w:rsidR="00EB344C" w:rsidRPr="006F2B6D" w:rsidRDefault="00EB344C" w:rsidP="006F2B6D">
      <w:pPr>
        <w:ind w:left="284"/>
      </w:pPr>
      <w:r w:rsidRPr="006F2B6D">
        <w:t>•</w:t>
      </w:r>
      <w:r w:rsidRPr="006F2B6D">
        <w:tab/>
        <w:t>Beta blockers</w:t>
      </w:r>
    </w:p>
    <w:p w14:paraId="070ADC37" w14:textId="77777777" w:rsidR="00EB344C" w:rsidRPr="006F2B6D" w:rsidRDefault="00EB344C" w:rsidP="006F2B6D">
      <w:pPr>
        <w:ind w:left="284"/>
      </w:pPr>
      <w:r w:rsidRPr="006F2B6D">
        <w:t>•</w:t>
      </w:r>
      <w:r w:rsidRPr="006F2B6D">
        <w:tab/>
        <w:t>Carbonic anhydrase inhibitors</w:t>
      </w:r>
    </w:p>
    <w:p w14:paraId="46AECFF8" w14:textId="77777777" w:rsidR="00EB344C" w:rsidRPr="006F2B6D" w:rsidRDefault="00EB344C" w:rsidP="006F2B6D">
      <w:pPr>
        <w:ind w:left="284"/>
      </w:pPr>
      <w:r w:rsidRPr="006F2B6D">
        <w:t>•</w:t>
      </w:r>
      <w:r w:rsidRPr="006F2B6D">
        <w:tab/>
        <w:t>Cholinergic (</w:t>
      </w:r>
      <w:proofErr w:type="spellStart"/>
      <w:r w:rsidRPr="006F2B6D">
        <w:t>miotic</w:t>
      </w:r>
      <w:proofErr w:type="spellEnd"/>
      <w:r w:rsidRPr="006F2B6D">
        <w:t>)</w:t>
      </w:r>
    </w:p>
    <w:p w14:paraId="3B6D3A74" w14:textId="77777777" w:rsidR="00EB344C" w:rsidRPr="006F2B6D" w:rsidRDefault="00EB344C" w:rsidP="006F2B6D">
      <w:pPr>
        <w:ind w:left="284"/>
      </w:pPr>
      <w:r w:rsidRPr="006F2B6D">
        <w:t>•</w:t>
      </w:r>
      <w:r w:rsidRPr="006F2B6D">
        <w:tab/>
        <w:t xml:space="preserve">Prostaglandin </w:t>
      </w:r>
      <w:proofErr w:type="spellStart"/>
      <w:r w:rsidRPr="006F2B6D">
        <w:t>analogs</w:t>
      </w:r>
      <w:proofErr w:type="spellEnd"/>
    </w:p>
    <w:p w14:paraId="68685A6A" w14:textId="77777777" w:rsidR="00EB344C" w:rsidRPr="006F2B6D" w:rsidRDefault="00EB344C" w:rsidP="006F2B6D">
      <w:pPr>
        <w:ind w:left="284"/>
      </w:pPr>
      <w:r w:rsidRPr="006F2B6D">
        <w:t>•</w:t>
      </w:r>
      <w:r w:rsidRPr="006F2B6D">
        <w:tab/>
        <w:t xml:space="preserve">Rho kinase inhibitors </w:t>
      </w:r>
    </w:p>
    <w:p w14:paraId="06619264" w14:textId="77777777" w:rsidR="00EB344C" w:rsidRPr="006F2B6D" w:rsidRDefault="00EB344C" w:rsidP="006F2B6D">
      <w:pPr>
        <w:ind w:left="284"/>
      </w:pPr>
      <w:r w:rsidRPr="006F2B6D">
        <w:t>•</w:t>
      </w:r>
      <w:r w:rsidRPr="006F2B6D">
        <w:tab/>
        <w:t>Combined medications</w:t>
      </w:r>
    </w:p>
    <w:p w14:paraId="658A7452" w14:textId="0C88C614" w:rsidR="00753E1E" w:rsidRPr="006F2B6D" w:rsidRDefault="00EB344C" w:rsidP="006F2B6D">
      <w:pPr>
        <w:ind w:left="284"/>
      </w:pPr>
      <w:r w:rsidRPr="006F2B6D">
        <w:t xml:space="preserve">The NHMRC estimates that adherence to topical adherence drops is poor, ranging from 24-59%. This may be due to patients experiencing side effects from medications to treat a </w:t>
      </w:r>
      <w:proofErr w:type="gramStart"/>
      <w:r w:rsidRPr="006F2B6D">
        <w:t>condition which</w:t>
      </w:r>
      <w:proofErr w:type="gramEnd"/>
      <w:r w:rsidRPr="006F2B6D">
        <w:t xml:space="preserve"> may be symptomless for a prolonged period</w:t>
      </w:r>
      <w:r w:rsidRPr="006F2B6D">
        <w:rPr>
          <w:rStyle w:val="FootnoteReference"/>
        </w:rPr>
        <w:footnoteReference w:id="10"/>
      </w:r>
      <w:r w:rsidR="00346999" w:rsidRPr="006F2B6D">
        <w:t xml:space="preserve">.  Different medications may be trialled and often a combination of medications is required. Patients </w:t>
      </w:r>
      <w:proofErr w:type="gramStart"/>
      <w:r w:rsidR="00346999" w:rsidRPr="006F2B6D">
        <w:t>should be monitored</w:t>
      </w:r>
      <w:proofErr w:type="gramEnd"/>
      <w:r w:rsidR="00346999" w:rsidRPr="006F2B6D">
        <w:t xml:space="preserve"> for any progression of the disease.</w:t>
      </w:r>
    </w:p>
    <w:p w14:paraId="7623AB4E" w14:textId="3921B7DF" w:rsidR="00346999" w:rsidRPr="006F2B6D" w:rsidRDefault="00346999" w:rsidP="006F2B6D">
      <w:pPr>
        <w:ind w:left="284"/>
      </w:pPr>
      <w:r w:rsidRPr="006F2B6D">
        <w:t xml:space="preserve">Should medication be ineffective, or a patient has difficulty in adhering to the medication regime, laser </w:t>
      </w:r>
      <w:proofErr w:type="spellStart"/>
      <w:r w:rsidRPr="006F2B6D">
        <w:t>trabeculoplasty</w:t>
      </w:r>
      <w:proofErr w:type="spellEnd"/>
      <w:r w:rsidRPr="006F2B6D">
        <w:t xml:space="preserve"> </w:t>
      </w:r>
      <w:proofErr w:type="gramStart"/>
      <w:r w:rsidRPr="006F2B6D">
        <w:t>may be considered</w:t>
      </w:r>
      <w:proofErr w:type="gramEnd"/>
      <w:r w:rsidRPr="006F2B6D">
        <w:t xml:space="preserve">. </w:t>
      </w:r>
      <w:r w:rsidR="001C5B13" w:rsidRPr="006F2B6D">
        <w:t>L</w:t>
      </w:r>
      <w:r w:rsidRPr="006F2B6D">
        <w:t>aser</w:t>
      </w:r>
      <w:r w:rsidR="001C5B13" w:rsidRPr="006F2B6D">
        <w:t xml:space="preserve"> </w:t>
      </w:r>
      <w:proofErr w:type="spellStart"/>
      <w:r w:rsidRPr="006F2B6D">
        <w:t>tra</w:t>
      </w:r>
      <w:r w:rsidR="001C5B13" w:rsidRPr="006F2B6D">
        <w:t>beculoplasty</w:t>
      </w:r>
      <w:proofErr w:type="spellEnd"/>
      <w:r w:rsidR="001C5B13" w:rsidRPr="006F2B6D">
        <w:t xml:space="preserve"> reduces IOP by increasing aqueous outflow through the trabecular meshwork with a</w:t>
      </w:r>
      <w:r w:rsidR="00422047" w:rsidRPr="006F2B6D">
        <w:t>n</w:t>
      </w:r>
      <w:r w:rsidR="001C5B13" w:rsidRPr="006F2B6D">
        <w:t xml:space="preserve"> outpatient procedure.  </w:t>
      </w:r>
      <w:r w:rsidR="00FB4399" w:rsidRPr="006F2B6D">
        <w:t xml:space="preserve">Laser procedures include argon laser therapy and selective laser </w:t>
      </w:r>
      <w:proofErr w:type="spellStart"/>
      <w:r w:rsidR="00FB4399" w:rsidRPr="006F2B6D">
        <w:t>trabeculoplasty</w:t>
      </w:r>
      <w:proofErr w:type="spellEnd"/>
      <w:r w:rsidR="00FB4399" w:rsidRPr="006F2B6D">
        <w:t xml:space="preserve"> (SLT)</w:t>
      </w:r>
      <w:r w:rsidR="00422047" w:rsidRPr="006F2B6D">
        <w:t xml:space="preserve">. </w:t>
      </w:r>
      <w:r w:rsidR="001C5B13" w:rsidRPr="006F2B6D">
        <w:t xml:space="preserve">The procedure </w:t>
      </w:r>
      <w:proofErr w:type="gramStart"/>
      <w:r w:rsidR="001C5B13" w:rsidRPr="006F2B6D">
        <w:t>is considered</w:t>
      </w:r>
      <w:proofErr w:type="gramEnd"/>
      <w:r w:rsidR="001C5B13" w:rsidRPr="006F2B6D">
        <w:t xml:space="preserve"> safe and patients are likely to recover quickly</w:t>
      </w:r>
      <w:r w:rsidR="001C5B13" w:rsidRPr="006F2B6D">
        <w:rPr>
          <w:rStyle w:val="FootnoteReference"/>
        </w:rPr>
        <w:footnoteReference w:id="11"/>
      </w:r>
      <w:r w:rsidR="001C5B13" w:rsidRPr="006F2B6D">
        <w:t xml:space="preserve">. </w:t>
      </w:r>
    </w:p>
    <w:p w14:paraId="57822DA4" w14:textId="08AB19CD" w:rsidR="00FB4399" w:rsidRPr="006F2B6D" w:rsidRDefault="00FB4399" w:rsidP="006F2B6D">
      <w:pPr>
        <w:ind w:left="284"/>
      </w:pPr>
      <w:r w:rsidRPr="006F2B6D">
        <w:t xml:space="preserve">Surgery is </w:t>
      </w:r>
      <w:r w:rsidR="00672169" w:rsidRPr="006F2B6D">
        <w:t xml:space="preserve">a third line therapy should medication, </w:t>
      </w:r>
      <w:proofErr w:type="gramStart"/>
      <w:r w:rsidR="00672169" w:rsidRPr="006F2B6D">
        <w:t>then</w:t>
      </w:r>
      <w:proofErr w:type="gramEnd"/>
      <w:r w:rsidR="00672169" w:rsidRPr="006F2B6D">
        <w:t xml:space="preserve"> laser </w:t>
      </w:r>
      <w:proofErr w:type="spellStart"/>
      <w:r w:rsidR="00672169" w:rsidRPr="006F2B6D">
        <w:t>trabeculoplasty</w:t>
      </w:r>
      <w:proofErr w:type="spellEnd"/>
      <w:r w:rsidR="00672169" w:rsidRPr="006F2B6D">
        <w:t xml:space="preserve"> not sufficiently reduce IOP. Surgery may include </w:t>
      </w:r>
      <w:proofErr w:type="spellStart"/>
      <w:r w:rsidR="00672169" w:rsidRPr="006F2B6D">
        <w:t>trabeculectomy</w:t>
      </w:r>
      <w:proofErr w:type="spellEnd"/>
      <w:r w:rsidR="00BF7C70" w:rsidRPr="006F2B6D">
        <w:t>, also known as ‘filtering surgery’.  A</w:t>
      </w:r>
      <w:r w:rsidR="00E64E87" w:rsidRPr="006F2B6D">
        <w:t>n</w:t>
      </w:r>
      <w:r w:rsidR="00BF7C70" w:rsidRPr="006F2B6D">
        <w:t xml:space="preserve"> incision </w:t>
      </w:r>
      <w:proofErr w:type="gramStart"/>
      <w:r w:rsidR="00BF7C70" w:rsidRPr="006F2B6D">
        <w:t>is made</w:t>
      </w:r>
      <w:proofErr w:type="gramEnd"/>
      <w:r w:rsidR="00BF7C70" w:rsidRPr="006F2B6D">
        <w:t xml:space="preserve"> in the sclera to create an alternate channel through which </w:t>
      </w:r>
      <w:r w:rsidR="00CF5A95" w:rsidRPr="006F2B6D">
        <w:t>aqueous fluid can drain into a bleb. Microsurgery using stents encompassed by item number 42504</w:t>
      </w:r>
      <w:r w:rsidR="00D13C73" w:rsidRPr="006F2B6D">
        <w:t xml:space="preserve"> </w:t>
      </w:r>
      <w:r w:rsidR="00CF5A95" w:rsidRPr="006F2B6D">
        <w:t xml:space="preserve">or a trabecular </w:t>
      </w:r>
      <w:proofErr w:type="spellStart"/>
      <w:r w:rsidR="00CF5A95" w:rsidRPr="006F2B6D">
        <w:t>microcatheter</w:t>
      </w:r>
      <w:proofErr w:type="spellEnd"/>
      <w:r w:rsidR="00B15059" w:rsidRPr="006F2B6D">
        <w:t xml:space="preserve"> </w:t>
      </w:r>
      <w:proofErr w:type="gramStart"/>
      <w:r w:rsidR="00E64E87" w:rsidRPr="006F2B6D">
        <w:t xml:space="preserve">can </w:t>
      </w:r>
      <w:r w:rsidR="00B15059" w:rsidRPr="006F2B6D">
        <w:t>be considered</w:t>
      </w:r>
      <w:proofErr w:type="gramEnd"/>
      <w:r w:rsidR="00E64E87" w:rsidRPr="006F2B6D">
        <w:t xml:space="preserve"> to reduce the need for the more invasive filtering surgery</w:t>
      </w:r>
      <w:r w:rsidR="00B15059" w:rsidRPr="006F2B6D">
        <w:t>.</w:t>
      </w:r>
    </w:p>
    <w:p w14:paraId="51CE8AE2"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7BB2E45A" w14:textId="341A0FEC" w:rsidR="00BC424B" w:rsidRPr="00CF5A95" w:rsidRDefault="00CF5A95" w:rsidP="006F2B6D">
      <w:pPr>
        <w:ind w:left="284"/>
        <w:rPr>
          <w:color w:val="1F497D" w:themeColor="text2"/>
        </w:rPr>
      </w:pPr>
      <w:r w:rsidRPr="006F2B6D">
        <w:t xml:space="preserve">As noted in Question 25, </w:t>
      </w:r>
      <w:proofErr w:type="gramStart"/>
      <w:r w:rsidRPr="006F2B6D">
        <w:t xml:space="preserve">patients with glaucoma </w:t>
      </w:r>
      <w:r w:rsidR="00C46618" w:rsidRPr="006F2B6D">
        <w:t xml:space="preserve">may be </w:t>
      </w:r>
      <w:r w:rsidRPr="006F2B6D">
        <w:t>identified by routine screening</w:t>
      </w:r>
      <w:proofErr w:type="gramEnd"/>
      <w:r w:rsidRPr="006F2B6D">
        <w:t xml:space="preserve"> during an eye examination or</w:t>
      </w:r>
      <w:r w:rsidR="00C46618" w:rsidRPr="006F2B6D">
        <w:t xml:space="preserve"> patients are</w:t>
      </w:r>
      <w:r w:rsidRPr="006F2B6D">
        <w:t xml:space="preserve"> identified as being at risk of glaucoma by a General Practitioner</w:t>
      </w:r>
      <w:r w:rsidR="004A4E87" w:rsidRPr="006F2B6D">
        <w:t>.</w:t>
      </w:r>
      <w:r w:rsidR="00C46618" w:rsidRPr="006F2B6D">
        <w:t xml:space="preserve"> Referral to an ophthalmologist is required when there is significant suspicion of glaucoma. The ophthalmologist will prescribe topical medication and monitor the response.  Additional or alternative medications may be trialled.  Should medication not sufficiently lower IOP, then laser </w:t>
      </w:r>
      <w:proofErr w:type="spellStart"/>
      <w:r w:rsidR="00C46618" w:rsidRPr="006F2B6D">
        <w:t>trabeculoplasty</w:t>
      </w:r>
      <w:proofErr w:type="spellEnd"/>
      <w:r w:rsidR="00C46618" w:rsidRPr="006F2B6D">
        <w:t xml:space="preserve"> </w:t>
      </w:r>
      <w:proofErr w:type="gramStart"/>
      <w:r w:rsidR="00C46618" w:rsidRPr="006F2B6D">
        <w:t>would be performed</w:t>
      </w:r>
      <w:proofErr w:type="gramEnd"/>
      <w:r w:rsidR="00C46618" w:rsidRPr="006F2B6D">
        <w:t xml:space="preserve">.  </w:t>
      </w:r>
      <w:proofErr w:type="gramStart"/>
      <w:r w:rsidR="00C46618" w:rsidRPr="006F2B6D">
        <w:t>Should IOP still not be lowered</w:t>
      </w:r>
      <w:proofErr w:type="gramEnd"/>
      <w:r w:rsidR="00C46618" w:rsidRPr="006F2B6D">
        <w:t xml:space="preserve"> to the target </w:t>
      </w:r>
      <w:r w:rsidR="00C46618">
        <w:rPr>
          <w:color w:val="1F497D" w:themeColor="text2"/>
        </w:rPr>
        <w:t>range then microsurgery may be considered.</w:t>
      </w:r>
    </w:p>
    <w:p w14:paraId="1E2A9D95" w14:textId="77777777" w:rsidR="006F2B6D" w:rsidRDefault="006F2B6D" w:rsidP="005C3AE7">
      <w:pPr>
        <w:pStyle w:val="Subtitle"/>
      </w:pPr>
    </w:p>
    <w:p w14:paraId="18EF5240" w14:textId="62742E8C" w:rsidR="002A50FD" w:rsidRPr="006F2B6D" w:rsidRDefault="005C3AE7" w:rsidP="005C3AE7">
      <w:pPr>
        <w:pStyle w:val="Subtitle"/>
      </w:pPr>
      <w:r w:rsidRPr="006F2B6D">
        <w:lastRenderedPageBreak/>
        <w:t xml:space="preserve">PART 6b – </w:t>
      </w:r>
      <w:r w:rsidR="002A50FD" w:rsidRPr="006F2B6D">
        <w:t>INFORMATION ABOUT THE INTERVENTION</w:t>
      </w:r>
    </w:p>
    <w:p w14:paraId="303316FA" w14:textId="77777777" w:rsidR="002A50FD" w:rsidRPr="006F2B6D" w:rsidRDefault="002A6753" w:rsidP="00FA1634">
      <w:pPr>
        <w:pStyle w:val="Heading2"/>
      </w:pPr>
      <w:r w:rsidRPr="006F2B6D">
        <w:t xml:space="preserve">Describe the </w:t>
      </w:r>
      <w:r w:rsidR="00DF6D37" w:rsidRPr="006F2B6D">
        <w:t>key components and</w:t>
      </w:r>
      <w:r w:rsidR="00B771AD" w:rsidRPr="006F2B6D">
        <w:t xml:space="preserve"> clinical</w:t>
      </w:r>
      <w:r w:rsidR="00DF6D37" w:rsidRPr="006F2B6D">
        <w:t xml:space="preserve"> steps involved in delivering </w:t>
      </w:r>
      <w:r w:rsidR="00C05A45" w:rsidRPr="006F2B6D">
        <w:t xml:space="preserve">the </w:t>
      </w:r>
      <w:r w:rsidR="00197D29" w:rsidRPr="006F2B6D">
        <w:t>proposed medical service:</w:t>
      </w:r>
    </w:p>
    <w:p w14:paraId="76ACEE63" w14:textId="24FD09DD" w:rsidR="00AB0F8E" w:rsidRPr="006F2B6D" w:rsidRDefault="000137BD" w:rsidP="00500DE8">
      <w:pPr>
        <w:ind w:left="426"/>
      </w:pPr>
      <w:r w:rsidRPr="006F2B6D">
        <w:t>Similarly,</w:t>
      </w:r>
      <w:r w:rsidR="00500DE8" w:rsidRPr="006F2B6D">
        <w:t xml:space="preserve"> to micro stents, </w:t>
      </w:r>
      <w:proofErr w:type="spellStart"/>
      <w:r w:rsidR="00500DE8" w:rsidRPr="006F2B6D">
        <w:t>microcatheters</w:t>
      </w:r>
      <w:proofErr w:type="spellEnd"/>
      <w:r w:rsidR="00500DE8" w:rsidRPr="006F2B6D">
        <w:t xml:space="preserve"> </w:t>
      </w:r>
      <w:proofErr w:type="gramStart"/>
      <w:r w:rsidR="00500DE8" w:rsidRPr="006F2B6D">
        <w:t>are inserted</w:t>
      </w:r>
      <w:proofErr w:type="gramEnd"/>
      <w:r w:rsidR="00500DE8" w:rsidRPr="006F2B6D">
        <w:t xml:space="preserve"> via a small </w:t>
      </w:r>
      <w:proofErr w:type="spellStart"/>
      <w:r w:rsidR="00500DE8" w:rsidRPr="006F2B6D">
        <w:t>goniotomy</w:t>
      </w:r>
      <w:proofErr w:type="spellEnd"/>
      <w:r w:rsidR="00500DE8" w:rsidRPr="006F2B6D">
        <w:t xml:space="preserve"> into </w:t>
      </w:r>
      <w:proofErr w:type="spellStart"/>
      <w:r w:rsidR="00500DE8" w:rsidRPr="006F2B6D">
        <w:t>Schlemm’s</w:t>
      </w:r>
      <w:proofErr w:type="spellEnd"/>
      <w:r w:rsidR="00500DE8" w:rsidRPr="006F2B6D">
        <w:t xml:space="preserve"> canal. The </w:t>
      </w:r>
      <w:proofErr w:type="spellStart"/>
      <w:r w:rsidR="00500DE8" w:rsidRPr="006F2B6D">
        <w:t>microcatheter</w:t>
      </w:r>
      <w:proofErr w:type="spellEnd"/>
      <w:r w:rsidR="00500DE8" w:rsidRPr="006F2B6D">
        <w:t xml:space="preserve"> </w:t>
      </w:r>
      <w:proofErr w:type="gramStart"/>
      <w:r w:rsidR="00500DE8" w:rsidRPr="006F2B6D">
        <w:t>is filled</w:t>
      </w:r>
      <w:proofErr w:type="gramEnd"/>
      <w:r w:rsidR="00500DE8" w:rsidRPr="006F2B6D">
        <w:t xml:space="preserve"> with viscoelastic fluid </w:t>
      </w:r>
      <w:r w:rsidR="000B7ED6" w:rsidRPr="006F2B6D">
        <w:t xml:space="preserve">and </w:t>
      </w:r>
      <w:r w:rsidR="00500DE8" w:rsidRPr="006F2B6D">
        <w:t xml:space="preserve">circumnavigates </w:t>
      </w:r>
      <w:proofErr w:type="spellStart"/>
      <w:r w:rsidR="00500DE8" w:rsidRPr="006F2B6D">
        <w:t>Schlemm’s</w:t>
      </w:r>
      <w:proofErr w:type="spellEnd"/>
      <w:r w:rsidR="00500DE8" w:rsidRPr="006F2B6D">
        <w:t xml:space="preserve"> canal.  The</w:t>
      </w:r>
      <w:r w:rsidR="00AB0F8E" w:rsidRPr="006F2B6D">
        <w:t xml:space="preserve"> tip of the </w:t>
      </w:r>
      <w:proofErr w:type="spellStart"/>
      <w:r w:rsidR="00AB0F8E" w:rsidRPr="006F2B6D">
        <w:t>microcatheter</w:t>
      </w:r>
      <w:proofErr w:type="spellEnd"/>
      <w:r w:rsidR="00AB0F8E" w:rsidRPr="006F2B6D">
        <w:t xml:space="preserve"> is lubricious and atraumatic and has an illuminated fibre-optic tip so that its progress can be tracked.  As it traverses the </w:t>
      </w:r>
      <w:proofErr w:type="gramStart"/>
      <w:r w:rsidR="00AB0F8E" w:rsidRPr="006F2B6D">
        <w:t>canal</w:t>
      </w:r>
      <w:proofErr w:type="gramEnd"/>
      <w:r w:rsidR="00AB0F8E" w:rsidRPr="006F2B6D">
        <w:t xml:space="preserve"> the </w:t>
      </w:r>
      <w:proofErr w:type="spellStart"/>
      <w:r w:rsidR="00AB0F8E" w:rsidRPr="006F2B6D">
        <w:t>microcatheter</w:t>
      </w:r>
      <w:proofErr w:type="spellEnd"/>
      <w:r w:rsidR="00AB0F8E" w:rsidRPr="006F2B6D">
        <w:t xml:space="preserve"> separates </w:t>
      </w:r>
      <w:proofErr w:type="spellStart"/>
      <w:r w:rsidR="00AB0F8E" w:rsidRPr="006F2B6D">
        <w:t>herniations</w:t>
      </w:r>
      <w:proofErr w:type="spellEnd"/>
      <w:r w:rsidR="00AB0F8E" w:rsidRPr="006F2B6D">
        <w:t xml:space="preserve"> of the meshwork into the collector channels. It also breaks inner lumen adhesions an</w:t>
      </w:r>
      <w:r w:rsidR="007606E8" w:rsidRPr="006F2B6D">
        <w:t>d</w:t>
      </w:r>
      <w:r w:rsidR="00AB0F8E" w:rsidRPr="006F2B6D">
        <w:t xml:space="preserve"> opens the stenotic segments of the canal.</w:t>
      </w:r>
    </w:p>
    <w:p w14:paraId="1BB28E81" w14:textId="77777777" w:rsidR="00AB0F8E" w:rsidRPr="006F2B6D" w:rsidRDefault="00AB0F8E" w:rsidP="00500DE8">
      <w:pPr>
        <w:ind w:left="426"/>
      </w:pPr>
      <w:r w:rsidRPr="006F2B6D">
        <w:t xml:space="preserve">Once the </w:t>
      </w:r>
      <w:proofErr w:type="spellStart"/>
      <w:r w:rsidRPr="006F2B6D">
        <w:t>microcatheter</w:t>
      </w:r>
      <w:proofErr w:type="spellEnd"/>
      <w:r w:rsidRPr="006F2B6D">
        <w:t xml:space="preserve"> has completed the </w:t>
      </w:r>
      <w:proofErr w:type="gramStart"/>
      <w:r w:rsidRPr="006F2B6D">
        <w:t>circumnavigation</w:t>
      </w:r>
      <w:proofErr w:type="gramEnd"/>
      <w:r w:rsidRPr="006F2B6D">
        <w:t xml:space="preserve"> it is slowly withdrawn while delivering a precise amount of viscoelastic fluid into the canal.  The process of </w:t>
      </w:r>
      <w:proofErr w:type="spellStart"/>
      <w:r w:rsidRPr="006F2B6D">
        <w:t>viscodilation</w:t>
      </w:r>
      <w:proofErr w:type="spellEnd"/>
      <w:r w:rsidRPr="006F2B6D">
        <w:t xml:space="preserve"> separates the compressed tissue planes of the meshwork and triggers the withdrawal of the herniated inner wall tissue from the collector channels.  It also dilates and flushes the newly opened collector channel. Once this process is </w:t>
      </w:r>
      <w:proofErr w:type="gramStart"/>
      <w:r w:rsidRPr="006F2B6D">
        <w:t>completed</w:t>
      </w:r>
      <w:proofErr w:type="gramEnd"/>
      <w:r w:rsidRPr="006F2B6D">
        <w:t xml:space="preserve"> the </w:t>
      </w:r>
      <w:proofErr w:type="spellStart"/>
      <w:r w:rsidRPr="006F2B6D">
        <w:t>microcatheter</w:t>
      </w:r>
      <w:proofErr w:type="spellEnd"/>
      <w:r w:rsidRPr="006F2B6D">
        <w:t xml:space="preserve"> is removed.</w:t>
      </w:r>
    </w:p>
    <w:p w14:paraId="729DCE26" w14:textId="278AB0DB" w:rsidR="00500DE8" w:rsidRPr="006F2B6D" w:rsidRDefault="00AB0F8E" w:rsidP="00500DE8">
      <w:pPr>
        <w:ind w:left="426"/>
      </w:pPr>
      <w:r w:rsidRPr="006F2B6D">
        <w:t xml:space="preserve">The procedure </w:t>
      </w:r>
      <w:proofErr w:type="gramStart"/>
      <w:r w:rsidRPr="006F2B6D">
        <w:t>may be performed</w:t>
      </w:r>
      <w:proofErr w:type="gramEnd"/>
      <w:r w:rsidRPr="006F2B6D">
        <w:t xml:space="preserve"> under local or general anaesthetic and may be performed as a day procedure.</w:t>
      </w:r>
      <w:r w:rsidR="00500DE8" w:rsidRPr="006F2B6D">
        <w:t xml:space="preserve"> </w:t>
      </w:r>
    </w:p>
    <w:p w14:paraId="69438DA1" w14:textId="554F526B" w:rsidR="002A6753" w:rsidRPr="006F2B6D" w:rsidRDefault="002A6753" w:rsidP="00FA1634">
      <w:pPr>
        <w:pStyle w:val="Heading2"/>
      </w:pPr>
      <w:r w:rsidRPr="006F2B6D">
        <w:t>Does the proposed medical service include a registered trademark</w:t>
      </w:r>
      <w:r w:rsidR="00707D4D" w:rsidRPr="006F2B6D">
        <w:t xml:space="preserve"> component</w:t>
      </w:r>
      <w:r w:rsidRPr="006F2B6D">
        <w:t xml:space="preserve"> with characteristics that distinguishes it from other similar health </w:t>
      </w:r>
      <w:r w:rsidR="00707D4D" w:rsidRPr="006F2B6D">
        <w:t>components</w:t>
      </w:r>
      <w:r w:rsidRPr="006F2B6D">
        <w:t>?</w:t>
      </w:r>
    </w:p>
    <w:p w14:paraId="70FBC8DD" w14:textId="665C3C37" w:rsidR="00D13C73" w:rsidRPr="006F2B6D" w:rsidRDefault="000B7ED6" w:rsidP="004A715D">
      <w:pPr>
        <w:ind w:left="426"/>
      </w:pPr>
      <w:proofErr w:type="spellStart"/>
      <w:r w:rsidRPr="006F2B6D">
        <w:t>ITrack</w:t>
      </w:r>
      <w:proofErr w:type="spellEnd"/>
      <w:r w:rsidRPr="006F2B6D">
        <w:t xml:space="preserve"> is a trademark of</w:t>
      </w:r>
      <w:r w:rsidR="004C2F66" w:rsidRPr="006F2B6D">
        <w:t xml:space="preserve"> Nova Eye Medical Ltd</w:t>
      </w:r>
    </w:p>
    <w:p w14:paraId="32784D9F" w14:textId="3C85B85C" w:rsidR="00C22AD8" w:rsidRPr="006F2B6D" w:rsidRDefault="00D13C73" w:rsidP="00FA1634">
      <w:pPr>
        <w:pStyle w:val="Heading2"/>
      </w:pPr>
      <w:r w:rsidRPr="006F2B6D">
        <w:t>I</w:t>
      </w:r>
      <w:r w:rsidR="00C22AD8" w:rsidRPr="006F2B6D">
        <w:t>f the proposed medical service has a prosthesis or device component to it, does it involve a new approach towards managing a particular sub-group of the population with the specific medical condition?</w:t>
      </w:r>
    </w:p>
    <w:p w14:paraId="4C469465" w14:textId="7C77126E" w:rsidR="00DF0C51" w:rsidRPr="006F2B6D" w:rsidRDefault="000B7ED6" w:rsidP="000B7ED6">
      <w:pPr>
        <w:ind w:left="360"/>
        <w:rPr>
          <w:bCs/>
          <w:szCs w:val="20"/>
        </w:rPr>
      </w:pPr>
      <w:r w:rsidRPr="006F2B6D">
        <w:rPr>
          <w:bCs/>
          <w:szCs w:val="20"/>
        </w:rPr>
        <w:t xml:space="preserve">The </w:t>
      </w:r>
      <w:proofErr w:type="spellStart"/>
      <w:r w:rsidRPr="006F2B6D">
        <w:rPr>
          <w:bCs/>
          <w:szCs w:val="20"/>
        </w:rPr>
        <w:t>microcatheter</w:t>
      </w:r>
      <w:proofErr w:type="spellEnd"/>
      <w:r w:rsidRPr="006F2B6D">
        <w:rPr>
          <w:bCs/>
          <w:szCs w:val="20"/>
        </w:rPr>
        <w:t xml:space="preserve"> </w:t>
      </w:r>
      <w:proofErr w:type="gramStart"/>
      <w:r w:rsidR="005C658B" w:rsidRPr="006F2B6D">
        <w:rPr>
          <w:bCs/>
          <w:szCs w:val="20"/>
        </w:rPr>
        <w:t>is indicated</w:t>
      </w:r>
      <w:proofErr w:type="gramEnd"/>
      <w:r w:rsidR="005C658B" w:rsidRPr="006F2B6D">
        <w:rPr>
          <w:bCs/>
          <w:szCs w:val="20"/>
        </w:rPr>
        <w:t xml:space="preserve"> for </w:t>
      </w:r>
      <w:r w:rsidR="007606E8" w:rsidRPr="006F2B6D">
        <w:rPr>
          <w:bCs/>
          <w:szCs w:val="20"/>
        </w:rPr>
        <w:t xml:space="preserve">the same </w:t>
      </w:r>
      <w:r w:rsidR="005C658B" w:rsidRPr="006F2B6D">
        <w:rPr>
          <w:bCs/>
          <w:szCs w:val="20"/>
        </w:rPr>
        <w:t xml:space="preserve">patients in whom </w:t>
      </w:r>
      <w:r w:rsidR="007606E8" w:rsidRPr="006F2B6D">
        <w:rPr>
          <w:bCs/>
          <w:szCs w:val="20"/>
        </w:rPr>
        <w:t>micro-</w:t>
      </w:r>
      <w:r w:rsidR="00427386" w:rsidRPr="006F2B6D">
        <w:rPr>
          <w:bCs/>
          <w:szCs w:val="20"/>
        </w:rPr>
        <w:t>bypass</w:t>
      </w:r>
      <w:r w:rsidR="005C658B" w:rsidRPr="006F2B6D">
        <w:rPr>
          <w:bCs/>
          <w:szCs w:val="20"/>
        </w:rPr>
        <w:t xml:space="preserve"> is indicated</w:t>
      </w:r>
      <w:r w:rsidR="007606E8" w:rsidRPr="006F2B6D">
        <w:rPr>
          <w:bCs/>
          <w:szCs w:val="20"/>
        </w:rPr>
        <w:t>.</w:t>
      </w:r>
    </w:p>
    <w:p w14:paraId="4AB7B30B" w14:textId="77777777" w:rsidR="006B1B49" w:rsidRPr="006F2B6D" w:rsidRDefault="006B1B49" w:rsidP="00530204">
      <w:pPr>
        <w:pStyle w:val="Heading2"/>
      </w:pPr>
      <w:r w:rsidRPr="006F2B6D">
        <w:t xml:space="preserve">If applicable, are there any limitations on the </w:t>
      </w:r>
      <w:r w:rsidR="00DF0C51" w:rsidRPr="006F2B6D">
        <w:t xml:space="preserve">provision </w:t>
      </w:r>
      <w:r w:rsidRPr="006F2B6D">
        <w:t>of the proposed medical se</w:t>
      </w:r>
      <w:r w:rsidR="00DF0C51" w:rsidRPr="006F2B6D">
        <w:t xml:space="preserve">rvice delivered to the patient </w:t>
      </w:r>
      <w:r w:rsidR="00D30BDC" w:rsidRPr="006F2B6D">
        <w:t>(</w:t>
      </w:r>
      <w:r w:rsidR="00DF0C51" w:rsidRPr="006F2B6D">
        <w:t>i</w:t>
      </w:r>
      <w:r w:rsidR="00812EDD" w:rsidRPr="006F2B6D">
        <w:t>.</w:t>
      </w:r>
      <w:r w:rsidR="00DF0C51" w:rsidRPr="006F2B6D">
        <w:t xml:space="preserve">e. </w:t>
      </w:r>
      <w:r w:rsidR="00707D4D" w:rsidRPr="006F2B6D">
        <w:t xml:space="preserve">accessibility, </w:t>
      </w:r>
      <w:r w:rsidR="00DF0C51" w:rsidRPr="006F2B6D">
        <w:t>dosage, quantity, duration or frequency</w:t>
      </w:r>
      <w:r w:rsidR="00D30BDC" w:rsidRPr="006F2B6D">
        <w:t>)</w:t>
      </w:r>
      <w:r w:rsidR="00AE1188" w:rsidRPr="006F2B6D">
        <w:t>:</w:t>
      </w:r>
    </w:p>
    <w:p w14:paraId="045C8A5C" w14:textId="0061A0A5" w:rsidR="00CC09D7" w:rsidRPr="006F2B6D" w:rsidRDefault="00AD5BE5" w:rsidP="00E357B9">
      <w:pPr>
        <w:ind w:left="426"/>
        <w:rPr>
          <w:szCs w:val="20"/>
        </w:rPr>
      </w:pPr>
      <w:r w:rsidRPr="006F2B6D">
        <w:t>Not applicable</w:t>
      </w:r>
    </w:p>
    <w:p w14:paraId="6D34AB55" w14:textId="3C5C7BF6" w:rsidR="00791C8D" w:rsidRPr="006F2B6D" w:rsidRDefault="00791C8D" w:rsidP="00530204">
      <w:pPr>
        <w:pStyle w:val="Heading2"/>
      </w:pPr>
      <w:r w:rsidRPr="006F2B6D">
        <w:t xml:space="preserve">If applicable, identify any healthcare resources </w:t>
      </w:r>
      <w:r w:rsidR="007522E3" w:rsidRPr="006F2B6D">
        <w:t xml:space="preserve">or other medical services </w:t>
      </w:r>
      <w:r w:rsidRPr="006F2B6D">
        <w:t xml:space="preserve">that would need to </w:t>
      </w:r>
      <w:proofErr w:type="gramStart"/>
      <w:r w:rsidRPr="006F2B6D">
        <w:t>be delivered</w:t>
      </w:r>
      <w:proofErr w:type="gramEnd"/>
      <w:r w:rsidRPr="006F2B6D">
        <w:t xml:space="preserve"> </w:t>
      </w:r>
      <w:r w:rsidRPr="006F2B6D">
        <w:rPr>
          <w:u w:val="single"/>
        </w:rPr>
        <w:t>at the same time</w:t>
      </w:r>
      <w:r w:rsidRPr="006F2B6D">
        <w:t xml:space="preserve"> </w:t>
      </w:r>
      <w:r w:rsidR="00197D29" w:rsidRPr="006F2B6D">
        <w:t>as the proposed medical service:</w:t>
      </w:r>
    </w:p>
    <w:p w14:paraId="430C51AD" w14:textId="4C42F3EC" w:rsidR="00AD5BE5" w:rsidRPr="006F2B6D" w:rsidRDefault="00520B3B" w:rsidP="00AD5BE5">
      <w:pPr>
        <w:ind w:left="360"/>
      </w:pPr>
      <w:r w:rsidRPr="006F2B6D">
        <w:t>Not applicable</w:t>
      </w:r>
    </w:p>
    <w:p w14:paraId="7AB7C74E" w14:textId="77777777" w:rsidR="00B17E26" w:rsidRPr="006F2B6D" w:rsidRDefault="00B17E26" w:rsidP="00530204">
      <w:pPr>
        <w:pStyle w:val="Heading2"/>
      </w:pPr>
      <w:r w:rsidRPr="006F2B6D">
        <w:t>If applicable, advise which health profession</w:t>
      </w:r>
      <w:r w:rsidR="00E4321E" w:rsidRPr="006F2B6D">
        <w:t xml:space="preserve">als </w:t>
      </w:r>
      <w:r w:rsidRPr="006F2B6D">
        <w:t>will</w:t>
      </w:r>
      <w:r w:rsidR="00E4321E" w:rsidRPr="006F2B6D">
        <w:t xml:space="preserve"> </w:t>
      </w:r>
      <w:r w:rsidR="007D2358" w:rsidRPr="006F2B6D">
        <w:t xml:space="preserve">primarily deliver the </w:t>
      </w:r>
      <w:r w:rsidR="00E4321E" w:rsidRPr="006F2B6D">
        <w:t xml:space="preserve">proposed </w:t>
      </w:r>
      <w:r w:rsidR="00AE1188" w:rsidRPr="006F2B6D">
        <w:t>service:</w:t>
      </w:r>
    </w:p>
    <w:p w14:paraId="776607C0" w14:textId="035DA0A0" w:rsidR="00B17E26" w:rsidRPr="006F2B6D" w:rsidRDefault="00AD5BE5" w:rsidP="00884E69">
      <w:pPr>
        <w:ind w:left="426"/>
        <w:rPr>
          <w:szCs w:val="20"/>
        </w:rPr>
      </w:pPr>
      <w:r w:rsidRPr="006F2B6D">
        <w:t>An Ophthalmologist must deliver the service.</w:t>
      </w:r>
    </w:p>
    <w:p w14:paraId="204439E0" w14:textId="77777777" w:rsidR="00B17E26" w:rsidRPr="006F2B6D" w:rsidRDefault="00B17E26" w:rsidP="00530204">
      <w:pPr>
        <w:pStyle w:val="Heading2"/>
      </w:pPr>
      <w:r w:rsidRPr="006F2B6D">
        <w:t xml:space="preserve">If applicable, advise whether the proposed medical service </w:t>
      </w:r>
      <w:proofErr w:type="gramStart"/>
      <w:r w:rsidRPr="006F2B6D">
        <w:t>could be delegated or referred to another professional for delive</w:t>
      </w:r>
      <w:r w:rsidR="00AE1188" w:rsidRPr="006F2B6D">
        <w:t>ry</w:t>
      </w:r>
      <w:proofErr w:type="gramEnd"/>
      <w:r w:rsidR="00AE1188" w:rsidRPr="006F2B6D">
        <w:t>:</w:t>
      </w:r>
    </w:p>
    <w:p w14:paraId="746D1A38" w14:textId="60907BAE" w:rsidR="00B17E26" w:rsidRPr="006F2B6D" w:rsidRDefault="00AD5BE5" w:rsidP="00884E69">
      <w:pPr>
        <w:ind w:left="426"/>
        <w:rPr>
          <w:szCs w:val="20"/>
        </w:rPr>
      </w:pPr>
      <w:r w:rsidRPr="006F2B6D">
        <w:t xml:space="preserve">The service </w:t>
      </w:r>
      <w:proofErr w:type="gramStart"/>
      <w:r w:rsidRPr="006F2B6D">
        <w:t>cannot be delegated</w:t>
      </w:r>
      <w:proofErr w:type="gramEnd"/>
      <w:r w:rsidRPr="006F2B6D">
        <w:t>.</w:t>
      </w:r>
    </w:p>
    <w:p w14:paraId="1893BA00" w14:textId="77777777" w:rsidR="00EA0E25" w:rsidRPr="006F2B6D" w:rsidRDefault="00EA0E25" w:rsidP="00530204">
      <w:pPr>
        <w:pStyle w:val="Heading2"/>
      </w:pPr>
      <w:r w:rsidRPr="006F2B6D">
        <w:t xml:space="preserve">If applicable, specify any proposed limitations on who might deliver the proposed medical service, or who </w:t>
      </w:r>
      <w:r w:rsidR="00AE1188" w:rsidRPr="006F2B6D">
        <w:t>might provide a referral for it:</w:t>
      </w:r>
    </w:p>
    <w:p w14:paraId="76535BF4" w14:textId="7931D538" w:rsidR="00EA0E25" w:rsidRPr="006F2B6D" w:rsidRDefault="00AD5BE5" w:rsidP="00BC424B">
      <w:pPr>
        <w:ind w:left="426"/>
        <w:rPr>
          <w:szCs w:val="20"/>
        </w:rPr>
      </w:pPr>
      <w:r w:rsidRPr="006F2B6D">
        <w:t>The service should only be delivered by an op</w:t>
      </w:r>
      <w:r w:rsidR="00113BC8" w:rsidRPr="006F2B6D">
        <w:t xml:space="preserve">hthalmologist who </w:t>
      </w:r>
      <w:proofErr w:type="gramStart"/>
      <w:r w:rsidR="007606E8" w:rsidRPr="006F2B6D">
        <w:t>is  recognised</w:t>
      </w:r>
      <w:proofErr w:type="gramEnd"/>
      <w:r w:rsidR="007606E8" w:rsidRPr="006F2B6D">
        <w:t xml:space="preserve"> by the Conjoint Committee for the Recognition of Training in Micro-Bypass Glaucoma Surgery</w:t>
      </w:r>
    </w:p>
    <w:p w14:paraId="76FB8431" w14:textId="77777777" w:rsidR="00EA0E25" w:rsidRPr="006F2B6D" w:rsidRDefault="00EA0E25" w:rsidP="00530204">
      <w:pPr>
        <w:pStyle w:val="Heading2"/>
      </w:pPr>
      <w:r w:rsidRPr="006F2B6D">
        <w:t xml:space="preserve">If applicable, advise what type of training </w:t>
      </w:r>
      <w:r w:rsidR="009C03FB" w:rsidRPr="006F2B6D">
        <w:t xml:space="preserve">or qualifications </w:t>
      </w:r>
      <w:r w:rsidRPr="006F2B6D">
        <w:t xml:space="preserve">would be required to perform the </w:t>
      </w:r>
      <w:r w:rsidR="007522E3" w:rsidRPr="006F2B6D">
        <w:t xml:space="preserve">proposed </w:t>
      </w:r>
      <w:r w:rsidRPr="006F2B6D">
        <w:t>service</w:t>
      </w:r>
      <w:r w:rsidR="003904AC" w:rsidRPr="006F2B6D">
        <w:t>,</w:t>
      </w:r>
      <w:r w:rsidR="00257FF2" w:rsidRPr="006F2B6D">
        <w:t xml:space="preserve"> as well as any accreditation requirements to suppor</w:t>
      </w:r>
      <w:r w:rsidR="009C03FB" w:rsidRPr="006F2B6D">
        <w:t xml:space="preserve">t </w:t>
      </w:r>
      <w:r w:rsidR="00257FF2" w:rsidRPr="006F2B6D">
        <w:t>service</w:t>
      </w:r>
      <w:r w:rsidR="009C03FB" w:rsidRPr="006F2B6D">
        <w:t xml:space="preserve"> delivery</w:t>
      </w:r>
      <w:r w:rsidR="00AE1188" w:rsidRPr="006F2B6D">
        <w:t>:</w:t>
      </w:r>
    </w:p>
    <w:p w14:paraId="2A0B4303" w14:textId="331A7B68" w:rsidR="00EA0E25" w:rsidRPr="006F2B6D" w:rsidRDefault="00113BC8" w:rsidP="0073597B">
      <w:pPr>
        <w:ind w:left="426"/>
        <w:rPr>
          <w:szCs w:val="20"/>
        </w:rPr>
      </w:pPr>
      <w:proofErr w:type="gramStart"/>
      <w:r w:rsidRPr="006F2B6D">
        <w:t>The service should be delivered by Ophthalmologists who have met the requirements to be admitted as a Fellow of the Royal Australian and New Zealand College of Ophthalmologists (RANZCO)</w:t>
      </w:r>
      <w:proofErr w:type="gramEnd"/>
      <w:r w:rsidRPr="006F2B6D">
        <w:t xml:space="preserve">. Additionally, the Ophthalmologist should also have undergone training </w:t>
      </w:r>
      <w:r w:rsidR="00E4533C" w:rsidRPr="006F2B6D">
        <w:t xml:space="preserve">that </w:t>
      </w:r>
      <w:proofErr w:type="gramStart"/>
      <w:r w:rsidR="00E4533C" w:rsidRPr="006F2B6D">
        <w:t>is recognised</w:t>
      </w:r>
      <w:proofErr w:type="gramEnd"/>
      <w:r w:rsidR="00E4533C" w:rsidRPr="006F2B6D">
        <w:t xml:space="preserve"> by the </w:t>
      </w:r>
      <w:r w:rsidRPr="006F2B6D">
        <w:t>Conjoint Committee for the Recognition of Training in Micro-Bypass Glaucoma Surgery</w:t>
      </w:r>
      <w:r w:rsidR="00E4533C" w:rsidRPr="006F2B6D">
        <w:t xml:space="preserve">. </w:t>
      </w:r>
    </w:p>
    <w:p w14:paraId="0D16A3A2" w14:textId="77777777" w:rsidR="005F3F07" w:rsidRPr="006F2B6D" w:rsidRDefault="005C3AE7" w:rsidP="00530204">
      <w:pPr>
        <w:pStyle w:val="Heading2"/>
      </w:pPr>
      <w:r w:rsidRPr="006F2B6D">
        <w:t>(</w:t>
      </w:r>
      <w:proofErr w:type="gramStart"/>
      <w:r w:rsidRPr="006F2B6D">
        <w:t>a</w:t>
      </w:r>
      <w:proofErr w:type="gramEnd"/>
      <w:r w:rsidRPr="006F2B6D">
        <w:t xml:space="preserve">) </w:t>
      </w:r>
      <w:r w:rsidR="005F3F07" w:rsidRPr="006F2B6D">
        <w:t>Indicate the proposed setting</w:t>
      </w:r>
      <w:r w:rsidR="00D30BDC" w:rsidRPr="006F2B6D">
        <w:t>(</w:t>
      </w:r>
      <w:r w:rsidR="005F3F07" w:rsidRPr="006F2B6D">
        <w:t>s</w:t>
      </w:r>
      <w:r w:rsidR="00D30BDC" w:rsidRPr="006F2B6D">
        <w:t>)</w:t>
      </w:r>
      <w:r w:rsidR="005F3F07" w:rsidRPr="006F2B6D">
        <w:t xml:space="preserve"> in which the proposed medical service will be delivered</w:t>
      </w:r>
      <w:r w:rsidR="00D30BDC" w:rsidRPr="006F2B6D">
        <w:t xml:space="preserve"> (select </w:t>
      </w:r>
      <w:r w:rsidR="0079354C" w:rsidRPr="006F2B6D">
        <w:rPr>
          <w:u w:val="single"/>
        </w:rPr>
        <w:t>ALL</w:t>
      </w:r>
      <w:r w:rsidR="0079354C" w:rsidRPr="006F2B6D">
        <w:t xml:space="preserve"> </w:t>
      </w:r>
      <w:r w:rsidR="00D30BDC" w:rsidRPr="006F2B6D">
        <w:t>relevant settings)</w:t>
      </w:r>
      <w:r w:rsidR="00AE1188" w:rsidRPr="006F2B6D">
        <w:t>:</w:t>
      </w:r>
    </w:p>
    <w:p w14:paraId="389033A7" w14:textId="0C762A22" w:rsidR="000A478F" w:rsidRPr="006F2B6D" w:rsidRDefault="00E4533C" w:rsidP="000A478F">
      <w:pPr>
        <w:spacing w:before="0" w:after="0"/>
        <w:ind w:left="426"/>
      </w:pPr>
      <w:r w:rsidRPr="006F2B6D">
        <w:rPr>
          <w:szCs w:val="20"/>
        </w:rPr>
        <w:fldChar w:fldCharType="begin">
          <w:ffData>
            <w:name w:val=""/>
            <w:enabled/>
            <w:calcOnExit w:val="0"/>
            <w:checkBox>
              <w:sizeAuto/>
              <w:default w:val="1"/>
            </w:checkBox>
          </w:ffData>
        </w:fldChar>
      </w:r>
      <w:r w:rsidRPr="006F2B6D">
        <w:rPr>
          <w:szCs w:val="20"/>
        </w:rPr>
        <w:instrText xml:space="preserve"> FORMCHECKBOX </w:instrText>
      </w:r>
      <w:r w:rsidR="00027348">
        <w:rPr>
          <w:szCs w:val="20"/>
        </w:rPr>
      </w:r>
      <w:r w:rsidR="00027348">
        <w:rPr>
          <w:szCs w:val="20"/>
        </w:rPr>
        <w:fldChar w:fldCharType="separate"/>
      </w:r>
      <w:r w:rsidRPr="006F2B6D">
        <w:rPr>
          <w:szCs w:val="20"/>
        </w:rPr>
        <w:fldChar w:fldCharType="end"/>
      </w:r>
      <w:r w:rsidR="000A478F" w:rsidRPr="006F2B6D">
        <w:rPr>
          <w:szCs w:val="20"/>
        </w:rPr>
        <w:t xml:space="preserve"> </w:t>
      </w:r>
      <w:r w:rsidR="000A478F" w:rsidRPr="006F2B6D">
        <w:t>Inpatient private hospital</w:t>
      </w:r>
      <w:r w:rsidR="0079354C" w:rsidRPr="006F2B6D">
        <w:t xml:space="preserve"> (admitted patient)</w:t>
      </w:r>
    </w:p>
    <w:p w14:paraId="0F1A512F" w14:textId="577AE8EE" w:rsidR="000A478F" w:rsidRPr="006F2B6D" w:rsidRDefault="00E4533C" w:rsidP="000A478F">
      <w:pPr>
        <w:spacing w:before="0" w:after="0"/>
        <w:ind w:left="426"/>
      </w:pPr>
      <w:r w:rsidRPr="006F2B6D">
        <w:rPr>
          <w:szCs w:val="20"/>
        </w:rPr>
        <w:fldChar w:fldCharType="begin">
          <w:ffData>
            <w:name w:val=""/>
            <w:enabled/>
            <w:calcOnExit w:val="0"/>
            <w:checkBox>
              <w:sizeAuto/>
              <w:default w:val="1"/>
            </w:checkBox>
          </w:ffData>
        </w:fldChar>
      </w:r>
      <w:r w:rsidRPr="006F2B6D">
        <w:rPr>
          <w:szCs w:val="20"/>
        </w:rPr>
        <w:instrText xml:space="preserve"> FORMCHECKBOX </w:instrText>
      </w:r>
      <w:r w:rsidR="00027348">
        <w:rPr>
          <w:szCs w:val="20"/>
        </w:rPr>
      </w:r>
      <w:r w:rsidR="00027348">
        <w:rPr>
          <w:szCs w:val="20"/>
        </w:rPr>
        <w:fldChar w:fldCharType="separate"/>
      </w:r>
      <w:r w:rsidRPr="006F2B6D">
        <w:rPr>
          <w:szCs w:val="20"/>
        </w:rPr>
        <w:fldChar w:fldCharType="end"/>
      </w:r>
      <w:r w:rsidR="000A478F" w:rsidRPr="006F2B6D">
        <w:rPr>
          <w:szCs w:val="20"/>
        </w:rPr>
        <w:t xml:space="preserve"> </w:t>
      </w:r>
      <w:r w:rsidR="000A478F" w:rsidRPr="006F2B6D">
        <w:t>Inpatient public hospital</w:t>
      </w:r>
      <w:r w:rsidR="0079354C" w:rsidRPr="006F2B6D">
        <w:t xml:space="preserve"> (admitted patient)</w:t>
      </w:r>
    </w:p>
    <w:p w14:paraId="7FA91E6F" w14:textId="77777777" w:rsidR="000A478F" w:rsidRDefault="000A478F" w:rsidP="000A478F">
      <w:pPr>
        <w:spacing w:before="0" w:after="0"/>
        <w:ind w:left="426"/>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027348">
        <w:rPr>
          <w:szCs w:val="20"/>
        </w:rPr>
      </w:r>
      <w:r w:rsidR="00027348">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16018888"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27348">
        <w:rPr>
          <w:szCs w:val="20"/>
        </w:rPr>
      </w:r>
      <w:r w:rsidR="00027348">
        <w:rPr>
          <w:szCs w:val="20"/>
        </w:rPr>
        <w:fldChar w:fldCharType="separate"/>
      </w:r>
      <w:r w:rsidRPr="000A5B32">
        <w:rPr>
          <w:szCs w:val="20"/>
        </w:rPr>
        <w:fldChar w:fldCharType="end"/>
      </w:r>
      <w:r>
        <w:rPr>
          <w:szCs w:val="20"/>
        </w:rPr>
        <w:t xml:space="preserve"> Public outpatient clinic</w:t>
      </w:r>
    </w:p>
    <w:p w14:paraId="53DF74C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27348">
        <w:rPr>
          <w:szCs w:val="20"/>
        </w:rPr>
      </w:r>
      <w:r w:rsidR="00027348">
        <w:rPr>
          <w:szCs w:val="20"/>
        </w:rPr>
        <w:fldChar w:fldCharType="separate"/>
      </w:r>
      <w:r w:rsidRPr="000A5B32">
        <w:rPr>
          <w:szCs w:val="20"/>
        </w:rPr>
        <w:fldChar w:fldCharType="end"/>
      </w:r>
      <w:r>
        <w:rPr>
          <w:szCs w:val="20"/>
        </w:rPr>
        <w:t xml:space="preserve"> </w:t>
      </w:r>
      <w:r>
        <w:t>Emergency Department</w:t>
      </w:r>
    </w:p>
    <w:p w14:paraId="3E9049B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27348">
        <w:rPr>
          <w:szCs w:val="20"/>
        </w:rPr>
      </w:r>
      <w:r w:rsidR="00027348">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4069C821"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27348">
        <w:rPr>
          <w:szCs w:val="20"/>
        </w:rPr>
      </w:r>
      <w:r w:rsidR="00027348">
        <w:rPr>
          <w:szCs w:val="20"/>
        </w:rPr>
        <w:fldChar w:fldCharType="separate"/>
      </w:r>
      <w:r w:rsidRPr="000A5B32">
        <w:rPr>
          <w:szCs w:val="20"/>
        </w:rPr>
        <w:fldChar w:fldCharType="end"/>
      </w:r>
      <w:r>
        <w:rPr>
          <w:szCs w:val="20"/>
        </w:rPr>
        <w:t xml:space="preserve"> Private consulting rooms – specialist</w:t>
      </w:r>
    </w:p>
    <w:p w14:paraId="352F661E"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27348">
        <w:rPr>
          <w:szCs w:val="20"/>
        </w:rPr>
      </w:r>
      <w:r w:rsidR="00027348">
        <w:rPr>
          <w:szCs w:val="20"/>
        </w:rPr>
        <w:fldChar w:fldCharType="separate"/>
      </w:r>
      <w:r w:rsidRPr="000A5B32">
        <w:rPr>
          <w:szCs w:val="20"/>
        </w:rPr>
        <w:fldChar w:fldCharType="end"/>
      </w:r>
      <w:r>
        <w:rPr>
          <w:szCs w:val="20"/>
        </w:rPr>
        <w:t xml:space="preserve"> Private consulting rooms – other health practitioner (nurse or allied health)</w:t>
      </w:r>
    </w:p>
    <w:p w14:paraId="766D555A" w14:textId="120DC8BF" w:rsidR="000A478F" w:rsidRDefault="00E4533C"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027348">
        <w:rPr>
          <w:szCs w:val="20"/>
        </w:rPr>
      </w:r>
      <w:r w:rsidR="00027348">
        <w:rPr>
          <w:szCs w:val="20"/>
        </w:rPr>
        <w:fldChar w:fldCharType="separate"/>
      </w:r>
      <w:r>
        <w:rPr>
          <w:szCs w:val="20"/>
        </w:rPr>
        <w:fldChar w:fldCharType="end"/>
      </w:r>
      <w:r w:rsidR="000A478F">
        <w:rPr>
          <w:szCs w:val="20"/>
        </w:rPr>
        <w:t xml:space="preserve"> </w:t>
      </w:r>
      <w:r w:rsidR="0079354C">
        <w:rPr>
          <w:szCs w:val="20"/>
        </w:rPr>
        <w:t xml:space="preserve">Private </w:t>
      </w:r>
      <w:proofErr w:type="gramStart"/>
      <w:r w:rsidR="0079354C">
        <w:rPr>
          <w:szCs w:val="20"/>
        </w:rPr>
        <w:t>d</w:t>
      </w:r>
      <w:r w:rsidR="000A478F">
        <w:t>ay</w:t>
      </w:r>
      <w:proofErr w:type="gramEnd"/>
      <w:r w:rsidR="000A478F">
        <w:t xml:space="preserve"> surgery c</w:t>
      </w:r>
      <w:r w:rsidR="0079354C">
        <w:t>linic (admitted patient)</w:t>
      </w:r>
    </w:p>
    <w:p w14:paraId="5B705056"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27348">
        <w:rPr>
          <w:szCs w:val="20"/>
        </w:rPr>
      </w:r>
      <w:r w:rsidR="00027348">
        <w:rPr>
          <w:szCs w:val="20"/>
        </w:rPr>
        <w:fldChar w:fldCharType="separate"/>
      </w:r>
      <w:r w:rsidRPr="000A5B32">
        <w:rPr>
          <w:szCs w:val="20"/>
        </w:rPr>
        <w:fldChar w:fldCharType="end"/>
      </w:r>
      <w:r>
        <w:rPr>
          <w:szCs w:val="20"/>
        </w:rPr>
        <w:t xml:space="preserve"> Private </w:t>
      </w:r>
      <w:proofErr w:type="gramStart"/>
      <w:r>
        <w:rPr>
          <w:szCs w:val="20"/>
        </w:rPr>
        <w:t>day</w:t>
      </w:r>
      <w:proofErr w:type="gramEnd"/>
      <w:r>
        <w:rPr>
          <w:szCs w:val="20"/>
        </w:rPr>
        <w:t xml:space="preserve"> surgery clinic (non-admitted patient)</w:t>
      </w:r>
    </w:p>
    <w:p w14:paraId="7EC6C9C8" w14:textId="1D5D17BB" w:rsidR="0079354C" w:rsidRDefault="00E4533C"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27348">
        <w:rPr>
          <w:szCs w:val="20"/>
        </w:rPr>
      </w:r>
      <w:r w:rsidR="00027348">
        <w:rPr>
          <w:szCs w:val="20"/>
        </w:rPr>
        <w:fldChar w:fldCharType="separate"/>
      </w:r>
      <w:r>
        <w:rPr>
          <w:szCs w:val="20"/>
        </w:rPr>
        <w:fldChar w:fldCharType="end"/>
      </w:r>
      <w:r w:rsidR="0079354C">
        <w:rPr>
          <w:szCs w:val="20"/>
        </w:rPr>
        <w:t xml:space="preserve"> Public day surgery clinic (admitted patient)</w:t>
      </w:r>
    </w:p>
    <w:p w14:paraId="2B37F5FE"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27348">
        <w:rPr>
          <w:szCs w:val="20"/>
        </w:rPr>
      </w:r>
      <w:r w:rsidR="00027348">
        <w:rPr>
          <w:szCs w:val="20"/>
        </w:rPr>
        <w:fldChar w:fldCharType="separate"/>
      </w:r>
      <w:r w:rsidRPr="000A5B32">
        <w:rPr>
          <w:szCs w:val="20"/>
        </w:rPr>
        <w:fldChar w:fldCharType="end"/>
      </w:r>
      <w:r>
        <w:rPr>
          <w:szCs w:val="20"/>
        </w:rPr>
        <w:t xml:space="preserve"> Public day surgery clinic (non-admitted patient)</w:t>
      </w:r>
    </w:p>
    <w:p w14:paraId="1CE4E05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27348">
        <w:rPr>
          <w:szCs w:val="20"/>
        </w:rPr>
      </w:r>
      <w:r w:rsidR="00027348">
        <w:rPr>
          <w:szCs w:val="20"/>
        </w:rPr>
        <w:fldChar w:fldCharType="separate"/>
      </w:r>
      <w:r w:rsidRPr="000A5B32">
        <w:rPr>
          <w:szCs w:val="20"/>
        </w:rPr>
        <w:fldChar w:fldCharType="end"/>
      </w:r>
      <w:r>
        <w:rPr>
          <w:szCs w:val="20"/>
        </w:rPr>
        <w:t xml:space="preserve"> </w:t>
      </w:r>
      <w:r>
        <w:t>Residential aged care facility</w:t>
      </w:r>
    </w:p>
    <w:p w14:paraId="137E9BD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27348">
        <w:rPr>
          <w:szCs w:val="20"/>
        </w:rPr>
      </w:r>
      <w:r w:rsidR="00027348">
        <w:rPr>
          <w:szCs w:val="20"/>
        </w:rPr>
        <w:fldChar w:fldCharType="separate"/>
      </w:r>
      <w:r w:rsidRPr="000A5B32">
        <w:rPr>
          <w:szCs w:val="20"/>
        </w:rPr>
        <w:fldChar w:fldCharType="end"/>
      </w:r>
      <w:r>
        <w:rPr>
          <w:szCs w:val="20"/>
        </w:rPr>
        <w:t xml:space="preserve"> </w:t>
      </w:r>
      <w:r>
        <w:t>Patient’s home</w:t>
      </w:r>
    </w:p>
    <w:p w14:paraId="7B2CFF6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27348">
        <w:rPr>
          <w:szCs w:val="20"/>
        </w:rPr>
      </w:r>
      <w:r w:rsidR="00027348">
        <w:rPr>
          <w:szCs w:val="20"/>
        </w:rPr>
        <w:fldChar w:fldCharType="separate"/>
      </w:r>
      <w:r w:rsidRPr="000A5B32">
        <w:rPr>
          <w:szCs w:val="20"/>
        </w:rPr>
        <w:fldChar w:fldCharType="end"/>
      </w:r>
      <w:r>
        <w:rPr>
          <w:szCs w:val="20"/>
        </w:rPr>
        <w:t xml:space="preserve"> </w:t>
      </w:r>
      <w:r>
        <w:t>Laboratory</w:t>
      </w:r>
    </w:p>
    <w:p w14:paraId="084E5DF9"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27348">
        <w:rPr>
          <w:szCs w:val="20"/>
        </w:rPr>
      </w:r>
      <w:r w:rsidR="00027348">
        <w:rPr>
          <w:szCs w:val="20"/>
        </w:rPr>
        <w:fldChar w:fldCharType="separate"/>
      </w:r>
      <w:r w:rsidRPr="000A5B32">
        <w:rPr>
          <w:szCs w:val="20"/>
        </w:rPr>
        <w:fldChar w:fldCharType="end"/>
      </w:r>
      <w:r>
        <w:rPr>
          <w:szCs w:val="20"/>
        </w:rPr>
        <w:t xml:space="preserve"> </w:t>
      </w:r>
      <w:r>
        <w:t>Other – please specify below</w:t>
      </w:r>
    </w:p>
    <w:p w14:paraId="4177C73D" w14:textId="17642532" w:rsidR="005F3F07" w:rsidRDefault="005F3F07" w:rsidP="0073597B">
      <w:pPr>
        <w:ind w:left="426"/>
        <w:rPr>
          <w:b/>
          <w:szCs w:val="20"/>
        </w:rPr>
      </w:pPr>
    </w:p>
    <w:p w14:paraId="2B234854"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039A77D7" w14:textId="3A661DCB" w:rsidR="0073597B" w:rsidRPr="006F2B6D" w:rsidRDefault="00FA681A" w:rsidP="0073597B">
      <w:pPr>
        <w:ind w:left="426"/>
        <w:rPr>
          <w:bCs/>
          <w:szCs w:val="20"/>
        </w:rPr>
      </w:pPr>
      <w:r w:rsidRPr="006F2B6D">
        <w:rPr>
          <w:bCs/>
          <w:szCs w:val="20"/>
        </w:rPr>
        <w:t xml:space="preserve">The proposed service </w:t>
      </w:r>
      <w:proofErr w:type="gramStart"/>
      <w:r w:rsidRPr="006F2B6D">
        <w:rPr>
          <w:bCs/>
          <w:szCs w:val="20"/>
        </w:rPr>
        <w:t>may be carried out</w:t>
      </w:r>
      <w:proofErr w:type="gramEnd"/>
      <w:r w:rsidRPr="006F2B6D">
        <w:rPr>
          <w:bCs/>
          <w:szCs w:val="20"/>
        </w:rPr>
        <w:t xml:space="preserve"> under local anaesthesia and is suitable for a day surgery setting. In some cases, it may be appropriate for the patient to </w:t>
      </w:r>
      <w:proofErr w:type="gramStart"/>
      <w:r w:rsidRPr="006F2B6D">
        <w:rPr>
          <w:bCs/>
          <w:szCs w:val="20"/>
        </w:rPr>
        <w:t>be placed</w:t>
      </w:r>
      <w:proofErr w:type="gramEnd"/>
      <w:r w:rsidRPr="006F2B6D">
        <w:rPr>
          <w:bCs/>
          <w:szCs w:val="20"/>
        </w:rPr>
        <w:t xml:space="preserve"> under general anaesthesia or a patient                         may require additional observation so an overnight admission may be required.</w:t>
      </w:r>
    </w:p>
    <w:p w14:paraId="57F424DB" w14:textId="77777777" w:rsidR="003E30FB" w:rsidRDefault="003E30FB" w:rsidP="00530204">
      <w:pPr>
        <w:pStyle w:val="Heading2"/>
      </w:pPr>
      <w:proofErr w:type="gramStart"/>
      <w:r>
        <w:t xml:space="preserve">Is the </w:t>
      </w:r>
      <w:r w:rsidRPr="001B29A1">
        <w:t>proposed</w:t>
      </w:r>
      <w:r>
        <w:t xml:space="preserve"> medical service intended to be entirely rendered</w:t>
      </w:r>
      <w:proofErr w:type="gramEnd"/>
      <w:r>
        <w:t xml:space="preserve"> in Australia?</w:t>
      </w:r>
    </w:p>
    <w:p w14:paraId="4C36D6C6" w14:textId="7E56CAC9" w:rsidR="000A478F" w:rsidRDefault="00FA681A"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27348">
        <w:rPr>
          <w:szCs w:val="20"/>
        </w:rPr>
      </w:r>
      <w:r w:rsidR="00027348">
        <w:rPr>
          <w:szCs w:val="20"/>
        </w:rPr>
        <w:fldChar w:fldCharType="separate"/>
      </w:r>
      <w:r>
        <w:rPr>
          <w:szCs w:val="20"/>
        </w:rPr>
        <w:fldChar w:fldCharType="end"/>
      </w:r>
      <w:r w:rsidR="000A478F">
        <w:rPr>
          <w:szCs w:val="20"/>
        </w:rPr>
        <w:t xml:space="preserve"> Yes</w:t>
      </w:r>
    </w:p>
    <w:p w14:paraId="6EDA5560"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27348">
        <w:rPr>
          <w:szCs w:val="20"/>
        </w:rPr>
      </w:r>
      <w:r w:rsidR="00027348">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26DA67EF" w14:textId="2CE619A2" w:rsidR="000A478F" w:rsidRDefault="000A478F" w:rsidP="00881F93">
      <w:pPr>
        <w:rPr>
          <w:b/>
          <w:i/>
          <w:szCs w:val="20"/>
          <w:u w:val="single"/>
        </w:rPr>
      </w:pPr>
    </w:p>
    <w:p w14:paraId="23D1F5F8" w14:textId="77777777" w:rsidR="00E60529" w:rsidRPr="00881F93" w:rsidRDefault="005C3AE7" w:rsidP="005C3AE7">
      <w:pPr>
        <w:pStyle w:val="Subtitle"/>
      </w:pPr>
      <w:r>
        <w:t xml:space="preserve">PART 6c – </w:t>
      </w:r>
      <w:r w:rsidR="00E60529" w:rsidRPr="00881F93">
        <w:t>INFORMATION ABOUT THE COMPARATOR</w:t>
      </w:r>
      <w:r w:rsidR="00A83EC6" w:rsidRPr="00881F93">
        <w:t>(S)</w:t>
      </w:r>
    </w:p>
    <w:p w14:paraId="48D60322"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2DA4BCB1" w14:textId="5493906E" w:rsidR="00374A60" w:rsidRPr="006F2B6D" w:rsidRDefault="00FA681A" w:rsidP="006F2B6D">
      <w:pPr>
        <w:autoSpaceDE w:val="0"/>
        <w:autoSpaceDN w:val="0"/>
        <w:ind w:left="426"/>
      </w:pPr>
      <w:r w:rsidRPr="006F2B6D">
        <w:t>The comparator is micro stents for the treatment of</w:t>
      </w:r>
      <w:r w:rsidR="00F227DA" w:rsidRPr="006F2B6D">
        <w:t xml:space="preserve"> open angle</w:t>
      </w:r>
      <w:r w:rsidRPr="006F2B6D">
        <w:t xml:space="preserve"> glaucoma</w:t>
      </w:r>
      <w:r w:rsidR="00F227DA" w:rsidRPr="006F2B6D">
        <w:t xml:space="preserve"> </w:t>
      </w:r>
      <w:proofErr w:type="gramStart"/>
      <w:r w:rsidR="00F227DA" w:rsidRPr="006F2B6D">
        <w:t>when conservative therapies have failed, are likely to fail or are contraindicated</w:t>
      </w:r>
      <w:proofErr w:type="gramEnd"/>
      <w:r w:rsidR="00F227DA" w:rsidRPr="006F2B6D">
        <w:t>.</w:t>
      </w:r>
      <w:r w:rsidR="00374A60" w:rsidRPr="006F2B6D">
        <w:t xml:space="preserve"> Mean IOP and use of IOP lowering medications are the main outcomes reported in clinical trials. There is currently evidence of a sustained treatment effect for 3 years in </w:t>
      </w:r>
      <w:r w:rsidR="006A36C0" w:rsidRPr="006F2B6D">
        <w:t xml:space="preserve">clinical </w:t>
      </w:r>
      <w:r w:rsidR="00374A60" w:rsidRPr="006F2B6D">
        <w:t>trial</w:t>
      </w:r>
      <w:r w:rsidR="006A36C0" w:rsidRPr="006F2B6D">
        <w:t>s</w:t>
      </w:r>
      <w:r w:rsidR="00374A60" w:rsidRPr="006F2B6D">
        <w:t xml:space="preserve">. (Lewis et </w:t>
      </w:r>
      <w:proofErr w:type="gramStart"/>
      <w:r w:rsidR="00374A60" w:rsidRPr="006F2B6D">
        <w:t>al</w:t>
      </w:r>
      <w:r w:rsidR="009D3F45" w:rsidRPr="006F2B6D">
        <w:t xml:space="preserve"> </w:t>
      </w:r>
      <w:r w:rsidR="00374A60" w:rsidRPr="006F2B6D">
        <w:t xml:space="preserve"> 2011</w:t>
      </w:r>
      <w:proofErr w:type="gramEnd"/>
      <w:r w:rsidR="009D3F45" w:rsidRPr="006F2B6D">
        <w:t>, Gallardo 2018</w:t>
      </w:r>
      <w:r w:rsidR="00374A60" w:rsidRPr="006F2B6D">
        <w:t xml:space="preserve">).  </w:t>
      </w:r>
    </w:p>
    <w:p w14:paraId="55431999" w14:textId="23E79763" w:rsidR="00E60529" w:rsidRPr="00FA681A" w:rsidRDefault="00E60529" w:rsidP="001B29A1">
      <w:pPr>
        <w:ind w:left="426"/>
        <w:rPr>
          <w:color w:val="1F497D" w:themeColor="text2"/>
          <w:szCs w:val="20"/>
        </w:rPr>
      </w:pPr>
    </w:p>
    <w:p w14:paraId="0A39F227"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 xml:space="preserve">that </w:t>
      </w:r>
      <w:proofErr w:type="gramStart"/>
      <w:r w:rsidRPr="00154B00">
        <w:t>has been nominated</w:t>
      </w:r>
      <w:proofErr w:type="gramEnd"/>
      <w:r w:rsidRPr="00154B00">
        <w:t xml:space="preserve"> as the comparator</w:t>
      </w:r>
      <w:r w:rsidR="003904AC">
        <w:t>)</w:t>
      </w:r>
      <w:r w:rsidR="000159B9" w:rsidRPr="00154B00">
        <w:t xml:space="preserve"> </w:t>
      </w:r>
      <w:r w:rsidRPr="00154B00">
        <w:t>have an existing MBS item number</w:t>
      </w:r>
      <w:r w:rsidR="00D30BDC">
        <w:t>(s)</w:t>
      </w:r>
      <w:r w:rsidR="00757232">
        <w:t>?</w:t>
      </w:r>
    </w:p>
    <w:p w14:paraId="2839311B" w14:textId="77777777" w:rsidR="006F2B6D" w:rsidRDefault="00FA681A"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27348">
        <w:rPr>
          <w:szCs w:val="20"/>
        </w:rPr>
      </w:r>
      <w:r w:rsidR="00027348">
        <w:rPr>
          <w:szCs w:val="20"/>
        </w:rPr>
        <w:fldChar w:fldCharType="separate"/>
      </w:r>
      <w:r>
        <w:rPr>
          <w:szCs w:val="20"/>
        </w:rPr>
        <w:fldChar w:fldCharType="end"/>
      </w:r>
      <w:r w:rsidR="006A1038">
        <w:rPr>
          <w:szCs w:val="20"/>
        </w:rPr>
        <w:t xml:space="preserve"> </w:t>
      </w:r>
      <w:r w:rsidR="006A1038" w:rsidRPr="00520B3B">
        <w:rPr>
          <w:color w:val="1F497D" w:themeColor="text2"/>
          <w:szCs w:val="20"/>
        </w:rPr>
        <w:t>Yes (</w:t>
      </w:r>
      <w:r w:rsidR="006A1038">
        <w:rPr>
          <w:szCs w:val="20"/>
        </w:rPr>
        <w:t xml:space="preserve">please </w:t>
      </w:r>
      <w:r w:rsidR="003904AC">
        <w:rPr>
          <w:szCs w:val="20"/>
        </w:rPr>
        <w:t xml:space="preserve">list </w:t>
      </w:r>
      <w:r w:rsidR="006A1038">
        <w:rPr>
          <w:szCs w:val="20"/>
        </w:rPr>
        <w:t>all relevant MBS item numbers below)</w:t>
      </w:r>
    </w:p>
    <w:p w14:paraId="11564DF7" w14:textId="50E7FE81"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27348">
        <w:rPr>
          <w:szCs w:val="20"/>
        </w:rPr>
      </w:r>
      <w:r w:rsidR="00027348">
        <w:rPr>
          <w:szCs w:val="20"/>
        </w:rPr>
        <w:fldChar w:fldCharType="separate"/>
      </w:r>
      <w:r w:rsidRPr="00753C44">
        <w:rPr>
          <w:szCs w:val="20"/>
        </w:rPr>
        <w:fldChar w:fldCharType="end"/>
      </w:r>
      <w:r>
        <w:rPr>
          <w:szCs w:val="20"/>
        </w:rPr>
        <w:t xml:space="preserve"> No  </w:t>
      </w:r>
    </w:p>
    <w:p w14:paraId="6F1B8D81" w14:textId="1AE08A40" w:rsidR="006F2B6D" w:rsidRDefault="006F2B6D">
      <w:pPr>
        <w:spacing w:before="0" w:after="200" w:line="276" w:lineRule="auto"/>
        <w:rPr>
          <w:szCs w:val="20"/>
        </w:rPr>
      </w:pPr>
      <w:r>
        <w:rPr>
          <w:szCs w:val="20"/>
        </w:rPr>
        <w:br w:type="page"/>
      </w:r>
    </w:p>
    <w:p w14:paraId="0480D0EA" w14:textId="77777777" w:rsidR="006F2B6D" w:rsidRPr="006F2B6D" w:rsidRDefault="006F2B6D" w:rsidP="006F2B6D">
      <w:pPr>
        <w:pBdr>
          <w:top w:val="single" w:sz="4" w:space="1" w:color="auto"/>
          <w:left w:val="single" w:sz="4" w:space="4" w:color="auto"/>
          <w:bottom w:val="single" w:sz="4" w:space="1" w:color="auto"/>
          <w:right w:val="single" w:sz="4" w:space="4" w:color="auto"/>
        </w:pBdr>
      </w:pPr>
      <w:r w:rsidRPr="006F2B6D">
        <w:lastRenderedPageBreak/>
        <w:t>42504</w:t>
      </w:r>
    </w:p>
    <w:p w14:paraId="5CDB4F9D" w14:textId="77777777" w:rsidR="006F2B6D" w:rsidRPr="006F2B6D" w:rsidRDefault="006F2B6D" w:rsidP="006F2B6D">
      <w:pPr>
        <w:pBdr>
          <w:top w:val="single" w:sz="4" w:space="1" w:color="auto"/>
          <w:left w:val="single" w:sz="4" w:space="4" w:color="auto"/>
          <w:bottom w:val="single" w:sz="4" w:space="1" w:color="auto"/>
          <w:right w:val="single" w:sz="4" w:space="4" w:color="auto"/>
        </w:pBdr>
      </w:pPr>
      <w:r w:rsidRPr="006F2B6D">
        <w:rPr>
          <w:b/>
          <w:bCs/>
        </w:rPr>
        <w:t>Group</w:t>
      </w:r>
    </w:p>
    <w:p w14:paraId="648A131F" w14:textId="77777777" w:rsidR="006F2B6D" w:rsidRPr="006F2B6D" w:rsidRDefault="006F2B6D" w:rsidP="006F2B6D">
      <w:pPr>
        <w:pBdr>
          <w:top w:val="single" w:sz="4" w:space="1" w:color="auto"/>
          <w:left w:val="single" w:sz="4" w:space="4" w:color="auto"/>
          <w:bottom w:val="single" w:sz="4" w:space="1" w:color="auto"/>
          <w:right w:val="single" w:sz="4" w:space="4" w:color="auto"/>
        </w:pBdr>
      </w:pPr>
      <w:r w:rsidRPr="006F2B6D">
        <w:t>T8 - Surgical Operations</w:t>
      </w:r>
    </w:p>
    <w:p w14:paraId="200C8B58" w14:textId="77777777" w:rsidR="006F2B6D" w:rsidRPr="006F2B6D" w:rsidRDefault="006F2B6D" w:rsidP="006F2B6D">
      <w:pPr>
        <w:pBdr>
          <w:top w:val="single" w:sz="4" w:space="1" w:color="auto"/>
          <w:left w:val="single" w:sz="4" w:space="4" w:color="auto"/>
          <w:bottom w:val="single" w:sz="4" w:space="1" w:color="auto"/>
          <w:right w:val="single" w:sz="4" w:space="4" w:color="auto"/>
        </w:pBdr>
      </w:pPr>
      <w:r w:rsidRPr="006F2B6D">
        <w:rPr>
          <w:b/>
          <w:bCs/>
        </w:rPr>
        <w:t>Subgroup</w:t>
      </w:r>
    </w:p>
    <w:p w14:paraId="1C4A64D8" w14:textId="77777777" w:rsidR="006F2B6D" w:rsidRPr="006F2B6D" w:rsidRDefault="006F2B6D" w:rsidP="006F2B6D">
      <w:pPr>
        <w:pBdr>
          <w:top w:val="single" w:sz="4" w:space="1" w:color="auto"/>
          <w:left w:val="single" w:sz="4" w:space="4" w:color="auto"/>
          <w:bottom w:val="single" w:sz="4" w:space="1" w:color="auto"/>
          <w:right w:val="single" w:sz="4" w:space="4" w:color="auto"/>
        </w:pBdr>
      </w:pPr>
      <w:r w:rsidRPr="006F2B6D">
        <w:t>9 - Ophthalmology</w:t>
      </w:r>
    </w:p>
    <w:p w14:paraId="6D0B7CF2" w14:textId="77777777" w:rsidR="006F2B6D" w:rsidRPr="006F2B6D" w:rsidRDefault="006F2B6D" w:rsidP="006F2B6D">
      <w:pPr>
        <w:pBdr>
          <w:top w:val="single" w:sz="4" w:space="1" w:color="auto"/>
          <w:left w:val="single" w:sz="4" w:space="4" w:color="auto"/>
          <w:bottom w:val="single" w:sz="4" w:space="1" w:color="auto"/>
          <w:right w:val="single" w:sz="4" w:space="4" w:color="auto"/>
        </w:pBdr>
      </w:pPr>
      <w:r w:rsidRPr="006F2B6D">
        <w:t>Glaucoma, implantation of a micro-bypass surgery stent system into the trabecular meshwork, if:</w:t>
      </w:r>
    </w:p>
    <w:p w14:paraId="6CC53EE1" w14:textId="77777777" w:rsidR="006F2B6D" w:rsidRPr="006F2B6D" w:rsidRDefault="006F2B6D" w:rsidP="006F2B6D">
      <w:pPr>
        <w:pBdr>
          <w:top w:val="single" w:sz="4" w:space="1" w:color="auto"/>
          <w:left w:val="single" w:sz="4" w:space="4" w:color="auto"/>
          <w:bottom w:val="single" w:sz="4" w:space="1" w:color="auto"/>
          <w:right w:val="single" w:sz="4" w:space="4" w:color="auto"/>
        </w:pBdr>
      </w:pPr>
      <w:r w:rsidRPr="006F2B6D">
        <w:t xml:space="preserve">(a) </w:t>
      </w:r>
      <w:proofErr w:type="gramStart"/>
      <w:r w:rsidRPr="006F2B6D">
        <w:t>conservative</w:t>
      </w:r>
      <w:proofErr w:type="gramEnd"/>
      <w:r w:rsidRPr="006F2B6D">
        <w:t xml:space="preserve"> therapies have failed, are likely to fail, or are contraindicated; and</w:t>
      </w:r>
    </w:p>
    <w:p w14:paraId="660A3E63" w14:textId="77777777" w:rsidR="006F2B6D" w:rsidRPr="006F2B6D" w:rsidRDefault="006F2B6D" w:rsidP="006F2B6D">
      <w:pPr>
        <w:pBdr>
          <w:top w:val="single" w:sz="4" w:space="1" w:color="auto"/>
          <w:left w:val="single" w:sz="4" w:space="4" w:color="auto"/>
          <w:bottom w:val="single" w:sz="4" w:space="1" w:color="auto"/>
          <w:right w:val="single" w:sz="4" w:space="4" w:color="auto"/>
        </w:pBdr>
      </w:pPr>
      <w:r w:rsidRPr="006F2B6D">
        <w:t xml:space="preserve">(b) </w:t>
      </w:r>
      <w:proofErr w:type="gramStart"/>
      <w:r w:rsidRPr="006F2B6D">
        <w:t>the</w:t>
      </w:r>
      <w:proofErr w:type="gramEnd"/>
      <w:r w:rsidRPr="006F2B6D">
        <w:t xml:space="preserve"> service is performed by a specialist with training that is recognised by the Conjoint Committee for the Recognition of Training in Micro-Bypass Glaucoma Surgery</w:t>
      </w:r>
    </w:p>
    <w:p w14:paraId="32085786" w14:textId="77777777" w:rsidR="006F2B6D" w:rsidRPr="006F2B6D" w:rsidRDefault="006F2B6D" w:rsidP="006F2B6D">
      <w:pPr>
        <w:pBdr>
          <w:top w:val="single" w:sz="4" w:space="1" w:color="auto"/>
          <w:left w:val="single" w:sz="4" w:space="4" w:color="auto"/>
          <w:bottom w:val="single" w:sz="4" w:space="1" w:color="auto"/>
          <w:right w:val="single" w:sz="4" w:space="4" w:color="auto"/>
        </w:pBdr>
      </w:pPr>
      <w:r w:rsidRPr="006F2B6D">
        <w:t> </w:t>
      </w:r>
      <w:hyperlink r:id="rId19" w:history="1">
        <w:r w:rsidRPr="006F2B6D">
          <w:rPr>
            <w:rStyle w:val="Hyperlink"/>
            <w:color w:val="auto"/>
          </w:rPr>
          <w:t>Multiple Operation Rule</w:t>
        </w:r>
      </w:hyperlink>
    </w:p>
    <w:p w14:paraId="05127751" w14:textId="77777777" w:rsidR="006F2B6D" w:rsidRPr="006F2B6D" w:rsidRDefault="006F2B6D" w:rsidP="006F2B6D">
      <w:pPr>
        <w:pBdr>
          <w:top w:val="single" w:sz="4" w:space="1" w:color="auto"/>
          <w:left w:val="single" w:sz="4" w:space="4" w:color="auto"/>
          <w:bottom w:val="single" w:sz="4" w:space="1" w:color="auto"/>
          <w:right w:val="single" w:sz="4" w:space="4" w:color="auto"/>
        </w:pBdr>
      </w:pPr>
      <w:r w:rsidRPr="006F2B6D">
        <w:t>(</w:t>
      </w:r>
      <w:proofErr w:type="spellStart"/>
      <w:r w:rsidRPr="006F2B6D">
        <w:t>Anaes</w:t>
      </w:r>
      <w:proofErr w:type="spellEnd"/>
      <w:r w:rsidRPr="006F2B6D">
        <w:t>.)</w:t>
      </w:r>
    </w:p>
    <w:p w14:paraId="3078046A" w14:textId="77777777" w:rsidR="006F2B6D" w:rsidRPr="006F2B6D" w:rsidRDefault="006F2B6D" w:rsidP="006F2B6D">
      <w:pPr>
        <w:pBdr>
          <w:top w:val="single" w:sz="4" w:space="1" w:color="auto"/>
          <w:left w:val="single" w:sz="4" w:space="4" w:color="auto"/>
          <w:bottom w:val="single" w:sz="4" w:space="1" w:color="auto"/>
          <w:right w:val="single" w:sz="4" w:space="4" w:color="auto"/>
        </w:pBdr>
      </w:pPr>
      <w:r w:rsidRPr="006F2B6D">
        <w:rPr>
          <w:b/>
          <w:bCs/>
        </w:rPr>
        <w:t>Fee:</w:t>
      </w:r>
      <w:r w:rsidRPr="006F2B6D">
        <w:t> $310.15 </w:t>
      </w:r>
      <w:r w:rsidRPr="006F2B6D">
        <w:rPr>
          <w:b/>
          <w:bCs/>
        </w:rPr>
        <w:t>Benefit:</w:t>
      </w:r>
      <w:r w:rsidRPr="006F2B6D">
        <w:t> 75% = $232.65 85% = $263.65</w:t>
      </w:r>
    </w:p>
    <w:p w14:paraId="332474D2" w14:textId="77777777" w:rsidR="006F2B6D" w:rsidRDefault="006F2B6D" w:rsidP="006F2B6D">
      <w:pPr>
        <w:spacing w:before="0" w:after="0"/>
        <w:rPr>
          <w:szCs w:val="20"/>
        </w:rPr>
      </w:pPr>
    </w:p>
    <w:p w14:paraId="3FBC98EB" w14:textId="77777777" w:rsidR="00911713" w:rsidRDefault="00911713" w:rsidP="006A1038">
      <w:pPr>
        <w:spacing w:before="0" w:after="0"/>
        <w:ind w:left="426"/>
        <w:rPr>
          <w:szCs w:val="20"/>
        </w:rPr>
      </w:pPr>
    </w:p>
    <w:p w14:paraId="26F78FC0" w14:textId="1A922288" w:rsidR="00AF5D1E" w:rsidRDefault="00AF5D1E" w:rsidP="00530204">
      <w:pPr>
        <w:pStyle w:val="Heading2"/>
      </w:pPr>
      <w:proofErr w:type="gramStart"/>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roofErr w:type="gramEnd"/>
    </w:p>
    <w:p w14:paraId="17275EB6" w14:textId="61B629B6" w:rsidR="009F4A61" w:rsidRPr="006F2B6D" w:rsidRDefault="00F227DA" w:rsidP="009F4A61">
      <w:pPr>
        <w:ind w:left="720"/>
      </w:pPr>
      <w:r w:rsidRPr="006F2B6D">
        <w:t>Altering the wording of item number 42504</w:t>
      </w:r>
      <w:r w:rsidR="00911713" w:rsidRPr="006F2B6D">
        <w:t xml:space="preserve"> t</w:t>
      </w:r>
      <w:r w:rsidRPr="006F2B6D">
        <w:t xml:space="preserve">o include the use of </w:t>
      </w:r>
      <w:proofErr w:type="spellStart"/>
      <w:r w:rsidRPr="006F2B6D">
        <w:t>microcatheters</w:t>
      </w:r>
      <w:proofErr w:type="spellEnd"/>
      <w:r w:rsidRPr="006F2B6D">
        <w:t xml:space="preserve"> will not alter the subsequent treatment options. Should IOP not sufficiently reduce following the use of a stent or </w:t>
      </w:r>
      <w:proofErr w:type="spellStart"/>
      <w:r w:rsidRPr="006F2B6D">
        <w:t>microcatheter</w:t>
      </w:r>
      <w:proofErr w:type="spellEnd"/>
      <w:r w:rsidRPr="006F2B6D">
        <w:t xml:space="preserve">, then a patient may progress to further </w:t>
      </w:r>
      <w:r w:rsidR="001A76EA" w:rsidRPr="006F2B6D">
        <w:t xml:space="preserve">filtering </w:t>
      </w:r>
      <w:r w:rsidRPr="006F2B6D">
        <w:t>surgery to reduce IOP.</w:t>
      </w:r>
      <w:r w:rsidR="008367E8" w:rsidRPr="006F2B6D">
        <w:t xml:space="preserve">  </w:t>
      </w:r>
      <w:r w:rsidR="001A76EA" w:rsidRPr="006F2B6D">
        <w:t xml:space="preserve">Filtering </w:t>
      </w:r>
      <w:r w:rsidR="008367E8" w:rsidRPr="006F2B6D">
        <w:t xml:space="preserve">surgeries include </w:t>
      </w:r>
      <w:proofErr w:type="spellStart"/>
      <w:r w:rsidR="008367E8" w:rsidRPr="006F2B6D">
        <w:t>trabeculectomy</w:t>
      </w:r>
      <w:proofErr w:type="spellEnd"/>
      <w:r w:rsidR="008367E8" w:rsidRPr="006F2B6D">
        <w:t xml:space="preserve">, tube shunt implantation and </w:t>
      </w:r>
      <w:proofErr w:type="spellStart"/>
      <w:r w:rsidR="008367E8" w:rsidRPr="006F2B6D">
        <w:t>cyclophotocoagulation</w:t>
      </w:r>
      <w:proofErr w:type="spellEnd"/>
      <w:r w:rsidR="008367E8" w:rsidRPr="006F2B6D">
        <w:t>.  Please see the attached document ‘Clinical Algorithm 2’.</w:t>
      </w:r>
      <w:r w:rsidR="00374A60" w:rsidRPr="006F2B6D">
        <w:t xml:space="preserve"> </w:t>
      </w:r>
      <w:r w:rsidR="009E6C56" w:rsidRPr="006F2B6D">
        <w:t xml:space="preserve">It is possible that </w:t>
      </w:r>
      <w:proofErr w:type="gramStart"/>
      <w:r w:rsidR="009E6C56" w:rsidRPr="006F2B6D">
        <w:t xml:space="preserve">either a failed </w:t>
      </w:r>
      <w:proofErr w:type="spellStart"/>
      <w:r w:rsidR="009E6C56" w:rsidRPr="006F2B6D">
        <w:t>microcatheter</w:t>
      </w:r>
      <w:proofErr w:type="spellEnd"/>
      <w:r w:rsidR="009E6C56" w:rsidRPr="006F2B6D">
        <w:t xml:space="preserve"> surgery could present</w:t>
      </w:r>
      <w:proofErr w:type="gramEnd"/>
      <w:r w:rsidR="009E6C56" w:rsidRPr="006F2B6D">
        <w:t xml:space="preserve"> to stent surgery or vice versa.</w:t>
      </w:r>
      <w:r w:rsidR="009F4A61" w:rsidRPr="006F2B6D">
        <w:t xml:space="preserve"> To our </w:t>
      </w:r>
      <w:proofErr w:type="gramStart"/>
      <w:r w:rsidR="009F4A61" w:rsidRPr="006F2B6D">
        <w:t>knowledge</w:t>
      </w:r>
      <w:proofErr w:type="gramEnd"/>
      <w:r w:rsidR="009F4A61" w:rsidRPr="006F2B6D">
        <w:t xml:space="preserve"> there is no published evidence that failed stent patients are subsequently treated with </w:t>
      </w:r>
      <w:proofErr w:type="spellStart"/>
      <w:r w:rsidR="009F4A61" w:rsidRPr="006F2B6D">
        <w:t>microcatheter</w:t>
      </w:r>
      <w:proofErr w:type="spellEnd"/>
      <w:r w:rsidR="009F4A61" w:rsidRPr="006F2B6D">
        <w:t xml:space="preserve"> surgery.  That </w:t>
      </w:r>
      <w:proofErr w:type="gramStart"/>
      <w:r w:rsidR="009F4A61" w:rsidRPr="006F2B6D">
        <w:t>being said</w:t>
      </w:r>
      <w:proofErr w:type="gramEnd"/>
      <w:r w:rsidR="009F4A61" w:rsidRPr="006F2B6D">
        <w:t xml:space="preserve">, the possibility of this occurring cannot be ruled out. </w:t>
      </w:r>
    </w:p>
    <w:p w14:paraId="73437C4B" w14:textId="026E1215" w:rsidR="00422047" w:rsidRPr="006F2B6D" w:rsidRDefault="00422047" w:rsidP="00F227DA">
      <w:pPr>
        <w:ind w:left="360"/>
      </w:pPr>
    </w:p>
    <w:p w14:paraId="337B4BCA" w14:textId="77777777" w:rsidR="00A83EC6" w:rsidRPr="006F2B6D" w:rsidRDefault="005C3AE7" w:rsidP="00530204">
      <w:pPr>
        <w:pStyle w:val="Heading2"/>
      </w:pPr>
      <w:proofErr w:type="gramStart"/>
      <w:r w:rsidRPr="006F2B6D">
        <w:t xml:space="preserve">(a) </w:t>
      </w:r>
      <w:r w:rsidR="00CD7A7D" w:rsidRPr="006F2B6D">
        <w:t xml:space="preserve">Will </w:t>
      </w:r>
      <w:r w:rsidR="00A83EC6" w:rsidRPr="006F2B6D">
        <w:t>the proposed medical service be used</w:t>
      </w:r>
      <w:proofErr w:type="gramEnd"/>
      <w:r w:rsidR="00A83EC6" w:rsidRPr="006F2B6D">
        <w:t xml:space="preserve"> in addition to, or instead of, the nominated comparator(s)</w:t>
      </w:r>
      <w:r w:rsidR="00D30BDC" w:rsidRPr="006F2B6D">
        <w:t>?</w:t>
      </w:r>
    </w:p>
    <w:p w14:paraId="1C175157" w14:textId="77777777" w:rsidR="001B29A1" w:rsidRPr="006F2B6D" w:rsidRDefault="001B29A1" w:rsidP="001B29A1">
      <w:pPr>
        <w:spacing w:before="0" w:after="0"/>
        <w:ind w:left="426"/>
        <w:rPr>
          <w:szCs w:val="20"/>
        </w:rPr>
      </w:pPr>
      <w:r w:rsidRPr="006F2B6D">
        <w:rPr>
          <w:szCs w:val="20"/>
        </w:rPr>
        <w:fldChar w:fldCharType="begin">
          <w:ffData>
            <w:name w:val="Check1"/>
            <w:enabled/>
            <w:calcOnExit w:val="0"/>
            <w:checkBox>
              <w:sizeAuto/>
              <w:default w:val="0"/>
            </w:checkBox>
          </w:ffData>
        </w:fldChar>
      </w:r>
      <w:r w:rsidRPr="006F2B6D">
        <w:rPr>
          <w:szCs w:val="20"/>
        </w:rPr>
        <w:instrText xml:space="preserve"> FORMCHECKBOX </w:instrText>
      </w:r>
      <w:r w:rsidR="00027348">
        <w:rPr>
          <w:szCs w:val="20"/>
        </w:rPr>
      </w:r>
      <w:r w:rsidR="00027348">
        <w:rPr>
          <w:szCs w:val="20"/>
        </w:rPr>
        <w:fldChar w:fldCharType="separate"/>
      </w:r>
      <w:r w:rsidRPr="006F2B6D">
        <w:rPr>
          <w:szCs w:val="20"/>
        </w:rPr>
        <w:fldChar w:fldCharType="end"/>
      </w:r>
      <w:r w:rsidRPr="006F2B6D">
        <w:rPr>
          <w:szCs w:val="20"/>
        </w:rPr>
        <w:t xml:space="preserve"> </w:t>
      </w:r>
      <w:r w:rsidR="00282BE8" w:rsidRPr="006F2B6D">
        <w:rPr>
          <w:szCs w:val="20"/>
        </w:rPr>
        <w:t>In addition to (i.e. it is an add-on service)</w:t>
      </w:r>
      <w:r w:rsidRPr="006F2B6D">
        <w:rPr>
          <w:szCs w:val="20"/>
        </w:rPr>
        <w:t xml:space="preserve"> </w:t>
      </w:r>
    </w:p>
    <w:p w14:paraId="45982FA0" w14:textId="5A9EB0B2" w:rsidR="001B29A1" w:rsidRPr="006F2B6D" w:rsidRDefault="008367E8" w:rsidP="001B29A1">
      <w:pPr>
        <w:spacing w:before="0" w:after="0"/>
        <w:ind w:left="426"/>
        <w:rPr>
          <w:szCs w:val="20"/>
        </w:rPr>
      </w:pPr>
      <w:r w:rsidRPr="006F2B6D">
        <w:rPr>
          <w:szCs w:val="20"/>
        </w:rPr>
        <w:fldChar w:fldCharType="begin">
          <w:ffData>
            <w:name w:val=""/>
            <w:enabled/>
            <w:calcOnExit w:val="0"/>
            <w:checkBox>
              <w:sizeAuto/>
              <w:default w:val="1"/>
            </w:checkBox>
          </w:ffData>
        </w:fldChar>
      </w:r>
      <w:r w:rsidRPr="006F2B6D">
        <w:rPr>
          <w:szCs w:val="20"/>
        </w:rPr>
        <w:instrText xml:space="preserve"> FORMCHECKBOX </w:instrText>
      </w:r>
      <w:r w:rsidR="00027348">
        <w:rPr>
          <w:szCs w:val="20"/>
        </w:rPr>
      </w:r>
      <w:r w:rsidR="00027348">
        <w:rPr>
          <w:szCs w:val="20"/>
        </w:rPr>
        <w:fldChar w:fldCharType="separate"/>
      </w:r>
      <w:r w:rsidRPr="006F2B6D">
        <w:rPr>
          <w:szCs w:val="20"/>
        </w:rPr>
        <w:fldChar w:fldCharType="end"/>
      </w:r>
      <w:r w:rsidR="001B29A1" w:rsidRPr="006F2B6D">
        <w:rPr>
          <w:szCs w:val="20"/>
        </w:rPr>
        <w:t xml:space="preserve"> </w:t>
      </w:r>
      <w:r w:rsidR="00282BE8" w:rsidRPr="006F2B6D">
        <w:rPr>
          <w:szCs w:val="20"/>
        </w:rPr>
        <w:t>Instead of (i.e. it is a replacement or alternative)</w:t>
      </w:r>
    </w:p>
    <w:p w14:paraId="7A67EFBA" w14:textId="77777777" w:rsidR="00E70D86" w:rsidRPr="006F2B6D" w:rsidRDefault="00E70D86" w:rsidP="005C3AE7">
      <w:pPr>
        <w:pStyle w:val="Heading2"/>
        <w:numPr>
          <w:ilvl w:val="0"/>
          <w:numId w:val="30"/>
        </w:numPr>
      </w:pPr>
      <w:r w:rsidRPr="006F2B6D">
        <w:t xml:space="preserve">If </w:t>
      </w:r>
      <w:r w:rsidR="00723446" w:rsidRPr="006F2B6D">
        <w:t>instead of (i.e. alternative service)</w:t>
      </w:r>
      <w:r w:rsidR="00D00122" w:rsidRPr="006F2B6D">
        <w:t xml:space="preserve">, </w:t>
      </w:r>
      <w:r w:rsidRPr="006F2B6D">
        <w:t xml:space="preserve">please </w:t>
      </w:r>
      <w:r w:rsidR="00F33F1A" w:rsidRPr="006F2B6D">
        <w:t xml:space="preserve">outline </w:t>
      </w:r>
      <w:r w:rsidR="00723446" w:rsidRPr="006F2B6D">
        <w:t xml:space="preserve">the extent to </w:t>
      </w:r>
      <w:r w:rsidR="00F33F1A" w:rsidRPr="006F2B6D">
        <w:t xml:space="preserve">which </w:t>
      </w:r>
      <w:r w:rsidR="00D00122" w:rsidRPr="006F2B6D">
        <w:t xml:space="preserve">the </w:t>
      </w:r>
      <w:r w:rsidR="00F33F1A" w:rsidRPr="006F2B6D">
        <w:t xml:space="preserve">current service/comparator </w:t>
      </w:r>
      <w:proofErr w:type="gramStart"/>
      <w:r w:rsidR="00F33F1A" w:rsidRPr="006F2B6D">
        <w:t xml:space="preserve">is expected to be </w:t>
      </w:r>
      <w:r w:rsidR="00AE1188" w:rsidRPr="006F2B6D">
        <w:t>substituted</w:t>
      </w:r>
      <w:proofErr w:type="gramEnd"/>
      <w:r w:rsidR="00AE1188" w:rsidRPr="006F2B6D">
        <w:t>:</w:t>
      </w:r>
    </w:p>
    <w:p w14:paraId="5C554376" w14:textId="77777777" w:rsidR="00911713" w:rsidRPr="006F2B6D" w:rsidRDefault="001B29A1" w:rsidP="001B29A1">
      <w:pPr>
        <w:ind w:left="426"/>
      </w:pPr>
      <w:r w:rsidRPr="006F2B6D">
        <w:fldChar w:fldCharType="begin">
          <w:ffData>
            <w:name w:val=""/>
            <w:enabled/>
            <w:calcOnExit w:val="0"/>
            <w:textInput>
              <w:default w:val="Outline service/comparator substitution here"/>
            </w:textInput>
          </w:ffData>
        </w:fldChar>
      </w:r>
      <w:r w:rsidRPr="006F2B6D">
        <w:instrText xml:space="preserve"> FORMTEXT </w:instrText>
      </w:r>
      <w:r w:rsidRPr="006F2B6D">
        <w:fldChar w:fldCharType="separate"/>
      </w:r>
      <w:r w:rsidRPr="006F2B6D">
        <w:rPr>
          <w:noProof/>
        </w:rPr>
        <w:t>Outline service/comparator substitution here</w:t>
      </w:r>
      <w:r w:rsidRPr="006F2B6D">
        <w:fldChar w:fldCharType="end"/>
      </w:r>
    </w:p>
    <w:p w14:paraId="213182A6" w14:textId="253368E1" w:rsidR="00374A60" w:rsidRPr="006F2B6D" w:rsidRDefault="001A76EA" w:rsidP="00374A60">
      <w:pPr>
        <w:ind w:left="720"/>
      </w:pPr>
      <w:r w:rsidRPr="006F2B6D">
        <w:t>Micro-catheters are an alternative to micro-stents</w:t>
      </w:r>
      <w:r w:rsidR="00911713" w:rsidRPr="006F2B6D">
        <w:t>.</w:t>
      </w:r>
      <w:r w:rsidR="00374A60" w:rsidRPr="006F2B6D">
        <w:t xml:space="preserve"> It is possible that </w:t>
      </w:r>
      <w:proofErr w:type="gramStart"/>
      <w:r w:rsidR="00374A60" w:rsidRPr="006F2B6D">
        <w:t xml:space="preserve">either a failed </w:t>
      </w:r>
      <w:proofErr w:type="spellStart"/>
      <w:r w:rsidR="00374A60" w:rsidRPr="006F2B6D">
        <w:t>microcatheter</w:t>
      </w:r>
      <w:proofErr w:type="spellEnd"/>
      <w:r w:rsidR="00374A60" w:rsidRPr="006F2B6D">
        <w:t xml:space="preserve"> surgery could present</w:t>
      </w:r>
      <w:proofErr w:type="gramEnd"/>
      <w:r w:rsidR="00374A60" w:rsidRPr="006F2B6D">
        <w:t xml:space="preserve"> to stent surgery or vice versa. Lewis (2011) with three years follow up of </w:t>
      </w:r>
      <w:proofErr w:type="spellStart"/>
      <w:r w:rsidR="00374A60" w:rsidRPr="006F2B6D">
        <w:t>microcatheter</w:t>
      </w:r>
      <w:proofErr w:type="spellEnd"/>
      <w:r w:rsidR="00374A60" w:rsidRPr="006F2B6D">
        <w:t xml:space="preserve"> surgery did not have patients progress to micro-stents, but this may have been because micro-stents were not a readily available therapy at that time.  </w:t>
      </w:r>
    </w:p>
    <w:p w14:paraId="0064B447" w14:textId="036DCC23" w:rsidR="003433D1" w:rsidRPr="001B29A1" w:rsidRDefault="003433D1" w:rsidP="001B29A1">
      <w:pPr>
        <w:ind w:left="426"/>
        <w:rPr>
          <w:szCs w:val="20"/>
        </w:rPr>
      </w:pPr>
    </w:p>
    <w:p w14:paraId="3264A517" w14:textId="77777777" w:rsidR="0054594B" w:rsidRPr="006F2B6D"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 xml:space="preserve">ent clinical management pathways (from the point of service delivery </w:t>
      </w:r>
      <w:r w:rsidRPr="006F2B6D">
        <w:t>onwards) are</w:t>
      </w:r>
      <w:r w:rsidR="00F33F1A" w:rsidRPr="006F2B6D">
        <w:t xml:space="preserve"> expected to change </w:t>
      </w:r>
      <w:proofErr w:type="gramStart"/>
      <w:r w:rsidR="00F33F1A" w:rsidRPr="006F2B6D">
        <w:t>as a consequence</w:t>
      </w:r>
      <w:proofErr w:type="gramEnd"/>
      <w:r w:rsidR="00F33F1A" w:rsidRPr="006F2B6D">
        <w:t xml:space="preserve"> of introducing the proposed medical service</w:t>
      </w:r>
      <w:r w:rsidR="003904AC" w:rsidRPr="006F2B6D">
        <w:t>,</w:t>
      </w:r>
      <w:r w:rsidR="00F33F1A" w:rsidRPr="006F2B6D">
        <w:t xml:space="preserve"> </w:t>
      </w:r>
      <w:r w:rsidR="007D2358" w:rsidRPr="006F2B6D">
        <w:t xml:space="preserve">including variation in health care resources </w:t>
      </w:r>
      <w:r w:rsidRPr="006F2B6D">
        <w:t>(</w:t>
      </w:r>
      <w:r w:rsidR="002053F2" w:rsidRPr="006F2B6D">
        <w:t xml:space="preserve">Refer to </w:t>
      </w:r>
      <w:r w:rsidR="00F33F1A" w:rsidRPr="006F2B6D">
        <w:t xml:space="preserve">Question </w:t>
      </w:r>
      <w:r w:rsidR="00197D29" w:rsidRPr="006F2B6D">
        <w:t>39</w:t>
      </w:r>
      <w:r w:rsidR="00F33F1A" w:rsidRPr="006F2B6D">
        <w:t xml:space="preserve"> as baseline)</w:t>
      </w:r>
      <w:r w:rsidR="00AE1188" w:rsidRPr="006F2B6D">
        <w:t>:</w:t>
      </w:r>
    </w:p>
    <w:p w14:paraId="5A1E3E05" w14:textId="0C7515FA" w:rsidR="0054594B" w:rsidRPr="006F2B6D" w:rsidRDefault="008367E8" w:rsidP="00D10B47">
      <w:pPr>
        <w:pStyle w:val="ListParagraph"/>
        <w:ind w:left="360"/>
        <w:rPr>
          <w:b/>
          <w:szCs w:val="20"/>
        </w:rPr>
      </w:pPr>
      <w:r w:rsidRPr="006F2B6D">
        <w:t xml:space="preserve">It </w:t>
      </w:r>
      <w:proofErr w:type="gramStart"/>
      <w:r w:rsidRPr="006F2B6D">
        <w:t>is not anticipated</w:t>
      </w:r>
      <w:proofErr w:type="gramEnd"/>
      <w:r w:rsidRPr="006F2B6D">
        <w:t xml:space="preserve"> that altering the wording of the item number to encompass the use of </w:t>
      </w:r>
      <w:proofErr w:type="spellStart"/>
      <w:r w:rsidRPr="006F2B6D">
        <w:t>microcatheters</w:t>
      </w:r>
      <w:proofErr w:type="spellEnd"/>
      <w:r w:rsidRPr="006F2B6D">
        <w:t xml:space="preserve"> will change the current clinical management pathways or cause any significant change in the </w:t>
      </w:r>
      <w:r w:rsidR="009B097B" w:rsidRPr="006F2B6D">
        <w:t xml:space="preserve">subsequent </w:t>
      </w:r>
      <w:r w:rsidRPr="006F2B6D">
        <w:t>use of resources</w:t>
      </w:r>
      <w:r w:rsidR="0077079F" w:rsidRPr="006F2B6D">
        <w:t>.</w:t>
      </w:r>
    </w:p>
    <w:p w14:paraId="553E25CC" w14:textId="77777777" w:rsidR="002053F2" w:rsidRPr="00154B00" w:rsidRDefault="002053F2" w:rsidP="00D10B47">
      <w:pPr>
        <w:pStyle w:val="ListParagraph"/>
        <w:ind w:left="360"/>
        <w:rPr>
          <w:b/>
          <w:szCs w:val="20"/>
        </w:rPr>
      </w:pPr>
    </w:p>
    <w:p w14:paraId="4C3CF719" w14:textId="0848F024" w:rsidR="001B29A1" w:rsidRDefault="001B29A1" w:rsidP="00881F93">
      <w:pPr>
        <w:rPr>
          <w:b/>
          <w:i/>
          <w:szCs w:val="20"/>
          <w:u w:val="single"/>
        </w:rPr>
      </w:pPr>
    </w:p>
    <w:p w14:paraId="59E05AD0" w14:textId="77777777" w:rsidR="00DF0D47" w:rsidRPr="00881F93" w:rsidRDefault="005C3AE7" w:rsidP="005C3AE7">
      <w:pPr>
        <w:pStyle w:val="Subtitle"/>
      </w:pPr>
      <w:r>
        <w:t xml:space="preserve">PART 6d – </w:t>
      </w:r>
      <w:r w:rsidR="00DF0D47" w:rsidRPr="00881F93">
        <w:t xml:space="preserve">INFORMATION ABOUT THE </w:t>
      </w:r>
      <w:r w:rsidR="00CF5AD8" w:rsidRPr="00881F93">
        <w:t xml:space="preserve">CLINICAL </w:t>
      </w:r>
      <w:r w:rsidR="00DF0D47" w:rsidRPr="00881F93">
        <w:t>OUTCOME</w:t>
      </w:r>
    </w:p>
    <w:p w14:paraId="0F08CA83"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5F4DBB1C" w14:textId="7668BD11" w:rsidR="004E3CC7" w:rsidRPr="006F2B6D" w:rsidRDefault="0077079F" w:rsidP="001B29A1">
      <w:pPr>
        <w:ind w:left="426"/>
        <w:rPr>
          <w:szCs w:val="20"/>
        </w:rPr>
      </w:pPr>
      <w:r w:rsidRPr="006F2B6D">
        <w:rPr>
          <w:szCs w:val="20"/>
        </w:rPr>
        <w:t xml:space="preserve">Use of a </w:t>
      </w:r>
      <w:proofErr w:type="spellStart"/>
      <w:r w:rsidRPr="006F2B6D">
        <w:rPr>
          <w:szCs w:val="20"/>
        </w:rPr>
        <w:t>microcatheter</w:t>
      </w:r>
      <w:proofErr w:type="spellEnd"/>
      <w:r w:rsidRPr="006F2B6D">
        <w:rPr>
          <w:szCs w:val="20"/>
        </w:rPr>
        <w:t xml:space="preserve"> is non-inferior to the use of micro stents in terms of clinical effectiveness and safety </w:t>
      </w:r>
    </w:p>
    <w:p w14:paraId="441011DD"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 xml:space="preserve">clinical claim is </w:t>
      </w:r>
      <w:proofErr w:type="gramStart"/>
      <w:r w:rsidRPr="00154B00">
        <w:t>for</w:t>
      </w:r>
      <w:proofErr w:type="gramEnd"/>
      <w:r w:rsidRPr="00154B00">
        <w:t>:</w:t>
      </w:r>
    </w:p>
    <w:p w14:paraId="378A2C51" w14:textId="77777777" w:rsidR="001B29A1"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027348">
        <w:rPr>
          <w:szCs w:val="20"/>
        </w:rPr>
      </w:r>
      <w:r w:rsidR="00027348">
        <w:rPr>
          <w:szCs w:val="20"/>
        </w:rPr>
        <w:fldChar w:fldCharType="separate"/>
      </w:r>
      <w:r w:rsidRPr="001B29A1">
        <w:rPr>
          <w:szCs w:val="20"/>
        </w:rPr>
        <w:fldChar w:fldCharType="end"/>
      </w:r>
      <w:r w:rsidRPr="001B29A1">
        <w:rPr>
          <w:szCs w:val="20"/>
        </w:rPr>
        <w:t xml:space="preserve"> Superiority</w:t>
      </w:r>
      <w:r w:rsidRPr="001B29A1">
        <w:rPr>
          <w:szCs w:val="20"/>
        </w:rPr>
        <w:tab/>
      </w:r>
    </w:p>
    <w:p w14:paraId="4AD301E2" w14:textId="0E0D36B9" w:rsidR="004E3CC7" w:rsidRPr="001B29A1" w:rsidRDefault="0077079F"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27348">
        <w:rPr>
          <w:szCs w:val="20"/>
        </w:rPr>
      </w:r>
      <w:r w:rsidR="00027348">
        <w:rPr>
          <w:szCs w:val="20"/>
        </w:rPr>
        <w:fldChar w:fldCharType="separate"/>
      </w:r>
      <w:r>
        <w:rPr>
          <w:szCs w:val="20"/>
        </w:rPr>
        <w:fldChar w:fldCharType="end"/>
      </w:r>
      <w:r w:rsidR="001B29A1" w:rsidRPr="001B29A1">
        <w:rPr>
          <w:szCs w:val="20"/>
        </w:rPr>
        <w:t xml:space="preserve"> Non-inferiority</w:t>
      </w:r>
      <w:r w:rsidR="001B29A1" w:rsidRPr="001B29A1">
        <w:rPr>
          <w:szCs w:val="20"/>
        </w:rPr>
        <w:tab/>
      </w:r>
    </w:p>
    <w:p w14:paraId="1BFC0881"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w:t>
      </w:r>
      <w:proofErr w:type="gramStart"/>
      <w:r w:rsidR="00AD37D4">
        <w:t>be specifically measured</w:t>
      </w:r>
      <w:proofErr w:type="gramEnd"/>
      <w:r w:rsidR="00AD37D4">
        <w:t xml:space="preserve"> </w:t>
      </w:r>
      <w:r w:rsidR="00B25D20" w:rsidRPr="00B25CFD">
        <w:t>in assessing the clinical claim of the proposed medica</w:t>
      </w:r>
      <w:r>
        <w:t>l service versus the comparator</w:t>
      </w:r>
      <w:r w:rsidR="00AD37D4">
        <w:t>:</w:t>
      </w:r>
    </w:p>
    <w:p w14:paraId="2EDF08B1" w14:textId="2BF9127A" w:rsidR="001B29A1" w:rsidRPr="006F2B6D" w:rsidRDefault="001B29A1" w:rsidP="001B29A1">
      <w:pPr>
        <w:pBdr>
          <w:top w:val="single" w:sz="4" w:space="1" w:color="auto"/>
          <w:left w:val="single" w:sz="4" w:space="4" w:color="auto"/>
          <w:bottom w:val="single" w:sz="4" w:space="1" w:color="auto"/>
          <w:right w:val="single" w:sz="4" w:space="4" w:color="auto"/>
        </w:pBdr>
        <w:rPr>
          <w:b/>
          <w:szCs w:val="20"/>
        </w:rPr>
      </w:pPr>
      <w:r w:rsidRPr="006F2B6D">
        <w:rPr>
          <w:b/>
          <w:szCs w:val="20"/>
        </w:rPr>
        <w:t xml:space="preserve">Safety Outcomes: </w:t>
      </w:r>
    </w:p>
    <w:p w14:paraId="3D5D413F" w14:textId="540496B4" w:rsidR="001B29A1" w:rsidRPr="006F2B6D" w:rsidRDefault="00FB034E" w:rsidP="001B29A1">
      <w:pPr>
        <w:pBdr>
          <w:top w:val="single" w:sz="4" w:space="1" w:color="auto"/>
          <w:left w:val="single" w:sz="4" w:space="4" w:color="auto"/>
          <w:bottom w:val="single" w:sz="4" w:space="1" w:color="auto"/>
          <w:right w:val="single" w:sz="4" w:space="4" w:color="auto"/>
        </w:pBdr>
        <w:rPr>
          <w:bCs/>
          <w:szCs w:val="20"/>
        </w:rPr>
      </w:pPr>
      <w:r w:rsidRPr="006F2B6D">
        <w:rPr>
          <w:bCs/>
          <w:szCs w:val="20"/>
        </w:rPr>
        <w:t>Intraoperative adverse events</w:t>
      </w:r>
    </w:p>
    <w:p w14:paraId="4F165A72" w14:textId="4A95B0C0" w:rsidR="00FB034E" w:rsidRPr="006F2B6D" w:rsidRDefault="00FB034E" w:rsidP="001B29A1">
      <w:pPr>
        <w:pBdr>
          <w:top w:val="single" w:sz="4" w:space="1" w:color="auto"/>
          <w:left w:val="single" w:sz="4" w:space="4" w:color="auto"/>
          <w:bottom w:val="single" w:sz="4" w:space="1" w:color="auto"/>
          <w:right w:val="single" w:sz="4" w:space="4" w:color="auto"/>
        </w:pBdr>
        <w:rPr>
          <w:bCs/>
          <w:szCs w:val="20"/>
        </w:rPr>
      </w:pPr>
      <w:r w:rsidRPr="006F2B6D">
        <w:rPr>
          <w:bCs/>
          <w:szCs w:val="20"/>
        </w:rPr>
        <w:t>Postoperative adverse events</w:t>
      </w:r>
    </w:p>
    <w:p w14:paraId="3D9CEAA6" w14:textId="0BDD084E" w:rsidR="00B25D20" w:rsidRPr="006F2B6D" w:rsidRDefault="001B29A1" w:rsidP="001B29A1">
      <w:pPr>
        <w:pBdr>
          <w:top w:val="single" w:sz="4" w:space="1" w:color="auto"/>
          <w:left w:val="single" w:sz="4" w:space="4" w:color="auto"/>
          <w:bottom w:val="single" w:sz="4" w:space="1" w:color="auto"/>
          <w:right w:val="single" w:sz="4" w:space="4" w:color="auto"/>
        </w:pBdr>
      </w:pPr>
      <w:r w:rsidRPr="006F2B6D">
        <w:rPr>
          <w:b/>
          <w:szCs w:val="20"/>
        </w:rPr>
        <w:t xml:space="preserve">Clinical Effectiveness Outcomes: </w:t>
      </w:r>
    </w:p>
    <w:p w14:paraId="399440B9" w14:textId="298B2E60" w:rsidR="00FB034E" w:rsidRPr="006F2B6D" w:rsidRDefault="00FB034E" w:rsidP="001B29A1">
      <w:pPr>
        <w:pBdr>
          <w:top w:val="single" w:sz="4" w:space="1" w:color="auto"/>
          <w:left w:val="single" w:sz="4" w:space="4" w:color="auto"/>
          <w:bottom w:val="single" w:sz="4" w:space="1" w:color="auto"/>
          <w:right w:val="single" w:sz="4" w:space="4" w:color="auto"/>
        </w:pBdr>
      </w:pPr>
      <w:r w:rsidRPr="006F2B6D">
        <w:t>Mean IOP reduction</w:t>
      </w:r>
    </w:p>
    <w:p w14:paraId="5B7EDA83" w14:textId="3DE2A134" w:rsidR="00FB034E" w:rsidRPr="006F2B6D" w:rsidRDefault="00FB034E" w:rsidP="001B29A1">
      <w:pPr>
        <w:pBdr>
          <w:top w:val="single" w:sz="4" w:space="1" w:color="auto"/>
          <w:left w:val="single" w:sz="4" w:space="4" w:color="auto"/>
          <w:bottom w:val="single" w:sz="4" w:space="1" w:color="auto"/>
          <w:right w:val="single" w:sz="4" w:space="4" w:color="auto"/>
        </w:pBdr>
        <w:rPr>
          <w:szCs w:val="20"/>
        </w:rPr>
      </w:pPr>
      <w:r w:rsidRPr="006F2B6D">
        <w:t>Change in number of ocular hypotensive medications</w:t>
      </w:r>
    </w:p>
    <w:p w14:paraId="47E2B733"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5F9AF1A6"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56354A24" w14:textId="77777777" w:rsidR="006C74B1" w:rsidRPr="006F2B6D" w:rsidRDefault="00BE0FDE" w:rsidP="001B5169">
      <w:pPr>
        <w:pStyle w:val="Heading2"/>
      </w:pPr>
      <w:r w:rsidRPr="006F2B6D">
        <w:t>Estimate</w:t>
      </w:r>
      <w:r w:rsidR="00974D50" w:rsidRPr="006F2B6D">
        <w:t xml:space="preserve"> the prevalence</w:t>
      </w:r>
      <w:r w:rsidR="00B771AD" w:rsidRPr="006F2B6D">
        <w:t xml:space="preserve"> and/or incidence</w:t>
      </w:r>
      <w:r w:rsidR="00974D50" w:rsidRPr="006F2B6D">
        <w:t xml:space="preserve"> of </w:t>
      </w:r>
      <w:r w:rsidR="00AE1188" w:rsidRPr="006F2B6D">
        <w:t>the proposed population:</w:t>
      </w:r>
    </w:p>
    <w:p w14:paraId="556A22F0" w14:textId="505F2028" w:rsidR="006C74B1" w:rsidRPr="006F2B6D" w:rsidRDefault="00513519" w:rsidP="00AE1188">
      <w:pPr>
        <w:ind w:left="426"/>
        <w:rPr>
          <w:szCs w:val="20"/>
        </w:rPr>
      </w:pPr>
      <w:r w:rsidRPr="006F2B6D">
        <w:rPr>
          <w:szCs w:val="20"/>
        </w:rPr>
        <w:t>The most accurate estimation of the prevalence of glaucoma in Australia is likely to be the Blue Mountains Eye study conducted in the late 1990’s</w:t>
      </w:r>
      <w:r w:rsidRPr="006F2B6D">
        <w:rPr>
          <w:rStyle w:val="FootnoteReference"/>
          <w:szCs w:val="20"/>
        </w:rPr>
        <w:footnoteReference w:id="12"/>
      </w:r>
      <w:r w:rsidRPr="006F2B6D">
        <w:rPr>
          <w:szCs w:val="20"/>
        </w:rPr>
        <w:t xml:space="preserve">.  </w:t>
      </w:r>
      <w:r w:rsidR="00B3071A" w:rsidRPr="006F2B6D">
        <w:rPr>
          <w:szCs w:val="20"/>
        </w:rPr>
        <w:t xml:space="preserve">Prevalence of definite or probable AOG was estimated to be 3% overall, prevalence for those aged under 60 </w:t>
      </w:r>
      <w:r w:rsidR="00537619" w:rsidRPr="006F2B6D">
        <w:rPr>
          <w:szCs w:val="20"/>
        </w:rPr>
        <w:t xml:space="preserve">was </w:t>
      </w:r>
      <w:r w:rsidR="00B3071A" w:rsidRPr="006F2B6D">
        <w:rPr>
          <w:szCs w:val="20"/>
        </w:rPr>
        <w:t>estimated</w:t>
      </w:r>
      <w:r w:rsidR="00537619" w:rsidRPr="006F2B6D">
        <w:rPr>
          <w:szCs w:val="20"/>
        </w:rPr>
        <w:t xml:space="preserve"> to be</w:t>
      </w:r>
      <w:r w:rsidR="00B3071A" w:rsidRPr="006F2B6D">
        <w:rPr>
          <w:szCs w:val="20"/>
        </w:rPr>
        <w:t xml:space="preserve"> 0.4%, those aged 60-69, 70-79 and those aged over 80 </w:t>
      </w:r>
      <w:r w:rsidR="00537619" w:rsidRPr="006F2B6D">
        <w:rPr>
          <w:szCs w:val="20"/>
        </w:rPr>
        <w:t>to be</w:t>
      </w:r>
      <w:r w:rsidR="00B3071A" w:rsidRPr="006F2B6D">
        <w:rPr>
          <w:szCs w:val="20"/>
        </w:rPr>
        <w:t xml:space="preserve"> 1.4%, 4.7% and 11.4% respectively.</w:t>
      </w:r>
    </w:p>
    <w:p w14:paraId="24A77199" w14:textId="72BB2186" w:rsidR="00B3071A" w:rsidRPr="006F2B6D" w:rsidRDefault="00B3071A" w:rsidP="00AE1188">
      <w:pPr>
        <w:ind w:left="426"/>
        <w:rPr>
          <w:szCs w:val="20"/>
        </w:rPr>
      </w:pPr>
      <w:r w:rsidRPr="006F2B6D">
        <w:rPr>
          <w:szCs w:val="20"/>
        </w:rPr>
        <w:t>The A</w:t>
      </w:r>
      <w:r w:rsidR="00281086" w:rsidRPr="006F2B6D">
        <w:rPr>
          <w:szCs w:val="20"/>
        </w:rPr>
        <w:t>IHW estimates that 2.32% of people over 55 in Australia will have OAG.</w:t>
      </w:r>
      <w:r w:rsidR="00281086" w:rsidRPr="006F2B6D">
        <w:rPr>
          <w:rStyle w:val="FootnoteReference"/>
          <w:szCs w:val="20"/>
        </w:rPr>
        <w:footnoteReference w:id="13"/>
      </w:r>
      <w:r w:rsidR="00281086" w:rsidRPr="006F2B6D">
        <w:rPr>
          <w:szCs w:val="20"/>
        </w:rPr>
        <w:t xml:space="preserve"> Therefore the estimated prevalence</w:t>
      </w:r>
      <w:r w:rsidR="00537619" w:rsidRPr="006F2B6D">
        <w:rPr>
          <w:szCs w:val="20"/>
        </w:rPr>
        <w:t>,</w:t>
      </w:r>
      <w:r w:rsidR="00281086" w:rsidRPr="006F2B6D">
        <w:rPr>
          <w:szCs w:val="20"/>
        </w:rPr>
        <w:t xml:space="preserve"> updated to present population estimates (ABS Demographic Statistics 2019)</w:t>
      </w:r>
      <w:r w:rsidR="00537619" w:rsidRPr="006F2B6D">
        <w:rPr>
          <w:szCs w:val="20"/>
        </w:rPr>
        <w:t>,</w:t>
      </w:r>
      <w:r w:rsidR="00281086" w:rsidRPr="006F2B6D">
        <w:rPr>
          <w:szCs w:val="20"/>
        </w:rPr>
        <w:t xml:space="preserve"> is likely to be 160,380.  </w:t>
      </w:r>
      <w:r w:rsidR="0007272F" w:rsidRPr="006F2B6D">
        <w:rPr>
          <w:szCs w:val="20"/>
        </w:rPr>
        <w:tab/>
      </w:r>
    </w:p>
    <w:p w14:paraId="63CB458D" w14:textId="7BD4BADA" w:rsidR="00382407" w:rsidRPr="006F2B6D" w:rsidRDefault="00382407" w:rsidP="00530204">
      <w:pPr>
        <w:pStyle w:val="Heading2"/>
      </w:pPr>
      <w:r w:rsidRPr="006F2B6D">
        <w:t>Estimate the number of times the proposed medical service</w:t>
      </w:r>
      <w:r w:rsidR="005A58BA" w:rsidRPr="006F2B6D">
        <w:t>(s)</w:t>
      </w:r>
      <w:r w:rsidRPr="006F2B6D">
        <w:t xml:space="preserve"> </w:t>
      </w:r>
      <w:proofErr w:type="gramStart"/>
      <w:r w:rsidRPr="006F2B6D">
        <w:t xml:space="preserve">would be </w:t>
      </w:r>
      <w:r w:rsidR="00AE1188" w:rsidRPr="006F2B6D">
        <w:t>delivered</w:t>
      </w:r>
      <w:proofErr w:type="gramEnd"/>
      <w:r w:rsidR="00AE1188" w:rsidRPr="006F2B6D">
        <w:t xml:space="preserve"> to a patient per year:</w:t>
      </w:r>
    </w:p>
    <w:p w14:paraId="2B1125DF" w14:textId="67F3E433" w:rsidR="007D137C" w:rsidRPr="006F2B6D" w:rsidRDefault="007D137C" w:rsidP="007D137C">
      <w:pPr>
        <w:ind w:left="360"/>
      </w:pPr>
      <w:r w:rsidRPr="006F2B6D">
        <w:t xml:space="preserve">The service is delivered once </w:t>
      </w:r>
      <w:r w:rsidR="00537619" w:rsidRPr="006F2B6D">
        <w:t>only</w:t>
      </w:r>
      <w:r w:rsidR="00F36E27" w:rsidRPr="006F2B6D">
        <w:t xml:space="preserve"> per</w:t>
      </w:r>
      <w:r w:rsidR="002E495E" w:rsidRPr="006F2B6D">
        <w:t xml:space="preserve"> glaucomatous</w:t>
      </w:r>
      <w:r w:rsidR="00F36E27" w:rsidRPr="006F2B6D">
        <w:t xml:space="preserve"> eye</w:t>
      </w:r>
      <w:r w:rsidR="00537619" w:rsidRPr="006F2B6D">
        <w:t xml:space="preserve"> in one year.  </w:t>
      </w:r>
    </w:p>
    <w:p w14:paraId="69B4EDAA" w14:textId="77777777" w:rsidR="00382407" w:rsidRPr="006F2B6D" w:rsidRDefault="00382407" w:rsidP="00530204">
      <w:pPr>
        <w:pStyle w:val="Heading2"/>
      </w:pPr>
      <w:r w:rsidRPr="006F2B6D">
        <w:t>How many years would the proposed medical service</w:t>
      </w:r>
      <w:r w:rsidR="005A58BA" w:rsidRPr="006F2B6D">
        <w:t>(s)</w:t>
      </w:r>
      <w:r w:rsidRPr="006F2B6D">
        <w:t xml:space="preserve"> be required for the patient?</w:t>
      </w:r>
    </w:p>
    <w:p w14:paraId="4D9AC022" w14:textId="77777777" w:rsidR="00374A60" w:rsidRPr="006F2B6D" w:rsidRDefault="00374A60" w:rsidP="00374A60">
      <w:pPr>
        <w:ind w:left="360"/>
      </w:pPr>
      <w:proofErr w:type="spellStart"/>
      <w:r w:rsidRPr="006F2B6D">
        <w:t>Microcatheter</w:t>
      </w:r>
      <w:proofErr w:type="spellEnd"/>
      <w:r w:rsidRPr="006F2B6D">
        <w:t xml:space="preserve"> surgery should only be performed once per eye in each calendar </w:t>
      </w:r>
      <w:proofErr w:type="gramStart"/>
      <w:r w:rsidRPr="006F2B6D">
        <w:t>year,</w:t>
      </w:r>
      <w:proofErr w:type="gramEnd"/>
      <w:r w:rsidRPr="006F2B6D">
        <w:t xml:space="preserve"> however it is possible that the procedure could be performed again in subsequent years </w:t>
      </w:r>
    </w:p>
    <w:p w14:paraId="0E4C110A" w14:textId="6DF8B4C5" w:rsidR="002A6753" w:rsidRPr="006F2B6D" w:rsidRDefault="000E47E7" w:rsidP="00530204">
      <w:pPr>
        <w:pStyle w:val="Heading2"/>
      </w:pPr>
      <w:r w:rsidRPr="006F2B6D">
        <w:t xml:space="preserve">Estimate </w:t>
      </w:r>
      <w:r w:rsidR="002A6753" w:rsidRPr="006F2B6D">
        <w:t xml:space="preserve">the projected number of patients who will utilise the proposed </w:t>
      </w:r>
      <w:r w:rsidRPr="006F2B6D">
        <w:t xml:space="preserve">medical </w:t>
      </w:r>
      <w:r w:rsidR="002A6753" w:rsidRPr="006F2B6D">
        <w:t>ser</w:t>
      </w:r>
      <w:r w:rsidR="00AE1188" w:rsidRPr="006F2B6D">
        <w:t>vice(s) for the first full year:</w:t>
      </w:r>
    </w:p>
    <w:p w14:paraId="793BE62B" w14:textId="4EC29BDC" w:rsidR="007D137C" w:rsidRPr="006F2B6D" w:rsidRDefault="007D137C" w:rsidP="007D137C">
      <w:pPr>
        <w:ind w:left="360"/>
      </w:pPr>
      <w:r w:rsidRPr="006F2B6D">
        <w:t xml:space="preserve">While the prevalence of OAG is high, it is unlikely that this number of patients will access the item </w:t>
      </w:r>
      <w:proofErr w:type="gramStart"/>
      <w:r w:rsidRPr="006F2B6D">
        <w:t>number</w:t>
      </w:r>
      <w:proofErr w:type="gramEnd"/>
      <w:r w:rsidRPr="006F2B6D">
        <w:t xml:space="preserve"> as many patients </w:t>
      </w:r>
      <w:r w:rsidR="00A413D9" w:rsidRPr="006F2B6D">
        <w:t>will</w:t>
      </w:r>
      <w:r w:rsidRPr="006F2B6D">
        <w:t xml:space="preserve"> be successfully managed by medications and/or laser </w:t>
      </w:r>
      <w:proofErr w:type="spellStart"/>
      <w:r w:rsidRPr="006F2B6D">
        <w:t>trabeculoplasty</w:t>
      </w:r>
      <w:proofErr w:type="spellEnd"/>
      <w:r w:rsidRPr="006F2B6D">
        <w:t xml:space="preserve">.  </w:t>
      </w:r>
      <w:proofErr w:type="gramStart"/>
      <w:r w:rsidRPr="006F2B6D">
        <w:t>A more accurate indication of utilisation</w:t>
      </w:r>
      <w:r w:rsidR="00537619" w:rsidRPr="006F2B6D">
        <w:t xml:space="preserve"> may be provided by Medicare Item Number Statistics</w:t>
      </w:r>
      <w:proofErr w:type="gramEnd"/>
      <w:r w:rsidR="00537619" w:rsidRPr="006F2B6D">
        <w:rPr>
          <w:rStyle w:val="FootnoteReference"/>
        </w:rPr>
        <w:footnoteReference w:id="14"/>
      </w:r>
      <w:r w:rsidR="00995C21" w:rsidRPr="006F2B6D">
        <w:t xml:space="preserve">.  </w:t>
      </w:r>
    </w:p>
    <w:p w14:paraId="7DB612C8" w14:textId="18CB0F01" w:rsidR="00537619" w:rsidRPr="006F2B6D" w:rsidRDefault="00537619" w:rsidP="007D137C">
      <w:pPr>
        <w:ind w:left="360"/>
      </w:pPr>
      <w:r w:rsidRPr="006F2B6D">
        <w:t xml:space="preserve">As MBS item </w:t>
      </w:r>
      <w:r w:rsidR="00995C21" w:rsidRPr="006F2B6D">
        <w:t xml:space="preserve">42504 has only been in existence since May 2020, this </w:t>
      </w:r>
      <w:proofErr w:type="gramStart"/>
      <w:r w:rsidR="00995C21" w:rsidRPr="006F2B6D">
        <w:t>cannot be used</w:t>
      </w:r>
      <w:proofErr w:type="gramEnd"/>
      <w:r w:rsidR="00995C21" w:rsidRPr="006F2B6D">
        <w:t xml:space="preserve"> to reliably estimate utilisation.  The applicant understands that MBS Item 42758 was claimed for insertion of a micro stent prior to a change in </w:t>
      </w:r>
      <w:proofErr w:type="gramStart"/>
      <w:r w:rsidR="00995C21" w:rsidRPr="006F2B6D">
        <w:t>description which</w:t>
      </w:r>
      <w:proofErr w:type="gramEnd"/>
      <w:r w:rsidR="00995C21" w:rsidRPr="006F2B6D">
        <w:t xml:space="preserve"> excluded the use of minimally invasive glaucoma devices.  In 2016/2017 financial year, this item number </w:t>
      </w:r>
      <w:proofErr w:type="gramStart"/>
      <w:r w:rsidR="00995C21" w:rsidRPr="006F2B6D">
        <w:t>was claimed</w:t>
      </w:r>
      <w:proofErr w:type="gramEnd"/>
      <w:r w:rsidR="00995C21" w:rsidRPr="006F2B6D">
        <w:t xml:space="preserve"> 3,809 times. This number is likely to include a limited number of </w:t>
      </w:r>
      <w:r w:rsidR="00EE243D" w:rsidRPr="006F2B6D">
        <w:t xml:space="preserve">patients </w:t>
      </w:r>
      <w:proofErr w:type="gramStart"/>
      <w:r w:rsidR="00EE243D" w:rsidRPr="006F2B6D">
        <w:t>being treated</w:t>
      </w:r>
      <w:proofErr w:type="gramEnd"/>
      <w:r w:rsidR="00EE243D" w:rsidRPr="006F2B6D">
        <w:t xml:space="preserve"> for primary congenital glaucoma. In the subsequent years (2017/2018 and 2018/2019) following the change in wording of the item number, there were 78 </w:t>
      </w:r>
      <w:proofErr w:type="gramStart"/>
      <w:r w:rsidR="00EE243D" w:rsidRPr="006F2B6D">
        <w:t>claims  and</w:t>
      </w:r>
      <w:proofErr w:type="gramEnd"/>
      <w:r w:rsidR="00EE243D" w:rsidRPr="006F2B6D">
        <w:t xml:space="preserve"> 17 claims respectively.</w:t>
      </w:r>
      <w:r w:rsidR="00A413D9" w:rsidRPr="006F2B6D">
        <w:t xml:space="preserve"> </w:t>
      </w:r>
      <w:proofErr w:type="gramStart"/>
      <w:r w:rsidR="00A413D9" w:rsidRPr="006F2B6D">
        <w:t>Assuming a population growth of 1.6% a year since 2016,</w:t>
      </w:r>
      <w:proofErr w:type="gramEnd"/>
      <w:r w:rsidR="00A413D9" w:rsidRPr="006F2B6D">
        <w:t xml:space="preserve"> </w:t>
      </w:r>
      <w:proofErr w:type="gramStart"/>
      <w:r w:rsidR="00A413D9" w:rsidRPr="006F2B6D">
        <w:t>it</w:t>
      </w:r>
      <w:proofErr w:type="gramEnd"/>
      <w:r w:rsidR="00A413D9" w:rsidRPr="006F2B6D">
        <w:t xml:space="preserve"> is likely that the new item number 42504 will be utilised</w:t>
      </w:r>
      <w:r w:rsidR="002E495E" w:rsidRPr="006F2B6D">
        <w:t xml:space="preserve"> up to</w:t>
      </w:r>
      <w:r w:rsidR="00A413D9" w:rsidRPr="006F2B6D">
        <w:t xml:space="preserve"> 4056 times in 2020/2021.</w:t>
      </w:r>
    </w:p>
    <w:p w14:paraId="11B90C35" w14:textId="32AB1D53" w:rsidR="00A413D9" w:rsidRPr="006F2B6D" w:rsidRDefault="00A413D9" w:rsidP="007D137C">
      <w:pPr>
        <w:ind w:left="360"/>
      </w:pPr>
      <w:r w:rsidRPr="006F2B6D">
        <w:t xml:space="preserve">Incorporating the use of </w:t>
      </w:r>
      <w:proofErr w:type="spellStart"/>
      <w:r w:rsidRPr="006F2B6D">
        <w:t>microcatheters</w:t>
      </w:r>
      <w:proofErr w:type="spellEnd"/>
      <w:r w:rsidRPr="006F2B6D">
        <w:t xml:space="preserve"> in the wording of MBS </w:t>
      </w:r>
      <w:proofErr w:type="gramStart"/>
      <w:r w:rsidRPr="006F2B6D">
        <w:t>Item</w:t>
      </w:r>
      <w:proofErr w:type="gramEnd"/>
      <w:r w:rsidRPr="006F2B6D">
        <w:t xml:space="preserve"> 42504 will not change the utilisation of the item number but will only </w:t>
      </w:r>
      <w:r w:rsidR="002E495E" w:rsidRPr="006F2B6D">
        <w:t xml:space="preserve">offer an alternative </w:t>
      </w:r>
      <w:r w:rsidRPr="006F2B6D">
        <w:t>choice of device used during the procedure.</w:t>
      </w:r>
    </w:p>
    <w:p w14:paraId="1736735E" w14:textId="5E6540F6" w:rsidR="00AE1188" w:rsidRPr="006F2B6D" w:rsidRDefault="00A413D9" w:rsidP="00A413D9">
      <w:pPr>
        <w:rPr>
          <w:szCs w:val="20"/>
        </w:rPr>
      </w:pPr>
      <w:r w:rsidRPr="006F2B6D">
        <w:rPr>
          <w:szCs w:val="20"/>
        </w:rPr>
        <w:t xml:space="preserve">       </w:t>
      </w:r>
    </w:p>
    <w:p w14:paraId="1EF4A29C" w14:textId="77777777" w:rsidR="00974D50" w:rsidRPr="006F2B6D" w:rsidRDefault="005A58BA" w:rsidP="00530204">
      <w:pPr>
        <w:pStyle w:val="Heading2"/>
        <w:rPr>
          <w:b w:val="0"/>
        </w:rPr>
      </w:pPr>
      <w:r w:rsidRPr="006F2B6D">
        <w:t>Estimate the anticipated upt</w:t>
      </w:r>
      <w:r w:rsidR="000E47E7" w:rsidRPr="006F2B6D">
        <w:t>a</w:t>
      </w:r>
      <w:r w:rsidR="001B171D" w:rsidRPr="006F2B6D">
        <w:t>k</w:t>
      </w:r>
      <w:r w:rsidR="000E47E7" w:rsidRPr="006F2B6D">
        <w:t>e of the proposed medical service over the next three years</w:t>
      </w:r>
      <w:r w:rsidR="001B171D" w:rsidRPr="006F2B6D">
        <w:t xml:space="preserve"> factoring in any constraints in the health system in meeting the needs of the proposed population (suc</w:t>
      </w:r>
      <w:r w:rsidRPr="006F2B6D">
        <w:t>h as supply and demand factors)</w:t>
      </w:r>
      <w:r w:rsidR="001B171D" w:rsidRPr="006F2B6D">
        <w:t xml:space="preserve"> as well as </w:t>
      </w:r>
      <w:r w:rsidR="009C03FB" w:rsidRPr="006F2B6D">
        <w:t>provide commentary on</w:t>
      </w:r>
      <w:r w:rsidR="001B171D" w:rsidRPr="006F2B6D">
        <w:t xml:space="preserve"> risk of ‘leakage’ to populations not targeted by the service</w:t>
      </w:r>
      <w:r w:rsidR="00AE1188" w:rsidRPr="006F2B6D">
        <w:t>:</w:t>
      </w:r>
    </w:p>
    <w:p w14:paraId="2A0EFCC3" w14:textId="5C29080E" w:rsidR="001B171D" w:rsidRPr="006F2B6D" w:rsidRDefault="00A413D9" w:rsidP="00A413D9">
      <w:pPr>
        <w:ind w:left="360"/>
      </w:pPr>
      <w:r w:rsidRPr="006F2B6D">
        <w:t xml:space="preserve">It </w:t>
      </w:r>
      <w:proofErr w:type="gramStart"/>
      <w:r w:rsidRPr="006F2B6D">
        <w:t>is not anticipated</w:t>
      </w:r>
      <w:proofErr w:type="gramEnd"/>
      <w:r w:rsidRPr="006F2B6D">
        <w:t xml:space="preserve"> that </w:t>
      </w:r>
      <w:r w:rsidR="00F418B8" w:rsidRPr="006F2B6D">
        <w:t xml:space="preserve">a change of wording of the item number to encompass the use of </w:t>
      </w:r>
      <w:proofErr w:type="spellStart"/>
      <w:r w:rsidR="00F418B8" w:rsidRPr="006F2B6D">
        <w:t>microcatheters</w:t>
      </w:r>
      <w:proofErr w:type="spellEnd"/>
      <w:r w:rsidR="00F418B8" w:rsidRPr="006F2B6D">
        <w:t xml:space="preserve"> will change the anticipated uptake in any way and increased uptake will largely be due to demographic changes.</w:t>
      </w:r>
    </w:p>
    <w:p w14:paraId="2D26DDEC" w14:textId="141B23CC" w:rsidR="00F418B8" w:rsidRPr="006F2B6D" w:rsidRDefault="00F418B8" w:rsidP="00A413D9">
      <w:pPr>
        <w:ind w:left="360"/>
        <w:rPr>
          <w:szCs w:val="20"/>
        </w:rPr>
      </w:pPr>
      <w:r w:rsidRPr="006F2B6D">
        <w:rPr>
          <w:szCs w:val="20"/>
        </w:rPr>
        <w:t xml:space="preserve">As clinical guidelines for OAG are well established, and the intervention is only suitable for OAG, leakage to other populations </w:t>
      </w:r>
      <w:proofErr w:type="gramStart"/>
      <w:r w:rsidRPr="006F2B6D">
        <w:rPr>
          <w:szCs w:val="20"/>
        </w:rPr>
        <w:t>is not considered</w:t>
      </w:r>
      <w:proofErr w:type="gramEnd"/>
      <w:r w:rsidRPr="006F2B6D">
        <w:rPr>
          <w:szCs w:val="20"/>
        </w:rPr>
        <w:t xml:space="preserve"> likely. Please see Table 1 for an estimate of utilisation</w:t>
      </w:r>
    </w:p>
    <w:p w14:paraId="6FA8223F" w14:textId="2036CACB" w:rsidR="00F418B8" w:rsidRPr="006F2B6D" w:rsidRDefault="00F418B8" w:rsidP="00A413D9">
      <w:pPr>
        <w:ind w:left="360"/>
        <w:rPr>
          <w:szCs w:val="20"/>
        </w:rPr>
      </w:pPr>
    </w:p>
    <w:p w14:paraId="710E839E" w14:textId="379471A2" w:rsidR="00F418B8" w:rsidRPr="006F2B6D" w:rsidRDefault="00F418B8" w:rsidP="00A413D9">
      <w:pPr>
        <w:ind w:left="360"/>
        <w:rPr>
          <w:b/>
          <w:bCs/>
          <w:szCs w:val="20"/>
        </w:rPr>
      </w:pPr>
      <w:r w:rsidRPr="006F2B6D">
        <w:rPr>
          <w:b/>
          <w:bCs/>
          <w:szCs w:val="20"/>
        </w:rPr>
        <w:lastRenderedPageBreak/>
        <w:t>Table 1: Projected Utilisation</w:t>
      </w:r>
      <w:r w:rsidR="00C219C3" w:rsidRPr="006F2B6D">
        <w:rPr>
          <w:b/>
          <w:bCs/>
          <w:szCs w:val="20"/>
        </w:rPr>
        <w:t xml:space="preserve"> 42504</w:t>
      </w:r>
    </w:p>
    <w:tbl>
      <w:tblPr>
        <w:tblStyle w:val="TableGrid"/>
        <w:tblW w:w="0" w:type="auto"/>
        <w:tblInd w:w="421" w:type="dxa"/>
        <w:tblLook w:val="04A0" w:firstRow="1" w:lastRow="0" w:firstColumn="1" w:lastColumn="0" w:noHBand="0" w:noVBand="1"/>
        <w:tblCaption w:val="Table 1"/>
        <w:tblDescription w:val="Table"/>
      </w:tblPr>
      <w:tblGrid>
        <w:gridCol w:w="4087"/>
        <w:gridCol w:w="4134"/>
      </w:tblGrid>
      <w:tr w:rsidR="006F2B6D" w:rsidRPr="006F2B6D" w14:paraId="34B6543F" w14:textId="77777777" w:rsidTr="003A5070">
        <w:trPr>
          <w:tblHeader/>
        </w:trPr>
        <w:tc>
          <w:tcPr>
            <w:tcW w:w="4087" w:type="dxa"/>
          </w:tcPr>
          <w:p w14:paraId="591A4117" w14:textId="2948BCC4" w:rsidR="00F418B8" w:rsidRPr="006F2B6D" w:rsidRDefault="00F418B8" w:rsidP="00F418B8">
            <w:pPr>
              <w:jc w:val="center"/>
              <w:rPr>
                <w:b/>
                <w:szCs w:val="20"/>
              </w:rPr>
            </w:pPr>
            <w:bookmarkStart w:id="7" w:name="_Hlk46148507"/>
            <w:r w:rsidRPr="006F2B6D">
              <w:rPr>
                <w:b/>
                <w:szCs w:val="20"/>
              </w:rPr>
              <w:t>Year</w:t>
            </w:r>
          </w:p>
        </w:tc>
        <w:tc>
          <w:tcPr>
            <w:tcW w:w="4134" w:type="dxa"/>
          </w:tcPr>
          <w:p w14:paraId="5F3FFC13" w14:textId="37A08744" w:rsidR="00F418B8" w:rsidRPr="006F2B6D" w:rsidRDefault="00F418B8" w:rsidP="00F418B8">
            <w:pPr>
              <w:jc w:val="center"/>
              <w:rPr>
                <w:b/>
                <w:szCs w:val="20"/>
              </w:rPr>
            </w:pPr>
            <w:r w:rsidRPr="006F2B6D">
              <w:rPr>
                <w:b/>
                <w:szCs w:val="20"/>
              </w:rPr>
              <w:t>Utilisation</w:t>
            </w:r>
          </w:p>
        </w:tc>
      </w:tr>
      <w:tr w:rsidR="006F2B6D" w:rsidRPr="006F2B6D" w14:paraId="3CB2AF62" w14:textId="77777777" w:rsidTr="00F418B8">
        <w:tc>
          <w:tcPr>
            <w:tcW w:w="4087" w:type="dxa"/>
          </w:tcPr>
          <w:p w14:paraId="3A1E3356" w14:textId="625CE72D" w:rsidR="00F418B8" w:rsidRPr="006F2B6D" w:rsidRDefault="00F418B8" w:rsidP="00F418B8">
            <w:pPr>
              <w:jc w:val="center"/>
              <w:rPr>
                <w:b/>
                <w:szCs w:val="20"/>
              </w:rPr>
            </w:pPr>
            <w:r w:rsidRPr="006F2B6D">
              <w:rPr>
                <w:b/>
                <w:szCs w:val="20"/>
              </w:rPr>
              <w:t>2021/2022</w:t>
            </w:r>
          </w:p>
        </w:tc>
        <w:tc>
          <w:tcPr>
            <w:tcW w:w="4134" w:type="dxa"/>
          </w:tcPr>
          <w:p w14:paraId="33A42F2D" w14:textId="50155897" w:rsidR="00F418B8" w:rsidRPr="006F2B6D" w:rsidRDefault="00F418B8" w:rsidP="00F418B8">
            <w:pPr>
              <w:jc w:val="center"/>
              <w:rPr>
                <w:b/>
                <w:szCs w:val="20"/>
              </w:rPr>
            </w:pPr>
            <w:r w:rsidRPr="006F2B6D">
              <w:rPr>
                <w:b/>
                <w:szCs w:val="20"/>
              </w:rPr>
              <w:t>4120</w:t>
            </w:r>
          </w:p>
        </w:tc>
      </w:tr>
      <w:tr w:rsidR="006F2B6D" w:rsidRPr="006F2B6D" w14:paraId="7D2B22AB" w14:textId="77777777" w:rsidTr="00F418B8">
        <w:tc>
          <w:tcPr>
            <w:tcW w:w="4087" w:type="dxa"/>
          </w:tcPr>
          <w:p w14:paraId="243C3257" w14:textId="04FC3040" w:rsidR="00F418B8" w:rsidRPr="006F2B6D" w:rsidRDefault="00F418B8" w:rsidP="00F418B8">
            <w:pPr>
              <w:jc w:val="center"/>
              <w:rPr>
                <w:b/>
                <w:szCs w:val="20"/>
              </w:rPr>
            </w:pPr>
            <w:r w:rsidRPr="006F2B6D">
              <w:rPr>
                <w:b/>
                <w:szCs w:val="20"/>
              </w:rPr>
              <w:t>2022/2023</w:t>
            </w:r>
          </w:p>
        </w:tc>
        <w:tc>
          <w:tcPr>
            <w:tcW w:w="4134" w:type="dxa"/>
          </w:tcPr>
          <w:p w14:paraId="34640BF2" w14:textId="093DC727" w:rsidR="00F418B8" w:rsidRPr="006F2B6D" w:rsidRDefault="00F418B8" w:rsidP="00F418B8">
            <w:pPr>
              <w:jc w:val="center"/>
              <w:rPr>
                <w:b/>
                <w:szCs w:val="20"/>
              </w:rPr>
            </w:pPr>
            <w:r w:rsidRPr="006F2B6D">
              <w:rPr>
                <w:b/>
                <w:szCs w:val="20"/>
              </w:rPr>
              <w:t>4185</w:t>
            </w:r>
          </w:p>
        </w:tc>
      </w:tr>
      <w:tr w:rsidR="006F2B6D" w:rsidRPr="006F2B6D" w14:paraId="0E9DF0BC" w14:textId="77777777" w:rsidTr="00F418B8">
        <w:tc>
          <w:tcPr>
            <w:tcW w:w="4087" w:type="dxa"/>
          </w:tcPr>
          <w:p w14:paraId="54B4D287" w14:textId="74F70BFA" w:rsidR="00F418B8" w:rsidRPr="006F2B6D" w:rsidRDefault="00F418B8" w:rsidP="00F418B8">
            <w:pPr>
              <w:jc w:val="center"/>
              <w:rPr>
                <w:b/>
                <w:szCs w:val="20"/>
              </w:rPr>
            </w:pPr>
            <w:r w:rsidRPr="006F2B6D">
              <w:rPr>
                <w:b/>
                <w:szCs w:val="20"/>
              </w:rPr>
              <w:t>2022/2024</w:t>
            </w:r>
          </w:p>
        </w:tc>
        <w:tc>
          <w:tcPr>
            <w:tcW w:w="4134" w:type="dxa"/>
          </w:tcPr>
          <w:p w14:paraId="37FD61CE" w14:textId="5A8F1B7F" w:rsidR="00F418B8" w:rsidRPr="006F2B6D" w:rsidRDefault="00F418B8" w:rsidP="00F418B8">
            <w:pPr>
              <w:jc w:val="center"/>
              <w:rPr>
                <w:b/>
                <w:szCs w:val="20"/>
              </w:rPr>
            </w:pPr>
            <w:r w:rsidRPr="006F2B6D">
              <w:rPr>
                <w:b/>
                <w:szCs w:val="20"/>
              </w:rPr>
              <w:t>4251</w:t>
            </w:r>
          </w:p>
        </w:tc>
      </w:tr>
    </w:tbl>
    <w:bookmarkEnd w:id="7"/>
    <w:p w14:paraId="773379CF" w14:textId="77777777" w:rsidR="00C219C3" w:rsidRPr="006F2B6D" w:rsidRDefault="00C219C3">
      <w:pPr>
        <w:rPr>
          <w:b/>
          <w:sz w:val="32"/>
          <w:szCs w:val="32"/>
        </w:rPr>
      </w:pPr>
      <w:r w:rsidRPr="006F2B6D">
        <w:rPr>
          <w:b/>
          <w:sz w:val="32"/>
          <w:szCs w:val="32"/>
        </w:rPr>
        <w:t xml:space="preserve">     </w:t>
      </w:r>
    </w:p>
    <w:p w14:paraId="1C038043" w14:textId="7EE77190" w:rsidR="003433D1" w:rsidRDefault="00C219C3" w:rsidP="004E09EC">
      <w:pPr>
        <w:rPr>
          <w:b/>
          <w:sz w:val="32"/>
          <w:szCs w:val="32"/>
        </w:rPr>
      </w:pPr>
      <w:r>
        <w:rPr>
          <w:b/>
          <w:sz w:val="32"/>
          <w:szCs w:val="32"/>
        </w:rPr>
        <w:t xml:space="preserve">     </w:t>
      </w:r>
    </w:p>
    <w:p w14:paraId="6496E8F6" w14:textId="77777777" w:rsidR="006F2B6D" w:rsidRDefault="006F2B6D">
      <w:pPr>
        <w:spacing w:before="0" w:after="200" w:line="276" w:lineRule="auto"/>
        <w:rPr>
          <w:bCs/>
          <w:color w:val="4F81BD" w:themeColor="accent1"/>
          <w:sz w:val="40"/>
          <w:szCs w:val="32"/>
        </w:rPr>
      </w:pPr>
      <w:r>
        <w:br w:type="page"/>
      </w:r>
    </w:p>
    <w:p w14:paraId="4D5C3F63" w14:textId="3CAA193C"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66F8A9E1" w14:textId="77777777" w:rsidR="006A649A" w:rsidRPr="00B53B18" w:rsidRDefault="006A649A" w:rsidP="001B5169">
      <w:pPr>
        <w:pStyle w:val="Heading2"/>
      </w:pPr>
      <w:r w:rsidRPr="00B53B18">
        <w:t>Indicate the likely</w:t>
      </w:r>
      <w:r w:rsidR="005A58BA" w:rsidRPr="00B53B18">
        <w:t xml:space="preserve"> </w:t>
      </w:r>
      <w:r w:rsidRPr="00B53B18">
        <w:t xml:space="preserve">cost of </w:t>
      </w:r>
      <w:r w:rsidR="005A58BA" w:rsidRPr="00B53B18">
        <w:t xml:space="preserve">providing the </w:t>
      </w:r>
      <w:r w:rsidRPr="00B53B18">
        <w:t>proposed medical service.</w:t>
      </w:r>
      <w:r w:rsidR="005A5D30" w:rsidRPr="00B53B18">
        <w:t xml:space="preserve"> Where possible</w:t>
      </w:r>
      <w:r w:rsidR="00802553" w:rsidRPr="00B53B18">
        <w:t>,</w:t>
      </w:r>
      <w:r w:rsidR="005A5D30" w:rsidRPr="00B53B18">
        <w:t xml:space="preserve"> please pro</w:t>
      </w:r>
      <w:r w:rsidR="00AE1188" w:rsidRPr="00B53B18">
        <w:t>vide overall cost and breakdown:</w:t>
      </w:r>
    </w:p>
    <w:p w14:paraId="6C9A12AC" w14:textId="5F578615" w:rsidR="00951933" w:rsidRPr="00B53B18" w:rsidRDefault="00420463" w:rsidP="003A5070">
      <w:pPr>
        <w:tabs>
          <w:tab w:val="left" w:pos="8222"/>
        </w:tabs>
        <w:ind w:left="426"/>
      </w:pPr>
      <w:r w:rsidRPr="00B53B18">
        <w:t xml:space="preserve">The current fee for MBS item number 42504 of $310.15 </w:t>
      </w:r>
      <w:r w:rsidR="003F5EC4" w:rsidRPr="00B53B18">
        <w:t xml:space="preserve">is sufficient to encompass the use of </w:t>
      </w:r>
      <w:proofErr w:type="spellStart"/>
      <w:r w:rsidR="003F5EC4" w:rsidRPr="00B53B18">
        <w:t>microcatheters</w:t>
      </w:r>
      <w:proofErr w:type="spellEnd"/>
      <w:r w:rsidR="003F5EC4" w:rsidRPr="00B53B18">
        <w:t xml:space="preserve">. The </w:t>
      </w:r>
      <w:proofErr w:type="spellStart"/>
      <w:r w:rsidR="003F5EC4" w:rsidRPr="00B53B18">
        <w:t>microcatheter</w:t>
      </w:r>
      <w:proofErr w:type="spellEnd"/>
      <w:r w:rsidR="003F5EC4" w:rsidRPr="00B53B18">
        <w:t xml:space="preserve"> has a similar cost to micro stents so there is no additional cost for devices should the item number </w:t>
      </w:r>
      <w:proofErr w:type="gramStart"/>
      <w:r w:rsidR="003F5EC4" w:rsidRPr="00B53B18">
        <w:t>be reworded</w:t>
      </w:r>
      <w:proofErr w:type="gramEnd"/>
      <w:r w:rsidR="003F5EC4" w:rsidRPr="00B53B18">
        <w:t>.</w:t>
      </w:r>
    </w:p>
    <w:tbl>
      <w:tblPr>
        <w:tblStyle w:val="TableGrid"/>
        <w:tblW w:w="0" w:type="auto"/>
        <w:tblInd w:w="421" w:type="dxa"/>
        <w:tblLook w:val="04A0" w:firstRow="1" w:lastRow="0" w:firstColumn="1" w:lastColumn="0" w:noHBand="0" w:noVBand="1"/>
        <w:tblCaption w:val="Table"/>
        <w:tblDescription w:val="Table"/>
      </w:tblPr>
      <w:tblGrid>
        <w:gridCol w:w="1575"/>
        <w:gridCol w:w="1427"/>
        <w:gridCol w:w="1393"/>
        <w:gridCol w:w="1335"/>
        <w:gridCol w:w="1081"/>
        <w:gridCol w:w="1410"/>
      </w:tblGrid>
      <w:tr w:rsidR="00B53B18" w:rsidRPr="00B53B18" w14:paraId="4E668E89" w14:textId="77777777" w:rsidTr="003A5070">
        <w:trPr>
          <w:tblHeader/>
        </w:trPr>
        <w:tc>
          <w:tcPr>
            <w:tcW w:w="1575" w:type="dxa"/>
            <w:shd w:val="clear" w:color="auto" w:fill="D9D9D9" w:themeFill="background1" w:themeFillShade="D9"/>
          </w:tcPr>
          <w:p w14:paraId="1FF76A7D" w14:textId="77777777" w:rsidR="003F5EC4" w:rsidRPr="00B53B18" w:rsidRDefault="003F5EC4" w:rsidP="003A5070">
            <w:pPr>
              <w:jc w:val="center"/>
              <w:rPr>
                <w:b/>
                <w:bCs/>
              </w:rPr>
            </w:pPr>
            <w:bookmarkStart w:id="8" w:name="_Hlk46146004"/>
            <w:r w:rsidRPr="00B53B18">
              <w:rPr>
                <w:b/>
                <w:bCs/>
              </w:rPr>
              <w:t>Service</w:t>
            </w:r>
          </w:p>
        </w:tc>
        <w:tc>
          <w:tcPr>
            <w:tcW w:w="1427" w:type="dxa"/>
            <w:shd w:val="clear" w:color="auto" w:fill="D9D9D9" w:themeFill="background1" w:themeFillShade="D9"/>
          </w:tcPr>
          <w:p w14:paraId="71BD0484" w14:textId="77777777" w:rsidR="003F5EC4" w:rsidRPr="00B53B18" w:rsidRDefault="003F5EC4" w:rsidP="003A5070">
            <w:pPr>
              <w:jc w:val="center"/>
              <w:rPr>
                <w:b/>
                <w:bCs/>
              </w:rPr>
            </w:pPr>
            <w:r w:rsidRPr="00B53B18">
              <w:rPr>
                <w:b/>
                <w:bCs/>
              </w:rPr>
              <w:t>Source</w:t>
            </w:r>
          </w:p>
        </w:tc>
        <w:tc>
          <w:tcPr>
            <w:tcW w:w="1393" w:type="dxa"/>
            <w:shd w:val="clear" w:color="auto" w:fill="D9D9D9" w:themeFill="background1" w:themeFillShade="D9"/>
          </w:tcPr>
          <w:p w14:paraId="7B632440" w14:textId="77777777" w:rsidR="003F5EC4" w:rsidRPr="00B53B18" w:rsidRDefault="003F5EC4" w:rsidP="003A5070">
            <w:pPr>
              <w:jc w:val="center"/>
              <w:rPr>
                <w:b/>
                <w:bCs/>
              </w:rPr>
            </w:pPr>
            <w:r w:rsidRPr="00B53B18">
              <w:rPr>
                <w:b/>
                <w:bCs/>
              </w:rPr>
              <w:t>Fee/Cost</w:t>
            </w:r>
          </w:p>
        </w:tc>
        <w:tc>
          <w:tcPr>
            <w:tcW w:w="1335" w:type="dxa"/>
            <w:shd w:val="clear" w:color="auto" w:fill="D9D9D9" w:themeFill="background1" w:themeFillShade="D9"/>
          </w:tcPr>
          <w:p w14:paraId="2572A576" w14:textId="77777777" w:rsidR="003F5EC4" w:rsidRPr="00B53B18" w:rsidRDefault="003F5EC4" w:rsidP="003A5070">
            <w:pPr>
              <w:jc w:val="center"/>
              <w:rPr>
                <w:b/>
                <w:bCs/>
              </w:rPr>
            </w:pPr>
            <w:r w:rsidRPr="00B53B18">
              <w:rPr>
                <w:b/>
                <w:bCs/>
              </w:rPr>
              <w:t>Benefit</w:t>
            </w:r>
          </w:p>
        </w:tc>
        <w:tc>
          <w:tcPr>
            <w:tcW w:w="1081" w:type="dxa"/>
            <w:shd w:val="clear" w:color="auto" w:fill="D9D9D9" w:themeFill="background1" w:themeFillShade="D9"/>
          </w:tcPr>
          <w:p w14:paraId="3A425D3C" w14:textId="77777777" w:rsidR="003F5EC4" w:rsidRPr="00B53B18" w:rsidRDefault="003F5EC4" w:rsidP="003A5070">
            <w:pPr>
              <w:jc w:val="center"/>
              <w:rPr>
                <w:b/>
                <w:bCs/>
              </w:rPr>
            </w:pPr>
            <w:r w:rsidRPr="00B53B18">
              <w:rPr>
                <w:b/>
                <w:bCs/>
              </w:rPr>
              <w:t>Frequency</w:t>
            </w:r>
          </w:p>
        </w:tc>
        <w:tc>
          <w:tcPr>
            <w:tcW w:w="1410" w:type="dxa"/>
            <w:shd w:val="clear" w:color="auto" w:fill="D9D9D9" w:themeFill="background1" w:themeFillShade="D9"/>
          </w:tcPr>
          <w:p w14:paraId="1EFF9792" w14:textId="77777777" w:rsidR="003F5EC4" w:rsidRPr="00B53B18" w:rsidRDefault="003F5EC4" w:rsidP="003A5070">
            <w:pPr>
              <w:jc w:val="center"/>
              <w:rPr>
                <w:b/>
                <w:bCs/>
              </w:rPr>
            </w:pPr>
            <w:r w:rsidRPr="00B53B18">
              <w:rPr>
                <w:b/>
                <w:bCs/>
              </w:rPr>
              <w:t>Cost</w:t>
            </w:r>
          </w:p>
        </w:tc>
      </w:tr>
      <w:tr w:rsidR="00B53B18" w:rsidRPr="00B53B18" w14:paraId="2E1AB566" w14:textId="77777777" w:rsidTr="00A83992">
        <w:tc>
          <w:tcPr>
            <w:tcW w:w="8221" w:type="dxa"/>
            <w:gridSpan w:val="6"/>
          </w:tcPr>
          <w:p w14:paraId="3991EC15" w14:textId="44CE4A4F" w:rsidR="00B53B18" w:rsidRPr="00B53B18" w:rsidRDefault="00B53B18" w:rsidP="00B53B18">
            <w:r w:rsidRPr="00B53B18">
              <w:rPr>
                <w:b/>
                <w:bCs/>
              </w:rPr>
              <w:t>Pre-surgical services</w:t>
            </w:r>
          </w:p>
        </w:tc>
      </w:tr>
      <w:tr w:rsidR="00B53B18" w:rsidRPr="00B53B18" w14:paraId="1605DF7B" w14:textId="77777777" w:rsidTr="00346D57">
        <w:tc>
          <w:tcPr>
            <w:tcW w:w="1575" w:type="dxa"/>
          </w:tcPr>
          <w:p w14:paraId="51ADE6BD" w14:textId="47A0DC5D" w:rsidR="00477C1E" w:rsidRPr="00B53B18" w:rsidRDefault="00477C1E" w:rsidP="00477C1E">
            <w:r w:rsidRPr="00B53B18">
              <w:t>Specialist Consultation</w:t>
            </w:r>
          </w:p>
        </w:tc>
        <w:tc>
          <w:tcPr>
            <w:tcW w:w="1427" w:type="dxa"/>
          </w:tcPr>
          <w:p w14:paraId="1779D4F4" w14:textId="6E2A1D28" w:rsidR="00477C1E" w:rsidRPr="00B53B18" w:rsidRDefault="00477C1E" w:rsidP="00346D57">
            <w:pPr>
              <w:jc w:val="center"/>
            </w:pPr>
            <w:r w:rsidRPr="00B53B18">
              <w:t>MBS 104</w:t>
            </w:r>
          </w:p>
        </w:tc>
        <w:tc>
          <w:tcPr>
            <w:tcW w:w="1393" w:type="dxa"/>
          </w:tcPr>
          <w:p w14:paraId="37EB4485" w14:textId="635938D0" w:rsidR="00477C1E" w:rsidRPr="00B53B18" w:rsidRDefault="00477C1E" w:rsidP="00346D57">
            <w:pPr>
              <w:jc w:val="center"/>
            </w:pPr>
            <w:r w:rsidRPr="00B53B18">
              <w:t>$45.00</w:t>
            </w:r>
          </w:p>
        </w:tc>
        <w:tc>
          <w:tcPr>
            <w:tcW w:w="1335" w:type="dxa"/>
          </w:tcPr>
          <w:p w14:paraId="57B07EC7" w14:textId="70E57B85" w:rsidR="00477C1E" w:rsidRPr="00B53B18" w:rsidRDefault="00477C1E" w:rsidP="00346D57">
            <w:pPr>
              <w:jc w:val="center"/>
            </w:pPr>
            <w:r w:rsidRPr="00B53B18">
              <w:t>$38.25</w:t>
            </w:r>
          </w:p>
        </w:tc>
        <w:tc>
          <w:tcPr>
            <w:tcW w:w="1081" w:type="dxa"/>
          </w:tcPr>
          <w:p w14:paraId="28FC77AE" w14:textId="2EC0961A" w:rsidR="00477C1E" w:rsidRPr="00B53B18" w:rsidRDefault="00477C1E" w:rsidP="00346D57">
            <w:pPr>
              <w:jc w:val="center"/>
            </w:pPr>
            <w:r w:rsidRPr="00B53B18">
              <w:t>1</w:t>
            </w:r>
          </w:p>
        </w:tc>
        <w:tc>
          <w:tcPr>
            <w:tcW w:w="1410" w:type="dxa"/>
          </w:tcPr>
          <w:p w14:paraId="78880A73" w14:textId="2D4B35CB" w:rsidR="00477C1E" w:rsidRPr="00B53B18" w:rsidRDefault="00477C1E" w:rsidP="00346D57">
            <w:pPr>
              <w:jc w:val="center"/>
            </w:pPr>
            <w:r w:rsidRPr="00B53B18">
              <w:t>$38.25</w:t>
            </w:r>
          </w:p>
        </w:tc>
      </w:tr>
      <w:tr w:rsidR="00B53B18" w:rsidRPr="00B53B18" w14:paraId="0DFBC95B" w14:textId="77777777" w:rsidTr="00346D57">
        <w:tc>
          <w:tcPr>
            <w:tcW w:w="1575" w:type="dxa"/>
          </w:tcPr>
          <w:p w14:paraId="7A5B3557" w14:textId="528275BF" w:rsidR="003F5EC4" w:rsidRPr="00B53B18" w:rsidRDefault="00477C1E" w:rsidP="00477C1E">
            <w:r w:rsidRPr="00B53B18">
              <w:t>Pre-Anaesthesia Consultation</w:t>
            </w:r>
          </w:p>
        </w:tc>
        <w:tc>
          <w:tcPr>
            <w:tcW w:w="1427" w:type="dxa"/>
          </w:tcPr>
          <w:p w14:paraId="181A4BA2" w14:textId="271D2031" w:rsidR="003F5EC4" w:rsidRPr="00B53B18" w:rsidRDefault="003F5EC4" w:rsidP="00346D57">
            <w:pPr>
              <w:jc w:val="center"/>
            </w:pPr>
            <w:r w:rsidRPr="00B53B18">
              <w:t xml:space="preserve">MBS Item </w:t>
            </w:r>
            <w:r w:rsidR="00477C1E" w:rsidRPr="00B53B18">
              <w:t>17610</w:t>
            </w:r>
          </w:p>
        </w:tc>
        <w:tc>
          <w:tcPr>
            <w:tcW w:w="1393" w:type="dxa"/>
          </w:tcPr>
          <w:p w14:paraId="43D45799" w14:textId="4BC5EDB1" w:rsidR="003F5EC4" w:rsidRPr="00B53B18" w:rsidRDefault="00477C1E" w:rsidP="00346D57">
            <w:pPr>
              <w:jc w:val="center"/>
            </w:pPr>
            <w:r w:rsidRPr="00B53B18">
              <w:t>$45.00</w:t>
            </w:r>
          </w:p>
        </w:tc>
        <w:tc>
          <w:tcPr>
            <w:tcW w:w="1335" w:type="dxa"/>
          </w:tcPr>
          <w:p w14:paraId="443168F1" w14:textId="467C8CAC" w:rsidR="003F5EC4" w:rsidRPr="00B53B18" w:rsidRDefault="003F5EC4" w:rsidP="00346D57">
            <w:pPr>
              <w:jc w:val="center"/>
            </w:pPr>
            <w:r w:rsidRPr="00B53B18">
              <w:t>$</w:t>
            </w:r>
            <w:r w:rsidR="00477C1E" w:rsidRPr="00B53B18">
              <w:t>38.25</w:t>
            </w:r>
          </w:p>
        </w:tc>
        <w:tc>
          <w:tcPr>
            <w:tcW w:w="1081" w:type="dxa"/>
          </w:tcPr>
          <w:p w14:paraId="3693AFA8" w14:textId="77777777" w:rsidR="003F5EC4" w:rsidRPr="00B53B18" w:rsidRDefault="003F5EC4" w:rsidP="00346D57">
            <w:pPr>
              <w:jc w:val="center"/>
            </w:pPr>
            <w:r w:rsidRPr="00B53B18">
              <w:t>1</w:t>
            </w:r>
          </w:p>
        </w:tc>
        <w:tc>
          <w:tcPr>
            <w:tcW w:w="1410" w:type="dxa"/>
          </w:tcPr>
          <w:p w14:paraId="5AC68C28" w14:textId="2EF6AB23" w:rsidR="003F5EC4" w:rsidRPr="00B53B18" w:rsidRDefault="003F5EC4" w:rsidP="00346D57">
            <w:pPr>
              <w:jc w:val="center"/>
            </w:pPr>
            <w:r w:rsidRPr="00B53B18">
              <w:t>$</w:t>
            </w:r>
            <w:r w:rsidR="00477C1E" w:rsidRPr="00B53B18">
              <w:t>38.25</w:t>
            </w:r>
          </w:p>
        </w:tc>
      </w:tr>
      <w:tr w:rsidR="00B53B18" w:rsidRPr="00B53B18" w14:paraId="1A2AD690" w14:textId="77777777" w:rsidTr="00C70E12">
        <w:tc>
          <w:tcPr>
            <w:tcW w:w="8221" w:type="dxa"/>
            <w:gridSpan w:val="6"/>
          </w:tcPr>
          <w:p w14:paraId="1404E0A5" w14:textId="0D8B9004" w:rsidR="00B53B18" w:rsidRPr="00B53B18" w:rsidRDefault="00B53B18" w:rsidP="00B53B18">
            <w:r w:rsidRPr="00B53B18">
              <w:rPr>
                <w:b/>
                <w:bCs/>
              </w:rPr>
              <w:t>Surgical Service</w:t>
            </w:r>
            <w:r w:rsidRPr="00B53B18">
              <w:t>s</w:t>
            </w:r>
          </w:p>
        </w:tc>
      </w:tr>
      <w:tr w:rsidR="00B53B18" w:rsidRPr="00B53B18" w14:paraId="59704C2B" w14:textId="77777777" w:rsidTr="00346D57">
        <w:tc>
          <w:tcPr>
            <w:tcW w:w="1575" w:type="dxa"/>
          </w:tcPr>
          <w:p w14:paraId="787603C3" w14:textId="3BCE88AE" w:rsidR="003F5EC4" w:rsidRPr="00B53B18" w:rsidRDefault="00477C1E" w:rsidP="00477C1E">
            <w:r w:rsidRPr="00B53B18">
              <w:t>Anaesthesia</w:t>
            </w:r>
          </w:p>
        </w:tc>
        <w:tc>
          <w:tcPr>
            <w:tcW w:w="1427" w:type="dxa"/>
          </w:tcPr>
          <w:p w14:paraId="627B4B8B" w14:textId="6201476E" w:rsidR="003F5EC4" w:rsidRPr="00B53B18" w:rsidRDefault="00477C1E" w:rsidP="00346D57">
            <w:pPr>
              <w:jc w:val="center"/>
            </w:pPr>
            <w:r w:rsidRPr="00B53B18">
              <w:t>MBS 230</w:t>
            </w:r>
            <w:r w:rsidR="00B039AE" w:rsidRPr="00B53B18">
              <w:t>35</w:t>
            </w:r>
          </w:p>
        </w:tc>
        <w:tc>
          <w:tcPr>
            <w:tcW w:w="1393" w:type="dxa"/>
          </w:tcPr>
          <w:p w14:paraId="2F0E0F81" w14:textId="38200AD9" w:rsidR="003F5EC4" w:rsidRPr="00B53B18" w:rsidRDefault="00477C1E" w:rsidP="00346D57">
            <w:pPr>
              <w:jc w:val="center"/>
            </w:pPr>
            <w:r w:rsidRPr="00B53B18">
              <w:t>$</w:t>
            </w:r>
            <w:r w:rsidR="00B039AE" w:rsidRPr="00B53B18">
              <w:t>6</w:t>
            </w:r>
            <w:r w:rsidRPr="00B53B18">
              <w:t>1.</w:t>
            </w:r>
            <w:r w:rsidR="00B039AE" w:rsidRPr="00B53B18">
              <w:t>2</w:t>
            </w:r>
            <w:r w:rsidRPr="00B53B18">
              <w:t>0</w:t>
            </w:r>
          </w:p>
        </w:tc>
        <w:tc>
          <w:tcPr>
            <w:tcW w:w="1335" w:type="dxa"/>
          </w:tcPr>
          <w:p w14:paraId="497592F1" w14:textId="6B41B7F6" w:rsidR="003F5EC4" w:rsidRPr="00B53B18" w:rsidRDefault="00477C1E" w:rsidP="00346D57">
            <w:pPr>
              <w:jc w:val="center"/>
            </w:pPr>
            <w:r w:rsidRPr="00B53B18">
              <w:t>$</w:t>
            </w:r>
            <w:r w:rsidR="00B039AE" w:rsidRPr="00B53B18">
              <w:t>45.90</w:t>
            </w:r>
          </w:p>
        </w:tc>
        <w:tc>
          <w:tcPr>
            <w:tcW w:w="1081" w:type="dxa"/>
          </w:tcPr>
          <w:p w14:paraId="3E93018A" w14:textId="2AEF1341" w:rsidR="003F5EC4" w:rsidRPr="00B53B18" w:rsidRDefault="00477C1E" w:rsidP="00346D57">
            <w:pPr>
              <w:jc w:val="center"/>
            </w:pPr>
            <w:r w:rsidRPr="00B53B18">
              <w:t>1</w:t>
            </w:r>
          </w:p>
        </w:tc>
        <w:tc>
          <w:tcPr>
            <w:tcW w:w="1410" w:type="dxa"/>
          </w:tcPr>
          <w:p w14:paraId="28AEEABE" w14:textId="623020EE" w:rsidR="003F5EC4" w:rsidRPr="00B53B18" w:rsidRDefault="00477C1E" w:rsidP="00346D57">
            <w:pPr>
              <w:jc w:val="center"/>
            </w:pPr>
            <w:r w:rsidRPr="00B53B18">
              <w:t>$</w:t>
            </w:r>
            <w:r w:rsidR="00B039AE" w:rsidRPr="00B53B18">
              <w:t>45.90</w:t>
            </w:r>
          </w:p>
        </w:tc>
      </w:tr>
      <w:tr w:rsidR="00B53B18" w:rsidRPr="00B53B18" w14:paraId="0BC5BE1D" w14:textId="77777777" w:rsidTr="00346D57">
        <w:tc>
          <w:tcPr>
            <w:tcW w:w="1575" w:type="dxa"/>
          </w:tcPr>
          <w:p w14:paraId="6A2CEB03" w14:textId="77777777" w:rsidR="00477C1E" w:rsidRPr="00B53B18" w:rsidRDefault="00477C1E" w:rsidP="00477C1E"/>
        </w:tc>
        <w:tc>
          <w:tcPr>
            <w:tcW w:w="1427" w:type="dxa"/>
          </w:tcPr>
          <w:p w14:paraId="5840D4EA" w14:textId="1ABBFE28" w:rsidR="00477C1E" w:rsidRPr="00B53B18" w:rsidRDefault="00477C1E" w:rsidP="00346D57">
            <w:pPr>
              <w:jc w:val="center"/>
            </w:pPr>
            <w:r w:rsidRPr="00B53B18">
              <w:t>MBS 20140</w:t>
            </w:r>
          </w:p>
        </w:tc>
        <w:tc>
          <w:tcPr>
            <w:tcW w:w="1393" w:type="dxa"/>
          </w:tcPr>
          <w:p w14:paraId="4A34F464" w14:textId="59DBC0D7" w:rsidR="00477C1E" w:rsidRPr="00B53B18" w:rsidRDefault="00477C1E" w:rsidP="00346D57">
            <w:pPr>
              <w:jc w:val="center"/>
            </w:pPr>
            <w:r w:rsidRPr="00B53B18">
              <w:t>$102</w:t>
            </w:r>
          </w:p>
        </w:tc>
        <w:tc>
          <w:tcPr>
            <w:tcW w:w="1335" w:type="dxa"/>
          </w:tcPr>
          <w:p w14:paraId="6C9082EE" w14:textId="0B44110D" w:rsidR="00477C1E" w:rsidRPr="00B53B18" w:rsidRDefault="00477C1E" w:rsidP="00346D57">
            <w:pPr>
              <w:jc w:val="center"/>
            </w:pPr>
            <w:r w:rsidRPr="00B53B18">
              <w:t>$76.50</w:t>
            </w:r>
          </w:p>
        </w:tc>
        <w:tc>
          <w:tcPr>
            <w:tcW w:w="1081" w:type="dxa"/>
          </w:tcPr>
          <w:p w14:paraId="7EFBE629" w14:textId="4D4EC8A2" w:rsidR="00477C1E" w:rsidRPr="00B53B18" w:rsidRDefault="00477C1E" w:rsidP="00346D57">
            <w:pPr>
              <w:jc w:val="center"/>
            </w:pPr>
            <w:r w:rsidRPr="00B53B18">
              <w:t>1</w:t>
            </w:r>
          </w:p>
        </w:tc>
        <w:tc>
          <w:tcPr>
            <w:tcW w:w="1410" w:type="dxa"/>
          </w:tcPr>
          <w:p w14:paraId="20B99CEC" w14:textId="57304272" w:rsidR="00477C1E" w:rsidRPr="00B53B18" w:rsidRDefault="00477C1E" w:rsidP="00346D57">
            <w:pPr>
              <w:jc w:val="center"/>
            </w:pPr>
            <w:r w:rsidRPr="00B53B18">
              <w:t>$76.50</w:t>
            </w:r>
          </w:p>
        </w:tc>
      </w:tr>
      <w:tr w:rsidR="00B53B18" w:rsidRPr="00B53B18" w14:paraId="254986EE" w14:textId="77777777" w:rsidTr="00B53B18">
        <w:trPr>
          <w:trHeight w:val="553"/>
        </w:trPr>
        <w:tc>
          <w:tcPr>
            <w:tcW w:w="1575" w:type="dxa"/>
          </w:tcPr>
          <w:p w14:paraId="257C7C0D" w14:textId="45BA92B5" w:rsidR="00477C1E" w:rsidRPr="00B53B18" w:rsidRDefault="00477C1E" w:rsidP="00477C1E">
            <w:r w:rsidRPr="00B53B18">
              <w:t>Ophtha</w:t>
            </w:r>
            <w:r w:rsidR="00346D57" w:rsidRPr="00B53B18">
              <w:t>l</w:t>
            </w:r>
            <w:r w:rsidRPr="00B53B18">
              <w:t>mologist</w:t>
            </w:r>
          </w:p>
        </w:tc>
        <w:tc>
          <w:tcPr>
            <w:tcW w:w="1427" w:type="dxa"/>
          </w:tcPr>
          <w:p w14:paraId="33AFD5CA" w14:textId="3C8B7082" w:rsidR="00477C1E" w:rsidRPr="00B53B18" w:rsidRDefault="00346D57" w:rsidP="00346D57">
            <w:pPr>
              <w:jc w:val="center"/>
            </w:pPr>
            <w:r w:rsidRPr="00B53B18">
              <w:t>MBS 42504</w:t>
            </w:r>
          </w:p>
        </w:tc>
        <w:tc>
          <w:tcPr>
            <w:tcW w:w="1393" w:type="dxa"/>
          </w:tcPr>
          <w:p w14:paraId="7BA982C4" w14:textId="0CA29694" w:rsidR="00477C1E" w:rsidRPr="00B53B18" w:rsidRDefault="00346D57" w:rsidP="00346D57">
            <w:pPr>
              <w:jc w:val="center"/>
            </w:pPr>
            <w:r w:rsidRPr="00B53B18">
              <w:t>$310.15</w:t>
            </w:r>
          </w:p>
        </w:tc>
        <w:tc>
          <w:tcPr>
            <w:tcW w:w="1335" w:type="dxa"/>
          </w:tcPr>
          <w:p w14:paraId="310A97FC" w14:textId="477B0194" w:rsidR="00477C1E" w:rsidRPr="00B53B18" w:rsidRDefault="00346D57" w:rsidP="00346D57">
            <w:pPr>
              <w:jc w:val="center"/>
            </w:pPr>
            <w:r w:rsidRPr="00B53B18">
              <w:t>$232.65</w:t>
            </w:r>
          </w:p>
        </w:tc>
        <w:tc>
          <w:tcPr>
            <w:tcW w:w="1081" w:type="dxa"/>
          </w:tcPr>
          <w:p w14:paraId="7E755EE8" w14:textId="54F85C49" w:rsidR="00477C1E" w:rsidRPr="00B53B18" w:rsidRDefault="00346D57" w:rsidP="00346D57">
            <w:pPr>
              <w:jc w:val="center"/>
            </w:pPr>
            <w:r w:rsidRPr="00B53B18">
              <w:t>1</w:t>
            </w:r>
          </w:p>
        </w:tc>
        <w:tc>
          <w:tcPr>
            <w:tcW w:w="1410" w:type="dxa"/>
          </w:tcPr>
          <w:p w14:paraId="77C6EB9B" w14:textId="0E132888" w:rsidR="00477C1E" w:rsidRPr="00B53B18" w:rsidRDefault="00346D57" w:rsidP="00346D57">
            <w:pPr>
              <w:jc w:val="center"/>
            </w:pPr>
            <w:r w:rsidRPr="00B53B18">
              <w:t>$232.65</w:t>
            </w:r>
          </w:p>
        </w:tc>
      </w:tr>
      <w:tr w:rsidR="00B53B18" w:rsidRPr="00B53B18" w14:paraId="766B63C8" w14:textId="77777777" w:rsidTr="00346D57">
        <w:tc>
          <w:tcPr>
            <w:tcW w:w="1575" w:type="dxa"/>
          </w:tcPr>
          <w:p w14:paraId="665370BD" w14:textId="4215A47B" w:rsidR="00346D57" w:rsidRPr="00B53B18" w:rsidRDefault="00346D57" w:rsidP="00477C1E">
            <w:r w:rsidRPr="00B53B18">
              <w:t>Hospitalisation</w:t>
            </w:r>
          </w:p>
        </w:tc>
        <w:tc>
          <w:tcPr>
            <w:tcW w:w="1427" w:type="dxa"/>
          </w:tcPr>
          <w:p w14:paraId="2A18F437" w14:textId="4737D98A" w:rsidR="00346D57" w:rsidRPr="00B53B18" w:rsidRDefault="00346D57" w:rsidP="00346D57">
            <w:pPr>
              <w:jc w:val="center"/>
            </w:pPr>
            <w:r w:rsidRPr="00B53B18">
              <w:t>AR-DRG C15</w:t>
            </w:r>
            <w:r w:rsidR="00797F89" w:rsidRPr="00B53B18">
              <w:t>B</w:t>
            </w:r>
          </w:p>
        </w:tc>
        <w:tc>
          <w:tcPr>
            <w:tcW w:w="1393" w:type="dxa"/>
          </w:tcPr>
          <w:p w14:paraId="1A5DB335" w14:textId="5C67399F" w:rsidR="00346D57" w:rsidRPr="00B53B18" w:rsidRDefault="00346D57" w:rsidP="00346D57">
            <w:pPr>
              <w:jc w:val="center"/>
            </w:pPr>
            <w:r w:rsidRPr="00B53B18">
              <w:t>$4,489</w:t>
            </w:r>
          </w:p>
        </w:tc>
        <w:tc>
          <w:tcPr>
            <w:tcW w:w="1335" w:type="dxa"/>
          </w:tcPr>
          <w:p w14:paraId="17B0A7D6" w14:textId="76C11A5E" w:rsidR="00346D57" w:rsidRPr="00B53B18" w:rsidRDefault="00346D57" w:rsidP="00346D57">
            <w:pPr>
              <w:jc w:val="center"/>
            </w:pPr>
            <w:r w:rsidRPr="00B53B18">
              <w:t>N/A</w:t>
            </w:r>
          </w:p>
        </w:tc>
        <w:tc>
          <w:tcPr>
            <w:tcW w:w="1081" w:type="dxa"/>
          </w:tcPr>
          <w:p w14:paraId="6F237D54" w14:textId="691D79E3" w:rsidR="00346D57" w:rsidRPr="00B53B18" w:rsidRDefault="00346D57" w:rsidP="00346D57">
            <w:pPr>
              <w:jc w:val="center"/>
            </w:pPr>
            <w:r w:rsidRPr="00B53B18">
              <w:t>1</w:t>
            </w:r>
          </w:p>
        </w:tc>
        <w:tc>
          <w:tcPr>
            <w:tcW w:w="1410" w:type="dxa"/>
          </w:tcPr>
          <w:p w14:paraId="3F8BEF62" w14:textId="6BB56FFA" w:rsidR="00346D57" w:rsidRPr="00B53B18" w:rsidRDefault="00346D57" w:rsidP="00346D57">
            <w:pPr>
              <w:jc w:val="center"/>
            </w:pPr>
            <w:r w:rsidRPr="00B53B18">
              <w:t>$4,</w:t>
            </w:r>
            <w:r w:rsidR="00797F89" w:rsidRPr="00B53B18">
              <w:t>338.00</w:t>
            </w:r>
          </w:p>
        </w:tc>
      </w:tr>
      <w:tr w:rsidR="00B53B18" w:rsidRPr="00B53B18" w14:paraId="00F3C802" w14:textId="77777777" w:rsidTr="00086AEE">
        <w:tc>
          <w:tcPr>
            <w:tcW w:w="6811" w:type="dxa"/>
            <w:gridSpan w:val="5"/>
          </w:tcPr>
          <w:p w14:paraId="691E8A74" w14:textId="64112B53" w:rsidR="00B53B18" w:rsidRPr="00B53B18" w:rsidRDefault="00B53B18" w:rsidP="00346D57">
            <w:r w:rsidRPr="00B53B18">
              <w:t>Total</w:t>
            </w:r>
          </w:p>
        </w:tc>
        <w:tc>
          <w:tcPr>
            <w:tcW w:w="1410" w:type="dxa"/>
          </w:tcPr>
          <w:p w14:paraId="53B279B4" w14:textId="7561D1D3" w:rsidR="00B53B18" w:rsidRPr="00B53B18" w:rsidRDefault="00B53B18" w:rsidP="00346D57">
            <w:pPr>
              <w:jc w:val="center"/>
            </w:pPr>
            <w:r w:rsidRPr="00B53B18">
              <w:t>$4769.55</w:t>
            </w:r>
          </w:p>
        </w:tc>
      </w:tr>
      <w:bookmarkEnd w:id="8"/>
    </w:tbl>
    <w:p w14:paraId="39CAF360" w14:textId="77777777" w:rsidR="00B039AE" w:rsidRPr="00420463" w:rsidRDefault="00B039AE" w:rsidP="00AE1188">
      <w:pPr>
        <w:ind w:left="426"/>
        <w:rPr>
          <w:color w:val="1F497D" w:themeColor="text2"/>
          <w:szCs w:val="20"/>
        </w:rPr>
      </w:pPr>
    </w:p>
    <w:p w14:paraId="6DCB4CF0"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2B538827" w14:textId="7293E993" w:rsidR="00951933" w:rsidRPr="006F2B6D" w:rsidRDefault="00665F9C" w:rsidP="00665F9C">
      <w:pPr>
        <w:ind w:left="360"/>
        <w:rPr>
          <w:b/>
          <w:szCs w:val="20"/>
        </w:rPr>
      </w:pPr>
      <w:r w:rsidRPr="006F2B6D">
        <w:t xml:space="preserve">30 to </w:t>
      </w:r>
      <w:r w:rsidR="00833C8D" w:rsidRPr="006F2B6D">
        <w:t xml:space="preserve">45 </w:t>
      </w:r>
      <w:r w:rsidRPr="006F2B6D">
        <w:t>minutes</w:t>
      </w:r>
    </w:p>
    <w:p w14:paraId="3E9B0879" w14:textId="77777777" w:rsidR="00707D4D" w:rsidRDefault="0054192F" w:rsidP="00530204">
      <w:pPr>
        <w:pStyle w:val="Heading2"/>
      </w:pPr>
      <w:r>
        <w:t xml:space="preserve">If public funding </w:t>
      </w:r>
      <w:proofErr w:type="gramStart"/>
      <w:r>
        <w:t>is sought</w:t>
      </w:r>
      <w:proofErr w:type="gramEnd"/>
      <w:r>
        <w:t xml:space="preserve"> through the MBS, please draft a proposed MBS item descriptor to define the population and medical </w:t>
      </w:r>
      <w:r w:rsidRPr="00AE1188">
        <w:t>service</w:t>
      </w:r>
      <w:r>
        <w:t xml:space="preserve"> usage characteristics that would define eligibility for MBS funding.</w:t>
      </w:r>
    </w:p>
    <w:p w14:paraId="5CA0EEA9" w14:textId="60507DD8" w:rsidR="00AE1188" w:rsidRPr="006F2B6D" w:rsidRDefault="00665F9C"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sidRPr="006F2B6D">
        <w:rPr>
          <w:szCs w:val="20"/>
        </w:rPr>
        <w:t>Category - Therapeutic Procedures</w:t>
      </w:r>
    </w:p>
    <w:p w14:paraId="290C85DB" w14:textId="77777777" w:rsidR="00C920FB" w:rsidRPr="006F2B6D" w:rsidRDefault="00665F9C" w:rsidP="00C920FB">
      <w:pPr>
        <w:pBdr>
          <w:top w:val="single" w:sz="4" w:space="1" w:color="auto"/>
          <w:left w:val="single" w:sz="4" w:space="4" w:color="auto"/>
          <w:bottom w:val="single" w:sz="4" w:space="1" w:color="auto"/>
          <w:right w:val="single" w:sz="4" w:space="4" w:color="auto"/>
        </w:pBdr>
        <w:rPr>
          <w:szCs w:val="20"/>
        </w:rPr>
      </w:pPr>
      <w:r w:rsidRPr="006F2B6D">
        <w:rPr>
          <w:szCs w:val="20"/>
        </w:rPr>
        <w:t>42504</w:t>
      </w:r>
      <w:r w:rsidR="00C920FB" w:rsidRPr="006F2B6D">
        <w:rPr>
          <w:szCs w:val="20"/>
        </w:rPr>
        <w:t xml:space="preserve"> </w:t>
      </w:r>
    </w:p>
    <w:p w14:paraId="2513C053" w14:textId="2A0E1627" w:rsidR="00C920FB" w:rsidRPr="006F2B6D" w:rsidRDefault="00C920FB" w:rsidP="00C920FB">
      <w:pPr>
        <w:pBdr>
          <w:top w:val="single" w:sz="4" w:space="1" w:color="auto"/>
          <w:left w:val="single" w:sz="4" w:space="4" w:color="auto"/>
          <w:bottom w:val="single" w:sz="4" w:space="1" w:color="auto"/>
          <w:right w:val="single" w:sz="4" w:space="4" w:color="auto"/>
        </w:pBdr>
        <w:rPr>
          <w:szCs w:val="20"/>
        </w:rPr>
      </w:pPr>
      <w:r w:rsidRPr="006F2B6D">
        <w:rPr>
          <w:szCs w:val="20"/>
        </w:rPr>
        <w:t>Glaucoma, implantation of a micro-bypass surgery stent system or insertion of a micro-catheter into the trabecular meshwork, if:</w:t>
      </w:r>
    </w:p>
    <w:p w14:paraId="241A964E" w14:textId="77777777" w:rsidR="00C920FB" w:rsidRPr="006F2B6D" w:rsidRDefault="00C920FB" w:rsidP="00C920FB">
      <w:pPr>
        <w:pBdr>
          <w:top w:val="single" w:sz="4" w:space="1" w:color="auto"/>
          <w:left w:val="single" w:sz="4" w:space="4" w:color="auto"/>
          <w:bottom w:val="single" w:sz="4" w:space="1" w:color="auto"/>
          <w:right w:val="single" w:sz="4" w:space="4" w:color="auto"/>
        </w:pBdr>
        <w:rPr>
          <w:szCs w:val="20"/>
        </w:rPr>
      </w:pPr>
      <w:r w:rsidRPr="006F2B6D">
        <w:rPr>
          <w:szCs w:val="20"/>
        </w:rPr>
        <w:t xml:space="preserve">a) </w:t>
      </w:r>
      <w:proofErr w:type="gramStart"/>
      <w:r w:rsidRPr="006F2B6D">
        <w:rPr>
          <w:szCs w:val="20"/>
        </w:rPr>
        <w:t>conservative</w:t>
      </w:r>
      <w:proofErr w:type="gramEnd"/>
      <w:r w:rsidRPr="006F2B6D">
        <w:rPr>
          <w:szCs w:val="20"/>
        </w:rPr>
        <w:t xml:space="preserve"> therapies have failed, are likely to fail, or are contraindicated; and</w:t>
      </w:r>
    </w:p>
    <w:p w14:paraId="2B04E52F" w14:textId="77777777" w:rsidR="00C920FB" w:rsidRPr="006F2B6D" w:rsidRDefault="00C920FB" w:rsidP="00C920FB">
      <w:pPr>
        <w:pBdr>
          <w:top w:val="single" w:sz="4" w:space="1" w:color="auto"/>
          <w:left w:val="single" w:sz="4" w:space="4" w:color="auto"/>
          <w:bottom w:val="single" w:sz="4" w:space="1" w:color="auto"/>
          <w:right w:val="single" w:sz="4" w:space="4" w:color="auto"/>
        </w:pBdr>
        <w:rPr>
          <w:szCs w:val="20"/>
        </w:rPr>
      </w:pPr>
      <w:r w:rsidRPr="006F2B6D">
        <w:rPr>
          <w:szCs w:val="20"/>
        </w:rPr>
        <w:t xml:space="preserve">(b) </w:t>
      </w:r>
      <w:proofErr w:type="gramStart"/>
      <w:r w:rsidRPr="006F2B6D">
        <w:rPr>
          <w:szCs w:val="20"/>
        </w:rPr>
        <w:t>the</w:t>
      </w:r>
      <w:proofErr w:type="gramEnd"/>
      <w:r w:rsidRPr="006F2B6D">
        <w:rPr>
          <w:szCs w:val="20"/>
        </w:rPr>
        <w:t xml:space="preserve"> service is performed by a specialist with training that is recognised by the Conjoint Committee for the Recognition of Training in Micro-Bypass Glaucoma Surgery</w:t>
      </w:r>
    </w:p>
    <w:p w14:paraId="75D91469" w14:textId="77777777" w:rsidR="00C920FB" w:rsidRPr="006F2B6D" w:rsidRDefault="00C920FB" w:rsidP="00C920FB">
      <w:pPr>
        <w:pBdr>
          <w:top w:val="single" w:sz="4" w:space="1" w:color="auto"/>
          <w:left w:val="single" w:sz="4" w:space="4" w:color="auto"/>
          <w:bottom w:val="single" w:sz="4" w:space="1" w:color="auto"/>
          <w:right w:val="single" w:sz="4" w:space="4" w:color="auto"/>
        </w:pBdr>
        <w:rPr>
          <w:szCs w:val="20"/>
        </w:rPr>
      </w:pPr>
    </w:p>
    <w:p w14:paraId="23F10645" w14:textId="77777777" w:rsidR="00C920FB" w:rsidRPr="006F2B6D" w:rsidRDefault="00C920FB" w:rsidP="00C920FB">
      <w:pPr>
        <w:pBdr>
          <w:top w:val="single" w:sz="4" w:space="1" w:color="auto"/>
          <w:left w:val="single" w:sz="4" w:space="4" w:color="auto"/>
          <w:bottom w:val="single" w:sz="4" w:space="1" w:color="auto"/>
          <w:right w:val="single" w:sz="4" w:space="4" w:color="auto"/>
        </w:pBdr>
        <w:rPr>
          <w:szCs w:val="20"/>
        </w:rPr>
      </w:pPr>
      <w:r w:rsidRPr="006F2B6D">
        <w:rPr>
          <w:szCs w:val="20"/>
        </w:rPr>
        <w:t>Multiple Operation Rule</w:t>
      </w:r>
    </w:p>
    <w:p w14:paraId="5E1EB420" w14:textId="44068659" w:rsidR="00B53B18" w:rsidRPr="006F2B6D" w:rsidRDefault="00C920FB" w:rsidP="00C920FB">
      <w:pPr>
        <w:pBdr>
          <w:top w:val="single" w:sz="4" w:space="1" w:color="auto"/>
          <w:left w:val="single" w:sz="4" w:space="4" w:color="auto"/>
          <w:bottom w:val="single" w:sz="4" w:space="1" w:color="auto"/>
          <w:right w:val="single" w:sz="4" w:space="4" w:color="auto"/>
        </w:pBdr>
        <w:rPr>
          <w:szCs w:val="20"/>
        </w:rPr>
      </w:pPr>
      <w:r w:rsidRPr="006F2B6D">
        <w:rPr>
          <w:szCs w:val="20"/>
        </w:rPr>
        <w:t>(</w:t>
      </w:r>
      <w:proofErr w:type="spellStart"/>
      <w:r w:rsidRPr="006F2B6D">
        <w:rPr>
          <w:szCs w:val="20"/>
        </w:rPr>
        <w:t>Anaes</w:t>
      </w:r>
      <w:proofErr w:type="spellEnd"/>
      <w:r w:rsidRPr="006F2B6D">
        <w:rPr>
          <w:szCs w:val="20"/>
        </w:rPr>
        <w:t>.)</w:t>
      </w:r>
    </w:p>
    <w:p w14:paraId="289C594A" w14:textId="6A6A6D3D" w:rsidR="00C920FB" w:rsidRPr="006F2B6D" w:rsidRDefault="00C920FB" w:rsidP="00C920FB">
      <w:pPr>
        <w:pBdr>
          <w:top w:val="single" w:sz="4" w:space="1" w:color="auto"/>
          <w:left w:val="single" w:sz="4" w:space="4" w:color="auto"/>
          <w:bottom w:val="single" w:sz="4" w:space="1" w:color="auto"/>
          <w:right w:val="single" w:sz="4" w:space="4" w:color="auto"/>
        </w:pBdr>
        <w:rPr>
          <w:szCs w:val="20"/>
        </w:rPr>
      </w:pPr>
      <w:r w:rsidRPr="006F2B6D">
        <w:rPr>
          <w:szCs w:val="20"/>
        </w:rPr>
        <w:t xml:space="preserve">Fee: $310.14 </w:t>
      </w:r>
      <w:r w:rsidR="00B53B18">
        <w:rPr>
          <w:szCs w:val="20"/>
        </w:rPr>
        <w:tab/>
      </w:r>
      <w:r w:rsidRPr="006F2B6D">
        <w:rPr>
          <w:szCs w:val="20"/>
        </w:rPr>
        <w:t xml:space="preserve">Benefit: 75% = $232.65  </w:t>
      </w:r>
      <w:r w:rsidR="00B53B18">
        <w:rPr>
          <w:szCs w:val="20"/>
        </w:rPr>
        <w:tab/>
      </w:r>
      <w:r w:rsidRPr="006F2B6D">
        <w:rPr>
          <w:szCs w:val="20"/>
        </w:rPr>
        <w:t>85% =$263.65</w:t>
      </w:r>
    </w:p>
    <w:p w14:paraId="025F34F5" w14:textId="4764BC63" w:rsidR="00C219C3" w:rsidRDefault="00C219C3" w:rsidP="00B53B18">
      <w:pPr>
        <w:pStyle w:val="Heading2"/>
        <w:numPr>
          <w:ilvl w:val="0"/>
          <w:numId w:val="0"/>
        </w:numPr>
      </w:pPr>
    </w:p>
    <w:p w14:paraId="5433F8C3" w14:textId="0A4D6323" w:rsidR="00451840" w:rsidRDefault="00451840" w:rsidP="006F2B6D">
      <w:pPr>
        <w:pStyle w:val="Heading2"/>
        <w:numPr>
          <w:ilvl w:val="0"/>
          <w:numId w:val="0"/>
        </w:numPr>
      </w:pP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E9947" w14:textId="77777777" w:rsidR="006F2B6D" w:rsidRDefault="006F2B6D" w:rsidP="00CF2DFA">
      <w:pPr>
        <w:spacing w:after="0"/>
      </w:pPr>
      <w:r>
        <w:separator/>
      </w:r>
    </w:p>
  </w:endnote>
  <w:endnote w:type="continuationSeparator" w:id="0">
    <w:p w14:paraId="54AE3492" w14:textId="77777777" w:rsidR="006F2B6D" w:rsidRDefault="006F2B6D"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D9D73" w14:textId="77777777" w:rsidR="000826A2" w:rsidRDefault="00082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1F497D" w:themeColor="text2"/>
        <w:spacing w:val="60"/>
      </w:rPr>
    </w:sdtEndPr>
    <w:sdtContent>
      <w:p w14:paraId="1348E260" w14:textId="3C0FCEE8" w:rsidR="006F2B6D" w:rsidRDefault="006F2B6D">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027348" w:rsidRPr="00027348">
          <w:rPr>
            <w:b/>
            <w:bCs/>
            <w:noProof/>
            <w:sz w:val="18"/>
            <w:szCs w:val="18"/>
          </w:rPr>
          <w:t>19</w:t>
        </w:r>
        <w:r w:rsidRPr="00CF2DFA">
          <w:rPr>
            <w:b/>
            <w:bCs/>
            <w:noProof/>
            <w:sz w:val="18"/>
            <w:szCs w:val="18"/>
          </w:rPr>
          <w:fldChar w:fldCharType="end"/>
        </w:r>
        <w:r w:rsidRPr="00CF2DFA">
          <w:rPr>
            <w:b/>
            <w:bCs/>
            <w:sz w:val="18"/>
            <w:szCs w:val="18"/>
          </w:rPr>
          <w:t xml:space="preserve"> | </w:t>
        </w:r>
        <w:r w:rsidRPr="003E32F4">
          <w:rPr>
            <w:color w:val="1F497D" w:themeColor="text2"/>
            <w:spacing w:val="60"/>
            <w:sz w:val="18"/>
            <w:szCs w:val="18"/>
          </w:rPr>
          <w:t>Page</w:t>
        </w:r>
        <w:r w:rsidRPr="003E32F4">
          <w:rPr>
            <w:color w:val="1F497D" w:themeColor="text2"/>
            <w:spacing w:val="60"/>
            <w:sz w:val="18"/>
            <w:szCs w:val="18"/>
          </w:rPr>
          <w:tab/>
          <w:t>Application Form</w:t>
        </w:r>
      </w:p>
      <w:p w14:paraId="6E213080" w14:textId="77777777" w:rsidR="006F2B6D" w:rsidRPr="003F7CB9" w:rsidRDefault="006F2B6D" w:rsidP="003F7CB9">
        <w:pPr>
          <w:pStyle w:val="Footer"/>
          <w:pBdr>
            <w:top w:val="single" w:sz="4" w:space="1" w:color="D9D9D9" w:themeColor="background1" w:themeShade="D9"/>
          </w:pBdr>
          <w:rPr>
            <w:b/>
            <w:bCs/>
            <w:sz w:val="18"/>
            <w:szCs w:val="18"/>
          </w:rPr>
        </w:pPr>
        <w:r w:rsidRPr="003E32F4">
          <w:rPr>
            <w:color w:val="1F497D" w:themeColor="text2"/>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BEB96" w14:textId="77777777" w:rsidR="000826A2" w:rsidRDefault="00082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6CB4C" w14:textId="77777777" w:rsidR="006F2B6D" w:rsidRDefault="006F2B6D" w:rsidP="00CF2DFA">
      <w:pPr>
        <w:spacing w:after="0"/>
      </w:pPr>
      <w:r>
        <w:separator/>
      </w:r>
    </w:p>
  </w:footnote>
  <w:footnote w:type="continuationSeparator" w:id="0">
    <w:p w14:paraId="147C9D89" w14:textId="77777777" w:rsidR="006F2B6D" w:rsidRDefault="006F2B6D" w:rsidP="00CF2DFA">
      <w:pPr>
        <w:spacing w:after="0"/>
      </w:pPr>
      <w:r>
        <w:continuationSeparator/>
      </w:r>
    </w:p>
  </w:footnote>
  <w:footnote w:id="1">
    <w:p w14:paraId="73818ACF" w14:textId="29CD3C86" w:rsidR="006F2B6D" w:rsidRPr="00D558C0" w:rsidRDefault="006F2B6D">
      <w:pPr>
        <w:pStyle w:val="FootnoteText"/>
      </w:pPr>
      <w:r>
        <w:rPr>
          <w:rStyle w:val="FootnoteReference"/>
        </w:rPr>
        <w:footnoteRef/>
      </w:r>
      <w:r>
        <w:t xml:space="preserve"> </w:t>
      </w:r>
      <w:proofErr w:type="spellStart"/>
      <w:r w:rsidRPr="006F2B6D">
        <w:rPr>
          <w:sz w:val="16"/>
        </w:rPr>
        <w:t>Sheybabi</w:t>
      </w:r>
      <w:proofErr w:type="spellEnd"/>
      <w:r w:rsidRPr="006F2B6D">
        <w:rPr>
          <w:sz w:val="16"/>
        </w:rPr>
        <w:t xml:space="preserve"> A et al </w:t>
      </w:r>
      <w:r w:rsidRPr="006F2B6D">
        <w:rPr>
          <w:i/>
          <w:iCs/>
          <w:sz w:val="16"/>
        </w:rPr>
        <w:t xml:space="preserve">‘Open-Angle </w:t>
      </w:r>
      <w:proofErr w:type="spellStart"/>
      <w:r w:rsidRPr="006F2B6D">
        <w:rPr>
          <w:i/>
          <w:iCs/>
          <w:sz w:val="16"/>
        </w:rPr>
        <w:t>Glaucoma:Burden</w:t>
      </w:r>
      <w:proofErr w:type="spellEnd"/>
      <w:r w:rsidRPr="006F2B6D">
        <w:rPr>
          <w:i/>
          <w:iCs/>
          <w:sz w:val="16"/>
        </w:rPr>
        <w:t xml:space="preserve"> of Illness, Current Therapies and the Management of Nocturnal IOP Variation’ </w:t>
      </w:r>
      <w:proofErr w:type="spellStart"/>
      <w:r w:rsidRPr="006F2B6D">
        <w:rPr>
          <w:sz w:val="16"/>
        </w:rPr>
        <w:t>Opthalmol</w:t>
      </w:r>
      <w:proofErr w:type="spellEnd"/>
      <w:r w:rsidRPr="006F2B6D">
        <w:rPr>
          <w:sz w:val="16"/>
        </w:rPr>
        <w:t xml:space="preserve"> </w:t>
      </w:r>
      <w:proofErr w:type="spellStart"/>
      <w:r w:rsidRPr="006F2B6D">
        <w:rPr>
          <w:sz w:val="16"/>
        </w:rPr>
        <w:t>Ther</w:t>
      </w:r>
      <w:proofErr w:type="spellEnd"/>
      <w:r w:rsidRPr="006F2B6D">
        <w:rPr>
          <w:sz w:val="16"/>
        </w:rPr>
        <w:t xml:space="preserve"> (2020) 9:1-14</w:t>
      </w:r>
    </w:p>
  </w:footnote>
  <w:footnote w:id="2">
    <w:p w14:paraId="02691018" w14:textId="14DBD49A" w:rsidR="006F2B6D" w:rsidRPr="006F2B6D" w:rsidRDefault="006F2B6D">
      <w:pPr>
        <w:pStyle w:val="FootnoteText"/>
        <w:rPr>
          <w:sz w:val="16"/>
        </w:rPr>
      </w:pPr>
      <w:r>
        <w:rPr>
          <w:rStyle w:val="FootnoteReference"/>
        </w:rPr>
        <w:footnoteRef/>
      </w:r>
      <w:r>
        <w:t xml:space="preserve"> </w:t>
      </w:r>
      <w:proofErr w:type="spellStart"/>
      <w:r w:rsidRPr="006F2B6D">
        <w:rPr>
          <w:sz w:val="16"/>
        </w:rPr>
        <w:t>Vajaranant</w:t>
      </w:r>
      <w:proofErr w:type="spellEnd"/>
      <w:r w:rsidRPr="006F2B6D">
        <w:rPr>
          <w:sz w:val="16"/>
        </w:rPr>
        <w:t xml:space="preserve"> TS et al </w:t>
      </w:r>
      <w:r w:rsidRPr="006F2B6D">
        <w:rPr>
          <w:i/>
          <w:iCs/>
          <w:sz w:val="16"/>
        </w:rPr>
        <w:t xml:space="preserve">‘The Changing Face of Primary Open-Angle Glaucoma in the United States: Demographic and Geographic changes from 2011 to 2050’ </w:t>
      </w:r>
      <w:r w:rsidRPr="006F2B6D">
        <w:rPr>
          <w:sz w:val="16"/>
        </w:rPr>
        <w:t>Am J Ophthalmology, 2012</w:t>
      </w:r>
    </w:p>
  </w:footnote>
  <w:footnote w:id="3">
    <w:p w14:paraId="44130E43" w14:textId="38AED2C2" w:rsidR="006F2B6D" w:rsidRPr="006F2B6D" w:rsidRDefault="006F2B6D">
      <w:pPr>
        <w:pStyle w:val="FootnoteText"/>
        <w:rPr>
          <w:sz w:val="16"/>
        </w:rPr>
      </w:pPr>
      <w:r w:rsidRPr="006F2B6D">
        <w:rPr>
          <w:rStyle w:val="FootnoteReference"/>
          <w:sz w:val="16"/>
        </w:rPr>
        <w:footnoteRef/>
      </w:r>
      <w:r w:rsidRPr="006F2B6D">
        <w:rPr>
          <w:sz w:val="16"/>
        </w:rPr>
        <w:t xml:space="preserve"> Quigley HA et al </w:t>
      </w:r>
      <w:r w:rsidRPr="006F2B6D">
        <w:rPr>
          <w:i/>
          <w:iCs/>
          <w:sz w:val="16"/>
        </w:rPr>
        <w:t xml:space="preserve">‘The number of people with glaucoma worldwide in 2010 and 2020’ </w:t>
      </w:r>
      <w:r w:rsidRPr="006F2B6D">
        <w:rPr>
          <w:sz w:val="16"/>
        </w:rPr>
        <w:t>Br J Ophthalmology 2006: 262-267</w:t>
      </w:r>
    </w:p>
  </w:footnote>
  <w:footnote w:id="4">
    <w:p w14:paraId="29061902" w14:textId="7B16F5AF" w:rsidR="006F2B6D" w:rsidRPr="006F2B6D" w:rsidRDefault="006F2B6D">
      <w:pPr>
        <w:pStyle w:val="FootnoteText"/>
        <w:rPr>
          <w:sz w:val="16"/>
        </w:rPr>
      </w:pPr>
      <w:r w:rsidRPr="006F2B6D">
        <w:rPr>
          <w:rStyle w:val="FootnoteReference"/>
          <w:sz w:val="16"/>
        </w:rPr>
        <w:footnoteRef/>
      </w:r>
      <w:r w:rsidRPr="006F2B6D">
        <w:rPr>
          <w:sz w:val="16"/>
        </w:rPr>
        <w:t xml:space="preserve"> Shiga Y et al </w:t>
      </w:r>
      <w:r w:rsidRPr="006F2B6D">
        <w:rPr>
          <w:i/>
          <w:iCs/>
          <w:sz w:val="16"/>
        </w:rPr>
        <w:t xml:space="preserve">‘Genome-wide association with study identifies seven novel susceptibility loci for primary open-angle glaucoma’ </w:t>
      </w:r>
      <w:r w:rsidRPr="006F2B6D">
        <w:rPr>
          <w:sz w:val="16"/>
        </w:rPr>
        <w:t xml:space="preserve">Hum </w:t>
      </w:r>
      <w:proofErr w:type="spellStart"/>
      <w:r w:rsidRPr="006F2B6D">
        <w:rPr>
          <w:sz w:val="16"/>
        </w:rPr>
        <w:t>Mol</w:t>
      </w:r>
      <w:proofErr w:type="spellEnd"/>
      <w:r w:rsidRPr="006F2B6D">
        <w:rPr>
          <w:sz w:val="16"/>
        </w:rPr>
        <w:t xml:space="preserve"> Gen 2018;27: 1486-1496</w:t>
      </w:r>
    </w:p>
  </w:footnote>
  <w:footnote w:id="5">
    <w:p w14:paraId="7A3FFED4" w14:textId="529D0E90" w:rsidR="006F2B6D" w:rsidRPr="006F2B6D" w:rsidRDefault="006F2B6D">
      <w:pPr>
        <w:pStyle w:val="FootnoteText"/>
        <w:rPr>
          <w:sz w:val="16"/>
        </w:rPr>
      </w:pPr>
      <w:r w:rsidRPr="006F2B6D">
        <w:rPr>
          <w:rStyle w:val="FootnoteReference"/>
          <w:sz w:val="16"/>
        </w:rPr>
        <w:footnoteRef/>
      </w:r>
      <w:r w:rsidRPr="006F2B6D">
        <w:rPr>
          <w:sz w:val="16"/>
        </w:rPr>
        <w:t xml:space="preserve"> National Health and Medical Research Council. NHMRC guidelines for the screening, prognosis, diagnosis, management and prevention of glaucoma. Canberra NHMRC 2010.</w:t>
      </w:r>
    </w:p>
  </w:footnote>
  <w:footnote w:id="6">
    <w:p w14:paraId="18D61773" w14:textId="25DD0797" w:rsidR="006F2B6D" w:rsidRPr="006F2B6D" w:rsidRDefault="006F2B6D">
      <w:pPr>
        <w:pStyle w:val="FootnoteText"/>
        <w:rPr>
          <w:sz w:val="16"/>
        </w:rPr>
      </w:pPr>
      <w:r w:rsidRPr="006F2B6D">
        <w:rPr>
          <w:rStyle w:val="FootnoteReference"/>
          <w:sz w:val="16"/>
        </w:rPr>
        <w:footnoteRef/>
      </w:r>
      <w:r w:rsidRPr="006F2B6D">
        <w:rPr>
          <w:sz w:val="16"/>
        </w:rPr>
        <w:t xml:space="preserve"> </w:t>
      </w:r>
      <w:proofErr w:type="spellStart"/>
      <w:r w:rsidRPr="006F2B6D">
        <w:rPr>
          <w:sz w:val="16"/>
        </w:rPr>
        <w:t>Sihota</w:t>
      </w:r>
      <w:proofErr w:type="spellEnd"/>
      <w:r w:rsidRPr="006F2B6D">
        <w:rPr>
          <w:sz w:val="16"/>
        </w:rPr>
        <w:t xml:space="preserve"> R et al </w:t>
      </w:r>
      <w:r w:rsidRPr="006F2B6D">
        <w:rPr>
          <w:i/>
          <w:iCs/>
          <w:sz w:val="16"/>
        </w:rPr>
        <w:t xml:space="preserve">‘Simplifying ‘target’ intraocular pressure for different stages of primary open-angle glaucoma and primary angle-closure glaucoma’ </w:t>
      </w:r>
      <w:r w:rsidRPr="006F2B6D">
        <w:rPr>
          <w:sz w:val="16"/>
        </w:rPr>
        <w:t xml:space="preserve">Indian J </w:t>
      </w:r>
      <w:proofErr w:type="spellStart"/>
      <w:r w:rsidRPr="006F2B6D">
        <w:rPr>
          <w:sz w:val="16"/>
        </w:rPr>
        <w:t>Ophtahlmol</w:t>
      </w:r>
      <w:proofErr w:type="spellEnd"/>
      <w:r w:rsidRPr="006F2B6D">
        <w:rPr>
          <w:sz w:val="16"/>
        </w:rPr>
        <w:t>. 2018 Apr; 66(4): 495-505</w:t>
      </w:r>
    </w:p>
  </w:footnote>
  <w:footnote w:id="7">
    <w:p w14:paraId="517A63B0" w14:textId="70EB8CE4" w:rsidR="006F2B6D" w:rsidRPr="006F2B6D" w:rsidRDefault="006F2B6D">
      <w:pPr>
        <w:pStyle w:val="FootnoteText"/>
        <w:rPr>
          <w:sz w:val="16"/>
        </w:rPr>
      </w:pPr>
      <w:r w:rsidRPr="006F2B6D">
        <w:rPr>
          <w:rStyle w:val="FootnoteReference"/>
          <w:sz w:val="16"/>
        </w:rPr>
        <w:footnoteRef/>
      </w:r>
      <w:r w:rsidRPr="006F2B6D">
        <w:rPr>
          <w:sz w:val="16"/>
        </w:rPr>
        <w:t xml:space="preserve"> </w:t>
      </w:r>
      <w:proofErr w:type="spellStart"/>
      <w:r w:rsidRPr="006F2B6D">
        <w:rPr>
          <w:sz w:val="16"/>
        </w:rPr>
        <w:t>Dimitriv</w:t>
      </w:r>
      <w:proofErr w:type="spellEnd"/>
      <w:r w:rsidRPr="006F2B6D">
        <w:rPr>
          <w:sz w:val="16"/>
        </w:rPr>
        <w:t xml:space="preserve"> PN et al </w:t>
      </w:r>
      <w:r w:rsidRPr="006F2B6D">
        <w:rPr>
          <w:i/>
          <w:iCs/>
          <w:sz w:val="16"/>
        </w:rPr>
        <w:t xml:space="preserve">‘Five-year incidence of bilateral cause-specific visual impairment in the Melbourne Visual Impairment Project’ </w:t>
      </w:r>
      <w:r w:rsidRPr="006F2B6D">
        <w:rPr>
          <w:sz w:val="16"/>
        </w:rPr>
        <w:t xml:space="preserve">Invest </w:t>
      </w:r>
      <w:proofErr w:type="spellStart"/>
      <w:r w:rsidRPr="006F2B6D">
        <w:rPr>
          <w:sz w:val="16"/>
        </w:rPr>
        <w:t>Opthalmol</w:t>
      </w:r>
      <w:proofErr w:type="spellEnd"/>
      <w:r w:rsidRPr="006F2B6D">
        <w:rPr>
          <w:sz w:val="16"/>
        </w:rPr>
        <w:t xml:space="preserve">. </w:t>
      </w:r>
      <w:proofErr w:type="gramStart"/>
      <w:r w:rsidRPr="006F2B6D">
        <w:rPr>
          <w:sz w:val="16"/>
        </w:rPr>
        <w:t>Vis .</w:t>
      </w:r>
      <w:proofErr w:type="gramEnd"/>
      <w:r w:rsidRPr="006F2B6D">
        <w:rPr>
          <w:sz w:val="16"/>
        </w:rPr>
        <w:t xml:space="preserve"> </w:t>
      </w:r>
      <w:proofErr w:type="spellStart"/>
      <w:r w:rsidRPr="006F2B6D">
        <w:rPr>
          <w:sz w:val="16"/>
        </w:rPr>
        <w:t>Sci</w:t>
      </w:r>
      <w:proofErr w:type="spellEnd"/>
      <w:r w:rsidRPr="006F2B6D">
        <w:rPr>
          <w:sz w:val="16"/>
        </w:rPr>
        <w:t xml:space="preserve"> 2003;44:5075-81</w:t>
      </w:r>
    </w:p>
  </w:footnote>
  <w:footnote w:id="8">
    <w:p w14:paraId="1B9A0E6D" w14:textId="3B021550" w:rsidR="006F2B6D" w:rsidRPr="006F2B6D" w:rsidRDefault="006F2B6D">
      <w:pPr>
        <w:pStyle w:val="FootnoteText"/>
        <w:rPr>
          <w:sz w:val="16"/>
        </w:rPr>
      </w:pPr>
      <w:r w:rsidRPr="006F2B6D">
        <w:rPr>
          <w:rStyle w:val="FootnoteReference"/>
          <w:sz w:val="16"/>
        </w:rPr>
        <w:footnoteRef/>
      </w:r>
      <w:r w:rsidRPr="006F2B6D">
        <w:rPr>
          <w:sz w:val="16"/>
        </w:rPr>
        <w:t xml:space="preserve"> Taylor HR et al ‘</w:t>
      </w:r>
      <w:r w:rsidRPr="006F2B6D">
        <w:rPr>
          <w:i/>
          <w:iCs/>
          <w:sz w:val="16"/>
        </w:rPr>
        <w:t xml:space="preserve">The economic impact and cost of visual impairment in Australia’ </w:t>
      </w:r>
      <w:r w:rsidRPr="006F2B6D">
        <w:rPr>
          <w:sz w:val="16"/>
        </w:rPr>
        <w:t xml:space="preserve">Br J </w:t>
      </w:r>
      <w:proofErr w:type="spellStart"/>
      <w:r w:rsidRPr="006F2B6D">
        <w:rPr>
          <w:sz w:val="16"/>
        </w:rPr>
        <w:t>Ophthalmol</w:t>
      </w:r>
      <w:proofErr w:type="spellEnd"/>
      <w:r w:rsidRPr="006F2B6D">
        <w:rPr>
          <w:sz w:val="16"/>
        </w:rPr>
        <w:t>. 2006 Mar; 90(3): 272-275</w:t>
      </w:r>
    </w:p>
  </w:footnote>
  <w:footnote w:id="9">
    <w:p w14:paraId="7A44AB88" w14:textId="4BEAAC2B" w:rsidR="006F2B6D" w:rsidRPr="00753E1E" w:rsidRDefault="006F2B6D">
      <w:pPr>
        <w:pStyle w:val="FootnoteText"/>
      </w:pPr>
      <w:r w:rsidRPr="006F2B6D">
        <w:rPr>
          <w:rStyle w:val="FootnoteReference"/>
          <w:sz w:val="16"/>
        </w:rPr>
        <w:footnoteRef/>
      </w:r>
      <w:r w:rsidRPr="006F2B6D">
        <w:rPr>
          <w:sz w:val="16"/>
        </w:rPr>
        <w:t xml:space="preserve"> Keel S et al </w:t>
      </w:r>
      <w:r w:rsidRPr="006F2B6D">
        <w:rPr>
          <w:i/>
          <w:iCs/>
          <w:sz w:val="16"/>
        </w:rPr>
        <w:t xml:space="preserve">‘Prevalence of glaucoma in the Australian National Eye Survey’ </w:t>
      </w:r>
      <w:r w:rsidRPr="006F2B6D">
        <w:rPr>
          <w:sz w:val="16"/>
        </w:rPr>
        <w:t xml:space="preserve">Br J </w:t>
      </w:r>
      <w:proofErr w:type="spellStart"/>
      <w:r w:rsidRPr="006F2B6D">
        <w:rPr>
          <w:sz w:val="16"/>
        </w:rPr>
        <w:t>Opthalmol</w:t>
      </w:r>
      <w:proofErr w:type="spellEnd"/>
      <w:r w:rsidRPr="006F2B6D">
        <w:rPr>
          <w:sz w:val="16"/>
        </w:rPr>
        <w:t>. 2019;103:191-195</w:t>
      </w:r>
    </w:p>
  </w:footnote>
  <w:footnote w:id="10">
    <w:p w14:paraId="0D0349C6" w14:textId="422C8173" w:rsidR="006F2B6D" w:rsidRPr="006F2B6D" w:rsidRDefault="006F2B6D">
      <w:pPr>
        <w:pStyle w:val="FootnoteText"/>
        <w:rPr>
          <w:sz w:val="16"/>
        </w:rPr>
      </w:pPr>
      <w:r>
        <w:rPr>
          <w:rStyle w:val="FootnoteReference"/>
        </w:rPr>
        <w:footnoteRef/>
      </w:r>
      <w:r>
        <w:t xml:space="preserve"> </w:t>
      </w:r>
      <w:r w:rsidRPr="006F2B6D">
        <w:rPr>
          <w:sz w:val="16"/>
        </w:rPr>
        <w:t>Kong Y X et al</w:t>
      </w:r>
      <w:r w:rsidRPr="006F2B6D">
        <w:rPr>
          <w:i/>
          <w:iCs/>
          <w:sz w:val="16"/>
        </w:rPr>
        <w:t xml:space="preserve"> ‘Glaucoma in perspective’ </w:t>
      </w:r>
      <w:r w:rsidRPr="006F2B6D">
        <w:rPr>
          <w:sz w:val="16"/>
        </w:rPr>
        <w:t>MJA 210 (4) 4 March 2019</w:t>
      </w:r>
    </w:p>
  </w:footnote>
  <w:footnote w:id="11">
    <w:p w14:paraId="3AE5501F" w14:textId="40C36219" w:rsidR="006F2B6D" w:rsidRPr="001C5B13" w:rsidRDefault="006F2B6D">
      <w:pPr>
        <w:pStyle w:val="FootnoteText"/>
      </w:pPr>
      <w:r w:rsidRPr="006F2B6D">
        <w:rPr>
          <w:rStyle w:val="FootnoteReference"/>
          <w:sz w:val="16"/>
        </w:rPr>
        <w:footnoteRef/>
      </w:r>
      <w:r w:rsidRPr="006F2B6D">
        <w:rPr>
          <w:sz w:val="16"/>
        </w:rPr>
        <w:t xml:space="preserve"> </w:t>
      </w:r>
      <w:proofErr w:type="spellStart"/>
      <w:r w:rsidRPr="006F2B6D">
        <w:rPr>
          <w:sz w:val="16"/>
        </w:rPr>
        <w:t>Gazzard</w:t>
      </w:r>
      <w:proofErr w:type="spellEnd"/>
      <w:r w:rsidRPr="006F2B6D">
        <w:rPr>
          <w:sz w:val="16"/>
        </w:rPr>
        <w:t xml:space="preserve"> G et al </w:t>
      </w:r>
      <w:r w:rsidRPr="006F2B6D">
        <w:rPr>
          <w:i/>
          <w:iCs/>
          <w:sz w:val="16"/>
        </w:rPr>
        <w:t xml:space="preserve">‘Selective laser </w:t>
      </w:r>
      <w:proofErr w:type="spellStart"/>
      <w:r w:rsidRPr="006F2B6D">
        <w:rPr>
          <w:i/>
          <w:iCs/>
          <w:sz w:val="16"/>
        </w:rPr>
        <w:t>trabeculoplasty</w:t>
      </w:r>
      <w:proofErr w:type="spellEnd"/>
      <w:r w:rsidRPr="006F2B6D">
        <w:rPr>
          <w:i/>
          <w:iCs/>
          <w:sz w:val="16"/>
        </w:rPr>
        <w:t xml:space="preserve"> versus eye drops for first-line treatment of ocular hypertension and glaucoma (</w:t>
      </w:r>
      <w:proofErr w:type="spellStart"/>
      <w:r w:rsidRPr="006F2B6D">
        <w:rPr>
          <w:i/>
          <w:iCs/>
          <w:sz w:val="16"/>
        </w:rPr>
        <w:t>LiGHT</w:t>
      </w:r>
      <w:proofErr w:type="spellEnd"/>
      <w:r w:rsidRPr="006F2B6D">
        <w:rPr>
          <w:i/>
          <w:iCs/>
          <w:sz w:val="16"/>
        </w:rPr>
        <w:t xml:space="preserve">): a multicentre randomised controlled trial’ </w:t>
      </w:r>
      <w:r w:rsidRPr="006F2B6D">
        <w:rPr>
          <w:sz w:val="16"/>
        </w:rPr>
        <w:t xml:space="preserve">Lancet 2019;393:1505-16 </w:t>
      </w:r>
    </w:p>
  </w:footnote>
  <w:footnote w:id="12">
    <w:p w14:paraId="1803BC9A" w14:textId="707AECE0" w:rsidR="006F2B6D" w:rsidRPr="006F2B6D" w:rsidRDefault="006F2B6D">
      <w:pPr>
        <w:pStyle w:val="FootnoteText"/>
        <w:rPr>
          <w:sz w:val="16"/>
        </w:rPr>
      </w:pPr>
      <w:r>
        <w:rPr>
          <w:rStyle w:val="FootnoteReference"/>
        </w:rPr>
        <w:footnoteRef/>
      </w:r>
      <w:r>
        <w:t xml:space="preserve"> </w:t>
      </w:r>
      <w:r w:rsidRPr="006F2B6D">
        <w:rPr>
          <w:sz w:val="16"/>
        </w:rPr>
        <w:t xml:space="preserve">Mitchell P et al </w:t>
      </w:r>
      <w:r w:rsidRPr="006F2B6D">
        <w:rPr>
          <w:i/>
          <w:iCs/>
          <w:sz w:val="16"/>
        </w:rPr>
        <w:t>‘Prevalence if Open-angle Glaucoma in Australia.  The Blue Mountains Eye Study’</w:t>
      </w:r>
      <w:r w:rsidRPr="006F2B6D">
        <w:rPr>
          <w:sz w:val="16"/>
        </w:rPr>
        <w:t>. Ophthalmology 1996; 103: 1661- 1669</w:t>
      </w:r>
    </w:p>
  </w:footnote>
  <w:footnote w:id="13">
    <w:p w14:paraId="23AC7D18" w14:textId="3EE0C172" w:rsidR="006F2B6D" w:rsidRPr="006F2B6D" w:rsidRDefault="006F2B6D">
      <w:pPr>
        <w:pStyle w:val="FootnoteText"/>
        <w:rPr>
          <w:sz w:val="16"/>
        </w:rPr>
      </w:pPr>
      <w:r w:rsidRPr="006F2B6D">
        <w:rPr>
          <w:rStyle w:val="FootnoteReference"/>
          <w:sz w:val="16"/>
        </w:rPr>
        <w:footnoteRef/>
      </w:r>
      <w:r w:rsidRPr="006F2B6D">
        <w:rPr>
          <w:sz w:val="16"/>
        </w:rPr>
        <w:t xml:space="preserve"> AIHW </w:t>
      </w:r>
      <w:r w:rsidRPr="006F2B6D">
        <w:rPr>
          <w:i/>
          <w:iCs/>
          <w:sz w:val="16"/>
        </w:rPr>
        <w:t xml:space="preserve">‘Vision problems among older Australians’ </w:t>
      </w:r>
      <w:r w:rsidRPr="006F2B6D">
        <w:rPr>
          <w:sz w:val="16"/>
        </w:rPr>
        <w:t>July 2005.</w:t>
      </w:r>
    </w:p>
  </w:footnote>
  <w:footnote w:id="14">
    <w:p w14:paraId="194B7AA1" w14:textId="403FA7F3" w:rsidR="006F2B6D" w:rsidRPr="00B53B18" w:rsidRDefault="006F2B6D">
      <w:pPr>
        <w:pStyle w:val="FootnoteText"/>
        <w:rPr>
          <w:sz w:val="16"/>
        </w:rPr>
      </w:pPr>
      <w:r w:rsidRPr="006F2B6D">
        <w:rPr>
          <w:rStyle w:val="FootnoteReference"/>
          <w:sz w:val="16"/>
        </w:rPr>
        <w:footnoteRef/>
      </w:r>
      <w:r w:rsidRPr="006F2B6D">
        <w:rPr>
          <w:sz w:val="16"/>
        </w:rPr>
        <w:t xml:space="preserve"> </w:t>
      </w:r>
      <w:hyperlink r:id="rId1" w:history="1">
        <w:r w:rsidRPr="006F2B6D">
          <w:rPr>
            <w:rStyle w:val="Hyperlink"/>
            <w:sz w:val="16"/>
          </w:rPr>
          <w:t>http://medicarestatistics.humanservices.gov.au/statistics/mbs_item.jsp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E3084" w14:textId="77777777" w:rsidR="000826A2" w:rsidRDefault="00082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DC9C6" w14:textId="77777777" w:rsidR="000826A2" w:rsidRDefault="00082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20AD" w14:textId="77777777" w:rsidR="000826A2" w:rsidRDefault="0008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3D76C11"/>
    <w:multiLevelType w:val="hybridMultilevel"/>
    <w:tmpl w:val="F942E758"/>
    <w:lvl w:ilvl="0" w:tplc="D99CD244">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4DC0797A"/>
    <w:multiLevelType w:val="hybridMultilevel"/>
    <w:tmpl w:val="8A62651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1E3EEF"/>
    <w:multiLevelType w:val="hybridMultilevel"/>
    <w:tmpl w:val="380EBE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3"/>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
  </w:num>
  <w:num w:numId="25">
    <w:abstractNumId w:val="18"/>
  </w:num>
  <w:num w:numId="26">
    <w:abstractNumId w:val="4"/>
  </w:num>
  <w:num w:numId="27">
    <w:abstractNumId w:val="15"/>
  </w:num>
  <w:num w:numId="28">
    <w:abstractNumId w:val="10"/>
  </w:num>
  <w:num w:numId="29">
    <w:abstractNumId w:val="19"/>
  </w:num>
  <w:num w:numId="30">
    <w:abstractNumId w:val="3"/>
  </w:num>
  <w:num w:numId="31">
    <w:abstractNumId w:val="17"/>
  </w:num>
  <w:num w:numId="32">
    <w:abstractNumId w:val="7"/>
  </w:num>
  <w:num w:numId="33">
    <w:abstractNumId w:val="16"/>
  </w:num>
  <w:num w:numId="34">
    <w:abstractNumId w:val="6"/>
  </w:num>
  <w:num w:numId="35">
    <w:abstractNumId w:val="11"/>
  </w:num>
  <w:num w:numId="36">
    <w:abstractNumId w:val="0"/>
  </w:num>
  <w:num w:numId="37">
    <w:abstractNumId w:val="12"/>
  </w:num>
  <w:num w:numId="38">
    <w:abstractNumId w:val="2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6F2C"/>
    <w:rsid w:val="000110DC"/>
    <w:rsid w:val="000137BD"/>
    <w:rsid w:val="00013A00"/>
    <w:rsid w:val="00014FDB"/>
    <w:rsid w:val="000158AA"/>
    <w:rsid w:val="000159B9"/>
    <w:rsid w:val="00016B6E"/>
    <w:rsid w:val="00023E21"/>
    <w:rsid w:val="00025ABC"/>
    <w:rsid w:val="00026412"/>
    <w:rsid w:val="00027348"/>
    <w:rsid w:val="00031F6F"/>
    <w:rsid w:val="00034D6E"/>
    <w:rsid w:val="0005089D"/>
    <w:rsid w:val="000525BC"/>
    <w:rsid w:val="00053850"/>
    <w:rsid w:val="0007272F"/>
    <w:rsid w:val="00073222"/>
    <w:rsid w:val="000770BA"/>
    <w:rsid w:val="000826A2"/>
    <w:rsid w:val="00092580"/>
    <w:rsid w:val="000955E7"/>
    <w:rsid w:val="000A0BB8"/>
    <w:rsid w:val="000A110D"/>
    <w:rsid w:val="000A478F"/>
    <w:rsid w:val="000A5B32"/>
    <w:rsid w:val="000B3CD0"/>
    <w:rsid w:val="000B6DB9"/>
    <w:rsid w:val="000B7ED6"/>
    <w:rsid w:val="000D066E"/>
    <w:rsid w:val="000D0831"/>
    <w:rsid w:val="000E47E7"/>
    <w:rsid w:val="000E5439"/>
    <w:rsid w:val="00102686"/>
    <w:rsid w:val="0011036E"/>
    <w:rsid w:val="001130B0"/>
    <w:rsid w:val="0011369B"/>
    <w:rsid w:val="00113BC8"/>
    <w:rsid w:val="0011742E"/>
    <w:rsid w:val="00123D10"/>
    <w:rsid w:val="00126B33"/>
    <w:rsid w:val="00137AC7"/>
    <w:rsid w:val="00154B00"/>
    <w:rsid w:val="001644E9"/>
    <w:rsid w:val="001845D9"/>
    <w:rsid w:val="0018630F"/>
    <w:rsid w:val="00187CEB"/>
    <w:rsid w:val="001906CD"/>
    <w:rsid w:val="00191B99"/>
    <w:rsid w:val="0019694B"/>
    <w:rsid w:val="00197D29"/>
    <w:rsid w:val="001A02E3"/>
    <w:rsid w:val="001A1ADF"/>
    <w:rsid w:val="001A365C"/>
    <w:rsid w:val="001A76EA"/>
    <w:rsid w:val="001B171D"/>
    <w:rsid w:val="001B29A1"/>
    <w:rsid w:val="001B5169"/>
    <w:rsid w:val="001B6164"/>
    <w:rsid w:val="001C17E1"/>
    <w:rsid w:val="001C5B13"/>
    <w:rsid w:val="001D77ED"/>
    <w:rsid w:val="001E1180"/>
    <w:rsid w:val="001E23EA"/>
    <w:rsid w:val="001E6919"/>
    <w:rsid w:val="001E6958"/>
    <w:rsid w:val="00201924"/>
    <w:rsid w:val="0020228B"/>
    <w:rsid w:val="00202473"/>
    <w:rsid w:val="002053F2"/>
    <w:rsid w:val="00206D63"/>
    <w:rsid w:val="0021185D"/>
    <w:rsid w:val="00226777"/>
    <w:rsid w:val="00235BD1"/>
    <w:rsid w:val="00242B0E"/>
    <w:rsid w:val="00247DF0"/>
    <w:rsid w:val="00254813"/>
    <w:rsid w:val="00257FF2"/>
    <w:rsid w:val="00265822"/>
    <w:rsid w:val="0027105F"/>
    <w:rsid w:val="002711FB"/>
    <w:rsid w:val="00280D8E"/>
    <w:rsid w:val="00281086"/>
    <w:rsid w:val="00282BE8"/>
    <w:rsid w:val="00283318"/>
    <w:rsid w:val="00285525"/>
    <w:rsid w:val="00286D34"/>
    <w:rsid w:val="00294CD8"/>
    <w:rsid w:val="002A270B"/>
    <w:rsid w:val="002A50FD"/>
    <w:rsid w:val="002A6753"/>
    <w:rsid w:val="002A7C93"/>
    <w:rsid w:val="002B28D7"/>
    <w:rsid w:val="002B7EB6"/>
    <w:rsid w:val="002C0B61"/>
    <w:rsid w:val="002C15E6"/>
    <w:rsid w:val="002C247D"/>
    <w:rsid w:val="002C3345"/>
    <w:rsid w:val="002D2456"/>
    <w:rsid w:val="002D409A"/>
    <w:rsid w:val="002D7225"/>
    <w:rsid w:val="002E495E"/>
    <w:rsid w:val="002F30E7"/>
    <w:rsid w:val="00300EEB"/>
    <w:rsid w:val="003013A9"/>
    <w:rsid w:val="00301958"/>
    <w:rsid w:val="003020B5"/>
    <w:rsid w:val="003027BB"/>
    <w:rsid w:val="00310A10"/>
    <w:rsid w:val="003230CB"/>
    <w:rsid w:val="00327D25"/>
    <w:rsid w:val="003319A7"/>
    <w:rsid w:val="00334879"/>
    <w:rsid w:val="00334FE3"/>
    <w:rsid w:val="003421AE"/>
    <w:rsid w:val="003433D1"/>
    <w:rsid w:val="00344B24"/>
    <w:rsid w:val="003456B9"/>
    <w:rsid w:val="00346999"/>
    <w:rsid w:val="00346D57"/>
    <w:rsid w:val="0035067D"/>
    <w:rsid w:val="00353A16"/>
    <w:rsid w:val="00354A6C"/>
    <w:rsid w:val="0035776D"/>
    <w:rsid w:val="00364FD9"/>
    <w:rsid w:val="00367C1B"/>
    <w:rsid w:val="00374A60"/>
    <w:rsid w:val="00376B61"/>
    <w:rsid w:val="00382407"/>
    <w:rsid w:val="00385BE5"/>
    <w:rsid w:val="00386A64"/>
    <w:rsid w:val="00386FA1"/>
    <w:rsid w:val="00390142"/>
    <w:rsid w:val="003904AC"/>
    <w:rsid w:val="00392F00"/>
    <w:rsid w:val="00397377"/>
    <w:rsid w:val="003A22DE"/>
    <w:rsid w:val="003A2860"/>
    <w:rsid w:val="003A3C35"/>
    <w:rsid w:val="003A5070"/>
    <w:rsid w:val="003A7D30"/>
    <w:rsid w:val="003B3C5C"/>
    <w:rsid w:val="003C47CA"/>
    <w:rsid w:val="003D6DE1"/>
    <w:rsid w:val="003D795C"/>
    <w:rsid w:val="003E30FB"/>
    <w:rsid w:val="003E32F4"/>
    <w:rsid w:val="003F2711"/>
    <w:rsid w:val="003F5EC4"/>
    <w:rsid w:val="003F6C70"/>
    <w:rsid w:val="003F7CB9"/>
    <w:rsid w:val="00403333"/>
    <w:rsid w:val="004066C3"/>
    <w:rsid w:val="00411735"/>
    <w:rsid w:val="00415C74"/>
    <w:rsid w:val="00420463"/>
    <w:rsid w:val="00422047"/>
    <w:rsid w:val="00427386"/>
    <w:rsid w:val="0043654D"/>
    <w:rsid w:val="00437F60"/>
    <w:rsid w:val="00451840"/>
    <w:rsid w:val="00460C9A"/>
    <w:rsid w:val="00464924"/>
    <w:rsid w:val="0047581D"/>
    <w:rsid w:val="00476911"/>
    <w:rsid w:val="00477C1E"/>
    <w:rsid w:val="00480289"/>
    <w:rsid w:val="00481279"/>
    <w:rsid w:val="00483368"/>
    <w:rsid w:val="00494011"/>
    <w:rsid w:val="004A0BF4"/>
    <w:rsid w:val="004A263B"/>
    <w:rsid w:val="004A4E87"/>
    <w:rsid w:val="004A715D"/>
    <w:rsid w:val="004B68AE"/>
    <w:rsid w:val="004C2F66"/>
    <w:rsid w:val="004C35B0"/>
    <w:rsid w:val="004C49EF"/>
    <w:rsid w:val="004C4A19"/>
    <w:rsid w:val="004C5570"/>
    <w:rsid w:val="004D00C9"/>
    <w:rsid w:val="004E00C1"/>
    <w:rsid w:val="004E09EC"/>
    <w:rsid w:val="004E16F5"/>
    <w:rsid w:val="004E3CC7"/>
    <w:rsid w:val="004E5B69"/>
    <w:rsid w:val="004F2A87"/>
    <w:rsid w:val="004F2D06"/>
    <w:rsid w:val="00500DE8"/>
    <w:rsid w:val="00507C56"/>
    <w:rsid w:val="00513519"/>
    <w:rsid w:val="00520B3B"/>
    <w:rsid w:val="0052344E"/>
    <w:rsid w:val="00526478"/>
    <w:rsid w:val="00526B18"/>
    <w:rsid w:val="00530204"/>
    <w:rsid w:val="00534C5F"/>
    <w:rsid w:val="00537619"/>
    <w:rsid w:val="00540257"/>
    <w:rsid w:val="0054192F"/>
    <w:rsid w:val="00544EB3"/>
    <w:rsid w:val="0054594B"/>
    <w:rsid w:val="0054749B"/>
    <w:rsid w:val="00551CC6"/>
    <w:rsid w:val="00554E7A"/>
    <w:rsid w:val="0056015F"/>
    <w:rsid w:val="00560541"/>
    <w:rsid w:val="005672D0"/>
    <w:rsid w:val="00572CEB"/>
    <w:rsid w:val="005834C9"/>
    <w:rsid w:val="005A58BA"/>
    <w:rsid w:val="005A5D30"/>
    <w:rsid w:val="005A6AB9"/>
    <w:rsid w:val="005C1680"/>
    <w:rsid w:val="005C333E"/>
    <w:rsid w:val="005C3AE7"/>
    <w:rsid w:val="005C658B"/>
    <w:rsid w:val="005D0677"/>
    <w:rsid w:val="005E294C"/>
    <w:rsid w:val="005E2CE3"/>
    <w:rsid w:val="005E4531"/>
    <w:rsid w:val="005F3F07"/>
    <w:rsid w:val="00603D04"/>
    <w:rsid w:val="00606857"/>
    <w:rsid w:val="00615F42"/>
    <w:rsid w:val="00621B78"/>
    <w:rsid w:val="00622BB8"/>
    <w:rsid w:val="006258C2"/>
    <w:rsid w:val="006259CD"/>
    <w:rsid w:val="00626365"/>
    <w:rsid w:val="00630E22"/>
    <w:rsid w:val="00634AA5"/>
    <w:rsid w:val="0064168C"/>
    <w:rsid w:val="00641BBD"/>
    <w:rsid w:val="00657B46"/>
    <w:rsid w:val="0066158A"/>
    <w:rsid w:val="00665F9C"/>
    <w:rsid w:val="00672169"/>
    <w:rsid w:val="006764EC"/>
    <w:rsid w:val="006835FE"/>
    <w:rsid w:val="00691E64"/>
    <w:rsid w:val="00693BFD"/>
    <w:rsid w:val="00695065"/>
    <w:rsid w:val="006A1038"/>
    <w:rsid w:val="006A36C0"/>
    <w:rsid w:val="006A5271"/>
    <w:rsid w:val="006A649A"/>
    <w:rsid w:val="006B1B49"/>
    <w:rsid w:val="006B6390"/>
    <w:rsid w:val="006C0356"/>
    <w:rsid w:val="006C0843"/>
    <w:rsid w:val="006C74B1"/>
    <w:rsid w:val="006E57AA"/>
    <w:rsid w:val="006E7ACF"/>
    <w:rsid w:val="006F20CF"/>
    <w:rsid w:val="006F2B6D"/>
    <w:rsid w:val="006F38ED"/>
    <w:rsid w:val="00707D4D"/>
    <w:rsid w:val="00711201"/>
    <w:rsid w:val="00723446"/>
    <w:rsid w:val="00723503"/>
    <w:rsid w:val="00730C04"/>
    <w:rsid w:val="0073597B"/>
    <w:rsid w:val="007378F6"/>
    <w:rsid w:val="0074545D"/>
    <w:rsid w:val="007522E3"/>
    <w:rsid w:val="0075335B"/>
    <w:rsid w:val="00753C44"/>
    <w:rsid w:val="00753E1E"/>
    <w:rsid w:val="00754383"/>
    <w:rsid w:val="007564D1"/>
    <w:rsid w:val="00757232"/>
    <w:rsid w:val="00760679"/>
    <w:rsid w:val="007606E8"/>
    <w:rsid w:val="00763628"/>
    <w:rsid w:val="00767E99"/>
    <w:rsid w:val="0077079F"/>
    <w:rsid w:val="00772E62"/>
    <w:rsid w:val="00775A6A"/>
    <w:rsid w:val="0077789B"/>
    <w:rsid w:val="00780D29"/>
    <w:rsid w:val="00791C8D"/>
    <w:rsid w:val="0079354C"/>
    <w:rsid w:val="00794181"/>
    <w:rsid w:val="00797F89"/>
    <w:rsid w:val="007A4813"/>
    <w:rsid w:val="007A7F6F"/>
    <w:rsid w:val="007B4C76"/>
    <w:rsid w:val="007C1E21"/>
    <w:rsid w:val="007C2260"/>
    <w:rsid w:val="007D137C"/>
    <w:rsid w:val="007D1E52"/>
    <w:rsid w:val="007D2358"/>
    <w:rsid w:val="007D3AC9"/>
    <w:rsid w:val="007E39E4"/>
    <w:rsid w:val="007E5D90"/>
    <w:rsid w:val="007E6FB3"/>
    <w:rsid w:val="007F21B4"/>
    <w:rsid w:val="007F61C0"/>
    <w:rsid w:val="00802553"/>
    <w:rsid w:val="00803EAB"/>
    <w:rsid w:val="008046B5"/>
    <w:rsid w:val="00810224"/>
    <w:rsid w:val="008127C0"/>
    <w:rsid w:val="00812EDD"/>
    <w:rsid w:val="008139C5"/>
    <w:rsid w:val="0081650F"/>
    <w:rsid w:val="00823A2C"/>
    <w:rsid w:val="00832B31"/>
    <w:rsid w:val="00833C8D"/>
    <w:rsid w:val="008367E8"/>
    <w:rsid w:val="008403E0"/>
    <w:rsid w:val="0084657B"/>
    <w:rsid w:val="00855944"/>
    <w:rsid w:val="00864A18"/>
    <w:rsid w:val="00870833"/>
    <w:rsid w:val="00874571"/>
    <w:rsid w:val="00880B9F"/>
    <w:rsid w:val="00881F93"/>
    <w:rsid w:val="00882CB5"/>
    <w:rsid w:val="00883641"/>
    <w:rsid w:val="00884E69"/>
    <w:rsid w:val="00890082"/>
    <w:rsid w:val="008A48D2"/>
    <w:rsid w:val="008A6E8D"/>
    <w:rsid w:val="008A7423"/>
    <w:rsid w:val="008B2610"/>
    <w:rsid w:val="008B471D"/>
    <w:rsid w:val="008B49E4"/>
    <w:rsid w:val="008B58E8"/>
    <w:rsid w:val="008B729C"/>
    <w:rsid w:val="008C4A93"/>
    <w:rsid w:val="008C6D8E"/>
    <w:rsid w:val="008E0E49"/>
    <w:rsid w:val="008E35FD"/>
    <w:rsid w:val="008E6227"/>
    <w:rsid w:val="008E78B9"/>
    <w:rsid w:val="008F165C"/>
    <w:rsid w:val="008F681C"/>
    <w:rsid w:val="00901F1C"/>
    <w:rsid w:val="0090543D"/>
    <w:rsid w:val="009056C5"/>
    <w:rsid w:val="00911713"/>
    <w:rsid w:val="009262F2"/>
    <w:rsid w:val="00937791"/>
    <w:rsid w:val="00951933"/>
    <w:rsid w:val="00954343"/>
    <w:rsid w:val="00955271"/>
    <w:rsid w:val="00963C9C"/>
    <w:rsid w:val="00965B6B"/>
    <w:rsid w:val="00971EDB"/>
    <w:rsid w:val="00974D50"/>
    <w:rsid w:val="00987ABE"/>
    <w:rsid w:val="00991EE4"/>
    <w:rsid w:val="009939DC"/>
    <w:rsid w:val="00993B9C"/>
    <w:rsid w:val="00995C21"/>
    <w:rsid w:val="009A2781"/>
    <w:rsid w:val="009B097B"/>
    <w:rsid w:val="009B4E1E"/>
    <w:rsid w:val="009C03FB"/>
    <w:rsid w:val="009C4B4F"/>
    <w:rsid w:val="009D3F45"/>
    <w:rsid w:val="009E6C56"/>
    <w:rsid w:val="009F0C02"/>
    <w:rsid w:val="009F4A61"/>
    <w:rsid w:val="009F5758"/>
    <w:rsid w:val="00A0283F"/>
    <w:rsid w:val="00A04F4A"/>
    <w:rsid w:val="00A26343"/>
    <w:rsid w:val="00A408B5"/>
    <w:rsid w:val="00A413D9"/>
    <w:rsid w:val="00A520DD"/>
    <w:rsid w:val="00A529E2"/>
    <w:rsid w:val="00A539F8"/>
    <w:rsid w:val="00A6491A"/>
    <w:rsid w:val="00A65384"/>
    <w:rsid w:val="00A6594E"/>
    <w:rsid w:val="00A727B6"/>
    <w:rsid w:val="00A81CC6"/>
    <w:rsid w:val="00A83EC6"/>
    <w:rsid w:val="00A8732C"/>
    <w:rsid w:val="00A9062D"/>
    <w:rsid w:val="00A93F58"/>
    <w:rsid w:val="00A96329"/>
    <w:rsid w:val="00AA134B"/>
    <w:rsid w:val="00AA2CFE"/>
    <w:rsid w:val="00AA5589"/>
    <w:rsid w:val="00AA5FDA"/>
    <w:rsid w:val="00AA6291"/>
    <w:rsid w:val="00AB0F8E"/>
    <w:rsid w:val="00AC0C91"/>
    <w:rsid w:val="00AC2431"/>
    <w:rsid w:val="00AD0273"/>
    <w:rsid w:val="00AD1C51"/>
    <w:rsid w:val="00AD37D4"/>
    <w:rsid w:val="00AD5BE5"/>
    <w:rsid w:val="00AD7986"/>
    <w:rsid w:val="00AE1188"/>
    <w:rsid w:val="00AE738C"/>
    <w:rsid w:val="00AF1046"/>
    <w:rsid w:val="00AF4466"/>
    <w:rsid w:val="00AF5D1E"/>
    <w:rsid w:val="00B039AE"/>
    <w:rsid w:val="00B040A9"/>
    <w:rsid w:val="00B06406"/>
    <w:rsid w:val="00B15059"/>
    <w:rsid w:val="00B1711E"/>
    <w:rsid w:val="00B17CBE"/>
    <w:rsid w:val="00B17E26"/>
    <w:rsid w:val="00B231A4"/>
    <w:rsid w:val="00B25D20"/>
    <w:rsid w:val="00B3071A"/>
    <w:rsid w:val="00B31C99"/>
    <w:rsid w:val="00B37A90"/>
    <w:rsid w:val="00B53B18"/>
    <w:rsid w:val="00B53BA6"/>
    <w:rsid w:val="00B5731D"/>
    <w:rsid w:val="00B6378B"/>
    <w:rsid w:val="00B63E3A"/>
    <w:rsid w:val="00B739E3"/>
    <w:rsid w:val="00B75965"/>
    <w:rsid w:val="00B771AD"/>
    <w:rsid w:val="00B814CB"/>
    <w:rsid w:val="00B95D30"/>
    <w:rsid w:val="00BA0CF8"/>
    <w:rsid w:val="00BA1ADF"/>
    <w:rsid w:val="00BA51FC"/>
    <w:rsid w:val="00BA548D"/>
    <w:rsid w:val="00BB003A"/>
    <w:rsid w:val="00BB3358"/>
    <w:rsid w:val="00BB3382"/>
    <w:rsid w:val="00BB3643"/>
    <w:rsid w:val="00BC3DA0"/>
    <w:rsid w:val="00BC424B"/>
    <w:rsid w:val="00BE0FDE"/>
    <w:rsid w:val="00BE2E82"/>
    <w:rsid w:val="00BE5710"/>
    <w:rsid w:val="00BF6AC5"/>
    <w:rsid w:val="00BF7C70"/>
    <w:rsid w:val="00C01121"/>
    <w:rsid w:val="00C01719"/>
    <w:rsid w:val="00C01EDB"/>
    <w:rsid w:val="00C030A5"/>
    <w:rsid w:val="00C05A45"/>
    <w:rsid w:val="00C0796F"/>
    <w:rsid w:val="00C11B34"/>
    <w:rsid w:val="00C12C5C"/>
    <w:rsid w:val="00C171FB"/>
    <w:rsid w:val="00C209C2"/>
    <w:rsid w:val="00C219C3"/>
    <w:rsid w:val="00C2267F"/>
    <w:rsid w:val="00C22AD8"/>
    <w:rsid w:val="00C3367C"/>
    <w:rsid w:val="00C3557E"/>
    <w:rsid w:val="00C3594B"/>
    <w:rsid w:val="00C43102"/>
    <w:rsid w:val="00C46618"/>
    <w:rsid w:val="00C4696B"/>
    <w:rsid w:val="00C50513"/>
    <w:rsid w:val="00C51FEF"/>
    <w:rsid w:val="00C54503"/>
    <w:rsid w:val="00C63055"/>
    <w:rsid w:val="00C73B62"/>
    <w:rsid w:val="00C776B1"/>
    <w:rsid w:val="00C815FE"/>
    <w:rsid w:val="00C81BBE"/>
    <w:rsid w:val="00C81FA0"/>
    <w:rsid w:val="00C847AE"/>
    <w:rsid w:val="00C920FB"/>
    <w:rsid w:val="00CA04C6"/>
    <w:rsid w:val="00CA0506"/>
    <w:rsid w:val="00CA26DD"/>
    <w:rsid w:val="00CB12EC"/>
    <w:rsid w:val="00CB3D96"/>
    <w:rsid w:val="00CC09D7"/>
    <w:rsid w:val="00CC12B8"/>
    <w:rsid w:val="00CC2160"/>
    <w:rsid w:val="00CC5AB1"/>
    <w:rsid w:val="00CD22E3"/>
    <w:rsid w:val="00CD4E44"/>
    <w:rsid w:val="00CD5AE4"/>
    <w:rsid w:val="00CD7A7D"/>
    <w:rsid w:val="00CE6394"/>
    <w:rsid w:val="00CF2D8E"/>
    <w:rsid w:val="00CF2DFA"/>
    <w:rsid w:val="00CF5A95"/>
    <w:rsid w:val="00CF5AD8"/>
    <w:rsid w:val="00D00122"/>
    <w:rsid w:val="00D01D2A"/>
    <w:rsid w:val="00D024A6"/>
    <w:rsid w:val="00D10B47"/>
    <w:rsid w:val="00D11EB1"/>
    <w:rsid w:val="00D12CE4"/>
    <w:rsid w:val="00D13C73"/>
    <w:rsid w:val="00D17F17"/>
    <w:rsid w:val="00D20B0A"/>
    <w:rsid w:val="00D23597"/>
    <w:rsid w:val="00D30BDC"/>
    <w:rsid w:val="00D30F4A"/>
    <w:rsid w:val="00D46FFD"/>
    <w:rsid w:val="00D558C0"/>
    <w:rsid w:val="00D57F88"/>
    <w:rsid w:val="00D7105C"/>
    <w:rsid w:val="00D73646"/>
    <w:rsid w:val="00D777B4"/>
    <w:rsid w:val="00D77A90"/>
    <w:rsid w:val="00D8360B"/>
    <w:rsid w:val="00D85676"/>
    <w:rsid w:val="00D909E7"/>
    <w:rsid w:val="00D92FBD"/>
    <w:rsid w:val="00D96ADA"/>
    <w:rsid w:val="00DA2886"/>
    <w:rsid w:val="00DA5E50"/>
    <w:rsid w:val="00DA7D0C"/>
    <w:rsid w:val="00DB311C"/>
    <w:rsid w:val="00DB432D"/>
    <w:rsid w:val="00DB519B"/>
    <w:rsid w:val="00DB6F18"/>
    <w:rsid w:val="00DC7694"/>
    <w:rsid w:val="00DC7FBE"/>
    <w:rsid w:val="00DD130E"/>
    <w:rsid w:val="00DD308E"/>
    <w:rsid w:val="00DF0C51"/>
    <w:rsid w:val="00DF0D47"/>
    <w:rsid w:val="00DF1652"/>
    <w:rsid w:val="00DF6D37"/>
    <w:rsid w:val="00E048ED"/>
    <w:rsid w:val="00E04FB3"/>
    <w:rsid w:val="00E058F2"/>
    <w:rsid w:val="00E05D9C"/>
    <w:rsid w:val="00E06000"/>
    <w:rsid w:val="00E06102"/>
    <w:rsid w:val="00E22163"/>
    <w:rsid w:val="00E23E71"/>
    <w:rsid w:val="00E30F19"/>
    <w:rsid w:val="00E33C4A"/>
    <w:rsid w:val="00E357B9"/>
    <w:rsid w:val="00E4321E"/>
    <w:rsid w:val="00E44B80"/>
    <w:rsid w:val="00E4533C"/>
    <w:rsid w:val="00E47623"/>
    <w:rsid w:val="00E60529"/>
    <w:rsid w:val="00E641EF"/>
    <w:rsid w:val="00E64E87"/>
    <w:rsid w:val="00E70D86"/>
    <w:rsid w:val="00E7628E"/>
    <w:rsid w:val="00E82F54"/>
    <w:rsid w:val="00E8649B"/>
    <w:rsid w:val="00E871CD"/>
    <w:rsid w:val="00E90990"/>
    <w:rsid w:val="00E95D3D"/>
    <w:rsid w:val="00E95F80"/>
    <w:rsid w:val="00EA0E25"/>
    <w:rsid w:val="00EA173C"/>
    <w:rsid w:val="00EB344C"/>
    <w:rsid w:val="00EB76E5"/>
    <w:rsid w:val="00EC127A"/>
    <w:rsid w:val="00EC1FF9"/>
    <w:rsid w:val="00EC2737"/>
    <w:rsid w:val="00ED4262"/>
    <w:rsid w:val="00EE243D"/>
    <w:rsid w:val="00EE2716"/>
    <w:rsid w:val="00EE6450"/>
    <w:rsid w:val="00EF3D26"/>
    <w:rsid w:val="00F01C2C"/>
    <w:rsid w:val="00F0285B"/>
    <w:rsid w:val="00F10ED8"/>
    <w:rsid w:val="00F222BE"/>
    <w:rsid w:val="00F227DA"/>
    <w:rsid w:val="00F24179"/>
    <w:rsid w:val="00F301F1"/>
    <w:rsid w:val="00F30C22"/>
    <w:rsid w:val="00F33F1A"/>
    <w:rsid w:val="00F36E27"/>
    <w:rsid w:val="00F418B8"/>
    <w:rsid w:val="00F4703E"/>
    <w:rsid w:val="00F5338D"/>
    <w:rsid w:val="00F547F7"/>
    <w:rsid w:val="00F54CCF"/>
    <w:rsid w:val="00F61D7A"/>
    <w:rsid w:val="00F637B3"/>
    <w:rsid w:val="00F66CF7"/>
    <w:rsid w:val="00F67BCB"/>
    <w:rsid w:val="00F77C57"/>
    <w:rsid w:val="00F813C7"/>
    <w:rsid w:val="00F83566"/>
    <w:rsid w:val="00F83A9D"/>
    <w:rsid w:val="00F906B5"/>
    <w:rsid w:val="00F92B41"/>
    <w:rsid w:val="00F93784"/>
    <w:rsid w:val="00F95643"/>
    <w:rsid w:val="00F971CC"/>
    <w:rsid w:val="00FA1634"/>
    <w:rsid w:val="00FA2CAA"/>
    <w:rsid w:val="00FA3DA1"/>
    <w:rsid w:val="00FA6554"/>
    <w:rsid w:val="00FA681A"/>
    <w:rsid w:val="00FB034E"/>
    <w:rsid w:val="00FB4399"/>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62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FootnoteText">
    <w:name w:val="footnote text"/>
    <w:basedOn w:val="Normal"/>
    <w:link w:val="FootnoteTextChar"/>
    <w:uiPriority w:val="99"/>
    <w:semiHidden/>
    <w:unhideWhenUsed/>
    <w:rsid w:val="00D558C0"/>
    <w:pPr>
      <w:spacing w:before="0" w:after="0"/>
    </w:pPr>
    <w:rPr>
      <w:szCs w:val="20"/>
    </w:rPr>
  </w:style>
  <w:style w:type="character" w:customStyle="1" w:styleId="FootnoteTextChar">
    <w:name w:val="Footnote Text Char"/>
    <w:basedOn w:val="DefaultParagraphFont"/>
    <w:link w:val="FootnoteText"/>
    <w:uiPriority w:val="99"/>
    <w:semiHidden/>
    <w:rsid w:val="00D558C0"/>
    <w:rPr>
      <w:sz w:val="20"/>
      <w:szCs w:val="20"/>
    </w:rPr>
  </w:style>
  <w:style w:type="character" w:styleId="FootnoteReference">
    <w:name w:val="footnote reference"/>
    <w:basedOn w:val="DefaultParagraphFont"/>
    <w:uiPriority w:val="99"/>
    <w:semiHidden/>
    <w:unhideWhenUsed/>
    <w:rsid w:val="00D558C0"/>
    <w:rPr>
      <w:vertAlign w:val="superscript"/>
    </w:rPr>
  </w:style>
  <w:style w:type="character" w:customStyle="1" w:styleId="UnresolvedMention">
    <w:name w:val="Unresolved Mention"/>
    <w:basedOn w:val="DefaultParagraphFont"/>
    <w:uiPriority w:val="99"/>
    <w:semiHidden/>
    <w:unhideWhenUsed/>
    <w:rsid w:val="00537619"/>
    <w:rPr>
      <w:color w:val="605E5C"/>
      <w:shd w:val="clear" w:color="auto" w:fill="E1DFDD"/>
    </w:rPr>
  </w:style>
  <w:style w:type="paragraph" w:styleId="NormalWeb">
    <w:name w:val="Normal (Web)"/>
    <w:basedOn w:val="Normal"/>
    <w:uiPriority w:val="99"/>
    <w:semiHidden/>
    <w:unhideWhenUsed/>
    <w:rsid w:val="00427386"/>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3846">
      <w:bodyDiv w:val="1"/>
      <w:marLeft w:val="0"/>
      <w:marRight w:val="0"/>
      <w:marTop w:val="0"/>
      <w:marBottom w:val="0"/>
      <w:divBdr>
        <w:top w:val="none" w:sz="0" w:space="0" w:color="auto"/>
        <w:left w:val="none" w:sz="0" w:space="0" w:color="auto"/>
        <w:bottom w:val="none" w:sz="0" w:space="0" w:color="auto"/>
        <w:right w:val="none" w:sz="0" w:space="0" w:color="auto"/>
      </w:divBdr>
    </w:div>
    <w:div w:id="128742893">
      <w:bodyDiv w:val="1"/>
      <w:marLeft w:val="0"/>
      <w:marRight w:val="0"/>
      <w:marTop w:val="0"/>
      <w:marBottom w:val="0"/>
      <w:divBdr>
        <w:top w:val="none" w:sz="0" w:space="0" w:color="auto"/>
        <w:left w:val="none" w:sz="0" w:space="0" w:color="auto"/>
        <w:bottom w:val="none" w:sz="0" w:space="0" w:color="auto"/>
        <w:right w:val="none" w:sz="0" w:space="0" w:color="auto"/>
      </w:divBdr>
    </w:div>
    <w:div w:id="171265039">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70810255">
      <w:bodyDiv w:val="1"/>
      <w:marLeft w:val="0"/>
      <w:marRight w:val="0"/>
      <w:marTop w:val="0"/>
      <w:marBottom w:val="0"/>
      <w:divBdr>
        <w:top w:val="none" w:sz="0" w:space="0" w:color="auto"/>
        <w:left w:val="none" w:sz="0" w:space="0" w:color="auto"/>
        <w:bottom w:val="none" w:sz="0" w:space="0" w:color="auto"/>
        <w:right w:val="none" w:sz="0" w:space="0" w:color="auto"/>
      </w:divBdr>
    </w:div>
    <w:div w:id="442656049">
      <w:bodyDiv w:val="1"/>
      <w:marLeft w:val="0"/>
      <w:marRight w:val="0"/>
      <w:marTop w:val="0"/>
      <w:marBottom w:val="0"/>
      <w:divBdr>
        <w:top w:val="none" w:sz="0" w:space="0" w:color="auto"/>
        <w:left w:val="none" w:sz="0" w:space="0" w:color="auto"/>
        <w:bottom w:val="none" w:sz="0" w:space="0" w:color="auto"/>
        <w:right w:val="none" w:sz="0" w:space="0" w:color="auto"/>
      </w:divBdr>
      <w:divsChild>
        <w:div w:id="11540507">
          <w:marLeft w:val="0"/>
          <w:marRight w:val="0"/>
          <w:marTop w:val="0"/>
          <w:marBottom w:val="0"/>
          <w:divBdr>
            <w:top w:val="none" w:sz="0" w:space="0" w:color="auto"/>
            <w:left w:val="none" w:sz="0" w:space="0" w:color="auto"/>
            <w:bottom w:val="none" w:sz="0" w:space="0" w:color="auto"/>
            <w:right w:val="none" w:sz="0" w:space="0" w:color="auto"/>
          </w:divBdr>
          <w:divsChild>
            <w:div w:id="1172646766">
              <w:marLeft w:val="0"/>
              <w:marRight w:val="0"/>
              <w:marTop w:val="0"/>
              <w:marBottom w:val="0"/>
              <w:divBdr>
                <w:top w:val="none" w:sz="0" w:space="0" w:color="auto"/>
                <w:left w:val="none" w:sz="0" w:space="0" w:color="auto"/>
                <w:bottom w:val="none" w:sz="0" w:space="0" w:color="auto"/>
                <w:right w:val="none" w:sz="0" w:space="0" w:color="auto"/>
              </w:divBdr>
            </w:div>
            <w:div w:id="2125225734">
              <w:marLeft w:val="439"/>
              <w:marRight w:val="0"/>
              <w:marTop w:val="0"/>
              <w:marBottom w:val="0"/>
              <w:divBdr>
                <w:top w:val="none" w:sz="0" w:space="0" w:color="auto"/>
                <w:left w:val="none" w:sz="0" w:space="0" w:color="auto"/>
                <w:bottom w:val="none" w:sz="0" w:space="0" w:color="auto"/>
                <w:right w:val="none" w:sz="0" w:space="0" w:color="auto"/>
              </w:divBdr>
              <w:divsChild>
                <w:div w:id="1908496672">
                  <w:marLeft w:val="0"/>
                  <w:marRight w:val="0"/>
                  <w:marTop w:val="0"/>
                  <w:marBottom w:val="0"/>
                  <w:divBdr>
                    <w:top w:val="none" w:sz="0" w:space="0" w:color="auto"/>
                    <w:left w:val="none" w:sz="0" w:space="0" w:color="auto"/>
                    <w:bottom w:val="none" w:sz="0" w:space="0" w:color="auto"/>
                    <w:right w:val="none" w:sz="0" w:space="0" w:color="auto"/>
                  </w:divBdr>
                  <w:divsChild>
                    <w:div w:id="646587945">
                      <w:marLeft w:val="0"/>
                      <w:marRight w:val="0"/>
                      <w:marTop w:val="0"/>
                      <w:marBottom w:val="0"/>
                      <w:divBdr>
                        <w:top w:val="none" w:sz="0" w:space="0" w:color="auto"/>
                        <w:left w:val="none" w:sz="0" w:space="0" w:color="auto"/>
                        <w:bottom w:val="none" w:sz="0" w:space="0" w:color="auto"/>
                        <w:right w:val="none" w:sz="0" w:space="0" w:color="auto"/>
                      </w:divBdr>
                    </w:div>
                    <w:div w:id="2047749656">
                      <w:marLeft w:val="176"/>
                      <w:marRight w:val="0"/>
                      <w:marTop w:val="0"/>
                      <w:marBottom w:val="0"/>
                      <w:divBdr>
                        <w:top w:val="none" w:sz="0" w:space="0" w:color="auto"/>
                        <w:left w:val="none" w:sz="0" w:space="0" w:color="auto"/>
                        <w:bottom w:val="none" w:sz="0" w:space="0" w:color="auto"/>
                        <w:right w:val="none" w:sz="0" w:space="0" w:color="auto"/>
                      </w:divBdr>
                    </w:div>
                  </w:divsChild>
                </w:div>
                <w:div w:id="1060862991">
                  <w:marLeft w:val="0"/>
                  <w:marRight w:val="0"/>
                  <w:marTop w:val="0"/>
                  <w:marBottom w:val="0"/>
                  <w:divBdr>
                    <w:top w:val="none" w:sz="0" w:space="0" w:color="auto"/>
                    <w:left w:val="none" w:sz="0" w:space="0" w:color="auto"/>
                    <w:bottom w:val="none" w:sz="0" w:space="0" w:color="auto"/>
                    <w:right w:val="none" w:sz="0" w:space="0" w:color="auto"/>
                  </w:divBdr>
                  <w:divsChild>
                    <w:div w:id="889075779">
                      <w:marLeft w:val="0"/>
                      <w:marRight w:val="0"/>
                      <w:marTop w:val="0"/>
                      <w:marBottom w:val="0"/>
                      <w:divBdr>
                        <w:top w:val="none" w:sz="0" w:space="0" w:color="auto"/>
                        <w:left w:val="none" w:sz="0" w:space="0" w:color="auto"/>
                        <w:bottom w:val="none" w:sz="0" w:space="0" w:color="auto"/>
                        <w:right w:val="none" w:sz="0" w:space="0" w:color="auto"/>
                      </w:divBdr>
                    </w:div>
                    <w:div w:id="2070810293">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57293">
          <w:marLeft w:val="0"/>
          <w:marRight w:val="0"/>
          <w:marTop w:val="0"/>
          <w:marBottom w:val="0"/>
          <w:divBdr>
            <w:top w:val="none" w:sz="0" w:space="0" w:color="auto"/>
            <w:left w:val="none" w:sz="0" w:space="0" w:color="auto"/>
            <w:bottom w:val="none" w:sz="0" w:space="0" w:color="auto"/>
            <w:right w:val="none" w:sz="0" w:space="0" w:color="auto"/>
          </w:divBdr>
        </w:div>
      </w:divsChild>
    </w:div>
    <w:div w:id="530804086">
      <w:bodyDiv w:val="1"/>
      <w:marLeft w:val="0"/>
      <w:marRight w:val="0"/>
      <w:marTop w:val="0"/>
      <w:marBottom w:val="0"/>
      <w:divBdr>
        <w:top w:val="none" w:sz="0" w:space="0" w:color="auto"/>
        <w:left w:val="none" w:sz="0" w:space="0" w:color="auto"/>
        <w:bottom w:val="none" w:sz="0" w:space="0" w:color="auto"/>
        <w:right w:val="none" w:sz="0" w:space="0" w:color="auto"/>
      </w:divBdr>
      <w:divsChild>
        <w:div w:id="13576528">
          <w:marLeft w:val="0"/>
          <w:marRight w:val="0"/>
          <w:marTop w:val="0"/>
          <w:marBottom w:val="0"/>
          <w:divBdr>
            <w:top w:val="none" w:sz="0" w:space="0" w:color="auto"/>
            <w:left w:val="none" w:sz="0" w:space="0" w:color="auto"/>
            <w:bottom w:val="none" w:sz="0" w:space="0" w:color="auto"/>
            <w:right w:val="none" w:sz="0" w:space="0" w:color="auto"/>
          </w:divBdr>
          <w:divsChild>
            <w:div w:id="569852095">
              <w:marLeft w:val="0"/>
              <w:marRight w:val="0"/>
              <w:marTop w:val="0"/>
              <w:marBottom w:val="0"/>
              <w:divBdr>
                <w:top w:val="none" w:sz="0" w:space="0" w:color="auto"/>
                <w:left w:val="none" w:sz="0" w:space="0" w:color="auto"/>
                <w:bottom w:val="none" w:sz="0" w:space="0" w:color="auto"/>
                <w:right w:val="none" w:sz="0" w:space="0" w:color="auto"/>
              </w:divBdr>
            </w:div>
            <w:div w:id="137190259">
              <w:marLeft w:val="439"/>
              <w:marRight w:val="0"/>
              <w:marTop w:val="0"/>
              <w:marBottom w:val="0"/>
              <w:divBdr>
                <w:top w:val="none" w:sz="0" w:space="0" w:color="auto"/>
                <w:left w:val="none" w:sz="0" w:space="0" w:color="auto"/>
                <w:bottom w:val="none" w:sz="0" w:space="0" w:color="auto"/>
                <w:right w:val="none" w:sz="0" w:space="0" w:color="auto"/>
              </w:divBdr>
              <w:divsChild>
                <w:div w:id="211772069">
                  <w:marLeft w:val="0"/>
                  <w:marRight w:val="0"/>
                  <w:marTop w:val="0"/>
                  <w:marBottom w:val="0"/>
                  <w:divBdr>
                    <w:top w:val="none" w:sz="0" w:space="0" w:color="auto"/>
                    <w:left w:val="none" w:sz="0" w:space="0" w:color="auto"/>
                    <w:bottom w:val="none" w:sz="0" w:space="0" w:color="auto"/>
                    <w:right w:val="none" w:sz="0" w:space="0" w:color="auto"/>
                  </w:divBdr>
                  <w:divsChild>
                    <w:div w:id="89283925">
                      <w:marLeft w:val="0"/>
                      <w:marRight w:val="0"/>
                      <w:marTop w:val="0"/>
                      <w:marBottom w:val="0"/>
                      <w:divBdr>
                        <w:top w:val="none" w:sz="0" w:space="0" w:color="auto"/>
                        <w:left w:val="none" w:sz="0" w:space="0" w:color="auto"/>
                        <w:bottom w:val="none" w:sz="0" w:space="0" w:color="auto"/>
                        <w:right w:val="none" w:sz="0" w:space="0" w:color="auto"/>
                      </w:divBdr>
                    </w:div>
                    <w:div w:id="448282552">
                      <w:marLeft w:val="176"/>
                      <w:marRight w:val="0"/>
                      <w:marTop w:val="0"/>
                      <w:marBottom w:val="0"/>
                      <w:divBdr>
                        <w:top w:val="none" w:sz="0" w:space="0" w:color="auto"/>
                        <w:left w:val="none" w:sz="0" w:space="0" w:color="auto"/>
                        <w:bottom w:val="none" w:sz="0" w:space="0" w:color="auto"/>
                        <w:right w:val="none" w:sz="0" w:space="0" w:color="auto"/>
                      </w:divBdr>
                    </w:div>
                  </w:divsChild>
                </w:div>
                <w:div w:id="1218396165">
                  <w:marLeft w:val="0"/>
                  <w:marRight w:val="0"/>
                  <w:marTop w:val="0"/>
                  <w:marBottom w:val="0"/>
                  <w:divBdr>
                    <w:top w:val="none" w:sz="0" w:space="0" w:color="auto"/>
                    <w:left w:val="none" w:sz="0" w:space="0" w:color="auto"/>
                    <w:bottom w:val="none" w:sz="0" w:space="0" w:color="auto"/>
                    <w:right w:val="none" w:sz="0" w:space="0" w:color="auto"/>
                  </w:divBdr>
                  <w:divsChild>
                    <w:div w:id="1800613012">
                      <w:marLeft w:val="0"/>
                      <w:marRight w:val="0"/>
                      <w:marTop w:val="0"/>
                      <w:marBottom w:val="0"/>
                      <w:divBdr>
                        <w:top w:val="none" w:sz="0" w:space="0" w:color="auto"/>
                        <w:left w:val="none" w:sz="0" w:space="0" w:color="auto"/>
                        <w:bottom w:val="none" w:sz="0" w:space="0" w:color="auto"/>
                        <w:right w:val="none" w:sz="0" w:space="0" w:color="auto"/>
                      </w:divBdr>
                    </w:div>
                    <w:div w:id="1290433446">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50624">
          <w:marLeft w:val="0"/>
          <w:marRight w:val="0"/>
          <w:marTop w:val="0"/>
          <w:marBottom w:val="0"/>
          <w:divBdr>
            <w:top w:val="none" w:sz="0" w:space="0" w:color="auto"/>
            <w:left w:val="none" w:sz="0" w:space="0" w:color="auto"/>
            <w:bottom w:val="none" w:sz="0" w:space="0" w:color="auto"/>
            <w:right w:val="none" w:sz="0" w:space="0" w:color="auto"/>
          </w:divBdr>
        </w:div>
      </w:divsChild>
    </w:div>
    <w:div w:id="560598458">
      <w:bodyDiv w:val="1"/>
      <w:marLeft w:val="0"/>
      <w:marRight w:val="0"/>
      <w:marTop w:val="0"/>
      <w:marBottom w:val="0"/>
      <w:divBdr>
        <w:top w:val="none" w:sz="0" w:space="0" w:color="auto"/>
        <w:left w:val="none" w:sz="0" w:space="0" w:color="auto"/>
        <w:bottom w:val="none" w:sz="0" w:space="0" w:color="auto"/>
        <w:right w:val="none" w:sz="0" w:space="0" w:color="auto"/>
      </w:divBdr>
      <w:divsChild>
        <w:div w:id="557518691">
          <w:marLeft w:val="0"/>
          <w:marRight w:val="0"/>
          <w:marTop w:val="0"/>
          <w:marBottom w:val="0"/>
          <w:divBdr>
            <w:top w:val="none" w:sz="0" w:space="0" w:color="auto"/>
            <w:left w:val="none" w:sz="0" w:space="0" w:color="auto"/>
            <w:bottom w:val="none" w:sz="0" w:space="0" w:color="auto"/>
            <w:right w:val="none" w:sz="0" w:space="0" w:color="auto"/>
          </w:divBdr>
          <w:divsChild>
            <w:div w:id="389426701">
              <w:marLeft w:val="0"/>
              <w:marRight w:val="0"/>
              <w:marTop w:val="0"/>
              <w:marBottom w:val="0"/>
              <w:divBdr>
                <w:top w:val="none" w:sz="0" w:space="0" w:color="auto"/>
                <w:left w:val="none" w:sz="0" w:space="0" w:color="auto"/>
                <w:bottom w:val="none" w:sz="0" w:space="0" w:color="auto"/>
                <w:right w:val="none" w:sz="0" w:space="0" w:color="auto"/>
              </w:divBdr>
            </w:div>
            <w:div w:id="725646596">
              <w:marLeft w:val="439"/>
              <w:marRight w:val="0"/>
              <w:marTop w:val="0"/>
              <w:marBottom w:val="0"/>
              <w:divBdr>
                <w:top w:val="none" w:sz="0" w:space="0" w:color="auto"/>
                <w:left w:val="none" w:sz="0" w:space="0" w:color="auto"/>
                <w:bottom w:val="none" w:sz="0" w:space="0" w:color="auto"/>
                <w:right w:val="none" w:sz="0" w:space="0" w:color="auto"/>
              </w:divBdr>
              <w:divsChild>
                <w:div w:id="1276672856">
                  <w:marLeft w:val="0"/>
                  <w:marRight w:val="0"/>
                  <w:marTop w:val="0"/>
                  <w:marBottom w:val="0"/>
                  <w:divBdr>
                    <w:top w:val="none" w:sz="0" w:space="0" w:color="auto"/>
                    <w:left w:val="none" w:sz="0" w:space="0" w:color="auto"/>
                    <w:bottom w:val="none" w:sz="0" w:space="0" w:color="auto"/>
                    <w:right w:val="none" w:sz="0" w:space="0" w:color="auto"/>
                  </w:divBdr>
                  <w:divsChild>
                    <w:div w:id="832338620">
                      <w:marLeft w:val="0"/>
                      <w:marRight w:val="0"/>
                      <w:marTop w:val="0"/>
                      <w:marBottom w:val="0"/>
                      <w:divBdr>
                        <w:top w:val="none" w:sz="0" w:space="0" w:color="auto"/>
                        <w:left w:val="none" w:sz="0" w:space="0" w:color="auto"/>
                        <w:bottom w:val="none" w:sz="0" w:space="0" w:color="auto"/>
                        <w:right w:val="none" w:sz="0" w:space="0" w:color="auto"/>
                      </w:divBdr>
                    </w:div>
                    <w:div w:id="902133343">
                      <w:marLeft w:val="176"/>
                      <w:marRight w:val="0"/>
                      <w:marTop w:val="0"/>
                      <w:marBottom w:val="0"/>
                      <w:divBdr>
                        <w:top w:val="none" w:sz="0" w:space="0" w:color="auto"/>
                        <w:left w:val="none" w:sz="0" w:space="0" w:color="auto"/>
                        <w:bottom w:val="none" w:sz="0" w:space="0" w:color="auto"/>
                        <w:right w:val="none" w:sz="0" w:space="0" w:color="auto"/>
                      </w:divBdr>
                    </w:div>
                  </w:divsChild>
                </w:div>
                <w:div w:id="1563637975">
                  <w:marLeft w:val="0"/>
                  <w:marRight w:val="0"/>
                  <w:marTop w:val="0"/>
                  <w:marBottom w:val="0"/>
                  <w:divBdr>
                    <w:top w:val="none" w:sz="0" w:space="0" w:color="auto"/>
                    <w:left w:val="none" w:sz="0" w:space="0" w:color="auto"/>
                    <w:bottom w:val="none" w:sz="0" w:space="0" w:color="auto"/>
                    <w:right w:val="none" w:sz="0" w:space="0" w:color="auto"/>
                  </w:divBdr>
                  <w:divsChild>
                    <w:div w:id="212664940">
                      <w:marLeft w:val="0"/>
                      <w:marRight w:val="0"/>
                      <w:marTop w:val="0"/>
                      <w:marBottom w:val="0"/>
                      <w:divBdr>
                        <w:top w:val="none" w:sz="0" w:space="0" w:color="auto"/>
                        <w:left w:val="none" w:sz="0" w:space="0" w:color="auto"/>
                        <w:bottom w:val="none" w:sz="0" w:space="0" w:color="auto"/>
                        <w:right w:val="none" w:sz="0" w:space="0" w:color="auto"/>
                      </w:divBdr>
                    </w:div>
                    <w:div w:id="79300647">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439621">
          <w:marLeft w:val="0"/>
          <w:marRight w:val="0"/>
          <w:marTop w:val="0"/>
          <w:marBottom w:val="0"/>
          <w:divBdr>
            <w:top w:val="none" w:sz="0" w:space="0" w:color="auto"/>
            <w:left w:val="none" w:sz="0" w:space="0" w:color="auto"/>
            <w:bottom w:val="none" w:sz="0" w:space="0" w:color="auto"/>
            <w:right w:val="none" w:sz="0" w:space="0" w:color="auto"/>
          </w:divBdr>
        </w:div>
      </w:divsChild>
    </w:div>
    <w:div w:id="981077049">
      <w:bodyDiv w:val="1"/>
      <w:marLeft w:val="0"/>
      <w:marRight w:val="0"/>
      <w:marTop w:val="0"/>
      <w:marBottom w:val="0"/>
      <w:divBdr>
        <w:top w:val="none" w:sz="0" w:space="0" w:color="auto"/>
        <w:left w:val="none" w:sz="0" w:space="0" w:color="auto"/>
        <w:bottom w:val="none" w:sz="0" w:space="0" w:color="auto"/>
        <w:right w:val="none" w:sz="0" w:space="0" w:color="auto"/>
      </w:divBdr>
    </w:div>
    <w:div w:id="1138305428">
      <w:bodyDiv w:val="1"/>
      <w:marLeft w:val="0"/>
      <w:marRight w:val="0"/>
      <w:marTop w:val="0"/>
      <w:marBottom w:val="0"/>
      <w:divBdr>
        <w:top w:val="none" w:sz="0" w:space="0" w:color="auto"/>
        <w:left w:val="none" w:sz="0" w:space="0" w:color="auto"/>
        <w:bottom w:val="none" w:sz="0" w:space="0" w:color="auto"/>
        <w:right w:val="none" w:sz="0" w:space="0" w:color="auto"/>
      </w:divBdr>
    </w:div>
    <w:div w:id="1174614158">
      <w:bodyDiv w:val="1"/>
      <w:marLeft w:val="0"/>
      <w:marRight w:val="0"/>
      <w:marTop w:val="0"/>
      <w:marBottom w:val="0"/>
      <w:divBdr>
        <w:top w:val="none" w:sz="0" w:space="0" w:color="auto"/>
        <w:left w:val="none" w:sz="0" w:space="0" w:color="auto"/>
        <w:bottom w:val="none" w:sz="0" w:space="0" w:color="auto"/>
        <w:right w:val="none" w:sz="0" w:space="0" w:color="auto"/>
      </w:divBdr>
      <w:divsChild>
        <w:div w:id="442918588">
          <w:marLeft w:val="0"/>
          <w:marRight w:val="0"/>
          <w:marTop w:val="0"/>
          <w:marBottom w:val="0"/>
          <w:divBdr>
            <w:top w:val="none" w:sz="0" w:space="0" w:color="auto"/>
            <w:left w:val="none" w:sz="0" w:space="0" w:color="auto"/>
            <w:bottom w:val="none" w:sz="0" w:space="0" w:color="auto"/>
            <w:right w:val="none" w:sz="0" w:space="0" w:color="auto"/>
          </w:divBdr>
          <w:divsChild>
            <w:div w:id="1479346705">
              <w:marLeft w:val="0"/>
              <w:marRight w:val="0"/>
              <w:marTop w:val="0"/>
              <w:marBottom w:val="0"/>
              <w:divBdr>
                <w:top w:val="none" w:sz="0" w:space="0" w:color="auto"/>
                <w:left w:val="none" w:sz="0" w:space="0" w:color="auto"/>
                <w:bottom w:val="none" w:sz="0" w:space="0" w:color="auto"/>
                <w:right w:val="none" w:sz="0" w:space="0" w:color="auto"/>
              </w:divBdr>
            </w:div>
            <w:div w:id="504592830">
              <w:marLeft w:val="439"/>
              <w:marRight w:val="0"/>
              <w:marTop w:val="0"/>
              <w:marBottom w:val="0"/>
              <w:divBdr>
                <w:top w:val="none" w:sz="0" w:space="0" w:color="auto"/>
                <w:left w:val="none" w:sz="0" w:space="0" w:color="auto"/>
                <w:bottom w:val="none" w:sz="0" w:space="0" w:color="auto"/>
                <w:right w:val="none" w:sz="0" w:space="0" w:color="auto"/>
              </w:divBdr>
              <w:divsChild>
                <w:div w:id="2146316944">
                  <w:marLeft w:val="0"/>
                  <w:marRight w:val="0"/>
                  <w:marTop w:val="0"/>
                  <w:marBottom w:val="0"/>
                  <w:divBdr>
                    <w:top w:val="none" w:sz="0" w:space="0" w:color="auto"/>
                    <w:left w:val="none" w:sz="0" w:space="0" w:color="auto"/>
                    <w:bottom w:val="none" w:sz="0" w:space="0" w:color="auto"/>
                    <w:right w:val="none" w:sz="0" w:space="0" w:color="auto"/>
                  </w:divBdr>
                  <w:divsChild>
                    <w:div w:id="1056777527">
                      <w:marLeft w:val="0"/>
                      <w:marRight w:val="0"/>
                      <w:marTop w:val="0"/>
                      <w:marBottom w:val="0"/>
                      <w:divBdr>
                        <w:top w:val="none" w:sz="0" w:space="0" w:color="auto"/>
                        <w:left w:val="none" w:sz="0" w:space="0" w:color="auto"/>
                        <w:bottom w:val="none" w:sz="0" w:space="0" w:color="auto"/>
                        <w:right w:val="none" w:sz="0" w:space="0" w:color="auto"/>
                      </w:divBdr>
                    </w:div>
                    <w:div w:id="1251894729">
                      <w:marLeft w:val="176"/>
                      <w:marRight w:val="0"/>
                      <w:marTop w:val="0"/>
                      <w:marBottom w:val="0"/>
                      <w:divBdr>
                        <w:top w:val="none" w:sz="0" w:space="0" w:color="auto"/>
                        <w:left w:val="none" w:sz="0" w:space="0" w:color="auto"/>
                        <w:bottom w:val="none" w:sz="0" w:space="0" w:color="auto"/>
                        <w:right w:val="none" w:sz="0" w:space="0" w:color="auto"/>
                      </w:divBdr>
                    </w:div>
                  </w:divsChild>
                </w:div>
                <w:div w:id="757825182">
                  <w:marLeft w:val="0"/>
                  <w:marRight w:val="0"/>
                  <w:marTop w:val="0"/>
                  <w:marBottom w:val="0"/>
                  <w:divBdr>
                    <w:top w:val="none" w:sz="0" w:space="0" w:color="auto"/>
                    <w:left w:val="none" w:sz="0" w:space="0" w:color="auto"/>
                    <w:bottom w:val="none" w:sz="0" w:space="0" w:color="auto"/>
                    <w:right w:val="none" w:sz="0" w:space="0" w:color="auto"/>
                  </w:divBdr>
                  <w:divsChild>
                    <w:div w:id="1316645539">
                      <w:marLeft w:val="0"/>
                      <w:marRight w:val="0"/>
                      <w:marTop w:val="0"/>
                      <w:marBottom w:val="0"/>
                      <w:divBdr>
                        <w:top w:val="none" w:sz="0" w:space="0" w:color="auto"/>
                        <w:left w:val="none" w:sz="0" w:space="0" w:color="auto"/>
                        <w:bottom w:val="none" w:sz="0" w:space="0" w:color="auto"/>
                        <w:right w:val="none" w:sz="0" w:space="0" w:color="auto"/>
                      </w:divBdr>
                    </w:div>
                    <w:div w:id="651833101">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12856">
          <w:marLeft w:val="0"/>
          <w:marRight w:val="0"/>
          <w:marTop w:val="0"/>
          <w:marBottom w:val="0"/>
          <w:divBdr>
            <w:top w:val="none" w:sz="0" w:space="0" w:color="auto"/>
            <w:left w:val="none" w:sz="0" w:space="0" w:color="auto"/>
            <w:bottom w:val="none" w:sz="0" w:space="0" w:color="auto"/>
            <w:right w:val="none" w:sz="0" w:space="0" w:color="auto"/>
          </w:divBdr>
        </w:div>
      </w:divsChild>
    </w:div>
    <w:div w:id="1221331401">
      <w:bodyDiv w:val="1"/>
      <w:marLeft w:val="0"/>
      <w:marRight w:val="0"/>
      <w:marTop w:val="0"/>
      <w:marBottom w:val="0"/>
      <w:divBdr>
        <w:top w:val="none" w:sz="0" w:space="0" w:color="auto"/>
        <w:left w:val="none" w:sz="0" w:space="0" w:color="auto"/>
        <w:bottom w:val="none" w:sz="0" w:space="0" w:color="auto"/>
        <w:right w:val="none" w:sz="0" w:space="0" w:color="auto"/>
      </w:divBdr>
    </w:div>
    <w:div w:id="1706364814">
      <w:bodyDiv w:val="1"/>
      <w:marLeft w:val="0"/>
      <w:marRight w:val="0"/>
      <w:marTop w:val="0"/>
      <w:marBottom w:val="0"/>
      <w:divBdr>
        <w:top w:val="none" w:sz="0" w:space="0" w:color="auto"/>
        <w:left w:val="none" w:sz="0" w:space="0" w:color="auto"/>
        <w:bottom w:val="none" w:sz="0" w:space="0" w:color="auto"/>
        <w:right w:val="none" w:sz="0" w:space="0" w:color="auto"/>
      </w:divBdr>
      <w:divsChild>
        <w:div w:id="1022047530">
          <w:marLeft w:val="0"/>
          <w:marRight w:val="0"/>
          <w:marTop w:val="0"/>
          <w:marBottom w:val="0"/>
          <w:divBdr>
            <w:top w:val="none" w:sz="0" w:space="0" w:color="auto"/>
            <w:left w:val="none" w:sz="0" w:space="0" w:color="auto"/>
            <w:bottom w:val="none" w:sz="0" w:space="0" w:color="auto"/>
            <w:right w:val="none" w:sz="0" w:space="0" w:color="auto"/>
          </w:divBdr>
          <w:divsChild>
            <w:div w:id="1757242762">
              <w:marLeft w:val="0"/>
              <w:marRight w:val="0"/>
              <w:marTop w:val="0"/>
              <w:marBottom w:val="0"/>
              <w:divBdr>
                <w:top w:val="none" w:sz="0" w:space="0" w:color="auto"/>
                <w:left w:val="none" w:sz="0" w:space="0" w:color="auto"/>
                <w:bottom w:val="none" w:sz="0" w:space="0" w:color="auto"/>
                <w:right w:val="none" w:sz="0" w:space="0" w:color="auto"/>
              </w:divBdr>
            </w:div>
            <w:div w:id="1766069021">
              <w:marLeft w:val="439"/>
              <w:marRight w:val="0"/>
              <w:marTop w:val="0"/>
              <w:marBottom w:val="0"/>
              <w:divBdr>
                <w:top w:val="none" w:sz="0" w:space="0" w:color="auto"/>
                <w:left w:val="none" w:sz="0" w:space="0" w:color="auto"/>
                <w:bottom w:val="none" w:sz="0" w:space="0" w:color="auto"/>
                <w:right w:val="none" w:sz="0" w:space="0" w:color="auto"/>
              </w:divBdr>
              <w:divsChild>
                <w:div w:id="937787369">
                  <w:marLeft w:val="0"/>
                  <w:marRight w:val="0"/>
                  <w:marTop w:val="0"/>
                  <w:marBottom w:val="0"/>
                  <w:divBdr>
                    <w:top w:val="none" w:sz="0" w:space="0" w:color="auto"/>
                    <w:left w:val="none" w:sz="0" w:space="0" w:color="auto"/>
                    <w:bottom w:val="none" w:sz="0" w:space="0" w:color="auto"/>
                    <w:right w:val="none" w:sz="0" w:space="0" w:color="auto"/>
                  </w:divBdr>
                  <w:divsChild>
                    <w:div w:id="127356299">
                      <w:marLeft w:val="0"/>
                      <w:marRight w:val="0"/>
                      <w:marTop w:val="0"/>
                      <w:marBottom w:val="0"/>
                      <w:divBdr>
                        <w:top w:val="none" w:sz="0" w:space="0" w:color="auto"/>
                        <w:left w:val="none" w:sz="0" w:space="0" w:color="auto"/>
                        <w:bottom w:val="none" w:sz="0" w:space="0" w:color="auto"/>
                        <w:right w:val="none" w:sz="0" w:space="0" w:color="auto"/>
                      </w:divBdr>
                    </w:div>
                    <w:div w:id="2122913081">
                      <w:marLeft w:val="176"/>
                      <w:marRight w:val="0"/>
                      <w:marTop w:val="0"/>
                      <w:marBottom w:val="0"/>
                      <w:divBdr>
                        <w:top w:val="none" w:sz="0" w:space="0" w:color="auto"/>
                        <w:left w:val="none" w:sz="0" w:space="0" w:color="auto"/>
                        <w:bottom w:val="none" w:sz="0" w:space="0" w:color="auto"/>
                        <w:right w:val="none" w:sz="0" w:space="0" w:color="auto"/>
                      </w:divBdr>
                    </w:div>
                  </w:divsChild>
                </w:div>
                <w:div w:id="1413241058">
                  <w:marLeft w:val="0"/>
                  <w:marRight w:val="0"/>
                  <w:marTop w:val="0"/>
                  <w:marBottom w:val="0"/>
                  <w:divBdr>
                    <w:top w:val="none" w:sz="0" w:space="0" w:color="auto"/>
                    <w:left w:val="none" w:sz="0" w:space="0" w:color="auto"/>
                    <w:bottom w:val="none" w:sz="0" w:space="0" w:color="auto"/>
                    <w:right w:val="none" w:sz="0" w:space="0" w:color="auto"/>
                  </w:divBdr>
                  <w:divsChild>
                    <w:div w:id="789083587">
                      <w:marLeft w:val="0"/>
                      <w:marRight w:val="0"/>
                      <w:marTop w:val="0"/>
                      <w:marBottom w:val="0"/>
                      <w:divBdr>
                        <w:top w:val="none" w:sz="0" w:space="0" w:color="auto"/>
                        <w:left w:val="none" w:sz="0" w:space="0" w:color="auto"/>
                        <w:bottom w:val="none" w:sz="0" w:space="0" w:color="auto"/>
                        <w:right w:val="none" w:sz="0" w:space="0" w:color="auto"/>
                      </w:divBdr>
                    </w:div>
                    <w:div w:id="1496725577">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672357">
          <w:marLeft w:val="0"/>
          <w:marRight w:val="0"/>
          <w:marTop w:val="0"/>
          <w:marBottom w:val="0"/>
          <w:divBdr>
            <w:top w:val="none" w:sz="0" w:space="0" w:color="auto"/>
            <w:left w:val="none" w:sz="0" w:space="0" w:color="auto"/>
            <w:bottom w:val="none" w:sz="0" w:space="0" w:color="auto"/>
            <w:right w:val="none" w:sz="0" w:space="0" w:color="auto"/>
          </w:divBdr>
        </w:div>
      </w:divsChild>
    </w:div>
    <w:div w:id="1843232025">
      <w:bodyDiv w:val="1"/>
      <w:marLeft w:val="0"/>
      <w:marRight w:val="0"/>
      <w:marTop w:val="0"/>
      <w:marBottom w:val="0"/>
      <w:divBdr>
        <w:top w:val="none" w:sz="0" w:space="0" w:color="auto"/>
        <w:left w:val="none" w:sz="0" w:space="0" w:color="auto"/>
        <w:bottom w:val="none" w:sz="0" w:space="0" w:color="auto"/>
        <w:right w:val="none" w:sz="0" w:space="0" w:color="auto"/>
      </w:divBdr>
    </w:div>
    <w:div w:id="1867215420">
      <w:bodyDiv w:val="1"/>
      <w:marLeft w:val="0"/>
      <w:marRight w:val="0"/>
      <w:marTop w:val="0"/>
      <w:marBottom w:val="0"/>
      <w:divBdr>
        <w:top w:val="none" w:sz="0" w:space="0" w:color="auto"/>
        <w:left w:val="none" w:sz="0" w:space="0" w:color="auto"/>
        <w:bottom w:val="none" w:sz="0" w:space="0" w:color="auto"/>
        <w:right w:val="none" w:sz="0" w:space="0" w:color="auto"/>
      </w:divBdr>
      <w:divsChild>
        <w:div w:id="1743790929">
          <w:marLeft w:val="0"/>
          <w:marRight w:val="0"/>
          <w:marTop w:val="0"/>
          <w:marBottom w:val="0"/>
          <w:divBdr>
            <w:top w:val="none" w:sz="0" w:space="0" w:color="auto"/>
            <w:left w:val="none" w:sz="0" w:space="0" w:color="auto"/>
            <w:bottom w:val="none" w:sz="0" w:space="0" w:color="auto"/>
            <w:right w:val="none" w:sz="0" w:space="0" w:color="auto"/>
          </w:divBdr>
          <w:divsChild>
            <w:div w:id="1646859384">
              <w:marLeft w:val="0"/>
              <w:marRight w:val="0"/>
              <w:marTop w:val="0"/>
              <w:marBottom w:val="0"/>
              <w:divBdr>
                <w:top w:val="none" w:sz="0" w:space="0" w:color="auto"/>
                <w:left w:val="none" w:sz="0" w:space="0" w:color="auto"/>
                <w:bottom w:val="none" w:sz="0" w:space="0" w:color="auto"/>
                <w:right w:val="none" w:sz="0" w:space="0" w:color="auto"/>
              </w:divBdr>
            </w:div>
            <w:div w:id="242032128">
              <w:marLeft w:val="439"/>
              <w:marRight w:val="0"/>
              <w:marTop w:val="0"/>
              <w:marBottom w:val="0"/>
              <w:divBdr>
                <w:top w:val="none" w:sz="0" w:space="0" w:color="auto"/>
                <w:left w:val="none" w:sz="0" w:space="0" w:color="auto"/>
                <w:bottom w:val="none" w:sz="0" w:space="0" w:color="auto"/>
                <w:right w:val="none" w:sz="0" w:space="0" w:color="auto"/>
              </w:divBdr>
              <w:divsChild>
                <w:div w:id="266040362">
                  <w:marLeft w:val="0"/>
                  <w:marRight w:val="0"/>
                  <w:marTop w:val="0"/>
                  <w:marBottom w:val="0"/>
                  <w:divBdr>
                    <w:top w:val="none" w:sz="0" w:space="0" w:color="auto"/>
                    <w:left w:val="none" w:sz="0" w:space="0" w:color="auto"/>
                    <w:bottom w:val="none" w:sz="0" w:space="0" w:color="auto"/>
                    <w:right w:val="none" w:sz="0" w:space="0" w:color="auto"/>
                  </w:divBdr>
                  <w:divsChild>
                    <w:div w:id="1610812231">
                      <w:marLeft w:val="0"/>
                      <w:marRight w:val="0"/>
                      <w:marTop w:val="0"/>
                      <w:marBottom w:val="0"/>
                      <w:divBdr>
                        <w:top w:val="none" w:sz="0" w:space="0" w:color="auto"/>
                        <w:left w:val="none" w:sz="0" w:space="0" w:color="auto"/>
                        <w:bottom w:val="none" w:sz="0" w:space="0" w:color="auto"/>
                        <w:right w:val="none" w:sz="0" w:space="0" w:color="auto"/>
                      </w:divBdr>
                    </w:div>
                    <w:div w:id="818348996">
                      <w:marLeft w:val="176"/>
                      <w:marRight w:val="0"/>
                      <w:marTop w:val="0"/>
                      <w:marBottom w:val="0"/>
                      <w:divBdr>
                        <w:top w:val="none" w:sz="0" w:space="0" w:color="auto"/>
                        <w:left w:val="none" w:sz="0" w:space="0" w:color="auto"/>
                        <w:bottom w:val="none" w:sz="0" w:space="0" w:color="auto"/>
                        <w:right w:val="none" w:sz="0" w:space="0" w:color="auto"/>
                      </w:divBdr>
                    </w:div>
                  </w:divsChild>
                </w:div>
                <w:div w:id="1472400795">
                  <w:marLeft w:val="0"/>
                  <w:marRight w:val="0"/>
                  <w:marTop w:val="0"/>
                  <w:marBottom w:val="0"/>
                  <w:divBdr>
                    <w:top w:val="none" w:sz="0" w:space="0" w:color="auto"/>
                    <w:left w:val="none" w:sz="0" w:space="0" w:color="auto"/>
                    <w:bottom w:val="none" w:sz="0" w:space="0" w:color="auto"/>
                    <w:right w:val="none" w:sz="0" w:space="0" w:color="auto"/>
                  </w:divBdr>
                  <w:divsChild>
                    <w:div w:id="153230831">
                      <w:marLeft w:val="0"/>
                      <w:marRight w:val="0"/>
                      <w:marTop w:val="0"/>
                      <w:marBottom w:val="0"/>
                      <w:divBdr>
                        <w:top w:val="none" w:sz="0" w:space="0" w:color="auto"/>
                        <w:left w:val="none" w:sz="0" w:space="0" w:color="auto"/>
                        <w:bottom w:val="none" w:sz="0" w:space="0" w:color="auto"/>
                        <w:right w:val="none" w:sz="0" w:space="0" w:color="auto"/>
                      </w:divBdr>
                    </w:div>
                    <w:div w:id="1686976008">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69323">
          <w:marLeft w:val="0"/>
          <w:marRight w:val="0"/>
          <w:marTop w:val="0"/>
          <w:marBottom w:val="0"/>
          <w:divBdr>
            <w:top w:val="none" w:sz="0" w:space="0" w:color="auto"/>
            <w:left w:val="none" w:sz="0" w:space="0" w:color="auto"/>
            <w:bottom w:val="none" w:sz="0" w:space="0" w:color="auto"/>
            <w:right w:val="none" w:sz="0" w:space="0" w:color="auto"/>
          </w:divBdr>
        </w:div>
      </w:divsChild>
    </w:div>
    <w:div w:id="2079204215">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ascrs.confex.com/ascrs/20am/meetingapp.cgi/Paper/687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9.health.gov.au/mbs/search.cfm?q=TN.8.2&amp;Submit=&amp;sop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sac.gov.au/" TargetMode="External"/><Relationship Id="rId19" Type="http://schemas.openxmlformats.org/officeDocument/2006/relationships/hyperlink" Target="http://www9.health.gov.au/mbs/search.cfm?q=TN.8.2&amp;Submit=&amp;sopt=S"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edicarestatistics.humanservices.gov.au/statistics/mbs_item.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2055A-3034-4352-8B46-7E98569F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6063</Words>
  <Characters>34560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2020-10-02T06:32:00Z</dcterms:created>
  <dcterms:modified xsi:type="dcterms:W3CDTF">2020-10-15T00:19:00Z</dcterms:modified>
</cp:coreProperties>
</file>