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B2318E" w14:textId="6B31675A" w:rsidR="003A5C24" w:rsidRPr="004245A0" w:rsidRDefault="003A5C24" w:rsidP="003A5C24">
      <w:pPr>
        <w:spacing w:after="0" w:line="240" w:lineRule="auto"/>
        <w:jc w:val="right"/>
        <w:rPr>
          <w:b/>
          <w:sz w:val="44"/>
          <w:szCs w:val="40"/>
        </w:rPr>
      </w:pPr>
      <w:r w:rsidRPr="004245A0">
        <w:rPr>
          <w:b/>
          <w:sz w:val="44"/>
          <w:szCs w:val="40"/>
        </w:rPr>
        <w:t>Testing for hereditary mutations</w:t>
      </w:r>
      <w:r w:rsidR="004245A0" w:rsidRPr="004245A0">
        <w:rPr>
          <w:b/>
          <w:sz w:val="44"/>
          <w:szCs w:val="40"/>
        </w:rPr>
        <w:t xml:space="preserve"> </w:t>
      </w:r>
      <w:r w:rsidRPr="004245A0">
        <w:rPr>
          <w:b/>
          <w:sz w:val="44"/>
          <w:szCs w:val="40"/>
        </w:rPr>
        <w:t>in the cystic fibrosis transmembrane conductance regulator (CFTR) gene</w:t>
      </w:r>
    </w:p>
    <w:p w14:paraId="56B9A43D" w14:textId="77777777" w:rsidR="003A5C24" w:rsidRPr="004245A0" w:rsidRDefault="003A5C24" w:rsidP="004245A0">
      <w:pPr>
        <w:spacing w:after="0" w:line="600" w:lineRule="auto"/>
        <w:jc w:val="right"/>
        <w:rPr>
          <w:b/>
          <w:sz w:val="44"/>
          <w:szCs w:val="40"/>
        </w:rPr>
      </w:pPr>
    </w:p>
    <w:p w14:paraId="2ADEA70E" w14:textId="3ABB9755" w:rsidR="003A5C24" w:rsidRPr="004245A0" w:rsidRDefault="003A5C24" w:rsidP="004245A0">
      <w:pPr>
        <w:spacing w:after="0" w:line="600" w:lineRule="auto"/>
        <w:jc w:val="right"/>
        <w:rPr>
          <w:b/>
          <w:sz w:val="44"/>
          <w:szCs w:val="40"/>
        </w:rPr>
      </w:pPr>
      <w:r w:rsidRPr="004245A0">
        <w:rPr>
          <w:b/>
          <w:sz w:val="44"/>
          <w:szCs w:val="40"/>
        </w:rPr>
        <w:t>April 2015</w:t>
      </w:r>
    </w:p>
    <w:p w14:paraId="49A96A26" w14:textId="77777777" w:rsidR="003A5C24" w:rsidRPr="004245A0" w:rsidRDefault="003A5C24" w:rsidP="004245A0">
      <w:pPr>
        <w:spacing w:after="0" w:line="600" w:lineRule="auto"/>
        <w:jc w:val="right"/>
        <w:rPr>
          <w:b/>
          <w:sz w:val="44"/>
          <w:szCs w:val="40"/>
        </w:rPr>
      </w:pPr>
    </w:p>
    <w:p w14:paraId="7174F6CC" w14:textId="77777777" w:rsidR="003A5C24" w:rsidRPr="004245A0" w:rsidRDefault="003A5C24" w:rsidP="004245A0">
      <w:pPr>
        <w:spacing w:after="0" w:line="600" w:lineRule="auto"/>
        <w:jc w:val="right"/>
        <w:rPr>
          <w:b/>
          <w:sz w:val="44"/>
          <w:szCs w:val="40"/>
        </w:rPr>
      </w:pPr>
      <w:r w:rsidRPr="004245A0">
        <w:rPr>
          <w:b/>
          <w:sz w:val="44"/>
          <w:szCs w:val="40"/>
        </w:rPr>
        <w:t>MSAC application no. 1216</w:t>
      </w:r>
    </w:p>
    <w:p w14:paraId="25F635A6" w14:textId="77777777" w:rsidR="003A5C24" w:rsidRPr="004245A0" w:rsidRDefault="003A5C24" w:rsidP="004245A0">
      <w:pPr>
        <w:spacing w:after="0" w:line="600" w:lineRule="auto"/>
        <w:jc w:val="right"/>
        <w:rPr>
          <w:b/>
          <w:sz w:val="44"/>
          <w:szCs w:val="40"/>
        </w:rPr>
      </w:pPr>
    </w:p>
    <w:p w14:paraId="28BFABF5" w14:textId="039F01AB" w:rsidR="003A5C24" w:rsidRDefault="003A5C24" w:rsidP="004245A0">
      <w:pPr>
        <w:spacing w:after="0" w:line="600" w:lineRule="auto"/>
        <w:jc w:val="right"/>
      </w:pPr>
      <w:r w:rsidRPr="004245A0">
        <w:rPr>
          <w:b/>
          <w:sz w:val="44"/>
          <w:szCs w:val="40"/>
        </w:rPr>
        <w:t>Assessment report</w:t>
      </w:r>
      <w:r>
        <w:br w:type="page"/>
      </w:r>
    </w:p>
    <w:p w14:paraId="2A23C0F2" w14:textId="77777777" w:rsidR="00FD45B2" w:rsidRPr="00FC79BA" w:rsidRDefault="00FD45B2" w:rsidP="00D76865">
      <w:pPr>
        <w:autoSpaceDE w:val="0"/>
        <w:autoSpaceDN w:val="0"/>
        <w:adjustRightInd w:val="0"/>
        <w:spacing w:after="0"/>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sidRPr="00FC79BA">
        <w:rPr>
          <w:b/>
          <w:bCs/>
          <w:color w:val="000000"/>
          <w:sz w:val="20"/>
          <w:szCs w:val="20"/>
          <w:lang w:eastAsia="zh-TW"/>
        </w:rPr>
        <w:lastRenderedPageBreak/>
        <w:t>© Commonwealth of Australia 20</w:t>
      </w:r>
      <w:r w:rsidR="00525863">
        <w:rPr>
          <w:b/>
          <w:bCs/>
          <w:color w:val="000000"/>
          <w:sz w:val="20"/>
          <w:szCs w:val="20"/>
          <w:lang w:eastAsia="zh-TW"/>
        </w:rPr>
        <w:t>15</w:t>
      </w:r>
    </w:p>
    <w:p w14:paraId="38ADCBC5" w14:textId="77777777" w:rsidR="00FD45B2" w:rsidRPr="00FC79BA" w:rsidRDefault="00FD45B2" w:rsidP="00D76865">
      <w:pPr>
        <w:autoSpaceDE w:val="0"/>
        <w:autoSpaceDN w:val="0"/>
        <w:adjustRightInd w:val="0"/>
        <w:spacing w:after="0" w:line="240" w:lineRule="auto"/>
        <w:rPr>
          <w:b/>
          <w:bCs/>
          <w:color w:val="000000"/>
          <w:sz w:val="20"/>
          <w:szCs w:val="20"/>
          <w:lang w:eastAsia="zh-TW"/>
        </w:rPr>
      </w:pPr>
    </w:p>
    <w:p w14:paraId="7E6F25D2" w14:textId="12499E33" w:rsidR="00FD45B2" w:rsidRPr="00FC79BA" w:rsidRDefault="00FD45B2" w:rsidP="00D76865">
      <w:pPr>
        <w:autoSpaceDE w:val="0"/>
        <w:autoSpaceDN w:val="0"/>
        <w:adjustRightInd w:val="0"/>
        <w:spacing w:after="0" w:line="240" w:lineRule="auto"/>
        <w:rPr>
          <w:b/>
          <w:bCs/>
          <w:sz w:val="20"/>
          <w:szCs w:val="20"/>
          <w:lang w:eastAsia="zh-TW"/>
        </w:rPr>
      </w:pPr>
      <w:r w:rsidRPr="00FC79BA">
        <w:rPr>
          <w:b/>
          <w:bCs/>
          <w:color w:val="000000"/>
          <w:sz w:val="20"/>
          <w:szCs w:val="20"/>
          <w:lang w:eastAsia="zh-TW"/>
        </w:rPr>
        <w:t>ISBN (</w:t>
      </w:r>
      <w:r w:rsidR="00E17B52">
        <w:rPr>
          <w:b/>
          <w:bCs/>
          <w:color w:val="000000"/>
          <w:sz w:val="20"/>
          <w:szCs w:val="20"/>
          <w:lang w:eastAsia="zh-TW"/>
        </w:rPr>
        <w:t>o</w:t>
      </w:r>
      <w:r w:rsidRPr="00FC79BA">
        <w:rPr>
          <w:b/>
          <w:bCs/>
          <w:color w:val="000000"/>
          <w:sz w:val="20"/>
          <w:szCs w:val="20"/>
          <w:lang w:eastAsia="zh-TW"/>
        </w:rPr>
        <w:t xml:space="preserve">nline) </w:t>
      </w:r>
      <w:r w:rsidRPr="00C54F42">
        <w:rPr>
          <w:b/>
          <w:bCs/>
          <w:color w:val="000000"/>
          <w:sz w:val="20"/>
          <w:szCs w:val="20"/>
          <w:highlight w:val="yellow"/>
          <w:lang w:eastAsia="zh-TW"/>
        </w:rPr>
        <w:t>TBA</w:t>
      </w:r>
      <w:r>
        <w:rPr>
          <w:b/>
          <w:bCs/>
          <w:color w:val="000000"/>
          <w:sz w:val="20"/>
          <w:szCs w:val="20"/>
          <w:lang w:eastAsia="zh-TW"/>
        </w:rPr>
        <w:t xml:space="preserve"> </w:t>
      </w:r>
    </w:p>
    <w:p w14:paraId="090AE0A7" w14:textId="77777777" w:rsidR="00FD45B2" w:rsidRPr="00FC79BA" w:rsidRDefault="00FD45B2" w:rsidP="00D76865">
      <w:pPr>
        <w:autoSpaceDE w:val="0"/>
        <w:autoSpaceDN w:val="0"/>
        <w:adjustRightInd w:val="0"/>
        <w:spacing w:after="0" w:line="240" w:lineRule="auto"/>
        <w:rPr>
          <w:b/>
          <w:bCs/>
          <w:color w:val="000000"/>
          <w:sz w:val="20"/>
          <w:szCs w:val="20"/>
          <w:lang w:eastAsia="zh-TW"/>
        </w:rPr>
      </w:pPr>
    </w:p>
    <w:p w14:paraId="015927C9" w14:textId="2D46C5CC" w:rsidR="00FD45B2" w:rsidRPr="00FC79BA" w:rsidRDefault="00FD45B2" w:rsidP="00D7686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w:t>
      </w:r>
      <w:r w:rsidR="00E17B52">
        <w:rPr>
          <w:b/>
          <w:bCs/>
          <w:color w:val="000000"/>
          <w:sz w:val="20"/>
          <w:szCs w:val="20"/>
          <w:lang w:eastAsia="zh-TW"/>
        </w:rPr>
        <w:t>o</w:t>
      </w:r>
      <w:r w:rsidRPr="00FC79BA">
        <w:rPr>
          <w:b/>
          <w:bCs/>
          <w:color w:val="000000"/>
          <w:sz w:val="20"/>
          <w:szCs w:val="20"/>
          <w:lang w:eastAsia="zh-TW"/>
        </w:rPr>
        <w:t>nline) 1443-7139</w:t>
      </w:r>
    </w:p>
    <w:p w14:paraId="5457F793" w14:textId="77777777" w:rsidR="00FD45B2" w:rsidRPr="00FC79BA" w:rsidRDefault="00FD45B2" w:rsidP="00D76865">
      <w:pPr>
        <w:autoSpaceDE w:val="0"/>
        <w:autoSpaceDN w:val="0"/>
        <w:adjustRightInd w:val="0"/>
        <w:spacing w:after="0" w:line="240" w:lineRule="auto"/>
        <w:rPr>
          <w:b/>
          <w:bCs/>
          <w:color w:val="000000"/>
          <w:sz w:val="20"/>
          <w:szCs w:val="20"/>
          <w:lang w:eastAsia="zh-TW"/>
        </w:rPr>
      </w:pPr>
    </w:p>
    <w:p w14:paraId="4DC1AD07" w14:textId="3503BF11" w:rsidR="00FD45B2" w:rsidRPr="00FC79BA" w:rsidRDefault="00FD45B2" w:rsidP="00D7686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 xml:space="preserve">Internet site </w:t>
      </w:r>
      <w:r w:rsidR="00EC282C">
        <w:rPr>
          <w:b/>
          <w:bCs/>
          <w:color w:val="000000"/>
          <w:sz w:val="20"/>
          <w:szCs w:val="20"/>
          <w:lang w:eastAsia="zh-TW"/>
        </w:rPr>
        <w:t>&lt;</w:t>
      </w:r>
      <w:hyperlink r:id="rId9" w:tooltip="link to MSAC website " w:history="1">
        <w:r w:rsidRPr="00FC79BA">
          <w:rPr>
            <w:color w:val="0000FF"/>
            <w:sz w:val="20"/>
            <w:szCs w:val="20"/>
            <w:u w:val="single"/>
            <w:lang w:eastAsia="zh-TW"/>
          </w:rPr>
          <w:t>http://www.msac.gov.au/</w:t>
        </w:r>
      </w:hyperlink>
      <w:r w:rsidR="00EC282C">
        <w:rPr>
          <w:color w:val="0000FF"/>
          <w:sz w:val="20"/>
          <w:szCs w:val="20"/>
          <w:u w:val="single"/>
          <w:lang w:eastAsia="zh-TW"/>
        </w:rPr>
        <w:t>&gt;</w:t>
      </w:r>
    </w:p>
    <w:p w14:paraId="1A17B6B1" w14:textId="77777777" w:rsidR="00FD45B2" w:rsidRPr="00FC79BA" w:rsidRDefault="00FD45B2" w:rsidP="00D76865">
      <w:pPr>
        <w:autoSpaceDE w:val="0"/>
        <w:autoSpaceDN w:val="0"/>
        <w:adjustRightInd w:val="0"/>
        <w:spacing w:after="0" w:line="240" w:lineRule="auto"/>
        <w:rPr>
          <w:b/>
          <w:bCs/>
          <w:color w:val="000000"/>
          <w:sz w:val="20"/>
          <w:szCs w:val="20"/>
          <w:lang w:eastAsia="zh-TW"/>
        </w:rPr>
      </w:pPr>
    </w:p>
    <w:p w14:paraId="1AC87347" w14:textId="357B0DA8" w:rsidR="00FD45B2" w:rsidRPr="00FC79BA" w:rsidRDefault="00FD45B2" w:rsidP="00D76865">
      <w:pPr>
        <w:autoSpaceDE w:val="0"/>
        <w:autoSpaceDN w:val="0"/>
        <w:adjustRightInd w:val="0"/>
        <w:spacing w:after="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w:t>
      </w:r>
      <w:r w:rsidRPr="00C54F42">
        <w:rPr>
          <w:i/>
          <w:color w:val="000000"/>
          <w:sz w:val="20"/>
          <w:szCs w:val="20"/>
        </w:rPr>
        <w:t>Copyright Act 1968</w:t>
      </w:r>
      <w:r w:rsidRPr="00FC79BA">
        <w:rPr>
          <w:color w:val="000000"/>
          <w:sz w:val="20"/>
          <w:szCs w:val="20"/>
        </w:rPr>
        <w:t>, all other rights are reserved. Requests and inquiries concerning reproduction and rights should be addressed to Commonwealth Copyright Administration, Attorney-General's Department, Robert Garran Offices, National Circuit, Barton ACT 2600</w:t>
      </w:r>
      <w:r w:rsidR="00353A5D">
        <w:rPr>
          <w:color w:val="000000"/>
          <w:sz w:val="20"/>
          <w:szCs w:val="20"/>
        </w:rPr>
        <w:t>,</w:t>
      </w:r>
      <w:r w:rsidRPr="00FC79BA">
        <w:rPr>
          <w:color w:val="000000"/>
          <w:sz w:val="20"/>
          <w:szCs w:val="20"/>
        </w:rPr>
        <w:t xml:space="preserve"> or posted at </w:t>
      </w:r>
      <w:r w:rsidR="00EC282C">
        <w:rPr>
          <w:color w:val="000000"/>
          <w:sz w:val="20"/>
          <w:szCs w:val="20"/>
        </w:rPr>
        <w:t>&lt;</w:t>
      </w:r>
      <w:hyperlink r:id="rId10" w:tooltip="Link to Attorney-General's Department web page" w:history="1">
        <w:r w:rsidRPr="00FC79BA">
          <w:rPr>
            <w:color w:val="0000FF"/>
            <w:sz w:val="20"/>
            <w:szCs w:val="20"/>
            <w:u w:val="single"/>
            <w:lang w:eastAsia="zh-TW"/>
          </w:rPr>
          <w:t>http://www.ag.gov.au/</w:t>
        </w:r>
      </w:hyperlink>
      <w:r w:rsidR="00EC282C">
        <w:rPr>
          <w:color w:val="0000FF"/>
          <w:sz w:val="20"/>
          <w:szCs w:val="20"/>
          <w:u w:val="single"/>
          <w:lang w:eastAsia="zh-TW"/>
        </w:rPr>
        <w:t>&gt;</w:t>
      </w:r>
      <w:r w:rsidRPr="00FC79BA">
        <w:rPr>
          <w:color w:val="0000FF"/>
          <w:sz w:val="20"/>
          <w:szCs w:val="20"/>
          <w:lang w:eastAsia="zh-TW"/>
        </w:rPr>
        <w:t>.</w:t>
      </w:r>
    </w:p>
    <w:p w14:paraId="16FB2F81" w14:textId="77777777" w:rsidR="00FD45B2" w:rsidRPr="00FC79BA" w:rsidRDefault="00FD45B2" w:rsidP="00D76865">
      <w:pPr>
        <w:autoSpaceDE w:val="0"/>
        <w:autoSpaceDN w:val="0"/>
        <w:adjustRightInd w:val="0"/>
        <w:spacing w:after="0" w:line="240" w:lineRule="auto"/>
        <w:rPr>
          <w:color w:val="000000"/>
          <w:sz w:val="20"/>
          <w:szCs w:val="20"/>
        </w:rPr>
      </w:pPr>
    </w:p>
    <w:p w14:paraId="3D5A30FE" w14:textId="77777777" w:rsidR="00FD45B2" w:rsidRPr="00FC79BA" w:rsidRDefault="00FD45B2" w:rsidP="00D76865">
      <w:pPr>
        <w:autoSpaceDE w:val="0"/>
        <w:autoSpaceDN w:val="0"/>
        <w:adjustRightInd w:val="0"/>
        <w:spacing w:after="0" w:line="240" w:lineRule="auto"/>
        <w:rPr>
          <w:color w:val="000000"/>
          <w:sz w:val="20"/>
          <w:szCs w:val="20"/>
          <w:lang w:eastAsia="zh-TW"/>
        </w:rPr>
      </w:pPr>
    </w:p>
    <w:p w14:paraId="481664E7" w14:textId="0F1EF097" w:rsidR="00FD45B2" w:rsidRPr="00FC79BA" w:rsidRDefault="00FD45B2" w:rsidP="00D76865">
      <w:pPr>
        <w:autoSpaceDE w:val="0"/>
        <w:autoSpaceDN w:val="0"/>
        <w:adjustRightInd w:val="0"/>
        <w:spacing w:after="0" w:line="240" w:lineRule="auto"/>
        <w:rPr>
          <w:color w:val="1B1B1B"/>
          <w:sz w:val="20"/>
          <w:szCs w:val="20"/>
        </w:rPr>
      </w:pPr>
      <w:r w:rsidRPr="00FC79BA">
        <w:rPr>
          <w:color w:val="000000"/>
          <w:sz w:val="20"/>
          <w:szCs w:val="20"/>
          <w:lang w:eastAsia="zh-TW"/>
        </w:rPr>
        <w:t xml:space="preserve">Electronic copies of the report can be obtained from the Medical Service Advisory Committee’s </w:t>
      </w:r>
      <w:r w:rsidR="007054B8">
        <w:rPr>
          <w:color w:val="000000"/>
          <w:sz w:val="20"/>
          <w:szCs w:val="20"/>
          <w:lang w:eastAsia="zh-TW"/>
        </w:rPr>
        <w:t>i</w:t>
      </w:r>
      <w:r w:rsidRPr="00FC79BA">
        <w:rPr>
          <w:color w:val="000000"/>
          <w:sz w:val="20"/>
          <w:szCs w:val="20"/>
          <w:lang w:eastAsia="zh-TW"/>
        </w:rPr>
        <w:t>nternet site at</w:t>
      </w:r>
      <w:r w:rsidRPr="00FC79BA">
        <w:rPr>
          <w:sz w:val="20"/>
          <w:szCs w:val="20"/>
          <w:lang w:eastAsia="zh-TW"/>
        </w:rPr>
        <w:t xml:space="preserve"> </w:t>
      </w:r>
      <w:r w:rsidR="00EC282C">
        <w:rPr>
          <w:sz w:val="20"/>
          <w:szCs w:val="20"/>
          <w:lang w:eastAsia="zh-TW"/>
        </w:rPr>
        <w:t>&lt;</w:t>
      </w:r>
      <w:hyperlink r:id="rId11" w:tooltip="Link to MSAC web page" w:history="1">
        <w:r w:rsidRPr="00FC79BA">
          <w:rPr>
            <w:color w:val="0000FF"/>
            <w:sz w:val="20"/>
            <w:szCs w:val="20"/>
            <w:u w:val="single"/>
            <w:lang w:eastAsia="zh-TW"/>
          </w:rPr>
          <w:t>http://www.msac.gov.au/</w:t>
        </w:r>
      </w:hyperlink>
      <w:r w:rsidR="00EC282C">
        <w:rPr>
          <w:color w:val="0000FF"/>
          <w:sz w:val="20"/>
          <w:szCs w:val="20"/>
          <w:u w:val="single"/>
          <w:lang w:eastAsia="zh-TW"/>
        </w:rPr>
        <w:t>&gt;.</w:t>
      </w:r>
    </w:p>
    <w:p w14:paraId="1E29C996" w14:textId="77777777" w:rsidR="00FD45B2" w:rsidRPr="00FC79BA" w:rsidRDefault="00FD45B2" w:rsidP="00D76865">
      <w:pPr>
        <w:autoSpaceDE w:val="0"/>
        <w:autoSpaceDN w:val="0"/>
        <w:adjustRightInd w:val="0"/>
        <w:spacing w:after="0" w:line="240" w:lineRule="auto"/>
        <w:rPr>
          <w:color w:val="1B1B1B"/>
          <w:sz w:val="20"/>
          <w:szCs w:val="20"/>
          <w:lang w:eastAsia="zh-TW"/>
        </w:rPr>
      </w:pPr>
    </w:p>
    <w:p w14:paraId="442746E6" w14:textId="3FCDB977" w:rsidR="00FD45B2" w:rsidRPr="00FC79BA" w:rsidRDefault="00FD45B2" w:rsidP="00D76865">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r w:rsidR="00353A5D">
        <w:rPr>
          <w:color w:val="000000"/>
          <w:sz w:val="20"/>
          <w:szCs w:val="20"/>
        </w:rPr>
        <w:t>&lt;</w:t>
      </w:r>
      <w:hyperlink r:id="rId12" w:tooltip="hta@health.gov.au" w:history="1">
        <w:r w:rsidRPr="00FC79BA">
          <w:rPr>
            <w:color w:val="0000FF"/>
            <w:sz w:val="20"/>
            <w:szCs w:val="20"/>
            <w:u w:val="single"/>
          </w:rPr>
          <w:t>hta@health.gov.au</w:t>
        </w:r>
      </w:hyperlink>
      <w:r w:rsidR="00353A5D">
        <w:rPr>
          <w:color w:val="0000FF"/>
          <w:sz w:val="20"/>
          <w:szCs w:val="20"/>
          <w:u w:val="single"/>
        </w:rPr>
        <w:t>&gt;</w:t>
      </w:r>
      <w:r w:rsidRPr="00FC79BA">
        <w:rPr>
          <w:color w:val="000000"/>
          <w:sz w:val="20"/>
          <w:szCs w:val="20"/>
        </w:rPr>
        <w:t>.</w:t>
      </w:r>
    </w:p>
    <w:p w14:paraId="31D7C35E" w14:textId="77777777" w:rsidR="00FD45B2" w:rsidRPr="00FC79BA" w:rsidRDefault="00FD45B2" w:rsidP="00D76865">
      <w:pPr>
        <w:autoSpaceDE w:val="0"/>
        <w:autoSpaceDN w:val="0"/>
        <w:adjustRightInd w:val="0"/>
        <w:spacing w:after="0" w:line="240" w:lineRule="auto"/>
        <w:rPr>
          <w:color w:val="1B1B1B"/>
          <w:sz w:val="20"/>
          <w:szCs w:val="20"/>
          <w:lang w:eastAsia="zh-TW"/>
        </w:rPr>
      </w:pPr>
    </w:p>
    <w:p w14:paraId="3D6EB082" w14:textId="77777777" w:rsidR="00FD45B2" w:rsidRPr="00FC79BA" w:rsidRDefault="00FD45B2" w:rsidP="00D76865">
      <w:pPr>
        <w:autoSpaceDE w:val="0"/>
        <w:autoSpaceDN w:val="0"/>
        <w:adjustRightInd w:val="0"/>
        <w:spacing w:after="0" w:line="240" w:lineRule="auto"/>
        <w:rPr>
          <w:color w:val="1B1B1B"/>
          <w:sz w:val="20"/>
          <w:szCs w:val="20"/>
          <w:lang w:eastAsia="zh-TW"/>
        </w:rPr>
      </w:pPr>
    </w:p>
    <w:p w14:paraId="5A765061" w14:textId="77777777" w:rsidR="00FD45B2" w:rsidRPr="00FC79BA" w:rsidRDefault="00FD45B2" w:rsidP="00D76865">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07F67B53" w14:textId="77777777" w:rsidR="00FD45B2" w:rsidRPr="00FC79BA" w:rsidRDefault="00FD45B2" w:rsidP="00D76865">
      <w:pPr>
        <w:autoSpaceDE w:val="0"/>
        <w:autoSpaceDN w:val="0"/>
        <w:adjustRightInd w:val="0"/>
        <w:spacing w:after="0" w:line="240" w:lineRule="auto"/>
        <w:rPr>
          <w:color w:val="000000"/>
          <w:sz w:val="20"/>
          <w:szCs w:val="20"/>
          <w:lang w:eastAsia="zh-TW"/>
        </w:rPr>
      </w:pPr>
    </w:p>
    <w:p w14:paraId="15E5C9B7" w14:textId="77777777" w:rsidR="00FD45B2" w:rsidRPr="00FC79BA" w:rsidRDefault="00FD45B2" w:rsidP="00D76865">
      <w:pPr>
        <w:autoSpaceDE w:val="0"/>
        <w:autoSpaceDN w:val="0"/>
        <w:adjustRightInd w:val="0"/>
        <w:spacing w:after="0" w:line="240" w:lineRule="auto"/>
        <w:rPr>
          <w:color w:val="000000"/>
          <w:sz w:val="20"/>
          <w:szCs w:val="20"/>
          <w:lang w:eastAsia="zh-TW"/>
        </w:rPr>
      </w:pPr>
    </w:p>
    <w:p w14:paraId="2B782B8D" w14:textId="77777777" w:rsidR="00FD45B2" w:rsidRPr="00FC79BA" w:rsidRDefault="00FD45B2" w:rsidP="00D76865">
      <w:pPr>
        <w:autoSpaceDE w:val="0"/>
        <w:autoSpaceDN w:val="0"/>
        <w:adjustRightInd w:val="0"/>
        <w:spacing w:after="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3C2B914C" w14:textId="77777777" w:rsidR="00FD45B2" w:rsidRPr="00FC79BA" w:rsidRDefault="00FD45B2" w:rsidP="00D76865">
      <w:pPr>
        <w:autoSpaceDE w:val="0"/>
        <w:autoSpaceDN w:val="0"/>
        <w:adjustRightInd w:val="0"/>
        <w:spacing w:after="0" w:line="240" w:lineRule="auto"/>
        <w:rPr>
          <w:color w:val="000000"/>
          <w:sz w:val="20"/>
          <w:szCs w:val="20"/>
          <w:lang w:eastAsia="zh-TW"/>
        </w:rPr>
      </w:pPr>
    </w:p>
    <w:p w14:paraId="6E71D89D" w14:textId="77777777" w:rsidR="00FD45B2" w:rsidRPr="00FC79BA" w:rsidRDefault="00FD45B2" w:rsidP="00D76865">
      <w:pPr>
        <w:autoSpaceDE w:val="0"/>
        <w:autoSpaceDN w:val="0"/>
        <w:adjustRightInd w:val="0"/>
        <w:spacing w:after="0" w:line="240" w:lineRule="auto"/>
        <w:rPr>
          <w:color w:val="000000"/>
          <w:sz w:val="20"/>
          <w:szCs w:val="20"/>
          <w:lang w:eastAsia="zh-TW"/>
        </w:rPr>
      </w:pPr>
    </w:p>
    <w:p w14:paraId="208FEE3B" w14:textId="51DC97CB" w:rsidR="00FD45B2" w:rsidRPr="00FC79BA" w:rsidRDefault="00FD45B2" w:rsidP="00D76865">
      <w:pPr>
        <w:autoSpaceDE w:val="0"/>
        <w:autoSpaceDN w:val="0"/>
        <w:adjustRightInd w:val="0"/>
        <w:spacing w:after="0" w:line="240" w:lineRule="auto"/>
        <w:rPr>
          <w:sz w:val="20"/>
          <w:szCs w:val="20"/>
        </w:rPr>
      </w:pPr>
      <w:r w:rsidRPr="00FC79BA">
        <w:rPr>
          <w:sz w:val="20"/>
          <w:szCs w:val="20"/>
        </w:rPr>
        <w:t xml:space="preserve">This report was prepared by </w:t>
      </w:r>
      <w:r w:rsidR="00525863">
        <w:rPr>
          <w:sz w:val="20"/>
          <w:szCs w:val="20"/>
        </w:rPr>
        <w:t xml:space="preserve">Ms Sharon Kessels, </w:t>
      </w:r>
      <w:r w:rsidR="0051284B">
        <w:rPr>
          <w:sz w:val="20"/>
          <w:szCs w:val="20"/>
        </w:rPr>
        <w:t>Dr Judy Morona, D</w:t>
      </w:r>
      <w:r w:rsidR="00525863">
        <w:rPr>
          <w:sz w:val="20"/>
          <w:szCs w:val="20"/>
        </w:rPr>
        <w:t>r Ruchi Mittal, Ms Arlene Vogan, Ms Skye Newton</w:t>
      </w:r>
      <w:r w:rsidR="00091A85">
        <w:rPr>
          <w:sz w:val="20"/>
          <w:szCs w:val="20"/>
        </w:rPr>
        <w:t>, Ms Camille Schubert</w:t>
      </w:r>
      <w:r w:rsidR="00525863">
        <w:rPr>
          <w:sz w:val="20"/>
          <w:szCs w:val="20"/>
        </w:rPr>
        <w:t xml:space="preserve"> and Assoc. Prof. Tracy Merlin</w:t>
      </w:r>
      <w:r w:rsidR="00A26CF4">
        <w:rPr>
          <w:sz w:val="20"/>
          <w:szCs w:val="20"/>
        </w:rPr>
        <w:t xml:space="preserve"> </w:t>
      </w:r>
      <w:r w:rsidRPr="00FC79BA">
        <w:rPr>
          <w:sz w:val="20"/>
          <w:szCs w:val="20"/>
        </w:rPr>
        <w:t xml:space="preserve">from </w:t>
      </w:r>
      <w:r w:rsidR="00525863">
        <w:rPr>
          <w:sz w:val="20"/>
          <w:szCs w:val="20"/>
        </w:rPr>
        <w:t>Adelaide Health Technology Assessment (AHTA)</w:t>
      </w:r>
      <w:r w:rsidRPr="00FC79BA">
        <w:rPr>
          <w:sz w:val="20"/>
          <w:szCs w:val="20"/>
        </w:rPr>
        <w:t xml:space="preserve">. Clinical advice was provided by </w:t>
      </w:r>
      <w:r w:rsidR="0051284B">
        <w:rPr>
          <w:sz w:val="20"/>
          <w:szCs w:val="20"/>
        </w:rPr>
        <w:t>Dr Felicity Collins, D</w:t>
      </w:r>
      <w:r w:rsidR="008205F7">
        <w:rPr>
          <w:sz w:val="20"/>
          <w:szCs w:val="20"/>
        </w:rPr>
        <w:t xml:space="preserve">r Carolyn </w:t>
      </w:r>
      <w:r w:rsidR="0051284B">
        <w:rPr>
          <w:sz w:val="20"/>
          <w:szCs w:val="20"/>
        </w:rPr>
        <w:t>Shalhoub, Dr Michael Gattas and D</w:t>
      </w:r>
      <w:r w:rsidR="008205F7">
        <w:rPr>
          <w:sz w:val="20"/>
          <w:szCs w:val="20"/>
        </w:rPr>
        <w:t>r John Massie</w:t>
      </w:r>
      <w:r w:rsidR="00E17B52">
        <w:rPr>
          <w:sz w:val="20"/>
          <w:szCs w:val="20"/>
        </w:rPr>
        <w:t>,</w:t>
      </w:r>
      <w:r w:rsidRPr="00FC79BA">
        <w:rPr>
          <w:sz w:val="20"/>
          <w:szCs w:val="20"/>
        </w:rPr>
        <w:t xml:space="preserve"> </w:t>
      </w:r>
      <w:r>
        <w:rPr>
          <w:sz w:val="20"/>
          <w:szCs w:val="20"/>
        </w:rPr>
        <w:t xml:space="preserve">who are </w:t>
      </w:r>
      <w:r w:rsidRPr="00FC79BA">
        <w:rPr>
          <w:sz w:val="20"/>
          <w:szCs w:val="20"/>
        </w:rPr>
        <w:t xml:space="preserve">members of the Health Expert Standing Panel. The report was commissioned by the Australian Government Department of Health. It was edited by </w:t>
      </w:r>
      <w:r w:rsidR="00E17B52">
        <w:rPr>
          <w:sz w:val="20"/>
          <w:szCs w:val="20"/>
        </w:rPr>
        <w:t>Mason Edit, Adelaide</w:t>
      </w:r>
      <w:r>
        <w:rPr>
          <w:sz w:val="20"/>
          <w:szCs w:val="20"/>
        </w:rPr>
        <w:t>.</w:t>
      </w:r>
    </w:p>
    <w:p w14:paraId="4CB31630" w14:textId="77777777" w:rsidR="00FD45B2" w:rsidRPr="00FC79BA" w:rsidRDefault="00FD45B2" w:rsidP="00D76865">
      <w:pPr>
        <w:autoSpaceDE w:val="0"/>
        <w:autoSpaceDN w:val="0"/>
        <w:adjustRightInd w:val="0"/>
        <w:spacing w:after="0" w:line="240" w:lineRule="auto"/>
        <w:rPr>
          <w:sz w:val="20"/>
          <w:szCs w:val="20"/>
        </w:rPr>
      </w:pPr>
    </w:p>
    <w:p w14:paraId="0D671797" w14:textId="77777777" w:rsidR="00FD45B2" w:rsidRPr="00FC79BA" w:rsidRDefault="00FD45B2" w:rsidP="00D76865">
      <w:pPr>
        <w:autoSpaceDE w:val="0"/>
        <w:autoSpaceDN w:val="0"/>
        <w:adjustRightInd w:val="0"/>
        <w:spacing w:after="0" w:line="240" w:lineRule="auto"/>
        <w:rPr>
          <w:rFonts w:cs="Humanist521BT-Roman"/>
          <w:color w:val="231F20"/>
          <w:sz w:val="20"/>
          <w:szCs w:val="20"/>
        </w:rPr>
      </w:pPr>
      <w:r w:rsidRPr="00FC79BA">
        <w:rPr>
          <w:rFonts w:cs="Humanist521BT-Roman"/>
          <w:color w:val="231F20"/>
          <w:sz w:val="20"/>
          <w:szCs w:val="20"/>
        </w:rPr>
        <w:t>The suggested citation for this document is:</w:t>
      </w:r>
    </w:p>
    <w:p w14:paraId="4700C1C3" w14:textId="77777777" w:rsidR="00FD45B2" w:rsidRPr="00A26CF4" w:rsidRDefault="00FD45B2" w:rsidP="00D76865">
      <w:pPr>
        <w:autoSpaceDE w:val="0"/>
        <w:autoSpaceDN w:val="0"/>
        <w:adjustRightInd w:val="0"/>
        <w:spacing w:after="0" w:line="240" w:lineRule="auto"/>
        <w:rPr>
          <w:sz w:val="20"/>
          <w:szCs w:val="20"/>
        </w:rPr>
      </w:pPr>
    </w:p>
    <w:p w14:paraId="031641BE" w14:textId="0F621F89" w:rsidR="00A26CF4" w:rsidRDefault="00A26CF4" w:rsidP="00D76865">
      <w:pPr>
        <w:autoSpaceDE w:val="0"/>
        <w:autoSpaceDN w:val="0"/>
        <w:adjustRightInd w:val="0"/>
        <w:spacing w:after="0" w:line="240" w:lineRule="auto"/>
        <w:rPr>
          <w:sz w:val="20"/>
          <w:szCs w:val="20"/>
        </w:rPr>
      </w:pPr>
      <w:r w:rsidRPr="00A26CF4">
        <w:rPr>
          <w:sz w:val="20"/>
          <w:szCs w:val="20"/>
        </w:rPr>
        <w:t>Kessels S</w:t>
      </w:r>
      <w:r>
        <w:rPr>
          <w:sz w:val="20"/>
          <w:szCs w:val="20"/>
        </w:rPr>
        <w:t>JM</w:t>
      </w:r>
      <w:r w:rsidRPr="00A26CF4">
        <w:rPr>
          <w:sz w:val="20"/>
          <w:szCs w:val="20"/>
        </w:rPr>
        <w:t>, Morona J</w:t>
      </w:r>
      <w:r>
        <w:rPr>
          <w:sz w:val="20"/>
          <w:szCs w:val="20"/>
        </w:rPr>
        <w:t>K</w:t>
      </w:r>
      <w:r w:rsidRPr="00A26CF4">
        <w:rPr>
          <w:sz w:val="20"/>
          <w:szCs w:val="20"/>
        </w:rPr>
        <w:t xml:space="preserve">, Mittal R, Vogan A, Newton S, </w:t>
      </w:r>
      <w:r w:rsidR="00091A85">
        <w:rPr>
          <w:sz w:val="20"/>
          <w:szCs w:val="20"/>
        </w:rPr>
        <w:t xml:space="preserve">Schubert C, </w:t>
      </w:r>
      <w:r w:rsidRPr="00A26CF4">
        <w:rPr>
          <w:sz w:val="20"/>
          <w:szCs w:val="20"/>
        </w:rPr>
        <w:t>Merlin T (2015)</w:t>
      </w:r>
      <w:r w:rsidR="007054B8">
        <w:rPr>
          <w:sz w:val="20"/>
          <w:szCs w:val="20"/>
        </w:rPr>
        <w:t>.</w:t>
      </w:r>
      <w:r w:rsidRPr="00A26CF4">
        <w:rPr>
          <w:sz w:val="20"/>
          <w:szCs w:val="20"/>
        </w:rPr>
        <w:t xml:space="preserve"> Testing for hereditary mutations in the </w:t>
      </w:r>
      <w:r w:rsidR="00E17B52">
        <w:rPr>
          <w:sz w:val="20"/>
          <w:szCs w:val="20"/>
        </w:rPr>
        <w:t>c</w:t>
      </w:r>
      <w:r w:rsidR="00F9373B">
        <w:rPr>
          <w:sz w:val="20"/>
          <w:szCs w:val="20"/>
        </w:rPr>
        <w:t xml:space="preserve">ystic </w:t>
      </w:r>
      <w:r w:rsidR="00E17B52">
        <w:rPr>
          <w:sz w:val="20"/>
          <w:szCs w:val="20"/>
        </w:rPr>
        <w:t>f</w:t>
      </w:r>
      <w:r w:rsidR="00F9373B">
        <w:rPr>
          <w:sz w:val="20"/>
          <w:szCs w:val="20"/>
        </w:rPr>
        <w:t xml:space="preserve">ibrosis </w:t>
      </w:r>
      <w:r w:rsidR="00E17B52">
        <w:rPr>
          <w:sz w:val="20"/>
          <w:szCs w:val="20"/>
        </w:rPr>
        <w:t>t</w:t>
      </w:r>
      <w:r w:rsidR="00F9373B">
        <w:rPr>
          <w:sz w:val="20"/>
          <w:szCs w:val="20"/>
        </w:rPr>
        <w:t xml:space="preserve">ransmembrane conductance </w:t>
      </w:r>
      <w:r w:rsidR="00E17B52">
        <w:rPr>
          <w:sz w:val="20"/>
          <w:szCs w:val="20"/>
        </w:rPr>
        <w:t>r</w:t>
      </w:r>
      <w:r w:rsidR="00F9373B">
        <w:rPr>
          <w:sz w:val="20"/>
          <w:szCs w:val="20"/>
        </w:rPr>
        <w:t>egulator</w:t>
      </w:r>
      <w:r w:rsidRPr="00A26CF4">
        <w:rPr>
          <w:sz w:val="20"/>
          <w:szCs w:val="20"/>
        </w:rPr>
        <w:t xml:space="preserve"> (</w:t>
      </w:r>
      <w:r w:rsidR="00A21FD9" w:rsidRPr="00A21FD9">
        <w:rPr>
          <w:i/>
          <w:sz w:val="20"/>
          <w:szCs w:val="20"/>
        </w:rPr>
        <w:t>CFTR</w:t>
      </w:r>
      <w:r w:rsidRPr="00A26CF4">
        <w:rPr>
          <w:sz w:val="20"/>
          <w:szCs w:val="20"/>
        </w:rPr>
        <w:t xml:space="preserve">) gene. MSAC </w:t>
      </w:r>
      <w:r w:rsidR="007054B8">
        <w:rPr>
          <w:sz w:val="20"/>
          <w:szCs w:val="20"/>
        </w:rPr>
        <w:t>a</w:t>
      </w:r>
      <w:r w:rsidRPr="00A26CF4">
        <w:rPr>
          <w:sz w:val="20"/>
          <w:szCs w:val="20"/>
        </w:rPr>
        <w:t>pplication 1216, Assessment Report. Commonwealth of Australia, Canberra, ACT.</w:t>
      </w:r>
    </w:p>
    <w:p w14:paraId="7C8F813F" w14:textId="518B5762" w:rsidR="002C1A34" w:rsidRPr="00A26CF4" w:rsidRDefault="00093AB4" w:rsidP="00D76865">
      <w:pPr>
        <w:autoSpaceDE w:val="0"/>
        <w:autoSpaceDN w:val="0"/>
        <w:adjustRightInd w:val="0"/>
        <w:spacing w:after="0" w:line="240" w:lineRule="auto"/>
        <w:rPr>
          <w:sz w:val="20"/>
          <w:szCs w:val="20"/>
        </w:rPr>
      </w:pPr>
      <w:r>
        <w:rPr>
          <w:noProof/>
          <w:sz w:val="20"/>
          <w:szCs w:val="20"/>
        </w:rPr>
        <w:drawing>
          <wp:inline distT="0" distB="0" distL="0" distR="0" wp14:anchorId="69A43AC4" wp14:editId="5C6F6E2F">
            <wp:extent cx="2420620" cy="1542415"/>
            <wp:effectExtent l="0" t="0" r="0" b="635"/>
            <wp:docPr id="8" name="Picture 8" descr="IPT Mark INAHTA" title="IPT Mark INA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0620" cy="1542415"/>
                    </a:xfrm>
                    <a:prstGeom prst="rect">
                      <a:avLst/>
                    </a:prstGeom>
                    <a:noFill/>
                  </pic:spPr>
                </pic:pic>
              </a:graphicData>
            </a:graphic>
          </wp:inline>
        </w:drawing>
      </w:r>
    </w:p>
    <w:p w14:paraId="703D1A1D" w14:textId="77777777" w:rsidR="004C6CA6" w:rsidRPr="00183E4D" w:rsidRDefault="004C6CA6" w:rsidP="00DF343F">
      <w:pPr>
        <w:rPr>
          <w:sz w:val="20"/>
          <w:szCs w:val="20"/>
        </w:rPr>
      </w:pPr>
    </w:p>
    <w:p w14:paraId="731FB887" w14:textId="77777777" w:rsidR="004C6CA6" w:rsidRPr="00183E4D" w:rsidRDefault="004C6CA6" w:rsidP="00DF343F">
      <w:pPr>
        <w:sectPr w:rsidR="004C6CA6" w:rsidRPr="00183E4D" w:rsidSect="000D04B6">
          <w:headerReference w:type="default" r:id="rId14"/>
          <w:headerReference w:type="first" r:id="rId15"/>
          <w:type w:val="oddPage"/>
          <w:pgSz w:w="11907" w:h="16840" w:code="9"/>
          <w:pgMar w:top="1440" w:right="1440" w:bottom="1440" w:left="1440" w:header="578" w:footer="578" w:gutter="0"/>
          <w:pgNumType w:fmt="lowerRoman" w:start="1"/>
          <w:cols w:space="720"/>
          <w:noEndnote/>
          <w:titlePg/>
        </w:sectPr>
      </w:pPr>
    </w:p>
    <w:p w14:paraId="22F705C3" w14:textId="77777777" w:rsidR="008F59A8" w:rsidRPr="00183E4D" w:rsidRDefault="008F59A8" w:rsidP="00DF343F">
      <w:pPr>
        <w:pStyle w:val="Heading1"/>
      </w:pPr>
      <w:bookmarkStart w:id="13" w:name="_Toc395200735"/>
      <w:bookmarkStart w:id="14" w:name="_Toc399247190"/>
      <w:bookmarkStart w:id="15" w:name="_Toc418179264"/>
      <w:bookmarkStart w:id="16" w:name="_Toc418179671"/>
      <w:bookmarkStart w:id="17" w:name="_Toc418179858"/>
      <w:r w:rsidRPr="00183E4D">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71381" w:rsidRPr="00183E4D">
        <w:tab/>
      </w:r>
    </w:p>
    <w:sdt>
      <w:sdtPr>
        <w:rPr>
          <w:b w:val="0"/>
          <w:noProof w:val="0"/>
        </w:rPr>
        <w:id w:val="-1664701443"/>
        <w:docPartObj>
          <w:docPartGallery w:val="Table of Contents"/>
          <w:docPartUnique/>
        </w:docPartObj>
      </w:sdtPr>
      <w:sdtEndPr>
        <w:rPr>
          <w:bCs/>
        </w:rPr>
      </w:sdtEndPr>
      <w:sdtContent>
        <w:p w14:paraId="0B84085C" w14:textId="44A3F311" w:rsidR="00671BF5" w:rsidRDefault="00F81651" w:rsidP="00665B03">
          <w:pPr>
            <w:pStyle w:val="TOC1"/>
            <w:tabs>
              <w:tab w:val="left" w:pos="709"/>
            </w:tabs>
            <w:rPr>
              <w:rFonts w:asciiTheme="minorHAnsi" w:eastAsiaTheme="minorEastAsia" w:hAnsiTheme="minorHAnsi" w:cstheme="minorBidi"/>
              <w:b w:val="0"/>
            </w:rPr>
          </w:pPr>
          <w:r>
            <w:fldChar w:fldCharType="begin"/>
          </w:r>
          <w:r>
            <w:instrText xml:space="preserve"> TOC \o "1-3" \h \z \u </w:instrText>
          </w:r>
          <w:r>
            <w:fldChar w:fldCharType="separate"/>
          </w:r>
          <w:hyperlink w:anchor="_Toc418179861" w:history="1">
            <w:r w:rsidR="00671BF5" w:rsidRPr="00E62000">
              <w:rPr>
                <w:rStyle w:val="Hyperlink"/>
              </w:rPr>
              <w:t>Executive Summary</w:t>
            </w:r>
            <w:r w:rsidR="00671BF5">
              <w:rPr>
                <w:webHidden/>
              </w:rPr>
              <w:tab/>
            </w:r>
            <w:r w:rsidR="00671BF5">
              <w:rPr>
                <w:webHidden/>
              </w:rPr>
              <w:fldChar w:fldCharType="begin"/>
            </w:r>
            <w:r w:rsidR="00671BF5">
              <w:rPr>
                <w:webHidden/>
              </w:rPr>
              <w:instrText xml:space="preserve"> PAGEREF _Toc418179861 \h </w:instrText>
            </w:r>
            <w:r w:rsidR="00671BF5">
              <w:rPr>
                <w:webHidden/>
              </w:rPr>
            </w:r>
            <w:r w:rsidR="00671BF5">
              <w:rPr>
                <w:webHidden/>
              </w:rPr>
              <w:fldChar w:fldCharType="separate"/>
            </w:r>
            <w:r w:rsidR="00B909E6">
              <w:rPr>
                <w:webHidden/>
              </w:rPr>
              <w:t>xv</w:t>
            </w:r>
            <w:r w:rsidR="00671BF5">
              <w:rPr>
                <w:webHidden/>
              </w:rPr>
              <w:fldChar w:fldCharType="end"/>
            </w:r>
          </w:hyperlink>
        </w:p>
        <w:p w14:paraId="5D362F55" w14:textId="77777777" w:rsidR="00671BF5" w:rsidRDefault="00447183" w:rsidP="00C54F42">
          <w:pPr>
            <w:pStyle w:val="TOC3"/>
            <w:rPr>
              <w:rFonts w:asciiTheme="minorHAnsi" w:eastAsiaTheme="minorEastAsia" w:hAnsiTheme="minorHAnsi" w:cstheme="minorBidi"/>
            </w:rPr>
          </w:pPr>
          <w:hyperlink w:anchor="_Toc418179863" w:history="1">
            <w:r w:rsidR="00671BF5" w:rsidRPr="00E62000">
              <w:rPr>
                <w:rStyle w:val="Hyperlink"/>
              </w:rPr>
              <w:t>A.1</w:t>
            </w:r>
            <w:r w:rsidR="00671BF5">
              <w:rPr>
                <w:rFonts w:asciiTheme="minorHAnsi" w:eastAsiaTheme="minorEastAsia" w:hAnsiTheme="minorHAnsi" w:cstheme="minorBidi"/>
              </w:rPr>
              <w:tab/>
            </w:r>
            <w:r w:rsidR="00671BF5" w:rsidRPr="00E62000">
              <w:rPr>
                <w:rStyle w:val="Hyperlink"/>
              </w:rPr>
              <w:t>Rationale for Assessment</w:t>
            </w:r>
            <w:r w:rsidR="00671BF5">
              <w:rPr>
                <w:webHidden/>
              </w:rPr>
              <w:tab/>
            </w:r>
            <w:r w:rsidR="00671BF5">
              <w:rPr>
                <w:webHidden/>
              </w:rPr>
              <w:fldChar w:fldCharType="begin"/>
            </w:r>
            <w:r w:rsidR="00671BF5">
              <w:rPr>
                <w:webHidden/>
              </w:rPr>
              <w:instrText xml:space="preserve"> PAGEREF _Toc418179863 \h </w:instrText>
            </w:r>
            <w:r w:rsidR="00671BF5">
              <w:rPr>
                <w:webHidden/>
              </w:rPr>
            </w:r>
            <w:r w:rsidR="00671BF5">
              <w:rPr>
                <w:webHidden/>
              </w:rPr>
              <w:fldChar w:fldCharType="separate"/>
            </w:r>
            <w:r w:rsidR="00B909E6">
              <w:rPr>
                <w:webHidden/>
              </w:rPr>
              <w:t>xv</w:t>
            </w:r>
            <w:r w:rsidR="00671BF5">
              <w:rPr>
                <w:webHidden/>
              </w:rPr>
              <w:fldChar w:fldCharType="end"/>
            </w:r>
          </w:hyperlink>
        </w:p>
        <w:p w14:paraId="02C2AAC5" w14:textId="77777777" w:rsidR="00671BF5" w:rsidRDefault="00447183" w:rsidP="00C54F42">
          <w:pPr>
            <w:pStyle w:val="TOC3"/>
            <w:rPr>
              <w:rFonts w:asciiTheme="minorHAnsi" w:eastAsiaTheme="minorEastAsia" w:hAnsiTheme="minorHAnsi" w:cstheme="minorBidi"/>
            </w:rPr>
          </w:pPr>
          <w:hyperlink w:anchor="_Toc418179864" w:history="1">
            <w:r w:rsidR="00671BF5" w:rsidRPr="00E62000">
              <w:rPr>
                <w:rStyle w:val="Hyperlink"/>
              </w:rPr>
              <w:t>A.2</w:t>
            </w:r>
            <w:r w:rsidR="00671BF5">
              <w:rPr>
                <w:rFonts w:asciiTheme="minorHAnsi" w:eastAsiaTheme="minorEastAsia" w:hAnsiTheme="minorHAnsi" w:cstheme="minorBidi"/>
              </w:rPr>
              <w:tab/>
            </w:r>
            <w:r w:rsidR="00671BF5" w:rsidRPr="00E62000">
              <w:rPr>
                <w:rStyle w:val="Hyperlink"/>
              </w:rPr>
              <w:t>Proposed Medical Service</w:t>
            </w:r>
            <w:r w:rsidR="00671BF5">
              <w:rPr>
                <w:webHidden/>
              </w:rPr>
              <w:tab/>
            </w:r>
            <w:r w:rsidR="00671BF5">
              <w:rPr>
                <w:webHidden/>
              </w:rPr>
              <w:fldChar w:fldCharType="begin"/>
            </w:r>
            <w:r w:rsidR="00671BF5">
              <w:rPr>
                <w:webHidden/>
              </w:rPr>
              <w:instrText xml:space="preserve"> PAGEREF _Toc418179864 \h </w:instrText>
            </w:r>
            <w:r w:rsidR="00671BF5">
              <w:rPr>
                <w:webHidden/>
              </w:rPr>
            </w:r>
            <w:r w:rsidR="00671BF5">
              <w:rPr>
                <w:webHidden/>
              </w:rPr>
              <w:fldChar w:fldCharType="separate"/>
            </w:r>
            <w:r w:rsidR="00B909E6">
              <w:rPr>
                <w:webHidden/>
              </w:rPr>
              <w:t>xv</w:t>
            </w:r>
            <w:r w:rsidR="00671BF5">
              <w:rPr>
                <w:webHidden/>
              </w:rPr>
              <w:fldChar w:fldCharType="end"/>
            </w:r>
          </w:hyperlink>
        </w:p>
        <w:p w14:paraId="011E07B6" w14:textId="77777777" w:rsidR="00671BF5" w:rsidRDefault="00447183" w:rsidP="00C54F42">
          <w:pPr>
            <w:pStyle w:val="TOC3"/>
            <w:rPr>
              <w:rFonts w:asciiTheme="minorHAnsi" w:eastAsiaTheme="minorEastAsia" w:hAnsiTheme="minorHAnsi" w:cstheme="minorBidi"/>
            </w:rPr>
          </w:pPr>
          <w:hyperlink w:anchor="_Toc418179865" w:history="1">
            <w:r w:rsidR="00671BF5" w:rsidRPr="00E62000">
              <w:rPr>
                <w:rStyle w:val="Hyperlink"/>
              </w:rPr>
              <w:t>A.3</w:t>
            </w:r>
            <w:r w:rsidR="00671BF5">
              <w:rPr>
                <w:rFonts w:asciiTheme="minorHAnsi" w:eastAsiaTheme="minorEastAsia" w:hAnsiTheme="minorHAnsi" w:cstheme="minorBidi"/>
              </w:rPr>
              <w:tab/>
            </w:r>
            <w:r w:rsidR="00671BF5" w:rsidRPr="00E62000">
              <w:rPr>
                <w:rStyle w:val="Hyperlink"/>
              </w:rPr>
              <w:t>Proposal for Public Funding</w:t>
            </w:r>
            <w:r w:rsidR="00671BF5">
              <w:rPr>
                <w:webHidden/>
              </w:rPr>
              <w:tab/>
            </w:r>
            <w:r w:rsidR="00671BF5">
              <w:rPr>
                <w:webHidden/>
              </w:rPr>
              <w:fldChar w:fldCharType="begin"/>
            </w:r>
            <w:r w:rsidR="00671BF5">
              <w:rPr>
                <w:webHidden/>
              </w:rPr>
              <w:instrText xml:space="preserve"> PAGEREF _Toc418179865 \h </w:instrText>
            </w:r>
            <w:r w:rsidR="00671BF5">
              <w:rPr>
                <w:webHidden/>
              </w:rPr>
            </w:r>
            <w:r w:rsidR="00671BF5">
              <w:rPr>
                <w:webHidden/>
              </w:rPr>
              <w:fldChar w:fldCharType="separate"/>
            </w:r>
            <w:r w:rsidR="00B909E6">
              <w:rPr>
                <w:webHidden/>
              </w:rPr>
              <w:t>xvi</w:t>
            </w:r>
            <w:r w:rsidR="00671BF5">
              <w:rPr>
                <w:webHidden/>
              </w:rPr>
              <w:fldChar w:fldCharType="end"/>
            </w:r>
          </w:hyperlink>
        </w:p>
        <w:p w14:paraId="781A70D0" w14:textId="77777777" w:rsidR="00671BF5" w:rsidRDefault="00447183" w:rsidP="00C54F42">
          <w:pPr>
            <w:pStyle w:val="TOC3"/>
            <w:rPr>
              <w:rFonts w:asciiTheme="minorHAnsi" w:eastAsiaTheme="minorEastAsia" w:hAnsiTheme="minorHAnsi" w:cstheme="minorBidi"/>
            </w:rPr>
          </w:pPr>
          <w:hyperlink w:anchor="_Toc418179866" w:history="1">
            <w:r w:rsidR="00671BF5" w:rsidRPr="00E62000">
              <w:rPr>
                <w:rStyle w:val="Hyperlink"/>
              </w:rPr>
              <w:t>A.4</w:t>
            </w:r>
            <w:r w:rsidR="00671BF5">
              <w:rPr>
                <w:rFonts w:asciiTheme="minorHAnsi" w:eastAsiaTheme="minorEastAsia" w:hAnsiTheme="minorHAnsi" w:cstheme="minorBidi"/>
              </w:rPr>
              <w:tab/>
            </w:r>
            <w:r w:rsidR="00671BF5" w:rsidRPr="00E62000">
              <w:rPr>
                <w:rStyle w:val="Hyperlink"/>
              </w:rPr>
              <w:t>Comparator Details</w:t>
            </w:r>
            <w:r w:rsidR="00671BF5">
              <w:rPr>
                <w:webHidden/>
              </w:rPr>
              <w:tab/>
            </w:r>
            <w:r w:rsidR="00671BF5">
              <w:rPr>
                <w:webHidden/>
              </w:rPr>
              <w:fldChar w:fldCharType="begin"/>
            </w:r>
            <w:r w:rsidR="00671BF5">
              <w:rPr>
                <w:webHidden/>
              </w:rPr>
              <w:instrText xml:space="preserve"> PAGEREF _Toc418179866 \h </w:instrText>
            </w:r>
            <w:r w:rsidR="00671BF5">
              <w:rPr>
                <w:webHidden/>
              </w:rPr>
            </w:r>
            <w:r w:rsidR="00671BF5">
              <w:rPr>
                <w:webHidden/>
              </w:rPr>
              <w:fldChar w:fldCharType="separate"/>
            </w:r>
            <w:r w:rsidR="00B909E6">
              <w:rPr>
                <w:webHidden/>
              </w:rPr>
              <w:t>xvi</w:t>
            </w:r>
            <w:r w:rsidR="00671BF5">
              <w:rPr>
                <w:webHidden/>
              </w:rPr>
              <w:fldChar w:fldCharType="end"/>
            </w:r>
          </w:hyperlink>
        </w:p>
        <w:p w14:paraId="2966C608" w14:textId="77777777" w:rsidR="00671BF5" w:rsidRDefault="00447183" w:rsidP="00C54F42">
          <w:pPr>
            <w:pStyle w:val="TOC3"/>
            <w:rPr>
              <w:rFonts w:asciiTheme="minorHAnsi" w:eastAsiaTheme="minorEastAsia" w:hAnsiTheme="minorHAnsi" w:cstheme="minorBidi"/>
            </w:rPr>
          </w:pPr>
          <w:hyperlink w:anchor="_Toc418179867" w:history="1">
            <w:r w:rsidR="00671BF5" w:rsidRPr="00E62000">
              <w:rPr>
                <w:rStyle w:val="Hyperlink"/>
              </w:rPr>
              <w:t>A.5</w:t>
            </w:r>
            <w:r w:rsidR="00671BF5">
              <w:rPr>
                <w:rFonts w:asciiTheme="minorHAnsi" w:eastAsiaTheme="minorEastAsia" w:hAnsiTheme="minorHAnsi" w:cstheme="minorBidi"/>
              </w:rPr>
              <w:tab/>
            </w:r>
            <w:r w:rsidR="00671BF5" w:rsidRPr="00E62000">
              <w:rPr>
                <w:rStyle w:val="Hyperlink"/>
              </w:rPr>
              <w:t>Clinical Use of the Test</w:t>
            </w:r>
            <w:r w:rsidR="00671BF5">
              <w:rPr>
                <w:webHidden/>
              </w:rPr>
              <w:tab/>
            </w:r>
            <w:r w:rsidR="00671BF5">
              <w:rPr>
                <w:webHidden/>
              </w:rPr>
              <w:fldChar w:fldCharType="begin"/>
            </w:r>
            <w:r w:rsidR="00671BF5">
              <w:rPr>
                <w:webHidden/>
              </w:rPr>
              <w:instrText xml:space="preserve"> PAGEREF _Toc418179867 \h </w:instrText>
            </w:r>
            <w:r w:rsidR="00671BF5">
              <w:rPr>
                <w:webHidden/>
              </w:rPr>
            </w:r>
            <w:r w:rsidR="00671BF5">
              <w:rPr>
                <w:webHidden/>
              </w:rPr>
              <w:fldChar w:fldCharType="separate"/>
            </w:r>
            <w:r w:rsidR="00B909E6">
              <w:rPr>
                <w:webHidden/>
              </w:rPr>
              <w:t>xvii</w:t>
            </w:r>
            <w:r w:rsidR="00671BF5">
              <w:rPr>
                <w:webHidden/>
              </w:rPr>
              <w:fldChar w:fldCharType="end"/>
            </w:r>
          </w:hyperlink>
        </w:p>
        <w:p w14:paraId="66C7EBE8" w14:textId="42608058" w:rsidR="00671BF5" w:rsidRDefault="00447183">
          <w:pPr>
            <w:pStyle w:val="TOC3"/>
            <w:rPr>
              <w:rFonts w:asciiTheme="minorHAnsi" w:eastAsiaTheme="minorEastAsia" w:hAnsiTheme="minorHAnsi" w:cstheme="minorBidi"/>
            </w:rPr>
          </w:pPr>
          <w:hyperlink w:anchor="_Toc418179868" w:history="1">
            <w:r w:rsidR="00671BF5" w:rsidRPr="00E62000">
              <w:rPr>
                <w:rStyle w:val="Hyperlink"/>
              </w:rPr>
              <w:t>A.6</w:t>
            </w:r>
            <w:r w:rsidR="00671BF5">
              <w:rPr>
                <w:rFonts w:asciiTheme="minorHAnsi" w:eastAsiaTheme="minorEastAsia" w:hAnsiTheme="minorHAnsi" w:cstheme="minorBidi"/>
              </w:rPr>
              <w:tab/>
            </w:r>
            <w:r w:rsidR="00671BF5" w:rsidRPr="00E62000">
              <w:rPr>
                <w:rStyle w:val="Hyperlink"/>
              </w:rPr>
              <w:t>Key Differences in the Delivery of the Proposed Medical Service and the Main Comparator</w:t>
            </w:r>
            <w:r w:rsidR="00724FB3">
              <w:rPr>
                <w:rStyle w:val="Hyperlink"/>
              </w:rPr>
              <w:tab/>
            </w:r>
            <w:r w:rsidR="00671BF5">
              <w:rPr>
                <w:webHidden/>
              </w:rPr>
              <w:fldChar w:fldCharType="begin"/>
            </w:r>
            <w:r w:rsidR="00671BF5">
              <w:rPr>
                <w:webHidden/>
              </w:rPr>
              <w:instrText xml:space="preserve"> PAGEREF _Toc418179868 \h </w:instrText>
            </w:r>
            <w:r w:rsidR="00671BF5">
              <w:rPr>
                <w:webHidden/>
              </w:rPr>
            </w:r>
            <w:r w:rsidR="00671BF5">
              <w:rPr>
                <w:webHidden/>
              </w:rPr>
              <w:fldChar w:fldCharType="separate"/>
            </w:r>
            <w:r w:rsidR="00B909E6">
              <w:rPr>
                <w:webHidden/>
              </w:rPr>
              <w:t>xvii</w:t>
            </w:r>
            <w:r w:rsidR="00671BF5">
              <w:rPr>
                <w:webHidden/>
              </w:rPr>
              <w:fldChar w:fldCharType="end"/>
            </w:r>
          </w:hyperlink>
        </w:p>
        <w:p w14:paraId="1EB21CAB" w14:textId="77777777" w:rsidR="00671BF5" w:rsidRDefault="00447183" w:rsidP="00C54F42">
          <w:pPr>
            <w:pStyle w:val="TOC3"/>
            <w:rPr>
              <w:rFonts w:asciiTheme="minorHAnsi" w:eastAsiaTheme="minorEastAsia" w:hAnsiTheme="minorHAnsi" w:cstheme="minorBidi"/>
            </w:rPr>
          </w:pPr>
          <w:hyperlink w:anchor="_Toc418179869" w:history="1">
            <w:r w:rsidR="00671BF5" w:rsidRPr="00E62000">
              <w:rPr>
                <w:rStyle w:val="Hyperlink"/>
              </w:rPr>
              <w:t>A.7</w:t>
            </w:r>
            <w:r w:rsidR="00671BF5">
              <w:rPr>
                <w:rFonts w:asciiTheme="minorHAnsi" w:eastAsiaTheme="minorEastAsia" w:hAnsiTheme="minorHAnsi" w:cstheme="minorBidi"/>
              </w:rPr>
              <w:tab/>
            </w:r>
            <w:r w:rsidR="00671BF5" w:rsidRPr="00E62000">
              <w:rPr>
                <w:rStyle w:val="Hyperlink"/>
              </w:rPr>
              <w:t>Clinical Claim</w:t>
            </w:r>
            <w:r w:rsidR="00671BF5">
              <w:rPr>
                <w:webHidden/>
              </w:rPr>
              <w:tab/>
            </w:r>
            <w:r w:rsidR="00671BF5">
              <w:rPr>
                <w:webHidden/>
              </w:rPr>
              <w:fldChar w:fldCharType="begin"/>
            </w:r>
            <w:r w:rsidR="00671BF5">
              <w:rPr>
                <w:webHidden/>
              </w:rPr>
              <w:instrText xml:space="preserve"> PAGEREF _Toc418179869 \h </w:instrText>
            </w:r>
            <w:r w:rsidR="00671BF5">
              <w:rPr>
                <w:webHidden/>
              </w:rPr>
            </w:r>
            <w:r w:rsidR="00671BF5">
              <w:rPr>
                <w:webHidden/>
              </w:rPr>
              <w:fldChar w:fldCharType="separate"/>
            </w:r>
            <w:r w:rsidR="00B909E6">
              <w:rPr>
                <w:webHidden/>
              </w:rPr>
              <w:t>xvii</w:t>
            </w:r>
            <w:r w:rsidR="00671BF5">
              <w:rPr>
                <w:webHidden/>
              </w:rPr>
              <w:fldChar w:fldCharType="end"/>
            </w:r>
          </w:hyperlink>
        </w:p>
        <w:p w14:paraId="3202897D" w14:textId="2C80C447" w:rsidR="00671BF5" w:rsidRDefault="00447183" w:rsidP="00C54F42">
          <w:pPr>
            <w:pStyle w:val="TOC3"/>
            <w:rPr>
              <w:rFonts w:asciiTheme="minorHAnsi" w:eastAsiaTheme="minorEastAsia" w:hAnsiTheme="minorHAnsi" w:cstheme="minorBidi"/>
            </w:rPr>
          </w:pPr>
          <w:hyperlink w:anchor="_Toc418179870" w:history="1">
            <w:r w:rsidR="00671BF5" w:rsidRPr="00E62000">
              <w:rPr>
                <w:rStyle w:val="Hyperlink"/>
              </w:rPr>
              <w:t>A.8</w:t>
            </w:r>
            <w:r w:rsidR="009F393D">
              <w:rPr>
                <w:rStyle w:val="Hyperlink"/>
              </w:rPr>
              <w:t>–</w:t>
            </w:r>
            <w:r w:rsidR="00671BF5" w:rsidRPr="00E62000">
              <w:rPr>
                <w:rStyle w:val="Hyperlink"/>
              </w:rPr>
              <w:t>B.1</w:t>
            </w:r>
            <w:r w:rsidR="009F393D">
              <w:rPr>
                <w:rStyle w:val="Hyperlink"/>
              </w:rPr>
              <w:tab/>
            </w:r>
            <w:r w:rsidR="00671BF5" w:rsidRPr="00E62000">
              <w:rPr>
                <w:rStyle w:val="Hyperlink"/>
              </w:rPr>
              <w:t>Approach Taken to the Evidence Assessment</w:t>
            </w:r>
            <w:r w:rsidR="00671BF5">
              <w:rPr>
                <w:webHidden/>
              </w:rPr>
              <w:tab/>
            </w:r>
            <w:r w:rsidR="00671BF5">
              <w:rPr>
                <w:webHidden/>
              </w:rPr>
              <w:fldChar w:fldCharType="begin"/>
            </w:r>
            <w:r w:rsidR="00671BF5">
              <w:rPr>
                <w:webHidden/>
              </w:rPr>
              <w:instrText xml:space="preserve"> PAGEREF _Toc418179870 \h </w:instrText>
            </w:r>
            <w:r w:rsidR="00671BF5">
              <w:rPr>
                <w:webHidden/>
              </w:rPr>
            </w:r>
            <w:r w:rsidR="00671BF5">
              <w:rPr>
                <w:webHidden/>
              </w:rPr>
              <w:fldChar w:fldCharType="separate"/>
            </w:r>
            <w:r w:rsidR="00B909E6">
              <w:rPr>
                <w:webHidden/>
              </w:rPr>
              <w:t>xvii</w:t>
            </w:r>
            <w:r w:rsidR="00671BF5">
              <w:rPr>
                <w:webHidden/>
              </w:rPr>
              <w:fldChar w:fldCharType="end"/>
            </w:r>
          </w:hyperlink>
        </w:p>
        <w:p w14:paraId="2661512F" w14:textId="4ED290B9" w:rsidR="00671BF5" w:rsidRDefault="00447183" w:rsidP="00C54F42">
          <w:pPr>
            <w:pStyle w:val="TOC3"/>
            <w:rPr>
              <w:rFonts w:asciiTheme="minorHAnsi" w:eastAsiaTheme="minorEastAsia" w:hAnsiTheme="minorHAnsi" w:cstheme="minorBidi"/>
            </w:rPr>
          </w:pPr>
          <w:hyperlink w:anchor="_Toc418179871" w:history="1">
            <w:r w:rsidR="00671BF5" w:rsidRPr="00E62000">
              <w:rPr>
                <w:rStyle w:val="Hyperlink"/>
              </w:rPr>
              <w:t>B.2</w:t>
            </w:r>
            <w:r w:rsidR="009F393D">
              <w:rPr>
                <w:rStyle w:val="Hyperlink"/>
              </w:rPr>
              <w:t>–</w:t>
            </w:r>
            <w:r w:rsidR="00671BF5" w:rsidRPr="00E62000">
              <w:rPr>
                <w:rStyle w:val="Hyperlink"/>
              </w:rPr>
              <w:t>B.5</w:t>
            </w:r>
            <w:r w:rsidR="00671BF5">
              <w:rPr>
                <w:rFonts w:asciiTheme="minorHAnsi" w:eastAsiaTheme="minorEastAsia" w:hAnsiTheme="minorHAnsi" w:cstheme="minorBidi"/>
              </w:rPr>
              <w:tab/>
            </w:r>
            <w:r w:rsidR="00671BF5" w:rsidRPr="00E62000">
              <w:rPr>
                <w:rStyle w:val="Hyperlink"/>
              </w:rPr>
              <w:t>Characteristics of the Evidence</w:t>
            </w:r>
            <w:r w:rsidR="00280E77">
              <w:rPr>
                <w:rStyle w:val="Hyperlink"/>
              </w:rPr>
              <w:t>-b</w:t>
            </w:r>
            <w:r w:rsidR="00671BF5" w:rsidRPr="00E62000">
              <w:rPr>
                <w:rStyle w:val="Hyperlink"/>
              </w:rPr>
              <w:t>ase</w:t>
            </w:r>
            <w:r w:rsidR="00671BF5">
              <w:rPr>
                <w:webHidden/>
              </w:rPr>
              <w:tab/>
            </w:r>
            <w:r w:rsidR="00671BF5">
              <w:rPr>
                <w:webHidden/>
              </w:rPr>
              <w:fldChar w:fldCharType="begin"/>
            </w:r>
            <w:r w:rsidR="00671BF5">
              <w:rPr>
                <w:webHidden/>
              </w:rPr>
              <w:instrText xml:space="preserve"> PAGEREF _Toc418179871 \h </w:instrText>
            </w:r>
            <w:r w:rsidR="00671BF5">
              <w:rPr>
                <w:webHidden/>
              </w:rPr>
            </w:r>
            <w:r w:rsidR="00671BF5">
              <w:rPr>
                <w:webHidden/>
              </w:rPr>
              <w:fldChar w:fldCharType="separate"/>
            </w:r>
            <w:r w:rsidR="00B909E6">
              <w:rPr>
                <w:webHidden/>
              </w:rPr>
              <w:t>xvii</w:t>
            </w:r>
            <w:r w:rsidR="00671BF5">
              <w:rPr>
                <w:webHidden/>
              </w:rPr>
              <w:fldChar w:fldCharType="end"/>
            </w:r>
          </w:hyperlink>
        </w:p>
        <w:p w14:paraId="7E744A91" w14:textId="7F06E36B" w:rsidR="00671BF5" w:rsidRDefault="00447183" w:rsidP="00C54F42">
          <w:pPr>
            <w:pStyle w:val="TOC3"/>
            <w:rPr>
              <w:rFonts w:asciiTheme="minorHAnsi" w:eastAsiaTheme="minorEastAsia" w:hAnsiTheme="minorHAnsi" w:cstheme="minorBidi"/>
            </w:rPr>
          </w:pPr>
          <w:hyperlink w:anchor="_Toc418179872" w:history="1">
            <w:r w:rsidR="00671BF5" w:rsidRPr="00E62000">
              <w:rPr>
                <w:rStyle w:val="Hyperlink"/>
              </w:rPr>
              <w:t>B.6</w:t>
            </w:r>
            <w:r w:rsidR="009F393D">
              <w:rPr>
                <w:rStyle w:val="Hyperlink"/>
              </w:rPr>
              <w:t>–</w:t>
            </w:r>
            <w:r w:rsidR="00671BF5" w:rsidRPr="00E62000">
              <w:rPr>
                <w:rStyle w:val="Hyperlink"/>
              </w:rPr>
              <w:t>B.8</w:t>
            </w:r>
            <w:r w:rsidR="00671BF5">
              <w:rPr>
                <w:rFonts w:asciiTheme="minorHAnsi" w:eastAsiaTheme="minorEastAsia" w:hAnsiTheme="minorHAnsi" w:cstheme="minorBidi"/>
              </w:rPr>
              <w:tab/>
            </w:r>
            <w:r w:rsidR="00671BF5" w:rsidRPr="00E62000">
              <w:rPr>
                <w:rStyle w:val="Hyperlink"/>
              </w:rPr>
              <w:t>Results</w:t>
            </w:r>
            <w:r w:rsidR="00671BF5">
              <w:rPr>
                <w:webHidden/>
              </w:rPr>
              <w:tab/>
            </w:r>
            <w:r w:rsidR="00671BF5">
              <w:rPr>
                <w:webHidden/>
              </w:rPr>
              <w:fldChar w:fldCharType="begin"/>
            </w:r>
            <w:r w:rsidR="00671BF5">
              <w:rPr>
                <w:webHidden/>
              </w:rPr>
              <w:instrText xml:space="preserve"> PAGEREF _Toc418179872 \h </w:instrText>
            </w:r>
            <w:r w:rsidR="00671BF5">
              <w:rPr>
                <w:webHidden/>
              </w:rPr>
            </w:r>
            <w:r w:rsidR="00671BF5">
              <w:rPr>
                <w:webHidden/>
              </w:rPr>
              <w:fldChar w:fldCharType="separate"/>
            </w:r>
            <w:r w:rsidR="00B909E6">
              <w:rPr>
                <w:webHidden/>
              </w:rPr>
              <w:t>xviii</w:t>
            </w:r>
            <w:r w:rsidR="00671BF5">
              <w:rPr>
                <w:webHidden/>
              </w:rPr>
              <w:fldChar w:fldCharType="end"/>
            </w:r>
          </w:hyperlink>
        </w:p>
        <w:p w14:paraId="4E5D9C5A" w14:textId="77777777" w:rsidR="00671BF5" w:rsidRDefault="00447183" w:rsidP="00C54F42">
          <w:pPr>
            <w:pStyle w:val="TOC3"/>
            <w:rPr>
              <w:rFonts w:asciiTheme="minorHAnsi" w:eastAsiaTheme="minorEastAsia" w:hAnsiTheme="minorHAnsi" w:cstheme="minorBidi"/>
            </w:rPr>
          </w:pPr>
          <w:hyperlink w:anchor="_Toc418179873" w:history="1">
            <w:r w:rsidR="00671BF5" w:rsidRPr="00E62000">
              <w:rPr>
                <w:rStyle w:val="Hyperlink"/>
              </w:rPr>
              <w:t>C.</w:t>
            </w:r>
            <w:r w:rsidR="00671BF5">
              <w:rPr>
                <w:rFonts w:asciiTheme="minorHAnsi" w:eastAsiaTheme="minorEastAsia" w:hAnsiTheme="minorHAnsi" w:cstheme="minorBidi"/>
              </w:rPr>
              <w:tab/>
            </w:r>
            <w:r w:rsidR="00671BF5" w:rsidRPr="00E62000">
              <w:rPr>
                <w:rStyle w:val="Hyperlink"/>
              </w:rPr>
              <w:t>Translation Issues</w:t>
            </w:r>
            <w:r w:rsidR="00671BF5">
              <w:rPr>
                <w:webHidden/>
              </w:rPr>
              <w:tab/>
            </w:r>
            <w:r w:rsidR="00671BF5">
              <w:rPr>
                <w:webHidden/>
              </w:rPr>
              <w:fldChar w:fldCharType="begin"/>
            </w:r>
            <w:r w:rsidR="00671BF5">
              <w:rPr>
                <w:webHidden/>
              </w:rPr>
              <w:instrText xml:space="preserve"> PAGEREF _Toc418179873 \h </w:instrText>
            </w:r>
            <w:r w:rsidR="00671BF5">
              <w:rPr>
                <w:webHidden/>
              </w:rPr>
            </w:r>
            <w:r w:rsidR="00671BF5">
              <w:rPr>
                <w:webHidden/>
              </w:rPr>
              <w:fldChar w:fldCharType="separate"/>
            </w:r>
            <w:r w:rsidR="00B909E6">
              <w:rPr>
                <w:webHidden/>
              </w:rPr>
              <w:t>xxii</w:t>
            </w:r>
            <w:r w:rsidR="00671BF5">
              <w:rPr>
                <w:webHidden/>
              </w:rPr>
              <w:fldChar w:fldCharType="end"/>
            </w:r>
          </w:hyperlink>
        </w:p>
        <w:p w14:paraId="78441650" w14:textId="464F7462" w:rsidR="00671BF5" w:rsidRDefault="00447183" w:rsidP="00C54F42">
          <w:pPr>
            <w:pStyle w:val="TOC3"/>
            <w:rPr>
              <w:rFonts w:asciiTheme="minorHAnsi" w:eastAsiaTheme="minorEastAsia" w:hAnsiTheme="minorHAnsi" w:cstheme="minorBidi"/>
            </w:rPr>
          </w:pPr>
          <w:hyperlink w:anchor="_Toc418179874" w:history="1">
            <w:r w:rsidR="00671BF5" w:rsidRPr="00E62000">
              <w:rPr>
                <w:rStyle w:val="Hyperlink"/>
              </w:rPr>
              <w:t>D.</w:t>
            </w:r>
            <w:r w:rsidR="009E15B9">
              <w:rPr>
                <w:rStyle w:val="Hyperlink"/>
              </w:rPr>
              <w:tab/>
            </w:r>
            <w:r w:rsidR="00671BF5" w:rsidRPr="00E62000">
              <w:rPr>
                <w:rStyle w:val="Hyperlink"/>
              </w:rPr>
              <w:t>Economic Evaluation</w:t>
            </w:r>
            <w:r w:rsidR="00671BF5">
              <w:rPr>
                <w:webHidden/>
              </w:rPr>
              <w:tab/>
            </w:r>
            <w:r w:rsidR="00671BF5">
              <w:rPr>
                <w:webHidden/>
              </w:rPr>
              <w:fldChar w:fldCharType="begin"/>
            </w:r>
            <w:r w:rsidR="00671BF5">
              <w:rPr>
                <w:webHidden/>
              </w:rPr>
              <w:instrText xml:space="preserve"> PAGEREF _Toc418179874 \h </w:instrText>
            </w:r>
            <w:r w:rsidR="00671BF5">
              <w:rPr>
                <w:webHidden/>
              </w:rPr>
            </w:r>
            <w:r w:rsidR="00671BF5">
              <w:rPr>
                <w:webHidden/>
              </w:rPr>
              <w:fldChar w:fldCharType="separate"/>
            </w:r>
            <w:r w:rsidR="00B909E6">
              <w:rPr>
                <w:webHidden/>
              </w:rPr>
              <w:t>xxii</w:t>
            </w:r>
            <w:r w:rsidR="00671BF5">
              <w:rPr>
                <w:webHidden/>
              </w:rPr>
              <w:fldChar w:fldCharType="end"/>
            </w:r>
          </w:hyperlink>
        </w:p>
        <w:p w14:paraId="6718F14C" w14:textId="7130BED2" w:rsidR="00671BF5" w:rsidRDefault="00447183" w:rsidP="00C54F42">
          <w:pPr>
            <w:pStyle w:val="TOC3"/>
            <w:rPr>
              <w:rFonts w:asciiTheme="minorHAnsi" w:eastAsiaTheme="minorEastAsia" w:hAnsiTheme="minorHAnsi" w:cstheme="minorBidi"/>
            </w:rPr>
          </w:pPr>
          <w:hyperlink w:anchor="_Toc418179875" w:history="1">
            <w:r w:rsidR="00671BF5" w:rsidRPr="00E62000">
              <w:rPr>
                <w:rStyle w:val="Hyperlink"/>
              </w:rPr>
              <w:t>E.</w:t>
            </w:r>
            <w:r w:rsidR="009E15B9">
              <w:rPr>
                <w:rStyle w:val="Hyperlink"/>
              </w:rPr>
              <w:tab/>
            </w:r>
            <w:r w:rsidR="00671BF5" w:rsidRPr="00E62000">
              <w:rPr>
                <w:rStyle w:val="Hyperlink"/>
              </w:rPr>
              <w:t>Estimated Extent of Use and Financial Implications</w:t>
            </w:r>
            <w:r w:rsidR="00671BF5">
              <w:rPr>
                <w:webHidden/>
              </w:rPr>
              <w:tab/>
            </w:r>
            <w:r w:rsidR="00671BF5">
              <w:rPr>
                <w:webHidden/>
              </w:rPr>
              <w:fldChar w:fldCharType="begin"/>
            </w:r>
            <w:r w:rsidR="00671BF5">
              <w:rPr>
                <w:webHidden/>
              </w:rPr>
              <w:instrText xml:space="preserve"> PAGEREF _Toc418179875 \h </w:instrText>
            </w:r>
            <w:r w:rsidR="00671BF5">
              <w:rPr>
                <w:webHidden/>
              </w:rPr>
            </w:r>
            <w:r w:rsidR="00671BF5">
              <w:rPr>
                <w:webHidden/>
              </w:rPr>
              <w:fldChar w:fldCharType="separate"/>
            </w:r>
            <w:r w:rsidR="00B909E6">
              <w:rPr>
                <w:webHidden/>
              </w:rPr>
              <w:t>xxv</w:t>
            </w:r>
            <w:r w:rsidR="00671BF5">
              <w:rPr>
                <w:webHidden/>
              </w:rPr>
              <w:fldChar w:fldCharType="end"/>
            </w:r>
          </w:hyperlink>
        </w:p>
        <w:p w14:paraId="42EDE293" w14:textId="76157BB7" w:rsidR="00671BF5" w:rsidRDefault="00447183" w:rsidP="00C54F42">
          <w:pPr>
            <w:pStyle w:val="TOC3"/>
            <w:rPr>
              <w:rFonts w:asciiTheme="minorHAnsi" w:eastAsiaTheme="minorEastAsia" w:hAnsiTheme="minorHAnsi" w:cstheme="minorBidi"/>
            </w:rPr>
          </w:pPr>
          <w:hyperlink w:anchor="_Toc418179876" w:history="1">
            <w:r w:rsidR="00671BF5" w:rsidRPr="00E62000">
              <w:rPr>
                <w:rStyle w:val="Hyperlink"/>
              </w:rPr>
              <w:t>F.</w:t>
            </w:r>
            <w:r w:rsidR="009E15B9">
              <w:rPr>
                <w:rStyle w:val="Hyperlink"/>
              </w:rPr>
              <w:tab/>
            </w:r>
            <w:r w:rsidR="00671BF5" w:rsidRPr="00E62000">
              <w:rPr>
                <w:rStyle w:val="Hyperlink"/>
              </w:rPr>
              <w:t>Other Relevant Considerations</w:t>
            </w:r>
            <w:r w:rsidR="00671BF5">
              <w:rPr>
                <w:webHidden/>
              </w:rPr>
              <w:tab/>
            </w:r>
            <w:r w:rsidR="00671BF5">
              <w:rPr>
                <w:webHidden/>
              </w:rPr>
              <w:fldChar w:fldCharType="begin"/>
            </w:r>
            <w:r w:rsidR="00671BF5">
              <w:rPr>
                <w:webHidden/>
              </w:rPr>
              <w:instrText xml:space="preserve"> PAGEREF _Toc418179876 \h </w:instrText>
            </w:r>
            <w:r w:rsidR="00671BF5">
              <w:rPr>
                <w:webHidden/>
              </w:rPr>
            </w:r>
            <w:r w:rsidR="00671BF5">
              <w:rPr>
                <w:webHidden/>
              </w:rPr>
              <w:fldChar w:fldCharType="separate"/>
            </w:r>
            <w:r w:rsidR="00B909E6">
              <w:rPr>
                <w:webHidden/>
              </w:rPr>
              <w:t>xxvi</w:t>
            </w:r>
            <w:r w:rsidR="00671BF5">
              <w:rPr>
                <w:webHidden/>
              </w:rPr>
              <w:fldChar w:fldCharType="end"/>
            </w:r>
          </w:hyperlink>
        </w:p>
        <w:p w14:paraId="3B1A05CF" w14:textId="77777777" w:rsidR="00671BF5" w:rsidRDefault="00447183">
          <w:pPr>
            <w:pStyle w:val="TOC1"/>
            <w:rPr>
              <w:rFonts w:asciiTheme="minorHAnsi" w:eastAsiaTheme="minorEastAsia" w:hAnsiTheme="minorHAnsi" w:cstheme="minorBidi"/>
              <w:b w:val="0"/>
            </w:rPr>
          </w:pPr>
          <w:hyperlink w:anchor="_Toc418179877" w:history="1">
            <w:r w:rsidR="00671BF5" w:rsidRPr="00E62000">
              <w:rPr>
                <w:rStyle w:val="Hyperlink"/>
              </w:rPr>
              <w:t>Glossary and Abbreviations</w:t>
            </w:r>
            <w:r w:rsidR="00671BF5">
              <w:rPr>
                <w:webHidden/>
              </w:rPr>
              <w:tab/>
            </w:r>
            <w:r w:rsidR="00671BF5">
              <w:rPr>
                <w:webHidden/>
              </w:rPr>
              <w:fldChar w:fldCharType="begin"/>
            </w:r>
            <w:r w:rsidR="00671BF5">
              <w:rPr>
                <w:webHidden/>
              </w:rPr>
              <w:instrText xml:space="preserve"> PAGEREF _Toc418179877 \h </w:instrText>
            </w:r>
            <w:r w:rsidR="00671BF5">
              <w:rPr>
                <w:webHidden/>
              </w:rPr>
            </w:r>
            <w:r w:rsidR="00671BF5">
              <w:rPr>
                <w:webHidden/>
              </w:rPr>
              <w:fldChar w:fldCharType="separate"/>
            </w:r>
            <w:r w:rsidR="00B909E6">
              <w:rPr>
                <w:webHidden/>
              </w:rPr>
              <w:t>29</w:t>
            </w:r>
            <w:r w:rsidR="00671BF5">
              <w:rPr>
                <w:webHidden/>
              </w:rPr>
              <w:fldChar w:fldCharType="end"/>
            </w:r>
          </w:hyperlink>
        </w:p>
        <w:p w14:paraId="705D98F5" w14:textId="77777777" w:rsidR="00671BF5" w:rsidRDefault="00447183">
          <w:pPr>
            <w:pStyle w:val="TOC1"/>
            <w:rPr>
              <w:rFonts w:asciiTheme="minorHAnsi" w:eastAsiaTheme="minorEastAsia" w:hAnsiTheme="minorHAnsi" w:cstheme="minorBidi"/>
              <w:b w:val="0"/>
            </w:rPr>
          </w:pPr>
          <w:hyperlink w:anchor="_Toc418179878" w:history="1">
            <w:r w:rsidR="00671BF5" w:rsidRPr="00E62000">
              <w:rPr>
                <w:rStyle w:val="Hyperlink"/>
              </w:rPr>
              <w:t>Section A</w:t>
            </w:r>
            <w:r w:rsidR="00671BF5">
              <w:rPr>
                <w:rFonts w:asciiTheme="minorHAnsi" w:eastAsiaTheme="minorEastAsia" w:hAnsiTheme="minorHAnsi" w:cstheme="minorBidi"/>
                <w:b w:val="0"/>
              </w:rPr>
              <w:tab/>
            </w:r>
            <w:r w:rsidR="00671BF5" w:rsidRPr="00E62000">
              <w:rPr>
                <w:rStyle w:val="Hyperlink"/>
              </w:rPr>
              <w:t>Context</w:t>
            </w:r>
            <w:r w:rsidR="00671BF5">
              <w:rPr>
                <w:webHidden/>
              </w:rPr>
              <w:tab/>
            </w:r>
            <w:r w:rsidR="00671BF5">
              <w:rPr>
                <w:webHidden/>
              </w:rPr>
              <w:fldChar w:fldCharType="begin"/>
            </w:r>
            <w:r w:rsidR="00671BF5">
              <w:rPr>
                <w:webHidden/>
              </w:rPr>
              <w:instrText xml:space="preserve"> PAGEREF _Toc418179878 \h </w:instrText>
            </w:r>
            <w:r w:rsidR="00671BF5">
              <w:rPr>
                <w:webHidden/>
              </w:rPr>
            </w:r>
            <w:r w:rsidR="00671BF5">
              <w:rPr>
                <w:webHidden/>
              </w:rPr>
              <w:fldChar w:fldCharType="separate"/>
            </w:r>
            <w:r w:rsidR="00B909E6">
              <w:rPr>
                <w:webHidden/>
              </w:rPr>
              <w:t>32</w:t>
            </w:r>
            <w:r w:rsidR="00671BF5">
              <w:rPr>
                <w:webHidden/>
              </w:rPr>
              <w:fldChar w:fldCharType="end"/>
            </w:r>
          </w:hyperlink>
        </w:p>
        <w:p w14:paraId="51C1E923" w14:textId="0326CF34" w:rsidR="00671BF5" w:rsidRDefault="00447183">
          <w:pPr>
            <w:pStyle w:val="TOC2"/>
            <w:rPr>
              <w:rFonts w:asciiTheme="minorHAnsi" w:eastAsiaTheme="minorEastAsia" w:hAnsiTheme="minorHAnsi" w:cstheme="minorBidi"/>
            </w:rPr>
          </w:pPr>
          <w:hyperlink w:anchor="_Toc418179879" w:history="1">
            <w:r w:rsidR="00671BF5" w:rsidRPr="00E62000">
              <w:rPr>
                <w:rStyle w:val="Hyperlink"/>
              </w:rPr>
              <w:t xml:space="preserve">A.1. </w:t>
            </w:r>
            <w:r w:rsidR="00BA73F6">
              <w:rPr>
                <w:rStyle w:val="Hyperlink"/>
              </w:rPr>
              <w:tab/>
            </w:r>
            <w:r w:rsidR="00671BF5" w:rsidRPr="00E62000">
              <w:rPr>
                <w:rStyle w:val="Hyperlink"/>
              </w:rPr>
              <w:t>Rationale for Assessment</w:t>
            </w:r>
            <w:r w:rsidR="00671BF5">
              <w:rPr>
                <w:webHidden/>
              </w:rPr>
              <w:tab/>
            </w:r>
            <w:r w:rsidR="00671BF5">
              <w:rPr>
                <w:webHidden/>
              </w:rPr>
              <w:fldChar w:fldCharType="begin"/>
            </w:r>
            <w:r w:rsidR="00671BF5">
              <w:rPr>
                <w:webHidden/>
              </w:rPr>
              <w:instrText xml:space="preserve"> PAGEREF _Toc418179879 \h </w:instrText>
            </w:r>
            <w:r w:rsidR="00671BF5">
              <w:rPr>
                <w:webHidden/>
              </w:rPr>
            </w:r>
            <w:r w:rsidR="00671BF5">
              <w:rPr>
                <w:webHidden/>
              </w:rPr>
              <w:fldChar w:fldCharType="separate"/>
            </w:r>
            <w:r w:rsidR="00B909E6">
              <w:rPr>
                <w:webHidden/>
              </w:rPr>
              <w:t>36</w:t>
            </w:r>
            <w:r w:rsidR="00671BF5">
              <w:rPr>
                <w:webHidden/>
              </w:rPr>
              <w:fldChar w:fldCharType="end"/>
            </w:r>
          </w:hyperlink>
        </w:p>
        <w:p w14:paraId="1719C067" w14:textId="02E7AEF9" w:rsidR="00671BF5" w:rsidRDefault="00447183">
          <w:pPr>
            <w:pStyle w:val="TOC2"/>
            <w:rPr>
              <w:rFonts w:asciiTheme="minorHAnsi" w:eastAsiaTheme="minorEastAsia" w:hAnsiTheme="minorHAnsi" w:cstheme="minorBidi"/>
            </w:rPr>
          </w:pPr>
          <w:hyperlink w:anchor="_Toc418179880" w:history="1">
            <w:r w:rsidR="00671BF5" w:rsidRPr="00E62000">
              <w:rPr>
                <w:rStyle w:val="Hyperlink"/>
              </w:rPr>
              <w:t xml:space="preserve">A.2. </w:t>
            </w:r>
            <w:r w:rsidR="00BA73F6">
              <w:rPr>
                <w:rStyle w:val="Hyperlink"/>
              </w:rPr>
              <w:tab/>
            </w:r>
            <w:r w:rsidR="00671BF5" w:rsidRPr="00E62000">
              <w:rPr>
                <w:rStyle w:val="Hyperlink"/>
              </w:rPr>
              <w:t>Proposed Medical Service</w:t>
            </w:r>
            <w:r w:rsidR="00671BF5">
              <w:rPr>
                <w:webHidden/>
              </w:rPr>
              <w:tab/>
            </w:r>
            <w:r w:rsidR="00671BF5">
              <w:rPr>
                <w:webHidden/>
              </w:rPr>
              <w:fldChar w:fldCharType="begin"/>
            </w:r>
            <w:r w:rsidR="00671BF5">
              <w:rPr>
                <w:webHidden/>
              </w:rPr>
              <w:instrText xml:space="preserve"> PAGEREF _Toc418179880 \h </w:instrText>
            </w:r>
            <w:r w:rsidR="00671BF5">
              <w:rPr>
                <w:webHidden/>
              </w:rPr>
            </w:r>
            <w:r w:rsidR="00671BF5">
              <w:rPr>
                <w:webHidden/>
              </w:rPr>
              <w:fldChar w:fldCharType="separate"/>
            </w:r>
            <w:r w:rsidR="00B909E6">
              <w:rPr>
                <w:webHidden/>
              </w:rPr>
              <w:t>36</w:t>
            </w:r>
            <w:r w:rsidR="00671BF5">
              <w:rPr>
                <w:webHidden/>
              </w:rPr>
              <w:fldChar w:fldCharType="end"/>
            </w:r>
          </w:hyperlink>
        </w:p>
        <w:p w14:paraId="51F6FD58" w14:textId="31381E3B" w:rsidR="00671BF5" w:rsidRDefault="00447183" w:rsidP="006B53D2">
          <w:pPr>
            <w:pStyle w:val="TOC3"/>
            <w:rPr>
              <w:rFonts w:asciiTheme="minorHAnsi" w:eastAsiaTheme="minorEastAsia" w:hAnsiTheme="minorHAnsi" w:cstheme="minorBidi"/>
            </w:rPr>
          </w:pPr>
          <w:hyperlink w:anchor="_Toc418179881" w:history="1">
            <w:r w:rsidR="00671BF5" w:rsidRPr="00E62000">
              <w:rPr>
                <w:rStyle w:val="Hyperlink"/>
              </w:rPr>
              <w:t>A.2.1.</w:t>
            </w:r>
            <w:r w:rsidR="00BA73F6">
              <w:rPr>
                <w:rStyle w:val="Hyperlink"/>
              </w:rPr>
              <w:tab/>
            </w:r>
            <w:r w:rsidR="00671BF5" w:rsidRPr="00E62000">
              <w:rPr>
                <w:rStyle w:val="Hyperlink"/>
              </w:rPr>
              <w:t>Intended purpose</w:t>
            </w:r>
            <w:r w:rsidR="00671BF5">
              <w:rPr>
                <w:webHidden/>
              </w:rPr>
              <w:tab/>
            </w:r>
            <w:r w:rsidR="00671BF5">
              <w:rPr>
                <w:webHidden/>
              </w:rPr>
              <w:fldChar w:fldCharType="begin"/>
            </w:r>
            <w:r w:rsidR="00671BF5">
              <w:rPr>
                <w:webHidden/>
              </w:rPr>
              <w:instrText xml:space="preserve"> PAGEREF _Toc418179881 \h </w:instrText>
            </w:r>
            <w:r w:rsidR="00671BF5">
              <w:rPr>
                <w:webHidden/>
              </w:rPr>
            </w:r>
            <w:r w:rsidR="00671BF5">
              <w:rPr>
                <w:webHidden/>
              </w:rPr>
              <w:fldChar w:fldCharType="separate"/>
            </w:r>
            <w:r w:rsidR="00B909E6">
              <w:rPr>
                <w:webHidden/>
              </w:rPr>
              <w:t>36</w:t>
            </w:r>
            <w:r w:rsidR="00671BF5">
              <w:rPr>
                <w:webHidden/>
              </w:rPr>
              <w:fldChar w:fldCharType="end"/>
            </w:r>
          </w:hyperlink>
        </w:p>
        <w:p w14:paraId="0B61EF37" w14:textId="1F406C6F" w:rsidR="00671BF5" w:rsidRDefault="00447183" w:rsidP="006B53D2">
          <w:pPr>
            <w:pStyle w:val="TOC3"/>
            <w:rPr>
              <w:rFonts w:asciiTheme="minorHAnsi" w:eastAsiaTheme="minorEastAsia" w:hAnsiTheme="minorHAnsi" w:cstheme="minorBidi"/>
            </w:rPr>
          </w:pPr>
          <w:hyperlink w:anchor="_Toc418179882" w:history="1">
            <w:r w:rsidR="00671BF5" w:rsidRPr="00E62000">
              <w:rPr>
                <w:rStyle w:val="Hyperlink"/>
              </w:rPr>
              <w:t>A.2.2.</w:t>
            </w:r>
            <w:r w:rsidR="00BA73F6">
              <w:rPr>
                <w:rStyle w:val="Hyperlink"/>
              </w:rPr>
              <w:tab/>
            </w:r>
            <w:r w:rsidR="00671BF5" w:rsidRPr="00E62000">
              <w:rPr>
                <w:rStyle w:val="Hyperlink"/>
              </w:rPr>
              <w:t xml:space="preserve">Other </w:t>
            </w:r>
            <w:r w:rsidR="00B375CF">
              <w:rPr>
                <w:rStyle w:val="Hyperlink"/>
              </w:rPr>
              <w:t>i</w:t>
            </w:r>
            <w:r w:rsidR="00671BF5" w:rsidRPr="00E62000">
              <w:rPr>
                <w:rStyle w:val="Hyperlink"/>
              </w:rPr>
              <w:t>ndications</w:t>
            </w:r>
            <w:r w:rsidR="00671BF5">
              <w:rPr>
                <w:webHidden/>
              </w:rPr>
              <w:tab/>
            </w:r>
            <w:r w:rsidR="00671BF5">
              <w:rPr>
                <w:webHidden/>
              </w:rPr>
              <w:fldChar w:fldCharType="begin"/>
            </w:r>
            <w:r w:rsidR="00671BF5">
              <w:rPr>
                <w:webHidden/>
              </w:rPr>
              <w:instrText xml:space="preserve"> PAGEREF _Toc418179882 \h </w:instrText>
            </w:r>
            <w:r w:rsidR="00671BF5">
              <w:rPr>
                <w:webHidden/>
              </w:rPr>
            </w:r>
            <w:r w:rsidR="00671BF5">
              <w:rPr>
                <w:webHidden/>
              </w:rPr>
              <w:fldChar w:fldCharType="separate"/>
            </w:r>
            <w:r w:rsidR="00B909E6">
              <w:rPr>
                <w:webHidden/>
              </w:rPr>
              <w:t>38</w:t>
            </w:r>
            <w:r w:rsidR="00671BF5">
              <w:rPr>
                <w:webHidden/>
              </w:rPr>
              <w:fldChar w:fldCharType="end"/>
            </w:r>
          </w:hyperlink>
        </w:p>
        <w:p w14:paraId="4722C714" w14:textId="058C8ECF" w:rsidR="00671BF5" w:rsidRDefault="00447183" w:rsidP="006B53D2">
          <w:pPr>
            <w:pStyle w:val="TOC3"/>
            <w:rPr>
              <w:rFonts w:asciiTheme="minorHAnsi" w:eastAsiaTheme="minorEastAsia" w:hAnsiTheme="minorHAnsi" w:cstheme="minorBidi"/>
            </w:rPr>
          </w:pPr>
          <w:hyperlink w:anchor="_Toc418179883" w:history="1">
            <w:r w:rsidR="00671BF5" w:rsidRPr="00E62000">
              <w:rPr>
                <w:rStyle w:val="Hyperlink"/>
              </w:rPr>
              <w:t>A.2.3.</w:t>
            </w:r>
            <w:r w:rsidR="00BA73F6">
              <w:rPr>
                <w:rStyle w:val="Hyperlink"/>
              </w:rPr>
              <w:tab/>
            </w:r>
            <w:r w:rsidR="00671BF5" w:rsidRPr="00E62000">
              <w:rPr>
                <w:rStyle w:val="Hyperlink"/>
              </w:rPr>
              <w:t>Current CFTR mutation testing in Australia</w:t>
            </w:r>
            <w:r w:rsidR="00671BF5">
              <w:rPr>
                <w:webHidden/>
              </w:rPr>
              <w:tab/>
            </w:r>
            <w:r w:rsidR="00671BF5">
              <w:rPr>
                <w:webHidden/>
              </w:rPr>
              <w:fldChar w:fldCharType="begin"/>
            </w:r>
            <w:r w:rsidR="00671BF5">
              <w:rPr>
                <w:webHidden/>
              </w:rPr>
              <w:instrText xml:space="preserve"> PAGEREF _Toc418179883 \h </w:instrText>
            </w:r>
            <w:r w:rsidR="00671BF5">
              <w:rPr>
                <w:webHidden/>
              </w:rPr>
            </w:r>
            <w:r w:rsidR="00671BF5">
              <w:rPr>
                <w:webHidden/>
              </w:rPr>
              <w:fldChar w:fldCharType="separate"/>
            </w:r>
            <w:r w:rsidR="00B909E6">
              <w:rPr>
                <w:webHidden/>
              </w:rPr>
              <w:t>38</w:t>
            </w:r>
            <w:r w:rsidR="00671BF5">
              <w:rPr>
                <w:webHidden/>
              </w:rPr>
              <w:fldChar w:fldCharType="end"/>
            </w:r>
          </w:hyperlink>
        </w:p>
        <w:p w14:paraId="1C3C29A7" w14:textId="7C4F3C50" w:rsidR="00671BF5" w:rsidRDefault="00447183">
          <w:pPr>
            <w:pStyle w:val="TOC2"/>
            <w:rPr>
              <w:rFonts w:asciiTheme="minorHAnsi" w:eastAsiaTheme="minorEastAsia" w:hAnsiTheme="minorHAnsi" w:cstheme="minorBidi"/>
            </w:rPr>
          </w:pPr>
          <w:hyperlink w:anchor="_Toc418179884" w:history="1">
            <w:r w:rsidR="00671BF5" w:rsidRPr="00E62000">
              <w:rPr>
                <w:rStyle w:val="Hyperlink"/>
              </w:rPr>
              <w:t>A.3.</w:t>
            </w:r>
            <w:r w:rsidR="00BA73F6">
              <w:rPr>
                <w:rStyle w:val="Hyperlink"/>
              </w:rPr>
              <w:tab/>
            </w:r>
            <w:r w:rsidR="00671BF5" w:rsidRPr="00E62000">
              <w:rPr>
                <w:rStyle w:val="Hyperlink"/>
              </w:rPr>
              <w:t>Proposal for Public Funding</w:t>
            </w:r>
            <w:r w:rsidR="00671BF5">
              <w:rPr>
                <w:webHidden/>
              </w:rPr>
              <w:tab/>
            </w:r>
            <w:r w:rsidR="00671BF5">
              <w:rPr>
                <w:webHidden/>
              </w:rPr>
              <w:fldChar w:fldCharType="begin"/>
            </w:r>
            <w:r w:rsidR="00671BF5">
              <w:rPr>
                <w:webHidden/>
              </w:rPr>
              <w:instrText xml:space="preserve"> PAGEREF _Toc418179884 \h </w:instrText>
            </w:r>
            <w:r w:rsidR="00671BF5">
              <w:rPr>
                <w:webHidden/>
              </w:rPr>
            </w:r>
            <w:r w:rsidR="00671BF5">
              <w:rPr>
                <w:webHidden/>
              </w:rPr>
              <w:fldChar w:fldCharType="separate"/>
            </w:r>
            <w:r w:rsidR="00B909E6">
              <w:rPr>
                <w:webHidden/>
              </w:rPr>
              <w:t>40</w:t>
            </w:r>
            <w:r w:rsidR="00671BF5">
              <w:rPr>
                <w:webHidden/>
              </w:rPr>
              <w:fldChar w:fldCharType="end"/>
            </w:r>
          </w:hyperlink>
        </w:p>
        <w:p w14:paraId="4B16A7E9" w14:textId="06C9D435" w:rsidR="00671BF5" w:rsidRDefault="00447183" w:rsidP="006B53D2">
          <w:pPr>
            <w:pStyle w:val="TOC3"/>
            <w:rPr>
              <w:rFonts w:asciiTheme="minorHAnsi" w:eastAsiaTheme="minorEastAsia" w:hAnsiTheme="minorHAnsi" w:cstheme="minorBidi"/>
            </w:rPr>
          </w:pPr>
          <w:hyperlink w:anchor="_Toc418179885" w:history="1">
            <w:r w:rsidR="00671BF5" w:rsidRPr="00E62000">
              <w:rPr>
                <w:rStyle w:val="Hyperlink"/>
              </w:rPr>
              <w:t>A.3.1.</w:t>
            </w:r>
            <w:r w:rsidR="00BA73F6">
              <w:rPr>
                <w:rStyle w:val="Hyperlink"/>
              </w:rPr>
              <w:tab/>
            </w:r>
            <w:r w:rsidR="00671BF5" w:rsidRPr="00E62000">
              <w:rPr>
                <w:rStyle w:val="Hyperlink"/>
              </w:rPr>
              <w:t>Current funding arrangements</w:t>
            </w:r>
            <w:r w:rsidR="00671BF5">
              <w:rPr>
                <w:webHidden/>
              </w:rPr>
              <w:tab/>
            </w:r>
            <w:r w:rsidR="00671BF5">
              <w:rPr>
                <w:webHidden/>
              </w:rPr>
              <w:fldChar w:fldCharType="begin"/>
            </w:r>
            <w:r w:rsidR="00671BF5">
              <w:rPr>
                <w:webHidden/>
              </w:rPr>
              <w:instrText xml:space="preserve"> PAGEREF _Toc418179885 \h </w:instrText>
            </w:r>
            <w:r w:rsidR="00671BF5">
              <w:rPr>
                <w:webHidden/>
              </w:rPr>
            </w:r>
            <w:r w:rsidR="00671BF5">
              <w:rPr>
                <w:webHidden/>
              </w:rPr>
              <w:fldChar w:fldCharType="separate"/>
            </w:r>
            <w:r w:rsidR="00B909E6">
              <w:rPr>
                <w:webHidden/>
              </w:rPr>
              <w:t>42</w:t>
            </w:r>
            <w:r w:rsidR="00671BF5">
              <w:rPr>
                <w:webHidden/>
              </w:rPr>
              <w:fldChar w:fldCharType="end"/>
            </w:r>
          </w:hyperlink>
        </w:p>
        <w:p w14:paraId="3F3470FC" w14:textId="07DEB492" w:rsidR="00671BF5" w:rsidRDefault="00447183">
          <w:pPr>
            <w:pStyle w:val="TOC2"/>
            <w:rPr>
              <w:rFonts w:asciiTheme="minorHAnsi" w:eastAsiaTheme="minorEastAsia" w:hAnsiTheme="minorHAnsi" w:cstheme="minorBidi"/>
            </w:rPr>
          </w:pPr>
          <w:hyperlink w:anchor="_Toc418179886" w:history="1">
            <w:r w:rsidR="00671BF5" w:rsidRPr="00E62000">
              <w:rPr>
                <w:rStyle w:val="Hyperlink"/>
              </w:rPr>
              <w:t>A.4.</w:t>
            </w:r>
            <w:r w:rsidR="00BA73F6">
              <w:rPr>
                <w:rStyle w:val="Hyperlink"/>
              </w:rPr>
              <w:tab/>
            </w:r>
            <w:r w:rsidR="00671BF5" w:rsidRPr="00E62000">
              <w:rPr>
                <w:rStyle w:val="Hyperlink"/>
              </w:rPr>
              <w:t>Comparator Details</w:t>
            </w:r>
            <w:r w:rsidR="00671BF5">
              <w:rPr>
                <w:webHidden/>
              </w:rPr>
              <w:tab/>
            </w:r>
            <w:r w:rsidR="00671BF5">
              <w:rPr>
                <w:webHidden/>
              </w:rPr>
              <w:fldChar w:fldCharType="begin"/>
            </w:r>
            <w:r w:rsidR="00671BF5">
              <w:rPr>
                <w:webHidden/>
              </w:rPr>
              <w:instrText xml:space="preserve"> PAGEREF _Toc418179886 \h </w:instrText>
            </w:r>
            <w:r w:rsidR="00671BF5">
              <w:rPr>
                <w:webHidden/>
              </w:rPr>
            </w:r>
            <w:r w:rsidR="00671BF5">
              <w:rPr>
                <w:webHidden/>
              </w:rPr>
              <w:fldChar w:fldCharType="separate"/>
            </w:r>
            <w:r w:rsidR="00B909E6">
              <w:rPr>
                <w:webHidden/>
              </w:rPr>
              <w:t>42</w:t>
            </w:r>
            <w:r w:rsidR="00671BF5">
              <w:rPr>
                <w:webHidden/>
              </w:rPr>
              <w:fldChar w:fldCharType="end"/>
            </w:r>
          </w:hyperlink>
        </w:p>
        <w:p w14:paraId="59DF3722" w14:textId="05C20B2D" w:rsidR="00671BF5" w:rsidRDefault="00447183">
          <w:pPr>
            <w:pStyle w:val="TOC2"/>
            <w:rPr>
              <w:rFonts w:asciiTheme="minorHAnsi" w:eastAsiaTheme="minorEastAsia" w:hAnsiTheme="minorHAnsi" w:cstheme="minorBidi"/>
            </w:rPr>
          </w:pPr>
          <w:hyperlink w:anchor="_Toc418179887" w:history="1">
            <w:r w:rsidR="00671BF5" w:rsidRPr="00E62000">
              <w:rPr>
                <w:rStyle w:val="Hyperlink"/>
              </w:rPr>
              <w:t>A.5.</w:t>
            </w:r>
            <w:r w:rsidR="00BA73F6">
              <w:rPr>
                <w:rStyle w:val="Hyperlink"/>
              </w:rPr>
              <w:tab/>
            </w:r>
            <w:r w:rsidR="00671BF5" w:rsidRPr="00E62000">
              <w:rPr>
                <w:rStyle w:val="Hyperlink"/>
              </w:rPr>
              <w:t>Clinical Use of the Test</w:t>
            </w:r>
            <w:r w:rsidR="00671BF5">
              <w:rPr>
                <w:webHidden/>
              </w:rPr>
              <w:tab/>
            </w:r>
            <w:r w:rsidR="00671BF5">
              <w:rPr>
                <w:webHidden/>
              </w:rPr>
              <w:fldChar w:fldCharType="begin"/>
            </w:r>
            <w:r w:rsidR="00671BF5">
              <w:rPr>
                <w:webHidden/>
              </w:rPr>
              <w:instrText xml:space="preserve"> PAGEREF _Toc418179887 \h </w:instrText>
            </w:r>
            <w:r w:rsidR="00671BF5">
              <w:rPr>
                <w:webHidden/>
              </w:rPr>
            </w:r>
            <w:r w:rsidR="00671BF5">
              <w:rPr>
                <w:webHidden/>
              </w:rPr>
              <w:fldChar w:fldCharType="separate"/>
            </w:r>
            <w:r w:rsidR="00B909E6">
              <w:rPr>
                <w:webHidden/>
              </w:rPr>
              <w:t>42</w:t>
            </w:r>
            <w:r w:rsidR="00671BF5">
              <w:rPr>
                <w:webHidden/>
              </w:rPr>
              <w:fldChar w:fldCharType="end"/>
            </w:r>
          </w:hyperlink>
        </w:p>
        <w:p w14:paraId="6352E70B" w14:textId="0033716D" w:rsidR="00671BF5" w:rsidRDefault="00447183" w:rsidP="006B53D2">
          <w:pPr>
            <w:pStyle w:val="TOC3"/>
            <w:rPr>
              <w:rFonts w:asciiTheme="minorHAnsi" w:eastAsiaTheme="minorEastAsia" w:hAnsiTheme="minorHAnsi" w:cstheme="minorBidi"/>
            </w:rPr>
          </w:pPr>
          <w:hyperlink w:anchor="_Toc418179888" w:history="1">
            <w:r w:rsidR="00671BF5" w:rsidRPr="00E62000">
              <w:rPr>
                <w:rStyle w:val="Hyperlink"/>
              </w:rPr>
              <w:t>A.5.1.</w:t>
            </w:r>
            <w:r w:rsidR="00BA73F6">
              <w:rPr>
                <w:rStyle w:val="Hyperlink"/>
              </w:rPr>
              <w:tab/>
            </w:r>
            <w:r w:rsidR="00671BF5" w:rsidRPr="00E62000">
              <w:rPr>
                <w:rStyle w:val="Hyperlink"/>
              </w:rPr>
              <w:t>Clinical management algorithms</w:t>
            </w:r>
            <w:r w:rsidR="00671BF5">
              <w:rPr>
                <w:webHidden/>
              </w:rPr>
              <w:tab/>
            </w:r>
            <w:r w:rsidR="00671BF5">
              <w:rPr>
                <w:webHidden/>
              </w:rPr>
              <w:fldChar w:fldCharType="begin"/>
            </w:r>
            <w:r w:rsidR="00671BF5">
              <w:rPr>
                <w:webHidden/>
              </w:rPr>
              <w:instrText xml:space="preserve"> PAGEREF _Toc418179888 \h </w:instrText>
            </w:r>
            <w:r w:rsidR="00671BF5">
              <w:rPr>
                <w:webHidden/>
              </w:rPr>
            </w:r>
            <w:r w:rsidR="00671BF5">
              <w:rPr>
                <w:webHidden/>
              </w:rPr>
              <w:fldChar w:fldCharType="separate"/>
            </w:r>
            <w:r w:rsidR="00B909E6">
              <w:rPr>
                <w:webHidden/>
              </w:rPr>
              <w:t>44</w:t>
            </w:r>
            <w:r w:rsidR="00671BF5">
              <w:rPr>
                <w:webHidden/>
              </w:rPr>
              <w:fldChar w:fldCharType="end"/>
            </w:r>
          </w:hyperlink>
        </w:p>
        <w:p w14:paraId="7E768D13" w14:textId="50931F4A" w:rsidR="00671BF5" w:rsidRDefault="00447183" w:rsidP="00CC5A07">
          <w:pPr>
            <w:pStyle w:val="TOC2"/>
            <w:ind w:left="1701" w:hanging="850"/>
            <w:rPr>
              <w:rFonts w:asciiTheme="minorHAnsi" w:eastAsiaTheme="minorEastAsia" w:hAnsiTheme="minorHAnsi" w:cstheme="minorBidi"/>
            </w:rPr>
          </w:pPr>
          <w:hyperlink w:anchor="_Toc418179889" w:history="1">
            <w:r w:rsidR="00671BF5" w:rsidRPr="00E62000">
              <w:rPr>
                <w:rStyle w:val="Hyperlink"/>
              </w:rPr>
              <w:t>A.6.</w:t>
            </w:r>
            <w:r w:rsidR="00BA73F6">
              <w:rPr>
                <w:rStyle w:val="Hyperlink"/>
              </w:rPr>
              <w:tab/>
            </w:r>
            <w:r w:rsidR="00671BF5" w:rsidRPr="00E62000">
              <w:rPr>
                <w:rStyle w:val="Hyperlink"/>
              </w:rPr>
              <w:t>Key Differences in the Delivery of the Proposed Medical Service and the Main Comparator</w:t>
            </w:r>
            <w:r w:rsidR="00671BF5">
              <w:rPr>
                <w:webHidden/>
              </w:rPr>
              <w:tab/>
            </w:r>
            <w:r w:rsidR="00671BF5">
              <w:rPr>
                <w:webHidden/>
              </w:rPr>
              <w:fldChar w:fldCharType="begin"/>
            </w:r>
            <w:r w:rsidR="00671BF5">
              <w:rPr>
                <w:webHidden/>
              </w:rPr>
              <w:instrText xml:space="preserve"> PAGEREF _Toc418179889 \h </w:instrText>
            </w:r>
            <w:r w:rsidR="00671BF5">
              <w:rPr>
                <w:webHidden/>
              </w:rPr>
            </w:r>
            <w:r w:rsidR="00671BF5">
              <w:rPr>
                <w:webHidden/>
              </w:rPr>
              <w:fldChar w:fldCharType="separate"/>
            </w:r>
            <w:r w:rsidR="00B909E6">
              <w:rPr>
                <w:webHidden/>
              </w:rPr>
              <w:t>47</w:t>
            </w:r>
            <w:r w:rsidR="00671BF5">
              <w:rPr>
                <w:webHidden/>
              </w:rPr>
              <w:fldChar w:fldCharType="end"/>
            </w:r>
          </w:hyperlink>
        </w:p>
        <w:p w14:paraId="250F0A50" w14:textId="372438AB" w:rsidR="00671BF5" w:rsidRDefault="00447183">
          <w:pPr>
            <w:pStyle w:val="TOC2"/>
            <w:rPr>
              <w:rFonts w:asciiTheme="minorHAnsi" w:eastAsiaTheme="minorEastAsia" w:hAnsiTheme="minorHAnsi" w:cstheme="minorBidi"/>
            </w:rPr>
          </w:pPr>
          <w:hyperlink w:anchor="_Toc418179890" w:history="1">
            <w:r w:rsidR="00671BF5" w:rsidRPr="00E62000">
              <w:rPr>
                <w:rStyle w:val="Hyperlink"/>
              </w:rPr>
              <w:t>A.7.</w:t>
            </w:r>
            <w:r w:rsidR="00BA73F6">
              <w:rPr>
                <w:rStyle w:val="Hyperlink"/>
              </w:rPr>
              <w:tab/>
            </w:r>
            <w:r w:rsidR="00671BF5" w:rsidRPr="00E62000">
              <w:rPr>
                <w:rStyle w:val="Hyperlink"/>
              </w:rPr>
              <w:t>Clinical Claim</w:t>
            </w:r>
            <w:r w:rsidR="00671BF5">
              <w:rPr>
                <w:webHidden/>
              </w:rPr>
              <w:tab/>
            </w:r>
            <w:r w:rsidR="00671BF5">
              <w:rPr>
                <w:webHidden/>
              </w:rPr>
              <w:fldChar w:fldCharType="begin"/>
            </w:r>
            <w:r w:rsidR="00671BF5">
              <w:rPr>
                <w:webHidden/>
              </w:rPr>
              <w:instrText xml:space="preserve"> PAGEREF _Toc418179890 \h </w:instrText>
            </w:r>
            <w:r w:rsidR="00671BF5">
              <w:rPr>
                <w:webHidden/>
              </w:rPr>
            </w:r>
            <w:r w:rsidR="00671BF5">
              <w:rPr>
                <w:webHidden/>
              </w:rPr>
              <w:fldChar w:fldCharType="separate"/>
            </w:r>
            <w:r w:rsidR="00B909E6">
              <w:rPr>
                <w:webHidden/>
              </w:rPr>
              <w:t>47</w:t>
            </w:r>
            <w:r w:rsidR="00671BF5">
              <w:rPr>
                <w:webHidden/>
              </w:rPr>
              <w:fldChar w:fldCharType="end"/>
            </w:r>
          </w:hyperlink>
        </w:p>
        <w:p w14:paraId="4D0B7501" w14:textId="039ED7BC" w:rsidR="00671BF5" w:rsidRDefault="00447183">
          <w:pPr>
            <w:pStyle w:val="TOC2"/>
          </w:pPr>
          <w:hyperlink w:anchor="_Toc418179891" w:history="1">
            <w:r w:rsidR="00671BF5" w:rsidRPr="00E62000">
              <w:rPr>
                <w:rStyle w:val="Hyperlink"/>
              </w:rPr>
              <w:t>A.8.</w:t>
            </w:r>
            <w:r w:rsidR="00BA73F6">
              <w:rPr>
                <w:rStyle w:val="Hyperlink"/>
              </w:rPr>
              <w:tab/>
            </w:r>
            <w:r w:rsidR="00671BF5" w:rsidRPr="00E62000">
              <w:rPr>
                <w:rStyle w:val="Hyperlink"/>
              </w:rPr>
              <w:t>Scope of the Clinical Evaluation</w:t>
            </w:r>
            <w:r w:rsidR="00671BF5">
              <w:rPr>
                <w:webHidden/>
              </w:rPr>
              <w:tab/>
            </w:r>
            <w:r w:rsidR="00671BF5">
              <w:rPr>
                <w:webHidden/>
              </w:rPr>
              <w:fldChar w:fldCharType="begin"/>
            </w:r>
            <w:r w:rsidR="00671BF5">
              <w:rPr>
                <w:webHidden/>
              </w:rPr>
              <w:instrText xml:space="preserve"> PAGEREF _Toc418179891 \h </w:instrText>
            </w:r>
            <w:r w:rsidR="00671BF5">
              <w:rPr>
                <w:webHidden/>
              </w:rPr>
            </w:r>
            <w:r w:rsidR="00671BF5">
              <w:rPr>
                <w:webHidden/>
              </w:rPr>
              <w:fldChar w:fldCharType="separate"/>
            </w:r>
            <w:r w:rsidR="00B909E6">
              <w:rPr>
                <w:webHidden/>
              </w:rPr>
              <w:t>48</w:t>
            </w:r>
            <w:r w:rsidR="00671BF5">
              <w:rPr>
                <w:webHidden/>
              </w:rPr>
              <w:fldChar w:fldCharType="end"/>
            </w:r>
          </w:hyperlink>
        </w:p>
        <w:p w14:paraId="1282DF42" w14:textId="64F770C5" w:rsidR="00DD6DB1" w:rsidRDefault="00DD6DB1" w:rsidP="00C54F42">
          <w:pPr>
            <w:pStyle w:val="TOC3"/>
          </w:pPr>
          <w:r>
            <w:t>A.8.1</w:t>
          </w:r>
          <w:r w:rsidR="00F079F1">
            <w:t>.</w:t>
          </w:r>
          <w:r>
            <w:tab/>
            <w:t>Diagnostic accuracy</w:t>
          </w:r>
          <w:r w:rsidR="00660447">
            <w:tab/>
            <w:t>52</w:t>
          </w:r>
        </w:p>
        <w:p w14:paraId="0A3FE88D" w14:textId="03AE16E7" w:rsidR="00F079F1" w:rsidRDefault="00F079F1" w:rsidP="00C54F42">
          <w:pPr>
            <w:pStyle w:val="TOC3"/>
          </w:pPr>
          <w:r>
            <w:t>A.8.2.</w:t>
          </w:r>
          <w:r>
            <w:tab/>
          </w:r>
          <w:r w:rsidRPr="00FE49CD">
            <w:t xml:space="preserve">Change </w:t>
          </w:r>
          <w:r>
            <w:t>i</w:t>
          </w:r>
          <w:r w:rsidRPr="00FE49CD">
            <w:t xml:space="preserve">n </w:t>
          </w:r>
          <w:r>
            <w:t>m</w:t>
          </w:r>
          <w:r w:rsidRPr="00FE49CD">
            <w:t>anagement</w:t>
          </w:r>
          <w:r w:rsidR="00660447">
            <w:tab/>
            <w:t>53</w:t>
          </w:r>
        </w:p>
        <w:p w14:paraId="04CB3E37" w14:textId="48B14D85" w:rsidR="00F079F1" w:rsidRPr="00C54F42" w:rsidRDefault="00F079F1" w:rsidP="00C54F42">
          <w:pPr>
            <w:pStyle w:val="TOC3"/>
          </w:pPr>
          <w:r>
            <w:lastRenderedPageBreak/>
            <w:t>A.8.3.</w:t>
          </w:r>
          <w:r>
            <w:tab/>
            <w:t>Effectiveness</w:t>
          </w:r>
          <w:r w:rsidRPr="00FE49CD">
            <w:t xml:space="preserve"> of change in management</w:t>
          </w:r>
          <w:r w:rsidR="00660447">
            <w:tab/>
            <w:t>54</w:t>
          </w:r>
        </w:p>
        <w:p w14:paraId="4B948E50" w14:textId="77777777" w:rsidR="00671BF5" w:rsidRDefault="00447183">
          <w:pPr>
            <w:pStyle w:val="TOC1"/>
            <w:rPr>
              <w:rFonts w:asciiTheme="minorHAnsi" w:eastAsiaTheme="minorEastAsia" w:hAnsiTheme="minorHAnsi" w:cstheme="minorBidi"/>
              <w:b w:val="0"/>
            </w:rPr>
          </w:pPr>
          <w:hyperlink w:anchor="_Toc418179892" w:history="1">
            <w:r w:rsidR="00671BF5" w:rsidRPr="00E62000">
              <w:rPr>
                <w:rStyle w:val="Hyperlink"/>
              </w:rPr>
              <w:t>Section B</w:t>
            </w:r>
            <w:r w:rsidR="00671BF5">
              <w:rPr>
                <w:rFonts w:asciiTheme="minorHAnsi" w:eastAsiaTheme="minorEastAsia" w:hAnsiTheme="minorHAnsi" w:cstheme="minorBidi"/>
                <w:b w:val="0"/>
              </w:rPr>
              <w:tab/>
            </w:r>
            <w:r w:rsidR="00671BF5" w:rsidRPr="00E62000">
              <w:rPr>
                <w:rStyle w:val="Hyperlink"/>
              </w:rPr>
              <w:t>Clinical Evaluation</w:t>
            </w:r>
            <w:r w:rsidR="00671BF5">
              <w:rPr>
                <w:webHidden/>
              </w:rPr>
              <w:tab/>
            </w:r>
            <w:r w:rsidR="00671BF5">
              <w:rPr>
                <w:webHidden/>
              </w:rPr>
              <w:fldChar w:fldCharType="begin"/>
            </w:r>
            <w:r w:rsidR="00671BF5">
              <w:rPr>
                <w:webHidden/>
              </w:rPr>
              <w:instrText xml:space="preserve"> PAGEREF _Toc418179892 \h </w:instrText>
            </w:r>
            <w:r w:rsidR="00671BF5">
              <w:rPr>
                <w:webHidden/>
              </w:rPr>
            </w:r>
            <w:r w:rsidR="00671BF5">
              <w:rPr>
                <w:webHidden/>
              </w:rPr>
              <w:fldChar w:fldCharType="separate"/>
            </w:r>
            <w:r w:rsidR="00B909E6">
              <w:rPr>
                <w:webHidden/>
              </w:rPr>
              <w:t>55</w:t>
            </w:r>
            <w:r w:rsidR="00671BF5">
              <w:rPr>
                <w:webHidden/>
              </w:rPr>
              <w:fldChar w:fldCharType="end"/>
            </w:r>
          </w:hyperlink>
        </w:p>
        <w:p w14:paraId="1D2482EF" w14:textId="6F4FE8D3" w:rsidR="00671BF5" w:rsidRDefault="00447183">
          <w:pPr>
            <w:pStyle w:val="TOC2"/>
            <w:rPr>
              <w:rFonts w:asciiTheme="minorHAnsi" w:eastAsiaTheme="minorEastAsia" w:hAnsiTheme="minorHAnsi" w:cstheme="minorBidi"/>
            </w:rPr>
          </w:pPr>
          <w:hyperlink w:anchor="_Toc418179893" w:history="1">
            <w:r w:rsidR="00671BF5" w:rsidRPr="00E62000">
              <w:rPr>
                <w:rStyle w:val="Hyperlink"/>
              </w:rPr>
              <w:t>B.1.</w:t>
            </w:r>
            <w:r w:rsidR="00675891">
              <w:rPr>
                <w:rStyle w:val="Hyperlink"/>
              </w:rPr>
              <w:tab/>
            </w:r>
            <w:r w:rsidR="00671BF5" w:rsidRPr="00E62000">
              <w:rPr>
                <w:rStyle w:val="Hyperlink"/>
              </w:rPr>
              <w:t xml:space="preserve"> Literature Sources and Search Strategies</w:t>
            </w:r>
            <w:r w:rsidR="00671BF5">
              <w:rPr>
                <w:webHidden/>
              </w:rPr>
              <w:tab/>
            </w:r>
            <w:r w:rsidR="00671BF5">
              <w:rPr>
                <w:webHidden/>
              </w:rPr>
              <w:fldChar w:fldCharType="begin"/>
            </w:r>
            <w:r w:rsidR="00671BF5">
              <w:rPr>
                <w:webHidden/>
              </w:rPr>
              <w:instrText xml:space="preserve"> PAGEREF _Toc418179893 \h </w:instrText>
            </w:r>
            <w:r w:rsidR="00671BF5">
              <w:rPr>
                <w:webHidden/>
              </w:rPr>
            </w:r>
            <w:r w:rsidR="00671BF5">
              <w:rPr>
                <w:webHidden/>
              </w:rPr>
              <w:fldChar w:fldCharType="separate"/>
            </w:r>
            <w:r w:rsidR="00B909E6">
              <w:rPr>
                <w:webHidden/>
              </w:rPr>
              <w:t>55</w:t>
            </w:r>
            <w:r w:rsidR="00671BF5">
              <w:rPr>
                <w:webHidden/>
              </w:rPr>
              <w:fldChar w:fldCharType="end"/>
            </w:r>
          </w:hyperlink>
        </w:p>
        <w:p w14:paraId="1CBFC592" w14:textId="7FC6F214" w:rsidR="00671BF5" w:rsidRDefault="00447183">
          <w:pPr>
            <w:pStyle w:val="TOC2"/>
            <w:rPr>
              <w:rFonts w:asciiTheme="minorHAnsi" w:eastAsiaTheme="minorEastAsia" w:hAnsiTheme="minorHAnsi" w:cstheme="minorBidi"/>
            </w:rPr>
          </w:pPr>
          <w:hyperlink w:anchor="_Toc418179894" w:history="1">
            <w:r w:rsidR="00671BF5" w:rsidRPr="00E62000">
              <w:rPr>
                <w:rStyle w:val="Hyperlink"/>
              </w:rPr>
              <w:t>B.2.</w:t>
            </w:r>
            <w:r w:rsidR="00675891">
              <w:rPr>
                <w:rStyle w:val="Hyperlink"/>
              </w:rPr>
              <w:tab/>
            </w:r>
            <w:r w:rsidR="00671BF5" w:rsidRPr="00E62000">
              <w:rPr>
                <w:rStyle w:val="Hyperlink"/>
              </w:rPr>
              <w:t>Results of Literature Search</w:t>
            </w:r>
            <w:r w:rsidR="00671BF5">
              <w:rPr>
                <w:webHidden/>
              </w:rPr>
              <w:tab/>
            </w:r>
            <w:r w:rsidR="00671BF5">
              <w:rPr>
                <w:webHidden/>
              </w:rPr>
              <w:fldChar w:fldCharType="begin"/>
            </w:r>
            <w:r w:rsidR="00671BF5">
              <w:rPr>
                <w:webHidden/>
              </w:rPr>
              <w:instrText xml:space="preserve"> PAGEREF _Toc418179894 \h </w:instrText>
            </w:r>
            <w:r w:rsidR="00671BF5">
              <w:rPr>
                <w:webHidden/>
              </w:rPr>
            </w:r>
            <w:r w:rsidR="00671BF5">
              <w:rPr>
                <w:webHidden/>
              </w:rPr>
              <w:fldChar w:fldCharType="separate"/>
            </w:r>
            <w:r w:rsidR="00B909E6">
              <w:rPr>
                <w:webHidden/>
              </w:rPr>
              <w:t>55</w:t>
            </w:r>
            <w:r w:rsidR="00671BF5">
              <w:rPr>
                <w:webHidden/>
              </w:rPr>
              <w:fldChar w:fldCharType="end"/>
            </w:r>
          </w:hyperlink>
        </w:p>
        <w:p w14:paraId="040B351B" w14:textId="0E41DE9B" w:rsidR="00671BF5" w:rsidRDefault="00447183" w:rsidP="006B53D2">
          <w:pPr>
            <w:pStyle w:val="TOC3"/>
            <w:rPr>
              <w:rFonts w:asciiTheme="minorHAnsi" w:eastAsiaTheme="minorEastAsia" w:hAnsiTheme="minorHAnsi" w:cstheme="minorBidi"/>
            </w:rPr>
          </w:pPr>
          <w:hyperlink w:anchor="_Toc418179895" w:history="1">
            <w:r w:rsidR="00671BF5" w:rsidRPr="00E62000">
              <w:rPr>
                <w:rStyle w:val="Hyperlink"/>
              </w:rPr>
              <w:t>B.2.1.</w:t>
            </w:r>
            <w:r w:rsidR="005B4F4D">
              <w:rPr>
                <w:rStyle w:val="Hyperlink"/>
              </w:rPr>
              <w:tab/>
            </w:r>
            <w:r w:rsidR="00671BF5" w:rsidRPr="00E62000">
              <w:rPr>
                <w:rStyle w:val="Hyperlink"/>
              </w:rPr>
              <w:t>Direct effectiveness</w:t>
            </w:r>
            <w:r w:rsidR="00671BF5">
              <w:rPr>
                <w:webHidden/>
              </w:rPr>
              <w:tab/>
            </w:r>
            <w:r w:rsidR="00671BF5">
              <w:rPr>
                <w:webHidden/>
              </w:rPr>
              <w:fldChar w:fldCharType="begin"/>
            </w:r>
            <w:r w:rsidR="00671BF5">
              <w:rPr>
                <w:webHidden/>
              </w:rPr>
              <w:instrText xml:space="preserve"> PAGEREF _Toc418179895 \h </w:instrText>
            </w:r>
            <w:r w:rsidR="00671BF5">
              <w:rPr>
                <w:webHidden/>
              </w:rPr>
            </w:r>
            <w:r w:rsidR="00671BF5">
              <w:rPr>
                <w:webHidden/>
              </w:rPr>
              <w:fldChar w:fldCharType="separate"/>
            </w:r>
            <w:r w:rsidR="00B909E6">
              <w:rPr>
                <w:webHidden/>
              </w:rPr>
              <w:t>56</w:t>
            </w:r>
            <w:r w:rsidR="00671BF5">
              <w:rPr>
                <w:webHidden/>
              </w:rPr>
              <w:fldChar w:fldCharType="end"/>
            </w:r>
          </w:hyperlink>
        </w:p>
        <w:p w14:paraId="3D00EFBA" w14:textId="1005A505" w:rsidR="00671BF5" w:rsidRDefault="00447183" w:rsidP="006B53D2">
          <w:pPr>
            <w:pStyle w:val="TOC3"/>
            <w:rPr>
              <w:rFonts w:asciiTheme="minorHAnsi" w:eastAsiaTheme="minorEastAsia" w:hAnsiTheme="minorHAnsi" w:cstheme="minorBidi"/>
            </w:rPr>
          </w:pPr>
          <w:hyperlink w:anchor="_Toc418179896" w:history="1">
            <w:r w:rsidR="00671BF5" w:rsidRPr="00E62000">
              <w:rPr>
                <w:rStyle w:val="Hyperlink"/>
              </w:rPr>
              <w:t>B.2.2.</w:t>
            </w:r>
            <w:r w:rsidR="005B4F4D">
              <w:rPr>
                <w:rStyle w:val="Hyperlink"/>
              </w:rPr>
              <w:tab/>
            </w:r>
            <w:r w:rsidR="00671BF5" w:rsidRPr="00E62000">
              <w:rPr>
                <w:rStyle w:val="Hyperlink"/>
              </w:rPr>
              <w:t>Linked evidence approach</w:t>
            </w:r>
            <w:r w:rsidR="00671BF5">
              <w:rPr>
                <w:webHidden/>
              </w:rPr>
              <w:tab/>
            </w:r>
            <w:r w:rsidR="00671BF5">
              <w:rPr>
                <w:webHidden/>
              </w:rPr>
              <w:fldChar w:fldCharType="begin"/>
            </w:r>
            <w:r w:rsidR="00671BF5">
              <w:rPr>
                <w:webHidden/>
              </w:rPr>
              <w:instrText xml:space="preserve"> PAGEREF _Toc418179896 \h </w:instrText>
            </w:r>
            <w:r w:rsidR="00671BF5">
              <w:rPr>
                <w:webHidden/>
              </w:rPr>
            </w:r>
            <w:r w:rsidR="00671BF5">
              <w:rPr>
                <w:webHidden/>
              </w:rPr>
              <w:fldChar w:fldCharType="separate"/>
            </w:r>
            <w:r w:rsidR="00B909E6">
              <w:rPr>
                <w:webHidden/>
              </w:rPr>
              <w:t>57</w:t>
            </w:r>
            <w:r w:rsidR="00671BF5">
              <w:rPr>
                <w:webHidden/>
              </w:rPr>
              <w:fldChar w:fldCharType="end"/>
            </w:r>
          </w:hyperlink>
        </w:p>
        <w:p w14:paraId="67F97EC5" w14:textId="439879F2" w:rsidR="00671BF5" w:rsidRDefault="00447183" w:rsidP="006B53D2">
          <w:pPr>
            <w:pStyle w:val="TOC3"/>
            <w:rPr>
              <w:rFonts w:asciiTheme="minorHAnsi" w:eastAsiaTheme="minorEastAsia" w:hAnsiTheme="minorHAnsi" w:cstheme="minorBidi"/>
            </w:rPr>
          </w:pPr>
          <w:hyperlink w:anchor="_Toc418179897" w:history="1">
            <w:r w:rsidR="00671BF5" w:rsidRPr="00E62000">
              <w:rPr>
                <w:rStyle w:val="Hyperlink"/>
              </w:rPr>
              <w:t>B.2.3.</w:t>
            </w:r>
            <w:r w:rsidR="005B4F4D">
              <w:rPr>
                <w:rStyle w:val="Hyperlink"/>
              </w:rPr>
              <w:tab/>
            </w:r>
            <w:r w:rsidR="00671BF5" w:rsidRPr="00E62000">
              <w:rPr>
                <w:rStyle w:val="Hyperlink"/>
              </w:rPr>
              <w:t>Appraisal of the evidence</w:t>
            </w:r>
            <w:r w:rsidR="00671BF5">
              <w:rPr>
                <w:webHidden/>
              </w:rPr>
              <w:tab/>
            </w:r>
            <w:r w:rsidR="00671BF5">
              <w:rPr>
                <w:webHidden/>
              </w:rPr>
              <w:fldChar w:fldCharType="begin"/>
            </w:r>
            <w:r w:rsidR="00671BF5">
              <w:rPr>
                <w:webHidden/>
              </w:rPr>
              <w:instrText xml:space="preserve"> PAGEREF _Toc418179897 \h </w:instrText>
            </w:r>
            <w:r w:rsidR="00671BF5">
              <w:rPr>
                <w:webHidden/>
              </w:rPr>
            </w:r>
            <w:r w:rsidR="00671BF5">
              <w:rPr>
                <w:webHidden/>
              </w:rPr>
              <w:fldChar w:fldCharType="separate"/>
            </w:r>
            <w:r w:rsidR="00B909E6">
              <w:rPr>
                <w:webHidden/>
              </w:rPr>
              <w:t>58</w:t>
            </w:r>
            <w:r w:rsidR="00671BF5">
              <w:rPr>
                <w:webHidden/>
              </w:rPr>
              <w:fldChar w:fldCharType="end"/>
            </w:r>
          </w:hyperlink>
        </w:p>
        <w:p w14:paraId="6981415A" w14:textId="4B8B1D8B" w:rsidR="00671BF5" w:rsidRDefault="00447183">
          <w:pPr>
            <w:pStyle w:val="TOC2"/>
            <w:rPr>
              <w:rFonts w:asciiTheme="minorHAnsi" w:eastAsiaTheme="minorEastAsia" w:hAnsiTheme="minorHAnsi" w:cstheme="minorBidi"/>
            </w:rPr>
          </w:pPr>
          <w:hyperlink w:anchor="_Toc418179898" w:history="1">
            <w:r w:rsidR="00671BF5" w:rsidRPr="00AF7784">
              <w:rPr>
                <w:rStyle w:val="Hyperlink"/>
                <w:b/>
                <w:i/>
              </w:rPr>
              <w:t xml:space="preserve">Direct </w:t>
            </w:r>
            <w:r w:rsidR="00A60735">
              <w:rPr>
                <w:rStyle w:val="Hyperlink"/>
                <w:b/>
                <w:i/>
              </w:rPr>
              <w:t>E</w:t>
            </w:r>
            <w:r w:rsidR="00671BF5" w:rsidRPr="00AF7784">
              <w:rPr>
                <w:rStyle w:val="Hyperlink"/>
                <w:b/>
                <w:i/>
              </w:rPr>
              <w:t>vidence</w:t>
            </w:r>
            <w:r w:rsidR="00671BF5">
              <w:rPr>
                <w:webHidden/>
              </w:rPr>
              <w:tab/>
            </w:r>
            <w:r w:rsidR="00671BF5">
              <w:rPr>
                <w:webHidden/>
              </w:rPr>
              <w:fldChar w:fldCharType="begin"/>
            </w:r>
            <w:r w:rsidR="00671BF5">
              <w:rPr>
                <w:webHidden/>
              </w:rPr>
              <w:instrText xml:space="preserve"> PAGEREF _Toc418179898 \h </w:instrText>
            </w:r>
            <w:r w:rsidR="00671BF5">
              <w:rPr>
                <w:webHidden/>
              </w:rPr>
            </w:r>
            <w:r w:rsidR="00671BF5">
              <w:rPr>
                <w:webHidden/>
              </w:rPr>
              <w:fldChar w:fldCharType="separate"/>
            </w:r>
            <w:r w:rsidR="00B909E6">
              <w:rPr>
                <w:webHidden/>
              </w:rPr>
              <w:t>60</w:t>
            </w:r>
            <w:r w:rsidR="00671BF5">
              <w:rPr>
                <w:webHidden/>
              </w:rPr>
              <w:fldChar w:fldCharType="end"/>
            </w:r>
          </w:hyperlink>
        </w:p>
        <w:p w14:paraId="1EB50838" w14:textId="01F81FC2" w:rsidR="00671BF5" w:rsidRDefault="00447183" w:rsidP="00CC5A07">
          <w:pPr>
            <w:pStyle w:val="TOC2"/>
            <w:ind w:left="1701" w:hanging="850"/>
            <w:rPr>
              <w:rFonts w:asciiTheme="minorHAnsi" w:eastAsiaTheme="minorEastAsia" w:hAnsiTheme="minorHAnsi" w:cstheme="minorBidi"/>
            </w:rPr>
          </w:pPr>
          <w:hyperlink w:anchor="_Toc418179899" w:history="1">
            <w:r w:rsidR="00671BF5" w:rsidRPr="00E62000">
              <w:rPr>
                <w:rStyle w:val="Hyperlink"/>
              </w:rPr>
              <w:t>B.3</w:t>
            </w:r>
            <w:r w:rsidR="00B375CF">
              <w:rPr>
                <w:rStyle w:val="Hyperlink"/>
              </w:rPr>
              <w:t>–</w:t>
            </w:r>
            <w:r w:rsidR="00671BF5" w:rsidRPr="00E62000">
              <w:rPr>
                <w:rStyle w:val="Hyperlink"/>
              </w:rPr>
              <w:t>5.</w:t>
            </w:r>
            <w:r w:rsidR="005B4F4D">
              <w:rPr>
                <w:rStyle w:val="Hyperlink"/>
              </w:rPr>
              <w:tab/>
            </w:r>
            <w:r w:rsidR="00671BF5" w:rsidRPr="00E62000">
              <w:rPr>
                <w:rStyle w:val="Hyperlink"/>
              </w:rPr>
              <w:t xml:space="preserve">Risk of </w:t>
            </w:r>
            <w:r w:rsidR="00B375CF">
              <w:rPr>
                <w:rStyle w:val="Hyperlink"/>
              </w:rPr>
              <w:t>B</w:t>
            </w:r>
            <w:r w:rsidR="00671BF5" w:rsidRPr="00E62000">
              <w:rPr>
                <w:rStyle w:val="Hyperlink"/>
              </w:rPr>
              <w:t xml:space="preserve">ias </w:t>
            </w:r>
            <w:r w:rsidR="00B375CF">
              <w:rPr>
                <w:rStyle w:val="Hyperlink"/>
              </w:rPr>
              <w:t>A</w:t>
            </w:r>
            <w:r w:rsidR="00671BF5" w:rsidRPr="00E62000">
              <w:rPr>
                <w:rStyle w:val="Hyperlink"/>
              </w:rPr>
              <w:t xml:space="preserve">ssessment, </w:t>
            </w:r>
            <w:r w:rsidR="00B375CF">
              <w:rPr>
                <w:rStyle w:val="Hyperlink"/>
              </w:rPr>
              <w:t>C</w:t>
            </w:r>
            <w:r w:rsidR="00671BF5" w:rsidRPr="00E62000">
              <w:rPr>
                <w:rStyle w:val="Hyperlink"/>
              </w:rPr>
              <w:t xml:space="preserve">haracteristics of the </w:t>
            </w:r>
            <w:r w:rsidR="00B375CF">
              <w:rPr>
                <w:rStyle w:val="Hyperlink"/>
              </w:rPr>
              <w:t>E</w:t>
            </w:r>
            <w:r w:rsidR="00671BF5" w:rsidRPr="00E62000">
              <w:rPr>
                <w:rStyle w:val="Hyperlink"/>
              </w:rPr>
              <w:t>vidence</w:t>
            </w:r>
            <w:r w:rsidR="00724FB3">
              <w:rPr>
                <w:rStyle w:val="Hyperlink"/>
              </w:rPr>
              <w:t>-b</w:t>
            </w:r>
            <w:r w:rsidR="00671BF5" w:rsidRPr="00E62000">
              <w:rPr>
                <w:rStyle w:val="Hyperlink"/>
              </w:rPr>
              <w:t xml:space="preserve">ase and </w:t>
            </w:r>
            <w:r w:rsidR="00B375CF">
              <w:rPr>
                <w:rStyle w:val="Hyperlink"/>
              </w:rPr>
              <w:t>O</w:t>
            </w:r>
            <w:r w:rsidR="00671BF5" w:rsidRPr="00E62000">
              <w:rPr>
                <w:rStyle w:val="Hyperlink"/>
              </w:rPr>
              <w:t xml:space="preserve">utcome </w:t>
            </w:r>
            <w:r w:rsidR="00B375CF">
              <w:rPr>
                <w:rStyle w:val="Hyperlink"/>
              </w:rPr>
              <w:t>M</w:t>
            </w:r>
            <w:r w:rsidR="00671BF5" w:rsidRPr="00E62000">
              <w:rPr>
                <w:rStyle w:val="Hyperlink"/>
              </w:rPr>
              <w:t>easures</w:t>
            </w:r>
            <w:r w:rsidR="00671BF5">
              <w:rPr>
                <w:webHidden/>
              </w:rPr>
              <w:tab/>
            </w:r>
            <w:r w:rsidR="00671BF5">
              <w:rPr>
                <w:webHidden/>
              </w:rPr>
              <w:fldChar w:fldCharType="begin"/>
            </w:r>
            <w:r w:rsidR="00671BF5">
              <w:rPr>
                <w:webHidden/>
              </w:rPr>
              <w:instrText xml:space="preserve"> PAGEREF _Toc418179899 \h </w:instrText>
            </w:r>
            <w:r w:rsidR="00671BF5">
              <w:rPr>
                <w:webHidden/>
              </w:rPr>
            </w:r>
            <w:r w:rsidR="00671BF5">
              <w:rPr>
                <w:webHidden/>
              </w:rPr>
              <w:fldChar w:fldCharType="separate"/>
            </w:r>
            <w:r w:rsidR="00B909E6">
              <w:rPr>
                <w:webHidden/>
              </w:rPr>
              <w:t>60</w:t>
            </w:r>
            <w:r w:rsidR="00671BF5">
              <w:rPr>
                <w:webHidden/>
              </w:rPr>
              <w:fldChar w:fldCharType="end"/>
            </w:r>
          </w:hyperlink>
        </w:p>
        <w:p w14:paraId="2208FCC0" w14:textId="26E6F3D3" w:rsidR="00671BF5" w:rsidRDefault="00447183">
          <w:pPr>
            <w:pStyle w:val="TOC2"/>
            <w:rPr>
              <w:rFonts w:asciiTheme="minorHAnsi" w:eastAsiaTheme="minorEastAsia" w:hAnsiTheme="minorHAnsi" w:cstheme="minorBidi"/>
            </w:rPr>
          </w:pPr>
          <w:hyperlink w:anchor="_Toc418179900" w:history="1">
            <w:r w:rsidR="00671BF5" w:rsidRPr="00E62000">
              <w:rPr>
                <w:rStyle w:val="Hyperlink"/>
              </w:rPr>
              <w:t>B.6.</w:t>
            </w:r>
            <w:r w:rsidR="005B4F4D">
              <w:rPr>
                <w:rStyle w:val="Hyperlink"/>
              </w:rPr>
              <w:tab/>
            </w:r>
            <w:r w:rsidR="00671BF5" w:rsidRPr="00E62000">
              <w:rPr>
                <w:rStyle w:val="Hyperlink"/>
              </w:rPr>
              <w:t>Results of the Direct Evidence</w:t>
            </w:r>
            <w:r w:rsidR="00671BF5">
              <w:rPr>
                <w:webHidden/>
              </w:rPr>
              <w:tab/>
            </w:r>
            <w:r w:rsidR="00671BF5">
              <w:rPr>
                <w:webHidden/>
              </w:rPr>
              <w:fldChar w:fldCharType="begin"/>
            </w:r>
            <w:r w:rsidR="00671BF5">
              <w:rPr>
                <w:webHidden/>
              </w:rPr>
              <w:instrText xml:space="preserve"> PAGEREF _Toc418179900 \h </w:instrText>
            </w:r>
            <w:r w:rsidR="00671BF5">
              <w:rPr>
                <w:webHidden/>
              </w:rPr>
            </w:r>
            <w:r w:rsidR="00671BF5">
              <w:rPr>
                <w:webHidden/>
              </w:rPr>
              <w:fldChar w:fldCharType="separate"/>
            </w:r>
            <w:r w:rsidR="00B909E6">
              <w:rPr>
                <w:webHidden/>
              </w:rPr>
              <w:t>60</w:t>
            </w:r>
            <w:r w:rsidR="00671BF5">
              <w:rPr>
                <w:webHidden/>
              </w:rPr>
              <w:fldChar w:fldCharType="end"/>
            </w:r>
          </w:hyperlink>
        </w:p>
        <w:p w14:paraId="4DD51243" w14:textId="77777777" w:rsidR="00671BF5" w:rsidRDefault="00447183">
          <w:pPr>
            <w:pStyle w:val="TOC2"/>
            <w:rPr>
              <w:rFonts w:asciiTheme="minorHAnsi" w:eastAsiaTheme="minorEastAsia" w:hAnsiTheme="minorHAnsi" w:cstheme="minorBidi"/>
            </w:rPr>
          </w:pPr>
          <w:hyperlink w:anchor="_Toc418179901" w:history="1">
            <w:r w:rsidR="00671BF5" w:rsidRPr="00AF7784">
              <w:rPr>
                <w:rStyle w:val="Hyperlink"/>
                <w:b/>
                <w:i/>
              </w:rPr>
              <w:t>Linked Evidence – Diagnostic Accuracy</w:t>
            </w:r>
            <w:r w:rsidR="00671BF5" w:rsidRPr="00AF7784">
              <w:rPr>
                <w:b/>
                <w:i/>
                <w:webHidden/>
              </w:rPr>
              <w:tab/>
            </w:r>
            <w:r w:rsidR="00671BF5">
              <w:rPr>
                <w:webHidden/>
              </w:rPr>
              <w:fldChar w:fldCharType="begin"/>
            </w:r>
            <w:r w:rsidR="00671BF5">
              <w:rPr>
                <w:webHidden/>
              </w:rPr>
              <w:instrText xml:space="preserve"> PAGEREF _Toc418179901 \h </w:instrText>
            </w:r>
            <w:r w:rsidR="00671BF5">
              <w:rPr>
                <w:webHidden/>
              </w:rPr>
            </w:r>
            <w:r w:rsidR="00671BF5">
              <w:rPr>
                <w:webHidden/>
              </w:rPr>
              <w:fldChar w:fldCharType="separate"/>
            </w:r>
            <w:r w:rsidR="00B909E6">
              <w:rPr>
                <w:webHidden/>
              </w:rPr>
              <w:t>60</w:t>
            </w:r>
            <w:r w:rsidR="00671BF5">
              <w:rPr>
                <w:webHidden/>
              </w:rPr>
              <w:fldChar w:fldCharType="end"/>
            </w:r>
          </w:hyperlink>
        </w:p>
        <w:p w14:paraId="022A7D3E" w14:textId="4A2D277B" w:rsidR="00671BF5" w:rsidRDefault="00447183">
          <w:pPr>
            <w:pStyle w:val="TOC2"/>
            <w:rPr>
              <w:rFonts w:asciiTheme="minorHAnsi" w:eastAsiaTheme="minorEastAsia" w:hAnsiTheme="minorHAnsi" w:cstheme="minorBidi"/>
            </w:rPr>
          </w:pPr>
          <w:hyperlink w:anchor="_Toc418179902" w:history="1">
            <w:r w:rsidR="00671BF5" w:rsidRPr="00E62000">
              <w:rPr>
                <w:rStyle w:val="Hyperlink"/>
              </w:rPr>
              <w:t>B.3.i</w:t>
            </w:r>
            <w:r w:rsidR="005B4F4D">
              <w:rPr>
                <w:rStyle w:val="Hyperlink"/>
              </w:rPr>
              <w:tab/>
            </w:r>
            <w:r w:rsidR="00671BF5" w:rsidRPr="00E62000">
              <w:rPr>
                <w:rStyle w:val="Hyperlink"/>
              </w:rPr>
              <w:t xml:space="preserve">Risk of </w:t>
            </w:r>
            <w:r w:rsidR="007E2B72">
              <w:rPr>
                <w:rStyle w:val="Hyperlink"/>
              </w:rPr>
              <w:t>B</w:t>
            </w:r>
            <w:r w:rsidR="00671BF5" w:rsidRPr="00E62000">
              <w:rPr>
                <w:rStyle w:val="Hyperlink"/>
              </w:rPr>
              <w:t xml:space="preserve">ias </w:t>
            </w:r>
            <w:r w:rsidR="007E2B72">
              <w:rPr>
                <w:rStyle w:val="Hyperlink"/>
              </w:rPr>
              <w:t>A</w:t>
            </w:r>
            <w:r w:rsidR="00671BF5" w:rsidRPr="00E62000">
              <w:rPr>
                <w:rStyle w:val="Hyperlink"/>
              </w:rPr>
              <w:t>ssessment</w:t>
            </w:r>
            <w:r w:rsidR="00671BF5">
              <w:rPr>
                <w:webHidden/>
              </w:rPr>
              <w:tab/>
            </w:r>
            <w:r w:rsidR="00671BF5">
              <w:rPr>
                <w:webHidden/>
              </w:rPr>
              <w:fldChar w:fldCharType="begin"/>
            </w:r>
            <w:r w:rsidR="00671BF5">
              <w:rPr>
                <w:webHidden/>
              </w:rPr>
              <w:instrText xml:space="preserve"> PAGEREF _Toc418179902 \h </w:instrText>
            </w:r>
            <w:r w:rsidR="00671BF5">
              <w:rPr>
                <w:webHidden/>
              </w:rPr>
            </w:r>
            <w:r w:rsidR="00671BF5">
              <w:rPr>
                <w:webHidden/>
              </w:rPr>
              <w:fldChar w:fldCharType="separate"/>
            </w:r>
            <w:r w:rsidR="00B909E6">
              <w:rPr>
                <w:webHidden/>
              </w:rPr>
              <w:t>60</w:t>
            </w:r>
            <w:r w:rsidR="00671BF5">
              <w:rPr>
                <w:webHidden/>
              </w:rPr>
              <w:fldChar w:fldCharType="end"/>
            </w:r>
          </w:hyperlink>
        </w:p>
        <w:p w14:paraId="33137264" w14:textId="0B514597" w:rsidR="00671BF5" w:rsidRDefault="00447183">
          <w:pPr>
            <w:pStyle w:val="TOC2"/>
            <w:rPr>
              <w:rFonts w:asciiTheme="minorHAnsi" w:eastAsiaTheme="minorEastAsia" w:hAnsiTheme="minorHAnsi" w:cstheme="minorBidi"/>
            </w:rPr>
          </w:pPr>
          <w:hyperlink w:anchor="_Toc418179903" w:history="1">
            <w:r w:rsidR="00671BF5" w:rsidRPr="00E62000">
              <w:rPr>
                <w:rStyle w:val="Hyperlink"/>
              </w:rPr>
              <w:t>B.4.i</w:t>
            </w:r>
            <w:r w:rsidR="005B4F4D">
              <w:rPr>
                <w:rStyle w:val="Hyperlink"/>
              </w:rPr>
              <w:tab/>
            </w:r>
            <w:r w:rsidR="00671BF5" w:rsidRPr="00E62000">
              <w:rPr>
                <w:rStyle w:val="Hyperlink"/>
              </w:rPr>
              <w:t xml:space="preserve">Characteristics of the </w:t>
            </w:r>
            <w:r w:rsidR="007E2B72">
              <w:rPr>
                <w:rStyle w:val="Hyperlink"/>
              </w:rPr>
              <w:t>E</w:t>
            </w:r>
            <w:r w:rsidR="00671BF5" w:rsidRPr="00E62000">
              <w:rPr>
                <w:rStyle w:val="Hyperlink"/>
              </w:rPr>
              <w:t>vidence</w:t>
            </w:r>
            <w:r w:rsidR="00724FB3">
              <w:rPr>
                <w:rStyle w:val="Hyperlink"/>
              </w:rPr>
              <w:t>-b</w:t>
            </w:r>
            <w:r w:rsidR="00671BF5" w:rsidRPr="00E62000">
              <w:rPr>
                <w:rStyle w:val="Hyperlink"/>
              </w:rPr>
              <w:t>ase</w:t>
            </w:r>
            <w:r w:rsidR="00671BF5">
              <w:rPr>
                <w:webHidden/>
              </w:rPr>
              <w:tab/>
            </w:r>
            <w:r w:rsidR="00671BF5">
              <w:rPr>
                <w:webHidden/>
              </w:rPr>
              <w:fldChar w:fldCharType="begin"/>
            </w:r>
            <w:r w:rsidR="00671BF5">
              <w:rPr>
                <w:webHidden/>
              </w:rPr>
              <w:instrText xml:space="preserve"> PAGEREF _Toc418179903 \h </w:instrText>
            </w:r>
            <w:r w:rsidR="00671BF5">
              <w:rPr>
                <w:webHidden/>
              </w:rPr>
            </w:r>
            <w:r w:rsidR="00671BF5">
              <w:rPr>
                <w:webHidden/>
              </w:rPr>
              <w:fldChar w:fldCharType="separate"/>
            </w:r>
            <w:r w:rsidR="00B909E6">
              <w:rPr>
                <w:webHidden/>
              </w:rPr>
              <w:t>65</w:t>
            </w:r>
            <w:r w:rsidR="00671BF5">
              <w:rPr>
                <w:webHidden/>
              </w:rPr>
              <w:fldChar w:fldCharType="end"/>
            </w:r>
          </w:hyperlink>
        </w:p>
        <w:p w14:paraId="0C182905" w14:textId="5FB1DB45" w:rsidR="00671BF5" w:rsidRDefault="00447183">
          <w:pPr>
            <w:pStyle w:val="TOC2"/>
            <w:rPr>
              <w:rFonts w:asciiTheme="minorHAnsi" w:eastAsiaTheme="minorEastAsia" w:hAnsiTheme="minorHAnsi" w:cstheme="minorBidi"/>
            </w:rPr>
          </w:pPr>
          <w:hyperlink w:anchor="_Toc418179904" w:history="1">
            <w:r w:rsidR="00671BF5" w:rsidRPr="00E62000">
              <w:rPr>
                <w:rStyle w:val="Hyperlink"/>
              </w:rPr>
              <w:t>B.5.i</w:t>
            </w:r>
            <w:r w:rsidR="005B4F4D">
              <w:rPr>
                <w:rStyle w:val="Hyperlink"/>
              </w:rPr>
              <w:tab/>
            </w:r>
            <w:r w:rsidR="00671BF5" w:rsidRPr="00E62000">
              <w:rPr>
                <w:rStyle w:val="Hyperlink"/>
              </w:rPr>
              <w:t xml:space="preserve">Outcome </w:t>
            </w:r>
            <w:r w:rsidR="00A92F93">
              <w:rPr>
                <w:rStyle w:val="Hyperlink"/>
              </w:rPr>
              <w:t>M</w:t>
            </w:r>
            <w:r w:rsidR="00671BF5" w:rsidRPr="00E62000">
              <w:rPr>
                <w:rStyle w:val="Hyperlink"/>
              </w:rPr>
              <w:t xml:space="preserve">easures and </w:t>
            </w:r>
            <w:r w:rsidR="00A92F93">
              <w:rPr>
                <w:rStyle w:val="Hyperlink"/>
              </w:rPr>
              <w:t>A</w:t>
            </w:r>
            <w:r w:rsidR="00671BF5" w:rsidRPr="00E62000">
              <w:rPr>
                <w:rStyle w:val="Hyperlink"/>
              </w:rPr>
              <w:t>nalysis</w:t>
            </w:r>
            <w:r w:rsidR="00671BF5">
              <w:rPr>
                <w:webHidden/>
              </w:rPr>
              <w:tab/>
            </w:r>
            <w:r w:rsidR="00671BF5">
              <w:rPr>
                <w:webHidden/>
              </w:rPr>
              <w:fldChar w:fldCharType="begin"/>
            </w:r>
            <w:r w:rsidR="00671BF5">
              <w:rPr>
                <w:webHidden/>
              </w:rPr>
              <w:instrText xml:space="preserve"> PAGEREF _Toc418179904 \h </w:instrText>
            </w:r>
            <w:r w:rsidR="00671BF5">
              <w:rPr>
                <w:webHidden/>
              </w:rPr>
            </w:r>
            <w:r w:rsidR="00671BF5">
              <w:rPr>
                <w:webHidden/>
              </w:rPr>
              <w:fldChar w:fldCharType="separate"/>
            </w:r>
            <w:r w:rsidR="00B909E6">
              <w:rPr>
                <w:webHidden/>
              </w:rPr>
              <w:t>70</w:t>
            </w:r>
            <w:r w:rsidR="00671BF5">
              <w:rPr>
                <w:webHidden/>
              </w:rPr>
              <w:fldChar w:fldCharType="end"/>
            </w:r>
          </w:hyperlink>
        </w:p>
        <w:p w14:paraId="15EA6243" w14:textId="4535CA05" w:rsidR="00671BF5" w:rsidRDefault="00447183">
          <w:pPr>
            <w:pStyle w:val="TOC2"/>
            <w:rPr>
              <w:rFonts w:asciiTheme="minorHAnsi" w:eastAsiaTheme="minorEastAsia" w:hAnsiTheme="minorHAnsi" w:cstheme="minorBidi"/>
            </w:rPr>
          </w:pPr>
          <w:hyperlink w:anchor="_Toc418179905" w:history="1">
            <w:r w:rsidR="00671BF5" w:rsidRPr="00E62000">
              <w:rPr>
                <w:rStyle w:val="Hyperlink"/>
              </w:rPr>
              <w:t>B.6.i.</w:t>
            </w:r>
            <w:r w:rsidR="005B4F4D">
              <w:rPr>
                <w:rStyle w:val="Hyperlink"/>
              </w:rPr>
              <w:tab/>
            </w:r>
            <w:r w:rsidR="00671BF5" w:rsidRPr="00E62000">
              <w:rPr>
                <w:rStyle w:val="Hyperlink"/>
              </w:rPr>
              <w:t>Results of the Test Accuracy Studies</w:t>
            </w:r>
            <w:r w:rsidR="00671BF5">
              <w:rPr>
                <w:webHidden/>
              </w:rPr>
              <w:tab/>
            </w:r>
            <w:r w:rsidR="00671BF5">
              <w:rPr>
                <w:webHidden/>
              </w:rPr>
              <w:fldChar w:fldCharType="begin"/>
            </w:r>
            <w:r w:rsidR="00671BF5">
              <w:rPr>
                <w:webHidden/>
              </w:rPr>
              <w:instrText xml:space="preserve"> PAGEREF _Toc418179905 \h </w:instrText>
            </w:r>
            <w:r w:rsidR="00671BF5">
              <w:rPr>
                <w:webHidden/>
              </w:rPr>
            </w:r>
            <w:r w:rsidR="00671BF5">
              <w:rPr>
                <w:webHidden/>
              </w:rPr>
              <w:fldChar w:fldCharType="separate"/>
            </w:r>
            <w:r w:rsidR="00B909E6">
              <w:rPr>
                <w:webHidden/>
              </w:rPr>
              <w:t>71</w:t>
            </w:r>
            <w:r w:rsidR="00671BF5">
              <w:rPr>
                <w:webHidden/>
              </w:rPr>
              <w:fldChar w:fldCharType="end"/>
            </w:r>
          </w:hyperlink>
        </w:p>
        <w:p w14:paraId="5BC855B7" w14:textId="3B94077F" w:rsidR="00671BF5" w:rsidRDefault="00447183">
          <w:pPr>
            <w:pStyle w:val="TOC2"/>
            <w:rPr>
              <w:rFonts w:asciiTheme="minorHAnsi" w:eastAsiaTheme="minorEastAsia" w:hAnsiTheme="minorHAnsi" w:cstheme="minorBidi"/>
            </w:rPr>
          </w:pPr>
          <w:hyperlink w:anchor="_Toc418179906" w:history="1">
            <w:r w:rsidR="00671BF5" w:rsidRPr="00AF7784">
              <w:rPr>
                <w:rStyle w:val="Hyperlink"/>
                <w:b/>
                <w:i/>
              </w:rPr>
              <w:t xml:space="preserve">Linked Evidence – Change </w:t>
            </w:r>
            <w:r w:rsidR="00DB788E">
              <w:rPr>
                <w:rStyle w:val="Hyperlink"/>
                <w:b/>
                <w:i/>
              </w:rPr>
              <w:t>i</w:t>
            </w:r>
            <w:r w:rsidR="00671BF5" w:rsidRPr="00AF7784">
              <w:rPr>
                <w:rStyle w:val="Hyperlink"/>
                <w:b/>
                <w:i/>
              </w:rPr>
              <w:t>n Management</w:t>
            </w:r>
            <w:r w:rsidR="00671BF5">
              <w:rPr>
                <w:webHidden/>
              </w:rPr>
              <w:tab/>
            </w:r>
            <w:r w:rsidR="00671BF5">
              <w:rPr>
                <w:webHidden/>
              </w:rPr>
              <w:fldChar w:fldCharType="begin"/>
            </w:r>
            <w:r w:rsidR="00671BF5">
              <w:rPr>
                <w:webHidden/>
              </w:rPr>
              <w:instrText xml:space="preserve"> PAGEREF _Toc418179906 \h </w:instrText>
            </w:r>
            <w:r w:rsidR="00671BF5">
              <w:rPr>
                <w:webHidden/>
              </w:rPr>
            </w:r>
            <w:r w:rsidR="00671BF5">
              <w:rPr>
                <w:webHidden/>
              </w:rPr>
              <w:fldChar w:fldCharType="separate"/>
            </w:r>
            <w:r w:rsidR="00B909E6">
              <w:rPr>
                <w:webHidden/>
              </w:rPr>
              <w:t>78</w:t>
            </w:r>
            <w:r w:rsidR="00671BF5">
              <w:rPr>
                <w:webHidden/>
              </w:rPr>
              <w:fldChar w:fldCharType="end"/>
            </w:r>
          </w:hyperlink>
        </w:p>
        <w:p w14:paraId="2F8D4238" w14:textId="48AE03FD" w:rsidR="00671BF5" w:rsidRDefault="00447183" w:rsidP="00CC5A07">
          <w:pPr>
            <w:pStyle w:val="TOC2"/>
            <w:ind w:left="1701" w:hanging="850"/>
            <w:rPr>
              <w:rFonts w:asciiTheme="minorHAnsi" w:eastAsiaTheme="minorEastAsia" w:hAnsiTheme="minorHAnsi" w:cstheme="minorBidi"/>
            </w:rPr>
          </w:pPr>
          <w:hyperlink w:anchor="_Toc418179907" w:history="1">
            <w:r w:rsidR="00671BF5" w:rsidRPr="00E62000">
              <w:rPr>
                <w:rStyle w:val="Hyperlink"/>
              </w:rPr>
              <w:t>B.3</w:t>
            </w:r>
            <w:r w:rsidR="00084047">
              <w:rPr>
                <w:rStyle w:val="Hyperlink"/>
              </w:rPr>
              <w:t>–</w:t>
            </w:r>
            <w:r w:rsidR="00671BF5" w:rsidRPr="00E62000">
              <w:rPr>
                <w:rStyle w:val="Hyperlink"/>
              </w:rPr>
              <w:t>5.ii</w:t>
            </w:r>
            <w:r w:rsidR="005B4F4D">
              <w:rPr>
                <w:rStyle w:val="Hyperlink"/>
              </w:rPr>
              <w:tab/>
            </w:r>
            <w:r w:rsidR="00671BF5" w:rsidRPr="00E62000">
              <w:rPr>
                <w:rStyle w:val="Hyperlink"/>
              </w:rPr>
              <w:t xml:space="preserve">Risk of </w:t>
            </w:r>
            <w:r w:rsidR="00DB788E">
              <w:rPr>
                <w:rStyle w:val="Hyperlink"/>
              </w:rPr>
              <w:t>B</w:t>
            </w:r>
            <w:r w:rsidR="00671BF5" w:rsidRPr="00E62000">
              <w:rPr>
                <w:rStyle w:val="Hyperlink"/>
              </w:rPr>
              <w:t xml:space="preserve">ias </w:t>
            </w:r>
            <w:r w:rsidR="00DB788E">
              <w:rPr>
                <w:rStyle w:val="Hyperlink"/>
              </w:rPr>
              <w:t>A</w:t>
            </w:r>
            <w:r w:rsidR="00671BF5" w:rsidRPr="00E62000">
              <w:rPr>
                <w:rStyle w:val="Hyperlink"/>
              </w:rPr>
              <w:t xml:space="preserve">ssessment, </w:t>
            </w:r>
            <w:r w:rsidR="00DB788E">
              <w:rPr>
                <w:rStyle w:val="Hyperlink"/>
              </w:rPr>
              <w:t>C</w:t>
            </w:r>
            <w:r w:rsidR="00671BF5" w:rsidRPr="00E62000">
              <w:rPr>
                <w:rStyle w:val="Hyperlink"/>
              </w:rPr>
              <w:t xml:space="preserve">haracteristics of the </w:t>
            </w:r>
            <w:r w:rsidR="00DB788E">
              <w:rPr>
                <w:rStyle w:val="Hyperlink"/>
              </w:rPr>
              <w:t>E</w:t>
            </w:r>
            <w:r w:rsidR="00671BF5" w:rsidRPr="00E62000">
              <w:rPr>
                <w:rStyle w:val="Hyperlink"/>
              </w:rPr>
              <w:t>vidence</w:t>
            </w:r>
            <w:r w:rsidR="00F55DE6">
              <w:rPr>
                <w:rStyle w:val="Hyperlink"/>
              </w:rPr>
              <w:t>-b</w:t>
            </w:r>
            <w:r w:rsidR="00671BF5" w:rsidRPr="00E62000">
              <w:rPr>
                <w:rStyle w:val="Hyperlink"/>
              </w:rPr>
              <w:t xml:space="preserve">ase and </w:t>
            </w:r>
            <w:r w:rsidR="00DB788E">
              <w:rPr>
                <w:rStyle w:val="Hyperlink"/>
              </w:rPr>
              <w:t>O</w:t>
            </w:r>
            <w:r w:rsidR="00671BF5" w:rsidRPr="00E62000">
              <w:rPr>
                <w:rStyle w:val="Hyperlink"/>
              </w:rPr>
              <w:t xml:space="preserve">utcome </w:t>
            </w:r>
            <w:r w:rsidR="00DB788E">
              <w:rPr>
                <w:rStyle w:val="Hyperlink"/>
              </w:rPr>
              <w:t>M</w:t>
            </w:r>
            <w:r w:rsidR="00671BF5" w:rsidRPr="00E62000">
              <w:rPr>
                <w:rStyle w:val="Hyperlink"/>
              </w:rPr>
              <w:t>easures</w:t>
            </w:r>
            <w:r w:rsidR="00671BF5">
              <w:rPr>
                <w:webHidden/>
              </w:rPr>
              <w:tab/>
            </w:r>
            <w:r w:rsidR="00671BF5">
              <w:rPr>
                <w:webHidden/>
              </w:rPr>
              <w:fldChar w:fldCharType="begin"/>
            </w:r>
            <w:r w:rsidR="00671BF5">
              <w:rPr>
                <w:webHidden/>
              </w:rPr>
              <w:instrText xml:space="preserve"> PAGEREF _Toc418179907 \h </w:instrText>
            </w:r>
            <w:r w:rsidR="00671BF5">
              <w:rPr>
                <w:webHidden/>
              </w:rPr>
            </w:r>
            <w:r w:rsidR="00671BF5">
              <w:rPr>
                <w:webHidden/>
              </w:rPr>
              <w:fldChar w:fldCharType="separate"/>
            </w:r>
            <w:r w:rsidR="00B909E6">
              <w:rPr>
                <w:webHidden/>
              </w:rPr>
              <w:t>78</w:t>
            </w:r>
            <w:r w:rsidR="00671BF5">
              <w:rPr>
                <w:webHidden/>
              </w:rPr>
              <w:fldChar w:fldCharType="end"/>
            </w:r>
          </w:hyperlink>
        </w:p>
        <w:p w14:paraId="59323808" w14:textId="56DBDDD2" w:rsidR="00671BF5" w:rsidRDefault="00447183">
          <w:pPr>
            <w:pStyle w:val="TOC2"/>
            <w:rPr>
              <w:rFonts w:asciiTheme="minorHAnsi" w:eastAsiaTheme="minorEastAsia" w:hAnsiTheme="minorHAnsi" w:cstheme="minorBidi"/>
            </w:rPr>
          </w:pPr>
          <w:hyperlink w:anchor="_Toc418179908" w:history="1">
            <w:r w:rsidR="00671BF5" w:rsidRPr="00E62000">
              <w:rPr>
                <w:rStyle w:val="Hyperlink"/>
              </w:rPr>
              <w:t>B.6.ii</w:t>
            </w:r>
            <w:r w:rsidR="005B4F4D">
              <w:rPr>
                <w:rStyle w:val="Hyperlink"/>
              </w:rPr>
              <w:tab/>
            </w:r>
            <w:r w:rsidR="00671BF5" w:rsidRPr="00E62000">
              <w:rPr>
                <w:rStyle w:val="Hyperlink"/>
              </w:rPr>
              <w:t>Results of the Change in Management Studies</w:t>
            </w:r>
            <w:r w:rsidR="00671BF5">
              <w:rPr>
                <w:webHidden/>
              </w:rPr>
              <w:tab/>
            </w:r>
            <w:r w:rsidR="00671BF5">
              <w:rPr>
                <w:webHidden/>
              </w:rPr>
              <w:fldChar w:fldCharType="begin"/>
            </w:r>
            <w:r w:rsidR="00671BF5">
              <w:rPr>
                <w:webHidden/>
              </w:rPr>
              <w:instrText xml:space="preserve"> PAGEREF _Toc418179908 \h </w:instrText>
            </w:r>
            <w:r w:rsidR="00671BF5">
              <w:rPr>
                <w:webHidden/>
              </w:rPr>
            </w:r>
            <w:r w:rsidR="00671BF5">
              <w:rPr>
                <w:webHidden/>
              </w:rPr>
              <w:fldChar w:fldCharType="separate"/>
            </w:r>
            <w:r w:rsidR="00B909E6">
              <w:rPr>
                <w:webHidden/>
              </w:rPr>
              <w:t>79</w:t>
            </w:r>
            <w:r w:rsidR="00671BF5">
              <w:rPr>
                <w:webHidden/>
              </w:rPr>
              <w:fldChar w:fldCharType="end"/>
            </w:r>
          </w:hyperlink>
        </w:p>
        <w:p w14:paraId="769C7500" w14:textId="777A0323" w:rsidR="00671BF5" w:rsidRDefault="00447183">
          <w:pPr>
            <w:pStyle w:val="TOC2"/>
            <w:rPr>
              <w:rFonts w:asciiTheme="minorHAnsi" w:eastAsiaTheme="minorEastAsia" w:hAnsiTheme="minorHAnsi" w:cstheme="minorBidi"/>
            </w:rPr>
          </w:pPr>
          <w:hyperlink w:anchor="_Toc418179909" w:history="1">
            <w:r w:rsidR="00671BF5" w:rsidRPr="00AF7784">
              <w:rPr>
                <w:rStyle w:val="Hyperlink"/>
                <w:b/>
                <w:i/>
              </w:rPr>
              <w:t xml:space="preserve">Linked Evidence – Impact </w:t>
            </w:r>
            <w:r w:rsidR="00E64D9F">
              <w:rPr>
                <w:rStyle w:val="Hyperlink"/>
                <w:b/>
                <w:i/>
              </w:rPr>
              <w:t>o</w:t>
            </w:r>
            <w:r w:rsidR="00671BF5" w:rsidRPr="00AF7784">
              <w:rPr>
                <w:rStyle w:val="Hyperlink"/>
                <w:b/>
                <w:i/>
              </w:rPr>
              <w:t xml:space="preserve">f Change </w:t>
            </w:r>
            <w:r w:rsidR="00E64D9F">
              <w:rPr>
                <w:rStyle w:val="Hyperlink"/>
                <w:b/>
                <w:i/>
              </w:rPr>
              <w:t>i</w:t>
            </w:r>
            <w:r w:rsidR="00671BF5" w:rsidRPr="00AF7784">
              <w:rPr>
                <w:rStyle w:val="Hyperlink"/>
                <w:b/>
                <w:i/>
              </w:rPr>
              <w:t>n Management</w:t>
            </w:r>
            <w:r w:rsidR="00671BF5">
              <w:rPr>
                <w:webHidden/>
              </w:rPr>
              <w:tab/>
            </w:r>
            <w:r w:rsidR="00671BF5">
              <w:rPr>
                <w:webHidden/>
              </w:rPr>
              <w:fldChar w:fldCharType="begin"/>
            </w:r>
            <w:r w:rsidR="00671BF5">
              <w:rPr>
                <w:webHidden/>
              </w:rPr>
              <w:instrText xml:space="preserve"> PAGEREF _Toc418179909 \h </w:instrText>
            </w:r>
            <w:r w:rsidR="00671BF5">
              <w:rPr>
                <w:webHidden/>
              </w:rPr>
            </w:r>
            <w:r w:rsidR="00671BF5">
              <w:rPr>
                <w:webHidden/>
              </w:rPr>
              <w:fldChar w:fldCharType="separate"/>
            </w:r>
            <w:r w:rsidR="00B909E6">
              <w:rPr>
                <w:webHidden/>
              </w:rPr>
              <w:t>80</w:t>
            </w:r>
            <w:r w:rsidR="00671BF5">
              <w:rPr>
                <w:webHidden/>
              </w:rPr>
              <w:fldChar w:fldCharType="end"/>
            </w:r>
          </w:hyperlink>
        </w:p>
        <w:p w14:paraId="6B4188FE" w14:textId="2936F632" w:rsidR="00671BF5" w:rsidRDefault="00447183" w:rsidP="00CC5A07">
          <w:pPr>
            <w:pStyle w:val="TOC2"/>
            <w:ind w:left="1701" w:hanging="850"/>
            <w:rPr>
              <w:rFonts w:asciiTheme="minorHAnsi" w:eastAsiaTheme="minorEastAsia" w:hAnsiTheme="minorHAnsi" w:cstheme="minorBidi"/>
            </w:rPr>
          </w:pPr>
          <w:hyperlink w:anchor="_Toc418179910" w:history="1">
            <w:r w:rsidR="00671BF5" w:rsidRPr="00E62000">
              <w:rPr>
                <w:rStyle w:val="Hyperlink"/>
              </w:rPr>
              <w:t>B.3</w:t>
            </w:r>
            <w:r w:rsidR="00084047">
              <w:rPr>
                <w:rStyle w:val="Hyperlink"/>
              </w:rPr>
              <w:softHyphen/>
            </w:r>
            <w:r w:rsidR="00671BF5" w:rsidRPr="00E62000">
              <w:rPr>
                <w:rStyle w:val="Hyperlink"/>
              </w:rPr>
              <w:t>5.iii</w:t>
            </w:r>
            <w:r w:rsidR="005B4F4D">
              <w:rPr>
                <w:rStyle w:val="Hyperlink"/>
              </w:rPr>
              <w:tab/>
            </w:r>
            <w:r w:rsidR="00671BF5" w:rsidRPr="00E62000">
              <w:rPr>
                <w:rStyle w:val="Hyperlink"/>
              </w:rPr>
              <w:t xml:space="preserve">Risk of </w:t>
            </w:r>
            <w:r w:rsidR="006613B4">
              <w:rPr>
                <w:rStyle w:val="Hyperlink"/>
              </w:rPr>
              <w:t>B</w:t>
            </w:r>
            <w:r w:rsidR="00671BF5" w:rsidRPr="00E62000">
              <w:rPr>
                <w:rStyle w:val="Hyperlink"/>
              </w:rPr>
              <w:t xml:space="preserve">ias </w:t>
            </w:r>
            <w:r w:rsidR="006613B4">
              <w:rPr>
                <w:rStyle w:val="Hyperlink"/>
              </w:rPr>
              <w:t>A</w:t>
            </w:r>
            <w:r w:rsidR="00671BF5" w:rsidRPr="00E62000">
              <w:rPr>
                <w:rStyle w:val="Hyperlink"/>
              </w:rPr>
              <w:t xml:space="preserve">ssessment, </w:t>
            </w:r>
            <w:r w:rsidR="006613B4">
              <w:rPr>
                <w:rStyle w:val="Hyperlink"/>
              </w:rPr>
              <w:t>C</w:t>
            </w:r>
            <w:r w:rsidR="00671BF5" w:rsidRPr="00E62000">
              <w:rPr>
                <w:rStyle w:val="Hyperlink"/>
              </w:rPr>
              <w:t xml:space="preserve">haracteristics of </w:t>
            </w:r>
            <w:r w:rsidR="00681D57">
              <w:rPr>
                <w:rStyle w:val="Hyperlink"/>
              </w:rPr>
              <w:t xml:space="preserve">the </w:t>
            </w:r>
            <w:r w:rsidR="006613B4">
              <w:rPr>
                <w:rStyle w:val="Hyperlink"/>
              </w:rPr>
              <w:t>E</w:t>
            </w:r>
            <w:r w:rsidR="00671BF5" w:rsidRPr="00E62000">
              <w:rPr>
                <w:rStyle w:val="Hyperlink"/>
              </w:rPr>
              <w:t>vidence</w:t>
            </w:r>
            <w:r w:rsidR="00F55DE6">
              <w:rPr>
                <w:rStyle w:val="Hyperlink"/>
              </w:rPr>
              <w:t>-b</w:t>
            </w:r>
            <w:r w:rsidR="00671BF5" w:rsidRPr="00E62000">
              <w:rPr>
                <w:rStyle w:val="Hyperlink"/>
              </w:rPr>
              <w:t xml:space="preserve">ase and </w:t>
            </w:r>
            <w:r w:rsidR="006613B4">
              <w:rPr>
                <w:rStyle w:val="Hyperlink"/>
              </w:rPr>
              <w:t>O</w:t>
            </w:r>
            <w:r w:rsidR="00671BF5" w:rsidRPr="00E62000">
              <w:rPr>
                <w:rStyle w:val="Hyperlink"/>
              </w:rPr>
              <w:t xml:space="preserve">utcome </w:t>
            </w:r>
            <w:r w:rsidR="006613B4">
              <w:rPr>
                <w:rStyle w:val="Hyperlink"/>
              </w:rPr>
              <w:t>M</w:t>
            </w:r>
            <w:r w:rsidR="00671BF5" w:rsidRPr="00E62000">
              <w:rPr>
                <w:rStyle w:val="Hyperlink"/>
              </w:rPr>
              <w:t>easures</w:t>
            </w:r>
            <w:r w:rsidR="00671BF5">
              <w:rPr>
                <w:webHidden/>
              </w:rPr>
              <w:tab/>
            </w:r>
            <w:r w:rsidR="00671BF5">
              <w:rPr>
                <w:webHidden/>
              </w:rPr>
              <w:fldChar w:fldCharType="begin"/>
            </w:r>
            <w:r w:rsidR="00671BF5">
              <w:rPr>
                <w:webHidden/>
              </w:rPr>
              <w:instrText xml:space="preserve"> PAGEREF _Toc418179910 \h </w:instrText>
            </w:r>
            <w:r w:rsidR="00671BF5">
              <w:rPr>
                <w:webHidden/>
              </w:rPr>
            </w:r>
            <w:r w:rsidR="00671BF5">
              <w:rPr>
                <w:webHidden/>
              </w:rPr>
              <w:fldChar w:fldCharType="separate"/>
            </w:r>
            <w:r w:rsidR="00B909E6">
              <w:rPr>
                <w:webHidden/>
              </w:rPr>
              <w:t>81</w:t>
            </w:r>
            <w:r w:rsidR="00671BF5">
              <w:rPr>
                <w:webHidden/>
              </w:rPr>
              <w:fldChar w:fldCharType="end"/>
            </w:r>
          </w:hyperlink>
        </w:p>
        <w:p w14:paraId="4C316C30" w14:textId="3C8F9F60" w:rsidR="00671BF5" w:rsidRDefault="00447183">
          <w:pPr>
            <w:pStyle w:val="TOC2"/>
            <w:rPr>
              <w:rFonts w:asciiTheme="minorHAnsi" w:eastAsiaTheme="minorEastAsia" w:hAnsiTheme="minorHAnsi" w:cstheme="minorBidi"/>
            </w:rPr>
          </w:pPr>
          <w:hyperlink w:anchor="_Toc418179911" w:history="1">
            <w:r w:rsidR="00671BF5" w:rsidRPr="00E62000">
              <w:rPr>
                <w:rStyle w:val="Hyperlink"/>
              </w:rPr>
              <w:t>B.6.iii</w:t>
            </w:r>
            <w:r w:rsidR="005B4F4D">
              <w:rPr>
                <w:rStyle w:val="Hyperlink"/>
              </w:rPr>
              <w:tab/>
            </w:r>
            <w:r w:rsidR="00671BF5" w:rsidRPr="00E62000">
              <w:rPr>
                <w:rStyle w:val="Hyperlink"/>
              </w:rPr>
              <w:t>Results of the Treatment Studies</w:t>
            </w:r>
            <w:r w:rsidR="00671BF5">
              <w:rPr>
                <w:webHidden/>
              </w:rPr>
              <w:tab/>
            </w:r>
            <w:r w:rsidR="00671BF5">
              <w:rPr>
                <w:webHidden/>
              </w:rPr>
              <w:fldChar w:fldCharType="begin"/>
            </w:r>
            <w:r w:rsidR="00671BF5">
              <w:rPr>
                <w:webHidden/>
              </w:rPr>
              <w:instrText xml:space="preserve"> PAGEREF _Toc418179911 \h </w:instrText>
            </w:r>
            <w:r w:rsidR="00671BF5">
              <w:rPr>
                <w:webHidden/>
              </w:rPr>
            </w:r>
            <w:r w:rsidR="00671BF5">
              <w:rPr>
                <w:webHidden/>
              </w:rPr>
              <w:fldChar w:fldCharType="separate"/>
            </w:r>
            <w:r w:rsidR="00B909E6">
              <w:rPr>
                <w:webHidden/>
              </w:rPr>
              <w:t>81</w:t>
            </w:r>
            <w:r w:rsidR="00671BF5">
              <w:rPr>
                <w:webHidden/>
              </w:rPr>
              <w:fldChar w:fldCharType="end"/>
            </w:r>
          </w:hyperlink>
        </w:p>
        <w:p w14:paraId="1F104747" w14:textId="77777777" w:rsidR="00671BF5" w:rsidRDefault="00447183">
          <w:pPr>
            <w:pStyle w:val="TOC2"/>
            <w:rPr>
              <w:rFonts w:asciiTheme="minorHAnsi" w:eastAsiaTheme="minorEastAsia" w:hAnsiTheme="minorHAnsi" w:cstheme="minorBidi"/>
            </w:rPr>
          </w:pPr>
          <w:hyperlink w:anchor="_Toc418179912" w:history="1">
            <w:r w:rsidR="00671BF5" w:rsidRPr="00E62000">
              <w:rPr>
                <w:rStyle w:val="Hyperlink"/>
              </w:rPr>
              <w:t xml:space="preserve">B.7. </w:t>
            </w:r>
            <w:r w:rsidR="00671BF5">
              <w:rPr>
                <w:rFonts w:asciiTheme="minorHAnsi" w:eastAsiaTheme="minorEastAsia" w:hAnsiTheme="minorHAnsi" w:cstheme="minorBidi"/>
              </w:rPr>
              <w:tab/>
            </w:r>
            <w:r w:rsidR="00671BF5" w:rsidRPr="00E62000">
              <w:rPr>
                <w:rStyle w:val="Hyperlink"/>
              </w:rPr>
              <w:t>Extended Assessment of Comparative Harms</w:t>
            </w:r>
            <w:r w:rsidR="00671BF5">
              <w:rPr>
                <w:webHidden/>
              </w:rPr>
              <w:tab/>
            </w:r>
            <w:r w:rsidR="00671BF5">
              <w:rPr>
                <w:webHidden/>
              </w:rPr>
              <w:fldChar w:fldCharType="begin"/>
            </w:r>
            <w:r w:rsidR="00671BF5">
              <w:rPr>
                <w:webHidden/>
              </w:rPr>
              <w:instrText xml:space="preserve"> PAGEREF _Toc418179912 \h </w:instrText>
            </w:r>
            <w:r w:rsidR="00671BF5">
              <w:rPr>
                <w:webHidden/>
              </w:rPr>
            </w:r>
            <w:r w:rsidR="00671BF5">
              <w:rPr>
                <w:webHidden/>
              </w:rPr>
              <w:fldChar w:fldCharType="separate"/>
            </w:r>
            <w:r w:rsidR="00B909E6">
              <w:rPr>
                <w:webHidden/>
              </w:rPr>
              <w:t>81</w:t>
            </w:r>
            <w:r w:rsidR="00671BF5">
              <w:rPr>
                <w:webHidden/>
              </w:rPr>
              <w:fldChar w:fldCharType="end"/>
            </w:r>
          </w:hyperlink>
        </w:p>
        <w:p w14:paraId="4E8B4077" w14:textId="77777777" w:rsidR="00671BF5" w:rsidRDefault="00447183">
          <w:pPr>
            <w:pStyle w:val="TOC2"/>
            <w:rPr>
              <w:rFonts w:asciiTheme="minorHAnsi" w:eastAsiaTheme="minorEastAsia" w:hAnsiTheme="minorHAnsi" w:cstheme="minorBidi"/>
            </w:rPr>
          </w:pPr>
          <w:hyperlink w:anchor="_Toc418179913" w:history="1">
            <w:r w:rsidR="00671BF5" w:rsidRPr="00E62000">
              <w:rPr>
                <w:rStyle w:val="Hyperlink"/>
              </w:rPr>
              <w:t xml:space="preserve">B.8. </w:t>
            </w:r>
            <w:r w:rsidR="00671BF5">
              <w:rPr>
                <w:rFonts w:asciiTheme="minorHAnsi" w:eastAsiaTheme="minorEastAsia" w:hAnsiTheme="minorHAnsi" w:cstheme="minorBidi"/>
              </w:rPr>
              <w:tab/>
            </w:r>
            <w:r w:rsidR="00671BF5" w:rsidRPr="00E62000">
              <w:rPr>
                <w:rStyle w:val="Hyperlink"/>
              </w:rPr>
              <w:t>Interpretation of the Clinical Evidence</w:t>
            </w:r>
            <w:r w:rsidR="00671BF5">
              <w:rPr>
                <w:webHidden/>
              </w:rPr>
              <w:tab/>
            </w:r>
            <w:r w:rsidR="00671BF5">
              <w:rPr>
                <w:webHidden/>
              </w:rPr>
              <w:fldChar w:fldCharType="begin"/>
            </w:r>
            <w:r w:rsidR="00671BF5">
              <w:rPr>
                <w:webHidden/>
              </w:rPr>
              <w:instrText xml:space="preserve"> PAGEREF _Toc418179913 \h </w:instrText>
            </w:r>
            <w:r w:rsidR="00671BF5">
              <w:rPr>
                <w:webHidden/>
              </w:rPr>
            </w:r>
            <w:r w:rsidR="00671BF5">
              <w:rPr>
                <w:webHidden/>
              </w:rPr>
              <w:fldChar w:fldCharType="separate"/>
            </w:r>
            <w:r w:rsidR="00B909E6">
              <w:rPr>
                <w:webHidden/>
              </w:rPr>
              <w:t>81</w:t>
            </w:r>
            <w:r w:rsidR="00671BF5">
              <w:rPr>
                <w:webHidden/>
              </w:rPr>
              <w:fldChar w:fldCharType="end"/>
            </w:r>
          </w:hyperlink>
        </w:p>
        <w:p w14:paraId="4F34EE9F" w14:textId="6CE1FD17" w:rsidR="00671BF5" w:rsidRDefault="00447183" w:rsidP="006B53D2">
          <w:pPr>
            <w:pStyle w:val="TOC3"/>
            <w:rPr>
              <w:rFonts w:asciiTheme="minorHAnsi" w:eastAsiaTheme="minorEastAsia" w:hAnsiTheme="minorHAnsi" w:cstheme="minorBidi"/>
            </w:rPr>
          </w:pPr>
          <w:hyperlink w:anchor="_Toc418179914" w:history="1">
            <w:r w:rsidR="00671BF5" w:rsidRPr="00E62000">
              <w:rPr>
                <w:rStyle w:val="Hyperlink"/>
              </w:rPr>
              <w:t>B.8.1.</w:t>
            </w:r>
            <w:r w:rsidR="005B4F4D">
              <w:rPr>
                <w:rStyle w:val="Hyperlink"/>
              </w:rPr>
              <w:tab/>
            </w:r>
            <w:r w:rsidR="00671BF5" w:rsidRPr="00E62000">
              <w:rPr>
                <w:rStyle w:val="Hyperlink"/>
              </w:rPr>
              <w:t>Broader clinical considerations</w:t>
            </w:r>
            <w:r w:rsidR="00671BF5">
              <w:rPr>
                <w:webHidden/>
              </w:rPr>
              <w:tab/>
            </w:r>
            <w:r w:rsidR="00671BF5">
              <w:rPr>
                <w:webHidden/>
              </w:rPr>
              <w:fldChar w:fldCharType="begin"/>
            </w:r>
            <w:r w:rsidR="00671BF5">
              <w:rPr>
                <w:webHidden/>
              </w:rPr>
              <w:instrText xml:space="preserve"> PAGEREF _Toc418179914 \h </w:instrText>
            </w:r>
            <w:r w:rsidR="00671BF5">
              <w:rPr>
                <w:webHidden/>
              </w:rPr>
            </w:r>
            <w:r w:rsidR="00671BF5">
              <w:rPr>
                <w:webHidden/>
              </w:rPr>
              <w:fldChar w:fldCharType="separate"/>
            </w:r>
            <w:r w:rsidR="00B909E6">
              <w:rPr>
                <w:webHidden/>
              </w:rPr>
              <w:t>81</w:t>
            </w:r>
            <w:r w:rsidR="00671BF5">
              <w:rPr>
                <w:webHidden/>
              </w:rPr>
              <w:fldChar w:fldCharType="end"/>
            </w:r>
          </w:hyperlink>
        </w:p>
        <w:p w14:paraId="3CB317FD" w14:textId="34B745AE" w:rsidR="00671BF5" w:rsidRDefault="00447183" w:rsidP="006B53D2">
          <w:pPr>
            <w:pStyle w:val="TOC3"/>
            <w:rPr>
              <w:rFonts w:asciiTheme="minorHAnsi" w:eastAsiaTheme="minorEastAsia" w:hAnsiTheme="minorHAnsi" w:cstheme="minorBidi"/>
            </w:rPr>
          </w:pPr>
          <w:hyperlink w:anchor="_Toc418179915" w:history="1">
            <w:r w:rsidR="00671BF5" w:rsidRPr="00E62000">
              <w:rPr>
                <w:rStyle w:val="Hyperlink"/>
              </w:rPr>
              <w:t>B.8.2.</w:t>
            </w:r>
            <w:r w:rsidR="005B4F4D">
              <w:rPr>
                <w:rStyle w:val="Hyperlink"/>
              </w:rPr>
              <w:tab/>
            </w:r>
            <w:r w:rsidR="00671BF5" w:rsidRPr="00E62000">
              <w:rPr>
                <w:rStyle w:val="Hyperlink"/>
              </w:rPr>
              <w:t>Conclusions on clinical effectiveness and safety</w:t>
            </w:r>
            <w:r w:rsidR="00671BF5">
              <w:rPr>
                <w:webHidden/>
              </w:rPr>
              <w:tab/>
            </w:r>
            <w:r w:rsidR="00671BF5">
              <w:rPr>
                <w:webHidden/>
              </w:rPr>
              <w:fldChar w:fldCharType="begin"/>
            </w:r>
            <w:r w:rsidR="00671BF5">
              <w:rPr>
                <w:webHidden/>
              </w:rPr>
              <w:instrText xml:space="preserve"> PAGEREF _Toc418179915 \h </w:instrText>
            </w:r>
            <w:r w:rsidR="00671BF5">
              <w:rPr>
                <w:webHidden/>
              </w:rPr>
            </w:r>
            <w:r w:rsidR="00671BF5">
              <w:rPr>
                <w:webHidden/>
              </w:rPr>
              <w:fldChar w:fldCharType="separate"/>
            </w:r>
            <w:r w:rsidR="00B909E6">
              <w:rPr>
                <w:webHidden/>
              </w:rPr>
              <w:t>89</w:t>
            </w:r>
            <w:r w:rsidR="00671BF5">
              <w:rPr>
                <w:webHidden/>
              </w:rPr>
              <w:fldChar w:fldCharType="end"/>
            </w:r>
          </w:hyperlink>
        </w:p>
        <w:p w14:paraId="3DAC10AA" w14:textId="77777777" w:rsidR="00671BF5" w:rsidRDefault="00447183">
          <w:pPr>
            <w:pStyle w:val="TOC1"/>
            <w:rPr>
              <w:rFonts w:asciiTheme="minorHAnsi" w:eastAsiaTheme="minorEastAsia" w:hAnsiTheme="minorHAnsi" w:cstheme="minorBidi"/>
              <w:b w:val="0"/>
            </w:rPr>
          </w:pPr>
          <w:hyperlink w:anchor="_Toc418179916" w:history="1">
            <w:r w:rsidR="00671BF5" w:rsidRPr="00E62000">
              <w:rPr>
                <w:rStyle w:val="Hyperlink"/>
              </w:rPr>
              <w:t>Section C</w:t>
            </w:r>
            <w:r w:rsidR="00671BF5">
              <w:rPr>
                <w:rFonts w:asciiTheme="minorHAnsi" w:eastAsiaTheme="minorEastAsia" w:hAnsiTheme="minorHAnsi" w:cstheme="minorBidi"/>
                <w:b w:val="0"/>
              </w:rPr>
              <w:tab/>
            </w:r>
            <w:r w:rsidR="00671BF5" w:rsidRPr="00E62000">
              <w:rPr>
                <w:rStyle w:val="Hyperlink"/>
              </w:rPr>
              <w:t>Translation Issues</w:t>
            </w:r>
            <w:r w:rsidR="00671BF5">
              <w:rPr>
                <w:webHidden/>
              </w:rPr>
              <w:tab/>
            </w:r>
            <w:r w:rsidR="00671BF5">
              <w:rPr>
                <w:webHidden/>
              </w:rPr>
              <w:fldChar w:fldCharType="begin"/>
            </w:r>
            <w:r w:rsidR="00671BF5">
              <w:rPr>
                <w:webHidden/>
              </w:rPr>
              <w:instrText xml:space="preserve"> PAGEREF _Toc418179916 \h </w:instrText>
            </w:r>
            <w:r w:rsidR="00671BF5">
              <w:rPr>
                <w:webHidden/>
              </w:rPr>
            </w:r>
            <w:r w:rsidR="00671BF5">
              <w:rPr>
                <w:webHidden/>
              </w:rPr>
              <w:fldChar w:fldCharType="separate"/>
            </w:r>
            <w:r w:rsidR="00B909E6">
              <w:rPr>
                <w:webHidden/>
              </w:rPr>
              <w:t>93</w:t>
            </w:r>
            <w:r w:rsidR="00671BF5">
              <w:rPr>
                <w:webHidden/>
              </w:rPr>
              <w:fldChar w:fldCharType="end"/>
            </w:r>
          </w:hyperlink>
        </w:p>
        <w:p w14:paraId="0D0815BD" w14:textId="77777777" w:rsidR="00671BF5" w:rsidRDefault="00447183">
          <w:pPr>
            <w:pStyle w:val="TOC2"/>
            <w:rPr>
              <w:rFonts w:asciiTheme="minorHAnsi" w:eastAsiaTheme="minorEastAsia" w:hAnsiTheme="minorHAnsi" w:cstheme="minorBidi"/>
            </w:rPr>
          </w:pPr>
          <w:hyperlink w:anchor="_Toc418179917" w:history="1">
            <w:r w:rsidR="00671BF5" w:rsidRPr="00E62000">
              <w:rPr>
                <w:rStyle w:val="Hyperlink"/>
              </w:rPr>
              <w:t>C.1.</w:t>
            </w:r>
            <w:r w:rsidR="00671BF5">
              <w:rPr>
                <w:rFonts w:asciiTheme="minorHAnsi" w:eastAsiaTheme="minorEastAsia" w:hAnsiTheme="minorHAnsi" w:cstheme="minorBidi"/>
              </w:rPr>
              <w:tab/>
            </w:r>
            <w:r w:rsidR="00671BF5" w:rsidRPr="00E62000">
              <w:rPr>
                <w:rStyle w:val="Hyperlink"/>
              </w:rPr>
              <w:t>Translation Issues Addressed</w:t>
            </w:r>
            <w:r w:rsidR="00671BF5">
              <w:rPr>
                <w:webHidden/>
              </w:rPr>
              <w:tab/>
            </w:r>
            <w:r w:rsidR="00671BF5">
              <w:rPr>
                <w:webHidden/>
              </w:rPr>
              <w:fldChar w:fldCharType="begin"/>
            </w:r>
            <w:r w:rsidR="00671BF5">
              <w:rPr>
                <w:webHidden/>
              </w:rPr>
              <w:instrText xml:space="preserve"> PAGEREF _Toc418179917 \h </w:instrText>
            </w:r>
            <w:r w:rsidR="00671BF5">
              <w:rPr>
                <w:webHidden/>
              </w:rPr>
            </w:r>
            <w:r w:rsidR="00671BF5">
              <w:rPr>
                <w:webHidden/>
              </w:rPr>
              <w:fldChar w:fldCharType="separate"/>
            </w:r>
            <w:r w:rsidR="00B909E6">
              <w:rPr>
                <w:webHidden/>
              </w:rPr>
              <w:t>93</w:t>
            </w:r>
            <w:r w:rsidR="00671BF5">
              <w:rPr>
                <w:webHidden/>
              </w:rPr>
              <w:fldChar w:fldCharType="end"/>
            </w:r>
          </w:hyperlink>
        </w:p>
        <w:p w14:paraId="0A36AE2F" w14:textId="75F8F475" w:rsidR="00671BF5" w:rsidRDefault="00447183" w:rsidP="006B53D2">
          <w:pPr>
            <w:pStyle w:val="TOC3"/>
            <w:rPr>
              <w:rFonts w:asciiTheme="minorHAnsi" w:eastAsiaTheme="minorEastAsia" w:hAnsiTheme="minorHAnsi" w:cstheme="minorBidi"/>
            </w:rPr>
          </w:pPr>
          <w:hyperlink w:anchor="_Toc418179918" w:history="1">
            <w:r w:rsidR="00671BF5" w:rsidRPr="00E62000">
              <w:rPr>
                <w:rStyle w:val="Hyperlink"/>
              </w:rPr>
              <w:t>C.1.1.</w:t>
            </w:r>
            <w:r w:rsidR="00671BF5">
              <w:rPr>
                <w:rFonts w:asciiTheme="minorHAnsi" w:eastAsiaTheme="minorEastAsia" w:hAnsiTheme="minorHAnsi" w:cstheme="minorBidi"/>
              </w:rPr>
              <w:tab/>
            </w:r>
            <w:r w:rsidR="00671BF5" w:rsidRPr="00E62000">
              <w:rPr>
                <w:rStyle w:val="Hyperlink"/>
              </w:rPr>
              <w:t xml:space="preserve">What is the analytical validity of CFTR mutation testing in </w:t>
            </w:r>
            <w:r w:rsidR="00681D57">
              <w:rPr>
                <w:rStyle w:val="Hyperlink"/>
              </w:rPr>
              <w:t xml:space="preserve">the </w:t>
            </w:r>
            <w:r w:rsidR="00671BF5" w:rsidRPr="00E62000">
              <w:rPr>
                <w:rStyle w:val="Hyperlink"/>
              </w:rPr>
              <w:t>prenatal population?</w:t>
            </w:r>
            <w:r w:rsidR="00671BF5">
              <w:rPr>
                <w:webHidden/>
              </w:rPr>
              <w:tab/>
            </w:r>
            <w:r w:rsidR="00671BF5">
              <w:rPr>
                <w:webHidden/>
              </w:rPr>
              <w:fldChar w:fldCharType="begin"/>
            </w:r>
            <w:r w:rsidR="00671BF5">
              <w:rPr>
                <w:webHidden/>
              </w:rPr>
              <w:instrText xml:space="preserve"> PAGEREF _Toc418179918 \h </w:instrText>
            </w:r>
            <w:r w:rsidR="00671BF5">
              <w:rPr>
                <w:webHidden/>
              </w:rPr>
            </w:r>
            <w:r w:rsidR="00671BF5">
              <w:rPr>
                <w:webHidden/>
              </w:rPr>
              <w:fldChar w:fldCharType="separate"/>
            </w:r>
            <w:r w:rsidR="00B909E6">
              <w:rPr>
                <w:webHidden/>
              </w:rPr>
              <w:t>93</w:t>
            </w:r>
            <w:r w:rsidR="00671BF5">
              <w:rPr>
                <w:webHidden/>
              </w:rPr>
              <w:fldChar w:fldCharType="end"/>
            </w:r>
          </w:hyperlink>
        </w:p>
        <w:p w14:paraId="6EC4EF3A" w14:textId="7361AC13" w:rsidR="00671BF5" w:rsidRDefault="00447183" w:rsidP="006B53D2">
          <w:pPr>
            <w:pStyle w:val="TOC3"/>
            <w:rPr>
              <w:rFonts w:asciiTheme="minorHAnsi" w:eastAsiaTheme="minorEastAsia" w:hAnsiTheme="minorHAnsi" w:cstheme="minorBidi"/>
            </w:rPr>
          </w:pPr>
          <w:hyperlink w:anchor="_Toc418179919" w:history="1">
            <w:r w:rsidR="00671BF5" w:rsidRPr="00E62000">
              <w:rPr>
                <w:rStyle w:val="Hyperlink"/>
              </w:rPr>
              <w:t>C.1.2.</w:t>
            </w:r>
            <w:r w:rsidR="00671BF5">
              <w:rPr>
                <w:rFonts w:asciiTheme="minorHAnsi" w:eastAsiaTheme="minorEastAsia" w:hAnsiTheme="minorHAnsi" w:cstheme="minorBidi"/>
              </w:rPr>
              <w:tab/>
            </w:r>
            <w:r w:rsidR="00671BF5" w:rsidRPr="00E62000">
              <w:rPr>
                <w:rStyle w:val="Hyperlink"/>
              </w:rPr>
              <w:t xml:space="preserve">What is the clinical </w:t>
            </w:r>
            <w:r w:rsidR="00757628">
              <w:rPr>
                <w:rStyle w:val="Hyperlink"/>
              </w:rPr>
              <w:t>s</w:t>
            </w:r>
            <w:r w:rsidR="00671BF5" w:rsidRPr="00E62000">
              <w:rPr>
                <w:rStyle w:val="Hyperlink"/>
              </w:rPr>
              <w:t>ensitivity (detection rate) of the CFTR mutation test?</w:t>
            </w:r>
            <w:r w:rsidR="00671BF5">
              <w:rPr>
                <w:webHidden/>
              </w:rPr>
              <w:tab/>
            </w:r>
            <w:r w:rsidR="00671BF5">
              <w:rPr>
                <w:webHidden/>
              </w:rPr>
              <w:fldChar w:fldCharType="begin"/>
            </w:r>
            <w:r w:rsidR="00671BF5">
              <w:rPr>
                <w:webHidden/>
              </w:rPr>
              <w:instrText xml:space="preserve"> PAGEREF _Toc418179919 \h </w:instrText>
            </w:r>
            <w:r w:rsidR="00671BF5">
              <w:rPr>
                <w:webHidden/>
              </w:rPr>
            </w:r>
            <w:r w:rsidR="00671BF5">
              <w:rPr>
                <w:webHidden/>
              </w:rPr>
              <w:fldChar w:fldCharType="separate"/>
            </w:r>
            <w:r w:rsidR="00B909E6">
              <w:rPr>
                <w:webHidden/>
              </w:rPr>
              <w:t>94</w:t>
            </w:r>
            <w:r w:rsidR="00671BF5">
              <w:rPr>
                <w:webHidden/>
              </w:rPr>
              <w:fldChar w:fldCharType="end"/>
            </w:r>
          </w:hyperlink>
        </w:p>
        <w:p w14:paraId="141A8014" w14:textId="4E8A2306" w:rsidR="00671BF5" w:rsidRDefault="00447183" w:rsidP="006B53D2">
          <w:pPr>
            <w:pStyle w:val="TOC3"/>
            <w:rPr>
              <w:rFonts w:asciiTheme="minorHAnsi" w:eastAsiaTheme="minorEastAsia" w:hAnsiTheme="minorHAnsi" w:cstheme="minorBidi"/>
            </w:rPr>
          </w:pPr>
          <w:hyperlink w:anchor="_Toc418179920" w:history="1">
            <w:r w:rsidR="00671BF5" w:rsidRPr="00E62000">
              <w:rPr>
                <w:rStyle w:val="Hyperlink"/>
              </w:rPr>
              <w:t>C.1.3.</w:t>
            </w:r>
            <w:r w:rsidR="00671BF5">
              <w:rPr>
                <w:rFonts w:asciiTheme="minorHAnsi" w:eastAsiaTheme="minorEastAsia" w:hAnsiTheme="minorHAnsi" w:cstheme="minorBidi"/>
              </w:rPr>
              <w:tab/>
            </w:r>
            <w:r w:rsidR="00671BF5" w:rsidRPr="00E62000">
              <w:rPr>
                <w:rStyle w:val="Hyperlink"/>
              </w:rPr>
              <w:t xml:space="preserve">What is the </w:t>
            </w:r>
            <w:r w:rsidR="0063315A">
              <w:rPr>
                <w:rStyle w:val="Hyperlink"/>
              </w:rPr>
              <w:t>i</w:t>
            </w:r>
            <w:r w:rsidR="00671BF5" w:rsidRPr="00E62000">
              <w:rPr>
                <w:rStyle w:val="Hyperlink"/>
              </w:rPr>
              <w:t>ncidence of CF in fetuses showing echogenic bowel?</w:t>
            </w:r>
            <w:r w:rsidR="00671BF5">
              <w:rPr>
                <w:webHidden/>
              </w:rPr>
              <w:tab/>
            </w:r>
            <w:r w:rsidR="00671BF5">
              <w:rPr>
                <w:webHidden/>
              </w:rPr>
              <w:fldChar w:fldCharType="begin"/>
            </w:r>
            <w:r w:rsidR="00671BF5">
              <w:rPr>
                <w:webHidden/>
              </w:rPr>
              <w:instrText xml:space="preserve"> PAGEREF _Toc418179920 \h </w:instrText>
            </w:r>
            <w:r w:rsidR="00671BF5">
              <w:rPr>
                <w:webHidden/>
              </w:rPr>
            </w:r>
            <w:r w:rsidR="00671BF5">
              <w:rPr>
                <w:webHidden/>
              </w:rPr>
              <w:fldChar w:fldCharType="separate"/>
            </w:r>
            <w:r w:rsidR="00B909E6">
              <w:rPr>
                <w:webHidden/>
              </w:rPr>
              <w:t>96</w:t>
            </w:r>
            <w:r w:rsidR="00671BF5">
              <w:rPr>
                <w:webHidden/>
              </w:rPr>
              <w:fldChar w:fldCharType="end"/>
            </w:r>
          </w:hyperlink>
        </w:p>
        <w:p w14:paraId="57B04A6B" w14:textId="3C16B6C1" w:rsidR="00671BF5" w:rsidRDefault="00447183" w:rsidP="006B53D2">
          <w:pPr>
            <w:pStyle w:val="TOC3"/>
            <w:rPr>
              <w:rFonts w:asciiTheme="minorHAnsi" w:eastAsiaTheme="minorEastAsia" w:hAnsiTheme="minorHAnsi" w:cstheme="minorBidi"/>
            </w:rPr>
          </w:pPr>
          <w:hyperlink w:anchor="_Toc418179921" w:history="1">
            <w:r w:rsidR="00671BF5" w:rsidRPr="00E62000">
              <w:rPr>
                <w:rStyle w:val="Hyperlink"/>
              </w:rPr>
              <w:t>C.1.4.</w:t>
            </w:r>
            <w:r w:rsidR="00671BF5">
              <w:rPr>
                <w:rFonts w:asciiTheme="minorHAnsi" w:eastAsiaTheme="minorEastAsia" w:hAnsiTheme="minorHAnsi" w:cstheme="minorBidi"/>
              </w:rPr>
              <w:tab/>
            </w:r>
            <w:r w:rsidR="00AF7784">
              <w:rPr>
                <w:rStyle w:val="Hyperlink"/>
              </w:rPr>
              <w:t>W</w:t>
            </w:r>
            <w:r w:rsidR="00671BF5" w:rsidRPr="00E62000">
              <w:rPr>
                <w:rStyle w:val="Hyperlink"/>
              </w:rPr>
              <w:t xml:space="preserve">hat is the </w:t>
            </w:r>
            <w:r w:rsidR="0063315A">
              <w:rPr>
                <w:rStyle w:val="Hyperlink"/>
              </w:rPr>
              <w:t>r</w:t>
            </w:r>
            <w:r w:rsidR="00671BF5" w:rsidRPr="00E62000">
              <w:rPr>
                <w:rStyle w:val="Hyperlink"/>
              </w:rPr>
              <w:t xml:space="preserve">isk of </w:t>
            </w:r>
            <w:r w:rsidR="0063315A">
              <w:rPr>
                <w:rStyle w:val="Hyperlink"/>
              </w:rPr>
              <w:t>m</w:t>
            </w:r>
            <w:r w:rsidR="00671BF5" w:rsidRPr="00E62000">
              <w:rPr>
                <w:rStyle w:val="Hyperlink"/>
              </w:rPr>
              <w:t xml:space="preserve">iscarriage associated with </w:t>
            </w:r>
            <w:r w:rsidR="0063315A">
              <w:rPr>
                <w:rStyle w:val="Hyperlink"/>
              </w:rPr>
              <w:t>i</w:t>
            </w:r>
            <w:r w:rsidR="00671BF5" w:rsidRPr="00E62000">
              <w:rPr>
                <w:rStyle w:val="Hyperlink"/>
              </w:rPr>
              <w:t>nvasive testing</w:t>
            </w:r>
            <w:r w:rsidR="006B221F">
              <w:rPr>
                <w:rStyle w:val="Hyperlink"/>
              </w:rPr>
              <w:t>?</w:t>
            </w:r>
            <w:r w:rsidR="00671BF5">
              <w:rPr>
                <w:webHidden/>
              </w:rPr>
              <w:tab/>
            </w:r>
            <w:r w:rsidR="00671BF5">
              <w:rPr>
                <w:webHidden/>
              </w:rPr>
              <w:fldChar w:fldCharType="begin"/>
            </w:r>
            <w:r w:rsidR="00671BF5">
              <w:rPr>
                <w:webHidden/>
              </w:rPr>
              <w:instrText xml:space="preserve"> PAGEREF _Toc418179921 \h </w:instrText>
            </w:r>
            <w:r w:rsidR="00671BF5">
              <w:rPr>
                <w:webHidden/>
              </w:rPr>
            </w:r>
            <w:r w:rsidR="00671BF5">
              <w:rPr>
                <w:webHidden/>
              </w:rPr>
              <w:fldChar w:fldCharType="separate"/>
            </w:r>
            <w:r w:rsidR="00B909E6">
              <w:rPr>
                <w:webHidden/>
              </w:rPr>
              <w:t>96</w:t>
            </w:r>
            <w:r w:rsidR="00671BF5">
              <w:rPr>
                <w:webHidden/>
              </w:rPr>
              <w:fldChar w:fldCharType="end"/>
            </w:r>
          </w:hyperlink>
        </w:p>
        <w:p w14:paraId="2123CBD5" w14:textId="64655FAE" w:rsidR="00671BF5" w:rsidRDefault="00447183" w:rsidP="006B53D2">
          <w:pPr>
            <w:pStyle w:val="TOC3"/>
            <w:rPr>
              <w:rFonts w:asciiTheme="minorHAnsi" w:eastAsiaTheme="minorEastAsia" w:hAnsiTheme="minorHAnsi" w:cstheme="minorBidi"/>
            </w:rPr>
          </w:pPr>
          <w:hyperlink w:anchor="_Toc418179922" w:history="1">
            <w:r w:rsidR="00671BF5" w:rsidRPr="00E62000">
              <w:rPr>
                <w:rStyle w:val="Hyperlink"/>
              </w:rPr>
              <w:t>C.1.5.</w:t>
            </w:r>
            <w:r w:rsidR="00671BF5">
              <w:rPr>
                <w:rFonts w:asciiTheme="minorHAnsi" w:eastAsiaTheme="minorEastAsia" w:hAnsiTheme="minorHAnsi" w:cstheme="minorBidi"/>
              </w:rPr>
              <w:tab/>
            </w:r>
            <w:r w:rsidR="00671BF5" w:rsidRPr="00E62000">
              <w:rPr>
                <w:rStyle w:val="Hyperlink"/>
              </w:rPr>
              <w:t xml:space="preserve"> What is the uptake rate of termination of pregnancy?</w:t>
            </w:r>
            <w:r w:rsidR="00671BF5">
              <w:rPr>
                <w:webHidden/>
              </w:rPr>
              <w:tab/>
            </w:r>
            <w:r w:rsidR="00671BF5">
              <w:rPr>
                <w:webHidden/>
              </w:rPr>
              <w:fldChar w:fldCharType="begin"/>
            </w:r>
            <w:r w:rsidR="00671BF5">
              <w:rPr>
                <w:webHidden/>
              </w:rPr>
              <w:instrText xml:space="preserve"> PAGEREF _Toc418179922 \h </w:instrText>
            </w:r>
            <w:r w:rsidR="00671BF5">
              <w:rPr>
                <w:webHidden/>
              </w:rPr>
            </w:r>
            <w:r w:rsidR="00671BF5">
              <w:rPr>
                <w:webHidden/>
              </w:rPr>
              <w:fldChar w:fldCharType="separate"/>
            </w:r>
            <w:r w:rsidR="00B909E6">
              <w:rPr>
                <w:webHidden/>
              </w:rPr>
              <w:t>98</w:t>
            </w:r>
            <w:r w:rsidR="00671BF5">
              <w:rPr>
                <w:webHidden/>
              </w:rPr>
              <w:fldChar w:fldCharType="end"/>
            </w:r>
          </w:hyperlink>
        </w:p>
        <w:p w14:paraId="754F5F80" w14:textId="0792F9B3" w:rsidR="00671BF5" w:rsidRDefault="00447183" w:rsidP="00CC5A07">
          <w:pPr>
            <w:pStyle w:val="TOC2"/>
            <w:ind w:left="1701" w:hanging="850"/>
            <w:rPr>
              <w:rFonts w:asciiTheme="minorHAnsi" w:eastAsiaTheme="minorEastAsia" w:hAnsiTheme="minorHAnsi" w:cstheme="minorBidi"/>
            </w:rPr>
          </w:pPr>
          <w:hyperlink w:anchor="_Toc418179923" w:history="1">
            <w:r w:rsidR="00671BF5" w:rsidRPr="00E62000">
              <w:rPr>
                <w:rStyle w:val="Hyperlink"/>
              </w:rPr>
              <w:t>C.2.</w:t>
            </w:r>
            <w:r w:rsidR="00671BF5">
              <w:rPr>
                <w:rFonts w:asciiTheme="minorHAnsi" w:eastAsiaTheme="minorEastAsia" w:hAnsiTheme="minorHAnsi" w:cstheme="minorBidi"/>
              </w:rPr>
              <w:tab/>
            </w:r>
            <w:r w:rsidR="00671BF5" w:rsidRPr="00E62000">
              <w:rPr>
                <w:rStyle w:val="Hyperlink"/>
              </w:rPr>
              <w:t xml:space="preserve">Summary of </w:t>
            </w:r>
            <w:r w:rsidR="005833C4">
              <w:rPr>
                <w:rStyle w:val="Hyperlink"/>
              </w:rPr>
              <w:t>R</w:t>
            </w:r>
            <w:r w:rsidR="00671BF5" w:rsidRPr="00E62000">
              <w:rPr>
                <w:rStyle w:val="Hyperlink"/>
              </w:rPr>
              <w:t xml:space="preserve">esults of </w:t>
            </w:r>
            <w:r w:rsidR="005833C4">
              <w:rPr>
                <w:rStyle w:val="Hyperlink"/>
              </w:rPr>
              <w:t>P</w:t>
            </w:r>
            <w:r w:rsidR="00671BF5" w:rsidRPr="00E62000">
              <w:rPr>
                <w:rStyle w:val="Hyperlink"/>
              </w:rPr>
              <w:t xml:space="preserve">re-modelling </w:t>
            </w:r>
            <w:r w:rsidR="005833C4">
              <w:rPr>
                <w:rStyle w:val="Hyperlink"/>
              </w:rPr>
              <w:t>S</w:t>
            </w:r>
            <w:r w:rsidR="00671BF5" w:rsidRPr="00E62000">
              <w:rPr>
                <w:rStyle w:val="Hyperlink"/>
              </w:rPr>
              <w:t xml:space="preserve">tudies and their </w:t>
            </w:r>
            <w:r w:rsidR="005833C4">
              <w:rPr>
                <w:rStyle w:val="Hyperlink"/>
              </w:rPr>
              <w:t>A</w:t>
            </w:r>
            <w:r w:rsidR="00671BF5" w:rsidRPr="00E62000">
              <w:rPr>
                <w:rStyle w:val="Hyperlink"/>
              </w:rPr>
              <w:t xml:space="preserve">pplication in the </w:t>
            </w:r>
            <w:r w:rsidR="005833C4">
              <w:rPr>
                <w:rStyle w:val="Hyperlink"/>
              </w:rPr>
              <w:t>E</w:t>
            </w:r>
            <w:r w:rsidR="00671BF5" w:rsidRPr="00E62000">
              <w:rPr>
                <w:rStyle w:val="Hyperlink"/>
              </w:rPr>
              <w:t xml:space="preserve">conomic </w:t>
            </w:r>
            <w:r w:rsidR="005833C4">
              <w:rPr>
                <w:rStyle w:val="Hyperlink"/>
              </w:rPr>
              <w:t>E</w:t>
            </w:r>
            <w:r w:rsidR="00671BF5" w:rsidRPr="00E62000">
              <w:rPr>
                <w:rStyle w:val="Hyperlink"/>
              </w:rPr>
              <w:t>valuation</w:t>
            </w:r>
            <w:r w:rsidR="00671BF5">
              <w:rPr>
                <w:webHidden/>
              </w:rPr>
              <w:tab/>
            </w:r>
            <w:r w:rsidR="00671BF5">
              <w:rPr>
                <w:webHidden/>
              </w:rPr>
              <w:fldChar w:fldCharType="begin"/>
            </w:r>
            <w:r w:rsidR="00671BF5">
              <w:rPr>
                <w:webHidden/>
              </w:rPr>
              <w:instrText xml:space="preserve"> PAGEREF _Toc418179923 \h </w:instrText>
            </w:r>
            <w:r w:rsidR="00671BF5">
              <w:rPr>
                <w:webHidden/>
              </w:rPr>
            </w:r>
            <w:r w:rsidR="00671BF5">
              <w:rPr>
                <w:webHidden/>
              </w:rPr>
              <w:fldChar w:fldCharType="separate"/>
            </w:r>
            <w:r w:rsidR="00B909E6">
              <w:rPr>
                <w:webHidden/>
              </w:rPr>
              <w:t>99</w:t>
            </w:r>
            <w:r w:rsidR="00671BF5">
              <w:rPr>
                <w:webHidden/>
              </w:rPr>
              <w:fldChar w:fldCharType="end"/>
            </w:r>
          </w:hyperlink>
        </w:p>
        <w:p w14:paraId="010FA964" w14:textId="2C820180" w:rsidR="00671BF5" w:rsidRDefault="00447183">
          <w:pPr>
            <w:pStyle w:val="TOC1"/>
            <w:rPr>
              <w:rFonts w:asciiTheme="minorHAnsi" w:eastAsiaTheme="minorEastAsia" w:hAnsiTheme="minorHAnsi" w:cstheme="minorBidi"/>
              <w:b w:val="0"/>
            </w:rPr>
          </w:pPr>
          <w:hyperlink w:anchor="_Toc418179924" w:history="1">
            <w:r w:rsidR="00671BF5" w:rsidRPr="00E62000">
              <w:rPr>
                <w:rStyle w:val="Hyperlink"/>
              </w:rPr>
              <w:t>Section D</w:t>
            </w:r>
            <w:r w:rsidR="00671BF5">
              <w:rPr>
                <w:rFonts w:asciiTheme="minorHAnsi" w:eastAsiaTheme="minorEastAsia" w:hAnsiTheme="minorHAnsi" w:cstheme="minorBidi"/>
                <w:b w:val="0"/>
              </w:rPr>
              <w:tab/>
            </w:r>
            <w:r w:rsidR="00671BF5" w:rsidRPr="00E62000">
              <w:rPr>
                <w:rStyle w:val="Hyperlink"/>
              </w:rPr>
              <w:t xml:space="preserve">Economic </w:t>
            </w:r>
            <w:r w:rsidR="00246AE5">
              <w:rPr>
                <w:rStyle w:val="Hyperlink"/>
              </w:rPr>
              <w:t>E</w:t>
            </w:r>
            <w:r w:rsidR="00671BF5" w:rsidRPr="00E62000">
              <w:rPr>
                <w:rStyle w:val="Hyperlink"/>
              </w:rPr>
              <w:t>valuation</w:t>
            </w:r>
            <w:r w:rsidR="00671BF5">
              <w:rPr>
                <w:webHidden/>
              </w:rPr>
              <w:tab/>
            </w:r>
            <w:r w:rsidR="00671BF5">
              <w:rPr>
                <w:webHidden/>
              </w:rPr>
              <w:fldChar w:fldCharType="begin"/>
            </w:r>
            <w:r w:rsidR="00671BF5">
              <w:rPr>
                <w:webHidden/>
              </w:rPr>
              <w:instrText xml:space="preserve"> PAGEREF _Toc418179924 \h </w:instrText>
            </w:r>
            <w:r w:rsidR="00671BF5">
              <w:rPr>
                <w:webHidden/>
              </w:rPr>
            </w:r>
            <w:r w:rsidR="00671BF5">
              <w:rPr>
                <w:webHidden/>
              </w:rPr>
              <w:fldChar w:fldCharType="separate"/>
            </w:r>
            <w:r w:rsidR="00B909E6">
              <w:rPr>
                <w:webHidden/>
              </w:rPr>
              <w:t>100</w:t>
            </w:r>
            <w:r w:rsidR="00671BF5">
              <w:rPr>
                <w:webHidden/>
              </w:rPr>
              <w:fldChar w:fldCharType="end"/>
            </w:r>
          </w:hyperlink>
        </w:p>
        <w:p w14:paraId="50E2066B" w14:textId="77777777" w:rsidR="00671BF5" w:rsidRDefault="00447183">
          <w:pPr>
            <w:pStyle w:val="TOC2"/>
            <w:rPr>
              <w:rFonts w:asciiTheme="minorHAnsi" w:eastAsiaTheme="minorEastAsia" w:hAnsiTheme="minorHAnsi" w:cstheme="minorBidi"/>
            </w:rPr>
          </w:pPr>
          <w:hyperlink w:anchor="_Toc418179925" w:history="1">
            <w:r w:rsidR="00671BF5" w:rsidRPr="00E62000">
              <w:rPr>
                <w:rStyle w:val="Hyperlink"/>
              </w:rPr>
              <w:t>D.1.</w:t>
            </w:r>
            <w:r w:rsidR="00671BF5">
              <w:rPr>
                <w:rFonts w:asciiTheme="minorHAnsi" w:eastAsiaTheme="minorEastAsia" w:hAnsiTheme="minorHAnsi" w:cstheme="minorBidi"/>
              </w:rPr>
              <w:tab/>
            </w:r>
            <w:r w:rsidR="00671BF5" w:rsidRPr="00E62000">
              <w:rPr>
                <w:rStyle w:val="Hyperlink"/>
              </w:rPr>
              <w:t>Overview</w:t>
            </w:r>
            <w:r w:rsidR="00671BF5">
              <w:rPr>
                <w:webHidden/>
              </w:rPr>
              <w:tab/>
            </w:r>
            <w:r w:rsidR="00671BF5">
              <w:rPr>
                <w:webHidden/>
              </w:rPr>
              <w:fldChar w:fldCharType="begin"/>
            </w:r>
            <w:r w:rsidR="00671BF5">
              <w:rPr>
                <w:webHidden/>
              </w:rPr>
              <w:instrText xml:space="preserve"> PAGEREF _Toc418179925 \h </w:instrText>
            </w:r>
            <w:r w:rsidR="00671BF5">
              <w:rPr>
                <w:webHidden/>
              </w:rPr>
            </w:r>
            <w:r w:rsidR="00671BF5">
              <w:rPr>
                <w:webHidden/>
              </w:rPr>
              <w:fldChar w:fldCharType="separate"/>
            </w:r>
            <w:r w:rsidR="00B909E6">
              <w:rPr>
                <w:webHidden/>
              </w:rPr>
              <w:t>100</w:t>
            </w:r>
            <w:r w:rsidR="00671BF5">
              <w:rPr>
                <w:webHidden/>
              </w:rPr>
              <w:fldChar w:fldCharType="end"/>
            </w:r>
          </w:hyperlink>
        </w:p>
        <w:p w14:paraId="0A1D0D58" w14:textId="12804B31" w:rsidR="00671BF5" w:rsidRDefault="00447183">
          <w:pPr>
            <w:pStyle w:val="TOC2"/>
            <w:rPr>
              <w:rFonts w:asciiTheme="minorHAnsi" w:eastAsiaTheme="minorEastAsia" w:hAnsiTheme="minorHAnsi" w:cstheme="minorBidi"/>
            </w:rPr>
          </w:pPr>
          <w:hyperlink w:anchor="_Toc418179926" w:history="1">
            <w:r w:rsidR="00671BF5" w:rsidRPr="00E62000">
              <w:rPr>
                <w:rStyle w:val="Hyperlink"/>
              </w:rPr>
              <w:t>D.2.</w:t>
            </w:r>
            <w:r w:rsidR="00671BF5">
              <w:rPr>
                <w:rFonts w:asciiTheme="minorHAnsi" w:eastAsiaTheme="minorEastAsia" w:hAnsiTheme="minorHAnsi" w:cstheme="minorBidi"/>
              </w:rPr>
              <w:tab/>
            </w:r>
            <w:r w:rsidR="00671BF5" w:rsidRPr="00E62000">
              <w:rPr>
                <w:rStyle w:val="Hyperlink"/>
              </w:rPr>
              <w:t xml:space="preserve">Populations and </w:t>
            </w:r>
            <w:r w:rsidR="00DA4B04">
              <w:rPr>
                <w:rStyle w:val="Hyperlink"/>
              </w:rPr>
              <w:t>S</w:t>
            </w:r>
            <w:r w:rsidR="00671BF5" w:rsidRPr="00E62000">
              <w:rPr>
                <w:rStyle w:val="Hyperlink"/>
              </w:rPr>
              <w:t>ettings</w:t>
            </w:r>
            <w:r w:rsidR="00671BF5">
              <w:rPr>
                <w:webHidden/>
              </w:rPr>
              <w:tab/>
            </w:r>
            <w:r w:rsidR="00671BF5">
              <w:rPr>
                <w:webHidden/>
              </w:rPr>
              <w:fldChar w:fldCharType="begin"/>
            </w:r>
            <w:r w:rsidR="00671BF5">
              <w:rPr>
                <w:webHidden/>
              </w:rPr>
              <w:instrText xml:space="preserve"> PAGEREF _Toc418179926 \h </w:instrText>
            </w:r>
            <w:r w:rsidR="00671BF5">
              <w:rPr>
                <w:webHidden/>
              </w:rPr>
            </w:r>
            <w:r w:rsidR="00671BF5">
              <w:rPr>
                <w:webHidden/>
              </w:rPr>
              <w:fldChar w:fldCharType="separate"/>
            </w:r>
            <w:r w:rsidR="00B909E6">
              <w:rPr>
                <w:webHidden/>
              </w:rPr>
              <w:t>101</w:t>
            </w:r>
            <w:r w:rsidR="00671BF5">
              <w:rPr>
                <w:webHidden/>
              </w:rPr>
              <w:fldChar w:fldCharType="end"/>
            </w:r>
          </w:hyperlink>
        </w:p>
        <w:p w14:paraId="17959913" w14:textId="1D86D789" w:rsidR="00671BF5" w:rsidRDefault="00447183">
          <w:pPr>
            <w:pStyle w:val="TOC2"/>
            <w:rPr>
              <w:rFonts w:asciiTheme="minorHAnsi" w:eastAsiaTheme="minorEastAsia" w:hAnsiTheme="minorHAnsi" w:cstheme="minorBidi"/>
            </w:rPr>
          </w:pPr>
          <w:hyperlink w:anchor="_Toc418179927" w:history="1">
            <w:r w:rsidR="00671BF5" w:rsidRPr="00E62000">
              <w:rPr>
                <w:rStyle w:val="Hyperlink"/>
              </w:rPr>
              <w:t>D.3.</w:t>
            </w:r>
            <w:r w:rsidR="00671BF5">
              <w:rPr>
                <w:rFonts w:asciiTheme="minorHAnsi" w:eastAsiaTheme="minorEastAsia" w:hAnsiTheme="minorHAnsi" w:cstheme="minorBidi"/>
              </w:rPr>
              <w:tab/>
            </w:r>
            <w:r w:rsidR="00671BF5" w:rsidRPr="00E62000">
              <w:rPr>
                <w:rStyle w:val="Hyperlink"/>
              </w:rPr>
              <w:t xml:space="preserve">Structure and </w:t>
            </w:r>
            <w:r w:rsidR="00DA4B04">
              <w:rPr>
                <w:rStyle w:val="Hyperlink"/>
              </w:rPr>
              <w:t>R</w:t>
            </w:r>
            <w:r w:rsidR="00671BF5" w:rsidRPr="00E62000">
              <w:rPr>
                <w:rStyle w:val="Hyperlink"/>
              </w:rPr>
              <w:t xml:space="preserve">ationale of the </w:t>
            </w:r>
            <w:r w:rsidR="00DA4B04">
              <w:rPr>
                <w:rStyle w:val="Hyperlink"/>
              </w:rPr>
              <w:t>E</w:t>
            </w:r>
            <w:r w:rsidR="00671BF5" w:rsidRPr="00E62000">
              <w:rPr>
                <w:rStyle w:val="Hyperlink"/>
              </w:rPr>
              <w:t xml:space="preserve">conomic </w:t>
            </w:r>
            <w:r w:rsidR="00DA4B04">
              <w:rPr>
                <w:rStyle w:val="Hyperlink"/>
              </w:rPr>
              <w:t>E</w:t>
            </w:r>
            <w:r w:rsidR="00671BF5" w:rsidRPr="00E62000">
              <w:rPr>
                <w:rStyle w:val="Hyperlink"/>
              </w:rPr>
              <w:t>valuation</w:t>
            </w:r>
            <w:r w:rsidR="00671BF5">
              <w:rPr>
                <w:webHidden/>
              </w:rPr>
              <w:tab/>
            </w:r>
            <w:r w:rsidR="00671BF5">
              <w:rPr>
                <w:webHidden/>
              </w:rPr>
              <w:fldChar w:fldCharType="begin"/>
            </w:r>
            <w:r w:rsidR="00671BF5">
              <w:rPr>
                <w:webHidden/>
              </w:rPr>
              <w:instrText xml:space="preserve"> PAGEREF _Toc418179927 \h </w:instrText>
            </w:r>
            <w:r w:rsidR="00671BF5">
              <w:rPr>
                <w:webHidden/>
              </w:rPr>
            </w:r>
            <w:r w:rsidR="00671BF5">
              <w:rPr>
                <w:webHidden/>
              </w:rPr>
              <w:fldChar w:fldCharType="separate"/>
            </w:r>
            <w:r w:rsidR="00B909E6">
              <w:rPr>
                <w:webHidden/>
              </w:rPr>
              <w:t>102</w:t>
            </w:r>
            <w:r w:rsidR="00671BF5">
              <w:rPr>
                <w:webHidden/>
              </w:rPr>
              <w:fldChar w:fldCharType="end"/>
            </w:r>
          </w:hyperlink>
        </w:p>
        <w:p w14:paraId="611E38E7" w14:textId="0D5E7434" w:rsidR="00671BF5" w:rsidRDefault="00447183">
          <w:pPr>
            <w:pStyle w:val="TOC2"/>
            <w:rPr>
              <w:rFonts w:asciiTheme="minorHAnsi" w:eastAsiaTheme="minorEastAsia" w:hAnsiTheme="minorHAnsi" w:cstheme="minorBidi"/>
            </w:rPr>
          </w:pPr>
          <w:hyperlink w:anchor="_Toc418179928" w:history="1">
            <w:r w:rsidR="00671BF5" w:rsidRPr="00E62000">
              <w:rPr>
                <w:rStyle w:val="Hyperlink"/>
              </w:rPr>
              <w:t>D.4.</w:t>
            </w:r>
            <w:r w:rsidR="00671BF5">
              <w:rPr>
                <w:rFonts w:asciiTheme="minorHAnsi" w:eastAsiaTheme="minorEastAsia" w:hAnsiTheme="minorHAnsi" w:cstheme="minorBidi"/>
              </w:rPr>
              <w:tab/>
            </w:r>
            <w:r w:rsidR="00671BF5" w:rsidRPr="00E62000">
              <w:rPr>
                <w:rStyle w:val="Hyperlink"/>
              </w:rPr>
              <w:t xml:space="preserve">Inputs to the </w:t>
            </w:r>
            <w:r w:rsidR="00DA4B04">
              <w:rPr>
                <w:rStyle w:val="Hyperlink"/>
              </w:rPr>
              <w:t>E</w:t>
            </w:r>
            <w:r w:rsidR="00671BF5" w:rsidRPr="00E62000">
              <w:rPr>
                <w:rStyle w:val="Hyperlink"/>
              </w:rPr>
              <w:t xml:space="preserve">conomic </w:t>
            </w:r>
            <w:r w:rsidR="00DA4B04">
              <w:rPr>
                <w:rStyle w:val="Hyperlink"/>
              </w:rPr>
              <w:t>E</w:t>
            </w:r>
            <w:r w:rsidR="00671BF5" w:rsidRPr="00E62000">
              <w:rPr>
                <w:rStyle w:val="Hyperlink"/>
              </w:rPr>
              <w:t>valuation</w:t>
            </w:r>
            <w:r w:rsidR="00671BF5">
              <w:rPr>
                <w:webHidden/>
              </w:rPr>
              <w:tab/>
            </w:r>
            <w:r w:rsidR="00671BF5">
              <w:rPr>
                <w:webHidden/>
              </w:rPr>
              <w:fldChar w:fldCharType="begin"/>
            </w:r>
            <w:r w:rsidR="00671BF5">
              <w:rPr>
                <w:webHidden/>
              </w:rPr>
              <w:instrText xml:space="preserve"> PAGEREF _Toc418179928 \h </w:instrText>
            </w:r>
            <w:r w:rsidR="00671BF5">
              <w:rPr>
                <w:webHidden/>
              </w:rPr>
            </w:r>
            <w:r w:rsidR="00671BF5">
              <w:rPr>
                <w:webHidden/>
              </w:rPr>
              <w:fldChar w:fldCharType="separate"/>
            </w:r>
            <w:r w:rsidR="00B909E6">
              <w:rPr>
                <w:webHidden/>
              </w:rPr>
              <w:t>109</w:t>
            </w:r>
            <w:r w:rsidR="00671BF5">
              <w:rPr>
                <w:webHidden/>
              </w:rPr>
              <w:fldChar w:fldCharType="end"/>
            </w:r>
          </w:hyperlink>
        </w:p>
        <w:p w14:paraId="5F79EF4D" w14:textId="67D1C1C9" w:rsidR="00671BF5" w:rsidRDefault="00B975BB" w:rsidP="006B53D2">
          <w:pPr>
            <w:pStyle w:val="TOC3"/>
            <w:rPr>
              <w:rFonts w:asciiTheme="minorHAnsi" w:eastAsiaTheme="minorEastAsia" w:hAnsiTheme="minorHAnsi" w:cstheme="minorBidi"/>
            </w:rPr>
          </w:pPr>
          <w:r>
            <w:t>D.4.1.</w:t>
          </w:r>
          <w:r>
            <w:tab/>
          </w:r>
          <w:hyperlink w:anchor="_Toc418179929" w:history="1">
            <w:r w:rsidR="00671BF5" w:rsidRPr="00E62000">
              <w:rPr>
                <w:rStyle w:val="Hyperlink"/>
              </w:rPr>
              <w:t>Test parameters</w:t>
            </w:r>
            <w:r w:rsidR="00671BF5">
              <w:rPr>
                <w:webHidden/>
              </w:rPr>
              <w:tab/>
            </w:r>
            <w:r w:rsidR="00671BF5">
              <w:rPr>
                <w:webHidden/>
              </w:rPr>
              <w:fldChar w:fldCharType="begin"/>
            </w:r>
            <w:r w:rsidR="00671BF5">
              <w:rPr>
                <w:webHidden/>
              </w:rPr>
              <w:instrText xml:space="preserve"> PAGEREF _Toc418179929 \h </w:instrText>
            </w:r>
            <w:r w:rsidR="00671BF5">
              <w:rPr>
                <w:webHidden/>
              </w:rPr>
            </w:r>
            <w:r w:rsidR="00671BF5">
              <w:rPr>
                <w:webHidden/>
              </w:rPr>
              <w:fldChar w:fldCharType="separate"/>
            </w:r>
            <w:r w:rsidR="00B909E6">
              <w:rPr>
                <w:webHidden/>
              </w:rPr>
              <w:t>109</w:t>
            </w:r>
            <w:r w:rsidR="00671BF5">
              <w:rPr>
                <w:webHidden/>
              </w:rPr>
              <w:fldChar w:fldCharType="end"/>
            </w:r>
          </w:hyperlink>
        </w:p>
        <w:p w14:paraId="63DE40B3" w14:textId="7504303B" w:rsidR="00671BF5" w:rsidRDefault="00B975BB" w:rsidP="006B53D2">
          <w:pPr>
            <w:pStyle w:val="TOC3"/>
            <w:rPr>
              <w:rFonts w:asciiTheme="minorHAnsi" w:eastAsiaTheme="minorEastAsia" w:hAnsiTheme="minorHAnsi" w:cstheme="minorBidi"/>
            </w:rPr>
          </w:pPr>
          <w:r>
            <w:t>D.4.2.</w:t>
          </w:r>
          <w:r>
            <w:tab/>
          </w:r>
          <w:hyperlink w:anchor="_Toc418179930" w:history="1">
            <w:r w:rsidR="00671BF5" w:rsidRPr="00E62000">
              <w:rPr>
                <w:rStyle w:val="Hyperlink"/>
              </w:rPr>
              <w:t>Healthcare resources</w:t>
            </w:r>
            <w:r w:rsidR="00671BF5">
              <w:rPr>
                <w:webHidden/>
              </w:rPr>
              <w:tab/>
            </w:r>
            <w:r w:rsidR="00671BF5">
              <w:rPr>
                <w:webHidden/>
              </w:rPr>
              <w:fldChar w:fldCharType="begin"/>
            </w:r>
            <w:r w:rsidR="00671BF5">
              <w:rPr>
                <w:webHidden/>
              </w:rPr>
              <w:instrText xml:space="preserve"> PAGEREF _Toc418179930 \h </w:instrText>
            </w:r>
            <w:r w:rsidR="00671BF5">
              <w:rPr>
                <w:webHidden/>
              </w:rPr>
            </w:r>
            <w:r w:rsidR="00671BF5">
              <w:rPr>
                <w:webHidden/>
              </w:rPr>
              <w:fldChar w:fldCharType="separate"/>
            </w:r>
            <w:r w:rsidR="00B909E6">
              <w:rPr>
                <w:webHidden/>
              </w:rPr>
              <w:t>111</w:t>
            </w:r>
            <w:r w:rsidR="00671BF5">
              <w:rPr>
                <w:webHidden/>
              </w:rPr>
              <w:fldChar w:fldCharType="end"/>
            </w:r>
          </w:hyperlink>
        </w:p>
        <w:p w14:paraId="60650A29" w14:textId="77777777" w:rsidR="00671BF5" w:rsidRDefault="00447183">
          <w:pPr>
            <w:pStyle w:val="TOC2"/>
            <w:rPr>
              <w:rFonts w:asciiTheme="minorHAnsi" w:eastAsiaTheme="minorEastAsia" w:hAnsiTheme="minorHAnsi" w:cstheme="minorBidi"/>
            </w:rPr>
          </w:pPr>
          <w:hyperlink w:anchor="_Toc418179931" w:history="1">
            <w:r w:rsidR="00671BF5" w:rsidRPr="00E62000">
              <w:rPr>
                <w:rStyle w:val="Hyperlink"/>
              </w:rPr>
              <w:t>D.5.</w:t>
            </w:r>
            <w:r w:rsidR="00671BF5">
              <w:rPr>
                <w:rFonts w:asciiTheme="minorHAnsi" w:eastAsiaTheme="minorEastAsia" w:hAnsiTheme="minorHAnsi" w:cstheme="minorBidi"/>
              </w:rPr>
              <w:tab/>
            </w:r>
            <w:r w:rsidR="00671BF5" w:rsidRPr="00E62000">
              <w:rPr>
                <w:rStyle w:val="Hyperlink"/>
              </w:rPr>
              <w:t>Results of the Economic Evaluation</w:t>
            </w:r>
            <w:r w:rsidR="00671BF5">
              <w:rPr>
                <w:webHidden/>
              </w:rPr>
              <w:tab/>
            </w:r>
            <w:r w:rsidR="00671BF5">
              <w:rPr>
                <w:webHidden/>
              </w:rPr>
              <w:fldChar w:fldCharType="begin"/>
            </w:r>
            <w:r w:rsidR="00671BF5">
              <w:rPr>
                <w:webHidden/>
              </w:rPr>
              <w:instrText xml:space="preserve"> PAGEREF _Toc418179931 \h </w:instrText>
            </w:r>
            <w:r w:rsidR="00671BF5">
              <w:rPr>
                <w:webHidden/>
              </w:rPr>
            </w:r>
            <w:r w:rsidR="00671BF5">
              <w:rPr>
                <w:webHidden/>
              </w:rPr>
              <w:fldChar w:fldCharType="separate"/>
            </w:r>
            <w:r w:rsidR="00B909E6">
              <w:rPr>
                <w:webHidden/>
              </w:rPr>
              <w:t>117</w:t>
            </w:r>
            <w:r w:rsidR="00671BF5">
              <w:rPr>
                <w:webHidden/>
              </w:rPr>
              <w:fldChar w:fldCharType="end"/>
            </w:r>
          </w:hyperlink>
        </w:p>
        <w:p w14:paraId="1F43BFC2" w14:textId="656B2A24" w:rsidR="00671BF5" w:rsidRDefault="00F60B79" w:rsidP="006B53D2">
          <w:pPr>
            <w:pStyle w:val="TOC3"/>
            <w:rPr>
              <w:rFonts w:asciiTheme="minorHAnsi" w:eastAsiaTheme="minorEastAsia" w:hAnsiTheme="minorHAnsi" w:cstheme="minorBidi"/>
            </w:rPr>
          </w:pPr>
          <w:r>
            <w:t>D.5.1.</w:t>
          </w:r>
          <w:r>
            <w:tab/>
          </w:r>
          <w:hyperlink w:anchor="_Toc418179932" w:history="1">
            <w:r w:rsidR="00671BF5" w:rsidRPr="00E62000">
              <w:rPr>
                <w:rStyle w:val="Hyperlink"/>
              </w:rPr>
              <w:t>Outcome probabilities and incremental effects</w:t>
            </w:r>
            <w:r w:rsidR="00671BF5">
              <w:rPr>
                <w:webHidden/>
              </w:rPr>
              <w:tab/>
            </w:r>
            <w:r w:rsidR="00671BF5">
              <w:rPr>
                <w:webHidden/>
              </w:rPr>
              <w:fldChar w:fldCharType="begin"/>
            </w:r>
            <w:r w:rsidR="00671BF5">
              <w:rPr>
                <w:webHidden/>
              </w:rPr>
              <w:instrText xml:space="preserve"> PAGEREF _Toc418179932 \h </w:instrText>
            </w:r>
            <w:r w:rsidR="00671BF5">
              <w:rPr>
                <w:webHidden/>
              </w:rPr>
            </w:r>
            <w:r w:rsidR="00671BF5">
              <w:rPr>
                <w:webHidden/>
              </w:rPr>
              <w:fldChar w:fldCharType="separate"/>
            </w:r>
            <w:r w:rsidR="00B909E6">
              <w:rPr>
                <w:webHidden/>
              </w:rPr>
              <w:t>117</w:t>
            </w:r>
            <w:r w:rsidR="00671BF5">
              <w:rPr>
                <w:webHidden/>
              </w:rPr>
              <w:fldChar w:fldCharType="end"/>
            </w:r>
          </w:hyperlink>
        </w:p>
        <w:p w14:paraId="0520286F" w14:textId="5B3C8D6E" w:rsidR="00671BF5" w:rsidRDefault="00F60B79" w:rsidP="006B53D2">
          <w:pPr>
            <w:pStyle w:val="TOC3"/>
            <w:rPr>
              <w:rFonts w:asciiTheme="minorHAnsi" w:eastAsiaTheme="minorEastAsia" w:hAnsiTheme="minorHAnsi" w:cstheme="minorBidi"/>
            </w:rPr>
          </w:pPr>
          <w:r>
            <w:t>D.5.2.</w:t>
          </w:r>
          <w:r>
            <w:tab/>
          </w:r>
          <w:hyperlink w:anchor="_Toc418179933" w:history="1">
            <w:r w:rsidR="00671BF5" w:rsidRPr="00E62000">
              <w:rPr>
                <w:rStyle w:val="Hyperlink"/>
              </w:rPr>
              <w:t>Incremental costs</w:t>
            </w:r>
            <w:r w:rsidR="00671BF5">
              <w:rPr>
                <w:webHidden/>
              </w:rPr>
              <w:tab/>
            </w:r>
            <w:r w:rsidR="00671BF5">
              <w:rPr>
                <w:webHidden/>
              </w:rPr>
              <w:fldChar w:fldCharType="begin"/>
            </w:r>
            <w:r w:rsidR="00671BF5">
              <w:rPr>
                <w:webHidden/>
              </w:rPr>
              <w:instrText xml:space="preserve"> PAGEREF _Toc418179933 \h </w:instrText>
            </w:r>
            <w:r w:rsidR="00671BF5">
              <w:rPr>
                <w:webHidden/>
              </w:rPr>
            </w:r>
            <w:r w:rsidR="00671BF5">
              <w:rPr>
                <w:webHidden/>
              </w:rPr>
              <w:fldChar w:fldCharType="separate"/>
            </w:r>
            <w:r w:rsidR="00B909E6">
              <w:rPr>
                <w:webHidden/>
              </w:rPr>
              <w:t>119</w:t>
            </w:r>
            <w:r w:rsidR="00671BF5">
              <w:rPr>
                <w:webHidden/>
              </w:rPr>
              <w:fldChar w:fldCharType="end"/>
            </w:r>
          </w:hyperlink>
        </w:p>
        <w:p w14:paraId="3DBBCB38" w14:textId="3D0A9372" w:rsidR="00671BF5" w:rsidRDefault="00F60B79" w:rsidP="006B53D2">
          <w:pPr>
            <w:pStyle w:val="TOC3"/>
            <w:rPr>
              <w:rFonts w:asciiTheme="minorHAnsi" w:eastAsiaTheme="minorEastAsia" w:hAnsiTheme="minorHAnsi" w:cstheme="minorBidi"/>
            </w:rPr>
          </w:pPr>
          <w:r>
            <w:t>D.5.3.</w:t>
          </w:r>
          <w:r>
            <w:tab/>
          </w:r>
          <w:hyperlink w:anchor="_Toc418179934" w:history="1">
            <w:r w:rsidR="00671BF5" w:rsidRPr="00E62000">
              <w:rPr>
                <w:rStyle w:val="Hyperlink"/>
              </w:rPr>
              <w:t>Incremental cost-effectiveness</w:t>
            </w:r>
            <w:r w:rsidR="00671BF5">
              <w:rPr>
                <w:webHidden/>
              </w:rPr>
              <w:tab/>
            </w:r>
            <w:r w:rsidR="00671BF5">
              <w:rPr>
                <w:webHidden/>
              </w:rPr>
              <w:fldChar w:fldCharType="begin"/>
            </w:r>
            <w:r w:rsidR="00671BF5">
              <w:rPr>
                <w:webHidden/>
              </w:rPr>
              <w:instrText xml:space="preserve"> PAGEREF _Toc418179934 \h </w:instrText>
            </w:r>
            <w:r w:rsidR="00671BF5">
              <w:rPr>
                <w:webHidden/>
              </w:rPr>
            </w:r>
            <w:r w:rsidR="00671BF5">
              <w:rPr>
                <w:webHidden/>
              </w:rPr>
              <w:fldChar w:fldCharType="separate"/>
            </w:r>
            <w:r w:rsidR="00B909E6">
              <w:rPr>
                <w:webHidden/>
              </w:rPr>
              <w:t>119</w:t>
            </w:r>
            <w:r w:rsidR="00671BF5">
              <w:rPr>
                <w:webHidden/>
              </w:rPr>
              <w:fldChar w:fldCharType="end"/>
            </w:r>
          </w:hyperlink>
        </w:p>
        <w:p w14:paraId="686FF337" w14:textId="43DF9861" w:rsidR="00671BF5" w:rsidRDefault="00447183">
          <w:pPr>
            <w:pStyle w:val="TOC2"/>
            <w:rPr>
              <w:rFonts w:asciiTheme="minorHAnsi" w:eastAsiaTheme="minorEastAsia" w:hAnsiTheme="minorHAnsi" w:cstheme="minorBidi"/>
            </w:rPr>
          </w:pPr>
          <w:hyperlink w:anchor="_Toc418179935" w:history="1">
            <w:r w:rsidR="00671BF5" w:rsidRPr="00E62000">
              <w:rPr>
                <w:rStyle w:val="Hyperlink"/>
              </w:rPr>
              <w:t>D.6.</w:t>
            </w:r>
            <w:r w:rsidR="00671BF5">
              <w:rPr>
                <w:rFonts w:asciiTheme="minorHAnsi" w:eastAsiaTheme="minorEastAsia" w:hAnsiTheme="minorHAnsi" w:cstheme="minorBidi"/>
              </w:rPr>
              <w:tab/>
            </w:r>
            <w:r w:rsidR="00671BF5" w:rsidRPr="00E62000">
              <w:rPr>
                <w:rStyle w:val="Hyperlink"/>
              </w:rPr>
              <w:t xml:space="preserve">Sensitivity </w:t>
            </w:r>
            <w:r w:rsidR="00B04AC7">
              <w:rPr>
                <w:rStyle w:val="Hyperlink"/>
              </w:rPr>
              <w:t>A</w:t>
            </w:r>
            <w:r w:rsidR="00671BF5" w:rsidRPr="00E62000">
              <w:rPr>
                <w:rStyle w:val="Hyperlink"/>
              </w:rPr>
              <w:t>nalys</w:t>
            </w:r>
            <w:r w:rsidR="003447D7">
              <w:rPr>
                <w:rStyle w:val="Hyperlink"/>
              </w:rPr>
              <w:t>i</w:t>
            </w:r>
            <w:r w:rsidR="00671BF5" w:rsidRPr="00E62000">
              <w:rPr>
                <w:rStyle w:val="Hyperlink"/>
              </w:rPr>
              <w:t>s</w:t>
            </w:r>
            <w:r w:rsidR="00671BF5">
              <w:rPr>
                <w:webHidden/>
              </w:rPr>
              <w:tab/>
            </w:r>
            <w:r w:rsidR="00671BF5">
              <w:rPr>
                <w:webHidden/>
              </w:rPr>
              <w:fldChar w:fldCharType="begin"/>
            </w:r>
            <w:r w:rsidR="00671BF5">
              <w:rPr>
                <w:webHidden/>
              </w:rPr>
              <w:instrText xml:space="preserve"> PAGEREF _Toc418179935 \h </w:instrText>
            </w:r>
            <w:r w:rsidR="00671BF5">
              <w:rPr>
                <w:webHidden/>
              </w:rPr>
            </w:r>
            <w:r w:rsidR="00671BF5">
              <w:rPr>
                <w:webHidden/>
              </w:rPr>
              <w:fldChar w:fldCharType="separate"/>
            </w:r>
            <w:r w:rsidR="00B909E6">
              <w:rPr>
                <w:webHidden/>
              </w:rPr>
              <w:t>121</w:t>
            </w:r>
            <w:r w:rsidR="00671BF5">
              <w:rPr>
                <w:webHidden/>
              </w:rPr>
              <w:fldChar w:fldCharType="end"/>
            </w:r>
          </w:hyperlink>
        </w:p>
        <w:p w14:paraId="29D276F3" w14:textId="77777777" w:rsidR="00671BF5" w:rsidRDefault="00447183">
          <w:pPr>
            <w:pStyle w:val="TOC1"/>
            <w:rPr>
              <w:rFonts w:asciiTheme="minorHAnsi" w:eastAsiaTheme="minorEastAsia" w:hAnsiTheme="minorHAnsi" w:cstheme="minorBidi"/>
              <w:b w:val="0"/>
            </w:rPr>
          </w:pPr>
          <w:hyperlink w:anchor="_Toc418179936" w:history="1">
            <w:r w:rsidR="00671BF5" w:rsidRPr="00E62000">
              <w:rPr>
                <w:rStyle w:val="Hyperlink"/>
              </w:rPr>
              <w:t>Section E</w:t>
            </w:r>
            <w:r w:rsidR="00671BF5">
              <w:rPr>
                <w:rFonts w:asciiTheme="minorHAnsi" w:eastAsiaTheme="minorEastAsia" w:hAnsiTheme="minorHAnsi" w:cstheme="minorBidi"/>
                <w:b w:val="0"/>
              </w:rPr>
              <w:tab/>
            </w:r>
            <w:r w:rsidR="00671BF5" w:rsidRPr="00E62000">
              <w:rPr>
                <w:rStyle w:val="Hyperlink"/>
              </w:rPr>
              <w:t>Financial Implications</w:t>
            </w:r>
            <w:r w:rsidR="00671BF5">
              <w:rPr>
                <w:webHidden/>
              </w:rPr>
              <w:tab/>
            </w:r>
            <w:r w:rsidR="00671BF5">
              <w:rPr>
                <w:webHidden/>
              </w:rPr>
              <w:fldChar w:fldCharType="begin"/>
            </w:r>
            <w:r w:rsidR="00671BF5">
              <w:rPr>
                <w:webHidden/>
              </w:rPr>
              <w:instrText xml:space="preserve"> PAGEREF _Toc418179936 \h </w:instrText>
            </w:r>
            <w:r w:rsidR="00671BF5">
              <w:rPr>
                <w:webHidden/>
              </w:rPr>
            </w:r>
            <w:r w:rsidR="00671BF5">
              <w:rPr>
                <w:webHidden/>
              </w:rPr>
              <w:fldChar w:fldCharType="separate"/>
            </w:r>
            <w:r w:rsidR="00B909E6">
              <w:rPr>
                <w:webHidden/>
              </w:rPr>
              <w:t>126</w:t>
            </w:r>
            <w:r w:rsidR="00671BF5">
              <w:rPr>
                <w:webHidden/>
              </w:rPr>
              <w:fldChar w:fldCharType="end"/>
            </w:r>
          </w:hyperlink>
        </w:p>
        <w:p w14:paraId="0A2A0652" w14:textId="77777777" w:rsidR="00671BF5" w:rsidRDefault="00447183">
          <w:pPr>
            <w:pStyle w:val="TOC2"/>
            <w:rPr>
              <w:rFonts w:asciiTheme="minorHAnsi" w:eastAsiaTheme="minorEastAsia" w:hAnsiTheme="minorHAnsi" w:cstheme="minorBidi"/>
            </w:rPr>
          </w:pPr>
          <w:hyperlink w:anchor="_Toc418179937" w:history="1">
            <w:r w:rsidR="00671BF5" w:rsidRPr="00E62000">
              <w:rPr>
                <w:rStyle w:val="Hyperlink"/>
              </w:rPr>
              <w:t>E.1.</w:t>
            </w:r>
            <w:r w:rsidR="00671BF5">
              <w:rPr>
                <w:rFonts w:asciiTheme="minorHAnsi" w:eastAsiaTheme="minorEastAsia" w:hAnsiTheme="minorHAnsi" w:cstheme="minorBidi"/>
              </w:rPr>
              <w:tab/>
            </w:r>
            <w:r w:rsidR="00671BF5" w:rsidRPr="00E62000">
              <w:rPr>
                <w:rStyle w:val="Hyperlink"/>
              </w:rPr>
              <w:t>Justification of the Selection of Sources of Data</w:t>
            </w:r>
            <w:r w:rsidR="00671BF5">
              <w:rPr>
                <w:webHidden/>
              </w:rPr>
              <w:tab/>
            </w:r>
            <w:r w:rsidR="00671BF5">
              <w:rPr>
                <w:webHidden/>
              </w:rPr>
              <w:fldChar w:fldCharType="begin"/>
            </w:r>
            <w:r w:rsidR="00671BF5">
              <w:rPr>
                <w:webHidden/>
              </w:rPr>
              <w:instrText xml:space="preserve"> PAGEREF _Toc418179937 \h </w:instrText>
            </w:r>
            <w:r w:rsidR="00671BF5">
              <w:rPr>
                <w:webHidden/>
              </w:rPr>
            </w:r>
            <w:r w:rsidR="00671BF5">
              <w:rPr>
                <w:webHidden/>
              </w:rPr>
              <w:fldChar w:fldCharType="separate"/>
            </w:r>
            <w:r w:rsidR="00B909E6">
              <w:rPr>
                <w:webHidden/>
              </w:rPr>
              <w:t>126</w:t>
            </w:r>
            <w:r w:rsidR="00671BF5">
              <w:rPr>
                <w:webHidden/>
              </w:rPr>
              <w:fldChar w:fldCharType="end"/>
            </w:r>
          </w:hyperlink>
        </w:p>
        <w:p w14:paraId="09413A8E" w14:textId="4B55961C" w:rsidR="00671BF5" w:rsidRDefault="00447183">
          <w:pPr>
            <w:pStyle w:val="TOC2"/>
            <w:rPr>
              <w:rFonts w:asciiTheme="minorHAnsi" w:eastAsiaTheme="minorEastAsia" w:hAnsiTheme="minorHAnsi" w:cstheme="minorBidi"/>
            </w:rPr>
          </w:pPr>
          <w:hyperlink w:anchor="_Toc418179938" w:history="1">
            <w:r w:rsidR="00671BF5" w:rsidRPr="00E62000">
              <w:rPr>
                <w:rStyle w:val="Hyperlink"/>
              </w:rPr>
              <w:t>E.2.</w:t>
            </w:r>
            <w:r w:rsidR="00671BF5">
              <w:rPr>
                <w:rFonts w:asciiTheme="minorHAnsi" w:eastAsiaTheme="minorEastAsia" w:hAnsiTheme="minorHAnsi" w:cstheme="minorBidi"/>
              </w:rPr>
              <w:tab/>
            </w:r>
            <w:r w:rsidR="00671BF5" w:rsidRPr="00E62000">
              <w:rPr>
                <w:rStyle w:val="Hyperlink"/>
              </w:rPr>
              <w:t xml:space="preserve">Use and Costs of CFTR </w:t>
            </w:r>
            <w:r w:rsidR="00960AB0">
              <w:rPr>
                <w:rStyle w:val="Hyperlink"/>
              </w:rPr>
              <w:t>M</w:t>
            </w:r>
            <w:r w:rsidR="00671BF5" w:rsidRPr="00E62000">
              <w:rPr>
                <w:rStyle w:val="Hyperlink"/>
              </w:rPr>
              <w:t xml:space="preserve">utation </w:t>
            </w:r>
            <w:r w:rsidR="00960AB0">
              <w:rPr>
                <w:rStyle w:val="Hyperlink"/>
              </w:rPr>
              <w:t>T</w:t>
            </w:r>
            <w:r w:rsidR="00671BF5" w:rsidRPr="00E62000">
              <w:rPr>
                <w:rStyle w:val="Hyperlink"/>
              </w:rPr>
              <w:t>esting</w:t>
            </w:r>
            <w:r w:rsidR="00671BF5">
              <w:rPr>
                <w:webHidden/>
              </w:rPr>
              <w:tab/>
            </w:r>
            <w:r w:rsidR="00671BF5">
              <w:rPr>
                <w:webHidden/>
              </w:rPr>
              <w:fldChar w:fldCharType="begin"/>
            </w:r>
            <w:r w:rsidR="00671BF5">
              <w:rPr>
                <w:webHidden/>
              </w:rPr>
              <w:instrText xml:space="preserve"> PAGEREF _Toc418179938 \h </w:instrText>
            </w:r>
            <w:r w:rsidR="00671BF5">
              <w:rPr>
                <w:webHidden/>
              </w:rPr>
            </w:r>
            <w:r w:rsidR="00671BF5">
              <w:rPr>
                <w:webHidden/>
              </w:rPr>
              <w:fldChar w:fldCharType="separate"/>
            </w:r>
            <w:r w:rsidR="00B909E6">
              <w:rPr>
                <w:webHidden/>
              </w:rPr>
              <w:t>128</w:t>
            </w:r>
            <w:r w:rsidR="00671BF5">
              <w:rPr>
                <w:webHidden/>
              </w:rPr>
              <w:fldChar w:fldCharType="end"/>
            </w:r>
          </w:hyperlink>
        </w:p>
        <w:p w14:paraId="267006FF" w14:textId="77777777" w:rsidR="00671BF5" w:rsidRDefault="00447183">
          <w:pPr>
            <w:pStyle w:val="TOC2"/>
            <w:rPr>
              <w:rFonts w:asciiTheme="minorHAnsi" w:eastAsiaTheme="minorEastAsia" w:hAnsiTheme="minorHAnsi" w:cstheme="minorBidi"/>
            </w:rPr>
          </w:pPr>
          <w:hyperlink w:anchor="_Toc418179939" w:history="1">
            <w:r w:rsidR="00671BF5" w:rsidRPr="00E62000">
              <w:rPr>
                <w:rStyle w:val="Hyperlink"/>
              </w:rPr>
              <w:t>E.3.</w:t>
            </w:r>
            <w:r w:rsidR="00671BF5">
              <w:rPr>
                <w:rFonts w:asciiTheme="minorHAnsi" w:eastAsiaTheme="minorEastAsia" w:hAnsiTheme="minorHAnsi" w:cstheme="minorBidi"/>
              </w:rPr>
              <w:tab/>
            </w:r>
            <w:r w:rsidR="00671BF5" w:rsidRPr="00E62000">
              <w:rPr>
                <w:rStyle w:val="Hyperlink"/>
              </w:rPr>
              <w:t>Changes in Use and Cost of Other Medical Services</w:t>
            </w:r>
            <w:r w:rsidR="00671BF5">
              <w:rPr>
                <w:webHidden/>
              </w:rPr>
              <w:tab/>
            </w:r>
            <w:r w:rsidR="00671BF5">
              <w:rPr>
                <w:webHidden/>
              </w:rPr>
              <w:fldChar w:fldCharType="begin"/>
            </w:r>
            <w:r w:rsidR="00671BF5">
              <w:rPr>
                <w:webHidden/>
              </w:rPr>
              <w:instrText xml:space="preserve"> PAGEREF _Toc418179939 \h </w:instrText>
            </w:r>
            <w:r w:rsidR="00671BF5">
              <w:rPr>
                <w:webHidden/>
              </w:rPr>
            </w:r>
            <w:r w:rsidR="00671BF5">
              <w:rPr>
                <w:webHidden/>
              </w:rPr>
              <w:fldChar w:fldCharType="separate"/>
            </w:r>
            <w:r w:rsidR="00B909E6">
              <w:rPr>
                <w:webHidden/>
              </w:rPr>
              <w:t>133</w:t>
            </w:r>
            <w:r w:rsidR="00671BF5">
              <w:rPr>
                <w:webHidden/>
              </w:rPr>
              <w:fldChar w:fldCharType="end"/>
            </w:r>
          </w:hyperlink>
        </w:p>
        <w:p w14:paraId="32C91AF6" w14:textId="77777777" w:rsidR="00671BF5" w:rsidRDefault="00447183">
          <w:pPr>
            <w:pStyle w:val="TOC2"/>
            <w:rPr>
              <w:rFonts w:asciiTheme="minorHAnsi" w:eastAsiaTheme="minorEastAsia" w:hAnsiTheme="minorHAnsi" w:cstheme="minorBidi"/>
            </w:rPr>
          </w:pPr>
          <w:hyperlink w:anchor="_Toc418179940" w:history="1">
            <w:r w:rsidR="00671BF5" w:rsidRPr="00E62000">
              <w:rPr>
                <w:rStyle w:val="Hyperlink"/>
              </w:rPr>
              <w:t>E.4.</w:t>
            </w:r>
            <w:r w:rsidR="00671BF5">
              <w:rPr>
                <w:rFonts w:asciiTheme="minorHAnsi" w:eastAsiaTheme="minorEastAsia" w:hAnsiTheme="minorHAnsi" w:cstheme="minorBidi"/>
              </w:rPr>
              <w:tab/>
            </w:r>
            <w:r w:rsidR="00671BF5" w:rsidRPr="00E62000">
              <w:rPr>
                <w:rStyle w:val="Hyperlink"/>
              </w:rPr>
              <w:t>Financial Implications for the MBS</w:t>
            </w:r>
            <w:r w:rsidR="00671BF5">
              <w:rPr>
                <w:webHidden/>
              </w:rPr>
              <w:tab/>
            </w:r>
            <w:r w:rsidR="00671BF5">
              <w:rPr>
                <w:webHidden/>
              </w:rPr>
              <w:fldChar w:fldCharType="begin"/>
            </w:r>
            <w:r w:rsidR="00671BF5">
              <w:rPr>
                <w:webHidden/>
              </w:rPr>
              <w:instrText xml:space="preserve"> PAGEREF _Toc418179940 \h </w:instrText>
            </w:r>
            <w:r w:rsidR="00671BF5">
              <w:rPr>
                <w:webHidden/>
              </w:rPr>
            </w:r>
            <w:r w:rsidR="00671BF5">
              <w:rPr>
                <w:webHidden/>
              </w:rPr>
              <w:fldChar w:fldCharType="separate"/>
            </w:r>
            <w:r w:rsidR="00B909E6">
              <w:rPr>
                <w:webHidden/>
              </w:rPr>
              <w:t>134</w:t>
            </w:r>
            <w:r w:rsidR="00671BF5">
              <w:rPr>
                <w:webHidden/>
              </w:rPr>
              <w:fldChar w:fldCharType="end"/>
            </w:r>
          </w:hyperlink>
        </w:p>
        <w:p w14:paraId="681C1D4A" w14:textId="77777777" w:rsidR="00671BF5" w:rsidRDefault="00447183">
          <w:pPr>
            <w:pStyle w:val="TOC2"/>
            <w:rPr>
              <w:rFonts w:asciiTheme="minorHAnsi" w:eastAsiaTheme="minorEastAsia" w:hAnsiTheme="minorHAnsi" w:cstheme="minorBidi"/>
            </w:rPr>
          </w:pPr>
          <w:hyperlink w:anchor="_Toc418179941" w:history="1">
            <w:r w:rsidR="00671BF5" w:rsidRPr="00E62000">
              <w:rPr>
                <w:rStyle w:val="Hyperlink"/>
              </w:rPr>
              <w:t>E.5.</w:t>
            </w:r>
            <w:r w:rsidR="00671BF5">
              <w:rPr>
                <w:rFonts w:asciiTheme="minorHAnsi" w:eastAsiaTheme="minorEastAsia" w:hAnsiTheme="minorHAnsi" w:cstheme="minorBidi"/>
              </w:rPr>
              <w:tab/>
            </w:r>
            <w:r w:rsidR="00671BF5" w:rsidRPr="00E62000">
              <w:rPr>
                <w:rStyle w:val="Hyperlink"/>
              </w:rPr>
              <w:t>Financial Implications for Government Health Budgets</w:t>
            </w:r>
            <w:r w:rsidR="00671BF5">
              <w:rPr>
                <w:webHidden/>
              </w:rPr>
              <w:tab/>
            </w:r>
            <w:r w:rsidR="00671BF5">
              <w:rPr>
                <w:webHidden/>
              </w:rPr>
              <w:fldChar w:fldCharType="begin"/>
            </w:r>
            <w:r w:rsidR="00671BF5">
              <w:rPr>
                <w:webHidden/>
              </w:rPr>
              <w:instrText xml:space="preserve"> PAGEREF _Toc418179941 \h </w:instrText>
            </w:r>
            <w:r w:rsidR="00671BF5">
              <w:rPr>
                <w:webHidden/>
              </w:rPr>
            </w:r>
            <w:r w:rsidR="00671BF5">
              <w:rPr>
                <w:webHidden/>
              </w:rPr>
              <w:fldChar w:fldCharType="separate"/>
            </w:r>
            <w:r w:rsidR="00B909E6">
              <w:rPr>
                <w:webHidden/>
              </w:rPr>
              <w:t>134</w:t>
            </w:r>
            <w:r w:rsidR="00671BF5">
              <w:rPr>
                <w:webHidden/>
              </w:rPr>
              <w:fldChar w:fldCharType="end"/>
            </w:r>
          </w:hyperlink>
        </w:p>
        <w:p w14:paraId="199C9C7E" w14:textId="77777777" w:rsidR="00671BF5" w:rsidRDefault="00447183">
          <w:pPr>
            <w:pStyle w:val="TOC2"/>
            <w:rPr>
              <w:rFonts w:asciiTheme="minorHAnsi" w:eastAsiaTheme="minorEastAsia" w:hAnsiTheme="minorHAnsi" w:cstheme="minorBidi"/>
            </w:rPr>
          </w:pPr>
          <w:hyperlink w:anchor="_Toc418179942" w:history="1">
            <w:r w:rsidR="00671BF5" w:rsidRPr="00E62000">
              <w:rPr>
                <w:rStyle w:val="Hyperlink"/>
              </w:rPr>
              <w:t>E.6.</w:t>
            </w:r>
            <w:r w:rsidR="00671BF5">
              <w:rPr>
                <w:rFonts w:asciiTheme="minorHAnsi" w:eastAsiaTheme="minorEastAsia" w:hAnsiTheme="minorHAnsi" w:cstheme="minorBidi"/>
              </w:rPr>
              <w:tab/>
            </w:r>
            <w:r w:rsidR="00671BF5" w:rsidRPr="00E62000">
              <w:rPr>
                <w:rStyle w:val="Hyperlink"/>
              </w:rPr>
              <w:t>Identification, Estimation and Reduction of Uncertainty</w:t>
            </w:r>
            <w:r w:rsidR="00671BF5">
              <w:rPr>
                <w:webHidden/>
              </w:rPr>
              <w:tab/>
            </w:r>
            <w:r w:rsidR="00671BF5">
              <w:rPr>
                <w:webHidden/>
              </w:rPr>
              <w:fldChar w:fldCharType="begin"/>
            </w:r>
            <w:r w:rsidR="00671BF5">
              <w:rPr>
                <w:webHidden/>
              </w:rPr>
              <w:instrText xml:space="preserve"> PAGEREF _Toc418179942 \h </w:instrText>
            </w:r>
            <w:r w:rsidR="00671BF5">
              <w:rPr>
                <w:webHidden/>
              </w:rPr>
            </w:r>
            <w:r w:rsidR="00671BF5">
              <w:rPr>
                <w:webHidden/>
              </w:rPr>
              <w:fldChar w:fldCharType="separate"/>
            </w:r>
            <w:r w:rsidR="00B909E6">
              <w:rPr>
                <w:webHidden/>
              </w:rPr>
              <w:t>135</w:t>
            </w:r>
            <w:r w:rsidR="00671BF5">
              <w:rPr>
                <w:webHidden/>
              </w:rPr>
              <w:fldChar w:fldCharType="end"/>
            </w:r>
          </w:hyperlink>
        </w:p>
        <w:p w14:paraId="282C43E0" w14:textId="36F4B267" w:rsidR="00671BF5" w:rsidRDefault="00447183">
          <w:pPr>
            <w:pStyle w:val="TOC1"/>
            <w:rPr>
              <w:rFonts w:asciiTheme="minorHAnsi" w:eastAsiaTheme="minorEastAsia" w:hAnsiTheme="minorHAnsi" w:cstheme="minorBidi"/>
              <w:b w:val="0"/>
            </w:rPr>
          </w:pPr>
          <w:hyperlink w:anchor="_Toc418179943" w:history="1">
            <w:r w:rsidR="00671BF5" w:rsidRPr="00E62000">
              <w:rPr>
                <w:rStyle w:val="Hyperlink"/>
              </w:rPr>
              <w:t>Section F</w:t>
            </w:r>
            <w:r w:rsidR="00671BF5">
              <w:rPr>
                <w:rFonts w:asciiTheme="minorHAnsi" w:eastAsiaTheme="minorEastAsia" w:hAnsiTheme="minorHAnsi" w:cstheme="minorBidi"/>
                <w:b w:val="0"/>
              </w:rPr>
              <w:tab/>
            </w:r>
            <w:r w:rsidR="00671BF5" w:rsidRPr="00E62000">
              <w:rPr>
                <w:rStyle w:val="Hyperlink"/>
              </w:rPr>
              <w:t xml:space="preserve">Other </w:t>
            </w:r>
            <w:r w:rsidR="00D478D6">
              <w:rPr>
                <w:rStyle w:val="Hyperlink"/>
              </w:rPr>
              <w:t>R</w:t>
            </w:r>
            <w:r w:rsidR="00671BF5" w:rsidRPr="00E62000">
              <w:rPr>
                <w:rStyle w:val="Hyperlink"/>
              </w:rPr>
              <w:t xml:space="preserve">elevant </w:t>
            </w:r>
            <w:r w:rsidR="00D478D6">
              <w:rPr>
                <w:rStyle w:val="Hyperlink"/>
              </w:rPr>
              <w:t>C</w:t>
            </w:r>
            <w:r w:rsidR="00671BF5" w:rsidRPr="00E62000">
              <w:rPr>
                <w:rStyle w:val="Hyperlink"/>
              </w:rPr>
              <w:t>onsiderations</w:t>
            </w:r>
            <w:r w:rsidR="00671BF5">
              <w:rPr>
                <w:webHidden/>
              </w:rPr>
              <w:tab/>
            </w:r>
            <w:r w:rsidR="00671BF5">
              <w:rPr>
                <w:webHidden/>
              </w:rPr>
              <w:fldChar w:fldCharType="begin"/>
            </w:r>
            <w:r w:rsidR="00671BF5">
              <w:rPr>
                <w:webHidden/>
              </w:rPr>
              <w:instrText xml:space="preserve"> PAGEREF _Toc418179943 \h </w:instrText>
            </w:r>
            <w:r w:rsidR="00671BF5">
              <w:rPr>
                <w:webHidden/>
              </w:rPr>
            </w:r>
            <w:r w:rsidR="00671BF5">
              <w:rPr>
                <w:webHidden/>
              </w:rPr>
              <w:fldChar w:fldCharType="separate"/>
            </w:r>
            <w:r w:rsidR="00B909E6">
              <w:rPr>
                <w:webHidden/>
              </w:rPr>
              <w:t>139</w:t>
            </w:r>
            <w:r w:rsidR="00671BF5">
              <w:rPr>
                <w:webHidden/>
              </w:rPr>
              <w:fldChar w:fldCharType="end"/>
            </w:r>
          </w:hyperlink>
        </w:p>
        <w:p w14:paraId="4534A165" w14:textId="2B6BA193" w:rsidR="00671BF5" w:rsidRDefault="00447183">
          <w:pPr>
            <w:pStyle w:val="TOC2"/>
            <w:rPr>
              <w:rFonts w:asciiTheme="minorHAnsi" w:eastAsiaTheme="minorEastAsia" w:hAnsiTheme="minorHAnsi" w:cstheme="minorBidi"/>
            </w:rPr>
          </w:pPr>
          <w:hyperlink w:anchor="_Toc418179944" w:history="1">
            <w:r w:rsidR="00671BF5" w:rsidRPr="00E62000">
              <w:rPr>
                <w:rStyle w:val="Hyperlink"/>
              </w:rPr>
              <w:t>F.1.</w:t>
            </w:r>
            <w:r w:rsidR="0063487A">
              <w:rPr>
                <w:rStyle w:val="Hyperlink"/>
              </w:rPr>
              <w:tab/>
            </w:r>
            <w:r w:rsidR="00671BF5" w:rsidRPr="00E62000">
              <w:rPr>
                <w:rStyle w:val="Hyperlink"/>
              </w:rPr>
              <w:t xml:space="preserve">Ethical </w:t>
            </w:r>
            <w:r w:rsidR="00E17289">
              <w:rPr>
                <w:rStyle w:val="Hyperlink"/>
              </w:rPr>
              <w:t>C</w:t>
            </w:r>
            <w:r w:rsidR="00671BF5" w:rsidRPr="00E62000">
              <w:rPr>
                <w:rStyle w:val="Hyperlink"/>
              </w:rPr>
              <w:t xml:space="preserve">onsiderations </w:t>
            </w:r>
            <w:r w:rsidR="00E17289">
              <w:rPr>
                <w:rStyle w:val="Hyperlink"/>
              </w:rPr>
              <w:t>C</w:t>
            </w:r>
            <w:r w:rsidR="00671BF5" w:rsidRPr="00E62000">
              <w:rPr>
                <w:rStyle w:val="Hyperlink"/>
              </w:rPr>
              <w:t xml:space="preserve">oncerning </w:t>
            </w:r>
            <w:r w:rsidR="00E17289">
              <w:rPr>
                <w:rStyle w:val="Hyperlink"/>
              </w:rPr>
              <w:t>P</w:t>
            </w:r>
            <w:r w:rsidR="00671BF5" w:rsidRPr="00E62000">
              <w:rPr>
                <w:rStyle w:val="Hyperlink"/>
              </w:rPr>
              <w:t xml:space="preserve">renatal </w:t>
            </w:r>
            <w:r w:rsidR="00E17289">
              <w:rPr>
                <w:rStyle w:val="Hyperlink"/>
              </w:rPr>
              <w:t>G</w:t>
            </w:r>
            <w:r w:rsidR="00671BF5" w:rsidRPr="00E62000">
              <w:rPr>
                <w:rStyle w:val="Hyperlink"/>
              </w:rPr>
              <w:t xml:space="preserve">enetic </w:t>
            </w:r>
            <w:r w:rsidR="00E17289">
              <w:rPr>
                <w:rStyle w:val="Hyperlink"/>
              </w:rPr>
              <w:t>T</w:t>
            </w:r>
            <w:r w:rsidR="00671BF5" w:rsidRPr="00E62000">
              <w:rPr>
                <w:rStyle w:val="Hyperlink"/>
              </w:rPr>
              <w:t>esting</w:t>
            </w:r>
            <w:r w:rsidR="00671BF5">
              <w:rPr>
                <w:webHidden/>
              </w:rPr>
              <w:tab/>
            </w:r>
            <w:r w:rsidR="00671BF5">
              <w:rPr>
                <w:webHidden/>
              </w:rPr>
              <w:fldChar w:fldCharType="begin"/>
            </w:r>
            <w:r w:rsidR="00671BF5">
              <w:rPr>
                <w:webHidden/>
              </w:rPr>
              <w:instrText xml:space="preserve"> PAGEREF _Toc418179944 \h </w:instrText>
            </w:r>
            <w:r w:rsidR="00671BF5">
              <w:rPr>
                <w:webHidden/>
              </w:rPr>
            </w:r>
            <w:r w:rsidR="00671BF5">
              <w:rPr>
                <w:webHidden/>
              </w:rPr>
              <w:fldChar w:fldCharType="separate"/>
            </w:r>
            <w:r w:rsidR="00B909E6">
              <w:rPr>
                <w:webHidden/>
              </w:rPr>
              <w:t>139</w:t>
            </w:r>
            <w:r w:rsidR="00671BF5">
              <w:rPr>
                <w:webHidden/>
              </w:rPr>
              <w:fldChar w:fldCharType="end"/>
            </w:r>
          </w:hyperlink>
        </w:p>
        <w:p w14:paraId="0F20824D" w14:textId="5B224E81" w:rsidR="00671BF5" w:rsidRDefault="00447183" w:rsidP="006B53D2">
          <w:pPr>
            <w:pStyle w:val="TOC3"/>
            <w:rPr>
              <w:rFonts w:asciiTheme="minorHAnsi" w:eastAsiaTheme="minorEastAsia" w:hAnsiTheme="minorHAnsi" w:cstheme="minorBidi"/>
            </w:rPr>
          </w:pPr>
          <w:hyperlink w:anchor="_Toc418179945" w:history="1">
            <w:r w:rsidR="00671BF5" w:rsidRPr="00E62000">
              <w:rPr>
                <w:rStyle w:val="Hyperlink"/>
              </w:rPr>
              <w:t>F.1.1.</w:t>
            </w:r>
            <w:r w:rsidR="0063487A">
              <w:rPr>
                <w:rStyle w:val="Hyperlink"/>
              </w:rPr>
              <w:tab/>
            </w:r>
            <w:r w:rsidR="00671BF5" w:rsidRPr="00E62000">
              <w:rPr>
                <w:rStyle w:val="Hyperlink"/>
              </w:rPr>
              <w:t>Introduction</w:t>
            </w:r>
            <w:r w:rsidR="00671BF5">
              <w:rPr>
                <w:webHidden/>
              </w:rPr>
              <w:tab/>
            </w:r>
            <w:r w:rsidR="00671BF5">
              <w:rPr>
                <w:webHidden/>
              </w:rPr>
              <w:fldChar w:fldCharType="begin"/>
            </w:r>
            <w:r w:rsidR="00671BF5">
              <w:rPr>
                <w:webHidden/>
              </w:rPr>
              <w:instrText xml:space="preserve"> PAGEREF _Toc418179945 \h </w:instrText>
            </w:r>
            <w:r w:rsidR="00671BF5">
              <w:rPr>
                <w:webHidden/>
              </w:rPr>
            </w:r>
            <w:r w:rsidR="00671BF5">
              <w:rPr>
                <w:webHidden/>
              </w:rPr>
              <w:fldChar w:fldCharType="separate"/>
            </w:r>
            <w:r w:rsidR="00B909E6">
              <w:rPr>
                <w:webHidden/>
              </w:rPr>
              <w:t>139</w:t>
            </w:r>
            <w:r w:rsidR="00671BF5">
              <w:rPr>
                <w:webHidden/>
              </w:rPr>
              <w:fldChar w:fldCharType="end"/>
            </w:r>
          </w:hyperlink>
        </w:p>
        <w:p w14:paraId="6D3378F2" w14:textId="4E2A9D5A" w:rsidR="00671BF5" w:rsidRDefault="00447183" w:rsidP="006B53D2">
          <w:pPr>
            <w:pStyle w:val="TOC3"/>
            <w:rPr>
              <w:rFonts w:asciiTheme="minorHAnsi" w:eastAsiaTheme="minorEastAsia" w:hAnsiTheme="minorHAnsi" w:cstheme="minorBidi"/>
            </w:rPr>
          </w:pPr>
          <w:hyperlink w:anchor="_Toc418179946" w:history="1">
            <w:r w:rsidR="00671BF5" w:rsidRPr="00E62000">
              <w:rPr>
                <w:rStyle w:val="Hyperlink"/>
              </w:rPr>
              <w:t>F.1.2.</w:t>
            </w:r>
            <w:r w:rsidR="0063487A">
              <w:rPr>
                <w:rStyle w:val="Hyperlink"/>
              </w:rPr>
              <w:tab/>
            </w:r>
            <w:r w:rsidR="00671BF5" w:rsidRPr="00E62000">
              <w:rPr>
                <w:rStyle w:val="Hyperlink"/>
              </w:rPr>
              <w:t>Methods of evidence synthesis</w:t>
            </w:r>
            <w:r w:rsidR="00671BF5">
              <w:rPr>
                <w:webHidden/>
              </w:rPr>
              <w:tab/>
            </w:r>
            <w:r w:rsidR="00671BF5">
              <w:rPr>
                <w:webHidden/>
              </w:rPr>
              <w:fldChar w:fldCharType="begin"/>
            </w:r>
            <w:r w:rsidR="00671BF5">
              <w:rPr>
                <w:webHidden/>
              </w:rPr>
              <w:instrText xml:space="preserve"> PAGEREF _Toc418179946 \h </w:instrText>
            </w:r>
            <w:r w:rsidR="00671BF5">
              <w:rPr>
                <w:webHidden/>
              </w:rPr>
            </w:r>
            <w:r w:rsidR="00671BF5">
              <w:rPr>
                <w:webHidden/>
              </w:rPr>
              <w:fldChar w:fldCharType="separate"/>
            </w:r>
            <w:r w:rsidR="00B909E6">
              <w:rPr>
                <w:webHidden/>
              </w:rPr>
              <w:t>139</w:t>
            </w:r>
            <w:r w:rsidR="00671BF5">
              <w:rPr>
                <w:webHidden/>
              </w:rPr>
              <w:fldChar w:fldCharType="end"/>
            </w:r>
          </w:hyperlink>
        </w:p>
        <w:p w14:paraId="6AB3C5DC" w14:textId="53E37483" w:rsidR="00671BF5" w:rsidRDefault="00447183" w:rsidP="006B53D2">
          <w:pPr>
            <w:pStyle w:val="TOC3"/>
            <w:rPr>
              <w:rFonts w:asciiTheme="minorHAnsi" w:eastAsiaTheme="minorEastAsia" w:hAnsiTheme="minorHAnsi" w:cstheme="minorBidi"/>
            </w:rPr>
          </w:pPr>
          <w:hyperlink w:anchor="_Toc418179947" w:history="1">
            <w:r w:rsidR="00671BF5" w:rsidRPr="00E62000">
              <w:rPr>
                <w:rStyle w:val="Hyperlink"/>
              </w:rPr>
              <w:t>F.1.3.</w:t>
            </w:r>
            <w:r w:rsidR="0063487A">
              <w:rPr>
                <w:rStyle w:val="Hyperlink"/>
              </w:rPr>
              <w:tab/>
            </w:r>
            <w:r w:rsidR="00671BF5" w:rsidRPr="00E62000">
              <w:rPr>
                <w:rStyle w:val="Hyperlink"/>
              </w:rPr>
              <w:t>Ethical framework</w:t>
            </w:r>
            <w:r w:rsidR="00671BF5">
              <w:rPr>
                <w:webHidden/>
              </w:rPr>
              <w:tab/>
            </w:r>
            <w:r w:rsidR="00671BF5">
              <w:rPr>
                <w:webHidden/>
              </w:rPr>
              <w:fldChar w:fldCharType="begin"/>
            </w:r>
            <w:r w:rsidR="00671BF5">
              <w:rPr>
                <w:webHidden/>
              </w:rPr>
              <w:instrText xml:space="preserve"> PAGEREF _Toc418179947 \h </w:instrText>
            </w:r>
            <w:r w:rsidR="00671BF5">
              <w:rPr>
                <w:webHidden/>
              </w:rPr>
            </w:r>
            <w:r w:rsidR="00671BF5">
              <w:rPr>
                <w:webHidden/>
              </w:rPr>
              <w:fldChar w:fldCharType="separate"/>
            </w:r>
            <w:r w:rsidR="00B909E6">
              <w:rPr>
                <w:webHidden/>
              </w:rPr>
              <w:t>139</w:t>
            </w:r>
            <w:r w:rsidR="00671BF5">
              <w:rPr>
                <w:webHidden/>
              </w:rPr>
              <w:fldChar w:fldCharType="end"/>
            </w:r>
          </w:hyperlink>
        </w:p>
        <w:p w14:paraId="0DBA82FC" w14:textId="57F9B83B" w:rsidR="00671BF5" w:rsidRDefault="00447183" w:rsidP="006B53D2">
          <w:pPr>
            <w:pStyle w:val="TOC3"/>
            <w:rPr>
              <w:rFonts w:asciiTheme="minorHAnsi" w:eastAsiaTheme="minorEastAsia" w:hAnsiTheme="minorHAnsi" w:cstheme="minorBidi"/>
            </w:rPr>
          </w:pPr>
          <w:hyperlink w:anchor="_Toc418179948" w:history="1">
            <w:r w:rsidR="00671BF5" w:rsidRPr="00E62000">
              <w:rPr>
                <w:rStyle w:val="Hyperlink"/>
              </w:rPr>
              <w:t>F.1.4.</w:t>
            </w:r>
            <w:r w:rsidR="0063487A">
              <w:rPr>
                <w:rStyle w:val="Hyperlink"/>
              </w:rPr>
              <w:tab/>
            </w:r>
            <w:r w:rsidR="00671BF5" w:rsidRPr="00E62000">
              <w:rPr>
                <w:rStyle w:val="Hyperlink"/>
              </w:rPr>
              <w:t>Ethical issues specific to prenatal testing</w:t>
            </w:r>
            <w:r w:rsidR="00671BF5">
              <w:rPr>
                <w:webHidden/>
              </w:rPr>
              <w:tab/>
            </w:r>
            <w:r w:rsidR="00671BF5">
              <w:rPr>
                <w:webHidden/>
              </w:rPr>
              <w:fldChar w:fldCharType="begin"/>
            </w:r>
            <w:r w:rsidR="00671BF5">
              <w:rPr>
                <w:webHidden/>
              </w:rPr>
              <w:instrText xml:space="preserve"> PAGEREF _Toc418179948 \h </w:instrText>
            </w:r>
            <w:r w:rsidR="00671BF5">
              <w:rPr>
                <w:webHidden/>
              </w:rPr>
            </w:r>
            <w:r w:rsidR="00671BF5">
              <w:rPr>
                <w:webHidden/>
              </w:rPr>
              <w:fldChar w:fldCharType="separate"/>
            </w:r>
            <w:r w:rsidR="00B909E6">
              <w:rPr>
                <w:webHidden/>
              </w:rPr>
              <w:t>141</w:t>
            </w:r>
            <w:r w:rsidR="00671BF5">
              <w:rPr>
                <w:webHidden/>
              </w:rPr>
              <w:fldChar w:fldCharType="end"/>
            </w:r>
          </w:hyperlink>
        </w:p>
        <w:p w14:paraId="473FACE7" w14:textId="221D85D4" w:rsidR="00671BF5" w:rsidRDefault="00447183" w:rsidP="006B53D2">
          <w:pPr>
            <w:pStyle w:val="TOC3"/>
            <w:rPr>
              <w:rFonts w:asciiTheme="minorHAnsi" w:eastAsiaTheme="minorEastAsia" w:hAnsiTheme="minorHAnsi" w:cstheme="minorBidi"/>
            </w:rPr>
          </w:pPr>
          <w:hyperlink w:anchor="_Toc418179949" w:history="1">
            <w:r w:rsidR="00671BF5" w:rsidRPr="00E62000">
              <w:rPr>
                <w:rStyle w:val="Hyperlink"/>
              </w:rPr>
              <w:t>F.1.5.</w:t>
            </w:r>
            <w:r w:rsidR="0063487A">
              <w:rPr>
                <w:rStyle w:val="Hyperlink"/>
              </w:rPr>
              <w:tab/>
            </w:r>
            <w:r w:rsidR="00671BF5" w:rsidRPr="00E62000">
              <w:rPr>
                <w:rStyle w:val="Hyperlink"/>
              </w:rPr>
              <w:t>Summary</w:t>
            </w:r>
            <w:r w:rsidR="00671BF5">
              <w:rPr>
                <w:webHidden/>
              </w:rPr>
              <w:tab/>
            </w:r>
            <w:r w:rsidR="00671BF5">
              <w:rPr>
                <w:webHidden/>
              </w:rPr>
              <w:fldChar w:fldCharType="begin"/>
            </w:r>
            <w:r w:rsidR="00671BF5">
              <w:rPr>
                <w:webHidden/>
              </w:rPr>
              <w:instrText xml:space="preserve"> PAGEREF _Toc418179949 \h </w:instrText>
            </w:r>
            <w:r w:rsidR="00671BF5">
              <w:rPr>
                <w:webHidden/>
              </w:rPr>
            </w:r>
            <w:r w:rsidR="00671BF5">
              <w:rPr>
                <w:webHidden/>
              </w:rPr>
              <w:fldChar w:fldCharType="separate"/>
            </w:r>
            <w:r w:rsidR="00B909E6">
              <w:rPr>
                <w:webHidden/>
              </w:rPr>
              <w:t>145</w:t>
            </w:r>
            <w:r w:rsidR="00671BF5">
              <w:rPr>
                <w:webHidden/>
              </w:rPr>
              <w:fldChar w:fldCharType="end"/>
            </w:r>
          </w:hyperlink>
        </w:p>
        <w:p w14:paraId="70D8EBF6" w14:textId="61A3DA0C" w:rsidR="00671BF5" w:rsidRDefault="00447183" w:rsidP="006B53D2">
          <w:pPr>
            <w:pStyle w:val="TOC3"/>
            <w:rPr>
              <w:rFonts w:asciiTheme="minorHAnsi" w:eastAsiaTheme="minorEastAsia" w:hAnsiTheme="minorHAnsi" w:cstheme="minorBidi"/>
            </w:rPr>
          </w:pPr>
          <w:hyperlink w:anchor="_Toc418179950" w:history="1">
            <w:r w:rsidR="00671BF5" w:rsidRPr="00E62000">
              <w:rPr>
                <w:rStyle w:val="Hyperlink"/>
              </w:rPr>
              <w:t>F.1.6.</w:t>
            </w:r>
            <w:r w:rsidR="0063487A">
              <w:rPr>
                <w:rStyle w:val="Hyperlink"/>
              </w:rPr>
              <w:tab/>
            </w:r>
            <w:r w:rsidR="00671BF5" w:rsidRPr="00E62000">
              <w:rPr>
                <w:rStyle w:val="Hyperlink"/>
              </w:rPr>
              <w:t>Conclusions</w:t>
            </w:r>
            <w:r w:rsidR="00671BF5">
              <w:rPr>
                <w:webHidden/>
              </w:rPr>
              <w:tab/>
            </w:r>
            <w:r w:rsidR="00671BF5">
              <w:rPr>
                <w:webHidden/>
              </w:rPr>
              <w:fldChar w:fldCharType="begin"/>
            </w:r>
            <w:r w:rsidR="00671BF5">
              <w:rPr>
                <w:webHidden/>
              </w:rPr>
              <w:instrText xml:space="preserve"> PAGEREF _Toc418179950 \h </w:instrText>
            </w:r>
            <w:r w:rsidR="00671BF5">
              <w:rPr>
                <w:webHidden/>
              </w:rPr>
            </w:r>
            <w:r w:rsidR="00671BF5">
              <w:rPr>
                <w:webHidden/>
              </w:rPr>
              <w:fldChar w:fldCharType="separate"/>
            </w:r>
            <w:r w:rsidR="00B909E6">
              <w:rPr>
                <w:webHidden/>
              </w:rPr>
              <w:t>145</w:t>
            </w:r>
            <w:r w:rsidR="00671BF5">
              <w:rPr>
                <w:webHidden/>
              </w:rPr>
              <w:fldChar w:fldCharType="end"/>
            </w:r>
          </w:hyperlink>
        </w:p>
        <w:p w14:paraId="4CE13899" w14:textId="0785D7E0" w:rsidR="00671BF5" w:rsidRDefault="00447183">
          <w:pPr>
            <w:pStyle w:val="TOC2"/>
            <w:rPr>
              <w:rFonts w:asciiTheme="minorHAnsi" w:eastAsiaTheme="minorEastAsia" w:hAnsiTheme="minorHAnsi" w:cstheme="minorBidi"/>
            </w:rPr>
          </w:pPr>
          <w:hyperlink w:anchor="_Toc418179951" w:history="1">
            <w:r w:rsidR="00671BF5" w:rsidRPr="00E62000">
              <w:rPr>
                <w:rStyle w:val="Hyperlink"/>
              </w:rPr>
              <w:t>F.2.</w:t>
            </w:r>
            <w:r w:rsidR="0063487A">
              <w:rPr>
                <w:rStyle w:val="Hyperlink"/>
              </w:rPr>
              <w:tab/>
            </w:r>
            <w:r w:rsidR="00671BF5" w:rsidRPr="00E62000">
              <w:rPr>
                <w:rStyle w:val="Hyperlink"/>
              </w:rPr>
              <w:t xml:space="preserve">Non-invasive </w:t>
            </w:r>
            <w:r w:rsidR="00F16D9C">
              <w:rPr>
                <w:rStyle w:val="Hyperlink"/>
              </w:rPr>
              <w:t>P</w:t>
            </w:r>
            <w:r w:rsidR="00671BF5" w:rsidRPr="00E62000">
              <w:rPr>
                <w:rStyle w:val="Hyperlink"/>
              </w:rPr>
              <w:t xml:space="preserve">renatal </w:t>
            </w:r>
            <w:r w:rsidR="00F16D9C">
              <w:rPr>
                <w:rStyle w:val="Hyperlink"/>
              </w:rPr>
              <w:t>D</w:t>
            </w:r>
            <w:r w:rsidR="00671BF5" w:rsidRPr="00E62000">
              <w:rPr>
                <w:rStyle w:val="Hyperlink"/>
              </w:rPr>
              <w:t>iagnosis (NIPD)</w:t>
            </w:r>
            <w:r w:rsidR="00671BF5">
              <w:rPr>
                <w:webHidden/>
              </w:rPr>
              <w:tab/>
            </w:r>
            <w:r w:rsidR="00671BF5">
              <w:rPr>
                <w:webHidden/>
              </w:rPr>
              <w:fldChar w:fldCharType="begin"/>
            </w:r>
            <w:r w:rsidR="00671BF5">
              <w:rPr>
                <w:webHidden/>
              </w:rPr>
              <w:instrText xml:space="preserve"> PAGEREF _Toc418179951 \h </w:instrText>
            </w:r>
            <w:r w:rsidR="00671BF5">
              <w:rPr>
                <w:webHidden/>
              </w:rPr>
            </w:r>
            <w:r w:rsidR="00671BF5">
              <w:rPr>
                <w:webHidden/>
              </w:rPr>
              <w:fldChar w:fldCharType="separate"/>
            </w:r>
            <w:r w:rsidR="00B909E6">
              <w:rPr>
                <w:webHidden/>
              </w:rPr>
              <w:t>145</w:t>
            </w:r>
            <w:r w:rsidR="00671BF5">
              <w:rPr>
                <w:webHidden/>
              </w:rPr>
              <w:fldChar w:fldCharType="end"/>
            </w:r>
          </w:hyperlink>
        </w:p>
        <w:p w14:paraId="77452590" w14:textId="7BE1C8F9" w:rsidR="00671BF5" w:rsidRDefault="00447183">
          <w:pPr>
            <w:pStyle w:val="TOC2"/>
            <w:rPr>
              <w:rFonts w:asciiTheme="minorHAnsi" w:eastAsiaTheme="minorEastAsia" w:hAnsiTheme="minorHAnsi" w:cstheme="minorBidi"/>
            </w:rPr>
          </w:pPr>
          <w:hyperlink w:anchor="_Toc418179952" w:history="1">
            <w:r w:rsidR="00671BF5" w:rsidRPr="00E62000">
              <w:rPr>
                <w:rStyle w:val="Hyperlink"/>
              </w:rPr>
              <w:t>F.3.</w:t>
            </w:r>
            <w:r w:rsidR="0063487A">
              <w:rPr>
                <w:rStyle w:val="Hyperlink"/>
              </w:rPr>
              <w:tab/>
            </w:r>
            <w:r w:rsidR="00671BF5" w:rsidRPr="00E62000">
              <w:rPr>
                <w:rStyle w:val="Hyperlink"/>
              </w:rPr>
              <w:t xml:space="preserve">Legal </w:t>
            </w:r>
            <w:r w:rsidR="00F16D9C">
              <w:rPr>
                <w:rStyle w:val="Hyperlink"/>
              </w:rPr>
              <w:t>I</w:t>
            </w:r>
            <w:r w:rsidR="00671BF5" w:rsidRPr="00E62000">
              <w:rPr>
                <w:rStyle w:val="Hyperlink"/>
              </w:rPr>
              <w:t>mplications</w:t>
            </w:r>
            <w:r w:rsidR="00671BF5">
              <w:rPr>
                <w:webHidden/>
              </w:rPr>
              <w:tab/>
            </w:r>
            <w:r w:rsidR="00671BF5">
              <w:rPr>
                <w:webHidden/>
              </w:rPr>
              <w:fldChar w:fldCharType="begin"/>
            </w:r>
            <w:r w:rsidR="00671BF5">
              <w:rPr>
                <w:webHidden/>
              </w:rPr>
              <w:instrText xml:space="preserve"> PAGEREF _Toc418179952 \h </w:instrText>
            </w:r>
            <w:r w:rsidR="00671BF5">
              <w:rPr>
                <w:webHidden/>
              </w:rPr>
            </w:r>
            <w:r w:rsidR="00671BF5">
              <w:rPr>
                <w:webHidden/>
              </w:rPr>
              <w:fldChar w:fldCharType="separate"/>
            </w:r>
            <w:r w:rsidR="00B909E6">
              <w:rPr>
                <w:webHidden/>
              </w:rPr>
              <w:t>146</w:t>
            </w:r>
            <w:r w:rsidR="00671BF5">
              <w:rPr>
                <w:webHidden/>
              </w:rPr>
              <w:fldChar w:fldCharType="end"/>
            </w:r>
          </w:hyperlink>
        </w:p>
        <w:p w14:paraId="32BEF94D" w14:textId="77777777" w:rsidR="00671BF5" w:rsidRDefault="00447183">
          <w:pPr>
            <w:pStyle w:val="TOC1"/>
            <w:rPr>
              <w:rFonts w:asciiTheme="minorHAnsi" w:eastAsiaTheme="minorEastAsia" w:hAnsiTheme="minorHAnsi" w:cstheme="minorBidi"/>
              <w:b w:val="0"/>
            </w:rPr>
          </w:pPr>
          <w:hyperlink w:anchor="_Toc418179953" w:history="1">
            <w:r w:rsidR="00671BF5" w:rsidRPr="00E62000">
              <w:rPr>
                <w:rStyle w:val="Hyperlink"/>
              </w:rPr>
              <w:t>Appendix A</w:t>
            </w:r>
            <w:r w:rsidR="00671BF5">
              <w:rPr>
                <w:rFonts w:asciiTheme="minorHAnsi" w:eastAsiaTheme="minorEastAsia" w:hAnsiTheme="minorHAnsi" w:cstheme="minorBidi"/>
                <w:b w:val="0"/>
              </w:rPr>
              <w:tab/>
            </w:r>
            <w:r w:rsidR="00671BF5" w:rsidRPr="00E62000">
              <w:rPr>
                <w:rStyle w:val="Hyperlink"/>
              </w:rPr>
              <w:t>Clinical Experts and Assessment Group</w:t>
            </w:r>
            <w:r w:rsidR="00671BF5">
              <w:rPr>
                <w:webHidden/>
              </w:rPr>
              <w:tab/>
            </w:r>
            <w:r w:rsidR="00671BF5">
              <w:rPr>
                <w:webHidden/>
              </w:rPr>
              <w:fldChar w:fldCharType="begin"/>
            </w:r>
            <w:r w:rsidR="00671BF5">
              <w:rPr>
                <w:webHidden/>
              </w:rPr>
              <w:instrText xml:space="preserve"> PAGEREF _Toc418179953 \h </w:instrText>
            </w:r>
            <w:r w:rsidR="00671BF5">
              <w:rPr>
                <w:webHidden/>
              </w:rPr>
            </w:r>
            <w:r w:rsidR="00671BF5">
              <w:rPr>
                <w:webHidden/>
              </w:rPr>
              <w:fldChar w:fldCharType="separate"/>
            </w:r>
            <w:r w:rsidR="00B909E6">
              <w:rPr>
                <w:webHidden/>
              </w:rPr>
              <w:t>148</w:t>
            </w:r>
            <w:r w:rsidR="00671BF5">
              <w:rPr>
                <w:webHidden/>
              </w:rPr>
              <w:fldChar w:fldCharType="end"/>
            </w:r>
          </w:hyperlink>
        </w:p>
        <w:p w14:paraId="636EDFB4" w14:textId="77777777" w:rsidR="00671BF5" w:rsidRDefault="00447183">
          <w:pPr>
            <w:pStyle w:val="TOC2"/>
            <w:rPr>
              <w:rFonts w:asciiTheme="minorHAnsi" w:eastAsiaTheme="minorEastAsia" w:hAnsiTheme="minorHAnsi" w:cstheme="minorBidi"/>
            </w:rPr>
          </w:pPr>
          <w:hyperlink w:anchor="_Toc418179954" w:history="1">
            <w:r w:rsidR="00671BF5" w:rsidRPr="00E62000">
              <w:rPr>
                <w:rStyle w:val="Hyperlink"/>
              </w:rPr>
              <w:t>Health Expert Standing Panel (HESP)</w:t>
            </w:r>
            <w:r w:rsidR="00671BF5">
              <w:rPr>
                <w:webHidden/>
              </w:rPr>
              <w:tab/>
            </w:r>
            <w:r w:rsidR="00671BF5">
              <w:rPr>
                <w:webHidden/>
              </w:rPr>
              <w:fldChar w:fldCharType="begin"/>
            </w:r>
            <w:r w:rsidR="00671BF5">
              <w:rPr>
                <w:webHidden/>
              </w:rPr>
              <w:instrText xml:space="preserve"> PAGEREF _Toc418179954 \h </w:instrText>
            </w:r>
            <w:r w:rsidR="00671BF5">
              <w:rPr>
                <w:webHidden/>
              </w:rPr>
            </w:r>
            <w:r w:rsidR="00671BF5">
              <w:rPr>
                <w:webHidden/>
              </w:rPr>
              <w:fldChar w:fldCharType="separate"/>
            </w:r>
            <w:r w:rsidR="00B909E6">
              <w:rPr>
                <w:webHidden/>
              </w:rPr>
              <w:t>148</w:t>
            </w:r>
            <w:r w:rsidR="00671BF5">
              <w:rPr>
                <w:webHidden/>
              </w:rPr>
              <w:fldChar w:fldCharType="end"/>
            </w:r>
          </w:hyperlink>
        </w:p>
        <w:p w14:paraId="2F88E956" w14:textId="77777777" w:rsidR="00671BF5" w:rsidRDefault="00447183">
          <w:pPr>
            <w:pStyle w:val="TOC2"/>
            <w:rPr>
              <w:rFonts w:asciiTheme="minorHAnsi" w:eastAsiaTheme="minorEastAsia" w:hAnsiTheme="minorHAnsi" w:cstheme="minorBidi"/>
            </w:rPr>
          </w:pPr>
          <w:hyperlink w:anchor="_Toc418179955" w:history="1">
            <w:r w:rsidR="00671BF5" w:rsidRPr="00E62000">
              <w:rPr>
                <w:rStyle w:val="Hyperlink"/>
              </w:rPr>
              <w:t>Assessment group</w:t>
            </w:r>
            <w:r w:rsidR="00671BF5">
              <w:rPr>
                <w:webHidden/>
              </w:rPr>
              <w:tab/>
            </w:r>
            <w:r w:rsidR="00671BF5">
              <w:rPr>
                <w:webHidden/>
              </w:rPr>
              <w:fldChar w:fldCharType="begin"/>
            </w:r>
            <w:r w:rsidR="00671BF5">
              <w:rPr>
                <w:webHidden/>
              </w:rPr>
              <w:instrText xml:space="preserve"> PAGEREF _Toc418179955 \h </w:instrText>
            </w:r>
            <w:r w:rsidR="00671BF5">
              <w:rPr>
                <w:webHidden/>
              </w:rPr>
            </w:r>
            <w:r w:rsidR="00671BF5">
              <w:rPr>
                <w:webHidden/>
              </w:rPr>
              <w:fldChar w:fldCharType="separate"/>
            </w:r>
            <w:r w:rsidR="00B909E6">
              <w:rPr>
                <w:webHidden/>
              </w:rPr>
              <w:t>148</w:t>
            </w:r>
            <w:r w:rsidR="00671BF5">
              <w:rPr>
                <w:webHidden/>
              </w:rPr>
              <w:fldChar w:fldCharType="end"/>
            </w:r>
          </w:hyperlink>
        </w:p>
        <w:p w14:paraId="326C6621" w14:textId="77777777" w:rsidR="00671BF5" w:rsidRDefault="00447183">
          <w:pPr>
            <w:pStyle w:val="TOC2"/>
            <w:rPr>
              <w:rFonts w:asciiTheme="minorHAnsi" w:eastAsiaTheme="minorEastAsia" w:hAnsiTheme="minorHAnsi" w:cstheme="minorBidi"/>
            </w:rPr>
          </w:pPr>
          <w:hyperlink w:anchor="_Toc418179956" w:history="1">
            <w:r w:rsidR="00671BF5" w:rsidRPr="00E62000">
              <w:rPr>
                <w:rStyle w:val="Hyperlink"/>
              </w:rPr>
              <w:t>Noted conflicts of interest</w:t>
            </w:r>
            <w:r w:rsidR="00671BF5">
              <w:rPr>
                <w:webHidden/>
              </w:rPr>
              <w:tab/>
            </w:r>
            <w:r w:rsidR="00671BF5">
              <w:rPr>
                <w:webHidden/>
              </w:rPr>
              <w:fldChar w:fldCharType="begin"/>
            </w:r>
            <w:r w:rsidR="00671BF5">
              <w:rPr>
                <w:webHidden/>
              </w:rPr>
              <w:instrText xml:space="preserve"> PAGEREF _Toc418179956 \h </w:instrText>
            </w:r>
            <w:r w:rsidR="00671BF5">
              <w:rPr>
                <w:webHidden/>
              </w:rPr>
            </w:r>
            <w:r w:rsidR="00671BF5">
              <w:rPr>
                <w:webHidden/>
              </w:rPr>
              <w:fldChar w:fldCharType="separate"/>
            </w:r>
            <w:r w:rsidR="00B909E6">
              <w:rPr>
                <w:webHidden/>
              </w:rPr>
              <w:t>148</w:t>
            </w:r>
            <w:r w:rsidR="00671BF5">
              <w:rPr>
                <w:webHidden/>
              </w:rPr>
              <w:fldChar w:fldCharType="end"/>
            </w:r>
          </w:hyperlink>
        </w:p>
        <w:p w14:paraId="0396CA52" w14:textId="1FE7F7B0" w:rsidR="00671BF5" w:rsidRDefault="00447183">
          <w:pPr>
            <w:pStyle w:val="TOC1"/>
            <w:rPr>
              <w:rFonts w:asciiTheme="minorHAnsi" w:eastAsiaTheme="minorEastAsia" w:hAnsiTheme="minorHAnsi" w:cstheme="minorBidi"/>
              <w:b w:val="0"/>
            </w:rPr>
          </w:pPr>
          <w:hyperlink w:anchor="_Toc418179957" w:history="1">
            <w:r w:rsidR="00671BF5" w:rsidRPr="00E62000">
              <w:rPr>
                <w:rStyle w:val="Hyperlink"/>
              </w:rPr>
              <w:t>Appendix B</w:t>
            </w:r>
            <w:r w:rsidR="00671BF5">
              <w:rPr>
                <w:rFonts w:asciiTheme="minorHAnsi" w:eastAsiaTheme="minorEastAsia" w:hAnsiTheme="minorHAnsi" w:cstheme="minorBidi"/>
                <w:b w:val="0"/>
              </w:rPr>
              <w:tab/>
            </w:r>
            <w:r w:rsidR="00671BF5" w:rsidRPr="00E62000">
              <w:rPr>
                <w:rStyle w:val="Hyperlink"/>
              </w:rPr>
              <w:t xml:space="preserve">Search </w:t>
            </w:r>
            <w:r w:rsidR="00801313">
              <w:rPr>
                <w:rStyle w:val="Hyperlink"/>
              </w:rPr>
              <w:t>S</w:t>
            </w:r>
            <w:r w:rsidR="00671BF5" w:rsidRPr="00E62000">
              <w:rPr>
                <w:rStyle w:val="Hyperlink"/>
              </w:rPr>
              <w:t>trategies</w:t>
            </w:r>
            <w:r w:rsidR="00671BF5">
              <w:rPr>
                <w:webHidden/>
              </w:rPr>
              <w:tab/>
            </w:r>
            <w:r w:rsidR="00671BF5">
              <w:rPr>
                <w:webHidden/>
              </w:rPr>
              <w:fldChar w:fldCharType="begin"/>
            </w:r>
            <w:r w:rsidR="00671BF5">
              <w:rPr>
                <w:webHidden/>
              </w:rPr>
              <w:instrText xml:space="preserve"> PAGEREF _Toc418179957 \h </w:instrText>
            </w:r>
            <w:r w:rsidR="00671BF5">
              <w:rPr>
                <w:webHidden/>
              </w:rPr>
            </w:r>
            <w:r w:rsidR="00671BF5">
              <w:rPr>
                <w:webHidden/>
              </w:rPr>
              <w:fldChar w:fldCharType="separate"/>
            </w:r>
            <w:r w:rsidR="00B909E6">
              <w:rPr>
                <w:webHidden/>
              </w:rPr>
              <w:t>149</w:t>
            </w:r>
            <w:r w:rsidR="00671BF5">
              <w:rPr>
                <w:webHidden/>
              </w:rPr>
              <w:fldChar w:fldCharType="end"/>
            </w:r>
          </w:hyperlink>
        </w:p>
        <w:p w14:paraId="4ADC6675" w14:textId="77777777" w:rsidR="00671BF5" w:rsidRDefault="00447183">
          <w:pPr>
            <w:pStyle w:val="TOC2"/>
            <w:rPr>
              <w:rFonts w:asciiTheme="minorHAnsi" w:eastAsiaTheme="minorEastAsia" w:hAnsiTheme="minorHAnsi" w:cstheme="minorBidi"/>
            </w:rPr>
          </w:pPr>
          <w:hyperlink w:anchor="_Toc418179958" w:history="1">
            <w:r w:rsidR="00671BF5" w:rsidRPr="00E62000">
              <w:rPr>
                <w:rStyle w:val="Hyperlink"/>
              </w:rPr>
              <w:t>Bibliographic databases</w:t>
            </w:r>
            <w:r w:rsidR="00671BF5">
              <w:rPr>
                <w:webHidden/>
              </w:rPr>
              <w:tab/>
            </w:r>
            <w:r w:rsidR="00671BF5">
              <w:rPr>
                <w:webHidden/>
              </w:rPr>
              <w:fldChar w:fldCharType="begin"/>
            </w:r>
            <w:r w:rsidR="00671BF5">
              <w:rPr>
                <w:webHidden/>
              </w:rPr>
              <w:instrText xml:space="preserve"> PAGEREF _Toc418179958 \h </w:instrText>
            </w:r>
            <w:r w:rsidR="00671BF5">
              <w:rPr>
                <w:webHidden/>
              </w:rPr>
            </w:r>
            <w:r w:rsidR="00671BF5">
              <w:rPr>
                <w:webHidden/>
              </w:rPr>
              <w:fldChar w:fldCharType="separate"/>
            </w:r>
            <w:r w:rsidR="00B909E6">
              <w:rPr>
                <w:webHidden/>
              </w:rPr>
              <w:t>149</w:t>
            </w:r>
            <w:r w:rsidR="00671BF5">
              <w:rPr>
                <w:webHidden/>
              </w:rPr>
              <w:fldChar w:fldCharType="end"/>
            </w:r>
          </w:hyperlink>
        </w:p>
        <w:p w14:paraId="045378F7" w14:textId="77777777" w:rsidR="00671BF5" w:rsidRDefault="00447183">
          <w:pPr>
            <w:pStyle w:val="TOC2"/>
            <w:rPr>
              <w:rFonts w:asciiTheme="minorHAnsi" w:eastAsiaTheme="minorEastAsia" w:hAnsiTheme="minorHAnsi" w:cstheme="minorBidi"/>
            </w:rPr>
          </w:pPr>
          <w:hyperlink w:anchor="_Toc418179959" w:history="1">
            <w:r w:rsidR="00671BF5" w:rsidRPr="00E62000">
              <w:rPr>
                <w:rStyle w:val="Hyperlink"/>
              </w:rPr>
              <w:t>Additional sources of literature (including websites)</w:t>
            </w:r>
            <w:r w:rsidR="00671BF5">
              <w:rPr>
                <w:webHidden/>
              </w:rPr>
              <w:tab/>
            </w:r>
            <w:r w:rsidR="00671BF5">
              <w:rPr>
                <w:webHidden/>
              </w:rPr>
              <w:fldChar w:fldCharType="begin"/>
            </w:r>
            <w:r w:rsidR="00671BF5">
              <w:rPr>
                <w:webHidden/>
              </w:rPr>
              <w:instrText xml:space="preserve"> PAGEREF _Toc418179959 \h </w:instrText>
            </w:r>
            <w:r w:rsidR="00671BF5">
              <w:rPr>
                <w:webHidden/>
              </w:rPr>
            </w:r>
            <w:r w:rsidR="00671BF5">
              <w:rPr>
                <w:webHidden/>
              </w:rPr>
              <w:fldChar w:fldCharType="separate"/>
            </w:r>
            <w:r w:rsidR="00B909E6">
              <w:rPr>
                <w:webHidden/>
              </w:rPr>
              <w:t>149</w:t>
            </w:r>
            <w:r w:rsidR="00671BF5">
              <w:rPr>
                <w:webHidden/>
              </w:rPr>
              <w:fldChar w:fldCharType="end"/>
            </w:r>
          </w:hyperlink>
        </w:p>
        <w:p w14:paraId="115442C5" w14:textId="77777777" w:rsidR="00671BF5" w:rsidRDefault="00447183" w:rsidP="006B53D2">
          <w:pPr>
            <w:pStyle w:val="TOC3"/>
            <w:rPr>
              <w:rFonts w:asciiTheme="minorHAnsi" w:eastAsiaTheme="minorEastAsia" w:hAnsiTheme="minorHAnsi" w:cstheme="minorBidi"/>
            </w:rPr>
          </w:pPr>
          <w:hyperlink w:anchor="_Toc418179960" w:history="1">
            <w:r w:rsidR="00671BF5" w:rsidRPr="00E62000">
              <w:rPr>
                <w:rStyle w:val="Hyperlink"/>
              </w:rPr>
              <w:t>HTA websites</w:t>
            </w:r>
            <w:r w:rsidR="00671BF5">
              <w:rPr>
                <w:webHidden/>
              </w:rPr>
              <w:tab/>
            </w:r>
            <w:r w:rsidR="00671BF5">
              <w:rPr>
                <w:webHidden/>
              </w:rPr>
              <w:fldChar w:fldCharType="begin"/>
            </w:r>
            <w:r w:rsidR="00671BF5">
              <w:rPr>
                <w:webHidden/>
              </w:rPr>
              <w:instrText xml:space="preserve"> PAGEREF _Toc418179960 \h </w:instrText>
            </w:r>
            <w:r w:rsidR="00671BF5">
              <w:rPr>
                <w:webHidden/>
              </w:rPr>
            </w:r>
            <w:r w:rsidR="00671BF5">
              <w:rPr>
                <w:webHidden/>
              </w:rPr>
              <w:fldChar w:fldCharType="separate"/>
            </w:r>
            <w:r w:rsidR="00B909E6">
              <w:rPr>
                <w:webHidden/>
              </w:rPr>
              <w:t>149</w:t>
            </w:r>
            <w:r w:rsidR="00671BF5">
              <w:rPr>
                <w:webHidden/>
              </w:rPr>
              <w:fldChar w:fldCharType="end"/>
            </w:r>
          </w:hyperlink>
        </w:p>
        <w:p w14:paraId="68924B64" w14:textId="77777777" w:rsidR="00671BF5" w:rsidRDefault="00447183" w:rsidP="006B53D2">
          <w:pPr>
            <w:pStyle w:val="TOC3"/>
            <w:rPr>
              <w:rFonts w:asciiTheme="minorHAnsi" w:eastAsiaTheme="minorEastAsia" w:hAnsiTheme="minorHAnsi" w:cstheme="minorBidi"/>
            </w:rPr>
          </w:pPr>
          <w:hyperlink w:anchor="_Toc418179961" w:history="1">
            <w:r w:rsidR="00671BF5" w:rsidRPr="00E62000">
              <w:rPr>
                <w:rStyle w:val="Hyperlink"/>
              </w:rPr>
              <w:t>Specialty websites</w:t>
            </w:r>
            <w:r w:rsidR="00671BF5">
              <w:rPr>
                <w:webHidden/>
              </w:rPr>
              <w:tab/>
            </w:r>
            <w:r w:rsidR="00671BF5">
              <w:rPr>
                <w:webHidden/>
              </w:rPr>
              <w:fldChar w:fldCharType="begin"/>
            </w:r>
            <w:r w:rsidR="00671BF5">
              <w:rPr>
                <w:webHidden/>
              </w:rPr>
              <w:instrText xml:space="preserve"> PAGEREF _Toc418179961 \h </w:instrText>
            </w:r>
            <w:r w:rsidR="00671BF5">
              <w:rPr>
                <w:webHidden/>
              </w:rPr>
            </w:r>
            <w:r w:rsidR="00671BF5">
              <w:rPr>
                <w:webHidden/>
              </w:rPr>
              <w:fldChar w:fldCharType="separate"/>
            </w:r>
            <w:r w:rsidR="00B909E6">
              <w:rPr>
                <w:webHidden/>
              </w:rPr>
              <w:t>151</w:t>
            </w:r>
            <w:r w:rsidR="00671BF5">
              <w:rPr>
                <w:webHidden/>
              </w:rPr>
              <w:fldChar w:fldCharType="end"/>
            </w:r>
          </w:hyperlink>
        </w:p>
        <w:p w14:paraId="4F6334A3" w14:textId="77777777" w:rsidR="00671BF5" w:rsidRDefault="00447183" w:rsidP="006B53D2">
          <w:pPr>
            <w:pStyle w:val="TOC3"/>
            <w:rPr>
              <w:rFonts w:asciiTheme="minorHAnsi" w:eastAsiaTheme="minorEastAsia" w:hAnsiTheme="minorHAnsi" w:cstheme="minorBidi"/>
            </w:rPr>
          </w:pPr>
          <w:hyperlink w:anchor="_Toc418179962" w:history="1">
            <w:r w:rsidR="00671BF5" w:rsidRPr="00E62000">
              <w:rPr>
                <w:rStyle w:val="Hyperlink"/>
              </w:rPr>
              <w:t>Additional sources of literature</w:t>
            </w:r>
            <w:r w:rsidR="00671BF5">
              <w:rPr>
                <w:webHidden/>
              </w:rPr>
              <w:tab/>
            </w:r>
            <w:r w:rsidR="00671BF5">
              <w:rPr>
                <w:webHidden/>
              </w:rPr>
              <w:fldChar w:fldCharType="begin"/>
            </w:r>
            <w:r w:rsidR="00671BF5">
              <w:rPr>
                <w:webHidden/>
              </w:rPr>
              <w:instrText xml:space="preserve"> PAGEREF _Toc418179962 \h </w:instrText>
            </w:r>
            <w:r w:rsidR="00671BF5">
              <w:rPr>
                <w:webHidden/>
              </w:rPr>
            </w:r>
            <w:r w:rsidR="00671BF5">
              <w:rPr>
                <w:webHidden/>
              </w:rPr>
              <w:fldChar w:fldCharType="separate"/>
            </w:r>
            <w:r w:rsidR="00B909E6">
              <w:rPr>
                <w:webHidden/>
              </w:rPr>
              <w:t>151</w:t>
            </w:r>
            <w:r w:rsidR="00671BF5">
              <w:rPr>
                <w:webHidden/>
              </w:rPr>
              <w:fldChar w:fldCharType="end"/>
            </w:r>
          </w:hyperlink>
        </w:p>
        <w:p w14:paraId="2BE72DFA" w14:textId="2115DEC0" w:rsidR="00671BF5" w:rsidRDefault="00447183">
          <w:pPr>
            <w:pStyle w:val="TOC1"/>
            <w:rPr>
              <w:rFonts w:asciiTheme="minorHAnsi" w:eastAsiaTheme="minorEastAsia" w:hAnsiTheme="minorHAnsi" w:cstheme="minorBidi"/>
              <w:b w:val="0"/>
            </w:rPr>
          </w:pPr>
          <w:hyperlink w:anchor="_Toc418179963" w:history="1">
            <w:r w:rsidR="00671BF5" w:rsidRPr="00E62000">
              <w:rPr>
                <w:rStyle w:val="Hyperlink"/>
              </w:rPr>
              <w:t>Appendix C</w:t>
            </w:r>
            <w:r w:rsidR="00671BF5">
              <w:rPr>
                <w:rFonts w:asciiTheme="minorHAnsi" w:eastAsiaTheme="minorEastAsia" w:hAnsiTheme="minorHAnsi" w:cstheme="minorBidi"/>
                <w:b w:val="0"/>
              </w:rPr>
              <w:tab/>
            </w:r>
            <w:r w:rsidR="00671BF5" w:rsidRPr="00E62000">
              <w:rPr>
                <w:rStyle w:val="Hyperlink"/>
              </w:rPr>
              <w:t xml:space="preserve">Studies </w:t>
            </w:r>
            <w:r w:rsidR="00801313">
              <w:rPr>
                <w:rStyle w:val="Hyperlink"/>
              </w:rPr>
              <w:t>I</w:t>
            </w:r>
            <w:r w:rsidR="00671BF5" w:rsidRPr="00E62000">
              <w:rPr>
                <w:rStyle w:val="Hyperlink"/>
              </w:rPr>
              <w:t>ncluded in the Systematic Review</w:t>
            </w:r>
            <w:r w:rsidR="00671BF5">
              <w:rPr>
                <w:webHidden/>
              </w:rPr>
              <w:tab/>
            </w:r>
            <w:r w:rsidR="00671BF5">
              <w:rPr>
                <w:webHidden/>
              </w:rPr>
              <w:fldChar w:fldCharType="begin"/>
            </w:r>
            <w:r w:rsidR="00671BF5">
              <w:rPr>
                <w:webHidden/>
              </w:rPr>
              <w:instrText xml:space="preserve"> PAGEREF _Toc418179963 \h </w:instrText>
            </w:r>
            <w:r w:rsidR="00671BF5">
              <w:rPr>
                <w:webHidden/>
              </w:rPr>
            </w:r>
            <w:r w:rsidR="00671BF5">
              <w:rPr>
                <w:webHidden/>
              </w:rPr>
              <w:fldChar w:fldCharType="separate"/>
            </w:r>
            <w:r w:rsidR="00B909E6">
              <w:rPr>
                <w:webHidden/>
              </w:rPr>
              <w:t>152</w:t>
            </w:r>
            <w:r w:rsidR="00671BF5">
              <w:rPr>
                <w:webHidden/>
              </w:rPr>
              <w:fldChar w:fldCharType="end"/>
            </w:r>
          </w:hyperlink>
        </w:p>
        <w:p w14:paraId="5EDBA4B6" w14:textId="5F0F2DFC" w:rsidR="00671BF5" w:rsidRDefault="00447183">
          <w:pPr>
            <w:pStyle w:val="TOC1"/>
            <w:rPr>
              <w:rFonts w:asciiTheme="minorHAnsi" w:eastAsiaTheme="minorEastAsia" w:hAnsiTheme="minorHAnsi" w:cstheme="minorBidi"/>
              <w:b w:val="0"/>
            </w:rPr>
          </w:pPr>
          <w:hyperlink w:anchor="_Toc418179964" w:history="1">
            <w:r w:rsidR="00671BF5" w:rsidRPr="00E62000">
              <w:rPr>
                <w:rStyle w:val="Hyperlink"/>
              </w:rPr>
              <w:t>Appendix D</w:t>
            </w:r>
            <w:r w:rsidR="00671BF5">
              <w:rPr>
                <w:rFonts w:asciiTheme="minorHAnsi" w:eastAsiaTheme="minorEastAsia" w:hAnsiTheme="minorHAnsi" w:cstheme="minorBidi"/>
                <w:b w:val="0"/>
              </w:rPr>
              <w:tab/>
            </w:r>
            <w:r w:rsidR="00671BF5" w:rsidRPr="00E62000">
              <w:rPr>
                <w:rStyle w:val="Hyperlink"/>
              </w:rPr>
              <w:t xml:space="preserve">Diagnostic </w:t>
            </w:r>
            <w:r w:rsidR="00801313">
              <w:rPr>
                <w:rStyle w:val="Hyperlink"/>
              </w:rPr>
              <w:t>A</w:t>
            </w:r>
            <w:r w:rsidR="00671BF5" w:rsidRPr="00E62000">
              <w:rPr>
                <w:rStyle w:val="Hyperlink"/>
              </w:rPr>
              <w:t>ccuracy (section B.6.i)</w:t>
            </w:r>
            <w:r w:rsidR="00671BF5">
              <w:rPr>
                <w:webHidden/>
              </w:rPr>
              <w:tab/>
            </w:r>
            <w:r w:rsidR="00671BF5">
              <w:rPr>
                <w:webHidden/>
              </w:rPr>
              <w:fldChar w:fldCharType="begin"/>
            </w:r>
            <w:r w:rsidR="00671BF5">
              <w:rPr>
                <w:webHidden/>
              </w:rPr>
              <w:instrText xml:space="preserve"> PAGEREF _Toc418179964 \h </w:instrText>
            </w:r>
            <w:r w:rsidR="00671BF5">
              <w:rPr>
                <w:webHidden/>
              </w:rPr>
            </w:r>
            <w:r w:rsidR="00671BF5">
              <w:rPr>
                <w:webHidden/>
              </w:rPr>
              <w:fldChar w:fldCharType="separate"/>
            </w:r>
            <w:r w:rsidR="00B909E6">
              <w:rPr>
                <w:webHidden/>
              </w:rPr>
              <w:t>165</w:t>
            </w:r>
            <w:r w:rsidR="00671BF5">
              <w:rPr>
                <w:webHidden/>
              </w:rPr>
              <w:fldChar w:fldCharType="end"/>
            </w:r>
          </w:hyperlink>
        </w:p>
        <w:p w14:paraId="2B4AD29A" w14:textId="0065DFAF" w:rsidR="00671BF5" w:rsidRDefault="00447183">
          <w:pPr>
            <w:pStyle w:val="TOC1"/>
            <w:rPr>
              <w:rFonts w:asciiTheme="minorHAnsi" w:eastAsiaTheme="minorEastAsia" w:hAnsiTheme="minorHAnsi" w:cstheme="minorBidi"/>
              <w:b w:val="0"/>
            </w:rPr>
          </w:pPr>
          <w:hyperlink w:anchor="_Toc418179965" w:history="1">
            <w:r w:rsidR="00671BF5" w:rsidRPr="00E62000">
              <w:rPr>
                <w:rStyle w:val="Hyperlink"/>
              </w:rPr>
              <w:t>Appendix E</w:t>
            </w:r>
            <w:r w:rsidR="00671BF5">
              <w:rPr>
                <w:rFonts w:asciiTheme="minorHAnsi" w:eastAsiaTheme="minorEastAsia" w:hAnsiTheme="minorHAnsi" w:cstheme="minorBidi"/>
                <w:b w:val="0"/>
              </w:rPr>
              <w:tab/>
            </w:r>
            <w:r w:rsidR="00671BF5" w:rsidRPr="00E62000">
              <w:rPr>
                <w:rStyle w:val="Hyperlink"/>
              </w:rPr>
              <w:t xml:space="preserve">Impact of </w:t>
            </w:r>
            <w:r w:rsidR="00801313">
              <w:rPr>
                <w:rStyle w:val="Hyperlink"/>
              </w:rPr>
              <w:t>C</w:t>
            </w:r>
            <w:r w:rsidR="00671BF5" w:rsidRPr="00E62000">
              <w:rPr>
                <w:rStyle w:val="Hyperlink"/>
              </w:rPr>
              <w:t xml:space="preserve">hange in </w:t>
            </w:r>
            <w:r w:rsidR="00801313">
              <w:rPr>
                <w:rStyle w:val="Hyperlink"/>
              </w:rPr>
              <w:t>M</w:t>
            </w:r>
            <w:r w:rsidR="00671BF5" w:rsidRPr="00E62000">
              <w:rPr>
                <w:rStyle w:val="Hyperlink"/>
              </w:rPr>
              <w:t>anagement (section B.8.1)</w:t>
            </w:r>
            <w:r w:rsidR="00671BF5">
              <w:rPr>
                <w:webHidden/>
              </w:rPr>
              <w:tab/>
            </w:r>
            <w:r w:rsidR="00671BF5">
              <w:rPr>
                <w:webHidden/>
              </w:rPr>
              <w:fldChar w:fldCharType="begin"/>
            </w:r>
            <w:r w:rsidR="00671BF5">
              <w:rPr>
                <w:webHidden/>
              </w:rPr>
              <w:instrText xml:space="preserve"> PAGEREF _Toc418179965 \h </w:instrText>
            </w:r>
            <w:r w:rsidR="00671BF5">
              <w:rPr>
                <w:webHidden/>
              </w:rPr>
            </w:r>
            <w:r w:rsidR="00671BF5">
              <w:rPr>
                <w:webHidden/>
              </w:rPr>
              <w:fldChar w:fldCharType="separate"/>
            </w:r>
            <w:r w:rsidR="00B909E6">
              <w:rPr>
                <w:webHidden/>
              </w:rPr>
              <w:t>174</w:t>
            </w:r>
            <w:r w:rsidR="00671BF5">
              <w:rPr>
                <w:webHidden/>
              </w:rPr>
              <w:fldChar w:fldCharType="end"/>
            </w:r>
          </w:hyperlink>
        </w:p>
        <w:p w14:paraId="707E3AC7" w14:textId="77777777" w:rsidR="00671BF5" w:rsidRDefault="00447183">
          <w:pPr>
            <w:pStyle w:val="TOC1"/>
            <w:rPr>
              <w:rFonts w:asciiTheme="minorHAnsi" w:eastAsiaTheme="minorEastAsia" w:hAnsiTheme="minorHAnsi" w:cstheme="minorBidi"/>
              <w:b w:val="0"/>
            </w:rPr>
          </w:pPr>
          <w:hyperlink w:anchor="_Toc418179966" w:history="1">
            <w:r w:rsidR="00671BF5" w:rsidRPr="00E62000">
              <w:rPr>
                <w:rStyle w:val="Hyperlink"/>
              </w:rPr>
              <w:t>Appendix F</w:t>
            </w:r>
            <w:r w:rsidR="00671BF5">
              <w:rPr>
                <w:rFonts w:asciiTheme="minorHAnsi" w:eastAsiaTheme="minorEastAsia" w:hAnsiTheme="minorHAnsi" w:cstheme="minorBidi"/>
                <w:b w:val="0"/>
              </w:rPr>
              <w:tab/>
            </w:r>
            <w:r w:rsidR="00671BF5" w:rsidRPr="00E62000">
              <w:rPr>
                <w:rStyle w:val="Hyperlink"/>
              </w:rPr>
              <w:t>Excluded Studies</w:t>
            </w:r>
            <w:r w:rsidR="00671BF5">
              <w:rPr>
                <w:webHidden/>
              </w:rPr>
              <w:tab/>
            </w:r>
            <w:r w:rsidR="00671BF5">
              <w:rPr>
                <w:webHidden/>
              </w:rPr>
              <w:fldChar w:fldCharType="begin"/>
            </w:r>
            <w:r w:rsidR="00671BF5">
              <w:rPr>
                <w:webHidden/>
              </w:rPr>
              <w:instrText xml:space="preserve"> PAGEREF _Toc418179966 \h </w:instrText>
            </w:r>
            <w:r w:rsidR="00671BF5">
              <w:rPr>
                <w:webHidden/>
              </w:rPr>
            </w:r>
            <w:r w:rsidR="00671BF5">
              <w:rPr>
                <w:webHidden/>
              </w:rPr>
              <w:fldChar w:fldCharType="separate"/>
            </w:r>
            <w:r w:rsidR="00B909E6">
              <w:rPr>
                <w:webHidden/>
              </w:rPr>
              <w:t>178</w:t>
            </w:r>
            <w:r w:rsidR="00671BF5">
              <w:rPr>
                <w:webHidden/>
              </w:rPr>
              <w:fldChar w:fldCharType="end"/>
            </w:r>
          </w:hyperlink>
        </w:p>
        <w:p w14:paraId="35A1E685" w14:textId="236AD225" w:rsidR="00671BF5" w:rsidRDefault="00447183">
          <w:pPr>
            <w:pStyle w:val="TOC2"/>
            <w:rPr>
              <w:rFonts w:asciiTheme="minorHAnsi" w:eastAsiaTheme="minorEastAsia" w:hAnsiTheme="minorHAnsi" w:cstheme="minorBidi"/>
            </w:rPr>
          </w:pPr>
          <w:hyperlink w:anchor="_Toc418179967" w:history="1">
            <w:r w:rsidR="00671BF5" w:rsidRPr="00E62000">
              <w:rPr>
                <w:rStyle w:val="Hyperlink"/>
                <w:rFonts w:eastAsiaTheme="minorHAnsi"/>
                <w:lang w:eastAsia="en-US"/>
              </w:rPr>
              <w:t>Incorrect population/sample</w:t>
            </w:r>
            <w:r w:rsidR="00671BF5">
              <w:rPr>
                <w:webHidden/>
              </w:rPr>
              <w:tab/>
            </w:r>
            <w:r w:rsidR="00671BF5">
              <w:rPr>
                <w:webHidden/>
              </w:rPr>
              <w:fldChar w:fldCharType="begin"/>
            </w:r>
            <w:r w:rsidR="00671BF5">
              <w:rPr>
                <w:webHidden/>
              </w:rPr>
              <w:instrText xml:space="preserve"> PAGEREF _Toc418179967 \h </w:instrText>
            </w:r>
            <w:r w:rsidR="00671BF5">
              <w:rPr>
                <w:webHidden/>
              </w:rPr>
            </w:r>
            <w:r w:rsidR="00671BF5">
              <w:rPr>
                <w:webHidden/>
              </w:rPr>
              <w:fldChar w:fldCharType="separate"/>
            </w:r>
            <w:r w:rsidR="00B909E6">
              <w:rPr>
                <w:webHidden/>
              </w:rPr>
              <w:t>178</w:t>
            </w:r>
            <w:r w:rsidR="00671BF5">
              <w:rPr>
                <w:webHidden/>
              </w:rPr>
              <w:fldChar w:fldCharType="end"/>
            </w:r>
          </w:hyperlink>
        </w:p>
        <w:p w14:paraId="1F154A52" w14:textId="77777777" w:rsidR="00671BF5" w:rsidRDefault="00447183">
          <w:pPr>
            <w:pStyle w:val="TOC2"/>
            <w:rPr>
              <w:rFonts w:asciiTheme="minorHAnsi" w:eastAsiaTheme="minorEastAsia" w:hAnsiTheme="minorHAnsi" w:cstheme="minorBidi"/>
            </w:rPr>
          </w:pPr>
          <w:hyperlink w:anchor="_Toc418179968" w:history="1">
            <w:r w:rsidR="00671BF5" w:rsidRPr="00E62000">
              <w:rPr>
                <w:rStyle w:val="Hyperlink"/>
                <w:rFonts w:eastAsiaTheme="minorHAnsi"/>
                <w:lang w:eastAsia="en-US"/>
              </w:rPr>
              <w:t>Incorrect intervention</w:t>
            </w:r>
            <w:r w:rsidR="00671BF5">
              <w:rPr>
                <w:webHidden/>
              </w:rPr>
              <w:tab/>
            </w:r>
            <w:r w:rsidR="00671BF5">
              <w:rPr>
                <w:webHidden/>
              </w:rPr>
              <w:fldChar w:fldCharType="begin"/>
            </w:r>
            <w:r w:rsidR="00671BF5">
              <w:rPr>
                <w:webHidden/>
              </w:rPr>
              <w:instrText xml:space="preserve"> PAGEREF _Toc418179968 \h </w:instrText>
            </w:r>
            <w:r w:rsidR="00671BF5">
              <w:rPr>
                <w:webHidden/>
              </w:rPr>
            </w:r>
            <w:r w:rsidR="00671BF5">
              <w:rPr>
                <w:webHidden/>
              </w:rPr>
              <w:fldChar w:fldCharType="separate"/>
            </w:r>
            <w:r w:rsidR="00B909E6">
              <w:rPr>
                <w:webHidden/>
              </w:rPr>
              <w:t>180</w:t>
            </w:r>
            <w:r w:rsidR="00671BF5">
              <w:rPr>
                <w:webHidden/>
              </w:rPr>
              <w:fldChar w:fldCharType="end"/>
            </w:r>
          </w:hyperlink>
        </w:p>
        <w:p w14:paraId="0ED0E2A4" w14:textId="77777777" w:rsidR="00671BF5" w:rsidRDefault="00447183">
          <w:pPr>
            <w:pStyle w:val="TOC2"/>
            <w:rPr>
              <w:rFonts w:asciiTheme="minorHAnsi" w:eastAsiaTheme="minorEastAsia" w:hAnsiTheme="minorHAnsi" w:cstheme="minorBidi"/>
            </w:rPr>
          </w:pPr>
          <w:hyperlink w:anchor="_Toc418179969" w:history="1">
            <w:r w:rsidR="00671BF5" w:rsidRPr="00E62000">
              <w:rPr>
                <w:rStyle w:val="Hyperlink"/>
                <w:rFonts w:eastAsiaTheme="minorHAnsi"/>
                <w:lang w:eastAsia="en-US"/>
              </w:rPr>
              <w:t>Incorrect or no outcomes</w:t>
            </w:r>
            <w:r w:rsidR="00671BF5">
              <w:rPr>
                <w:webHidden/>
              </w:rPr>
              <w:tab/>
            </w:r>
            <w:r w:rsidR="00671BF5">
              <w:rPr>
                <w:webHidden/>
              </w:rPr>
              <w:fldChar w:fldCharType="begin"/>
            </w:r>
            <w:r w:rsidR="00671BF5">
              <w:rPr>
                <w:webHidden/>
              </w:rPr>
              <w:instrText xml:space="preserve"> PAGEREF _Toc418179969 \h </w:instrText>
            </w:r>
            <w:r w:rsidR="00671BF5">
              <w:rPr>
                <w:webHidden/>
              </w:rPr>
            </w:r>
            <w:r w:rsidR="00671BF5">
              <w:rPr>
                <w:webHidden/>
              </w:rPr>
              <w:fldChar w:fldCharType="separate"/>
            </w:r>
            <w:r w:rsidR="00B909E6">
              <w:rPr>
                <w:webHidden/>
              </w:rPr>
              <w:t>181</w:t>
            </w:r>
            <w:r w:rsidR="00671BF5">
              <w:rPr>
                <w:webHidden/>
              </w:rPr>
              <w:fldChar w:fldCharType="end"/>
            </w:r>
          </w:hyperlink>
        </w:p>
        <w:p w14:paraId="7E935F8D" w14:textId="77777777" w:rsidR="00671BF5" w:rsidRDefault="00447183">
          <w:pPr>
            <w:pStyle w:val="TOC2"/>
            <w:rPr>
              <w:rFonts w:asciiTheme="minorHAnsi" w:eastAsiaTheme="minorEastAsia" w:hAnsiTheme="minorHAnsi" w:cstheme="minorBidi"/>
            </w:rPr>
          </w:pPr>
          <w:hyperlink w:anchor="_Toc418179970" w:history="1">
            <w:r w:rsidR="00671BF5" w:rsidRPr="00E62000">
              <w:rPr>
                <w:rStyle w:val="Hyperlink"/>
                <w:rFonts w:eastAsiaTheme="minorHAnsi"/>
                <w:lang w:eastAsia="en-US"/>
              </w:rPr>
              <w:t>Incorrect study design</w:t>
            </w:r>
            <w:r w:rsidR="00671BF5">
              <w:rPr>
                <w:webHidden/>
              </w:rPr>
              <w:tab/>
            </w:r>
            <w:r w:rsidR="00671BF5">
              <w:rPr>
                <w:webHidden/>
              </w:rPr>
              <w:fldChar w:fldCharType="begin"/>
            </w:r>
            <w:r w:rsidR="00671BF5">
              <w:rPr>
                <w:webHidden/>
              </w:rPr>
              <w:instrText xml:space="preserve"> PAGEREF _Toc418179970 \h </w:instrText>
            </w:r>
            <w:r w:rsidR="00671BF5">
              <w:rPr>
                <w:webHidden/>
              </w:rPr>
            </w:r>
            <w:r w:rsidR="00671BF5">
              <w:rPr>
                <w:webHidden/>
              </w:rPr>
              <w:fldChar w:fldCharType="separate"/>
            </w:r>
            <w:r w:rsidR="00B909E6">
              <w:rPr>
                <w:webHidden/>
              </w:rPr>
              <w:t>184</w:t>
            </w:r>
            <w:r w:rsidR="00671BF5">
              <w:rPr>
                <w:webHidden/>
              </w:rPr>
              <w:fldChar w:fldCharType="end"/>
            </w:r>
          </w:hyperlink>
        </w:p>
        <w:p w14:paraId="76C5AA57" w14:textId="77777777" w:rsidR="00671BF5" w:rsidRDefault="00447183">
          <w:pPr>
            <w:pStyle w:val="TOC2"/>
            <w:rPr>
              <w:rFonts w:asciiTheme="minorHAnsi" w:eastAsiaTheme="minorEastAsia" w:hAnsiTheme="minorHAnsi" w:cstheme="minorBidi"/>
            </w:rPr>
          </w:pPr>
          <w:hyperlink w:anchor="_Toc418179971" w:history="1">
            <w:r w:rsidR="00671BF5" w:rsidRPr="00E62000">
              <w:rPr>
                <w:rStyle w:val="Hyperlink"/>
                <w:rFonts w:eastAsiaTheme="minorHAnsi"/>
                <w:lang w:eastAsia="en-US"/>
              </w:rPr>
              <w:t>Conference abstracts</w:t>
            </w:r>
            <w:r w:rsidR="00671BF5">
              <w:rPr>
                <w:webHidden/>
              </w:rPr>
              <w:tab/>
            </w:r>
            <w:r w:rsidR="00671BF5">
              <w:rPr>
                <w:webHidden/>
              </w:rPr>
              <w:fldChar w:fldCharType="begin"/>
            </w:r>
            <w:r w:rsidR="00671BF5">
              <w:rPr>
                <w:webHidden/>
              </w:rPr>
              <w:instrText xml:space="preserve"> PAGEREF _Toc418179971 \h </w:instrText>
            </w:r>
            <w:r w:rsidR="00671BF5">
              <w:rPr>
                <w:webHidden/>
              </w:rPr>
            </w:r>
            <w:r w:rsidR="00671BF5">
              <w:rPr>
                <w:webHidden/>
              </w:rPr>
              <w:fldChar w:fldCharType="separate"/>
            </w:r>
            <w:r w:rsidR="00B909E6">
              <w:rPr>
                <w:webHidden/>
              </w:rPr>
              <w:t>186</w:t>
            </w:r>
            <w:r w:rsidR="00671BF5">
              <w:rPr>
                <w:webHidden/>
              </w:rPr>
              <w:fldChar w:fldCharType="end"/>
            </w:r>
          </w:hyperlink>
        </w:p>
        <w:p w14:paraId="1824D10E" w14:textId="77777777" w:rsidR="00671BF5" w:rsidRDefault="00447183">
          <w:pPr>
            <w:pStyle w:val="TOC2"/>
            <w:rPr>
              <w:rFonts w:asciiTheme="minorHAnsi" w:eastAsiaTheme="minorEastAsia" w:hAnsiTheme="minorHAnsi" w:cstheme="minorBidi"/>
            </w:rPr>
          </w:pPr>
          <w:hyperlink w:anchor="_Toc418179972" w:history="1">
            <w:r w:rsidR="00671BF5" w:rsidRPr="00E62000">
              <w:rPr>
                <w:rStyle w:val="Hyperlink"/>
                <w:rFonts w:eastAsiaTheme="minorHAnsi"/>
                <w:lang w:eastAsia="en-US"/>
              </w:rPr>
              <w:t>Duplicate studies</w:t>
            </w:r>
            <w:r w:rsidR="00671BF5">
              <w:rPr>
                <w:webHidden/>
              </w:rPr>
              <w:tab/>
            </w:r>
            <w:r w:rsidR="00671BF5">
              <w:rPr>
                <w:webHidden/>
              </w:rPr>
              <w:fldChar w:fldCharType="begin"/>
            </w:r>
            <w:r w:rsidR="00671BF5">
              <w:rPr>
                <w:webHidden/>
              </w:rPr>
              <w:instrText xml:space="preserve"> PAGEREF _Toc418179972 \h </w:instrText>
            </w:r>
            <w:r w:rsidR="00671BF5">
              <w:rPr>
                <w:webHidden/>
              </w:rPr>
            </w:r>
            <w:r w:rsidR="00671BF5">
              <w:rPr>
                <w:webHidden/>
              </w:rPr>
              <w:fldChar w:fldCharType="separate"/>
            </w:r>
            <w:r w:rsidR="00B909E6">
              <w:rPr>
                <w:webHidden/>
              </w:rPr>
              <w:t>187</w:t>
            </w:r>
            <w:r w:rsidR="00671BF5">
              <w:rPr>
                <w:webHidden/>
              </w:rPr>
              <w:fldChar w:fldCharType="end"/>
            </w:r>
          </w:hyperlink>
        </w:p>
        <w:p w14:paraId="5774CCE4" w14:textId="77777777" w:rsidR="00671BF5" w:rsidRDefault="00447183">
          <w:pPr>
            <w:pStyle w:val="TOC2"/>
            <w:rPr>
              <w:rFonts w:asciiTheme="minorHAnsi" w:eastAsiaTheme="minorEastAsia" w:hAnsiTheme="minorHAnsi" w:cstheme="minorBidi"/>
            </w:rPr>
          </w:pPr>
          <w:hyperlink w:anchor="_Toc418179973" w:history="1">
            <w:r w:rsidR="00671BF5" w:rsidRPr="00E62000">
              <w:rPr>
                <w:rStyle w:val="Hyperlink"/>
              </w:rPr>
              <w:t xml:space="preserve">Incorrect </w:t>
            </w:r>
            <w:r w:rsidR="00671BF5" w:rsidRPr="00E62000">
              <w:rPr>
                <w:rStyle w:val="Hyperlink"/>
                <w:rFonts w:eastAsiaTheme="minorHAnsi"/>
                <w:lang w:eastAsia="en-US"/>
              </w:rPr>
              <w:t>language</w:t>
            </w:r>
            <w:r w:rsidR="00671BF5">
              <w:rPr>
                <w:webHidden/>
              </w:rPr>
              <w:tab/>
            </w:r>
            <w:r w:rsidR="00671BF5">
              <w:rPr>
                <w:webHidden/>
              </w:rPr>
              <w:fldChar w:fldCharType="begin"/>
            </w:r>
            <w:r w:rsidR="00671BF5">
              <w:rPr>
                <w:webHidden/>
              </w:rPr>
              <w:instrText xml:space="preserve"> PAGEREF _Toc418179973 \h </w:instrText>
            </w:r>
            <w:r w:rsidR="00671BF5">
              <w:rPr>
                <w:webHidden/>
              </w:rPr>
            </w:r>
            <w:r w:rsidR="00671BF5">
              <w:rPr>
                <w:webHidden/>
              </w:rPr>
              <w:fldChar w:fldCharType="separate"/>
            </w:r>
            <w:r w:rsidR="00B909E6">
              <w:rPr>
                <w:webHidden/>
              </w:rPr>
              <w:t>188</w:t>
            </w:r>
            <w:r w:rsidR="00671BF5">
              <w:rPr>
                <w:webHidden/>
              </w:rPr>
              <w:fldChar w:fldCharType="end"/>
            </w:r>
          </w:hyperlink>
        </w:p>
        <w:p w14:paraId="36E5399F" w14:textId="77777777" w:rsidR="00671BF5" w:rsidRDefault="00447183">
          <w:pPr>
            <w:pStyle w:val="TOC2"/>
            <w:rPr>
              <w:rFonts w:asciiTheme="minorHAnsi" w:eastAsiaTheme="minorEastAsia" w:hAnsiTheme="minorHAnsi" w:cstheme="minorBidi"/>
            </w:rPr>
          </w:pPr>
          <w:hyperlink w:anchor="_Toc418179974" w:history="1">
            <w:r w:rsidR="00671BF5" w:rsidRPr="00E62000">
              <w:rPr>
                <w:rStyle w:val="Hyperlink"/>
                <w:rFonts w:eastAsiaTheme="minorHAnsi"/>
                <w:lang w:eastAsia="en-US"/>
              </w:rPr>
              <w:t>More recent data available</w:t>
            </w:r>
            <w:r w:rsidR="00671BF5">
              <w:rPr>
                <w:webHidden/>
              </w:rPr>
              <w:tab/>
            </w:r>
            <w:r w:rsidR="00671BF5">
              <w:rPr>
                <w:webHidden/>
              </w:rPr>
              <w:fldChar w:fldCharType="begin"/>
            </w:r>
            <w:r w:rsidR="00671BF5">
              <w:rPr>
                <w:webHidden/>
              </w:rPr>
              <w:instrText xml:space="preserve"> PAGEREF _Toc418179974 \h </w:instrText>
            </w:r>
            <w:r w:rsidR="00671BF5">
              <w:rPr>
                <w:webHidden/>
              </w:rPr>
            </w:r>
            <w:r w:rsidR="00671BF5">
              <w:rPr>
                <w:webHidden/>
              </w:rPr>
              <w:fldChar w:fldCharType="separate"/>
            </w:r>
            <w:r w:rsidR="00B909E6">
              <w:rPr>
                <w:webHidden/>
              </w:rPr>
              <w:t>189</w:t>
            </w:r>
            <w:r w:rsidR="00671BF5">
              <w:rPr>
                <w:webHidden/>
              </w:rPr>
              <w:fldChar w:fldCharType="end"/>
            </w:r>
          </w:hyperlink>
        </w:p>
        <w:p w14:paraId="12E046BB" w14:textId="77777777" w:rsidR="00671BF5" w:rsidRDefault="00447183">
          <w:pPr>
            <w:pStyle w:val="TOC2"/>
            <w:rPr>
              <w:rFonts w:asciiTheme="minorHAnsi" w:eastAsiaTheme="minorEastAsia" w:hAnsiTheme="minorHAnsi" w:cstheme="minorBidi"/>
            </w:rPr>
          </w:pPr>
          <w:hyperlink w:anchor="_Toc418179975" w:history="1">
            <w:r w:rsidR="00671BF5" w:rsidRPr="00E62000">
              <w:rPr>
                <w:rStyle w:val="Hyperlink"/>
                <w:rFonts w:eastAsiaTheme="minorHAnsi"/>
                <w:lang w:eastAsia="en-US"/>
              </w:rPr>
              <w:t>Unable to extract data</w:t>
            </w:r>
            <w:r w:rsidR="00671BF5">
              <w:rPr>
                <w:webHidden/>
              </w:rPr>
              <w:tab/>
            </w:r>
            <w:r w:rsidR="00671BF5">
              <w:rPr>
                <w:webHidden/>
              </w:rPr>
              <w:fldChar w:fldCharType="begin"/>
            </w:r>
            <w:r w:rsidR="00671BF5">
              <w:rPr>
                <w:webHidden/>
              </w:rPr>
              <w:instrText xml:space="preserve"> PAGEREF _Toc418179975 \h </w:instrText>
            </w:r>
            <w:r w:rsidR="00671BF5">
              <w:rPr>
                <w:webHidden/>
              </w:rPr>
            </w:r>
            <w:r w:rsidR="00671BF5">
              <w:rPr>
                <w:webHidden/>
              </w:rPr>
              <w:fldChar w:fldCharType="separate"/>
            </w:r>
            <w:r w:rsidR="00B909E6">
              <w:rPr>
                <w:webHidden/>
              </w:rPr>
              <w:t>189</w:t>
            </w:r>
            <w:r w:rsidR="00671BF5">
              <w:rPr>
                <w:webHidden/>
              </w:rPr>
              <w:fldChar w:fldCharType="end"/>
            </w:r>
          </w:hyperlink>
        </w:p>
        <w:p w14:paraId="41062FBA" w14:textId="54FD7073" w:rsidR="00671BF5" w:rsidRDefault="00447183">
          <w:pPr>
            <w:pStyle w:val="TOC1"/>
            <w:rPr>
              <w:rFonts w:asciiTheme="minorHAnsi" w:eastAsiaTheme="minorEastAsia" w:hAnsiTheme="minorHAnsi" w:cstheme="minorBidi"/>
              <w:b w:val="0"/>
            </w:rPr>
          </w:pPr>
          <w:hyperlink w:anchor="_Toc418179976" w:history="1">
            <w:r w:rsidR="00671BF5" w:rsidRPr="00E62000">
              <w:rPr>
                <w:rStyle w:val="Hyperlink"/>
              </w:rPr>
              <w:t>Appendix G</w:t>
            </w:r>
            <w:r w:rsidR="00671BF5">
              <w:rPr>
                <w:rFonts w:asciiTheme="minorHAnsi" w:eastAsiaTheme="minorEastAsia" w:hAnsiTheme="minorHAnsi" w:cstheme="minorBidi"/>
                <w:b w:val="0"/>
              </w:rPr>
              <w:tab/>
            </w:r>
            <w:r w:rsidR="00DA34D1">
              <w:rPr>
                <w:rStyle w:val="Hyperlink"/>
              </w:rPr>
              <w:t>L</w:t>
            </w:r>
            <w:r w:rsidR="00671BF5" w:rsidRPr="00E62000">
              <w:rPr>
                <w:rStyle w:val="Hyperlink"/>
              </w:rPr>
              <w:t xml:space="preserve">iterature </w:t>
            </w:r>
            <w:r w:rsidR="00DA34D1">
              <w:rPr>
                <w:rStyle w:val="Hyperlink"/>
              </w:rPr>
              <w:t>S</w:t>
            </w:r>
            <w:r w:rsidR="00671BF5" w:rsidRPr="00E62000">
              <w:rPr>
                <w:rStyle w:val="Hyperlink"/>
              </w:rPr>
              <w:t xml:space="preserve">earch for Economic </w:t>
            </w:r>
            <w:r w:rsidR="00DA34D1">
              <w:rPr>
                <w:rStyle w:val="Hyperlink"/>
              </w:rPr>
              <w:t>S</w:t>
            </w:r>
            <w:r w:rsidR="00671BF5" w:rsidRPr="00E62000">
              <w:rPr>
                <w:rStyle w:val="Hyperlink"/>
              </w:rPr>
              <w:t>tudies</w:t>
            </w:r>
            <w:r w:rsidR="00671BF5">
              <w:rPr>
                <w:webHidden/>
              </w:rPr>
              <w:tab/>
            </w:r>
            <w:r w:rsidR="00671BF5">
              <w:rPr>
                <w:webHidden/>
              </w:rPr>
              <w:fldChar w:fldCharType="begin"/>
            </w:r>
            <w:r w:rsidR="00671BF5">
              <w:rPr>
                <w:webHidden/>
              </w:rPr>
              <w:instrText xml:space="preserve"> PAGEREF _Toc418179976 \h </w:instrText>
            </w:r>
            <w:r w:rsidR="00671BF5">
              <w:rPr>
                <w:webHidden/>
              </w:rPr>
            </w:r>
            <w:r w:rsidR="00671BF5">
              <w:rPr>
                <w:webHidden/>
              </w:rPr>
              <w:fldChar w:fldCharType="separate"/>
            </w:r>
            <w:r w:rsidR="00B909E6">
              <w:rPr>
                <w:webHidden/>
              </w:rPr>
              <w:t>191</w:t>
            </w:r>
            <w:r w:rsidR="00671BF5">
              <w:rPr>
                <w:webHidden/>
              </w:rPr>
              <w:fldChar w:fldCharType="end"/>
            </w:r>
          </w:hyperlink>
        </w:p>
        <w:p w14:paraId="2561CA77" w14:textId="77777777" w:rsidR="00671BF5" w:rsidRDefault="00447183">
          <w:pPr>
            <w:pStyle w:val="TOC2"/>
            <w:rPr>
              <w:rFonts w:asciiTheme="minorHAnsi" w:eastAsiaTheme="minorEastAsia" w:hAnsiTheme="minorHAnsi" w:cstheme="minorBidi"/>
            </w:rPr>
          </w:pPr>
          <w:hyperlink w:anchor="_Toc418179977" w:history="1">
            <w:r w:rsidR="00671BF5" w:rsidRPr="00E62000">
              <w:rPr>
                <w:rStyle w:val="Hyperlink"/>
              </w:rPr>
              <w:t>Literature search for incidence of CF in fetuses with echogenic bowel</w:t>
            </w:r>
            <w:r w:rsidR="00671BF5">
              <w:rPr>
                <w:webHidden/>
              </w:rPr>
              <w:tab/>
            </w:r>
            <w:r w:rsidR="00671BF5">
              <w:rPr>
                <w:webHidden/>
              </w:rPr>
              <w:fldChar w:fldCharType="begin"/>
            </w:r>
            <w:r w:rsidR="00671BF5">
              <w:rPr>
                <w:webHidden/>
              </w:rPr>
              <w:instrText xml:space="preserve"> PAGEREF _Toc418179977 \h </w:instrText>
            </w:r>
            <w:r w:rsidR="00671BF5">
              <w:rPr>
                <w:webHidden/>
              </w:rPr>
            </w:r>
            <w:r w:rsidR="00671BF5">
              <w:rPr>
                <w:webHidden/>
              </w:rPr>
              <w:fldChar w:fldCharType="separate"/>
            </w:r>
            <w:r w:rsidR="00B909E6">
              <w:rPr>
                <w:webHidden/>
              </w:rPr>
              <w:t>191</w:t>
            </w:r>
            <w:r w:rsidR="00671BF5">
              <w:rPr>
                <w:webHidden/>
              </w:rPr>
              <w:fldChar w:fldCharType="end"/>
            </w:r>
          </w:hyperlink>
        </w:p>
        <w:p w14:paraId="33A0ED2E" w14:textId="08406BCC" w:rsidR="00671BF5" w:rsidRDefault="00447183">
          <w:pPr>
            <w:pStyle w:val="TOC2"/>
            <w:rPr>
              <w:rFonts w:asciiTheme="minorHAnsi" w:eastAsiaTheme="minorEastAsia" w:hAnsiTheme="minorHAnsi" w:cstheme="minorBidi"/>
            </w:rPr>
          </w:pPr>
          <w:hyperlink w:anchor="_Toc418179978" w:history="1">
            <w:r w:rsidR="00671BF5" w:rsidRPr="00E62000">
              <w:rPr>
                <w:rStyle w:val="Hyperlink"/>
              </w:rPr>
              <w:t>Literature search for previously published economic evaluations of prenatal CF diagnosis</w:t>
            </w:r>
            <w:r w:rsidR="00AF7784">
              <w:rPr>
                <w:rStyle w:val="Hyperlink"/>
              </w:rPr>
              <w:tab/>
            </w:r>
            <w:r w:rsidR="00671BF5">
              <w:rPr>
                <w:webHidden/>
              </w:rPr>
              <w:tab/>
            </w:r>
            <w:r w:rsidR="00671BF5">
              <w:rPr>
                <w:webHidden/>
              </w:rPr>
              <w:fldChar w:fldCharType="begin"/>
            </w:r>
            <w:r w:rsidR="00671BF5">
              <w:rPr>
                <w:webHidden/>
              </w:rPr>
              <w:instrText xml:space="preserve"> PAGEREF _Toc418179978 \h </w:instrText>
            </w:r>
            <w:r w:rsidR="00671BF5">
              <w:rPr>
                <w:webHidden/>
              </w:rPr>
            </w:r>
            <w:r w:rsidR="00671BF5">
              <w:rPr>
                <w:webHidden/>
              </w:rPr>
              <w:fldChar w:fldCharType="separate"/>
            </w:r>
            <w:r w:rsidR="00B909E6">
              <w:rPr>
                <w:webHidden/>
              </w:rPr>
              <w:t>191</w:t>
            </w:r>
            <w:r w:rsidR="00671BF5">
              <w:rPr>
                <w:webHidden/>
              </w:rPr>
              <w:fldChar w:fldCharType="end"/>
            </w:r>
          </w:hyperlink>
        </w:p>
        <w:p w14:paraId="3FB7CF29" w14:textId="5324FB39" w:rsidR="00671BF5" w:rsidRDefault="00447183">
          <w:pPr>
            <w:pStyle w:val="TOC2"/>
            <w:rPr>
              <w:rFonts w:asciiTheme="minorHAnsi" w:eastAsiaTheme="minorEastAsia" w:hAnsiTheme="minorHAnsi" w:cstheme="minorBidi"/>
            </w:rPr>
          </w:pPr>
          <w:hyperlink w:anchor="_Toc418179979" w:history="1">
            <w:r w:rsidR="00671BF5" w:rsidRPr="00E62000">
              <w:rPr>
                <w:rStyle w:val="Hyperlink"/>
              </w:rPr>
              <w:t xml:space="preserve">Literature search for previously published economic evaluations </w:t>
            </w:r>
            <w:r w:rsidR="0093182B">
              <w:rPr>
                <w:rStyle w:val="Hyperlink"/>
              </w:rPr>
              <w:t>of</w:t>
            </w:r>
            <w:r w:rsidR="00671BF5" w:rsidRPr="00E62000">
              <w:rPr>
                <w:rStyle w:val="Hyperlink"/>
              </w:rPr>
              <w:t xml:space="preserve"> fetus</w:t>
            </w:r>
            <w:r w:rsidR="0093182B">
              <w:rPr>
                <w:rStyle w:val="Hyperlink"/>
              </w:rPr>
              <w:t>us</w:t>
            </w:r>
            <w:r w:rsidR="00671BF5" w:rsidRPr="00E62000">
              <w:rPr>
                <w:rStyle w:val="Hyperlink"/>
              </w:rPr>
              <w:t xml:space="preserve"> showing echogenic bowel on the second</w:t>
            </w:r>
            <w:r w:rsidR="00CA6661">
              <w:rPr>
                <w:rStyle w:val="Hyperlink"/>
              </w:rPr>
              <w:t>-</w:t>
            </w:r>
            <w:r w:rsidR="00671BF5" w:rsidRPr="00E62000">
              <w:rPr>
                <w:rStyle w:val="Hyperlink"/>
              </w:rPr>
              <w:t>trimester ultrasound</w:t>
            </w:r>
            <w:r w:rsidR="00671BF5">
              <w:rPr>
                <w:webHidden/>
              </w:rPr>
              <w:tab/>
            </w:r>
            <w:r w:rsidR="00671BF5">
              <w:rPr>
                <w:webHidden/>
              </w:rPr>
              <w:fldChar w:fldCharType="begin"/>
            </w:r>
            <w:r w:rsidR="00671BF5">
              <w:rPr>
                <w:webHidden/>
              </w:rPr>
              <w:instrText xml:space="preserve"> PAGEREF _Toc418179979 \h </w:instrText>
            </w:r>
            <w:r w:rsidR="00671BF5">
              <w:rPr>
                <w:webHidden/>
              </w:rPr>
            </w:r>
            <w:r w:rsidR="00671BF5">
              <w:rPr>
                <w:webHidden/>
              </w:rPr>
              <w:fldChar w:fldCharType="separate"/>
            </w:r>
            <w:r w:rsidR="00B909E6">
              <w:rPr>
                <w:webHidden/>
              </w:rPr>
              <w:t>192</w:t>
            </w:r>
            <w:r w:rsidR="00671BF5">
              <w:rPr>
                <w:webHidden/>
              </w:rPr>
              <w:fldChar w:fldCharType="end"/>
            </w:r>
          </w:hyperlink>
        </w:p>
        <w:p w14:paraId="09931C62" w14:textId="3D2865D9" w:rsidR="00671BF5" w:rsidRDefault="00447183">
          <w:pPr>
            <w:pStyle w:val="TOC1"/>
            <w:rPr>
              <w:rFonts w:asciiTheme="minorHAnsi" w:eastAsiaTheme="minorEastAsia" w:hAnsiTheme="minorHAnsi" w:cstheme="minorBidi"/>
              <w:b w:val="0"/>
            </w:rPr>
          </w:pPr>
          <w:hyperlink w:anchor="_Toc418179980" w:history="1">
            <w:r w:rsidR="00671BF5" w:rsidRPr="00E62000">
              <w:rPr>
                <w:rStyle w:val="Hyperlink"/>
              </w:rPr>
              <w:t>Appendix H</w:t>
            </w:r>
            <w:r w:rsidR="00671BF5">
              <w:rPr>
                <w:rFonts w:asciiTheme="minorHAnsi" w:eastAsiaTheme="minorEastAsia" w:hAnsiTheme="minorHAnsi" w:cstheme="minorBidi"/>
                <w:b w:val="0"/>
              </w:rPr>
              <w:tab/>
            </w:r>
            <w:r w:rsidR="00671BF5" w:rsidRPr="00E62000">
              <w:rPr>
                <w:rStyle w:val="Hyperlink"/>
              </w:rPr>
              <w:t xml:space="preserve">Economic </w:t>
            </w:r>
            <w:r w:rsidR="007957B7">
              <w:rPr>
                <w:rStyle w:val="Hyperlink"/>
              </w:rPr>
              <w:t>S</w:t>
            </w:r>
            <w:r w:rsidR="00671BF5" w:rsidRPr="00E62000">
              <w:rPr>
                <w:rStyle w:val="Hyperlink"/>
              </w:rPr>
              <w:t xml:space="preserve">tudies </w:t>
            </w:r>
            <w:r w:rsidR="007957B7">
              <w:rPr>
                <w:rStyle w:val="Hyperlink"/>
              </w:rPr>
              <w:t>C</w:t>
            </w:r>
            <w:r w:rsidR="00671BF5" w:rsidRPr="00E62000">
              <w:rPr>
                <w:rStyle w:val="Hyperlink"/>
              </w:rPr>
              <w:t xml:space="preserve">onducted in Australian </w:t>
            </w:r>
            <w:r w:rsidR="007957B7">
              <w:rPr>
                <w:rStyle w:val="Hyperlink"/>
              </w:rPr>
              <w:t>S</w:t>
            </w:r>
            <w:r w:rsidR="00671BF5" w:rsidRPr="00E62000">
              <w:rPr>
                <w:rStyle w:val="Hyperlink"/>
              </w:rPr>
              <w:t>etting</w:t>
            </w:r>
            <w:r w:rsidR="00671BF5">
              <w:rPr>
                <w:webHidden/>
              </w:rPr>
              <w:tab/>
            </w:r>
            <w:r w:rsidR="00671BF5">
              <w:rPr>
                <w:webHidden/>
              </w:rPr>
              <w:fldChar w:fldCharType="begin"/>
            </w:r>
            <w:r w:rsidR="00671BF5">
              <w:rPr>
                <w:webHidden/>
              </w:rPr>
              <w:instrText xml:space="preserve"> PAGEREF _Toc418179980 \h </w:instrText>
            </w:r>
            <w:r w:rsidR="00671BF5">
              <w:rPr>
                <w:webHidden/>
              </w:rPr>
            </w:r>
            <w:r w:rsidR="00671BF5">
              <w:rPr>
                <w:webHidden/>
              </w:rPr>
              <w:fldChar w:fldCharType="separate"/>
            </w:r>
            <w:r w:rsidR="00B909E6">
              <w:rPr>
                <w:webHidden/>
              </w:rPr>
              <w:t>193</w:t>
            </w:r>
            <w:r w:rsidR="00671BF5">
              <w:rPr>
                <w:webHidden/>
              </w:rPr>
              <w:fldChar w:fldCharType="end"/>
            </w:r>
          </w:hyperlink>
        </w:p>
        <w:p w14:paraId="6BB48FD3" w14:textId="667CA692" w:rsidR="00671BF5" w:rsidRDefault="00447183">
          <w:pPr>
            <w:pStyle w:val="TOC1"/>
            <w:rPr>
              <w:rFonts w:asciiTheme="minorHAnsi" w:eastAsiaTheme="minorEastAsia" w:hAnsiTheme="minorHAnsi" w:cstheme="minorBidi"/>
              <w:b w:val="0"/>
            </w:rPr>
          </w:pPr>
          <w:hyperlink w:anchor="_Toc418179981" w:history="1">
            <w:r w:rsidR="00671BF5" w:rsidRPr="00E62000">
              <w:rPr>
                <w:rStyle w:val="Hyperlink"/>
              </w:rPr>
              <w:t>Appendix I</w:t>
            </w:r>
            <w:r w:rsidR="00671BF5">
              <w:rPr>
                <w:rFonts w:asciiTheme="minorHAnsi" w:eastAsiaTheme="minorEastAsia" w:hAnsiTheme="minorHAnsi" w:cstheme="minorBidi"/>
                <w:b w:val="0"/>
              </w:rPr>
              <w:tab/>
            </w:r>
            <w:r w:rsidR="00671BF5" w:rsidRPr="00E62000">
              <w:rPr>
                <w:rStyle w:val="Hyperlink"/>
              </w:rPr>
              <w:t xml:space="preserve">Cost of CFTR </w:t>
            </w:r>
            <w:r w:rsidR="007957B7">
              <w:rPr>
                <w:rStyle w:val="Hyperlink"/>
              </w:rPr>
              <w:t>G</w:t>
            </w:r>
            <w:r w:rsidR="00671BF5" w:rsidRPr="00E62000">
              <w:rPr>
                <w:rStyle w:val="Hyperlink"/>
              </w:rPr>
              <w:t xml:space="preserve">enetic </w:t>
            </w:r>
            <w:r w:rsidR="007957B7">
              <w:rPr>
                <w:rStyle w:val="Hyperlink"/>
              </w:rPr>
              <w:t>T</w:t>
            </w:r>
            <w:r w:rsidR="00671BF5" w:rsidRPr="00E62000">
              <w:rPr>
                <w:rStyle w:val="Hyperlink"/>
              </w:rPr>
              <w:t>esting in Australia</w:t>
            </w:r>
            <w:r w:rsidR="00671BF5">
              <w:rPr>
                <w:webHidden/>
              </w:rPr>
              <w:tab/>
            </w:r>
            <w:r w:rsidR="00671BF5">
              <w:rPr>
                <w:webHidden/>
              </w:rPr>
              <w:fldChar w:fldCharType="begin"/>
            </w:r>
            <w:r w:rsidR="00671BF5">
              <w:rPr>
                <w:webHidden/>
              </w:rPr>
              <w:instrText xml:space="preserve"> PAGEREF _Toc418179981 \h </w:instrText>
            </w:r>
            <w:r w:rsidR="00671BF5">
              <w:rPr>
                <w:webHidden/>
              </w:rPr>
            </w:r>
            <w:r w:rsidR="00671BF5">
              <w:rPr>
                <w:webHidden/>
              </w:rPr>
              <w:fldChar w:fldCharType="separate"/>
            </w:r>
            <w:r w:rsidR="00B909E6">
              <w:rPr>
                <w:webHidden/>
              </w:rPr>
              <w:t>194</w:t>
            </w:r>
            <w:r w:rsidR="00671BF5">
              <w:rPr>
                <w:webHidden/>
              </w:rPr>
              <w:fldChar w:fldCharType="end"/>
            </w:r>
          </w:hyperlink>
        </w:p>
        <w:p w14:paraId="08FE82A6" w14:textId="2C1D5F26" w:rsidR="00671BF5" w:rsidRDefault="00447183">
          <w:pPr>
            <w:pStyle w:val="TOC1"/>
            <w:rPr>
              <w:rFonts w:asciiTheme="minorHAnsi" w:eastAsiaTheme="minorEastAsia" w:hAnsiTheme="minorHAnsi" w:cstheme="minorBidi"/>
              <w:b w:val="0"/>
            </w:rPr>
          </w:pPr>
          <w:hyperlink w:anchor="_Toc418179982" w:history="1">
            <w:r w:rsidR="00671BF5" w:rsidRPr="00E62000">
              <w:rPr>
                <w:rStyle w:val="Hyperlink"/>
              </w:rPr>
              <w:t>Appendix J</w:t>
            </w:r>
            <w:r w:rsidR="00671BF5">
              <w:rPr>
                <w:rFonts w:asciiTheme="minorHAnsi" w:eastAsiaTheme="minorEastAsia" w:hAnsiTheme="minorHAnsi" w:cstheme="minorBidi"/>
                <w:b w:val="0"/>
              </w:rPr>
              <w:tab/>
            </w:r>
            <w:r w:rsidR="00671BF5" w:rsidRPr="00E62000">
              <w:rPr>
                <w:rStyle w:val="Hyperlink"/>
              </w:rPr>
              <w:t xml:space="preserve">Additional </w:t>
            </w:r>
            <w:r w:rsidR="007957B7">
              <w:rPr>
                <w:rStyle w:val="Hyperlink"/>
              </w:rPr>
              <w:t>I</w:t>
            </w:r>
            <w:r w:rsidR="00671BF5" w:rsidRPr="00E62000">
              <w:rPr>
                <w:rStyle w:val="Hyperlink"/>
              </w:rPr>
              <w:t xml:space="preserve">nformation </w:t>
            </w:r>
            <w:r w:rsidR="007957B7">
              <w:rPr>
                <w:rStyle w:val="Hyperlink"/>
              </w:rPr>
              <w:t>R</w:t>
            </w:r>
            <w:r w:rsidR="00671BF5" w:rsidRPr="00E62000">
              <w:rPr>
                <w:rStyle w:val="Hyperlink"/>
              </w:rPr>
              <w:t xml:space="preserve">elating to the </w:t>
            </w:r>
            <w:r w:rsidR="007957B7">
              <w:rPr>
                <w:rStyle w:val="Hyperlink"/>
              </w:rPr>
              <w:t>E</w:t>
            </w:r>
            <w:r w:rsidR="00671BF5" w:rsidRPr="00E62000">
              <w:rPr>
                <w:rStyle w:val="Hyperlink"/>
              </w:rPr>
              <w:t xml:space="preserve">conomic </w:t>
            </w:r>
            <w:r w:rsidR="007957B7">
              <w:rPr>
                <w:rStyle w:val="Hyperlink"/>
              </w:rPr>
              <w:t>E</w:t>
            </w:r>
            <w:r w:rsidR="00671BF5" w:rsidRPr="00E62000">
              <w:rPr>
                <w:rStyle w:val="Hyperlink"/>
              </w:rPr>
              <w:t>valuation</w:t>
            </w:r>
            <w:r w:rsidR="00671BF5">
              <w:rPr>
                <w:webHidden/>
              </w:rPr>
              <w:tab/>
            </w:r>
            <w:r w:rsidR="00671BF5">
              <w:rPr>
                <w:webHidden/>
              </w:rPr>
              <w:fldChar w:fldCharType="begin"/>
            </w:r>
            <w:r w:rsidR="00671BF5">
              <w:rPr>
                <w:webHidden/>
              </w:rPr>
              <w:instrText xml:space="preserve"> PAGEREF _Toc418179982 \h </w:instrText>
            </w:r>
            <w:r w:rsidR="00671BF5">
              <w:rPr>
                <w:webHidden/>
              </w:rPr>
            </w:r>
            <w:r w:rsidR="00671BF5">
              <w:rPr>
                <w:webHidden/>
              </w:rPr>
              <w:fldChar w:fldCharType="separate"/>
            </w:r>
            <w:r w:rsidR="00B909E6">
              <w:rPr>
                <w:webHidden/>
              </w:rPr>
              <w:t>195</w:t>
            </w:r>
            <w:r w:rsidR="00671BF5">
              <w:rPr>
                <w:webHidden/>
              </w:rPr>
              <w:fldChar w:fldCharType="end"/>
            </w:r>
          </w:hyperlink>
        </w:p>
        <w:p w14:paraId="26E6CA7C" w14:textId="7DD80F2A" w:rsidR="00671BF5" w:rsidRDefault="00447183">
          <w:pPr>
            <w:pStyle w:val="TOC2"/>
            <w:rPr>
              <w:rFonts w:asciiTheme="minorHAnsi" w:eastAsiaTheme="minorEastAsia" w:hAnsiTheme="minorHAnsi" w:cstheme="minorBidi"/>
            </w:rPr>
          </w:pPr>
          <w:hyperlink w:anchor="_Toc418179983" w:history="1">
            <w:r w:rsidR="00671BF5" w:rsidRPr="00E62000">
              <w:rPr>
                <w:rStyle w:val="Hyperlink"/>
              </w:rPr>
              <w:t xml:space="preserve">Derivation of </w:t>
            </w:r>
            <w:r w:rsidR="00456C00">
              <w:rPr>
                <w:rStyle w:val="Hyperlink"/>
              </w:rPr>
              <w:t>m</w:t>
            </w:r>
            <w:r w:rsidR="00671BF5" w:rsidRPr="00E62000">
              <w:rPr>
                <w:rStyle w:val="Hyperlink"/>
              </w:rPr>
              <w:t>odel probabilities</w:t>
            </w:r>
            <w:r w:rsidR="00671BF5">
              <w:rPr>
                <w:webHidden/>
              </w:rPr>
              <w:tab/>
            </w:r>
            <w:r w:rsidR="00671BF5">
              <w:rPr>
                <w:webHidden/>
              </w:rPr>
              <w:fldChar w:fldCharType="begin"/>
            </w:r>
            <w:r w:rsidR="00671BF5">
              <w:rPr>
                <w:webHidden/>
              </w:rPr>
              <w:instrText xml:space="preserve"> PAGEREF _Toc418179983 \h </w:instrText>
            </w:r>
            <w:r w:rsidR="00671BF5">
              <w:rPr>
                <w:webHidden/>
              </w:rPr>
            </w:r>
            <w:r w:rsidR="00671BF5">
              <w:rPr>
                <w:webHidden/>
              </w:rPr>
              <w:fldChar w:fldCharType="separate"/>
            </w:r>
            <w:r w:rsidR="00B909E6">
              <w:rPr>
                <w:webHidden/>
              </w:rPr>
              <w:t>195</w:t>
            </w:r>
            <w:r w:rsidR="00671BF5">
              <w:rPr>
                <w:webHidden/>
              </w:rPr>
              <w:fldChar w:fldCharType="end"/>
            </w:r>
          </w:hyperlink>
        </w:p>
        <w:p w14:paraId="7EF2C904" w14:textId="77777777" w:rsidR="00671BF5" w:rsidRDefault="00447183">
          <w:pPr>
            <w:pStyle w:val="TOC2"/>
            <w:rPr>
              <w:rFonts w:asciiTheme="minorHAnsi" w:eastAsiaTheme="minorEastAsia" w:hAnsiTheme="minorHAnsi" w:cstheme="minorBidi"/>
            </w:rPr>
          </w:pPr>
          <w:hyperlink w:anchor="_Toc418179984" w:history="1">
            <w:r w:rsidR="00671BF5" w:rsidRPr="00E62000">
              <w:rPr>
                <w:rStyle w:val="Hyperlink"/>
              </w:rPr>
              <w:t>Results of the economic evaluation</w:t>
            </w:r>
            <w:r w:rsidR="00671BF5">
              <w:rPr>
                <w:webHidden/>
              </w:rPr>
              <w:tab/>
            </w:r>
            <w:r w:rsidR="00671BF5">
              <w:rPr>
                <w:webHidden/>
              </w:rPr>
              <w:fldChar w:fldCharType="begin"/>
            </w:r>
            <w:r w:rsidR="00671BF5">
              <w:rPr>
                <w:webHidden/>
              </w:rPr>
              <w:instrText xml:space="preserve"> PAGEREF _Toc418179984 \h </w:instrText>
            </w:r>
            <w:r w:rsidR="00671BF5">
              <w:rPr>
                <w:webHidden/>
              </w:rPr>
            </w:r>
            <w:r w:rsidR="00671BF5">
              <w:rPr>
                <w:webHidden/>
              </w:rPr>
              <w:fldChar w:fldCharType="separate"/>
            </w:r>
            <w:r w:rsidR="00B909E6">
              <w:rPr>
                <w:webHidden/>
              </w:rPr>
              <w:t>195</w:t>
            </w:r>
            <w:r w:rsidR="00671BF5">
              <w:rPr>
                <w:webHidden/>
              </w:rPr>
              <w:fldChar w:fldCharType="end"/>
            </w:r>
          </w:hyperlink>
        </w:p>
        <w:p w14:paraId="431693B7" w14:textId="77777777" w:rsidR="00671BF5" w:rsidRDefault="00447183">
          <w:pPr>
            <w:pStyle w:val="TOC2"/>
            <w:rPr>
              <w:rFonts w:asciiTheme="minorHAnsi" w:eastAsiaTheme="minorEastAsia" w:hAnsiTheme="minorHAnsi" w:cstheme="minorBidi"/>
            </w:rPr>
          </w:pPr>
          <w:hyperlink w:anchor="_Toc418179985" w:history="1">
            <w:r w:rsidR="00671BF5" w:rsidRPr="00E62000">
              <w:rPr>
                <w:rStyle w:val="Hyperlink"/>
              </w:rPr>
              <w:t>Additional scenarios</w:t>
            </w:r>
            <w:r w:rsidR="00671BF5">
              <w:rPr>
                <w:webHidden/>
              </w:rPr>
              <w:tab/>
            </w:r>
            <w:r w:rsidR="00671BF5">
              <w:rPr>
                <w:webHidden/>
              </w:rPr>
              <w:fldChar w:fldCharType="begin"/>
            </w:r>
            <w:r w:rsidR="00671BF5">
              <w:rPr>
                <w:webHidden/>
              </w:rPr>
              <w:instrText xml:space="preserve"> PAGEREF _Toc418179985 \h </w:instrText>
            </w:r>
            <w:r w:rsidR="00671BF5">
              <w:rPr>
                <w:webHidden/>
              </w:rPr>
            </w:r>
            <w:r w:rsidR="00671BF5">
              <w:rPr>
                <w:webHidden/>
              </w:rPr>
              <w:fldChar w:fldCharType="separate"/>
            </w:r>
            <w:r w:rsidR="00B909E6">
              <w:rPr>
                <w:webHidden/>
              </w:rPr>
              <w:t>198</w:t>
            </w:r>
            <w:r w:rsidR="00671BF5">
              <w:rPr>
                <w:webHidden/>
              </w:rPr>
              <w:fldChar w:fldCharType="end"/>
            </w:r>
          </w:hyperlink>
        </w:p>
        <w:p w14:paraId="542DB7A9" w14:textId="64CAC0B5" w:rsidR="00671BF5" w:rsidRDefault="00447183" w:rsidP="006B53D2">
          <w:pPr>
            <w:pStyle w:val="TOC3"/>
            <w:rPr>
              <w:rFonts w:asciiTheme="minorHAnsi" w:eastAsiaTheme="minorEastAsia" w:hAnsiTheme="minorHAnsi" w:cstheme="minorBidi"/>
            </w:rPr>
          </w:pPr>
          <w:hyperlink w:anchor="_Toc418179986" w:history="1">
            <w:r w:rsidR="00671BF5" w:rsidRPr="00E62000">
              <w:rPr>
                <w:rStyle w:val="Hyperlink"/>
              </w:rPr>
              <w:t xml:space="preserve">Additional </w:t>
            </w:r>
            <w:r w:rsidR="00CB4D37">
              <w:rPr>
                <w:rStyle w:val="Hyperlink"/>
              </w:rPr>
              <w:t>s</w:t>
            </w:r>
            <w:r w:rsidR="00671BF5" w:rsidRPr="00E62000">
              <w:rPr>
                <w:rStyle w:val="Hyperlink"/>
              </w:rPr>
              <w:t>cenario 1: 17 mutations panel test</w:t>
            </w:r>
            <w:r w:rsidR="00671BF5">
              <w:rPr>
                <w:webHidden/>
              </w:rPr>
              <w:tab/>
            </w:r>
            <w:r w:rsidR="00671BF5">
              <w:rPr>
                <w:webHidden/>
              </w:rPr>
              <w:fldChar w:fldCharType="begin"/>
            </w:r>
            <w:r w:rsidR="00671BF5">
              <w:rPr>
                <w:webHidden/>
              </w:rPr>
              <w:instrText xml:space="preserve"> PAGEREF _Toc418179986 \h </w:instrText>
            </w:r>
            <w:r w:rsidR="00671BF5">
              <w:rPr>
                <w:webHidden/>
              </w:rPr>
            </w:r>
            <w:r w:rsidR="00671BF5">
              <w:rPr>
                <w:webHidden/>
              </w:rPr>
              <w:fldChar w:fldCharType="separate"/>
            </w:r>
            <w:r w:rsidR="00B909E6">
              <w:rPr>
                <w:webHidden/>
              </w:rPr>
              <w:t>198</w:t>
            </w:r>
            <w:r w:rsidR="00671BF5">
              <w:rPr>
                <w:webHidden/>
              </w:rPr>
              <w:fldChar w:fldCharType="end"/>
            </w:r>
          </w:hyperlink>
        </w:p>
        <w:p w14:paraId="78EBA29C" w14:textId="514FC2BC" w:rsidR="00671BF5" w:rsidRDefault="00447183" w:rsidP="006B53D2">
          <w:pPr>
            <w:pStyle w:val="TOC3"/>
            <w:rPr>
              <w:rFonts w:asciiTheme="minorHAnsi" w:eastAsiaTheme="minorEastAsia" w:hAnsiTheme="minorHAnsi" w:cstheme="minorBidi"/>
            </w:rPr>
          </w:pPr>
          <w:hyperlink w:anchor="_Toc418179987" w:history="1">
            <w:r w:rsidR="00671BF5" w:rsidRPr="00E62000">
              <w:rPr>
                <w:rStyle w:val="Hyperlink"/>
              </w:rPr>
              <w:t xml:space="preserve">Additional </w:t>
            </w:r>
            <w:r w:rsidR="00CB4D37">
              <w:rPr>
                <w:rStyle w:val="Hyperlink"/>
              </w:rPr>
              <w:t>s</w:t>
            </w:r>
            <w:r w:rsidR="00671BF5" w:rsidRPr="00E62000">
              <w:rPr>
                <w:rStyle w:val="Hyperlink"/>
              </w:rPr>
              <w:t>cenario 2: 23 mutations panel test</w:t>
            </w:r>
            <w:r w:rsidR="00671BF5">
              <w:rPr>
                <w:webHidden/>
              </w:rPr>
              <w:tab/>
            </w:r>
            <w:r w:rsidR="00671BF5">
              <w:rPr>
                <w:webHidden/>
              </w:rPr>
              <w:fldChar w:fldCharType="begin"/>
            </w:r>
            <w:r w:rsidR="00671BF5">
              <w:rPr>
                <w:webHidden/>
              </w:rPr>
              <w:instrText xml:space="preserve"> PAGEREF _Toc418179987 \h </w:instrText>
            </w:r>
            <w:r w:rsidR="00671BF5">
              <w:rPr>
                <w:webHidden/>
              </w:rPr>
            </w:r>
            <w:r w:rsidR="00671BF5">
              <w:rPr>
                <w:webHidden/>
              </w:rPr>
              <w:fldChar w:fldCharType="separate"/>
            </w:r>
            <w:r w:rsidR="00B909E6">
              <w:rPr>
                <w:webHidden/>
              </w:rPr>
              <w:t>199</w:t>
            </w:r>
            <w:r w:rsidR="00671BF5">
              <w:rPr>
                <w:webHidden/>
              </w:rPr>
              <w:fldChar w:fldCharType="end"/>
            </w:r>
          </w:hyperlink>
        </w:p>
        <w:p w14:paraId="02CA412C" w14:textId="7BEE7E1C" w:rsidR="00671BF5" w:rsidRDefault="00447183" w:rsidP="006B53D2">
          <w:pPr>
            <w:pStyle w:val="TOC3"/>
            <w:rPr>
              <w:rFonts w:asciiTheme="minorHAnsi" w:eastAsiaTheme="minorEastAsia" w:hAnsiTheme="minorHAnsi" w:cstheme="minorBidi"/>
            </w:rPr>
          </w:pPr>
          <w:hyperlink w:anchor="_Toc418179988" w:history="1">
            <w:r w:rsidR="00671BF5" w:rsidRPr="00E62000">
              <w:rPr>
                <w:rStyle w:val="Hyperlink"/>
              </w:rPr>
              <w:t xml:space="preserve">Additional </w:t>
            </w:r>
            <w:r w:rsidR="00CB4D37">
              <w:rPr>
                <w:rStyle w:val="Hyperlink"/>
              </w:rPr>
              <w:t>s</w:t>
            </w:r>
            <w:r w:rsidR="00671BF5" w:rsidRPr="00E62000">
              <w:rPr>
                <w:rStyle w:val="Hyperlink"/>
              </w:rPr>
              <w:t>cenario 3: 32 mutations panel test</w:t>
            </w:r>
            <w:r w:rsidR="00671BF5">
              <w:rPr>
                <w:webHidden/>
              </w:rPr>
              <w:tab/>
            </w:r>
            <w:r w:rsidR="00671BF5">
              <w:rPr>
                <w:webHidden/>
              </w:rPr>
              <w:fldChar w:fldCharType="begin"/>
            </w:r>
            <w:r w:rsidR="00671BF5">
              <w:rPr>
                <w:webHidden/>
              </w:rPr>
              <w:instrText xml:space="preserve"> PAGEREF _Toc418179988 \h </w:instrText>
            </w:r>
            <w:r w:rsidR="00671BF5">
              <w:rPr>
                <w:webHidden/>
              </w:rPr>
            </w:r>
            <w:r w:rsidR="00671BF5">
              <w:rPr>
                <w:webHidden/>
              </w:rPr>
              <w:fldChar w:fldCharType="separate"/>
            </w:r>
            <w:r w:rsidR="00B909E6">
              <w:rPr>
                <w:webHidden/>
              </w:rPr>
              <w:t>200</w:t>
            </w:r>
            <w:r w:rsidR="00671BF5">
              <w:rPr>
                <w:webHidden/>
              </w:rPr>
              <w:fldChar w:fldCharType="end"/>
            </w:r>
          </w:hyperlink>
        </w:p>
        <w:p w14:paraId="2432EA43" w14:textId="0768F3E2" w:rsidR="00671BF5" w:rsidRDefault="00447183">
          <w:pPr>
            <w:pStyle w:val="TOC1"/>
            <w:rPr>
              <w:rFonts w:asciiTheme="minorHAnsi" w:eastAsiaTheme="minorEastAsia" w:hAnsiTheme="minorHAnsi" w:cstheme="minorBidi"/>
              <w:b w:val="0"/>
            </w:rPr>
          </w:pPr>
          <w:hyperlink w:anchor="_Toc418179989" w:history="1">
            <w:r w:rsidR="00671BF5" w:rsidRPr="00E62000">
              <w:rPr>
                <w:rStyle w:val="Hyperlink"/>
              </w:rPr>
              <w:t>Appendix K</w:t>
            </w:r>
            <w:r w:rsidR="00671BF5">
              <w:rPr>
                <w:rFonts w:asciiTheme="minorHAnsi" w:eastAsiaTheme="minorEastAsia" w:hAnsiTheme="minorHAnsi" w:cstheme="minorBidi"/>
                <w:b w:val="0"/>
              </w:rPr>
              <w:tab/>
            </w:r>
            <w:r w:rsidR="00671BF5" w:rsidRPr="00E62000">
              <w:rPr>
                <w:rStyle w:val="Hyperlink"/>
              </w:rPr>
              <w:t xml:space="preserve">Additional </w:t>
            </w:r>
            <w:r w:rsidR="00CB4D37">
              <w:rPr>
                <w:rStyle w:val="Hyperlink"/>
              </w:rPr>
              <w:t>I</w:t>
            </w:r>
            <w:r w:rsidR="00671BF5" w:rsidRPr="00E62000">
              <w:rPr>
                <w:rStyle w:val="Hyperlink"/>
              </w:rPr>
              <w:t>nformation for the Financial Implication Analysis</w:t>
            </w:r>
            <w:r w:rsidR="00671BF5">
              <w:rPr>
                <w:webHidden/>
              </w:rPr>
              <w:tab/>
            </w:r>
            <w:r w:rsidR="00671BF5">
              <w:rPr>
                <w:webHidden/>
              </w:rPr>
              <w:fldChar w:fldCharType="begin"/>
            </w:r>
            <w:r w:rsidR="00671BF5">
              <w:rPr>
                <w:webHidden/>
              </w:rPr>
              <w:instrText xml:space="preserve"> PAGEREF _Toc418179989 \h </w:instrText>
            </w:r>
            <w:r w:rsidR="00671BF5">
              <w:rPr>
                <w:webHidden/>
              </w:rPr>
            </w:r>
            <w:r w:rsidR="00671BF5">
              <w:rPr>
                <w:webHidden/>
              </w:rPr>
              <w:fldChar w:fldCharType="separate"/>
            </w:r>
            <w:r w:rsidR="00B909E6">
              <w:rPr>
                <w:webHidden/>
              </w:rPr>
              <w:t>202</w:t>
            </w:r>
            <w:r w:rsidR="00671BF5">
              <w:rPr>
                <w:webHidden/>
              </w:rPr>
              <w:fldChar w:fldCharType="end"/>
            </w:r>
          </w:hyperlink>
        </w:p>
        <w:p w14:paraId="5051C570" w14:textId="2A743871" w:rsidR="00671BF5" w:rsidRDefault="00447183">
          <w:pPr>
            <w:pStyle w:val="TOC1"/>
            <w:rPr>
              <w:rFonts w:asciiTheme="minorHAnsi" w:eastAsiaTheme="minorEastAsia" w:hAnsiTheme="minorHAnsi" w:cstheme="minorBidi"/>
              <w:b w:val="0"/>
            </w:rPr>
          </w:pPr>
          <w:hyperlink w:anchor="_Toc418179990" w:history="1">
            <w:r w:rsidR="00671BF5" w:rsidRPr="00E62000">
              <w:rPr>
                <w:rStyle w:val="Hyperlink"/>
              </w:rPr>
              <w:t>References</w:t>
            </w:r>
            <w:r w:rsidR="00671BF5">
              <w:rPr>
                <w:webHidden/>
              </w:rPr>
              <w:tab/>
            </w:r>
            <w:r w:rsidR="00AF7784">
              <w:rPr>
                <w:webHidden/>
              </w:rPr>
              <w:tab/>
            </w:r>
            <w:r w:rsidR="00671BF5">
              <w:rPr>
                <w:webHidden/>
              </w:rPr>
              <w:fldChar w:fldCharType="begin"/>
            </w:r>
            <w:r w:rsidR="00671BF5">
              <w:rPr>
                <w:webHidden/>
              </w:rPr>
              <w:instrText xml:space="preserve"> PAGEREF _Toc418179990 \h </w:instrText>
            </w:r>
            <w:r w:rsidR="00671BF5">
              <w:rPr>
                <w:webHidden/>
              </w:rPr>
            </w:r>
            <w:r w:rsidR="00671BF5">
              <w:rPr>
                <w:webHidden/>
              </w:rPr>
              <w:fldChar w:fldCharType="separate"/>
            </w:r>
            <w:r w:rsidR="00B909E6">
              <w:rPr>
                <w:webHidden/>
              </w:rPr>
              <w:t>204</w:t>
            </w:r>
            <w:r w:rsidR="00671BF5">
              <w:rPr>
                <w:webHidden/>
              </w:rPr>
              <w:fldChar w:fldCharType="end"/>
            </w:r>
          </w:hyperlink>
        </w:p>
        <w:p w14:paraId="17773420" w14:textId="49DF7CFA" w:rsidR="00F81651" w:rsidRDefault="00F81651">
          <w:r>
            <w:rPr>
              <w:b/>
              <w:bCs/>
              <w:noProof/>
            </w:rPr>
            <w:fldChar w:fldCharType="end"/>
          </w:r>
        </w:p>
      </w:sdtContent>
    </w:sdt>
    <w:p w14:paraId="531775E8" w14:textId="77777777" w:rsidR="008F59A8" w:rsidRPr="00183E4D" w:rsidRDefault="008F59A8" w:rsidP="00DF343F">
      <w:pPr>
        <w:pStyle w:val="Heading2"/>
      </w:pPr>
      <w:r w:rsidRPr="00183E4D">
        <w:br w:type="page"/>
      </w:r>
      <w:bookmarkStart w:id="18" w:name="_Toc381796425"/>
      <w:bookmarkStart w:id="19" w:name="_Toc395200736"/>
      <w:bookmarkStart w:id="20" w:name="_Toc399247191"/>
      <w:bookmarkStart w:id="21" w:name="_Toc418179265"/>
      <w:bookmarkStart w:id="22" w:name="_Toc418179672"/>
      <w:bookmarkStart w:id="23" w:name="_Toc418179859"/>
      <w:r w:rsidRPr="00183E4D">
        <w:lastRenderedPageBreak/>
        <w:t>Tables</w:t>
      </w:r>
      <w:bookmarkEnd w:id="18"/>
      <w:bookmarkEnd w:id="19"/>
      <w:bookmarkEnd w:id="20"/>
      <w:bookmarkEnd w:id="21"/>
      <w:bookmarkEnd w:id="22"/>
      <w:bookmarkEnd w:id="23"/>
    </w:p>
    <w:bookmarkStart w:id="24" w:name="_Toc381796426"/>
    <w:bookmarkStart w:id="25" w:name="_Toc395200737"/>
    <w:p w14:paraId="62930399" w14:textId="77777777" w:rsidR="00991640"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18179398" w:history="1">
        <w:r w:rsidR="00991640" w:rsidRPr="00670356">
          <w:rPr>
            <w:rStyle w:val="Hyperlink"/>
          </w:rPr>
          <w:t>Table 1</w:t>
        </w:r>
        <w:r w:rsidR="00991640">
          <w:rPr>
            <w:rFonts w:asciiTheme="minorHAnsi" w:eastAsiaTheme="minorEastAsia" w:hAnsiTheme="minorHAnsi" w:cstheme="minorBidi"/>
          </w:rPr>
          <w:tab/>
        </w:r>
        <w:r w:rsidR="00991640" w:rsidRPr="00670356">
          <w:rPr>
            <w:rStyle w:val="Hyperlink"/>
          </w:rPr>
          <w:t>Summary of the economic evaluation</w:t>
        </w:r>
        <w:r w:rsidR="00991640">
          <w:rPr>
            <w:webHidden/>
          </w:rPr>
          <w:tab/>
        </w:r>
        <w:r w:rsidR="00991640">
          <w:rPr>
            <w:webHidden/>
          </w:rPr>
          <w:fldChar w:fldCharType="begin"/>
        </w:r>
        <w:r w:rsidR="00991640">
          <w:rPr>
            <w:webHidden/>
          </w:rPr>
          <w:instrText xml:space="preserve"> PAGEREF _Toc418179398 \h </w:instrText>
        </w:r>
        <w:r w:rsidR="00991640">
          <w:rPr>
            <w:webHidden/>
          </w:rPr>
        </w:r>
        <w:r w:rsidR="00991640">
          <w:rPr>
            <w:webHidden/>
          </w:rPr>
          <w:fldChar w:fldCharType="separate"/>
        </w:r>
        <w:r w:rsidR="00B909E6">
          <w:rPr>
            <w:webHidden/>
          </w:rPr>
          <w:t>xxiii</w:t>
        </w:r>
        <w:r w:rsidR="00991640">
          <w:rPr>
            <w:webHidden/>
          </w:rPr>
          <w:fldChar w:fldCharType="end"/>
        </w:r>
      </w:hyperlink>
    </w:p>
    <w:p w14:paraId="3CFDE9A9" w14:textId="50E6B640" w:rsidR="00991640" w:rsidRDefault="00447183">
      <w:pPr>
        <w:pStyle w:val="TableofFigures"/>
        <w:rPr>
          <w:rFonts w:asciiTheme="minorHAnsi" w:eastAsiaTheme="minorEastAsia" w:hAnsiTheme="minorHAnsi" w:cstheme="minorBidi"/>
        </w:rPr>
      </w:pPr>
      <w:hyperlink w:anchor="_Toc418179399" w:history="1">
        <w:r w:rsidR="00991640" w:rsidRPr="00670356">
          <w:rPr>
            <w:rStyle w:val="Hyperlink"/>
          </w:rPr>
          <w:t>Table 2</w:t>
        </w:r>
        <w:r w:rsidR="00991640">
          <w:rPr>
            <w:rFonts w:asciiTheme="minorHAnsi" w:eastAsiaTheme="minorEastAsia" w:hAnsiTheme="minorHAnsi" w:cstheme="minorBidi"/>
          </w:rPr>
          <w:tab/>
        </w:r>
        <w:r w:rsidR="00991640" w:rsidRPr="00670356">
          <w:rPr>
            <w:rStyle w:val="Hyperlink"/>
          </w:rPr>
          <w:t>Scenarios analysed in economic evaluation</w:t>
        </w:r>
        <w:r w:rsidR="00991640">
          <w:rPr>
            <w:webHidden/>
          </w:rPr>
          <w:tab/>
        </w:r>
        <w:r w:rsidR="00991640">
          <w:rPr>
            <w:webHidden/>
          </w:rPr>
          <w:fldChar w:fldCharType="begin"/>
        </w:r>
        <w:r w:rsidR="00991640">
          <w:rPr>
            <w:webHidden/>
          </w:rPr>
          <w:instrText xml:space="preserve"> PAGEREF _Toc418179399 \h </w:instrText>
        </w:r>
        <w:r w:rsidR="00991640">
          <w:rPr>
            <w:webHidden/>
          </w:rPr>
        </w:r>
        <w:r w:rsidR="00991640">
          <w:rPr>
            <w:webHidden/>
          </w:rPr>
          <w:fldChar w:fldCharType="separate"/>
        </w:r>
        <w:r w:rsidR="00B909E6">
          <w:rPr>
            <w:webHidden/>
          </w:rPr>
          <w:t>xxiv</w:t>
        </w:r>
        <w:r w:rsidR="00991640">
          <w:rPr>
            <w:webHidden/>
          </w:rPr>
          <w:fldChar w:fldCharType="end"/>
        </w:r>
      </w:hyperlink>
    </w:p>
    <w:p w14:paraId="73F9D381" w14:textId="66D3D8A4" w:rsidR="00991640" w:rsidRDefault="00447183">
      <w:pPr>
        <w:pStyle w:val="TableofFigures"/>
        <w:rPr>
          <w:rFonts w:asciiTheme="minorHAnsi" w:eastAsiaTheme="minorEastAsia" w:hAnsiTheme="minorHAnsi" w:cstheme="minorBidi"/>
        </w:rPr>
      </w:pPr>
      <w:hyperlink w:anchor="_Toc418179400" w:history="1">
        <w:r w:rsidR="00991640" w:rsidRPr="00670356">
          <w:rPr>
            <w:rStyle w:val="Hyperlink"/>
          </w:rPr>
          <w:t>Table 3</w:t>
        </w:r>
        <w:r w:rsidR="00991640">
          <w:rPr>
            <w:rFonts w:asciiTheme="minorHAnsi" w:eastAsiaTheme="minorEastAsia" w:hAnsiTheme="minorHAnsi" w:cstheme="minorBidi"/>
          </w:rPr>
          <w:tab/>
        </w:r>
        <w:r w:rsidR="00991640" w:rsidRPr="00670356">
          <w:rPr>
            <w:rStyle w:val="Hyperlink"/>
          </w:rPr>
          <w:t>The incremental cost-effectiveness of prenatal CFTR mutation testing for all scenarios explored in the economic evaluation</w:t>
        </w:r>
        <w:r w:rsidR="00991640">
          <w:rPr>
            <w:webHidden/>
          </w:rPr>
          <w:tab/>
        </w:r>
        <w:r w:rsidR="00991640">
          <w:rPr>
            <w:webHidden/>
          </w:rPr>
          <w:fldChar w:fldCharType="begin"/>
        </w:r>
        <w:r w:rsidR="00991640">
          <w:rPr>
            <w:webHidden/>
          </w:rPr>
          <w:instrText xml:space="preserve"> PAGEREF _Toc418179400 \h </w:instrText>
        </w:r>
        <w:r w:rsidR="00991640">
          <w:rPr>
            <w:webHidden/>
          </w:rPr>
        </w:r>
        <w:r w:rsidR="00991640">
          <w:rPr>
            <w:webHidden/>
          </w:rPr>
          <w:fldChar w:fldCharType="separate"/>
        </w:r>
        <w:r w:rsidR="00B909E6">
          <w:rPr>
            <w:webHidden/>
          </w:rPr>
          <w:t>xxiv</w:t>
        </w:r>
        <w:r w:rsidR="00991640">
          <w:rPr>
            <w:webHidden/>
          </w:rPr>
          <w:fldChar w:fldCharType="end"/>
        </w:r>
      </w:hyperlink>
    </w:p>
    <w:p w14:paraId="5233F745" w14:textId="682AFA8B" w:rsidR="00991640" w:rsidRDefault="00447183">
      <w:pPr>
        <w:pStyle w:val="TableofFigures"/>
        <w:rPr>
          <w:rFonts w:asciiTheme="minorHAnsi" w:eastAsiaTheme="minorEastAsia" w:hAnsiTheme="minorHAnsi" w:cstheme="minorBidi"/>
        </w:rPr>
      </w:pPr>
      <w:hyperlink w:anchor="_Toc418179401" w:history="1">
        <w:r w:rsidR="00991640" w:rsidRPr="00670356">
          <w:rPr>
            <w:rStyle w:val="Hyperlink"/>
          </w:rPr>
          <w:t>Table 4</w:t>
        </w:r>
        <w:r w:rsidR="00991640">
          <w:rPr>
            <w:rFonts w:asciiTheme="minorHAnsi" w:eastAsiaTheme="minorEastAsia" w:hAnsiTheme="minorHAnsi" w:cstheme="minorBidi"/>
          </w:rPr>
          <w:tab/>
        </w:r>
        <w:r w:rsidR="00991640" w:rsidRPr="00670356">
          <w:rPr>
            <w:rStyle w:val="Hyperlink"/>
            <w:snapToGrid w:val="0"/>
            <w:lang w:eastAsia="en-US"/>
          </w:rPr>
          <w:t>Key drivers of the economic models</w:t>
        </w:r>
        <w:r w:rsidR="00991640">
          <w:rPr>
            <w:webHidden/>
          </w:rPr>
          <w:tab/>
        </w:r>
        <w:r w:rsidR="00991640">
          <w:rPr>
            <w:webHidden/>
          </w:rPr>
          <w:fldChar w:fldCharType="begin"/>
        </w:r>
        <w:r w:rsidR="00991640">
          <w:rPr>
            <w:webHidden/>
          </w:rPr>
          <w:instrText xml:space="preserve"> PAGEREF _Toc418179401 \h </w:instrText>
        </w:r>
        <w:r w:rsidR="00991640">
          <w:rPr>
            <w:webHidden/>
          </w:rPr>
        </w:r>
        <w:r w:rsidR="00991640">
          <w:rPr>
            <w:webHidden/>
          </w:rPr>
          <w:fldChar w:fldCharType="separate"/>
        </w:r>
        <w:r w:rsidR="00B909E6">
          <w:rPr>
            <w:webHidden/>
          </w:rPr>
          <w:t>xxv</w:t>
        </w:r>
        <w:r w:rsidR="00991640">
          <w:rPr>
            <w:webHidden/>
          </w:rPr>
          <w:fldChar w:fldCharType="end"/>
        </w:r>
      </w:hyperlink>
    </w:p>
    <w:p w14:paraId="2EA1F233" w14:textId="77777777" w:rsidR="00991640" w:rsidRDefault="00447183">
      <w:pPr>
        <w:pStyle w:val="TableofFigures"/>
        <w:rPr>
          <w:rFonts w:asciiTheme="minorHAnsi" w:eastAsiaTheme="minorEastAsia" w:hAnsiTheme="minorHAnsi" w:cstheme="minorBidi"/>
        </w:rPr>
      </w:pPr>
      <w:hyperlink w:anchor="_Toc418179402" w:history="1">
        <w:r w:rsidR="00991640" w:rsidRPr="00670356">
          <w:rPr>
            <w:rStyle w:val="Hyperlink"/>
          </w:rPr>
          <w:t>Table 5</w:t>
        </w:r>
        <w:r w:rsidR="00991640">
          <w:rPr>
            <w:rFonts w:asciiTheme="minorHAnsi" w:eastAsiaTheme="minorEastAsia" w:hAnsiTheme="minorHAnsi" w:cstheme="minorBidi"/>
          </w:rPr>
          <w:tab/>
        </w:r>
        <w:r w:rsidR="00991640" w:rsidRPr="00670356">
          <w:rPr>
            <w:rStyle w:val="Hyperlink"/>
          </w:rPr>
          <w:t>Total costs to the MBS associated with CFTR mutation testing</w:t>
        </w:r>
        <w:r w:rsidR="00991640">
          <w:rPr>
            <w:webHidden/>
          </w:rPr>
          <w:tab/>
        </w:r>
        <w:r w:rsidR="00991640">
          <w:rPr>
            <w:webHidden/>
          </w:rPr>
          <w:fldChar w:fldCharType="begin"/>
        </w:r>
        <w:r w:rsidR="00991640">
          <w:rPr>
            <w:webHidden/>
          </w:rPr>
          <w:instrText xml:space="preserve"> PAGEREF _Toc418179402 \h </w:instrText>
        </w:r>
        <w:r w:rsidR="00991640">
          <w:rPr>
            <w:webHidden/>
          </w:rPr>
        </w:r>
        <w:r w:rsidR="00991640">
          <w:rPr>
            <w:webHidden/>
          </w:rPr>
          <w:fldChar w:fldCharType="separate"/>
        </w:r>
        <w:r w:rsidR="00B909E6">
          <w:rPr>
            <w:webHidden/>
          </w:rPr>
          <w:t>xxvi</w:t>
        </w:r>
        <w:r w:rsidR="00991640">
          <w:rPr>
            <w:webHidden/>
          </w:rPr>
          <w:fldChar w:fldCharType="end"/>
        </w:r>
      </w:hyperlink>
    </w:p>
    <w:p w14:paraId="15D56A18" w14:textId="0648520E" w:rsidR="00991640" w:rsidRDefault="00447183">
      <w:pPr>
        <w:pStyle w:val="TableofFigures"/>
        <w:rPr>
          <w:rFonts w:asciiTheme="minorHAnsi" w:eastAsiaTheme="minorEastAsia" w:hAnsiTheme="minorHAnsi" w:cstheme="minorBidi"/>
        </w:rPr>
      </w:pPr>
      <w:hyperlink w:anchor="_Toc418179403" w:history="1">
        <w:r w:rsidR="00991640" w:rsidRPr="00670356">
          <w:rPr>
            <w:rStyle w:val="Hyperlink"/>
          </w:rPr>
          <w:t xml:space="preserve">Table 6 </w:t>
        </w:r>
        <w:r w:rsidR="00991640">
          <w:rPr>
            <w:rFonts w:asciiTheme="minorHAnsi" w:eastAsiaTheme="minorEastAsia" w:hAnsiTheme="minorHAnsi" w:cstheme="minorBidi"/>
          </w:rPr>
          <w:tab/>
        </w:r>
        <w:r w:rsidR="00991640" w:rsidRPr="00104268">
          <w:rPr>
            <w:rStyle w:val="Hyperlink"/>
            <w:i/>
          </w:rPr>
          <w:t>CFTR</w:t>
        </w:r>
        <w:r w:rsidR="00991640" w:rsidRPr="00670356">
          <w:rPr>
            <w:rStyle w:val="Hyperlink"/>
          </w:rPr>
          <w:t xml:space="preserve"> genotype</w:t>
        </w:r>
        <w:r w:rsidR="00AD17CD">
          <w:rPr>
            <w:rStyle w:val="Hyperlink"/>
          </w:rPr>
          <w:t>–</w:t>
        </w:r>
        <w:r w:rsidR="00991640" w:rsidRPr="00670356">
          <w:rPr>
            <w:rStyle w:val="Hyperlink"/>
          </w:rPr>
          <w:t>phenotype correlations</w:t>
        </w:r>
        <w:r w:rsidR="00991640">
          <w:rPr>
            <w:webHidden/>
          </w:rPr>
          <w:tab/>
        </w:r>
        <w:r w:rsidR="00991640">
          <w:rPr>
            <w:webHidden/>
          </w:rPr>
          <w:fldChar w:fldCharType="begin"/>
        </w:r>
        <w:r w:rsidR="00991640">
          <w:rPr>
            <w:webHidden/>
          </w:rPr>
          <w:instrText xml:space="preserve"> PAGEREF _Toc418179403 \h </w:instrText>
        </w:r>
        <w:r w:rsidR="00991640">
          <w:rPr>
            <w:webHidden/>
          </w:rPr>
        </w:r>
        <w:r w:rsidR="00991640">
          <w:rPr>
            <w:webHidden/>
          </w:rPr>
          <w:fldChar w:fldCharType="separate"/>
        </w:r>
        <w:r w:rsidR="00B909E6">
          <w:rPr>
            <w:webHidden/>
          </w:rPr>
          <w:t>36</w:t>
        </w:r>
        <w:r w:rsidR="00991640">
          <w:rPr>
            <w:webHidden/>
          </w:rPr>
          <w:fldChar w:fldCharType="end"/>
        </w:r>
      </w:hyperlink>
    </w:p>
    <w:p w14:paraId="3753CCD9" w14:textId="1F80A7DF" w:rsidR="00991640" w:rsidRDefault="00447183">
      <w:pPr>
        <w:pStyle w:val="TableofFigures"/>
        <w:rPr>
          <w:rFonts w:asciiTheme="minorHAnsi" w:eastAsiaTheme="minorEastAsia" w:hAnsiTheme="minorHAnsi" w:cstheme="minorBidi"/>
        </w:rPr>
      </w:pPr>
      <w:hyperlink w:anchor="_Toc418179404" w:history="1">
        <w:r w:rsidR="00991640" w:rsidRPr="00670356">
          <w:rPr>
            <w:rStyle w:val="Hyperlink"/>
          </w:rPr>
          <w:t>Table 7</w:t>
        </w:r>
        <w:r w:rsidR="00991640">
          <w:rPr>
            <w:rFonts w:asciiTheme="minorHAnsi" w:eastAsiaTheme="minorEastAsia" w:hAnsiTheme="minorHAnsi" w:cstheme="minorBidi"/>
          </w:rPr>
          <w:tab/>
        </w:r>
        <w:r w:rsidR="00991640" w:rsidRPr="00670356">
          <w:rPr>
            <w:rStyle w:val="Hyperlink"/>
          </w:rPr>
          <w:t>Proposed MBS item descriptors</w:t>
        </w:r>
        <w:r w:rsidR="00991640">
          <w:rPr>
            <w:webHidden/>
          </w:rPr>
          <w:tab/>
        </w:r>
        <w:r w:rsidR="00991640">
          <w:rPr>
            <w:webHidden/>
          </w:rPr>
          <w:fldChar w:fldCharType="begin"/>
        </w:r>
        <w:r w:rsidR="00991640">
          <w:rPr>
            <w:webHidden/>
          </w:rPr>
          <w:instrText xml:space="preserve"> PAGEREF _Toc418179404 \h </w:instrText>
        </w:r>
        <w:r w:rsidR="00991640">
          <w:rPr>
            <w:webHidden/>
          </w:rPr>
        </w:r>
        <w:r w:rsidR="00991640">
          <w:rPr>
            <w:webHidden/>
          </w:rPr>
          <w:fldChar w:fldCharType="separate"/>
        </w:r>
        <w:r w:rsidR="00B909E6">
          <w:rPr>
            <w:webHidden/>
          </w:rPr>
          <w:t>40</w:t>
        </w:r>
        <w:r w:rsidR="00991640">
          <w:rPr>
            <w:webHidden/>
          </w:rPr>
          <w:fldChar w:fldCharType="end"/>
        </w:r>
      </w:hyperlink>
    </w:p>
    <w:p w14:paraId="24E6682A" w14:textId="77777777" w:rsidR="00991640" w:rsidRDefault="00447183">
      <w:pPr>
        <w:pStyle w:val="TableofFigures"/>
        <w:rPr>
          <w:rFonts w:asciiTheme="minorHAnsi" w:eastAsiaTheme="minorEastAsia" w:hAnsiTheme="minorHAnsi" w:cstheme="minorBidi"/>
        </w:rPr>
      </w:pPr>
      <w:hyperlink w:anchor="_Toc418179405" w:history="1">
        <w:r w:rsidR="00991640" w:rsidRPr="00670356">
          <w:rPr>
            <w:rStyle w:val="Hyperlink"/>
          </w:rPr>
          <w:t xml:space="preserve">Table 8 </w:t>
        </w:r>
        <w:r w:rsidR="00991640">
          <w:rPr>
            <w:rFonts w:asciiTheme="minorHAnsi" w:eastAsiaTheme="minorEastAsia" w:hAnsiTheme="minorHAnsi" w:cstheme="minorBidi"/>
          </w:rPr>
          <w:tab/>
        </w:r>
        <w:r w:rsidR="00991640" w:rsidRPr="00670356">
          <w:rPr>
            <w:rStyle w:val="Hyperlink"/>
          </w:rPr>
          <w:t>Funding sources of CFTR mutation tests performed in 2011</w:t>
        </w:r>
        <w:r w:rsidR="00991640">
          <w:rPr>
            <w:webHidden/>
          </w:rPr>
          <w:tab/>
        </w:r>
        <w:r w:rsidR="00991640">
          <w:rPr>
            <w:webHidden/>
          </w:rPr>
          <w:fldChar w:fldCharType="begin"/>
        </w:r>
        <w:r w:rsidR="00991640">
          <w:rPr>
            <w:webHidden/>
          </w:rPr>
          <w:instrText xml:space="preserve"> PAGEREF _Toc418179405 \h </w:instrText>
        </w:r>
        <w:r w:rsidR="00991640">
          <w:rPr>
            <w:webHidden/>
          </w:rPr>
        </w:r>
        <w:r w:rsidR="00991640">
          <w:rPr>
            <w:webHidden/>
          </w:rPr>
          <w:fldChar w:fldCharType="separate"/>
        </w:r>
        <w:r w:rsidR="00B909E6">
          <w:rPr>
            <w:webHidden/>
          </w:rPr>
          <w:t>42</w:t>
        </w:r>
        <w:r w:rsidR="00991640">
          <w:rPr>
            <w:webHidden/>
          </w:rPr>
          <w:fldChar w:fldCharType="end"/>
        </w:r>
      </w:hyperlink>
    </w:p>
    <w:p w14:paraId="3636EA1A" w14:textId="27ECA0AE" w:rsidR="00991640" w:rsidRDefault="00447183">
      <w:pPr>
        <w:pStyle w:val="TableofFigures"/>
        <w:rPr>
          <w:rFonts w:asciiTheme="minorHAnsi" w:eastAsiaTheme="minorEastAsia" w:hAnsiTheme="minorHAnsi" w:cstheme="minorBidi"/>
        </w:rPr>
      </w:pPr>
      <w:hyperlink w:anchor="_Toc418179406" w:history="1">
        <w:r w:rsidR="00991640" w:rsidRPr="00670356">
          <w:rPr>
            <w:rStyle w:val="Hyperlink"/>
          </w:rPr>
          <w:t>Table 9</w:t>
        </w:r>
        <w:r w:rsidR="00991640">
          <w:rPr>
            <w:rFonts w:asciiTheme="minorHAnsi" w:eastAsiaTheme="minorEastAsia" w:hAnsiTheme="minorHAnsi" w:cstheme="minorBidi"/>
          </w:rPr>
          <w:tab/>
        </w:r>
        <w:r w:rsidR="00991640" w:rsidRPr="00670356">
          <w:rPr>
            <w:rStyle w:val="Hyperlink"/>
          </w:rPr>
          <w:t xml:space="preserve">Overview of approach taken </w:t>
        </w:r>
        <w:r w:rsidR="001D5D4F">
          <w:rPr>
            <w:rStyle w:val="Hyperlink"/>
          </w:rPr>
          <w:t>in</w:t>
        </w:r>
        <w:r w:rsidR="00991640" w:rsidRPr="00670356">
          <w:rPr>
            <w:rStyle w:val="Hyperlink"/>
          </w:rPr>
          <w:t xml:space="preserve"> assessing the benefit of CFTR testing for the different populations</w:t>
        </w:r>
        <w:r w:rsidR="00991640">
          <w:rPr>
            <w:webHidden/>
          </w:rPr>
          <w:tab/>
        </w:r>
        <w:r w:rsidR="00991640">
          <w:rPr>
            <w:webHidden/>
          </w:rPr>
          <w:fldChar w:fldCharType="begin"/>
        </w:r>
        <w:r w:rsidR="00991640">
          <w:rPr>
            <w:webHidden/>
          </w:rPr>
          <w:instrText xml:space="preserve"> PAGEREF _Toc418179406 \h </w:instrText>
        </w:r>
        <w:r w:rsidR="00991640">
          <w:rPr>
            <w:webHidden/>
          </w:rPr>
        </w:r>
        <w:r w:rsidR="00991640">
          <w:rPr>
            <w:webHidden/>
          </w:rPr>
          <w:fldChar w:fldCharType="separate"/>
        </w:r>
        <w:r w:rsidR="00B909E6">
          <w:rPr>
            <w:webHidden/>
          </w:rPr>
          <w:t>48</w:t>
        </w:r>
        <w:r w:rsidR="00991640">
          <w:rPr>
            <w:webHidden/>
          </w:rPr>
          <w:fldChar w:fldCharType="end"/>
        </w:r>
      </w:hyperlink>
    </w:p>
    <w:p w14:paraId="73BFAEED" w14:textId="3BDD0B41" w:rsidR="00991640" w:rsidRDefault="00447183">
      <w:pPr>
        <w:pStyle w:val="TableofFigures"/>
        <w:rPr>
          <w:rFonts w:asciiTheme="minorHAnsi" w:eastAsiaTheme="minorEastAsia" w:hAnsiTheme="minorHAnsi" w:cstheme="minorBidi"/>
        </w:rPr>
      </w:pPr>
      <w:hyperlink w:anchor="_Toc418179407" w:history="1">
        <w:r w:rsidR="00991640" w:rsidRPr="00670356">
          <w:rPr>
            <w:rStyle w:val="Hyperlink"/>
          </w:rPr>
          <w:t>Table 10</w:t>
        </w:r>
        <w:r w:rsidR="00991640">
          <w:rPr>
            <w:rFonts w:asciiTheme="minorHAnsi" w:eastAsiaTheme="minorEastAsia" w:hAnsiTheme="minorHAnsi" w:cstheme="minorBidi"/>
          </w:rPr>
          <w:tab/>
        </w:r>
        <w:r w:rsidR="00991640" w:rsidRPr="00670356">
          <w:rPr>
            <w:rStyle w:val="Hyperlink"/>
          </w:rPr>
          <w:t>Selection criteria for the diagnostic accuracy of CFTR mutation testing in patients with a high clinical suspicion of CF and partners of CF carriers (diagnostic accuracy only)</w:t>
        </w:r>
        <w:r w:rsidR="00991640">
          <w:rPr>
            <w:webHidden/>
          </w:rPr>
          <w:tab/>
        </w:r>
        <w:r w:rsidR="00991640">
          <w:rPr>
            <w:webHidden/>
          </w:rPr>
          <w:fldChar w:fldCharType="begin"/>
        </w:r>
        <w:r w:rsidR="00991640">
          <w:rPr>
            <w:webHidden/>
          </w:rPr>
          <w:instrText xml:space="preserve"> PAGEREF _Toc418179407 \h </w:instrText>
        </w:r>
        <w:r w:rsidR="00991640">
          <w:rPr>
            <w:webHidden/>
          </w:rPr>
        </w:r>
        <w:r w:rsidR="00991640">
          <w:rPr>
            <w:webHidden/>
          </w:rPr>
          <w:fldChar w:fldCharType="separate"/>
        </w:r>
        <w:r w:rsidR="00B909E6">
          <w:rPr>
            <w:webHidden/>
          </w:rPr>
          <w:t>50</w:t>
        </w:r>
        <w:r w:rsidR="00991640">
          <w:rPr>
            <w:webHidden/>
          </w:rPr>
          <w:fldChar w:fldCharType="end"/>
        </w:r>
      </w:hyperlink>
    </w:p>
    <w:p w14:paraId="1BA69EE1" w14:textId="2A058080" w:rsidR="00991640" w:rsidRDefault="00447183">
      <w:pPr>
        <w:pStyle w:val="TableofFigures"/>
        <w:rPr>
          <w:rFonts w:asciiTheme="minorHAnsi" w:eastAsiaTheme="minorEastAsia" w:hAnsiTheme="minorHAnsi" w:cstheme="minorBidi"/>
        </w:rPr>
      </w:pPr>
      <w:hyperlink w:anchor="_Toc418179408" w:history="1">
        <w:r w:rsidR="00991640" w:rsidRPr="00670356">
          <w:rPr>
            <w:rStyle w:val="Hyperlink"/>
          </w:rPr>
          <w:t>Table 11</w:t>
        </w:r>
        <w:r w:rsidR="00991640">
          <w:rPr>
            <w:rFonts w:asciiTheme="minorHAnsi" w:eastAsiaTheme="minorEastAsia" w:hAnsiTheme="minorHAnsi" w:cstheme="minorBidi"/>
          </w:rPr>
          <w:tab/>
        </w:r>
        <w:r w:rsidR="00991640" w:rsidRPr="00670356">
          <w:rPr>
            <w:rStyle w:val="Hyperlink"/>
          </w:rPr>
          <w:t>Selection criteria for evidence assessing the safety and effectiveness of CFTR mutation testing in parents with a fetus suspected of CF</w:t>
        </w:r>
        <w:r w:rsidR="00991640">
          <w:rPr>
            <w:webHidden/>
          </w:rPr>
          <w:tab/>
        </w:r>
        <w:r w:rsidR="00991640">
          <w:rPr>
            <w:webHidden/>
          </w:rPr>
          <w:fldChar w:fldCharType="begin"/>
        </w:r>
        <w:r w:rsidR="00991640">
          <w:rPr>
            <w:webHidden/>
          </w:rPr>
          <w:instrText xml:space="preserve"> PAGEREF _Toc418179408 \h </w:instrText>
        </w:r>
        <w:r w:rsidR="00991640">
          <w:rPr>
            <w:webHidden/>
          </w:rPr>
        </w:r>
        <w:r w:rsidR="00991640">
          <w:rPr>
            <w:webHidden/>
          </w:rPr>
          <w:fldChar w:fldCharType="separate"/>
        </w:r>
        <w:r w:rsidR="00B909E6">
          <w:rPr>
            <w:webHidden/>
          </w:rPr>
          <w:t>50</w:t>
        </w:r>
        <w:r w:rsidR="00991640">
          <w:rPr>
            <w:webHidden/>
          </w:rPr>
          <w:fldChar w:fldCharType="end"/>
        </w:r>
      </w:hyperlink>
    </w:p>
    <w:p w14:paraId="6229DD0D" w14:textId="42401FFD" w:rsidR="00991640" w:rsidRDefault="00447183">
      <w:pPr>
        <w:pStyle w:val="TableofFigures"/>
        <w:rPr>
          <w:rFonts w:asciiTheme="minorHAnsi" w:eastAsiaTheme="minorEastAsia" w:hAnsiTheme="minorHAnsi" w:cstheme="minorBidi"/>
        </w:rPr>
      </w:pPr>
      <w:hyperlink w:anchor="_Toc418179409" w:history="1">
        <w:r w:rsidR="00991640" w:rsidRPr="00670356">
          <w:rPr>
            <w:rStyle w:val="Hyperlink"/>
          </w:rPr>
          <w:t>Table 12</w:t>
        </w:r>
        <w:r w:rsidR="00991640">
          <w:rPr>
            <w:rFonts w:asciiTheme="minorHAnsi" w:eastAsiaTheme="minorEastAsia" w:hAnsiTheme="minorHAnsi" w:cstheme="minorBidi"/>
          </w:rPr>
          <w:tab/>
        </w:r>
        <w:r w:rsidR="00991640" w:rsidRPr="00670356">
          <w:rPr>
            <w:rStyle w:val="Hyperlink"/>
          </w:rPr>
          <w:t>Selection criteria for evidence assessing the safety and effectiveness of CFTR mutation testing of a fetus conceived by parents that are both CF carriers</w:t>
        </w:r>
        <w:r w:rsidR="00991640">
          <w:rPr>
            <w:webHidden/>
          </w:rPr>
          <w:tab/>
        </w:r>
        <w:r w:rsidR="00991640">
          <w:rPr>
            <w:webHidden/>
          </w:rPr>
          <w:fldChar w:fldCharType="begin"/>
        </w:r>
        <w:r w:rsidR="00991640">
          <w:rPr>
            <w:webHidden/>
          </w:rPr>
          <w:instrText xml:space="preserve"> PAGEREF _Toc418179409 \h </w:instrText>
        </w:r>
        <w:r w:rsidR="00991640">
          <w:rPr>
            <w:webHidden/>
          </w:rPr>
        </w:r>
        <w:r w:rsidR="00991640">
          <w:rPr>
            <w:webHidden/>
          </w:rPr>
          <w:fldChar w:fldCharType="separate"/>
        </w:r>
        <w:r w:rsidR="00B909E6">
          <w:rPr>
            <w:webHidden/>
          </w:rPr>
          <w:t>51</w:t>
        </w:r>
        <w:r w:rsidR="00991640">
          <w:rPr>
            <w:webHidden/>
          </w:rPr>
          <w:fldChar w:fldCharType="end"/>
        </w:r>
      </w:hyperlink>
    </w:p>
    <w:p w14:paraId="7B122837" w14:textId="77777777" w:rsidR="00991640" w:rsidRDefault="00447183">
      <w:pPr>
        <w:pStyle w:val="TableofFigures"/>
        <w:rPr>
          <w:rFonts w:asciiTheme="minorHAnsi" w:eastAsiaTheme="minorEastAsia" w:hAnsiTheme="minorHAnsi" w:cstheme="minorBidi"/>
        </w:rPr>
      </w:pPr>
      <w:hyperlink w:anchor="_Toc418179410" w:history="1">
        <w:r w:rsidR="00991640" w:rsidRPr="00670356">
          <w:rPr>
            <w:rStyle w:val="Hyperlink"/>
          </w:rPr>
          <w:t xml:space="preserve">Table 13 </w:t>
        </w:r>
        <w:r w:rsidR="00991640">
          <w:rPr>
            <w:rFonts w:asciiTheme="minorHAnsi" w:eastAsiaTheme="minorEastAsia" w:hAnsiTheme="minorHAnsi" w:cstheme="minorBidi"/>
          </w:rPr>
          <w:tab/>
        </w:r>
        <w:r w:rsidR="00991640" w:rsidRPr="00670356">
          <w:rPr>
            <w:rStyle w:val="Hyperlink"/>
          </w:rPr>
          <w:t>Selection criteria for the accuracy of CFTR mutation testing in parents with a fetus suspected of CF</w:t>
        </w:r>
        <w:r w:rsidR="00991640">
          <w:rPr>
            <w:webHidden/>
          </w:rPr>
          <w:tab/>
        </w:r>
        <w:r w:rsidR="00991640">
          <w:rPr>
            <w:webHidden/>
          </w:rPr>
          <w:fldChar w:fldCharType="begin"/>
        </w:r>
        <w:r w:rsidR="00991640">
          <w:rPr>
            <w:webHidden/>
          </w:rPr>
          <w:instrText xml:space="preserve"> PAGEREF _Toc418179410 \h </w:instrText>
        </w:r>
        <w:r w:rsidR="00991640">
          <w:rPr>
            <w:webHidden/>
          </w:rPr>
        </w:r>
        <w:r w:rsidR="00991640">
          <w:rPr>
            <w:webHidden/>
          </w:rPr>
          <w:fldChar w:fldCharType="separate"/>
        </w:r>
        <w:r w:rsidR="00B909E6">
          <w:rPr>
            <w:webHidden/>
          </w:rPr>
          <w:t>52</w:t>
        </w:r>
        <w:r w:rsidR="00991640">
          <w:rPr>
            <w:webHidden/>
          </w:rPr>
          <w:fldChar w:fldCharType="end"/>
        </w:r>
      </w:hyperlink>
    </w:p>
    <w:p w14:paraId="029DC6C9" w14:textId="31180075" w:rsidR="00991640" w:rsidRDefault="00447183">
      <w:pPr>
        <w:pStyle w:val="TableofFigures"/>
        <w:rPr>
          <w:rFonts w:asciiTheme="minorHAnsi" w:eastAsiaTheme="minorEastAsia" w:hAnsiTheme="minorHAnsi" w:cstheme="minorBidi"/>
        </w:rPr>
      </w:pPr>
      <w:hyperlink w:anchor="_Toc418179411" w:history="1">
        <w:r w:rsidR="00991640" w:rsidRPr="00670356">
          <w:rPr>
            <w:rStyle w:val="Hyperlink"/>
          </w:rPr>
          <w:t>Table 14</w:t>
        </w:r>
        <w:r w:rsidR="00991640">
          <w:rPr>
            <w:rFonts w:asciiTheme="minorHAnsi" w:eastAsiaTheme="minorEastAsia" w:hAnsiTheme="minorHAnsi" w:cstheme="minorBidi"/>
          </w:rPr>
          <w:tab/>
        </w:r>
        <w:r w:rsidR="00991640" w:rsidRPr="00670356">
          <w:rPr>
            <w:rStyle w:val="Hyperlink"/>
          </w:rPr>
          <w:t>Selection criteria for the accuracy of CFTR mutation testing in fetuses w</w:t>
        </w:r>
        <w:r w:rsidR="00C2216C">
          <w:rPr>
            <w:rStyle w:val="Hyperlink"/>
          </w:rPr>
          <w:t>h</w:t>
        </w:r>
        <w:r w:rsidR="00991640" w:rsidRPr="00670356">
          <w:rPr>
            <w:rStyle w:val="Hyperlink"/>
          </w:rPr>
          <w:t>ere both parents are CF carriers</w:t>
        </w:r>
        <w:r w:rsidR="00991640">
          <w:rPr>
            <w:webHidden/>
          </w:rPr>
          <w:tab/>
        </w:r>
        <w:r w:rsidR="00991640">
          <w:rPr>
            <w:webHidden/>
          </w:rPr>
          <w:fldChar w:fldCharType="begin"/>
        </w:r>
        <w:r w:rsidR="00991640">
          <w:rPr>
            <w:webHidden/>
          </w:rPr>
          <w:instrText xml:space="preserve"> PAGEREF _Toc418179411 \h </w:instrText>
        </w:r>
        <w:r w:rsidR="00991640">
          <w:rPr>
            <w:webHidden/>
          </w:rPr>
        </w:r>
        <w:r w:rsidR="00991640">
          <w:rPr>
            <w:webHidden/>
          </w:rPr>
          <w:fldChar w:fldCharType="separate"/>
        </w:r>
        <w:r w:rsidR="00B909E6">
          <w:rPr>
            <w:webHidden/>
          </w:rPr>
          <w:t>52</w:t>
        </w:r>
        <w:r w:rsidR="00991640">
          <w:rPr>
            <w:webHidden/>
          </w:rPr>
          <w:fldChar w:fldCharType="end"/>
        </w:r>
      </w:hyperlink>
    </w:p>
    <w:p w14:paraId="79DFC9C8" w14:textId="00D6504A" w:rsidR="00991640" w:rsidRDefault="00447183">
      <w:pPr>
        <w:pStyle w:val="TableofFigures"/>
        <w:rPr>
          <w:rFonts w:asciiTheme="minorHAnsi" w:eastAsiaTheme="minorEastAsia" w:hAnsiTheme="minorHAnsi" w:cstheme="minorBidi"/>
        </w:rPr>
      </w:pPr>
      <w:hyperlink w:anchor="_Toc418179412" w:history="1">
        <w:r w:rsidR="00991640" w:rsidRPr="00670356">
          <w:rPr>
            <w:rStyle w:val="Hyperlink"/>
          </w:rPr>
          <w:t>Table 15</w:t>
        </w:r>
        <w:r w:rsidR="00991640">
          <w:rPr>
            <w:rFonts w:asciiTheme="minorHAnsi" w:eastAsiaTheme="minorEastAsia" w:hAnsiTheme="minorHAnsi" w:cstheme="minorBidi"/>
          </w:rPr>
          <w:tab/>
        </w:r>
        <w:r w:rsidR="00991640" w:rsidRPr="00670356">
          <w:rPr>
            <w:rStyle w:val="Hyperlink"/>
          </w:rPr>
          <w:t>Selection criteria to determine the impact of testing on the clinical management of pregnancies where the fetus has suspected CF</w:t>
        </w:r>
        <w:r w:rsidR="00991640">
          <w:rPr>
            <w:webHidden/>
          </w:rPr>
          <w:tab/>
        </w:r>
        <w:r w:rsidR="00991640">
          <w:rPr>
            <w:webHidden/>
          </w:rPr>
          <w:fldChar w:fldCharType="begin"/>
        </w:r>
        <w:r w:rsidR="00991640">
          <w:rPr>
            <w:webHidden/>
          </w:rPr>
          <w:instrText xml:space="preserve"> PAGEREF _Toc418179412 \h </w:instrText>
        </w:r>
        <w:r w:rsidR="00991640">
          <w:rPr>
            <w:webHidden/>
          </w:rPr>
        </w:r>
        <w:r w:rsidR="00991640">
          <w:rPr>
            <w:webHidden/>
          </w:rPr>
          <w:fldChar w:fldCharType="separate"/>
        </w:r>
        <w:r w:rsidR="00B909E6">
          <w:rPr>
            <w:webHidden/>
          </w:rPr>
          <w:t>53</w:t>
        </w:r>
        <w:r w:rsidR="00991640">
          <w:rPr>
            <w:webHidden/>
          </w:rPr>
          <w:fldChar w:fldCharType="end"/>
        </w:r>
      </w:hyperlink>
    </w:p>
    <w:p w14:paraId="194D09C7" w14:textId="77777777" w:rsidR="00991640" w:rsidRDefault="00447183">
      <w:pPr>
        <w:pStyle w:val="TableofFigures"/>
        <w:rPr>
          <w:rFonts w:asciiTheme="minorHAnsi" w:eastAsiaTheme="minorEastAsia" w:hAnsiTheme="minorHAnsi" w:cstheme="minorBidi"/>
        </w:rPr>
      </w:pPr>
      <w:hyperlink w:anchor="_Toc418179413" w:history="1">
        <w:r w:rsidR="00991640" w:rsidRPr="00670356">
          <w:rPr>
            <w:rStyle w:val="Hyperlink"/>
          </w:rPr>
          <w:t xml:space="preserve">Table 16 </w:t>
        </w:r>
        <w:r w:rsidR="00991640">
          <w:rPr>
            <w:rFonts w:asciiTheme="minorHAnsi" w:eastAsiaTheme="minorEastAsia" w:hAnsiTheme="minorHAnsi" w:cstheme="minorBidi"/>
          </w:rPr>
          <w:tab/>
        </w:r>
        <w:r w:rsidR="00991640" w:rsidRPr="00670356">
          <w:rPr>
            <w:rStyle w:val="Hyperlink"/>
          </w:rPr>
          <w:t>Selection criteria to determine the impact of testing on the clinical management of pregnancies where both parents are CF carriers</w:t>
        </w:r>
        <w:r w:rsidR="00991640">
          <w:rPr>
            <w:webHidden/>
          </w:rPr>
          <w:tab/>
        </w:r>
        <w:r w:rsidR="00991640">
          <w:rPr>
            <w:webHidden/>
          </w:rPr>
          <w:fldChar w:fldCharType="begin"/>
        </w:r>
        <w:r w:rsidR="00991640">
          <w:rPr>
            <w:webHidden/>
          </w:rPr>
          <w:instrText xml:space="preserve"> PAGEREF _Toc418179413 \h </w:instrText>
        </w:r>
        <w:r w:rsidR="00991640">
          <w:rPr>
            <w:webHidden/>
          </w:rPr>
        </w:r>
        <w:r w:rsidR="00991640">
          <w:rPr>
            <w:webHidden/>
          </w:rPr>
          <w:fldChar w:fldCharType="separate"/>
        </w:r>
        <w:r w:rsidR="00B909E6">
          <w:rPr>
            <w:webHidden/>
          </w:rPr>
          <w:t>53</w:t>
        </w:r>
        <w:r w:rsidR="00991640">
          <w:rPr>
            <w:webHidden/>
          </w:rPr>
          <w:fldChar w:fldCharType="end"/>
        </w:r>
      </w:hyperlink>
    </w:p>
    <w:p w14:paraId="3B7CD4F6" w14:textId="77777777" w:rsidR="00991640" w:rsidRDefault="00447183">
      <w:pPr>
        <w:pStyle w:val="TableofFigures"/>
        <w:rPr>
          <w:rFonts w:asciiTheme="minorHAnsi" w:eastAsiaTheme="minorEastAsia" w:hAnsiTheme="minorHAnsi" w:cstheme="minorBidi"/>
        </w:rPr>
      </w:pPr>
      <w:hyperlink w:anchor="_Toc418179414" w:history="1">
        <w:r w:rsidR="00991640" w:rsidRPr="00670356">
          <w:rPr>
            <w:rStyle w:val="Hyperlink"/>
          </w:rPr>
          <w:t xml:space="preserve">Table 17 </w:t>
        </w:r>
        <w:r w:rsidR="00991640">
          <w:rPr>
            <w:rFonts w:asciiTheme="minorHAnsi" w:eastAsiaTheme="minorEastAsia" w:hAnsiTheme="minorHAnsi" w:cstheme="minorBidi"/>
          </w:rPr>
          <w:tab/>
        </w:r>
        <w:r w:rsidR="00991640" w:rsidRPr="00670356">
          <w:rPr>
            <w:rStyle w:val="Hyperlink"/>
          </w:rPr>
          <w:t>Selection criteria to determine the impact of change in management in parents with a fetus suspected of CF</w:t>
        </w:r>
        <w:r w:rsidR="00991640">
          <w:rPr>
            <w:webHidden/>
          </w:rPr>
          <w:tab/>
        </w:r>
        <w:r w:rsidR="00991640">
          <w:rPr>
            <w:webHidden/>
          </w:rPr>
          <w:fldChar w:fldCharType="begin"/>
        </w:r>
        <w:r w:rsidR="00991640">
          <w:rPr>
            <w:webHidden/>
          </w:rPr>
          <w:instrText xml:space="preserve"> PAGEREF _Toc418179414 \h </w:instrText>
        </w:r>
        <w:r w:rsidR="00991640">
          <w:rPr>
            <w:webHidden/>
          </w:rPr>
        </w:r>
        <w:r w:rsidR="00991640">
          <w:rPr>
            <w:webHidden/>
          </w:rPr>
          <w:fldChar w:fldCharType="separate"/>
        </w:r>
        <w:r w:rsidR="00B909E6">
          <w:rPr>
            <w:webHidden/>
          </w:rPr>
          <w:t>54</w:t>
        </w:r>
        <w:r w:rsidR="00991640">
          <w:rPr>
            <w:webHidden/>
          </w:rPr>
          <w:fldChar w:fldCharType="end"/>
        </w:r>
      </w:hyperlink>
    </w:p>
    <w:p w14:paraId="3F02A7A6" w14:textId="77777777" w:rsidR="00991640" w:rsidRDefault="00447183">
      <w:pPr>
        <w:pStyle w:val="TableofFigures"/>
        <w:rPr>
          <w:rFonts w:asciiTheme="minorHAnsi" w:eastAsiaTheme="minorEastAsia" w:hAnsiTheme="minorHAnsi" w:cstheme="minorBidi"/>
        </w:rPr>
      </w:pPr>
      <w:hyperlink w:anchor="_Toc418179415" w:history="1">
        <w:r w:rsidR="00991640" w:rsidRPr="00670356">
          <w:rPr>
            <w:rStyle w:val="Hyperlink"/>
          </w:rPr>
          <w:t>Table 18</w:t>
        </w:r>
        <w:r w:rsidR="00991640">
          <w:rPr>
            <w:rFonts w:asciiTheme="minorHAnsi" w:eastAsiaTheme="minorEastAsia" w:hAnsiTheme="minorHAnsi" w:cstheme="minorBidi"/>
          </w:rPr>
          <w:tab/>
        </w:r>
        <w:r w:rsidR="00991640" w:rsidRPr="00670356">
          <w:rPr>
            <w:rStyle w:val="Hyperlink"/>
          </w:rPr>
          <w:t>Search terms used (PubMed/Medline search platform)</w:t>
        </w:r>
        <w:r w:rsidR="00991640">
          <w:rPr>
            <w:webHidden/>
          </w:rPr>
          <w:tab/>
        </w:r>
        <w:r w:rsidR="00991640">
          <w:rPr>
            <w:webHidden/>
          </w:rPr>
          <w:fldChar w:fldCharType="begin"/>
        </w:r>
        <w:r w:rsidR="00991640">
          <w:rPr>
            <w:webHidden/>
          </w:rPr>
          <w:instrText xml:space="preserve"> PAGEREF _Toc418179415 \h </w:instrText>
        </w:r>
        <w:r w:rsidR="00991640">
          <w:rPr>
            <w:webHidden/>
          </w:rPr>
        </w:r>
        <w:r w:rsidR="00991640">
          <w:rPr>
            <w:webHidden/>
          </w:rPr>
          <w:fldChar w:fldCharType="separate"/>
        </w:r>
        <w:r w:rsidR="00B909E6">
          <w:rPr>
            <w:webHidden/>
          </w:rPr>
          <w:t>55</w:t>
        </w:r>
        <w:r w:rsidR="00991640">
          <w:rPr>
            <w:webHidden/>
          </w:rPr>
          <w:fldChar w:fldCharType="end"/>
        </w:r>
      </w:hyperlink>
    </w:p>
    <w:p w14:paraId="63E673AE" w14:textId="77777777" w:rsidR="00991640" w:rsidRDefault="00447183">
      <w:pPr>
        <w:pStyle w:val="TableofFigures"/>
        <w:rPr>
          <w:rFonts w:asciiTheme="minorHAnsi" w:eastAsiaTheme="minorEastAsia" w:hAnsiTheme="minorHAnsi" w:cstheme="minorBidi"/>
        </w:rPr>
      </w:pPr>
      <w:hyperlink w:anchor="_Toc418179416" w:history="1">
        <w:r w:rsidR="00991640" w:rsidRPr="00670356">
          <w:rPr>
            <w:rStyle w:val="Hyperlink"/>
          </w:rPr>
          <w:t>Table 19</w:t>
        </w:r>
        <w:r w:rsidR="00991640">
          <w:rPr>
            <w:rFonts w:asciiTheme="minorHAnsi" w:eastAsiaTheme="minorEastAsia" w:hAnsiTheme="minorHAnsi" w:cstheme="minorBidi"/>
          </w:rPr>
          <w:tab/>
        </w:r>
        <w:r w:rsidR="00991640" w:rsidRPr="00670356">
          <w:rPr>
            <w:rStyle w:val="Hyperlink"/>
          </w:rPr>
          <w:t>Dimensions of evidence</w:t>
        </w:r>
        <w:r w:rsidR="00991640">
          <w:rPr>
            <w:webHidden/>
          </w:rPr>
          <w:tab/>
        </w:r>
        <w:r w:rsidR="00991640">
          <w:rPr>
            <w:webHidden/>
          </w:rPr>
          <w:fldChar w:fldCharType="begin"/>
        </w:r>
        <w:r w:rsidR="00991640">
          <w:rPr>
            <w:webHidden/>
          </w:rPr>
          <w:instrText xml:space="preserve"> PAGEREF _Toc418179416 \h </w:instrText>
        </w:r>
        <w:r w:rsidR="00991640">
          <w:rPr>
            <w:webHidden/>
          </w:rPr>
        </w:r>
        <w:r w:rsidR="00991640">
          <w:rPr>
            <w:webHidden/>
          </w:rPr>
          <w:fldChar w:fldCharType="separate"/>
        </w:r>
        <w:r w:rsidR="00B909E6">
          <w:rPr>
            <w:webHidden/>
          </w:rPr>
          <w:t>58</w:t>
        </w:r>
        <w:r w:rsidR="00991640">
          <w:rPr>
            <w:webHidden/>
          </w:rPr>
          <w:fldChar w:fldCharType="end"/>
        </w:r>
      </w:hyperlink>
    </w:p>
    <w:p w14:paraId="1AF0B507" w14:textId="0C210C53" w:rsidR="00991640" w:rsidRDefault="00447183">
      <w:pPr>
        <w:pStyle w:val="TableofFigures"/>
        <w:rPr>
          <w:rFonts w:asciiTheme="minorHAnsi" w:eastAsiaTheme="minorEastAsia" w:hAnsiTheme="minorHAnsi" w:cstheme="minorBidi"/>
        </w:rPr>
      </w:pPr>
      <w:hyperlink w:anchor="_Toc418179417" w:history="1">
        <w:r w:rsidR="00991640" w:rsidRPr="00670356">
          <w:rPr>
            <w:rStyle w:val="Hyperlink"/>
          </w:rPr>
          <w:t xml:space="preserve">Table 20 </w:t>
        </w:r>
        <w:r w:rsidR="00991640">
          <w:rPr>
            <w:rFonts w:asciiTheme="minorHAnsi" w:eastAsiaTheme="minorEastAsia" w:hAnsiTheme="minorHAnsi" w:cstheme="minorBidi"/>
          </w:rPr>
          <w:tab/>
        </w:r>
        <w:r w:rsidR="00991640" w:rsidRPr="00670356">
          <w:rPr>
            <w:rStyle w:val="Hyperlink"/>
          </w:rPr>
          <w:t xml:space="preserve">Designations of levels of evidence according to type of research question </w:t>
        </w:r>
        <w:r w:rsidR="00991640">
          <w:rPr>
            <w:webHidden/>
          </w:rPr>
          <w:tab/>
        </w:r>
        <w:r w:rsidR="00991640">
          <w:rPr>
            <w:webHidden/>
          </w:rPr>
          <w:fldChar w:fldCharType="begin"/>
        </w:r>
        <w:r w:rsidR="00991640">
          <w:rPr>
            <w:webHidden/>
          </w:rPr>
          <w:instrText xml:space="preserve"> PAGEREF _Toc418179417 \h </w:instrText>
        </w:r>
        <w:r w:rsidR="00991640">
          <w:rPr>
            <w:webHidden/>
          </w:rPr>
        </w:r>
        <w:r w:rsidR="00991640">
          <w:rPr>
            <w:webHidden/>
          </w:rPr>
          <w:fldChar w:fldCharType="separate"/>
        </w:r>
        <w:r w:rsidR="00B909E6">
          <w:rPr>
            <w:webHidden/>
          </w:rPr>
          <w:t>58</w:t>
        </w:r>
        <w:r w:rsidR="00991640">
          <w:rPr>
            <w:webHidden/>
          </w:rPr>
          <w:fldChar w:fldCharType="end"/>
        </w:r>
      </w:hyperlink>
    </w:p>
    <w:p w14:paraId="1F5D86B7" w14:textId="77777777" w:rsidR="00991640" w:rsidRDefault="00447183">
      <w:pPr>
        <w:pStyle w:val="TableofFigures"/>
        <w:rPr>
          <w:rFonts w:asciiTheme="minorHAnsi" w:eastAsiaTheme="minorEastAsia" w:hAnsiTheme="minorHAnsi" w:cstheme="minorBidi"/>
        </w:rPr>
      </w:pPr>
      <w:hyperlink w:anchor="_Toc418179418" w:history="1">
        <w:r w:rsidR="00991640" w:rsidRPr="00670356">
          <w:rPr>
            <w:rStyle w:val="Hyperlink"/>
          </w:rPr>
          <w:t xml:space="preserve">Table 21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DNA sequencing in CF patients</w:t>
        </w:r>
        <w:r w:rsidR="00991640">
          <w:rPr>
            <w:webHidden/>
          </w:rPr>
          <w:tab/>
        </w:r>
        <w:r w:rsidR="00991640">
          <w:rPr>
            <w:webHidden/>
          </w:rPr>
          <w:fldChar w:fldCharType="begin"/>
        </w:r>
        <w:r w:rsidR="00991640">
          <w:rPr>
            <w:webHidden/>
          </w:rPr>
          <w:instrText xml:space="preserve"> PAGEREF _Toc418179418 \h </w:instrText>
        </w:r>
        <w:r w:rsidR="00991640">
          <w:rPr>
            <w:webHidden/>
          </w:rPr>
        </w:r>
        <w:r w:rsidR="00991640">
          <w:rPr>
            <w:webHidden/>
          </w:rPr>
          <w:fldChar w:fldCharType="separate"/>
        </w:r>
        <w:r w:rsidR="00B909E6">
          <w:rPr>
            <w:webHidden/>
          </w:rPr>
          <w:t>61</w:t>
        </w:r>
        <w:r w:rsidR="00991640">
          <w:rPr>
            <w:webHidden/>
          </w:rPr>
          <w:fldChar w:fldCharType="end"/>
        </w:r>
      </w:hyperlink>
    </w:p>
    <w:p w14:paraId="6205E4A8" w14:textId="77777777" w:rsidR="00991640" w:rsidRDefault="00447183">
      <w:pPr>
        <w:pStyle w:val="TableofFigures"/>
        <w:rPr>
          <w:rFonts w:asciiTheme="minorHAnsi" w:eastAsiaTheme="minorEastAsia" w:hAnsiTheme="minorHAnsi" w:cstheme="minorBidi"/>
        </w:rPr>
      </w:pPr>
      <w:hyperlink w:anchor="_Toc418179419" w:history="1">
        <w:r w:rsidR="00991640" w:rsidRPr="00670356">
          <w:rPr>
            <w:rStyle w:val="Hyperlink"/>
          </w:rPr>
          <w:t xml:space="preserve">Table 22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DNA sequencing with clinical diagnosis in CF patients</w:t>
        </w:r>
        <w:r w:rsidR="00991640">
          <w:rPr>
            <w:webHidden/>
          </w:rPr>
          <w:tab/>
        </w:r>
        <w:r w:rsidR="00991640">
          <w:rPr>
            <w:webHidden/>
          </w:rPr>
          <w:fldChar w:fldCharType="begin"/>
        </w:r>
        <w:r w:rsidR="00991640">
          <w:rPr>
            <w:webHidden/>
          </w:rPr>
          <w:instrText xml:space="preserve"> PAGEREF _Toc418179419 \h </w:instrText>
        </w:r>
        <w:r w:rsidR="00991640">
          <w:rPr>
            <w:webHidden/>
          </w:rPr>
        </w:r>
        <w:r w:rsidR="00991640">
          <w:rPr>
            <w:webHidden/>
          </w:rPr>
          <w:fldChar w:fldCharType="separate"/>
        </w:r>
        <w:r w:rsidR="00B909E6">
          <w:rPr>
            <w:webHidden/>
          </w:rPr>
          <w:t>62</w:t>
        </w:r>
        <w:r w:rsidR="00991640">
          <w:rPr>
            <w:webHidden/>
          </w:rPr>
          <w:fldChar w:fldCharType="end"/>
        </w:r>
      </w:hyperlink>
    </w:p>
    <w:p w14:paraId="1721FA7E" w14:textId="77777777" w:rsidR="00991640" w:rsidRDefault="00447183">
      <w:pPr>
        <w:pStyle w:val="TableofFigures"/>
        <w:rPr>
          <w:rFonts w:asciiTheme="minorHAnsi" w:eastAsiaTheme="minorEastAsia" w:hAnsiTheme="minorHAnsi" w:cstheme="minorBidi"/>
        </w:rPr>
      </w:pPr>
      <w:hyperlink w:anchor="_Toc418179420" w:history="1">
        <w:r w:rsidR="00991640" w:rsidRPr="00670356">
          <w:rPr>
            <w:rStyle w:val="Hyperlink"/>
          </w:rPr>
          <w:t xml:space="preserve">Table 23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clinical diagnosis in CF patients</w:t>
        </w:r>
        <w:r w:rsidR="00991640">
          <w:rPr>
            <w:webHidden/>
          </w:rPr>
          <w:tab/>
        </w:r>
        <w:r w:rsidR="00991640">
          <w:rPr>
            <w:webHidden/>
          </w:rPr>
          <w:fldChar w:fldCharType="begin"/>
        </w:r>
        <w:r w:rsidR="00991640">
          <w:rPr>
            <w:webHidden/>
          </w:rPr>
          <w:instrText xml:space="preserve"> PAGEREF _Toc418179420 \h </w:instrText>
        </w:r>
        <w:r w:rsidR="00991640">
          <w:rPr>
            <w:webHidden/>
          </w:rPr>
        </w:r>
        <w:r w:rsidR="00991640">
          <w:rPr>
            <w:webHidden/>
          </w:rPr>
          <w:fldChar w:fldCharType="separate"/>
        </w:r>
        <w:r w:rsidR="00B909E6">
          <w:rPr>
            <w:webHidden/>
          </w:rPr>
          <w:t>62</w:t>
        </w:r>
        <w:r w:rsidR="00991640">
          <w:rPr>
            <w:webHidden/>
          </w:rPr>
          <w:fldChar w:fldCharType="end"/>
        </w:r>
      </w:hyperlink>
    </w:p>
    <w:p w14:paraId="0D93781D" w14:textId="77777777" w:rsidR="00991640" w:rsidRDefault="00447183">
      <w:pPr>
        <w:pStyle w:val="TableofFigures"/>
        <w:rPr>
          <w:rFonts w:asciiTheme="minorHAnsi" w:eastAsiaTheme="minorEastAsia" w:hAnsiTheme="minorHAnsi" w:cstheme="minorBidi"/>
        </w:rPr>
      </w:pPr>
      <w:hyperlink w:anchor="_Toc418179421" w:history="1">
        <w:r w:rsidR="00991640" w:rsidRPr="00670356">
          <w:rPr>
            <w:rStyle w:val="Hyperlink"/>
          </w:rPr>
          <w:t xml:space="preserve">Table 24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DNA sequencing in patients with CBAVD</w:t>
        </w:r>
        <w:r w:rsidR="00991640">
          <w:rPr>
            <w:webHidden/>
          </w:rPr>
          <w:tab/>
        </w:r>
        <w:r w:rsidR="00991640">
          <w:rPr>
            <w:webHidden/>
          </w:rPr>
          <w:fldChar w:fldCharType="begin"/>
        </w:r>
        <w:r w:rsidR="00991640">
          <w:rPr>
            <w:webHidden/>
          </w:rPr>
          <w:instrText xml:space="preserve"> PAGEREF _Toc418179421 \h </w:instrText>
        </w:r>
        <w:r w:rsidR="00991640">
          <w:rPr>
            <w:webHidden/>
          </w:rPr>
        </w:r>
        <w:r w:rsidR="00991640">
          <w:rPr>
            <w:webHidden/>
          </w:rPr>
          <w:fldChar w:fldCharType="separate"/>
        </w:r>
        <w:r w:rsidR="00B909E6">
          <w:rPr>
            <w:webHidden/>
          </w:rPr>
          <w:t>63</w:t>
        </w:r>
        <w:r w:rsidR="00991640">
          <w:rPr>
            <w:webHidden/>
          </w:rPr>
          <w:fldChar w:fldCharType="end"/>
        </w:r>
      </w:hyperlink>
    </w:p>
    <w:p w14:paraId="6D7396D2" w14:textId="77777777" w:rsidR="00991640" w:rsidRDefault="00447183">
      <w:pPr>
        <w:pStyle w:val="TableofFigures"/>
        <w:rPr>
          <w:rFonts w:asciiTheme="minorHAnsi" w:eastAsiaTheme="minorEastAsia" w:hAnsiTheme="minorHAnsi" w:cstheme="minorBidi"/>
        </w:rPr>
      </w:pPr>
      <w:hyperlink w:anchor="_Toc418179422" w:history="1">
        <w:r w:rsidR="00991640" w:rsidRPr="00670356">
          <w:rPr>
            <w:rStyle w:val="Hyperlink"/>
          </w:rPr>
          <w:t xml:space="preserve">Table 25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DNA sequencing with clinical diagnosis in patients with CBAVD</w:t>
        </w:r>
        <w:r w:rsidR="00991640">
          <w:rPr>
            <w:webHidden/>
          </w:rPr>
          <w:tab/>
        </w:r>
        <w:r w:rsidR="00991640">
          <w:rPr>
            <w:webHidden/>
          </w:rPr>
          <w:fldChar w:fldCharType="begin"/>
        </w:r>
        <w:r w:rsidR="00991640">
          <w:rPr>
            <w:webHidden/>
          </w:rPr>
          <w:instrText xml:space="preserve"> PAGEREF _Toc418179422 \h </w:instrText>
        </w:r>
        <w:r w:rsidR="00991640">
          <w:rPr>
            <w:webHidden/>
          </w:rPr>
        </w:r>
        <w:r w:rsidR="00991640">
          <w:rPr>
            <w:webHidden/>
          </w:rPr>
          <w:fldChar w:fldCharType="separate"/>
        </w:r>
        <w:r w:rsidR="00B909E6">
          <w:rPr>
            <w:webHidden/>
          </w:rPr>
          <w:t>63</w:t>
        </w:r>
        <w:r w:rsidR="00991640">
          <w:rPr>
            <w:webHidden/>
          </w:rPr>
          <w:fldChar w:fldCharType="end"/>
        </w:r>
      </w:hyperlink>
    </w:p>
    <w:p w14:paraId="066DEF87" w14:textId="77777777" w:rsidR="00991640" w:rsidRDefault="00447183">
      <w:pPr>
        <w:pStyle w:val="TableofFigures"/>
        <w:rPr>
          <w:rFonts w:asciiTheme="minorHAnsi" w:eastAsiaTheme="minorEastAsia" w:hAnsiTheme="minorHAnsi" w:cstheme="minorBidi"/>
        </w:rPr>
      </w:pPr>
      <w:hyperlink w:anchor="_Toc418179423" w:history="1">
        <w:r w:rsidR="00991640" w:rsidRPr="00670356">
          <w:rPr>
            <w:rStyle w:val="Hyperlink"/>
          </w:rPr>
          <w:t xml:space="preserve">Table 26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clinical diagnosis in patients with CBAVD</w:t>
        </w:r>
        <w:r w:rsidR="00991640">
          <w:rPr>
            <w:webHidden/>
          </w:rPr>
          <w:tab/>
        </w:r>
        <w:r w:rsidR="00991640">
          <w:rPr>
            <w:webHidden/>
          </w:rPr>
          <w:fldChar w:fldCharType="begin"/>
        </w:r>
        <w:r w:rsidR="00991640">
          <w:rPr>
            <w:webHidden/>
          </w:rPr>
          <w:instrText xml:space="preserve"> PAGEREF _Toc418179423 \h </w:instrText>
        </w:r>
        <w:r w:rsidR="00991640">
          <w:rPr>
            <w:webHidden/>
          </w:rPr>
        </w:r>
        <w:r w:rsidR="00991640">
          <w:rPr>
            <w:webHidden/>
          </w:rPr>
          <w:fldChar w:fldCharType="separate"/>
        </w:r>
        <w:r w:rsidR="00B909E6">
          <w:rPr>
            <w:webHidden/>
          </w:rPr>
          <w:t>63</w:t>
        </w:r>
        <w:r w:rsidR="00991640">
          <w:rPr>
            <w:webHidden/>
          </w:rPr>
          <w:fldChar w:fldCharType="end"/>
        </w:r>
      </w:hyperlink>
    </w:p>
    <w:p w14:paraId="428ABD79" w14:textId="77777777" w:rsidR="00991640" w:rsidRDefault="00447183">
      <w:pPr>
        <w:pStyle w:val="TableofFigures"/>
        <w:rPr>
          <w:rFonts w:asciiTheme="minorHAnsi" w:eastAsiaTheme="minorEastAsia" w:hAnsiTheme="minorHAnsi" w:cstheme="minorBidi"/>
        </w:rPr>
      </w:pPr>
      <w:hyperlink w:anchor="_Toc418179424" w:history="1">
        <w:r w:rsidR="00991640" w:rsidRPr="00670356">
          <w:rPr>
            <w:rStyle w:val="Hyperlink"/>
          </w:rPr>
          <w:t xml:space="preserve">Table 27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DNA sequencing in CFTR mutation carriers</w:t>
        </w:r>
        <w:r w:rsidR="00991640">
          <w:rPr>
            <w:webHidden/>
          </w:rPr>
          <w:tab/>
        </w:r>
        <w:r w:rsidR="00991640">
          <w:rPr>
            <w:webHidden/>
          </w:rPr>
          <w:fldChar w:fldCharType="begin"/>
        </w:r>
        <w:r w:rsidR="00991640">
          <w:rPr>
            <w:webHidden/>
          </w:rPr>
          <w:instrText xml:space="preserve"> PAGEREF _Toc418179424 \h </w:instrText>
        </w:r>
        <w:r w:rsidR="00991640">
          <w:rPr>
            <w:webHidden/>
          </w:rPr>
        </w:r>
        <w:r w:rsidR="00991640">
          <w:rPr>
            <w:webHidden/>
          </w:rPr>
          <w:fldChar w:fldCharType="separate"/>
        </w:r>
        <w:r w:rsidR="00B909E6">
          <w:rPr>
            <w:webHidden/>
          </w:rPr>
          <w:t>64</w:t>
        </w:r>
        <w:r w:rsidR="00991640">
          <w:rPr>
            <w:webHidden/>
          </w:rPr>
          <w:fldChar w:fldCharType="end"/>
        </w:r>
      </w:hyperlink>
    </w:p>
    <w:p w14:paraId="5F93A3F8" w14:textId="77777777" w:rsidR="00991640" w:rsidRDefault="00447183">
      <w:pPr>
        <w:pStyle w:val="TableofFigures"/>
        <w:rPr>
          <w:rFonts w:asciiTheme="minorHAnsi" w:eastAsiaTheme="minorEastAsia" w:hAnsiTheme="minorHAnsi" w:cstheme="minorBidi"/>
        </w:rPr>
      </w:pPr>
      <w:hyperlink w:anchor="_Toc418179425" w:history="1">
        <w:r w:rsidR="00991640" w:rsidRPr="00670356">
          <w:rPr>
            <w:rStyle w:val="Hyperlink"/>
          </w:rPr>
          <w:t xml:space="preserve">Table 28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clinical diagnosis in fetuses with carrier parents</w:t>
        </w:r>
        <w:r w:rsidR="00991640">
          <w:rPr>
            <w:webHidden/>
          </w:rPr>
          <w:tab/>
        </w:r>
        <w:r w:rsidR="00991640">
          <w:rPr>
            <w:webHidden/>
          </w:rPr>
          <w:fldChar w:fldCharType="begin"/>
        </w:r>
        <w:r w:rsidR="00991640">
          <w:rPr>
            <w:webHidden/>
          </w:rPr>
          <w:instrText xml:space="preserve"> PAGEREF _Toc418179425 \h </w:instrText>
        </w:r>
        <w:r w:rsidR="00991640">
          <w:rPr>
            <w:webHidden/>
          </w:rPr>
        </w:r>
        <w:r w:rsidR="00991640">
          <w:rPr>
            <w:webHidden/>
          </w:rPr>
          <w:fldChar w:fldCharType="separate"/>
        </w:r>
        <w:r w:rsidR="00B909E6">
          <w:rPr>
            <w:webHidden/>
          </w:rPr>
          <w:t>64</w:t>
        </w:r>
        <w:r w:rsidR="00991640">
          <w:rPr>
            <w:webHidden/>
          </w:rPr>
          <w:fldChar w:fldCharType="end"/>
        </w:r>
      </w:hyperlink>
    </w:p>
    <w:p w14:paraId="3E065934" w14:textId="77777777" w:rsidR="00991640" w:rsidRDefault="00447183">
      <w:pPr>
        <w:pStyle w:val="TableofFigures"/>
        <w:rPr>
          <w:rFonts w:asciiTheme="minorHAnsi" w:eastAsiaTheme="minorEastAsia" w:hAnsiTheme="minorHAnsi" w:cstheme="minorBidi"/>
        </w:rPr>
      </w:pPr>
      <w:hyperlink w:anchor="_Toc418179426" w:history="1">
        <w:r w:rsidR="00991640" w:rsidRPr="00670356">
          <w:rPr>
            <w:rStyle w:val="Hyperlink"/>
          </w:rPr>
          <w:t xml:space="preserve">Table 29 </w:t>
        </w:r>
        <w:r w:rsidR="00991640">
          <w:rPr>
            <w:rFonts w:asciiTheme="minorHAnsi" w:eastAsiaTheme="minorEastAsia" w:hAnsiTheme="minorHAnsi" w:cstheme="minorBidi"/>
          </w:rPr>
          <w:tab/>
        </w:r>
        <w:r w:rsidR="00991640" w:rsidRPr="00670356">
          <w:rPr>
            <w:rStyle w:val="Hyperlink"/>
          </w:rPr>
          <w:t>Risk of bias and applicability judgements for diagnostic accuracy studies comparing CFTR mutation testing with clinical diagnosis in fetuses with FEB</w:t>
        </w:r>
        <w:r w:rsidR="00991640">
          <w:rPr>
            <w:webHidden/>
          </w:rPr>
          <w:tab/>
        </w:r>
        <w:r w:rsidR="00991640">
          <w:rPr>
            <w:webHidden/>
          </w:rPr>
          <w:fldChar w:fldCharType="begin"/>
        </w:r>
        <w:r w:rsidR="00991640">
          <w:rPr>
            <w:webHidden/>
          </w:rPr>
          <w:instrText xml:space="preserve"> PAGEREF _Toc418179426 \h </w:instrText>
        </w:r>
        <w:r w:rsidR="00991640">
          <w:rPr>
            <w:webHidden/>
          </w:rPr>
        </w:r>
        <w:r w:rsidR="00991640">
          <w:rPr>
            <w:webHidden/>
          </w:rPr>
          <w:fldChar w:fldCharType="separate"/>
        </w:r>
        <w:r w:rsidR="00B909E6">
          <w:rPr>
            <w:webHidden/>
          </w:rPr>
          <w:t>65</w:t>
        </w:r>
        <w:r w:rsidR="00991640">
          <w:rPr>
            <w:webHidden/>
          </w:rPr>
          <w:fldChar w:fldCharType="end"/>
        </w:r>
      </w:hyperlink>
    </w:p>
    <w:p w14:paraId="14990040" w14:textId="77777777" w:rsidR="00991640" w:rsidRDefault="00447183">
      <w:pPr>
        <w:pStyle w:val="TableofFigures"/>
        <w:rPr>
          <w:rFonts w:asciiTheme="minorHAnsi" w:eastAsiaTheme="minorEastAsia" w:hAnsiTheme="minorHAnsi" w:cstheme="minorBidi"/>
        </w:rPr>
      </w:pPr>
      <w:hyperlink w:anchor="_Toc418179427" w:history="1">
        <w:r w:rsidR="00991640" w:rsidRPr="00670356">
          <w:rPr>
            <w:rStyle w:val="Hyperlink"/>
          </w:rPr>
          <w:t xml:space="preserve">Table 30 </w:t>
        </w:r>
        <w:r w:rsidR="00991640">
          <w:rPr>
            <w:rFonts w:asciiTheme="minorHAnsi" w:eastAsiaTheme="minorEastAsia" w:hAnsiTheme="minorHAnsi" w:cstheme="minorBidi"/>
          </w:rPr>
          <w:tab/>
        </w:r>
        <w:r w:rsidR="00991640" w:rsidRPr="00670356">
          <w:rPr>
            <w:rStyle w:val="Hyperlink"/>
          </w:rPr>
          <w:t>Risk of bias and applicability judgements for studies reporting CFTR mutation testing failure rates</w:t>
        </w:r>
        <w:r w:rsidR="00991640">
          <w:rPr>
            <w:webHidden/>
          </w:rPr>
          <w:tab/>
        </w:r>
        <w:r w:rsidR="00991640">
          <w:rPr>
            <w:webHidden/>
          </w:rPr>
          <w:fldChar w:fldCharType="begin"/>
        </w:r>
        <w:r w:rsidR="00991640">
          <w:rPr>
            <w:webHidden/>
          </w:rPr>
          <w:instrText xml:space="preserve"> PAGEREF _Toc418179427 \h </w:instrText>
        </w:r>
        <w:r w:rsidR="00991640">
          <w:rPr>
            <w:webHidden/>
          </w:rPr>
        </w:r>
        <w:r w:rsidR="00991640">
          <w:rPr>
            <w:webHidden/>
          </w:rPr>
          <w:fldChar w:fldCharType="separate"/>
        </w:r>
        <w:r w:rsidR="00B909E6">
          <w:rPr>
            <w:webHidden/>
          </w:rPr>
          <w:t>65</w:t>
        </w:r>
        <w:r w:rsidR="00991640">
          <w:rPr>
            <w:webHidden/>
          </w:rPr>
          <w:fldChar w:fldCharType="end"/>
        </w:r>
      </w:hyperlink>
    </w:p>
    <w:p w14:paraId="4CAB615B" w14:textId="77777777" w:rsidR="00991640" w:rsidRDefault="00447183">
      <w:pPr>
        <w:pStyle w:val="TableofFigures"/>
        <w:rPr>
          <w:rFonts w:asciiTheme="minorHAnsi" w:eastAsiaTheme="minorEastAsia" w:hAnsiTheme="minorHAnsi" w:cstheme="minorBidi"/>
        </w:rPr>
      </w:pPr>
      <w:hyperlink w:anchor="_Toc418179428" w:history="1">
        <w:r w:rsidR="00991640" w:rsidRPr="00670356">
          <w:rPr>
            <w:rStyle w:val="Hyperlink"/>
          </w:rPr>
          <w:t xml:space="preserve">Table 31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DNA sequencing in CF patients</w:t>
        </w:r>
        <w:r w:rsidR="00991640">
          <w:rPr>
            <w:webHidden/>
          </w:rPr>
          <w:tab/>
        </w:r>
        <w:r w:rsidR="00991640">
          <w:rPr>
            <w:webHidden/>
          </w:rPr>
          <w:fldChar w:fldCharType="begin"/>
        </w:r>
        <w:r w:rsidR="00991640">
          <w:rPr>
            <w:webHidden/>
          </w:rPr>
          <w:instrText xml:space="preserve"> PAGEREF _Toc418179428 \h </w:instrText>
        </w:r>
        <w:r w:rsidR="00991640">
          <w:rPr>
            <w:webHidden/>
          </w:rPr>
        </w:r>
        <w:r w:rsidR="00991640">
          <w:rPr>
            <w:webHidden/>
          </w:rPr>
          <w:fldChar w:fldCharType="separate"/>
        </w:r>
        <w:r w:rsidR="00B909E6">
          <w:rPr>
            <w:webHidden/>
          </w:rPr>
          <w:t>66</w:t>
        </w:r>
        <w:r w:rsidR="00991640">
          <w:rPr>
            <w:webHidden/>
          </w:rPr>
          <w:fldChar w:fldCharType="end"/>
        </w:r>
      </w:hyperlink>
    </w:p>
    <w:p w14:paraId="65C2AC2F" w14:textId="77777777" w:rsidR="00991640" w:rsidRDefault="00447183">
      <w:pPr>
        <w:pStyle w:val="TableofFigures"/>
        <w:rPr>
          <w:rFonts w:asciiTheme="minorHAnsi" w:eastAsiaTheme="minorEastAsia" w:hAnsiTheme="minorHAnsi" w:cstheme="minorBidi"/>
        </w:rPr>
      </w:pPr>
      <w:hyperlink w:anchor="_Toc418179429" w:history="1">
        <w:r w:rsidR="00991640" w:rsidRPr="00670356">
          <w:rPr>
            <w:rStyle w:val="Hyperlink"/>
          </w:rPr>
          <w:t xml:space="preserve">Table 32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DNA sequencing with clinical diagnosis in CF patients</w:t>
        </w:r>
        <w:r w:rsidR="00991640">
          <w:rPr>
            <w:webHidden/>
          </w:rPr>
          <w:tab/>
        </w:r>
        <w:r w:rsidR="00991640">
          <w:rPr>
            <w:webHidden/>
          </w:rPr>
          <w:fldChar w:fldCharType="begin"/>
        </w:r>
        <w:r w:rsidR="00991640">
          <w:rPr>
            <w:webHidden/>
          </w:rPr>
          <w:instrText xml:space="preserve"> PAGEREF _Toc418179429 \h </w:instrText>
        </w:r>
        <w:r w:rsidR="00991640">
          <w:rPr>
            <w:webHidden/>
          </w:rPr>
        </w:r>
        <w:r w:rsidR="00991640">
          <w:rPr>
            <w:webHidden/>
          </w:rPr>
          <w:fldChar w:fldCharType="separate"/>
        </w:r>
        <w:r w:rsidR="00B909E6">
          <w:rPr>
            <w:webHidden/>
          </w:rPr>
          <w:t>66</w:t>
        </w:r>
        <w:r w:rsidR="00991640">
          <w:rPr>
            <w:webHidden/>
          </w:rPr>
          <w:fldChar w:fldCharType="end"/>
        </w:r>
      </w:hyperlink>
    </w:p>
    <w:p w14:paraId="785475E4" w14:textId="77777777" w:rsidR="00991640" w:rsidRDefault="00447183">
      <w:pPr>
        <w:pStyle w:val="TableofFigures"/>
        <w:rPr>
          <w:rFonts w:asciiTheme="minorHAnsi" w:eastAsiaTheme="minorEastAsia" w:hAnsiTheme="minorHAnsi" w:cstheme="minorBidi"/>
        </w:rPr>
      </w:pPr>
      <w:hyperlink w:anchor="_Toc418179430" w:history="1">
        <w:r w:rsidR="00991640" w:rsidRPr="00670356">
          <w:rPr>
            <w:rStyle w:val="Hyperlink"/>
          </w:rPr>
          <w:t xml:space="preserve">Table 33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clinical diagnosis in CF patients</w:t>
        </w:r>
        <w:r w:rsidR="00991640">
          <w:rPr>
            <w:webHidden/>
          </w:rPr>
          <w:tab/>
        </w:r>
        <w:r w:rsidR="00991640">
          <w:rPr>
            <w:webHidden/>
          </w:rPr>
          <w:fldChar w:fldCharType="begin"/>
        </w:r>
        <w:r w:rsidR="00991640">
          <w:rPr>
            <w:webHidden/>
          </w:rPr>
          <w:instrText xml:space="preserve"> PAGEREF _Toc418179430 \h </w:instrText>
        </w:r>
        <w:r w:rsidR="00991640">
          <w:rPr>
            <w:webHidden/>
          </w:rPr>
        </w:r>
        <w:r w:rsidR="00991640">
          <w:rPr>
            <w:webHidden/>
          </w:rPr>
          <w:fldChar w:fldCharType="separate"/>
        </w:r>
        <w:r w:rsidR="00B909E6">
          <w:rPr>
            <w:webHidden/>
          </w:rPr>
          <w:t>67</w:t>
        </w:r>
        <w:r w:rsidR="00991640">
          <w:rPr>
            <w:webHidden/>
          </w:rPr>
          <w:fldChar w:fldCharType="end"/>
        </w:r>
      </w:hyperlink>
    </w:p>
    <w:p w14:paraId="5B3B9E78" w14:textId="77777777" w:rsidR="00991640" w:rsidRDefault="00447183">
      <w:pPr>
        <w:pStyle w:val="TableofFigures"/>
        <w:rPr>
          <w:rFonts w:asciiTheme="minorHAnsi" w:eastAsiaTheme="minorEastAsia" w:hAnsiTheme="minorHAnsi" w:cstheme="minorBidi"/>
        </w:rPr>
      </w:pPr>
      <w:hyperlink w:anchor="_Toc418179431" w:history="1">
        <w:r w:rsidR="00991640" w:rsidRPr="00670356">
          <w:rPr>
            <w:rStyle w:val="Hyperlink"/>
          </w:rPr>
          <w:t xml:space="preserve">Table 34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DNA sequencing in men with CBAVD</w:t>
        </w:r>
        <w:r w:rsidR="00991640">
          <w:rPr>
            <w:webHidden/>
          </w:rPr>
          <w:tab/>
        </w:r>
        <w:r w:rsidR="00991640">
          <w:rPr>
            <w:webHidden/>
          </w:rPr>
          <w:fldChar w:fldCharType="begin"/>
        </w:r>
        <w:r w:rsidR="00991640">
          <w:rPr>
            <w:webHidden/>
          </w:rPr>
          <w:instrText xml:space="preserve"> PAGEREF _Toc418179431 \h </w:instrText>
        </w:r>
        <w:r w:rsidR="00991640">
          <w:rPr>
            <w:webHidden/>
          </w:rPr>
        </w:r>
        <w:r w:rsidR="00991640">
          <w:rPr>
            <w:webHidden/>
          </w:rPr>
          <w:fldChar w:fldCharType="separate"/>
        </w:r>
        <w:r w:rsidR="00B909E6">
          <w:rPr>
            <w:webHidden/>
          </w:rPr>
          <w:t>67</w:t>
        </w:r>
        <w:r w:rsidR="00991640">
          <w:rPr>
            <w:webHidden/>
          </w:rPr>
          <w:fldChar w:fldCharType="end"/>
        </w:r>
      </w:hyperlink>
    </w:p>
    <w:p w14:paraId="193B37FD" w14:textId="77777777" w:rsidR="00991640" w:rsidRDefault="00447183">
      <w:pPr>
        <w:pStyle w:val="TableofFigures"/>
        <w:rPr>
          <w:rFonts w:asciiTheme="minorHAnsi" w:eastAsiaTheme="minorEastAsia" w:hAnsiTheme="minorHAnsi" w:cstheme="minorBidi"/>
        </w:rPr>
      </w:pPr>
      <w:hyperlink w:anchor="_Toc418179432" w:history="1">
        <w:r w:rsidR="00991640" w:rsidRPr="00670356">
          <w:rPr>
            <w:rStyle w:val="Hyperlink"/>
          </w:rPr>
          <w:t xml:space="preserve">Table 35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DNA sequencing with clinical diagnosis in men with CAVD/CBAVD</w:t>
        </w:r>
        <w:r w:rsidR="00991640">
          <w:rPr>
            <w:webHidden/>
          </w:rPr>
          <w:tab/>
        </w:r>
        <w:r w:rsidR="00991640">
          <w:rPr>
            <w:webHidden/>
          </w:rPr>
          <w:fldChar w:fldCharType="begin"/>
        </w:r>
        <w:r w:rsidR="00991640">
          <w:rPr>
            <w:webHidden/>
          </w:rPr>
          <w:instrText xml:space="preserve"> PAGEREF _Toc418179432 \h </w:instrText>
        </w:r>
        <w:r w:rsidR="00991640">
          <w:rPr>
            <w:webHidden/>
          </w:rPr>
        </w:r>
        <w:r w:rsidR="00991640">
          <w:rPr>
            <w:webHidden/>
          </w:rPr>
          <w:fldChar w:fldCharType="separate"/>
        </w:r>
        <w:r w:rsidR="00B909E6">
          <w:rPr>
            <w:webHidden/>
          </w:rPr>
          <w:t>67</w:t>
        </w:r>
        <w:r w:rsidR="00991640">
          <w:rPr>
            <w:webHidden/>
          </w:rPr>
          <w:fldChar w:fldCharType="end"/>
        </w:r>
      </w:hyperlink>
    </w:p>
    <w:p w14:paraId="0FDFA8F3" w14:textId="77777777" w:rsidR="00991640" w:rsidRDefault="00447183">
      <w:pPr>
        <w:pStyle w:val="TableofFigures"/>
        <w:rPr>
          <w:rFonts w:asciiTheme="minorHAnsi" w:eastAsiaTheme="minorEastAsia" w:hAnsiTheme="minorHAnsi" w:cstheme="minorBidi"/>
        </w:rPr>
      </w:pPr>
      <w:hyperlink w:anchor="_Toc418179433" w:history="1">
        <w:r w:rsidR="00991640" w:rsidRPr="00670356">
          <w:rPr>
            <w:rStyle w:val="Hyperlink"/>
          </w:rPr>
          <w:t xml:space="preserve">Table 36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clinical diagnosis in men with CBAVD</w:t>
        </w:r>
        <w:r w:rsidR="00991640">
          <w:rPr>
            <w:webHidden/>
          </w:rPr>
          <w:tab/>
        </w:r>
        <w:r w:rsidR="00991640">
          <w:rPr>
            <w:webHidden/>
          </w:rPr>
          <w:fldChar w:fldCharType="begin"/>
        </w:r>
        <w:r w:rsidR="00991640">
          <w:rPr>
            <w:webHidden/>
          </w:rPr>
          <w:instrText xml:space="preserve"> PAGEREF _Toc418179433 \h </w:instrText>
        </w:r>
        <w:r w:rsidR="00991640">
          <w:rPr>
            <w:webHidden/>
          </w:rPr>
        </w:r>
        <w:r w:rsidR="00991640">
          <w:rPr>
            <w:webHidden/>
          </w:rPr>
          <w:fldChar w:fldCharType="separate"/>
        </w:r>
        <w:r w:rsidR="00B909E6">
          <w:rPr>
            <w:webHidden/>
          </w:rPr>
          <w:t>68</w:t>
        </w:r>
        <w:r w:rsidR="00991640">
          <w:rPr>
            <w:webHidden/>
          </w:rPr>
          <w:fldChar w:fldCharType="end"/>
        </w:r>
      </w:hyperlink>
    </w:p>
    <w:p w14:paraId="1261230F" w14:textId="77777777" w:rsidR="00991640" w:rsidRDefault="00447183">
      <w:pPr>
        <w:pStyle w:val="TableofFigures"/>
        <w:rPr>
          <w:rFonts w:asciiTheme="minorHAnsi" w:eastAsiaTheme="minorEastAsia" w:hAnsiTheme="minorHAnsi" w:cstheme="minorBidi"/>
        </w:rPr>
      </w:pPr>
      <w:hyperlink w:anchor="_Toc418179434" w:history="1">
        <w:r w:rsidR="00991640" w:rsidRPr="00670356">
          <w:rPr>
            <w:rStyle w:val="Hyperlink"/>
          </w:rPr>
          <w:t xml:space="preserve">Table 37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DNA sequencing in CFTR mutation carriers</w:t>
        </w:r>
        <w:r w:rsidR="00991640">
          <w:rPr>
            <w:webHidden/>
          </w:rPr>
          <w:tab/>
        </w:r>
        <w:r w:rsidR="00991640">
          <w:rPr>
            <w:webHidden/>
          </w:rPr>
          <w:fldChar w:fldCharType="begin"/>
        </w:r>
        <w:r w:rsidR="00991640">
          <w:rPr>
            <w:webHidden/>
          </w:rPr>
          <w:instrText xml:space="preserve"> PAGEREF _Toc418179434 \h </w:instrText>
        </w:r>
        <w:r w:rsidR="00991640">
          <w:rPr>
            <w:webHidden/>
          </w:rPr>
        </w:r>
        <w:r w:rsidR="00991640">
          <w:rPr>
            <w:webHidden/>
          </w:rPr>
          <w:fldChar w:fldCharType="separate"/>
        </w:r>
        <w:r w:rsidR="00B909E6">
          <w:rPr>
            <w:webHidden/>
          </w:rPr>
          <w:t>68</w:t>
        </w:r>
        <w:r w:rsidR="00991640">
          <w:rPr>
            <w:webHidden/>
          </w:rPr>
          <w:fldChar w:fldCharType="end"/>
        </w:r>
      </w:hyperlink>
    </w:p>
    <w:p w14:paraId="338AB371" w14:textId="77777777" w:rsidR="00991640" w:rsidRDefault="00447183">
      <w:pPr>
        <w:pStyle w:val="TableofFigures"/>
        <w:rPr>
          <w:rFonts w:asciiTheme="minorHAnsi" w:eastAsiaTheme="minorEastAsia" w:hAnsiTheme="minorHAnsi" w:cstheme="minorBidi"/>
        </w:rPr>
      </w:pPr>
      <w:hyperlink w:anchor="_Toc418179435" w:history="1">
        <w:r w:rsidR="00991640" w:rsidRPr="00670356">
          <w:rPr>
            <w:rStyle w:val="Hyperlink"/>
          </w:rPr>
          <w:t xml:space="preserve">Table 38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clinical diagnosis in fetuses with carrier parents</w:t>
        </w:r>
        <w:r w:rsidR="00991640">
          <w:rPr>
            <w:webHidden/>
          </w:rPr>
          <w:tab/>
        </w:r>
        <w:r w:rsidR="00991640">
          <w:rPr>
            <w:webHidden/>
          </w:rPr>
          <w:fldChar w:fldCharType="begin"/>
        </w:r>
        <w:r w:rsidR="00991640">
          <w:rPr>
            <w:webHidden/>
          </w:rPr>
          <w:instrText xml:space="preserve"> PAGEREF _Toc418179435 \h </w:instrText>
        </w:r>
        <w:r w:rsidR="00991640">
          <w:rPr>
            <w:webHidden/>
          </w:rPr>
        </w:r>
        <w:r w:rsidR="00991640">
          <w:rPr>
            <w:webHidden/>
          </w:rPr>
          <w:fldChar w:fldCharType="separate"/>
        </w:r>
        <w:r w:rsidR="00B909E6">
          <w:rPr>
            <w:webHidden/>
          </w:rPr>
          <w:t>69</w:t>
        </w:r>
        <w:r w:rsidR="00991640">
          <w:rPr>
            <w:webHidden/>
          </w:rPr>
          <w:fldChar w:fldCharType="end"/>
        </w:r>
      </w:hyperlink>
    </w:p>
    <w:p w14:paraId="6B12CA58" w14:textId="77777777" w:rsidR="00991640" w:rsidRDefault="00447183">
      <w:pPr>
        <w:pStyle w:val="TableofFigures"/>
        <w:rPr>
          <w:rFonts w:asciiTheme="minorHAnsi" w:eastAsiaTheme="minorEastAsia" w:hAnsiTheme="minorHAnsi" w:cstheme="minorBidi"/>
        </w:rPr>
      </w:pPr>
      <w:hyperlink w:anchor="_Toc418179436" w:history="1">
        <w:r w:rsidR="00991640" w:rsidRPr="00670356">
          <w:rPr>
            <w:rStyle w:val="Hyperlink"/>
          </w:rPr>
          <w:t xml:space="preserve">Table 39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comparing CFTR mutation testing with clinical diagnosis in fetuses with FEB</w:t>
        </w:r>
        <w:r w:rsidR="00991640">
          <w:rPr>
            <w:webHidden/>
          </w:rPr>
          <w:tab/>
        </w:r>
        <w:r w:rsidR="00991640">
          <w:rPr>
            <w:webHidden/>
          </w:rPr>
          <w:fldChar w:fldCharType="begin"/>
        </w:r>
        <w:r w:rsidR="00991640">
          <w:rPr>
            <w:webHidden/>
          </w:rPr>
          <w:instrText xml:space="preserve"> PAGEREF _Toc418179436 \h </w:instrText>
        </w:r>
        <w:r w:rsidR="00991640">
          <w:rPr>
            <w:webHidden/>
          </w:rPr>
        </w:r>
        <w:r w:rsidR="00991640">
          <w:rPr>
            <w:webHidden/>
          </w:rPr>
          <w:fldChar w:fldCharType="separate"/>
        </w:r>
        <w:r w:rsidR="00B909E6">
          <w:rPr>
            <w:webHidden/>
          </w:rPr>
          <w:t>69</w:t>
        </w:r>
        <w:r w:rsidR="00991640">
          <w:rPr>
            <w:webHidden/>
          </w:rPr>
          <w:fldChar w:fldCharType="end"/>
        </w:r>
      </w:hyperlink>
    </w:p>
    <w:p w14:paraId="4AE97912" w14:textId="77777777" w:rsidR="00991640" w:rsidRDefault="00447183">
      <w:pPr>
        <w:pStyle w:val="TableofFigures"/>
        <w:rPr>
          <w:rFonts w:asciiTheme="minorHAnsi" w:eastAsiaTheme="minorEastAsia" w:hAnsiTheme="minorHAnsi" w:cstheme="minorBidi"/>
        </w:rPr>
      </w:pPr>
      <w:hyperlink w:anchor="_Toc418179437" w:history="1">
        <w:r w:rsidR="00991640" w:rsidRPr="00670356">
          <w:rPr>
            <w:rStyle w:val="Hyperlink"/>
          </w:rPr>
          <w:t xml:space="preserve">Table 40 </w:t>
        </w:r>
        <w:r w:rsidR="00991640">
          <w:rPr>
            <w:rFonts w:asciiTheme="minorHAnsi" w:eastAsiaTheme="minorEastAsia" w:hAnsiTheme="minorHAnsi" w:cstheme="minorBidi"/>
          </w:rPr>
          <w:tab/>
        </w:r>
        <w:r w:rsidR="00991640" w:rsidRPr="00670356">
          <w:rPr>
            <w:rStyle w:val="Hyperlink"/>
          </w:rPr>
          <w:t>Key features of the included evidence for diagnostic accuracy studies that reported CFTR mutation test failure rates</w:t>
        </w:r>
        <w:r w:rsidR="00991640">
          <w:rPr>
            <w:webHidden/>
          </w:rPr>
          <w:tab/>
        </w:r>
        <w:r w:rsidR="00991640">
          <w:rPr>
            <w:webHidden/>
          </w:rPr>
          <w:fldChar w:fldCharType="begin"/>
        </w:r>
        <w:r w:rsidR="00991640">
          <w:rPr>
            <w:webHidden/>
          </w:rPr>
          <w:instrText xml:space="preserve"> PAGEREF _Toc418179437 \h </w:instrText>
        </w:r>
        <w:r w:rsidR="00991640">
          <w:rPr>
            <w:webHidden/>
          </w:rPr>
        </w:r>
        <w:r w:rsidR="00991640">
          <w:rPr>
            <w:webHidden/>
          </w:rPr>
          <w:fldChar w:fldCharType="separate"/>
        </w:r>
        <w:r w:rsidR="00B909E6">
          <w:rPr>
            <w:webHidden/>
          </w:rPr>
          <w:t>70</w:t>
        </w:r>
        <w:r w:rsidR="00991640">
          <w:rPr>
            <w:webHidden/>
          </w:rPr>
          <w:fldChar w:fldCharType="end"/>
        </w:r>
      </w:hyperlink>
    </w:p>
    <w:p w14:paraId="79D67EFA" w14:textId="77777777" w:rsidR="00991640" w:rsidRDefault="00447183">
      <w:pPr>
        <w:pStyle w:val="TableofFigures"/>
        <w:rPr>
          <w:rFonts w:asciiTheme="minorHAnsi" w:eastAsiaTheme="minorEastAsia" w:hAnsiTheme="minorHAnsi" w:cstheme="minorBidi"/>
        </w:rPr>
      </w:pPr>
      <w:hyperlink w:anchor="_Toc418179438" w:history="1">
        <w:r w:rsidR="00991640" w:rsidRPr="00670356">
          <w:rPr>
            <w:rStyle w:val="Hyperlink"/>
          </w:rPr>
          <w:t>Table 41</w:t>
        </w:r>
        <w:r w:rsidR="00991640">
          <w:rPr>
            <w:rFonts w:asciiTheme="minorHAnsi" w:eastAsiaTheme="minorEastAsia" w:hAnsiTheme="minorHAnsi" w:cstheme="minorBidi"/>
          </w:rPr>
          <w:tab/>
        </w:r>
        <w:r w:rsidR="00991640" w:rsidRPr="00670356">
          <w:rPr>
            <w:rStyle w:val="Hyperlink"/>
          </w:rPr>
          <w:t>Diagnostic accuracy data extraction for CFTR mutation testing</w:t>
        </w:r>
        <w:r w:rsidR="00991640">
          <w:rPr>
            <w:webHidden/>
          </w:rPr>
          <w:tab/>
        </w:r>
        <w:r w:rsidR="00991640">
          <w:rPr>
            <w:webHidden/>
          </w:rPr>
          <w:fldChar w:fldCharType="begin"/>
        </w:r>
        <w:r w:rsidR="00991640">
          <w:rPr>
            <w:webHidden/>
          </w:rPr>
          <w:instrText xml:space="preserve"> PAGEREF _Toc418179438 \h </w:instrText>
        </w:r>
        <w:r w:rsidR="00991640">
          <w:rPr>
            <w:webHidden/>
          </w:rPr>
        </w:r>
        <w:r w:rsidR="00991640">
          <w:rPr>
            <w:webHidden/>
          </w:rPr>
          <w:fldChar w:fldCharType="separate"/>
        </w:r>
        <w:r w:rsidR="00B909E6">
          <w:rPr>
            <w:webHidden/>
          </w:rPr>
          <w:t>70</w:t>
        </w:r>
        <w:r w:rsidR="00991640">
          <w:rPr>
            <w:webHidden/>
          </w:rPr>
          <w:fldChar w:fldCharType="end"/>
        </w:r>
      </w:hyperlink>
    </w:p>
    <w:p w14:paraId="34D23C0D" w14:textId="77777777" w:rsidR="00991640" w:rsidRDefault="00447183">
      <w:pPr>
        <w:pStyle w:val="TableofFigures"/>
        <w:rPr>
          <w:rFonts w:asciiTheme="minorHAnsi" w:eastAsiaTheme="minorEastAsia" w:hAnsiTheme="minorHAnsi" w:cstheme="minorBidi"/>
        </w:rPr>
      </w:pPr>
      <w:hyperlink w:anchor="_Toc418179439" w:history="1">
        <w:r w:rsidR="00991640" w:rsidRPr="00670356">
          <w:rPr>
            <w:rStyle w:val="Hyperlink"/>
          </w:rPr>
          <w:t xml:space="preserve">Table 42 </w:t>
        </w:r>
        <w:r w:rsidR="00991640">
          <w:rPr>
            <w:rFonts w:asciiTheme="minorHAnsi" w:eastAsiaTheme="minorEastAsia" w:hAnsiTheme="minorHAnsi" w:cstheme="minorBidi"/>
          </w:rPr>
          <w:tab/>
        </w:r>
        <w:r w:rsidR="00991640" w:rsidRPr="00670356">
          <w:rPr>
            <w:rStyle w:val="Hyperlink"/>
          </w:rPr>
          <w:t>Summary of diagnostic accuracy data</w:t>
        </w:r>
        <w:r w:rsidR="00991640">
          <w:rPr>
            <w:webHidden/>
          </w:rPr>
          <w:tab/>
        </w:r>
        <w:r w:rsidR="00991640">
          <w:rPr>
            <w:webHidden/>
          </w:rPr>
          <w:fldChar w:fldCharType="begin"/>
        </w:r>
        <w:r w:rsidR="00991640">
          <w:rPr>
            <w:webHidden/>
          </w:rPr>
          <w:instrText xml:space="preserve"> PAGEREF _Toc418179439 \h </w:instrText>
        </w:r>
        <w:r w:rsidR="00991640">
          <w:rPr>
            <w:webHidden/>
          </w:rPr>
        </w:r>
        <w:r w:rsidR="00991640">
          <w:rPr>
            <w:webHidden/>
          </w:rPr>
          <w:fldChar w:fldCharType="separate"/>
        </w:r>
        <w:r w:rsidR="00B909E6">
          <w:rPr>
            <w:webHidden/>
          </w:rPr>
          <w:t>73</w:t>
        </w:r>
        <w:r w:rsidR="00991640">
          <w:rPr>
            <w:webHidden/>
          </w:rPr>
          <w:fldChar w:fldCharType="end"/>
        </w:r>
      </w:hyperlink>
    </w:p>
    <w:p w14:paraId="00568289" w14:textId="77777777" w:rsidR="00991640" w:rsidRDefault="00447183">
      <w:pPr>
        <w:pStyle w:val="TableofFigures"/>
        <w:rPr>
          <w:rFonts w:asciiTheme="minorHAnsi" w:eastAsiaTheme="minorEastAsia" w:hAnsiTheme="minorHAnsi" w:cstheme="minorBidi"/>
        </w:rPr>
      </w:pPr>
      <w:hyperlink w:anchor="_Toc418179440" w:history="1">
        <w:r w:rsidR="00991640" w:rsidRPr="00670356">
          <w:rPr>
            <w:rStyle w:val="Hyperlink"/>
          </w:rPr>
          <w:t xml:space="preserve">Table 43 </w:t>
        </w:r>
        <w:r w:rsidR="00991640">
          <w:rPr>
            <w:rFonts w:asciiTheme="minorHAnsi" w:eastAsiaTheme="minorEastAsia" w:hAnsiTheme="minorHAnsi" w:cstheme="minorBidi"/>
          </w:rPr>
          <w:tab/>
        </w:r>
        <w:r w:rsidR="00991640" w:rsidRPr="00670356">
          <w:rPr>
            <w:rStyle w:val="Hyperlink"/>
          </w:rPr>
          <w:t>Study quality and key features of the included evidence for change in management studies</w:t>
        </w:r>
        <w:r w:rsidR="00991640">
          <w:rPr>
            <w:webHidden/>
          </w:rPr>
          <w:tab/>
        </w:r>
        <w:r w:rsidR="00991640">
          <w:rPr>
            <w:webHidden/>
          </w:rPr>
          <w:fldChar w:fldCharType="begin"/>
        </w:r>
        <w:r w:rsidR="00991640">
          <w:rPr>
            <w:webHidden/>
          </w:rPr>
          <w:instrText xml:space="preserve"> PAGEREF _Toc418179440 \h </w:instrText>
        </w:r>
        <w:r w:rsidR="00991640">
          <w:rPr>
            <w:webHidden/>
          </w:rPr>
        </w:r>
        <w:r w:rsidR="00991640">
          <w:rPr>
            <w:webHidden/>
          </w:rPr>
          <w:fldChar w:fldCharType="separate"/>
        </w:r>
        <w:r w:rsidR="00B909E6">
          <w:rPr>
            <w:webHidden/>
          </w:rPr>
          <w:t>79</w:t>
        </w:r>
        <w:r w:rsidR="00991640">
          <w:rPr>
            <w:webHidden/>
          </w:rPr>
          <w:fldChar w:fldCharType="end"/>
        </w:r>
      </w:hyperlink>
    </w:p>
    <w:p w14:paraId="11DA8402" w14:textId="77777777" w:rsidR="00991640" w:rsidRDefault="00447183">
      <w:pPr>
        <w:pStyle w:val="TableofFigures"/>
        <w:rPr>
          <w:rFonts w:asciiTheme="minorHAnsi" w:eastAsiaTheme="minorEastAsia" w:hAnsiTheme="minorHAnsi" w:cstheme="minorBidi"/>
        </w:rPr>
      </w:pPr>
      <w:hyperlink w:anchor="_Toc418179441" w:history="1">
        <w:r w:rsidR="00991640" w:rsidRPr="00670356">
          <w:rPr>
            <w:rStyle w:val="Hyperlink"/>
          </w:rPr>
          <w:t xml:space="preserve">Table 44 </w:t>
        </w:r>
        <w:r w:rsidR="00991640">
          <w:rPr>
            <w:rFonts w:asciiTheme="minorHAnsi" w:eastAsiaTheme="minorEastAsia" w:hAnsiTheme="minorHAnsi" w:cstheme="minorBidi"/>
          </w:rPr>
          <w:tab/>
        </w:r>
        <w:r w:rsidR="00991640" w:rsidRPr="00670356">
          <w:rPr>
            <w:rStyle w:val="Hyperlink"/>
          </w:rPr>
          <w:t>TOP and CF birth rate in pregnancies where an echogenic bowel is detected</w:t>
        </w:r>
        <w:r w:rsidR="00991640">
          <w:rPr>
            <w:webHidden/>
          </w:rPr>
          <w:tab/>
        </w:r>
        <w:r w:rsidR="00991640">
          <w:rPr>
            <w:webHidden/>
          </w:rPr>
          <w:fldChar w:fldCharType="begin"/>
        </w:r>
        <w:r w:rsidR="00991640">
          <w:rPr>
            <w:webHidden/>
          </w:rPr>
          <w:instrText xml:space="preserve"> PAGEREF _Toc418179441 \h </w:instrText>
        </w:r>
        <w:r w:rsidR="00991640">
          <w:rPr>
            <w:webHidden/>
          </w:rPr>
        </w:r>
        <w:r w:rsidR="00991640">
          <w:rPr>
            <w:webHidden/>
          </w:rPr>
          <w:fldChar w:fldCharType="separate"/>
        </w:r>
        <w:r w:rsidR="00B909E6">
          <w:rPr>
            <w:webHidden/>
          </w:rPr>
          <w:t>80</w:t>
        </w:r>
        <w:r w:rsidR="00991640">
          <w:rPr>
            <w:webHidden/>
          </w:rPr>
          <w:fldChar w:fldCharType="end"/>
        </w:r>
      </w:hyperlink>
    </w:p>
    <w:p w14:paraId="07070A16" w14:textId="6AE271EA" w:rsidR="00991640" w:rsidRDefault="00447183">
      <w:pPr>
        <w:pStyle w:val="TableofFigures"/>
        <w:rPr>
          <w:rFonts w:asciiTheme="minorHAnsi" w:eastAsiaTheme="minorEastAsia" w:hAnsiTheme="minorHAnsi" w:cstheme="minorBidi"/>
        </w:rPr>
      </w:pPr>
      <w:hyperlink w:anchor="_Toc418179442" w:history="1">
        <w:r w:rsidR="00991640" w:rsidRPr="00670356">
          <w:rPr>
            <w:rStyle w:val="Hyperlink"/>
          </w:rPr>
          <w:t xml:space="preserve">Table 45 </w:t>
        </w:r>
        <w:r w:rsidR="00991640">
          <w:rPr>
            <w:rFonts w:asciiTheme="minorHAnsi" w:eastAsiaTheme="minorEastAsia" w:hAnsiTheme="minorHAnsi" w:cstheme="minorBidi"/>
          </w:rPr>
          <w:tab/>
        </w:r>
        <w:r w:rsidR="00991640" w:rsidRPr="00670356">
          <w:rPr>
            <w:rStyle w:val="Hyperlink"/>
          </w:rPr>
          <w:t>TOP and CF birth rate in pregnancies with a 1:4 risk of CF</w:t>
        </w:r>
        <w:r w:rsidR="00991640">
          <w:rPr>
            <w:webHidden/>
          </w:rPr>
          <w:tab/>
        </w:r>
        <w:r w:rsidR="00991640">
          <w:rPr>
            <w:webHidden/>
          </w:rPr>
          <w:fldChar w:fldCharType="begin"/>
        </w:r>
        <w:r w:rsidR="00991640">
          <w:rPr>
            <w:webHidden/>
          </w:rPr>
          <w:instrText xml:space="preserve"> PAGEREF _Toc418179442 \h </w:instrText>
        </w:r>
        <w:r w:rsidR="00991640">
          <w:rPr>
            <w:webHidden/>
          </w:rPr>
        </w:r>
        <w:r w:rsidR="00991640">
          <w:rPr>
            <w:webHidden/>
          </w:rPr>
          <w:fldChar w:fldCharType="separate"/>
        </w:r>
        <w:r w:rsidR="00B909E6">
          <w:rPr>
            <w:webHidden/>
          </w:rPr>
          <w:t>80</w:t>
        </w:r>
        <w:r w:rsidR="00991640">
          <w:rPr>
            <w:webHidden/>
          </w:rPr>
          <w:fldChar w:fldCharType="end"/>
        </w:r>
      </w:hyperlink>
    </w:p>
    <w:p w14:paraId="341AA92B" w14:textId="42780C82" w:rsidR="00991640" w:rsidRDefault="00447183">
      <w:pPr>
        <w:pStyle w:val="TableofFigures"/>
        <w:rPr>
          <w:rFonts w:asciiTheme="minorHAnsi" w:eastAsiaTheme="minorEastAsia" w:hAnsiTheme="minorHAnsi" w:cstheme="minorBidi"/>
        </w:rPr>
      </w:pPr>
      <w:hyperlink w:anchor="_Toc418179443" w:history="1">
        <w:r w:rsidR="00991640" w:rsidRPr="00670356">
          <w:rPr>
            <w:rStyle w:val="Hyperlink"/>
          </w:rPr>
          <w:t xml:space="preserve">Table 46 </w:t>
        </w:r>
        <w:r w:rsidR="00771030">
          <w:rPr>
            <w:rStyle w:val="Hyperlink"/>
          </w:rPr>
          <w:tab/>
        </w:r>
        <w:r w:rsidR="00991640" w:rsidRPr="00670356">
          <w:rPr>
            <w:rStyle w:val="Hyperlink"/>
          </w:rPr>
          <w:t xml:space="preserve">Complications and fetal loss </w:t>
        </w:r>
        <w:r w:rsidR="00674688">
          <w:rPr>
            <w:rStyle w:val="Hyperlink"/>
          </w:rPr>
          <w:t>after</w:t>
        </w:r>
        <w:r w:rsidR="00991640" w:rsidRPr="00670356">
          <w:rPr>
            <w:rStyle w:val="Hyperlink"/>
          </w:rPr>
          <w:t xml:space="preserve"> amniocentesis compared </w:t>
        </w:r>
        <w:r w:rsidR="00C235BE">
          <w:rPr>
            <w:rStyle w:val="Hyperlink"/>
          </w:rPr>
          <w:t>with</w:t>
        </w:r>
        <w:r w:rsidR="00991640" w:rsidRPr="00670356">
          <w:rPr>
            <w:rStyle w:val="Hyperlink"/>
          </w:rPr>
          <w:t xml:space="preserve"> a control group </w:t>
        </w:r>
        <w:r w:rsidR="00991640">
          <w:rPr>
            <w:webHidden/>
          </w:rPr>
          <w:tab/>
        </w:r>
        <w:r w:rsidR="00991640">
          <w:rPr>
            <w:webHidden/>
          </w:rPr>
          <w:fldChar w:fldCharType="begin"/>
        </w:r>
        <w:r w:rsidR="00991640">
          <w:rPr>
            <w:webHidden/>
          </w:rPr>
          <w:instrText xml:space="preserve"> PAGEREF _Toc418179443 \h </w:instrText>
        </w:r>
        <w:r w:rsidR="00991640">
          <w:rPr>
            <w:webHidden/>
          </w:rPr>
        </w:r>
        <w:r w:rsidR="00991640">
          <w:rPr>
            <w:webHidden/>
          </w:rPr>
          <w:fldChar w:fldCharType="separate"/>
        </w:r>
        <w:r w:rsidR="00B909E6">
          <w:rPr>
            <w:webHidden/>
          </w:rPr>
          <w:t>82</w:t>
        </w:r>
        <w:r w:rsidR="00991640">
          <w:rPr>
            <w:webHidden/>
          </w:rPr>
          <w:fldChar w:fldCharType="end"/>
        </w:r>
      </w:hyperlink>
    </w:p>
    <w:p w14:paraId="7DD8A4F9" w14:textId="1284BD82" w:rsidR="00991640" w:rsidRDefault="00447183">
      <w:pPr>
        <w:pStyle w:val="TableofFigures"/>
        <w:rPr>
          <w:rFonts w:asciiTheme="minorHAnsi" w:eastAsiaTheme="minorEastAsia" w:hAnsiTheme="minorHAnsi" w:cstheme="minorBidi"/>
        </w:rPr>
      </w:pPr>
      <w:hyperlink w:anchor="_Toc418179444" w:history="1">
        <w:r w:rsidR="00991640" w:rsidRPr="00670356">
          <w:rPr>
            <w:rStyle w:val="Hyperlink"/>
          </w:rPr>
          <w:t xml:space="preserve">Table 47 </w:t>
        </w:r>
        <w:r w:rsidR="00991640">
          <w:rPr>
            <w:rFonts w:asciiTheme="minorHAnsi" w:eastAsiaTheme="minorEastAsia" w:hAnsiTheme="minorHAnsi" w:cstheme="minorBidi"/>
          </w:rPr>
          <w:tab/>
        </w:r>
        <w:r w:rsidR="00991640" w:rsidRPr="00670356">
          <w:rPr>
            <w:rStyle w:val="Hyperlink"/>
          </w:rPr>
          <w:t>Depression and anxiety in parents caring for a child with CF</w:t>
        </w:r>
        <w:r w:rsidR="00991640">
          <w:rPr>
            <w:webHidden/>
          </w:rPr>
          <w:tab/>
        </w:r>
        <w:r w:rsidR="00991640">
          <w:rPr>
            <w:webHidden/>
          </w:rPr>
          <w:fldChar w:fldCharType="begin"/>
        </w:r>
        <w:r w:rsidR="00991640">
          <w:rPr>
            <w:webHidden/>
          </w:rPr>
          <w:instrText xml:space="preserve"> PAGEREF _Toc418179444 \h </w:instrText>
        </w:r>
        <w:r w:rsidR="00991640">
          <w:rPr>
            <w:webHidden/>
          </w:rPr>
        </w:r>
        <w:r w:rsidR="00991640">
          <w:rPr>
            <w:webHidden/>
          </w:rPr>
          <w:fldChar w:fldCharType="separate"/>
        </w:r>
        <w:r w:rsidR="00B909E6">
          <w:rPr>
            <w:webHidden/>
          </w:rPr>
          <w:t>89</w:t>
        </w:r>
        <w:r w:rsidR="00991640">
          <w:rPr>
            <w:webHidden/>
          </w:rPr>
          <w:fldChar w:fldCharType="end"/>
        </w:r>
      </w:hyperlink>
    </w:p>
    <w:p w14:paraId="7B3DEC60" w14:textId="77777777" w:rsidR="00991640" w:rsidRDefault="00447183">
      <w:pPr>
        <w:pStyle w:val="TableofFigures"/>
        <w:rPr>
          <w:rFonts w:asciiTheme="minorHAnsi" w:eastAsiaTheme="minorEastAsia" w:hAnsiTheme="minorHAnsi" w:cstheme="minorBidi"/>
        </w:rPr>
      </w:pPr>
      <w:hyperlink w:anchor="_Toc418179445" w:history="1">
        <w:r w:rsidR="00991640" w:rsidRPr="00670356">
          <w:rPr>
            <w:rStyle w:val="Hyperlink"/>
          </w:rPr>
          <w:t>Table 48</w:t>
        </w:r>
        <w:r w:rsidR="00991640">
          <w:rPr>
            <w:rFonts w:asciiTheme="minorHAnsi" w:eastAsiaTheme="minorEastAsia" w:hAnsiTheme="minorHAnsi" w:cstheme="minorBidi"/>
          </w:rPr>
          <w:tab/>
        </w:r>
        <w:r w:rsidR="00991640" w:rsidRPr="00670356">
          <w:rPr>
            <w:rStyle w:val="Hyperlink"/>
          </w:rPr>
          <w:t>Body of evidence assessment matrix for diagnostic accuracy results</w:t>
        </w:r>
        <w:r w:rsidR="00991640">
          <w:rPr>
            <w:webHidden/>
          </w:rPr>
          <w:tab/>
        </w:r>
        <w:r w:rsidR="00991640">
          <w:rPr>
            <w:webHidden/>
          </w:rPr>
          <w:fldChar w:fldCharType="begin"/>
        </w:r>
        <w:r w:rsidR="00991640">
          <w:rPr>
            <w:webHidden/>
          </w:rPr>
          <w:instrText xml:space="preserve"> PAGEREF _Toc418179445 \h </w:instrText>
        </w:r>
        <w:r w:rsidR="00991640">
          <w:rPr>
            <w:webHidden/>
          </w:rPr>
        </w:r>
        <w:r w:rsidR="00991640">
          <w:rPr>
            <w:webHidden/>
          </w:rPr>
          <w:fldChar w:fldCharType="separate"/>
        </w:r>
        <w:r w:rsidR="00B909E6">
          <w:rPr>
            <w:webHidden/>
          </w:rPr>
          <w:t>92</w:t>
        </w:r>
        <w:r w:rsidR="00991640">
          <w:rPr>
            <w:webHidden/>
          </w:rPr>
          <w:fldChar w:fldCharType="end"/>
        </w:r>
      </w:hyperlink>
    </w:p>
    <w:p w14:paraId="11A20BC0" w14:textId="77777777" w:rsidR="00991640" w:rsidRDefault="00447183">
      <w:pPr>
        <w:pStyle w:val="TableofFigures"/>
        <w:rPr>
          <w:rFonts w:asciiTheme="minorHAnsi" w:eastAsiaTheme="minorEastAsia" w:hAnsiTheme="minorHAnsi" w:cstheme="minorBidi"/>
        </w:rPr>
      </w:pPr>
      <w:hyperlink w:anchor="_Toc418179446" w:history="1">
        <w:r w:rsidR="00991640" w:rsidRPr="00670356">
          <w:rPr>
            <w:rStyle w:val="Hyperlink"/>
          </w:rPr>
          <w:t>Table 49</w:t>
        </w:r>
        <w:r w:rsidR="00991640">
          <w:rPr>
            <w:rFonts w:asciiTheme="minorHAnsi" w:eastAsiaTheme="minorEastAsia" w:hAnsiTheme="minorHAnsi" w:cstheme="minorBidi"/>
          </w:rPr>
          <w:tab/>
        </w:r>
        <w:r w:rsidR="00991640" w:rsidRPr="00670356">
          <w:rPr>
            <w:rStyle w:val="Hyperlink"/>
          </w:rPr>
          <w:t>Body of evidence assessment matrix for change in management results</w:t>
        </w:r>
        <w:r w:rsidR="00991640">
          <w:rPr>
            <w:webHidden/>
          </w:rPr>
          <w:tab/>
        </w:r>
        <w:r w:rsidR="00991640">
          <w:rPr>
            <w:webHidden/>
          </w:rPr>
          <w:fldChar w:fldCharType="begin"/>
        </w:r>
        <w:r w:rsidR="00991640">
          <w:rPr>
            <w:webHidden/>
          </w:rPr>
          <w:instrText xml:space="preserve"> PAGEREF _Toc418179446 \h </w:instrText>
        </w:r>
        <w:r w:rsidR="00991640">
          <w:rPr>
            <w:webHidden/>
          </w:rPr>
        </w:r>
        <w:r w:rsidR="00991640">
          <w:rPr>
            <w:webHidden/>
          </w:rPr>
          <w:fldChar w:fldCharType="separate"/>
        </w:r>
        <w:r w:rsidR="00B909E6">
          <w:rPr>
            <w:webHidden/>
          </w:rPr>
          <w:t>92</w:t>
        </w:r>
        <w:r w:rsidR="00991640">
          <w:rPr>
            <w:webHidden/>
          </w:rPr>
          <w:fldChar w:fldCharType="end"/>
        </w:r>
      </w:hyperlink>
    </w:p>
    <w:p w14:paraId="10A97562" w14:textId="0966D562" w:rsidR="00991640" w:rsidRDefault="00447183">
      <w:pPr>
        <w:pStyle w:val="TableofFigures"/>
        <w:rPr>
          <w:rFonts w:asciiTheme="minorHAnsi" w:eastAsiaTheme="minorEastAsia" w:hAnsiTheme="minorHAnsi" w:cstheme="minorBidi"/>
        </w:rPr>
      </w:pPr>
      <w:hyperlink w:anchor="_Toc418179447" w:history="1">
        <w:r w:rsidR="00991640" w:rsidRPr="00670356">
          <w:rPr>
            <w:rStyle w:val="Hyperlink"/>
          </w:rPr>
          <w:t>Table 50</w:t>
        </w:r>
        <w:r w:rsidR="00991640">
          <w:rPr>
            <w:rFonts w:asciiTheme="minorHAnsi" w:eastAsiaTheme="minorEastAsia" w:hAnsiTheme="minorHAnsi" w:cstheme="minorBidi"/>
          </w:rPr>
          <w:tab/>
        </w:r>
        <w:r w:rsidR="00991640" w:rsidRPr="00670356">
          <w:rPr>
            <w:rStyle w:val="Hyperlink"/>
          </w:rPr>
          <w:t xml:space="preserve">Scenarios of alternative numbers of mutations included on ‘common mutations’ panel </w:t>
        </w:r>
        <w:r w:rsidR="00BA7CBA">
          <w:rPr>
            <w:rStyle w:val="Hyperlink"/>
          </w:rPr>
          <w:t xml:space="preserve">and </w:t>
        </w:r>
        <w:r w:rsidR="00991640" w:rsidRPr="00670356">
          <w:rPr>
            <w:rStyle w:val="Hyperlink"/>
          </w:rPr>
          <w:t>analysed in the economic models</w:t>
        </w:r>
        <w:r w:rsidR="00991640">
          <w:rPr>
            <w:webHidden/>
          </w:rPr>
          <w:tab/>
        </w:r>
        <w:r w:rsidR="00991640">
          <w:rPr>
            <w:webHidden/>
          </w:rPr>
          <w:fldChar w:fldCharType="begin"/>
        </w:r>
        <w:r w:rsidR="00991640">
          <w:rPr>
            <w:webHidden/>
          </w:rPr>
          <w:instrText xml:space="preserve"> PAGEREF _Toc418179447 \h </w:instrText>
        </w:r>
        <w:r w:rsidR="00991640">
          <w:rPr>
            <w:webHidden/>
          </w:rPr>
        </w:r>
        <w:r w:rsidR="00991640">
          <w:rPr>
            <w:webHidden/>
          </w:rPr>
          <w:fldChar w:fldCharType="separate"/>
        </w:r>
        <w:r w:rsidR="00B909E6">
          <w:rPr>
            <w:webHidden/>
          </w:rPr>
          <w:t>95</w:t>
        </w:r>
        <w:r w:rsidR="00991640">
          <w:rPr>
            <w:webHidden/>
          </w:rPr>
          <w:fldChar w:fldCharType="end"/>
        </w:r>
      </w:hyperlink>
    </w:p>
    <w:p w14:paraId="5008DFA8" w14:textId="4914CA12" w:rsidR="00991640" w:rsidRDefault="00447183">
      <w:pPr>
        <w:pStyle w:val="TableofFigures"/>
        <w:rPr>
          <w:rFonts w:asciiTheme="minorHAnsi" w:eastAsiaTheme="minorEastAsia" w:hAnsiTheme="minorHAnsi" w:cstheme="minorBidi"/>
        </w:rPr>
      </w:pPr>
      <w:hyperlink w:anchor="_Toc418179448" w:history="1">
        <w:r w:rsidR="00991640" w:rsidRPr="00670356">
          <w:rPr>
            <w:rStyle w:val="Hyperlink"/>
          </w:rPr>
          <w:t>Table 51</w:t>
        </w:r>
        <w:r w:rsidR="00991640">
          <w:rPr>
            <w:rFonts w:asciiTheme="minorHAnsi" w:eastAsiaTheme="minorEastAsia" w:hAnsiTheme="minorHAnsi" w:cstheme="minorBidi"/>
          </w:rPr>
          <w:tab/>
        </w:r>
        <w:r w:rsidR="00991640" w:rsidRPr="00670356">
          <w:rPr>
            <w:rStyle w:val="Hyperlink"/>
          </w:rPr>
          <w:t xml:space="preserve">Estimated risk of miscarriage </w:t>
        </w:r>
        <w:r w:rsidR="00D801A5">
          <w:rPr>
            <w:rStyle w:val="Hyperlink"/>
          </w:rPr>
          <w:t>of</w:t>
        </w:r>
        <w:r w:rsidR="00991640" w:rsidRPr="00670356">
          <w:rPr>
            <w:rStyle w:val="Hyperlink"/>
          </w:rPr>
          <w:t xml:space="preserve"> fetuses that have invasive testing</w:t>
        </w:r>
        <w:r w:rsidR="00991640">
          <w:rPr>
            <w:webHidden/>
          </w:rPr>
          <w:tab/>
        </w:r>
        <w:r w:rsidR="00991640">
          <w:rPr>
            <w:webHidden/>
          </w:rPr>
          <w:fldChar w:fldCharType="begin"/>
        </w:r>
        <w:r w:rsidR="00991640">
          <w:rPr>
            <w:webHidden/>
          </w:rPr>
          <w:instrText xml:space="preserve"> PAGEREF _Toc418179448 \h </w:instrText>
        </w:r>
        <w:r w:rsidR="00991640">
          <w:rPr>
            <w:webHidden/>
          </w:rPr>
        </w:r>
        <w:r w:rsidR="00991640">
          <w:rPr>
            <w:webHidden/>
          </w:rPr>
          <w:fldChar w:fldCharType="separate"/>
        </w:r>
        <w:r w:rsidR="00B909E6">
          <w:rPr>
            <w:webHidden/>
          </w:rPr>
          <w:t>97</w:t>
        </w:r>
        <w:r w:rsidR="00991640">
          <w:rPr>
            <w:webHidden/>
          </w:rPr>
          <w:fldChar w:fldCharType="end"/>
        </w:r>
      </w:hyperlink>
    </w:p>
    <w:p w14:paraId="7F790C90" w14:textId="3D98FA98" w:rsidR="00991640" w:rsidRDefault="00447183">
      <w:pPr>
        <w:pStyle w:val="TableofFigures"/>
        <w:rPr>
          <w:rFonts w:asciiTheme="minorHAnsi" w:eastAsiaTheme="minorEastAsia" w:hAnsiTheme="minorHAnsi" w:cstheme="minorBidi"/>
        </w:rPr>
      </w:pPr>
      <w:hyperlink w:anchor="_Toc418179449" w:history="1">
        <w:r w:rsidR="00991640" w:rsidRPr="00670356">
          <w:rPr>
            <w:rStyle w:val="Hyperlink"/>
          </w:rPr>
          <w:t>Table 52</w:t>
        </w:r>
        <w:r w:rsidR="00991640">
          <w:rPr>
            <w:rFonts w:asciiTheme="minorHAnsi" w:eastAsiaTheme="minorEastAsia" w:hAnsiTheme="minorHAnsi" w:cstheme="minorBidi"/>
          </w:rPr>
          <w:tab/>
        </w:r>
        <w:r w:rsidR="00991640" w:rsidRPr="00670356">
          <w:rPr>
            <w:rStyle w:val="Hyperlink"/>
          </w:rPr>
          <w:t xml:space="preserve">Estimated uptake rate of </w:t>
        </w:r>
        <w:r w:rsidR="00BA7CBA">
          <w:rPr>
            <w:rStyle w:val="Hyperlink"/>
          </w:rPr>
          <w:t>TOP</w:t>
        </w:r>
        <w:r w:rsidR="00991640" w:rsidRPr="00670356">
          <w:rPr>
            <w:rStyle w:val="Hyperlink"/>
          </w:rPr>
          <w:t xml:space="preserve"> in parents of fetuses diagnosed with CF</w:t>
        </w:r>
        <w:r w:rsidR="00991640">
          <w:rPr>
            <w:webHidden/>
          </w:rPr>
          <w:tab/>
        </w:r>
        <w:r w:rsidR="00991640">
          <w:rPr>
            <w:webHidden/>
          </w:rPr>
          <w:fldChar w:fldCharType="begin"/>
        </w:r>
        <w:r w:rsidR="00991640">
          <w:rPr>
            <w:webHidden/>
          </w:rPr>
          <w:instrText xml:space="preserve"> PAGEREF _Toc418179449 \h </w:instrText>
        </w:r>
        <w:r w:rsidR="00991640">
          <w:rPr>
            <w:webHidden/>
          </w:rPr>
        </w:r>
        <w:r w:rsidR="00991640">
          <w:rPr>
            <w:webHidden/>
          </w:rPr>
          <w:fldChar w:fldCharType="separate"/>
        </w:r>
        <w:r w:rsidR="00B909E6">
          <w:rPr>
            <w:webHidden/>
          </w:rPr>
          <w:t>98</w:t>
        </w:r>
        <w:r w:rsidR="00991640">
          <w:rPr>
            <w:webHidden/>
          </w:rPr>
          <w:fldChar w:fldCharType="end"/>
        </w:r>
      </w:hyperlink>
    </w:p>
    <w:p w14:paraId="61E3FD07" w14:textId="30D25BD5" w:rsidR="00991640" w:rsidRDefault="00447183">
      <w:pPr>
        <w:pStyle w:val="TableofFigures"/>
        <w:rPr>
          <w:rFonts w:asciiTheme="minorHAnsi" w:eastAsiaTheme="minorEastAsia" w:hAnsiTheme="minorHAnsi" w:cstheme="minorBidi"/>
        </w:rPr>
      </w:pPr>
      <w:hyperlink w:anchor="_Toc418179450" w:history="1">
        <w:r w:rsidR="00991640" w:rsidRPr="00670356">
          <w:rPr>
            <w:rStyle w:val="Hyperlink"/>
          </w:rPr>
          <w:t>Table 53</w:t>
        </w:r>
        <w:r w:rsidR="00991640">
          <w:rPr>
            <w:rFonts w:asciiTheme="minorHAnsi" w:eastAsiaTheme="minorEastAsia" w:hAnsiTheme="minorHAnsi" w:cstheme="minorBidi"/>
          </w:rPr>
          <w:tab/>
        </w:r>
        <w:r w:rsidR="00991640" w:rsidRPr="00670356">
          <w:rPr>
            <w:rStyle w:val="Hyperlink"/>
          </w:rPr>
          <w:t xml:space="preserve">Summary of results of pre-modelling studies and their </w:t>
        </w:r>
        <w:r w:rsidR="00FF0740">
          <w:rPr>
            <w:rStyle w:val="Hyperlink"/>
          </w:rPr>
          <w:t>implication</w:t>
        </w:r>
        <w:r w:rsidR="00991640" w:rsidRPr="00670356">
          <w:rPr>
            <w:rStyle w:val="Hyperlink"/>
          </w:rPr>
          <w:t>s in the economic evaluation</w:t>
        </w:r>
        <w:r w:rsidR="00991640">
          <w:rPr>
            <w:webHidden/>
          </w:rPr>
          <w:tab/>
        </w:r>
        <w:r w:rsidR="00991640">
          <w:rPr>
            <w:webHidden/>
          </w:rPr>
          <w:fldChar w:fldCharType="begin"/>
        </w:r>
        <w:r w:rsidR="00991640">
          <w:rPr>
            <w:webHidden/>
          </w:rPr>
          <w:instrText xml:space="preserve"> PAGEREF _Toc418179450 \h </w:instrText>
        </w:r>
        <w:r w:rsidR="00991640">
          <w:rPr>
            <w:webHidden/>
          </w:rPr>
        </w:r>
        <w:r w:rsidR="00991640">
          <w:rPr>
            <w:webHidden/>
          </w:rPr>
          <w:fldChar w:fldCharType="separate"/>
        </w:r>
        <w:r w:rsidR="00B909E6">
          <w:rPr>
            <w:webHidden/>
          </w:rPr>
          <w:t>99</w:t>
        </w:r>
        <w:r w:rsidR="00991640">
          <w:rPr>
            <w:webHidden/>
          </w:rPr>
          <w:fldChar w:fldCharType="end"/>
        </w:r>
      </w:hyperlink>
    </w:p>
    <w:p w14:paraId="026ED408" w14:textId="77777777" w:rsidR="00991640" w:rsidRDefault="00447183">
      <w:pPr>
        <w:pStyle w:val="TableofFigures"/>
        <w:rPr>
          <w:rFonts w:asciiTheme="minorHAnsi" w:eastAsiaTheme="minorEastAsia" w:hAnsiTheme="minorHAnsi" w:cstheme="minorBidi"/>
        </w:rPr>
      </w:pPr>
      <w:hyperlink w:anchor="_Toc418179451" w:history="1">
        <w:r w:rsidR="00991640" w:rsidRPr="00670356">
          <w:rPr>
            <w:rStyle w:val="Hyperlink"/>
          </w:rPr>
          <w:t>Table 54</w:t>
        </w:r>
        <w:r w:rsidR="00991640">
          <w:rPr>
            <w:rFonts w:asciiTheme="minorHAnsi" w:eastAsiaTheme="minorEastAsia" w:hAnsiTheme="minorHAnsi" w:cstheme="minorBidi"/>
          </w:rPr>
          <w:tab/>
        </w:r>
        <w:r w:rsidR="00991640" w:rsidRPr="00670356">
          <w:rPr>
            <w:rStyle w:val="Hyperlink"/>
          </w:rPr>
          <w:t>Summary of the economic evaluation</w:t>
        </w:r>
        <w:r w:rsidR="00991640">
          <w:rPr>
            <w:webHidden/>
          </w:rPr>
          <w:tab/>
        </w:r>
        <w:r w:rsidR="00991640">
          <w:rPr>
            <w:webHidden/>
          </w:rPr>
          <w:fldChar w:fldCharType="begin"/>
        </w:r>
        <w:r w:rsidR="00991640">
          <w:rPr>
            <w:webHidden/>
          </w:rPr>
          <w:instrText xml:space="preserve"> PAGEREF _Toc418179451 \h </w:instrText>
        </w:r>
        <w:r w:rsidR="00991640">
          <w:rPr>
            <w:webHidden/>
          </w:rPr>
        </w:r>
        <w:r w:rsidR="00991640">
          <w:rPr>
            <w:webHidden/>
          </w:rPr>
          <w:fldChar w:fldCharType="separate"/>
        </w:r>
        <w:r w:rsidR="00B909E6">
          <w:rPr>
            <w:webHidden/>
          </w:rPr>
          <w:t>103</w:t>
        </w:r>
        <w:r w:rsidR="00991640">
          <w:rPr>
            <w:webHidden/>
          </w:rPr>
          <w:fldChar w:fldCharType="end"/>
        </w:r>
      </w:hyperlink>
    </w:p>
    <w:p w14:paraId="70C8EC41" w14:textId="77777777" w:rsidR="00991640" w:rsidRDefault="00447183">
      <w:pPr>
        <w:pStyle w:val="TableofFigures"/>
        <w:rPr>
          <w:rFonts w:asciiTheme="minorHAnsi" w:eastAsiaTheme="minorEastAsia" w:hAnsiTheme="minorHAnsi" w:cstheme="minorBidi"/>
        </w:rPr>
      </w:pPr>
      <w:hyperlink w:anchor="_Toc418179452" w:history="1">
        <w:r w:rsidR="00991640" w:rsidRPr="00670356">
          <w:rPr>
            <w:rStyle w:val="Hyperlink"/>
          </w:rPr>
          <w:t>Table 55</w:t>
        </w:r>
        <w:r w:rsidR="00991640">
          <w:rPr>
            <w:rFonts w:asciiTheme="minorHAnsi" w:eastAsiaTheme="minorEastAsia" w:hAnsiTheme="minorHAnsi" w:cstheme="minorBidi"/>
          </w:rPr>
          <w:tab/>
        </w:r>
        <w:r w:rsidR="00991640" w:rsidRPr="00670356">
          <w:rPr>
            <w:rStyle w:val="Hyperlink"/>
          </w:rPr>
          <w:t>Summary of decision tree final outcome states in the economic evaluation</w:t>
        </w:r>
        <w:r w:rsidR="00991640">
          <w:rPr>
            <w:webHidden/>
          </w:rPr>
          <w:tab/>
        </w:r>
        <w:r w:rsidR="00991640">
          <w:rPr>
            <w:webHidden/>
          </w:rPr>
          <w:fldChar w:fldCharType="begin"/>
        </w:r>
        <w:r w:rsidR="00991640">
          <w:rPr>
            <w:webHidden/>
          </w:rPr>
          <w:instrText xml:space="preserve"> PAGEREF _Toc418179452 \h </w:instrText>
        </w:r>
        <w:r w:rsidR="00991640">
          <w:rPr>
            <w:webHidden/>
          </w:rPr>
        </w:r>
        <w:r w:rsidR="00991640">
          <w:rPr>
            <w:webHidden/>
          </w:rPr>
          <w:fldChar w:fldCharType="separate"/>
        </w:r>
        <w:r w:rsidR="00B909E6">
          <w:rPr>
            <w:webHidden/>
          </w:rPr>
          <w:t>108</w:t>
        </w:r>
        <w:r w:rsidR="00991640">
          <w:rPr>
            <w:webHidden/>
          </w:rPr>
          <w:fldChar w:fldCharType="end"/>
        </w:r>
      </w:hyperlink>
    </w:p>
    <w:p w14:paraId="671C600A" w14:textId="77777777" w:rsidR="00991640" w:rsidRDefault="00447183">
      <w:pPr>
        <w:pStyle w:val="TableofFigures"/>
        <w:rPr>
          <w:rFonts w:asciiTheme="minorHAnsi" w:eastAsiaTheme="minorEastAsia" w:hAnsiTheme="minorHAnsi" w:cstheme="minorBidi"/>
        </w:rPr>
      </w:pPr>
      <w:hyperlink w:anchor="_Toc418179453" w:history="1">
        <w:r w:rsidR="00991640" w:rsidRPr="00670356">
          <w:rPr>
            <w:rStyle w:val="Hyperlink"/>
          </w:rPr>
          <w:t>Table 56</w:t>
        </w:r>
        <w:r w:rsidR="00991640">
          <w:rPr>
            <w:rFonts w:asciiTheme="minorHAnsi" w:eastAsiaTheme="minorEastAsia" w:hAnsiTheme="minorHAnsi" w:cstheme="minorBidi"/>
          </w:rPr>
          <w:tab/>
        </w:r>
        <w:r w:rsidR="00991640" w:rsidRPr="00670356">
          <w:rPr>
            <w:rStyle w:val="Hyperlink"/>
          </w:rPr>
          <w:t>Summary of estimated values for test parameters used in the economic models</w:t>
        </w:r>
        <w:r w:rsidR="00991640">
          <w:rPr>
            <w:webHidden/>
          </w:rPr>
          <w:tab/>
        </w:r>
        <w:r w:rsidR="00991640">
          <w:rPr>
            <w:webHidden/>
          </w:rPr>
          <w:fldChar w:fldCharType="begin"/>
        </w:r>
        <w:r w:rsidR="00991640">
          <w:rPr>
            <w:webHidden/>
          </w:rPr>
          <w:instrText xml:space="preserve"> PAGEREF _Toc418179453 \h </w:instrText>
        </w:r>
        <w:r w:rsidR="00991640">
          <w:rPr>
            <w:webHidden/>
          </w:rPr>
        </w:r>
        <w:r w:rsidR="00991640">
          <w:rPr>
            <w:webHidden/>
          </w:rPr>
          <w:fldChar w:fldCharType="separate"/>
        </w:r>
        <w:r w:rsidR="00B909E6">
          <w:rPr>
            <w:webHidden/>
          </w:rPr>
          <w:t>110</w:t>
        </w:r>
        <w:r w:rsidR="00991640">
          <w:rPr>
            <w:webHidden/>
          </w:rPr>
          <w:fldChar w:fldCharType="end"/>
        </w:r>
      </w:hyperlink>
    </w:p>
    <w:p w14:paraId="469D5C17" w14:textId="77777777" w:rsidR="00991640" w:rsidRDefault="00447183">
      <w:pPr>
        <w:pStyle w:val="TableofFigures"/>
        <w:rPr>
          <w:rFonts w:asciiTheme="minorHAnsi" w:eastAsiaTheme="minorEastAsia" w:hAnsiTheme="minorHAnsi" w:cstheme="minorBidi"/>
        </w:rPr>
      </w:pPr>
      <w:hyperlink w:anchor="_Toc418179454" w:history="1">
        <w:r w:rsidR="00991640" w:rsidRPr="00670356">
          <w:rPr>
            <w:rStyle w:val="Hyperlink"/>
          </w:rPr>
          <w:t>Table 57</w:t>
        </w:r>
        <w:r w:rsidR="00991640">
          <w:rPr>
            <w:rFonts w:asciiTheme="minorHAnsi" w:eastAsiaTheme="minorEastAsia" w:hAnsiTheme="minorHAnsi" w:cstheme="minorBidi"/>
          </w:rPr>
          <w:tab/>
        </w:r>
        <w:r w:rsidR="00991640" w:rsidRPr="00670356">
          <w:rPr>
            <w:rStyle w:val="Hyperlink"/>
          </w:rPr>
          <w:t>Costs of common mutation testing used for the scenarios analysed in the economic models</w:t>
        </w:r>
        <w:r w:rsidR="00991640">
          <w:rPr>
            <w:webHidden/>
          </w:rPr>
          <w:tab/>
        </w:r>
        <w:r w:rsidR="00991640">
          <w:rPr>
            <w:webHidden/>
          </w:rPr>
          <w:fldChar w:fldCharType="begin"/>
        </w:r>
        <w:r w:rsidR="00991640">
          <w:rPr>
            <w:webHidden/>
          </w:rPr>
          <w:instrText xml:space="preserve"> PAGEREF _Toc418179454 \h </w:instrText>
        </w:r>
        <w:r w:rsidR="00991640">
          <w:rPr>
            <w:webHidden/>
          </w:rPr>
        </w:r>
        <w:r w:rsidR="00991640">
          <w:rPr>
            <w:webHidden/>
          </w:rPr>
          <w:fldChar w:fldCharType="separate"/>
        </w:r>
        <w:r w:rsidR="00B909E6">
          <w:rPr>
            <w:webHidden/>
          </w:rPr>
          <w:t>112</w:t>
        </w:r>
        <w:r w:rsidR="00991640">
          <w:rPr>
            <w:webHidden/>
          </w:rPr>
          <w:fldChar w:fldCharType="end"/>
        </w:r>
      </w:hyperlink>
    </w:p>
    <w:p w14:paraId="1DE2ACE2" w14:textId="1119C037" w:rsidR="00991640" w:rsidRDefault="00447183">
      <w:pPr>
        <w:pStyle w:val="TableofFigures"/>
        <w:rPr>
          <w:rFonts w:asciiTheme="minorHAnsi" w:eastAsiaTheme="minorEastAsia" w:hAnsiTheme="minorHAnsi" w:cstheme="minorBidi"/>
        </w:rPr>
      </w:pPr>
      <w:hyperlink w:anchor="_Toc418179455" w:history="1">
        <w:r w:rsidR="00991640" w:rsidRPr="00670356">
          <w:rPr>
            <w:rStyle w:val="Hyperlink"/>
          </w:rPr>
          <w:t>Table 58</w:t>
        </w:r>
        <w:r w:rsidR="00991640">
          <w:rPr>
            <w:rFonts w:asciiTheme="minorHAnsi" w:eastAsiaTheme="minorEastAsia" w:hAnsiTheme="minorHAnsi" w:cstheme="minorBidi"/>
          </w:rPr>
          <w:tab/>
        </w:r>
        <w:r w:rsidR="00991640" w:rsidRPr="00670356">
          <w:rPr>
            <w:rStyle w:val="Hyperlink"/>
          </w:rPr>
          <w:t>Estimated cost of CFTR mutation testing used in base</w:t>
        </w:r>
        <w:r w:rsidR="002B3030">
          <w:rPr>
            <w:rStyle w:val="Hyperlink"/>
          </w:rPr>
          <w:t>-</w:t>
        </w:r>
        <w:r w:rsidR="00991640" w:rsidRPr="00670356">
          <w:rPr>
            <w:rStyle w:val="Hyperlink"/>
          </w:rPr>
          <w:t>case economic evaluations</w:t>
        </w:r>
        <w:r w:rsidR="00991640">
          <w:rPr>
            <w:webHidden/>
          </w:rPr>
          <w:tab/>
        </w:r>
        <w:r w:rsidR="00991640">
          <w:rPr>
            <w:webHidden/>
          </w:rPr>
          <w:fldChar w:fldCharType="begin"/>
        </w:r>
        <w:r w:rsidR="00991640">
          <w:rPr>
            <w:webHidden/>
          </w:rPr>
          <w:instrText xml:space="preserve"> PAGEREF _Toc418179455 \h </w:instrText>
        </w:r>
        <w:r w:rsidR="00991640">
          <w:rPr>
            <w:webHidden/>
          </w:rPr>
        </w:r>
        <w:r w:rsidR="00991640">
          <w:rPr>
            <w:webHidden/>
          </w:rPr>
          <w:fldChar w:fldCharType="separate"/>
        </w:r>
        <w:r w:rsidR="00B909E6">
          <w:rPr>
            <w:webHidden/>
          </w:rPr>
          <w:t>112</w:t>
        </w:r>
        <w:r w:rsidR="00991640">
          <w:rPr>
            <w:webHidden/>
          </w:rPr>
          <w:fldChar w:fldCharType="end"/>
        </w:r>
      </w:hyperlink>
    </w:p>
    <w:p w14:paraId="1C0F1B5E" w14:textId="77777777" w:rsidR="00991640" w:rsidRDefault="00447183">
      <w:pPr>
        <w:pStyle w:val="TableofFigures"/>
        <w:rPr>
          <w:rFonts w:asciiTheme="minorHAnsi" w:eastAsiaTheme="minorEastAsia" w:hAnsiTheme="minorHAnsi" w:cstheme="minorBidi"/>
        </w:rPr>
      </w:pPr>
      <w:hyperlink w:anchor="_Toc418179456" w:history="1">
        <w:r w:rsidR="00991640" w:rsidRPr="00670356">
          <w:rPr>
            <w:rStyle w:val="Hyperlink"/>
          </w:rPr>
          <w:t>Table 59</w:t>
        </w:r>
        <w:r w:rsidR="00991640">
          <w:rPr>
            <w:rFonts w:asciiTheme="minorHAnsi" w:eastAsiaTheme="minorEastAsia" w:hAnsiTheme="minorHAnsi" w:cstheme="minorBidi"/>
          </w:rPr>
          <w:tab/>
        </w:r>
        <w:r w:rsidR="00991640" w:rsidRPr="00670356">
          <w:rPr>
            <w:rStyle w:val="Hyperlink"/>
          </w:rPr>
          <w:t>Weighted cost of newborn screening for cystic fibrosis</w:t>
        </w:r>
        <w:r w:rsidR="00991640">
          <w:rPr>
            <w:webHidden/>
          </w:rPr>
          <w:tab/>
        </w:r>
        <w:r w:rsidR="00991640">
          <w:rPr>
            <w:webHidden/>
          </w:rPr>
          <w:fldChar w:fldCharType="begin"/>
        </w:r>
        <w:r w:rsidR="00991640">
          <w:rPr>
            <w:webHidden/>
          </w:rPr>
          <w:instrText xml:space="preserve"> PAGEREF _Toc418179456 \h </w:instrText>
        </w:r>
        <w:r w:rsidR="00991640">
          <w:rPr>
            <w:webHidden/>
          </w:rPr>
        </w:r>
        <w:r w:rsidR="00991640">
          <w:rPr>
            <w:webHidden/>
          </w:rPr>
          <w:fldChar w:fldCharType="separate"/>
        </w:r>
        <w:r w:rsidR="00B909E6">
          <w:rPr>
            <w:webHidden/>
          </w:rPr>
          <w:t>115</w:t>
        </w:r>
        <w:r w:rsidR="00991640">
          <w:rPr>
            <w:webHidden/>
          </w:rPr>
          <w:fldChar w:fldCharType="end"/>
        </w:r>
      </w:hyperlink>
    </w:p>
    <w:p w14:paraId="0A99A0A5" w14:textId="77777777" w:rsidR="00991640" w:rsidRDefault="00447183">
      <w:pPr>
        <w:pStyle w:val="TableofFigures"/>
        <w:rPr>
          <w:rFonts w:asciiTheme="minorHAnsi" w:eastAsiaTheme="minorEastAsia" w:hAnsiTheme="minorHAnsi" w:cstheme="minorBidi"/>
        </w:rPr>
      </w:pPr>
      <w:hyperlink w:anchor="_Toc418179457" w:history="1">
        <w:r w:rsidR="00991640" w:rsidRPr="00670356">
          <w:rPr>
            <w:rStyle w:val="Hyperlink"/>
          </w:rPr>
          <w:t>Table 60</w:t>
        </w:r>
        <w:r w:rsidR="00991640">
          <w:rPr>
            <w:rFonts w:asciiTheme="minorHAnsi" w:eastAsiaTheme="minorEastAsia" w:hAnsiTheme="minorHAnsi" w:cstheme="minorBidi"/>
          </w:rPr>
          <w:tab/>
        </w:r>
        <w:r w:rsidR="00991640" w:rsidRPr="00670356">
          <w:rPr>
            <w:rStyle w:val="Hyperlink"/>
          </w:rPr>
          <w:t>Cost of health resources used in the economic evaluations</w:t>
        </w:r>
        <w:r w:rsidR="00991640">
          <w:rPr>
            <w:webHidden/>
          </w:rPr>
          <w:tab/>
        </w:r>
        <w:r w:rsidR="00991640">
          <w:rPr>
            <w:webHidden/>
          </w:rPr>
          <w:fldChar w:fldCharType="begin"/>
        </w:r>
        <w:r w:rsidR="00991640">
          <w:rPr>
            <w:webHidden/>
          </w:rPr>
          <w:instrText xml:space="preserve"> PAGEREF _Toc418179457 \h </w:instrText>
        </w:r>
        <w:r w:rsidR="00991640">
          <w:rPr>
            <w:webHidden/>
          </w:rPr>
        </w:r>
        <w:r w:rsidR="00991640">
          <w:rPr>
            <w:webHidden/>
          </w:rPr>
          <w:fldChar w:fldCharType="separate"/>
        </w:r>
        <w:r w:rsidR="00B909E6">
          <w:rPr>
            <w:webHidden/>
          </w:rPr>
          <w:t>115</w:t>
        </w:r>
        <w:r w:rsidR="00991640">
          <w:rPr>
            <w:webHidden/>
          </w:rPr>
          <w:fldChar w:fldCharType="end"/>
        </w:r>
      </w:hyperlink>
    </w:p>
    <w:p w14:paraId="42B495F6" w14:textId="740C78E4" w:rsidR="00991640" w:rsidRDefault="00447183">
      <w:pPr>
        <w:pStyle w:val="TableofFigures"/>
        <w:rPr>
          <w:rFonts w:asciiTheme="minorHAnsi" w:eastAsiaTheme="minorEastAsia" w:hAnsiTheme="minorHAnsi" w:cstheme="minorBidi"/>
        </w:rPr>
      </w:pPr>
      <w:hyperlink w:anchor="_Toc418179458" w:history="1">
        <w:r w:rsidR="00991640" w:rsidRPr="00670356">
          <w:rPr>
            <w:rStyle w:val="Hyperlink"/>
          </w:rPr>
          <w:t>Table 61</w:t>
        </w:r>
        <w:r w:rsidR="00991640">
          <w:rPr>
            <w:rFonts w:asciiTheme="minorHAnsi" w:eastAsiaTheme="minorEastAsia" w:hAnsiTheme="minorHAnsi" w:cstheme="minorBidi"/>
          </w:rPr>
          <w:tab/>
        </w:r>
        <w:r w:rsidR="00991640" w:rsidRPr="00670356">
          <w:rPr>
            <w:rStyle w:val="Hyperlink"/>
          </w:rPr>
          <w:t>Outcome and incremental effects (per 100 pregnancies) for base</w:t>
        </w:r>
        <w:r w:rsidR="00B16147">
          <w:rPr>
            <w:rStyle w:val="Hyperlink"/>
          </w:rPr>
          <w:t>-</w:t>
        </w:r>
        <w:r w:rsidR="00991640" w:rsidRPr="00670356">
          <w:rPr>
            <w:rStyle w:val="Hyperlink"/>
          </w:rPr>
          <w:t xml:space="preserve">case scenario in </w:t>
        </w:r>
        <w:r w:rsidR="00C3254C">
          <w:rPr>
            <w:rStyle w:val="Hyperlink"/>
          </w:rPr>
          <w:t>m</w:t>
        </w:r>
        <w:r w:rsidR="00991640" w:rsidRPr="00670356">
          <w:rPr>
            <w:rStyle w:val="Hyperlink"/>
          </w:rPr>
          <w:t>odel 1 (</w:t>
        </w:r>
        <w:r w:rsidR="004422B2">
          <w:rPr>
            <w:rStyle w:val="Hyperlink"/>
          </w:rPr>
          <w:t>B</w:t>
        </w:r>
        <w:r w:rsidR="00991640" w:rsidRPr="00670356">
          <w:rPr>
            <w:rStyle w:val="Hyperlink"/>
          </w:rPr>
          <w:t xml:space="preserve">oth </w:t>
        </w:r>
        <w:r w:rsidR="00610793">
          <w:rPr>
            <w:rStyle w:val="Hyperlink"/>
          </w:rPr>
          <w:t>p</w:t>
        </w:r>
        <w:r w:rsidR="00991640" w:rsidRPr="00670356">
          <w:rPr>
            <w:rStyle w:val="Hyperlink"/>
          </w:rPr>
          <w:t>arents known CF carriers)</w:t>
        </w:r>
        <w:r w:rsidR="00991640">
          <w:rPr>
            <w:webHidden/>
          </w:rPr>
          <w:tab/>
        </w:r>
        <w:r w:rsidR="00991640">
          <w:rPr>
            <w:webHidden/>
          </w:rPr>
          <w:fldChar w:fldCharType="begin"/>
        </w:r>
        <w:r w:rsidR="00991640">
          <w:rPr>
            <w:webHidden/>
          </w:rPr>
          <w:instrText xml:space="preserve"> PAGEREF _Toc418179458 \h </w:instrText>
        </w:r>
        <w:r w:rsidR="00991640">
          <w:rPr>
            <w:webHidden/>
          </w:rPr>
        </w:r>
        <w:r w:rsidR="00991640">
          <w:rPr>
            <w:webHidden/>
          </w:rPr>
          <w:fldChar w:fldCharType="separate"/>
        </w:r>
        <w:r w:rsidR="00B909E6">
          <w:rPr>
            <w:webHidden/>
          </w:rPr>
          <w:t>118</w:t>
        </w:r>
        <w:r w:rsidR="00991640">
          <w:rPr>
            <w:webHidden/>
          </w:rPr>
          <w:fldChar w:fldCharType="end"/>
        </w:r>
      </w:hyperlink>
    </w:p>
    <w:p w14:paraId="24E9C4CD" w14:textId="04356368" w:rsidR="00991640" w:rsidRDefault="00447183">
      <w:pPr>
        <w:pStyle w:val="TableofFigures"/>
        <w:rPr>
          <w:rFonts w:asciiTheme="minorHAnsi" w:eastAsiaTheme="minorEastAsia" w:hAnsiTheme="minorHAnsi" w:cstheme="minorBidi"/>
        </w:rPr>
      </w:pPr>
      <w:hyperlink w:anchor="_Toc418179459" w:history="1">
        <w:r w:rsidR="00991640" w:rsidRPr="00670356">
          <w:rPr>
            <w:rStyle w:val="Hyperlink"/>
          </w:rPr>
          <w:t>Table 62</w:t>
        </w:r>
        <w:r w:rsidR="00991640">
          <w:rPr>
            <w:rFonts w:asciiTheme="minorHAnsi" w:eastAsiaTheme="minorEastAsia" w:hAnsiTheme="minorHAnsi" w:cstheme="minorBidi"/>
          </w:rPr>
          <w:tab/>
        </w:r>
        <w:r w:rsidR="00991640" w:rsidRPr="00670356">
          <w:rPr>
            <w:rStyle w:val="Hyperlink"/>
          </w:rPr>
          <w:t>Outcome and incremental effects (per 100 pregnancies) for base</w:t>
        </w:r>
        <w:r w:rsidR="00B16147">
          <w:rPr>
            <w:rStyle w:val="Hyperlink"/>
          </w:rPr>
          <w:t>-</w:t>
        </w:r>
        <w:r w:rsidR="00991640" w:rsidRPr="00670356">
          <w:rPr>
            <w:rStyle w:val="Hyperlink"/>
          </w:rPr>
          <w:t xml:space="preserve">case scenario in </w:t>
        </w:r>
        <w:r w:rsidR="00C3254C">
          <w:rPr>
            <w:rStyle w:val="Hyperlink"/>
          </w:rPr>
          <w:t>m</w:t>
        </w:r>
        <w:r w:rsidR="00991640" w:rsidRPr="00670356">
          <w:rPr>
            <w:rStyle w:val="Hyperlink"/>
          </w:rPr>
          <w:t>odel</w:t>
        </w:r>
        <w:r w:rsidR="00610793">
          <w:rPr>
            <w:rStyle w:val="Hyperlink"/>
          </w:rPr>
          <w:t xml:space="preserve"> </w:t>
        </w:r>
        <w:r w:rsidR="00991640" w:rsidRPr="00670356">
          <w:rPr>
            <w:rStyle w:val="Hyperlink"/>
          </w:rPr>
          <w:t>2 (</w:t>
        </w:r>
        <w:r w:rsidR="004422B2">
          <w:rPr>
            <w:rStyle w:val="Hyperlink"/>
          </w:rPr>
          <w:t>F</w:t>
        </w:r>
        <w:r w:rsidR="00991640" w:rsidRPr="00670356">
          <w:rPr>
            <w:rStyle w:val="Hyperlink"/>
          </w:rPr>
          <w:t>etus with FEB)</w:t>
        </w:r>
        <w:r w:rsidR="00991640">
          <w:rPr>
            <w:webHidden/>
          </w:rPr>
          <w:tab/>
        </w:r>
        <w:r w:rsidR="00991640">
          <w:rPr>
            <w:webHidden/>
          </w:rPr>
          <w:fldChar w:fldCharType="begin"/>
        </w:r>
        <w:r w:rsidR="00991640">
          <w:rPr>
            <w:webHidden/>
          </w:rPr>
          <w:instrText xml:space="preserve"> PAGEREF _Toc418179459 \h </w:instrText>
        </w:r>
        <w:r w:rsidR="00991640">
          <w:rPr>
            <w:webHidden/>
          </w:rPr>
        </w:r>
        <w:r w:rsidR="00991640">
          <w:rPr>
            <w:webHidden/>
          </w:rPr>
          <w:fldChar w:fldCharType="separate"/>
        </w:r>
        <w:r w:rsidR="00B909E6">
          <w:rPr>
            <w:webHidden/>
          </w:rPr>
          <w:t>118</w:t>
        </w:r>
        <w:r w:rsidR="00991640">
          <w:rPr>
            <w:webHidden/>
          </w:rPr>
          <w:fldChar w:fldCharType="end"/>
        </w:r>
      </w:hyperlink>
    </w:p>
    <w:p w14:paraId="372FBC6C" w14:textId="0F333984" w:rsidR="00991640" w:rsidRDefault="00447183">
      <w:pPr>
        <w:pStyle w:val="TableofFigures"/>
        <w:rPr>
          <w:rFonts w:asciiTheme="minorHAnsi" w:eastAsiaTheme="minorEastAsia" w:hAnsiTheme="minorHAnsi" w:cstheme="minorBidi"/>
        </w:rPr>
      </w:pPr>
      <w:hyperlink w:anchor="_Toc418179460" w:history="1">
        <w:r w:rsidR="00991640" w:rsidRPr="00670356">
          <w:rPr>
            <w:rStyle w:val="Hyperlink"/>
          </w:rPr>
          <w:t>Table 63</w:t>
        </w:r>
        <w:r w:rsidR="00991640">
          <w:rPr>
            <w:rFonts w:asciiTheme="minorHAnsi" w:eastAsiaTheme="minorEastAsia" w:hAnsiTheme="minorHAnsi" w:cstheme="minorBidi"/>
          </w:rPr>
          <w:tab/>
        </w:r>
        <w:r w:rsidR="00991640" w:rsidRPr="00670356">
          <w:rPr>
            <w:rStyle w:val="Hyperlink"/>
          </w:rPr>
          <w:t>Incremental costs, base</w:t>
        </w:r>
        <w:r w:rsidR="005B5908">
          <w:rPr>
            <w:rStyle w:val="Hyperlink"/>
          </w:rPr>
          <w:t>-</w:t>
        </w:r>
        <w:r w:rsidR="00991640" w:rsidRPr="00670356">
          <w:rPr>
            <w:rStyle w:val="Hyperlink"/>
          </w:rPr>
          <w:t>case scenario</w:t>
        </w:r>
        <w:r w:rsidR="00991640">
          <w:rPr>
            <w:webHidden/>
          </w:rPr>
          <w:tab/>
        </w:r>
        <w:r w:rsidR="00991640">
          <w:rPr>
            <w:webHidden/>
          </w:rPr>
          <w:fldChar w:fldCharType="begin"/>
        </w:r>
        <w:r w:rsidR="00991640">
          <w:rPr>
            <w:webHidden/>
          </w:rPr>
          <w:instrText xml:space="preserve"> PAGEREF _Toc418179460 \h </w:instrText>
        </w:r>
        <w:r w:rsidR="00991640">
          <w:rPr>
            <w:webHidden/>
          </w:rPr>
        </w:r>
        <w:r w:rsidR="00991640">
          <w:rPr>
            <w:webHidden/>
          </w:rPr>
          <w:fldChar w:fldCharType="separate"/>
        </w:r>
        <w:r w:rsidR="00B909E6">
          <w:rPr>
            <w:webHidden/>
          </w:rPr>
          <w:t>119</w:t>
        </w:r>
        <w:r w:rsidR="00991640">
          <w:rPr>
            <w:webHidden/>
          </w:rPr>
          <w:fldChar w:fldCharType="end"/>
        </w:r>
      </w:hyperlink>
    </w:p>
    <w:p w14:paraId="3D5C4DCE" w14:textId="3B32414A" w:rsidR="00991640" w:rsidRDefault="00447183">
      <w:pPr>
        <w:pStyle w:val="TableofFigures"/>
        <w:rPr>
          <w:rFonts w:asciiTheme="minorHAnsi" w:eastAsiaTheme="minorEastAsia" w:hAnsiTheme="minorHAnsi" w:cstheme="minorBidi"/>
        </w:rPr>
      </w:pPr>
      <w:hyperlink w:anchor="_Toc418179461" w:history="1">
        <w:r w:rsidR="00991640" w:rsidRPr="00670356">
          <w:rPr>
            <w:rStyle w:val="Hyperlink"/>
          </w:rPr>
          <w:t>Table 64</w:t>
        </w:r>
        <w:r w:rsidR="00991640">
          <w:rPr>
            <w:rFonts w:asciiTheme="minorHAnsi" w:eastAsiaTheme="minorEastAsia" w:hAnsiTheme="minorHAnsi" w:cstheme="minorBidi"/>
          </w:rPr>
          <w:tab/>
        </w:r>
        <w:r w:rsidR="00991640" w:rsidRPr="00670356">
          <w:rPr>
            <w:rStyle w:val="Hyperlink"/>
          </w:rPr>
          <w:t>Incremental cost-effectiveness ratios, base</w:t>
        </w:r>
        <w:r w:rsidR="005B5908">
          <w:rPr>
            <w:rStyle w:val="Hyperlink"/>
          </w:rPr>
          <w:t>-</w:t>
        </w:r>
        <w:r w:rsidR="00991640" w:rsidRPr="00670356">
          <w:rPr>
            <w:rStyle w:val="Hyperlink"/>
          </w:rPr>
          <w:t>case scenario</w:t>
        </w:r>
        <w:r w:rsidR="00991640">
          <w:rPr>
            <w:webHidden/>
          </w:rPr>
          <w:tab/>
        </w:r>
        <w:r w:rsidR="00991640">
          <w:rPr>
            <w:webHidden/>
          </w:rPr>
          <w:fldChar w:fldCharType="begin"/>
        </w:r>
        <w:r w:rsidR="00991640">
          <w:rPr>
            <w:webHidden/>
          </w:rPr>
          <w:instrText xml:space="preserve"> PAGEREF _Toc418179461 \h </w:instrText>
        </w:r>
        <w:r w:rsidR="00991640">
          <w:rPr>
            <w:webHidden/>
          </w:rPr>
        </w:r>
        <w:r w:rsidR="00991640">
          <w:rPr>
            <w:webHidden/>
          </w:rPr>
          <w:fldChar w:fldCharType="separate"/>
        </w:r>
        <w:r w:rsidR="00B909E6">
          <w:rPr>
            <w:webHidden/>
          </w:rPr>
          <w:t>119</w:t>
        </w:r>
        <w:r w:rsidR="00991640">
          <w:rPr>
            <w:webHidden/>
          </w:rPr>
          <w:fldChar w:fldCharType="end"/>
        </w:r>
      </w:hyperlink>
    </w:p>
    <w:p w14:paraId="1921B81F" w14:textId="11FF808A" w:rsidR="00991640" w:rsidRDefault="00447183">
      <w:pPr>
        <w:pStyle w:val="TableofFigures"/>
        <w:rPr>
          <w:rFonts w:asciiTheme="minorHAnsi" w:eastAsiaTheme="minorEastAsia" w:hAnsiTheme="minorHAnsi" w:cstheme="minorBidi"/>
        </w:rPr>
      </w:pPr>
      <w:hyperlink w:anchor="_Toc418179462" w:history="1">
        <w:r w:rsidR="00991640" w:rsidRPr="00670356">
          <w:rPr>
            <w:rStyle w:val="Hyperlink"/>
          </w:rPr>
          <w:t>Table 65</w:t>
        </w:r>
        <w:r w:rsidR="00991640">
          <w:rPr>
            <w:rFonts w:asciiTheme="minorHAnsi" w:eastAsiaTheme="minorEastAsia" w:hAnsiTheme="minorHAnsi" w:cstheme="minorBidi"/>
          </w:rPr>
          <w:tab/>
        </w:r>
        <w:r w:rsidR="00991640" w:rsidRPr="00670356">
          <w:rPr>
            <w:rStyle w:val="Hyperlink"/>
          </w:rPr>
          <w:t>Incremental cost-effectiveness ratios for additional scenarios with increased numbers of mutations included in the common mutation testing panel</w:t>
        </w:r>
        <w:r w:rsidR="00991640">
          <w:rPr>
            <w:webHidden/>
          </w:rPr>
          <w:tab/>
        </w:r>
        <w:r w:rsidR="00991640">
          <w:rPr>
            <w:webHidden/>
          </w:rPr>
          <w:fldChar w:fldCharType="begin"/>
        </w:r>
        <w:r w:rsidR="00991640">
          <w:rPr>
            <w:webHidden/>
          </w:rPr>
          <w:instrText xml:space="preserve"> PAGEREF _Toc418179462 \h </w:instrText>
        </w:r>
        <w:r w:rsidR="00991640">
          <w:rPr>
            <w:webHidden/>
          </w:rPr>
        </w:r>
        <w:r w:rsidR="00991640">
          <w:rPr>
            <w:webHidden/>
          </w:rPr>
          <w:fldChar w:fldCharType="separate"/>
        </w:r>
        <w:r w:rsidR="00B909E6">
          <w:rPr>
            <w:webHidden/>
          </w:rPr>
          <w:t>121</w:t>
        </w:r>
        <w:r w:rsidR="00991640">
          <w:rPr>
            <w:webHidden/>
          </w:rPr>
          <w:fldChar w:fldCharType="end"/>
        </w:r>
      </w:hyperlink>
    </w:p>
    <w:p w14:paraId="3DA14066" w14:textId="77777777" w:rsidR="00991640" w:rsidRDefault="00447183">
      <w:pPr>
        <w:pStyle w:val="TableofFigures"/>
        <w:rPr>
          <w:rFonts w:asciiTheme="minorHAnsi" w:eastAsiaTheme="minorEastAsia" w:hAnsiTheme="minorHAnsi" w:cstheme="minorBidi"/>
        </w:rPr>
      </w:pPr>
      <w:hyperlink w:anchor="_Toc418179463" w:history="1">
        <w:r w:rsidR="00991640" w:rsidRPr="00670356">
          <w:rPr>
            <w:rStyle w:val="Hyperlink"/>
          </w:rPr>
          <w:t>Table 66</w:t>
        </w:r>
        <w:r w:rsidR="00991640">
          <w:rPr>
            <w:rFonts w:asciiTheme="minorHAnsi" w:eastAsiaTheme="minorEastAsia" w:hAnsiTheme="minorHAnsi" w:cstheme="minorBidi"/>
          </w:rPr>
          <w:tab/>
        </w:r>
        <w:r w:rsidR="00991640" w:rsidRPr="00670356">
          <w:rPr>
            <w:rStyle w:val="Hyperlink"/>
            <w:snapToGrid w:val="0"/>
            <w:lang w:eastAsia="en-US"/>
          </w:rPr>
          <w:t>Key drivers of the economic models</w:t>
        </w:r>
        <w:r w:rsidR="00991640">
          <w:rPr>
            <w:webHidden/>
          </w:rPr>
          <w:tab/>
        </w:r>
        <w:r w:rsidR="00991640">
          <w:rPr>
            <w:webHidden/>
          </w:rPr>
          <w:fldChar w:fldCharType="begin"/>
        </w:r>
        <w:r w:rsidR="00991640">
          <w:rPr>
            <w:webHidden/>
          </w:rPr>
          <w:instrText xml:space="preserve"> PAGEREF _Toc418179463 \h </w:instrText>
        </w:r>
        <w:r w:rsidR="00991640">
          <w:rPr>
            <w:webHidden/>
          </w:rPr>
        </w:r>
        <w:r w:rsidR="00991640">
          <w:rPr>
            <w:webHidden/>
          </w:rPr>
          <w:fldChar w:fldCharType="separate"/>
        </w:r>
        <w:r w:rsidR="00B909E6">
          <w:rPr>
            <w:webHidden/>
          </w:rPr>
          <w:t>124</w:t>
        </w:r>
        <w:r w:rsidR="00991640">
          <w:rPr>
            <w:webHidden/>
          </w:rPr>
          <w:fldChar w:fldCharType="end"/>
        </w:r>
      </w:hyperlink>
    </w:p>
    <w:p w14:paraId="6E30594D" w14:textId="77777777" w:rsidR="00991640" w:rsidRDefault="00447183">
      <w:pPr>
        <w:pStyle w:val="TableofFigures"/>
        <w:rPr>
          <w:rFonts w:asciiTheme="minorHAnsi" w:eastAsiaTheme="minorEastAsia" w:hAnsiTheme="minorHAnsi" w:cstheme="minorBidi"/>
        </w:rPr>
      </w:pPr>
      <w:hyperlink w:anchor="_Toc418179464" w:history="1">
        <w:r w:rsidR="00991640" w:rsidRPr="00670356">
          <w:rPr>
            <w:rStyle w:val="Hyperlink"/>
          </w:rPr>
          <w:t>Table 67</w:t>
        </w:r>
        <w:r w:rsidR="00991640">
          <w:rPr>
            <w:rFonts w:asciiTheme="minorHAnsi" w:eastAsiaTheme="minorEastAsia" w:hAnsiTheme="minorHAnsi" w:cstheme="minorBidi"/>
          </w:rPr>
          <w:tab/>
        </w:r>
        <w:r w:rsidR="00991640" w:rsidRPr="00670356">
          <w:rPr>
            <w:rStyle w:val="Hyperlink"/>
          </w:rPr>
          <w:t>Sources of data and justification for use in the financial implication analysis</w:t>
        </w:r>
        <w:r w:rsidR="00991640">
          <w:rPr>
            <w:webHidden/>
          </w:rPr>
          <w:tab/>
        </w:r>
        <w:r w:rsidR="00991640">
          <w:rPr>
            <w:webHidden/>
          </w:rPr>
          <w:fldChar w:fldCharType="begin"/>
        </w:r>
        <w:r w:rsidR="00991640">
          <w:rPr>
            <w:webHidden/>
          </w:rPr>
          <w:instrText xml:space="preserve"> PAGEREF _Toc418179464 \h </w:instrText>
        </w:r>
        <w:r w:rsidR="00991640">
          <w:rPr>
            <w:webHidden/>
          </w:rPr>
        </w:r>
        <w:r w:rsidR="00991640">
          <w:rPr>
            <w:webHidden/>
          </w:rPr>
          <w:fldChar w:fldCharType="separate"/>
        </w:r>
        <w:r w:rsidR="00B909E6">
          <w:rPr>
            <w:webHidden/>
          </w:rPr>
          <w:t>126</w:t>
        </w:r>
        <w:r w:rsidR="00991640">
          <w:rPr>
            <w:webHidden/>
          </w:rPr>
          <w:fldChar w:fldCharType="end"/>
        </w:r>
      </w:hyperlink>
    </w:p>
    <w:p w14:paraId="4FDECD6B" w14:textId="77777777" w:rsidR="00991640" w:rsidRDefault="00447183">
      <w:pPr>
        <w:pStyle w:val="TableofFigures"/>
        <w:rPr>
          <w:rFonts w:asciiTheme="minorHAnsi" w:eastAsiaTheme="minorEastAsia" w:hAnsiTheme="minorHAnsi" w:cstheme="minorBidi"/>
        </w:rPr>
      </w:pPr>
      <w:hyperlink w:anchor="_Toc418179465" w:history="1">
        <w:r w:rsidR="00991640" w:rsidRPr="00670356">
          <w:rPr>
            <w:rStyle w:val="Hyperlink"/>
          </w:rPr>
          <w:t>Table 68</w:t>
        </w:r>
        <w:r w:rsidR="00991640">
          <w:rPr>
            <w:rFonts w:asciiTheme="minorHAnsi" w:eastAsiaTheme="minorEastAsia" w:hAnsiTheme="minorHAnsi" w:cstheme="minorBidi"/>
          </w:rPr>
          <w:tab/>
        </w:r>
        <w:r w:rsidR="00991640" w:rsidRPr="00670356">
          <w:rPr>
            <w:rStyle w:val="Hyperlink"/>
          </w:rPr>
          <w:t>Number of CFTR tests observed in the RCPA Genetic Testing Survey 2011</w:t>
        </w:r>
        <w:r w:rsidR="00991640">
          <w:rPr>
            <w:webHidden/>
          </w:rPr>
          <w:tab/>
        </w:r>
        <w:r w:rsidR="00991640">
          <w:rPr>
            <w:webHidden/>
          </w:rPr>
          <w:fldChar w:fldCharType="begin"/>
        </w:r>
        <w:r w:rsidR="00991640">
          <w:rPr>
            <w:webHidden/>
          </w:rPr>
          <w:instrText xml:space="preserve"> PAGEREF _Toc418179465 \h </w:instrText>
        </w:r>
        <w:r w:rsidR="00991640">
          <w:rPr>
            <w:webHidden/>
          </w:rPr>
        </w:r>
        <w:r w:rsidR="00991640">
          <w:rPr>
            <w:webHidden/>
          </w:rPr>
          <w:fldChar w:fldCharType="separate"/>
        </w:r>
        <w:r w:rsidR="00B909E6">
          <w:rPr>
            <w:webHidden/>
          </w:rPr>
          <w:t>128</w:t>
        </w:r>
        <w:r w:rsidR="00991640">
          <w:rPr>
            <w:webHidden/>
          </w:rPr>
          <w:fldChar w:fldCharType="end"/>
        </w:r>
      </w:hyperlink>
    </w:p>
    <w:p w14:paraId="317B51AC" w14:textId="11F2DAA5" w:rsidR="00991640" w:rsidRDefault="00447183">
      <w:pPr>
        <w:pStyle w:val="TableofFigures"/>
        <w:rPr>
          <w:rFonts w:asciiTheme="minorHAnsi" w:eastAsiaTheme="minorEastAsia" w:hAnsiTheme="minorHAnsi" w:cstheme="minorBidi"/>
        </w:rPr>
      </w:pPr>
      <w:hyperlink w:anchor="_Toc418179466" w:history="1">
        <w:r w:rsidR="00991640" w:rsidRPr="00670356">
          <w:rPr>
            <w:rStyle w:val="Hyperlink"/>
          </w:rPr>
          <w:t>Table 69</w:t>
        </w:r>
        <w:r w:rsidR="00991640">
          <w:rPr>
            <w:rFonts w:asciiTheme="minorHAnsi" w:eastAsiaTheme="minorEastAsia" w:hAnsiTheme="minorHAnsi" w:cstheme="minorBidi"/>
          </w:rPr>
          <w:tab/>
        </w:r>
        <w:r w:rsidR="00991640" w:rsidRPr="00670356">
          <w:rPr>
            <w:rStyle w:val="Hyperlink"/>
          </w:rPr>
          <w:t>Projected number of CFTR mutation tests, 2015</w:t>
        </w:r>
        <w:r w:rsidR="00036DAC">
          <w:rPr>
            <w:rStyle w:val="Hyperlink"/>
          </w:rPr>
          <w:t>–</w:t>
        </w:r>
        <w:r w:rsidR="00991640" w:rsidRPr="00670356">
          <w:rPr>
            <w:rStyle w:val="Hyperlink"/>
          </w:rPr>
          <w:t>19</w:t>
        </w:r>
        <w:r w:rsidR="00991640">
          <w:rPr>
            <w:webHidden/>
          </w:rPr>
          <w:tab/>
        </w:r>
        <w:r w:rsidR="00991640">
          <w:rPr>
            <w:webHidden/>
          </w:rPr>
          <w:fldChar w:fldCharType="begin"/>
        </w:r>
        <w:r w:rsidR="00991640">
          <w:rPr>
            <w:webHidden/>
          </w:rPr>
          <w:instrText xml:space="preserve"> PAGEREF _Toc418179466 \h </w:instrText>
        </w:r>
        <w:r w:rsidR="00991640">
          <w:rPr>
            <w:webHidden/>
          </w:rPr>
        </w:r>
        <w:r w:rsidR="00991640">
          <w:rPr>
            <w:webHidden/>
          </w:rPr>
          <w:fldChar w:fldCharType="separate"/>
        </w:r>
        <w:r w:rsidR="00B909E6">
          <w:rPr>
            <w:webHidden/>
          </w:rPr>
          <w:t>128</w:t>
        </w:r>
        <w:r w:rsidR="00991640">
          <w:rPr>
            <w:webHidden/>
          </w:rPr>
          <w:fldChar w:fldCharType="end"/>
        </w:r>
      </w:hyperlink>
    </w:p>
    <w:p w14:paraId="62F8F81E" w14:textId="77777777" w:rsidR="00991640" w:rsidRDefault="00447183">
      <w:pPr>
        <w:pStyle w:val="TableofFigures"/>
        <w:rPr>
          <w:rFonts w:asciiTheme="minorHAnsi" w:eastAsiaTheme="minorEastAsia" w:hAnsiTheme="minorHAnsi" w:cstheme="minorBidi"/>
        </w:rPr>
      </w:pPr>
      <w:hyperlink w:anchor="_Toc418179467" w:history="1">
        <w:r w:rsidR="00991640" w:rsidRPr="00670356">
          <w:rPr>
            <w:rStyle w:val="Hyperlink"/>
          </w:rPr>
          <w:t>Table 70</w:t>
        </w:r>
        <w:r w:rsidR="00991640">
          <w:rPr>
            <w:rFonts w:asciiTheme="minorHAnsi" w:eastAsiaTheme="minorEastAsia" w:hAnsiTheme="minorHAnsi" w:cstheme="minorBidi"/>
          </w:rPr>
          <w:tab/>
        </w:r>
        <w:r w:rsidR="00991640" w:rsidRPr="00670356">
          <w:rPr>
            <w:rStyle w:val="Hyperlink"/>
          </w:rPr>
          <w:t>Estimated proportion of screening tests, newborn screening</w:t>
        </w:r>
        <w:r w:rsidR="00991640">
          <w:rPr>
            <w:webHidden/>
          </w:rPr>
          <w:tab/>
        </w:r>
        <w:r w:rsidR="00991640">
          <w:rPr>
            <w:webHidden/>
          </w:rPr>
          <w:fldChar w:fldCharType="begin"/>
        </w:r>
        <w:r w:rsidR="00991640">
          <w:rPr>
            <w:webHidden/>
          </w:rPr>
          <w:instrText xml:space="preserve"> PAGEREF _Toc418179467 \h </w:instrText>
        </w:r>
        <w:r w:rsidR="00991640">
          <w:rPr>
            <w:webHidden/>
          </w:rPr>
        </w:r>
        <w:r w:rsidR="00991640">
          <w:rPr>
            <w:webHidden/>
          </w:rPr>
          <w:fldChar w:fldCharType="separate"/>
        </w:r>
        <w:r w:rsidR="00B909E6">
          <w:rPr>
            <w:webHidden/>
          </w:rPr>
          <w:t>129</w:t>
        </w:r>
        <w:r w:rsidR="00991640">
          <w:rPr>
            <w:webHidden/>
          </w:rPr>
          <w:fldChar w:fldCharType="end"/>
        </w:r>
      </w:hyperlink>
    </w:p>
    <w:p w14:paraId="04537F6D" w14:textId="2CBA9B5F" w:rsidR="00991640" w:rsidRDefault="00447183">
      <w:pPr>
        <w:pStyle w:val="TableofFigures"/>
        <w:rPr>
          <w:rFonts w:asciiTheme="minorHAnsi" w:eastAsiaTheme="minorEastAsia" w:hAnsiTheme="minorHAnsi" w:cstheme="minorBidi"/>
        </w:rPr>
      </w:pPr>
      <w:hyperlink w:anchor="_Toc418179468" w:history="1">
        <w:r w:rsidR="00991640" w:rsidRPr="00670356">
          <w:rPr>
            <w:rStyle w:val="Hyperlink"/>
          </w:rPr>
          <w:t>Table 71</w:t>
        </w:r>
        <w:r w:rsidR="00991640">
          <w:rPr>
            <w:rFonts w:asciiTheme="minorHAnsi" w:eastAsiaTheme="minorEastAsia" w:hAnsiTheme="minorHAnsi" w:cstheme="minorBidi"/>
          </w:rPr>
          <w:tab/>
        </w:r>
        <w:r w:rsidR="00991640" w:rsidRPr="00670356">
          <w:rPr>
            <w:rStyle w:val="Hyperlink"/>
          </w:rPr>
          <w:t xml:space="preserve">Estimated proportion of </w:t>
        </w:r>
        <w:r w:rsidR="00F1664B" w:rsidRPr="00F1664B">
          <w:rPr>
            <w:rStyle w:val="Hyperlink"/>
          </w:rPr>
          <w:t xml:space="preserve">carrier </w:t>
        </w:r>
        <w:r w:rsidR="00991640" w:rsidRPr="00670356">
          <w:rPr>
            <w:rStyle w:val="Hyperlink"/>
          </w:rPr>
          <w:t xml:space="preserve">screening tests, general population </w:t>
        </w:r>
        <w:r w:rsidR="00991640">
          <w:rPr>
            <w:webHidden/>
          </w:rPr>
          <w:tab/>
        </w:r>
        <w:r w:rsidR="00991640">
          <w:rPr>
            <w:webHidden/>
          </w:rPr>
          <w:fldChar w:fldCharType="begin"/>
        </w:r>
        <w:r w:rsidR="00991640">
          <w:rPr>
            <w:webHidden/>
          </w:rPr>
          <w:instrText xml:space="preserve"> PAGEREF _Toc418179468 \h </w:instrText>
        </w:r>
        <w:r w:rsidR="00991640">
          <w:rPr>
            <w:webHidden/>
          </w:rPr>
        </w:r>
        <w:r w:rsidR="00991640">
          <w:rPr>
            <w:webHidden/>
          </w:rPr>
          <w:fldChar w:fldCharType="separate"/>
        </w:r>
        <w:r w:rsidR="00B909E6">
          <w:rPr>
            <w:webHidden/>
          </w:rPr>
          <w:t>130</w:t>
        </w:r>
        <w:r w:rsidR="00991640">
          <w:rPr>
            <w:webHidden/>
          </w:rPr>
          <w:fldChar w:fldCharType="end"/>
        </w:r>
      </w:hyperlink>
    </w:p>
    <w:p w14:paraId="124C3AFD" w14:textId="77777777" w:rsidR="00991640" w:rsidRDefault="00447183">
      <w:pPr>
        <w:pStyle w:val="TableofFigures"/>
        <w:rPr>
          <w:rFonts w:asciiTheme="minorHAnsi" w:eastAsiaTheme="minorEastAsia" w:hAnsiTheme="minorHAnsi" w:cstheme="minorBidi"/>
        </w:rPr>
      </w:pPr>
      <w:hyperlink w:anchor="_Toc418179469" w:history="1">
        <w:r w:rsidR="00991640" w:rsidRPr="00670356">
          <w:rPr>
            <w:rStyle w:val="Hyperlink"/>
          </w:rPr>
          <w:t>Table 72</w:t>
        </w:r>
        <w:r w:rsidR="00991640">
          <w:rPr>
            <w:rFonts w:asciiTheme="minorHAnsi" w:eastAsiaTheme="minorEastAsia" w:hAnsiTheme="minorHAnsi" w:cstheme="minorBidi"/>
          </w:rPr>
          <w:tab/>
        </w:r>
        <w:r w:rsidR="00991640" w:rsidRPr="00670356">
          <w:rPr>
            <w:rStyle w:val="Hyperlink"/>
          </w:rPr>
          <w:t>Estimated proportion of diagnostic tests, newborns with one mutation and positive sweat test</w:t>
        </w:r>
        <w:r w:rsidR="00991640">
          <w:rPr>
            <w:webHidden/>
          </w:rPr>
          <w:tab/>
        </w:r>
        <w:r w:rsidR="00991640">
          <w:rPr>
            <w:webHidden/>
          </w:rPr>
          <w:fldChar w:fldCharType="begin"/>
        </w:r>
        <w:r w:rsidR="00991640">
          <w:rPr>
            <w:webHidden/>
          </w:rPr>
          <w:instrText xml:space="preserve"> PAGEREF _Toc418179469 \h </w:instrText>
        </w:r>
        <w:r w:rsidR="00991640">
          <w:rPr>
            <w:webHidden/>
          </w:rPr>
        </w:r>
        <w:r w:rsidR="00991640">
          <w:rPr>
            <w:webHidden/>
          </w:rPr>
          <w:fldChar w:fldCharType="separate"/>
        </w:r>
        <w:r w:rsidR="00B909E6">
          <w:rPr>
            <w:webHidden/>
          </w:rPr>
          <w:t>130</w:t>
        </w:r>
        <w:r w:rsidR="00991640">
          <w:rPr>
            <w:webHidden/>
          </w:rPr>
          <w:fldChar w:fldCharType="end"/>
        </w:r>
      </w:hyperlink>
    </w:p>
    <w:p w14:paraId="117FACD7" w14:textId="77777777" w:rsidR="00991640" w:rsidRDefault="00447183">
      <w:pPr>
        <w:pStyle w:val="TableofFigures"/>
        <w:rPr>
          <w:rFonts w:asciiTheme="minorHAnsi" w:eastAsiaTheme="minorEastAsia" w:hAnsiTheme="minorHAnsi" w:cstheme="minorBidi"/>
        </w:rPr>
      </w:pPr>
      <w:hyperlink w:anchor="_Toc418179470" w:history="1">
        <w:r w:rsidR="00991640" w:rsidRPr="00670356">
          <w:rPr>
            <w:rStyle w:val="Hyperlink"/>
          </w:rPr>
          <w:t>Table 73</w:t>
        </w:r>
        <w:r w:rsidR="00991640">
          <w:rPr>
            <w:rFonts w:asciiTheme="minorHAnsi" w:eastAsiaTheme="minorEastAsia" w:hAnsiTheme="minorHAnsi" w:cstheme="minorBidi"/>
          </w:rPr>
          <w:tab/>
        </w:r>
        <w:r w:rsidR="00991640" w:rsidRPr="00670356">
          <w:rPr>
            <w:rStyle w:val="Hyperlink"/>
          </w:rPr>
          <w:t>Proportion of CFTR mutation tests eligible for MBS funding</w:t>
        </w:r>
        <w:r w:rsidR="00991640">
          <w:rPr>
            <w:webHidden/>
          </w:rPr>
          <w:tab/>
        </w:r>
        <w:r w:rsidR="00991640">
          <w:rPr>
            <w:webHidden/>
          </w:rPr>
          <w:fldChar w:fldCharType="begin"/>
        </w:r>
        <w:r w:rsidR="00991640">
          <w:rPr>
            <w:webHidden/>
          </w:rPr>
          <w:instrText xml:space="preserve"> PAGEREF _Toc418179470 \h </w:instrText>
        </w:r>
        <w:r w:rsidR="00991640">
          <w:rPr>
            <w:webHidden/>
          </w:rPr>
        </w:r>
        <w:r w:rsidR="00991640">
          <w:rPr>
            <w:webHidden/>
          </w:rPr>
          <w:fldChar w:fldCharType="separate"/>
        </w:r>
        <w:r w:rsidR="00B909E6">
          <w:rPr>
            <w:webHidden/>
          </w:rPr>
          <w:t>131</w:t>
        </w:r>
        <w:r w:rsidR="00991640">
          <w:rPr>
            <w:webHidden/>
          </w:rPr>
          <w:fldChar w:fldCharType="end"/>
        </w:r>
      </w:hyperlink>
    </w:p>
    <w:p w14:paraId="6A167F08" w14:textId="48405E4B" w:rsidR="00991640" w:rsidRDefault="00447183">
      <w:pPr>
        <w:pStyle w:val="TableofFigures"/>
        <w:rPr>
          <w:rFonts w:asciiTheme="minorHAnsi" w:eastAsiaTheme="minorEastAsia" w:hAnsiTheme="minorHAnsi" w:cstheme="minorBidi"/>
        </w:rPr>
      </w:pPr>
      <w:hyperlink w:anchor="_Toc418179471" w:history="1">
        <w:r w:rsidR="00991640" w:rsidRPr="00670356">
          <w:rPr>
            <w:rStyle w:val="Hyperlink"/>
          </w:rPr>
          <w:t>Table 74</w:t>
        </w:r>
        <w:r w:rsidR="00991640">
          <w:rPr>
            <w:rFonts w:asciiTheme="minorHAnsi" w:eastAsiaTheme="minorEastAsia" w:hAnsiTheme="minorHAnsi" w:cstheme="minorBidi"/>
          </w:rPr>
          <w:tab/>
        </w:r>
        <w:r w:rsidR="00991640" w:rsidRPr="00670356">
          <w:rPr>
            <w:rStyle w:val="Hyperlink"/>
          </w:rPr>
          <w:t>Estimated number</w:t>
        </w:r>
        <w:r w:rsidR="00DE4808">
          <w:rPr>
            <w:rStyle w:val="Hyperlink"/>
          </w:rPr>
          <w:t>s</w:t>
        </w:r>
        <w:r w:rsidR="00991640" w:rsidRPr="00670356">
          <w:rPr>
            <w:rStyle w:val="Hyperlink"/>
          </w:rPr>
          <w:t xml:space="preserve"> of CFTR mutation tests eligible for MBS funding</w:t>
        </w:r>
        <w:r w:rsidR="00991640">
          <w:rPr>
            <w:webHidden/>
          </w:rPr>
          <w:tab/>
        </w:r>
        <w:r w:rsidR="00991640">
          <w:rPr>
            <w:webHidden/>
          </w:rPr>
          <w:fldChar w:fldCharType="begin"/>
        </w:r>
        <w:r w:rsidR="00991640">
          <w:rPr>
            <w:webHidden/>
          </w:rPr>
          <w:instrText xml:space="preserve"> PAGEREF _Toc418179471 \h </w:instrText>
        </w:r>
        <w:r w:rsidR="00991640">
          <w:rPr>
            <w:webHidden/>
          </w:rPr>
        </w:r>
        <w:r w:rsidR="00991640">
          <w:rPr>
            <w:webHidden/>
          </w:rPr>
          <w:fldChar w:fldCharType="separate"/>
        </w:r>
        <w:r w:rsidR="00B909E6">
          <w:rPr>
            <w:webHidden/>
          </w:rPr>
          <w:t>132</w:t>
        </w:r>
        <w:r w:rsidR="00991640">
          <w:rPr>
            <w:webHidden/>
          </w:rPr>
          <w:fldChar w:fldCharType="end"/>
        </w:r>
      </w:hyperlink>
    </w:p>
    <w:p w14:paraId="7C144852" w14:textId="77777777" w:rsidR="00991640" w:rsidRDefault="00447183">
      <w:pPr>
        <w:pStyle w:val="TableofFigures"/>
        <w:rPr>
          <w:rFonts w:asciiTheme="minorHAnsi" w:eastAsiaTheme="minorEastAsia" w:hAnsiTheme="minorHAnsi" w:cstheme="minorBidi"/>
        </w:rPr>
      </w:pPr>
      <w:hyperlink w:anchor="_Toc418179472" w:history="1">
        <w:r w:rsidR="00991640" w:rsidRPr="00670356">
          <w:rPr>
            <w:rStyle w:val="Hyperlink"/>
          </w:rPr>
          <w:t>Table 75</w:t>
        </w:r>
        <w:r w:rsidR="00991640">
          <w:rPr>
            <w:rFonts w:asciiTheme="minorHAnsi" w:eastAsiaTheme="minorEastAsia" w:hAnsiTheme="minorHAnsi" w:cstheme="minorBidi"/>
          </w:rPr>
          <w:tab/>
        </w:r>
        <w:r w:rsidR="00991640" w:rsidRPr="00670356">
          <w:rPr>
            <w:rStyle w:val="Hyperlink"/>
          </w:rPr>
          <w:t>Proportion of tests, by indications eligible and test type</w:t>
        </w:r>
        <w:r w:rsidR="00991640">
          <w:rPr>
            <w:webHidden/>
          </w:rPr>
          <w:tab/>
        </w:r>
        <w:r w:rsidR="00991640">
          <w:rPr>
            <w:webHidden/>
          </w:rPr>
          <w:fldChar w:fldCharType="begin"/>
        </w:r>
        <w:r w:rsidR="00991640">
          <w:rPr>
            <w:webHidden/>
          </w:rPr>
          <w:instrText xml:space="preserve"> PAGEREF _Toc418179472 \h </w:instrText>
        </w:r>
        <w:r w:rsidR="00991640">
          <w:rPr>
            <w:webHidden/>
          </w:rPr>
        </w:r>
        <w:r w:rsidR="00991640">
          <w:rPr>
            <w:webHidden/>
          </w:rPr>
          <w:fldChar w:fldCharType="separate"/>
        </w:r>
        <w:r w:rsidR="00B909E6">
          <w:rPr>
            <w:webHidden/>
          </w:rPr>
          <w:t>132</w:t>
        </w:r>
        <w:r w:rsidR="00991640">
          <w:rPr>
            <w:webHidden/>
          </w:rPr>
          <w:fldChar w:fldCharType="end"/>
        </w:r>
      </w:hyperlink>
    </w:p>
    <w:p w14:paraId="312759A4" w14:textId="010860CB" w:rsidR="00991640" w:rsidRDefault="00447183">
      <w:pPr>
        <w:pStyle w:val="TableofFigures"/>
        <w:rPr>
          <w:rFonts w:asciiTheme="minorHAnsi" w:eastAsiaTheme="minorEastAsia" w:hAnsiTheme="minorHAnsi" w:cstheme="minorBidi"/>
        </w:rPr>
      </w:pPr>
      <w:hyperlink w:anchor="_Toc418179473" w:history="1">
        <w:r w:rsidR="00991640" w:rsidRPr="00670356">
          <w:rPr>
            <w:rStyle w:val="Hyperlink"/>
          </w:rPr>
          <w:t>Table 76</w:t>
        </w:r>
        <w:r w:rsidR="00991640">
          <w:rPr>
            <w:rFonts w:asciiTheme="minorHAnsi" w:eastAsiaTheme="minorEastAsia" w:hAnsiTheme="minorHAnsi" w:cstheme="minorBidi"/>
          </w:rPr>
          <w:tab/>
        </w:r>
        <w:r w:rsidR="00991640" w:rsidRPr="00670356">
          <w:rPr>
            <w:rStyle w:val="Hyperlink"/>
          </w:rPr>
          <w:t>Projected number of tests, by test type, 2015–19</w:t>
        </w:r>
        <w:r w:rsidR="00991640">
          <w:rPr>
            <w:webHidden/>
          </w:rPr>
          <w:tab/>
        </w:r>
        <w:r w:rsidR="00991640">
          <w:rPr>
            <w:webHidden/>
          </w:rPr>
          <w:fldChar w:fldCharType="begin"/>
        </w:r>
        <w:r w:rsidR="00991640">
          <w:rPr>
            <w:webHidden/>
          </w:rPr>
          <w:instrText xml:space="preserve"> PAGEREF _Toc418179473 \h </w:instrText>
        </w:r>
        <w:r w:rsidR="00991640">
          <w:rPr>
            <w:webHidden/>
          </w:rPr>
        </w:r>
        <w:r w:rsidR="00991640">
          <w:rPr>
            <w:webHidden/>
          </w:rPr>
          <w:fldChar w:fldCharType="separate"/>
        </w:r>
        <w:r w:rsidR="00B909E6">
          <w:rPr>
            <w:webHidden/>
          </w:rPr>
          <w:t>133</w:t>
        </w:r>
        <w:r w:rsidR="00991640">
          <w:rPr>
            <w:webHidden/>
          </w:rPr>
          <w:fldChar w:fldCharType="end"/>
        </w:r>
      </w:hyperlink>
    </w:p>
    <w:p w14:paraId="4DA6B8FA" w14:textId="7FC71420" w:rsidR="00991640" w:rsidRDefault="00447183">
      <w:pPr>
        <w:pStyle w:val="TableofFigures"/>
        <w:rPr>
          <w:rFonts w:asciiTheme="minorHAnsi" w:eastAsiaTheme="minorEastAsia" w:hAnsiTheme="minorHAnsi" w:cstheme="minorBidi"/>
        </w:rPr>
      </w:pPr>
      <w:hyperlink w:anchor="_Toc418179474" w:history="1">
        <w:r w:rsidR="00991640" w:rsidRPr="00670356">
          <w:rPr>
            <w:rStyle w:val="Hyperlink"/>
          </w:rPr>
          <w:t>Table 77</w:t>
        </w:r>
        <w:r w:rsidR="00991640">
          <w:rPr>
            <w:rFonts w:asciiTheme="minorHAnsi" w:eastAsiaTheme="minorEastAsia" w:hAnsiTheme="minorHAnsi" w:cstheme="minorBidi"/>
          </w:rPr>
          <w:tab/>
        </w:r>
        <w:r w:rsidR="00991640" w:rsidRPr="00670356">
          <w:rPr>
            <w:rStyle w:val="Hyperlink"/>
          </w:rPr>
          <w:t>Estimate</w:t>
        </w:r>
        <w:r w:rsidR="002C456B">
          <w:rPr>
            <w:rStyle w:val="Hyperlink"/>
          </w:rPr>
          <w:t>d</w:t>
        </w:r>
        <w:r w:rsidR="00991640" w:rsidRPr="00670356">
          <w:rPr>
            <w:rStyle w:val="Hyperlink"/>
          </w:rPr>
          <w:t xml:space="preserve"> total cost implication of CFTR mutation testing, by test type, 2015–19</w:t>
        </w:r>
        <w:r w:rsidR="00991640">
          <w:rPr>
            <w:webHidden/>
          </w:rPr>
          <w:tab/>
        </w:r>
        <w:r w:rsidR="00991640">
          <w:rPr>
            <w:webHidden/>
          </w:rPr>
          <w:fldChar w:fldCharType="begin"/>
        </w:r>
        <w:r w:rsidR="00991640">
          <w:rPr>
            <w:webHidden/>
          </w:rPr>
          <w:instrText xml:space="preserve"> PAGEREF _Toc418179474 \h </w:instrText>
        </w:r>
        <w:r w:rsidR="00991640">
          <w:rPr>
            <w:webHidden/>
          </w:rPr>
        </w:r>
        <w:r w:rsidR="00991640">
          <w:rPr>
            <w:webHidden/>
          </w:rPr>
          <w:fldChar w:fldCharType="separate"/>
        </w:r>
        <w:r w:rsidR="00B909E6">
          <w:rPr>
            <w:webHidden/>
          </w:rPr>
          <w:t>133</w:t>
        </w:r>
        <w:r w:rsidR="00991640">
          <w:rPr>
            <w:webHidden/>
          </w:rPr>
          <w:fldChar w:fldCharType="end"/>
        </w:r>
      </w:hyperlink>
    </w:p>
    <w:p w14:paraId="101324D7" w14:textId="4D81CDA4" w:rsidR="00991640" w:rsidRDefault="00447183">
      <w:pPr>
        <w:pStyle w:val="TableofFigures"/>
        <w:rPr>
          <w:rFonts w:asciiTheme="minorHAnsi" w:eastAsiaTheme="minorEastAsia" w:hAnsiTheme="minorHAnsi" w:cstheme="minorBidi"/>
        </w:rPr>
      </w:pPr>
      <w:hyperlink w:anchor="_Toc418179475" w:history="1">
        <w:r w:rsidR="00991640" w:rsidRPr="00670356">
          <w:rPr>
            <w:rStyle w:val="Hyperlink"/>
          </w:rPr>
          <w:t>Table 78</w:t>
        </w:r>
        <w:r w:rsidR="00991640">
          <w:rPr>
            <w:rFonts w:asciiTheme="minorHAnsi" w:eastAsiaTheme="minorEastAsia" w:hAnsiTheme="minorHAnsi" w:cstheme="minorBidi"/>
          </w:rPr>
          <w:tab/>
        </w:r>
        <w:r w:rsidR="00991640" w:rsidRPr="00670356">
          <w:rPr>
            <w:rStyle w:val="Hyperlink"/>
          </w:rPr>
          <w:t>Estimated total costs to the MBS associated with CFTR mutation testing, 2015–19</w:t>
        </w:r>
        <w:r w:rsidR="00991640">
          <w:rPr>
            <w:webHidden/>
          </w:rPr>
          <w:tab/>
        </w:r>
        <w:r w:rsidR="00991640">
          <w:rPr>
            <w:webHidden/>
          </w:rPr>
          <w:fldChar w:fldCharType="begin"/>
        </w:r>
        <w:r w:rsidR="00991640">
          <w:rPr>
            <w:webHidden/>
          </w:rPr>
          <w:instrText xml:space="preserve"> PAGEREF _Toc418179475 \h </w:instrText>
        </w:r>
        <w:r w:rsidR="00991640">
          <w:rPr>
            <w:webHidden/>
          </w:rPr>
        </w:r>
        <w:r w:rsidR="00991640">
          <w:rPr>
            <w:webHidden/>
          </w:rPr>
          <w:fldChar w:fldCharType="separate"/>
        </w:r>
        <w:r w:rsidR="00B909E6">
          <w:rPr>
            <w:webHidden/>
          </w:rPr>
          <w:t>134</w:t>
        </w:r>
        <w:r w:rsidR="00991640">
          <w:rPr>
            <w:webHidden/>
          </w:rPr>
          <w:fldChar w:fldCharType="end"/>
        </w:r>
      </w:hyperlink>
    </w:p>
    <w:p w14:paraId="497913A9" w14:textId="05F34C73" w:rsidR="00991640" w:rsidRDefault="00447183">
      <w:pPr>
        <w:pStyle w:val="TableofFigures"/>
        <w:rPr>
          <w:rFonts w:asciiTheme="minorHAnsi" w:eastAsiaTheme="minorEastAsia" w:hAnsiTheme="minorHAnsi" w:cstheme="minorBidi"/>
        </w:rPr>
      </w:pPr>
      <w:hyperlink w:anchor="_Toc418179476" w:history="1">
        <w:r w:rsidR="00991640" w:rsidRPr="00670356">
          <w:rPr>
            <w:rStyle w:val="Hyperlink"/>
          </w:rPr>
          <w:t>Table 79</w:t>
        </w:r>
        <w:r w:rsidR="00991640">
          <w:rPr>
            <w:rFonts w:asciiTheme="minorHAnsi" w:eastAsiaTheme="minorEastAsia" w:hAnsiTheme="minorHAnsi" w:cstheme="minorBidi"/>
          </w:rPr>
          <w:tab/>
        </w:r>
        <w:r w:rsidR="00991640" w:rsidRPr="00670356">
          <w:rPr>
            <w:rStyle w:val="Hyperlink"/>
          </w:rPr>
          <w:t xml:space="preserve">Estimated savings to </w:t>
        </w:r>
        <w:r w:rsidR="002C456B">
          <w:rPr>
            <w:rStyle w:val="Hyperlink"/>
          </w:rPr>
          <w:t>s</w:t>
        </w:r>
        <w:r w:rsidR="00991640" w:rsidRPr="00670356">
          <w:rPr>
            <w:rStyle w:val="Hyperlink"/>
          </w:rPr>
          <w:t>tate/</w:t>
        </w:r>
        <w:r w:rsidR="002C456B">
          <w:rPr>
            <w:rStyle w:val="Hyperlink"/>
          </w:rPr>
          <w:t>t</w:t>
        </w:r>
        <w:r w:rsidR="00991640" w:rsidRPr="00670356">
          <w:rPr>
            <w:rStyle w:val="Hyperlink"/>
          </w:rPr>
          <w:t>erritor</w:t>
        </w:r>
        <w:r w:rsidR="00070D91">
          <w:rPr>
            <w:rStyle w:val="Hyperlink"/>
          </w:rPr>
          <w:t>y</w:t>
        </w:r>
        <w:r w:rsidR="00991640" w:rsidRPr="00670356">
          <w:rPr>
            <w:rStyle w:val="Hyperlink"/>
          </w:rPr>
          <w:t xml:space="preserve"> budgets for CFTR mutation testing, by test type</w:t>
        </w:r>
        <w:r w:rsidR="00991640">
          <w:rPr>
            <w:webHidden/>
          </w:rPr>
          <w:tab/>
        </w:r>
        <w:r w:rsidR="00991640">
          <w:rPr>
            <w:webHidden/>
          </w:rPr>
          <w:fldChar w:fldCharType="begin"/>
        </w:r>
        <w:r w:rsidR="00991640">
          <w:rPr>
            <w:webHidden/>
          </w:rPr>
          <w:instrText xml:space="preserve"> PAGEREF _Toc418179476 \h </w:instrText>
        </w:r>
        <w:r w:rsidR="00991640">
          <w:rPr>
            <w:webHidden/>
          </w:rPr>
        </w:r>
        <w:r w:rsidR="00991640">
          <w:rPr>
            <w:webHidden/>
          </w:rPr>
          <w:fldChar w:fldCharType="separate"/>
        </w:r>
        <w:r w:rsidR="00B909E6">
          <w:rPr>
            <w:webHidden/>
          </w:rPr>
          <w:t>134</w:t>
        </w:r>
        <w:r w:rsidR="00991640">
          <w:rPr>
            <w:webHidden/>
          </w:rPr>
          <w:fldChar w:fldCharType="end"/>
        </w:r>
      </w:hyperlink>
    </w:p>
    <w:p w14:paraId="44F42624" w14:textId="66A14220" w:rsidR="00991640" w:rsidRDefault="00447183">
      <w:pPr>
        <w:pStyle w:val="TableofFigures"/>
        <w:rPr>
          <w:rFonts w:asciiTheme="minorHAnsi" w:eastAsiaTheme="minorEastAsia" w:hAnsiTheme="minorHAnsi" w:cstheme="minorBidi"/>
        </w:rPr>
      </w:pPr>
      <w:hyperlink w:anchor="_Toc418179477" w:history="1">
        <w:r w:rsidR="00991640" w:rsidRPr="00670356">
          <w:rPr>
            <w:rStyle w:val="Hyperlink"/>
          </w:rPr>
          <w:t>Table 80</w:t>
        </w:r>
        <w:r w:rsidR="00991640">
          <w:rPr>
            <w:rFonts w:asciiTheme="minorHAnsi" w:eastAsiaTheme="minorEastAsia" w:hAnsiTheme="minorHAnsi" w:cstheme="minorBidi"/>
          </w:rPr>
          <w:tab/>
        </w:r>
        <w:r w:rsidR="00991640" w:rsidRPr="00670356">
          <w:rPr>
            <w:rStyle w:val="Hyperlink"/>
          </w:rPr>
          <w:t>Estimated net cost implication</w:t>
        </w:r>
        <w:r w:rsidR="00070D91">
          <w:rPr>
            <w:rStyle w:val="Hyperlink"/>
          </w:rPr>
          <w:t>s</w:t>
        </w:r>
        <w:r w:rsidR="00991640" w:rsidRPr="00670356">
          <w:rPr>
            <w:rStyle w:val="Hyperlink"/>
          </w:rPr>
          <w:t xml:space="preserve"> of CFTR mutation testing to government health budgets, 2015–19</w:t>
        </w:r>
        <w:r w:rsidR="00991640">
          <w:rPr>
            <w:webHidden/>
          </w:rPr>
          <w:tab/>
        </w:r>
        <w:r w:rsidR="00991640">
          <w:rPr>
            <w:webHidden/>
          </w:rPr>
          <w:fldChar w:fldCharType="begin"/>
        </w:r>
        <w:r w:rsidR="00991640">
          <w:rPr>
            <w:webHidden/>
          </w:rPr>
          <w:instrText xml:space="preserve"> PAGEREF _Toc418179477 \h </w:instrText>
        </w:r>
        <w:r w:rsidR="00991640">
          <w:rPr>
            <w:webHidden/>
          </w:rPr>
        </w:r>
        <w:r w:rsidR="00991640">
          <w:rPr>
            <w:webHidden/>
          </w:rPr>
          <w:fldChar w:fldCharType="separate"/>
        </w:r>
        <w:r w:rsidR="00B909E6">
          <w:rPr>
            <w:webHidden/>
          </w:rPr>
          <w:t>135</w:t>
        </w:r>
        <w:r w:rsidR="00991640">
          <w:rPr>
            <w:webHidden/>
          </w:rPr>
          <w:fldChar w:fldCharType="end"/>
        </w:r>
      </w:hyperlink>
    </w:p>
    <w:p w14:paraId="6568148F" w14:textId="34C43A73" w:rsidR="00991640" w:rsidRDefault="00447183">
      <w:pPr>
        <w:pStyle w:val="TableofFigures"/>
        <w:rPr>
          <w:rFonts w:asciiTheme="minorHAnsi" w:eastAsiaTheme="minorEastAsia" w:hAnsiTheme="minorHAnsi" w:cstheme="minorBidi"/>
        </w:rPr>
      </w:pPr>
      <w:hyperlink w:anchor="_Toc418179478" w:history="1">
        <w:r w:rsidR="00991640" w:rsidRPr="00670356">
          <w:rPr>
            <w:rStyle w:val="Hyperlink"/>
          </w:rPr>
          <w:t>Table 81</w:t>
        </w:r>
        <w:r w:rsidR="00991640">
          <w:rPr>
            <w:rFonts w:asciiTheme="minorHAnsi" w:eastAsiaTheme="minorEastAsia" w:hAnsiTheme="minorHAnsi" w:cstheme="minorBidi"/>
          </w:rPr>
          <w:tab/>
        </w:r>
        <w:r w:rsidR="00991640" w:rsidRPr="00670356">
          <w:rPr>
            <w:rStyle w:val="Hyperlink"/>
          </w:rPr>
          <w:t xml:space="preserve">Estimated net </w:t>
        </w:r>
        <w:r w:rsidR="00511B05">
          <w:rPr>
            <w:rStyle w:val="Hyperlink"/>
          </w:rPr>
          <w:t>savimg</w:t>
        </w:r>
        <w:r w:rsidR="00991640" w:rsidRPr="00670356">
          <w:rPr>
            <w:rStyle w:val="Hyperlink"/>
          </w:rPr>
          <w:t>s to patients associated with MBS funding of CFTR mutation testing, 2015–19</w:t>
        </w:r>
        <w:r w:rsidR="00991640">
          <w:rPr>
            <w:webHidden/>
          </w:rPr>
          <w:tab/>
        </w:r>
        <w:r w:rsidR="00991640">
          <w:rPr>
            <w:webHidden/>
          </w:rPr>
          <w:fldChar w:fldCharType="begin"/>
        </w:r>
        <w:r w:rsidR="00991640">
          <w:rPr>
            <w:webHidden/>
          </w:rPr>
          <w:instrText xml:space="preserve"> PAGEREF _Toc418179478 \h </w:instrText>
        </w:r>
        <w:r w:rsidR="00991640">
          <w:rPr>
            <w:webHidden/>
          </w:rPr>
        </w:r>
        <w:r w:rsidR="00991640">
          <w:rPr>
            <w:webHidden/>
          </w:rPr>
          <w:fldChar w:fldCharType="separate"/>
        </w:r>
        <w:r w:rsidR="00B909E6">
          <w:rPr>
            <w:webHidden/>
          </w:rPr>
          <w:t>135</w:t>
        </w:r>
        <w:r w:rsidR="00991640">
          <w:rPr>
            <w:webHidden/>
          </w:rPr>
          <w:fldChar w:fldCharType="end"/>
        </w:r>
      </w:hyperlink>
    </w:p>
    <w:p w14:paraId="64E997DA" w14:textId="77777777" w:rsidR="00991640" w:rsidRDefault="00447183">
      <w:pPr>
        <w:pStyle w:val="TableofFigures"/>
        <w:rPr>
          <w:rFonts w:asciiTheme="minorHAnsi" w:eastAsiaTheme="minorEastAsia" w:hAnsiTheme="minorHAnsi" w:cstheme="minorBidi"/>
        </w:rPr>
      </w:pPr>
      <w:hyperlink w:anchor="_Toc418179479" w:history="1">
        <w:r w:rsidR="00991640" w:rsidRPr="00670356">
          <w:rPr>
            <w:rStyle w:val="Hyperlink"/>
          </w:rPr>
          <w:t>Table 82</w:t>
        </w:r>
        <w:r w:rsidR="00991640">
          <w:rPr>
            <w:rFonts w:asciiTheme="minorHAnsi" w:eastAsiaTheme="minorEastAsia" w:hAnsiTheme="minorHAnsi" w:cstheme="minorBidi"/>
          </w:rPr>
          <w:tab/>
        </w:r>
        <w:r w:rsidR="00991640" w:rsidRPr="00670356">
          <w:rPr>
            <w:rStyle w:val="Hyperlink"/>
          </w:rPr>
          <w:t>Financial implication sensitivity analyses</w:t>
        </w:r>
        <w:r w:rsidR="00991640">
          <w:rPr>
            <w:webHidden/>
          </w:rPr>
          <w:tab/>
        </w:r>
        <w:r w:rsidR="00991640">
          <w:rPr>
            <w:webHidden/>
          </w:rPr>
          <w:fldChar w:fldCharType="begin"/>
        </w:r>
        <w:r w:rsidR="00991640">
          <w:rPr>
            <w:webHidden/>
          </w:rPr>
          <w:instrText xml:space="preserve"> PAGEREF _Toc418179479 \h </w:instrText>
        </w:r>
        <w:r w:rsidR="00991640">
          <w:rPr>
            <w:webHidden/>
          </w:rPr>
        </w:r>
        <w:r w:rsidR="00991640">
          <w:rPr>
            <w:webHidden/>
          </w:rPr>
          <w:fldChar w:fldCharType="separate"/>
        </w:r>
        <w:r w:rsidR="00B909E6">
          <w:rPr>
            <w:webHidden/>
          </w:rPr>
          <w:t>136</w:t>
        </w:r>
        <w:r w:rsidR="00991640">
          <w:rPr>
            <w:webHidden/>
          </w:rPr>
          <w:fldChar w:fldCharType="end"/>
        </w:r>
      </w:hyperlink>
    </w:p>
    <w:p w14:paraId="7073613B" w14:textId="143029BD" w:rsidR="00991640" w:rsidRDefault="00447183">
      <w:pPr>
        <w:pStyle w:val="TableofFigures"/>
        <w:rPr>
          <w:rFonts w:asciiTheme="minorHAnsi" w:eastAsiaTheme="minorEastAsia" w:hAnsiTheme="minorHAnsi" w:cstheme="minorBidi"/>
        </w:rPr>
      </w:pPr>
      <w:hyperlink w:anchor="_Toc418179480" w:history="1">
        <w:r w:rsidR="00991640" w:rsidRPr="00670356">
          <w:rPr>
            <w:rStyle w:val="Hyperlink"/>
          </w:rPr>
          <w:t>Table 83</w:t>
        </w:r>
        <w:r w:rsidR="00991640">
          <w:rPr>
            <w:rFonts w:asciiTheme="minorHAnsi" w:eastAsiaTheme="minorEastAsia" w:hAnsiTheme="minorHAnsi" w:cstheme="minorBidi"/>
          </w:rPr>
          <w:tab/>
        </w:r>
        <w:r w:rsidR="00991640" w:rsidRPr="00670356">
          <w:rPr>
            <w:rStyle w:val="Hyperlink"/>
          </w:rPr>
          <w:t xml:space="preserve">Financial implication </w:t>
        </w:r>
        <w:r w:rsidR="00022486">
          <w:rPr>
            <w:rStyle w:val="Hyperlink"/>
          </w:rPr>
          <w:t xml:space="preserve">of </w:t>
        </w:r>
        <w:r w:rsidR="00991640" w:rsidRPr="00670356">
          <w:rPr>
            <w:rStyle w:val="Hyperlink"/>
          </w:rPr>
          <w:t>CFTR test cost scenario analyses</w:t>
        </w:r>
        <w:r w:rsidR="00991640">
          <w:rPr>
            <w:webHidden/>
          </w:rPr>
          <w:tab/>
        </w:r>
        <w:r w:rsidR="00991640">
          <w:rPr>
            <w:webHidden/>
          </w:rPr>
          <w:fldChar w:fldCharType="begin"/>
        </w:r>
        <w:r w:rsidR="00991640">
          <w:rPr>
            <w:webHidden/>
          </w:rPr>
          <w:instrText xml:space="preserve"> PAGEREF _Toc418179480 \h </w:instrText>
        </w:r>
        <w:r w:rsidR="00991640">
          <w:rPr>
            <w:webHidden/>
          </w:rPr>
        </w:r>
        <w:r w:rsidR="00991640">
          <w:rPr>
            <w:webHidden/>
          </w:rPr>
          <w:fldChar w:fldCharType="separate"/>
        </w:r>
        <w:r w:rsidR="00B909E6">
          <w:rPr>
            <w:webHidden/>
          </w:rPr>
          <w:t>137</w:t>
        </w:r>
        <w:r w:rsidR="00991640">
          <w:rPr>
            <w:webHidden/>
          </w:rPr>
          <w:fldChar w:fldCharType="end"/>
        </w:r>
      </w:hyperlink>
    </w:p>
    <w:p w14:paraId="156608E0" w14:textId="16BDEB24" w:rsidR="00991640" w:rsidRDefault="00447183">
      <w:pPr>
        <w:pStyle w:val="TableofFigures"/>
        <w:rPr>
          <w:rFonts w:asciiTheme="minorHAnsi" w:eastAsiaTheme="minorEastAsia" w:hAnsiTheme="minorHAnsi" w:cstheme="minorBidi"/>
        </w:rPr>
      </w:pPr>
      <w:hyperlink w:anchor="_Toc418179481" w:history="1">
        <w:r w:rsidR="00991640" w:rsidRPr="00670356">
          <w:rPr>
            <w:rStyle w:val="Hyperlink"/>
          </w:rPr>
          <w:t>Table 84</w:t>
        </w:r>
        <w:r w:rsidR="00991640">
          <w:rPr>
            <w:rFonts w:asciiTheme="minorHAnsi" w:eastAsiaTheme="minorEastAsia" w:hAnsiTheme="minorHAnsi" w:cstheme="minorBidi"/>
          </w:rPr>
          <w:tab/>
        </w:r>
        <w:r w:rsidR="00991640" w:rsidRPr="00670356">
          <w:rPr>
            <w:rStyle w:val="Hyperlink"/>
          </w:rPr>
          <w:t xml:space="preserve">Financial implication </w:t>
        </w:r>
        <w:r w:rsidR="00022486">
          <w:rPr>
            <w:rStyle w:val="Hyperlink"/>
          </w:rPr>
          <w:t xml:space="preserve">of </w:t>
        </w:r>
        <w:r w:rsidR="00991640" w:rsidRPr="00670356">
          <w:rPr>
            <w:rStyle w:val="Hyperlink"/>
          </w:rPr>
          <w:t>common mutation panel scenario analyses</w:t>
        </w:r>
        <w:r w:rsidR="00991640">
          <w:rPr>
            <w:webHidden/>
          </w:rPr>
          <w:tab/>
        </w:r>
        <w:r w:rsidR="00991640">
          <w:rPr>
            <w:webHidden/>
          </w:rPr>
          <w:fldChar w:fldCharType="begin"/>
        </w:r>
        <w:r w:rsidR="00991640">
          <w:rPr>
            <w:webHidden/>
          </w:rPr>
          <w:instrText xml:space="preserve"> PAGEREF _Toc418179481 \h </w:instrText>
        </w:r>
        <w:r w:rsidR="00991640">
          <w:rPr>
            <w:webHidden/>
          </w:rPr>
        </w:r>
        <w:r w:rsidR="00991640">
          <w:rPr>
            <w:webHidden/>
          </w:rPr>
          <w:fldChar w:fldCharType="separate"/>
        </w:r>
        <w:r w:rsidR="00B909E6">
          <w:rPr>
            <w:webHidden/>
          </w:rPr>
          <w:t>138</w:t>
        </w:r>
        <w:r w:rsidR="00991640">
          <w:rPr>
            <w:webHidden/>
          </w:rPr>
          <w:fldChar w:fldCharType="end"/>
        </w:r>
      </w:hyperlink>
    </w:p>
    <w:p w14:paraId="066F3732" w14:textId="77777777" w:rsidR="00991640" w:rsidRDefault="00447183">
      <w:pPr>
        <w:pStyle w:val="TableofFigures"/>
        <w:rPr>
          <w:rFonts w:asciiTheme="minorHAnsi" w:eastAsiaTheme="minorEastAsia" w:hAnsiTheme="minorHAnsi" w:cstheme="minorBidi"/>
        </w:rPr>
      </w:pPr>
      <w:hyperlink w:anchor="_Toc418179482" w:history="1">
        <w:r w:rsidR="00991640" w:rsidRPr="00670356">
          <w:rPr>
            <w:rStyle w:val="Hyperlink"/>
          </w:rPr>
          <w:t>Table 85</w:t>
        </w:r>
        <w:r w:rsidR="00991640">
          <w:rPr>
            <w:rFonts w:asciiTheme="minorHAnsi" w:eastAsiaTheme="minorEastAsia" w:hAnsiTheme="minorHAnsi" w:cstheme="minorBidi"/>
          </w:rPr>
          <w:tab/>
        </w:r>
        <w:r w:rsidR="00991640" w:rsidRPr="00670356">
          <w:rPr>
            <w:rStyle w:val="Hyperlink"/>
          </w:rPr>
          <w:t>Main ethical issues for prenatal genetic testing and their most relevant principles</w:t>
        </w:r>
        <w:r w:rsidR="00991640">
          <w:rPr>
            <w:webHidden/>
          </w:rPr>
          <w:tab/>
        </w:r>
        <w:r w:rsidR="00991640">
          <w:rPr>
            <w:webHidden/>
          </w:rPr>
          <w:fldChar w:fldCharType="begin"/>
        </w:r>
        <w:r w:rsidR="00991640">
          <w:rPr>
            <w:webHidden/>
          </w:rPr>
          <w:instrText xml:space="preserve"> PAGEREF _Toc418179482 \h </w:instrText>
        </w:r>
        <w:r w:rsidR="00991640">
          <w:rPr>
            <w:webHidden/>
          </w:rPr>
        </w:r>
        <w:r w:rsidR="00991640">
          <w:rPr>
            <w:webHidden/>
          </w:rPr>
          <w:fldChar w:fldCharType="separate"/>
        </w:r>
        <w:r w:rsidR="00B909E6">
          <w:rPr>
            <w:webHidden/>
          </w:rPr>
          <w:t>141</w:t>
        </w:r>
        <w:r w:rsidR="00991640">
          <w:rPr>
            <w:webHidden/>
          </w:rPr>
          <w:fldChar w:fldCharType="end"/>
        </w:r>
      </w:hyperlink>
    </w:p>
    <w:p w14:paraId="73A52704" w14:textId="77777777" w:rsidR="00991640" w:rsidRDefault="00447183">
      <w:pPr>
        <w:pStyle w:val="TableofFigures"/>
        <w:rPr>
          <w:rFonts w:asciiTheme="minorHAnsi" w:eastAsiaTheme="minorEastAsia" w:hAnsiTheme="minorHAnsi" w:cstheme="minorBidi"/>
        </w:rPr>
      </w:pPr>
      <w:hyperlink w:anchor="_Toc418179483" w:history="1">
        <w:r w:rsidR="00991640" w:rsidRPr="00670356">
          <w:rPr>
            <w:rStyle w:val="Hyperlink"/>
          </w:rPr>
          <w:t>Table 86</w:t>
        </w:r>
        <w:r w:rsidR="00991640">
          <w:rPr>
            <w:rFonts w:asciiTheme="minorHAnsi" w:eastAsiaTheme="minorEastAsia" w:hAnsiTheme="minorHAnsi" w:cstheme="minorBidi"/>
          </w:rPr>
          <w:tab/>
        </w:r>
        <w:r w:rsidR="00991640" w:rsidRPr="00670356">
          <w:rPr>
            <w:rStyle w:val="Hyperlink"/>
          </w:rPr>
          <w:t>Study profiles of included studies on diagnostic accuracy</w:t>
        </w:r>
        <w:r w:rsidR="00991640">
          <w:rPr>
            <w:webHidden/>
          </w:rPr>
          <w:tab/>
        </w:r>
        <w:r w:rsidR="00991640">
          <w:rPr>
            <w:webHidden/>
          </w:rPr>
          <w:fldChar w:fldCharType="begin"/>
        </w:r>
        <w:r w:rsidR="00991640">
          <w:rPr>
            <w:webHidden/>
          </w:rPr>
          <w:instrText xml:space="preserve"> PAGEREF _Toc418179483 \h </w:instrText>
        </w:r>
        <w:r w:rsidR="00991640">
          <w:rPr>
            <w:webHidden/>
          </w:rPr>
        </w:r>
        <w:r w:rsidR="00991640">
          <w:rPr>
            <w:webHidden/>
          </w:rPr>
          <w:fldChar w:fldCharType="separate"/>
        </w:r>
        <w:r w:rsidR="00B909E6">
          <w:rPr>
            <w:webHidden/>
          </w:rPr>
          <w:t>152</w:t>
        </w:r>
        <w:r w:rsidR="00991640">
          <w:rPr>
            <w:webHidden/>
          </w:rPr>
          <w:fldChar w:fldCharType="end"/>
        </w:r>
      </w:hyperlink>
    </w:p>
    <w:p w14:paraId="21D6CAF4" w14:textId="77777777" w:rsidR="00991640" w:rsidRDefault="00447183">
      <w:pPr>
        <w:pStyle w:val="TableofFigures"/>
        <w:rPr>
          <w:rFonts w:asciiTheme="minorHAnsi" w:eastAsiaTheme="minorEastAsia" w:hAnsiTheme="minorHAnsi" w:cstheme="minorBidi"/>
        </w:rPr>
      </w:pPr>
      <w:hyperlink w:anchor="_Toc418179484" w:history="1">
        <w:r w:rsidR="00991640" w:rsidRPr="00670356">
          <w:rPr>
            <w:rStyle w:val="Hyperlink"/>
          </w:rPr>
          <w:t xml:space="preserve">Table 87 </w:t>
        </w:r>
        <w:r w:rsidR="00991640">
          <w:rPr>
            <w:rFonts w:asciiTheme="minorHAnsi" w:eastAsiaTheme="minorEastAsia" w:hAnsiTheme="minorHAnsi" w:cstheme="minorBidi"/>
          </w:rPr>
          <w:tab/>
        </w:r>
        <w:r w:rsidR="00991640" w:rsidRPr="00670356">
          <w:rPr>
            <w:rStyle w:val="Hyperlink"/>
          </w:rPr>
          <w:t>Study profiles of included studies on change in management</w:t>
        </w:r>
        <w:r w:rsidR="00991640">
          <w:rPr>
            <w:webHidden/>
          </w:rPr>
          <w:tab/>
        </w:r>
        <w:r w:rsidR="00991640">
          <w:rPr>
            <w:webHidden/>
          </w:rPr>
          <w:fldChar w:fldCharType="begin"/>
        </w:r>
        <w:r w:rsidR="00991640">
          <w:rPr>
            <w:webHidden/>
          </w:rPr>
          <w:instrText xml:space="preserve"> PAGEREF _Toc418179484 \h </w:instrText>
        </w:r>
        <w:r w:rsidR="00991640">
          <w:rPr>
            <w:webHidden/>
          </w:rPr>
        </w:r>
        <w:r w:rsidR="00991640">
          <w:rPr>
            <w:webHidden/>
          </w:rPr>
          <w:fldChar w:fldCharType="separate"/>
        </w:r>
        <w:r w:rsidR="00B909E6">
          <w:rPr>
            <w:webHidden/>
          </w:rPr>
          <w:t>161</w:t>
        </w:r>
        <w:r w:rsidR="00991640">
          <w:rPr>
            <w:webHidden/>
          </w:rPr>
          <w:fldChar w:fldCharType="end"/>
        </w:r>
      </w:hyperlink>
    </w:p>
    <w:p w14:paraId="4834A7EA" w14:textId="77777777" w:rsidR="00991640" w:rsidRDefault="00447183">
      <w:pPr>
        <w:pStyle w:val="TableofFigures"/>
        <w:rPr>
          <w:rFonts w:asciiTheme="minorHAnsi" w:eastAsiaTheme="minorEastAsia" w:hAnsiTheme="minorHAnsi" w:cstheme="minorBidi"/>
        </w:rPr>
      </w:pPr>
      <w:hyperlink w:anchor="_Toc418179485" w:history="1">
        <w:r w:rsidR="00991640" w:rsidRPr="00670356">
          <w:rPr>
            <w:rStyle w:val="Hyperlink"/>
          </w:rPr>
          <w:t>Table 88</w:t>
        </w:r>
        <w:r w:rsidR="00991640">
          <w:rPr>
            <w:rFonts w:asciiTheme="minorHAnsi" w:eastAsiaTheme="minorEastAsia" w:hAnsiTheme="minorHAnsi" w:cstheme="minorBidi"/>
          </w:rPr>
          <w:tab/>
        </w:r>
        <w:r w:rsidR="00991640" w:rsidRPr="00670356">
          <w:rPr>
            <w:rStyle w:val="Hyperlink"/>
          </w:rPr>
          <w:t>Diagnostic accuracy of CFTR mutation testing compared with DNA sequencing in CF patients</w:t>
        </w:r>
        <w:r w:rsidR="00991640">
          <w:rPr>
            <w:webHidden/>
          </w:rPr>
          <w:tab/>
        </w:r>
        <w:r w:rsidR="00991640">
          <w:rPr>
            <w:webHidden/>
          </w:rPr>
          <w:fldChar w:fldCharType="begin"/>
        </w:r>
        <w:r w:rsidR="00991640">
          <w:rPr>
            <w:webHidden/>
          </w:rPr>
          <w:instrText xml:space="preserve"> PAGEREF _Toc418179485 \h </w:instrText>
        </w:r>
        <w:r w:rsidR="00991640">
          <w:rPr>
            <w:webHidden/>
          </w:rPr>
        </w:r>
        <w:r w:rsidR="00991640">
          <w:rPr>
            <w:webHidden/>
          </w:rPr>
          <w:fldChar w:fldCharType="separate"/>
        </w:r>
        <w:r w:rsidR="00B909E6">
          <w:rPr>
            <w:webHidden/>
          </w:rPr>
          <w:t>165</w:t>
        </w:r>
        <w:r w:rsidR="00991640">
          <w:rPr>
            <w:webHidden/>
          </w:rPr>
          <w:fldChar w:fldCharType="end"/>
        </w:r>
      </w:hyperlink>
    </w:p>
    <w:p w14:paraId="271A9B78" w14:textId="77777777" w:rsidR="00991640" w:rsidRDefault="00447183">
      <w:pPr>
        <w:pStyle w:val="TableofFigures"/>
        <w:rPr>
          <w:rFonts w:asciiTheme="minorHAnsi" w:eastAsiaTheme="minorEastAsia" w:hAnsiTheme="minorHAnsi" w:cstheme="minorBidi"/>
        </w:rPr>
      </w:pPr>
      <w:hyperlink w:anchor="_Toc418179486" w:history="1">
        <w:r w:rsidR="00991640" w:rsidRPr="00670356">
          <w:rPr>
            <w:rStyle w:val="Hyperlink"/>
          </w:rPr>
          <w:t>Table 89</w:t>
        </w:r>
        <w:r w:rsidR="00991640">
          <w:rPr>
            <w:rFonts w:asciiTheme="minorHAnsi" w:eastAsiaTheme="minorEastAsia" w:hAnsiTheme="minorHAnsi" w:cstheme="minorBidi"/>
          </w:rPr>
          <w:tab/>
        </w:r>
        <w:r w:rsidR="00991640" w:rsidRPr="00670356">
          <w:rPr>
            <w:rStyle w:val="Hyperlink"/>
          </w:rPr>
          <w:t>Diagnostic accuracy of DNA sequencing compared with clinical diagnosis in CF patients</w:t>
        </w:r>
        <w:r w:rsidR="00991640">
          <w:rPr>
            <w:webHidden/>
          </w:rPr>
          <w:tab/>
        </w:r>
        <w:r w:rsidR="00991640">
          <w:rPr>
            <w:webHidden/>
          </w:rPr>
          <w:fldChar w:fldCharType="begin"/>
        </w:r>
        <w:r w:rsidR="00991640">
          <w:rPr>
            <w:webHidden/>
          </w:rPr>
          <w:instrText xml:space="preserve"> PAGEREF _Toc418179486 \h </w:instrText>
        </w:r>
        <w:r w:rsidR="00991640">
          <w:rPr>
            <w:webHidden/>
          </w:rPr>
        </w:r>
        <w:r w:rsidR="00991640">
          <w:rPr>
            <w:webHidden/>
          </w:rPr>
          <w:fldChar w:fldCharType="separate"/>
        </w:r>
        <w:r w:rsidR="00B909E6">
          <w:rPr>
            <w:webHidden/>
          </w:rPr>
          <w:t>166</w:t>
        </w:r>
        <w:r w:rsidR="00991640">
          <w:rPr>
            <w:webHidden/>
          </w:rPr>
          <w:fldChar w:fldCharType="end"/>
        </w:r>
      </w:hyperlink>
    </w:p>
    <w:p w14:paraId="42CB0DCE" w14:textId="77777777" w:rsidR="00991640" w:rsidRDefault="00447183">
      <w:pPr>
        <w:pStyle w:val="TableofFigures"/>
        <w:rPr>
          <w:rFonts w:asciiTheme="minorHAnsi" w:eastAsiaTheme="minorEastAsia" w:hAnsiTheme="minorHAnsi" w:cstheme="minorBidi"/>
        </w:rPr>
      </w:pPr>
      <w:hyperlink w:anchor="_Toc418179487" w:history="1">
        <w:r w:rsidR="00991640" w:rsidRPr="00670356">
          <w:rPr>
            <w:rStyle w:val="Hyperlink"/>
          </w:rPr>
          <w:t>Table 90</w:t>
        </w:r>
        <w:r w:rsidR="00991640">
          <w:rPr>
            <w:rFonts w:asciiTheme="minorHAnsi" w:eastAsiaTheme="minorEastAsia" w:hAnsiTheme="minorHAnsi" w:cstheme="minorBidi"/>
          </w:rPr>
          <w:tab/>
        </w:r>
        <w:r w:rsidR="00991640" w:rsidRPr="00670356">
          <w:rPr>
            <w:rStyle w:val="Hyperlink"/>
          </w:rPr>
          <w:t>Diagnostic accuracy of CFTR mutation testing compared with clinical diagnosis in CF patients</w:t>
        </w:r>
        <w:r w:rsidR="00991640">
          <w:rPr>
            <w:webHidden/>
          </w:rPr>
          <w:tab/>
        </w:r>
        <w:r w:rsidR="00991640">
          <w:rPr>
            <w:webHidden/>
          </w:rPr>
          <w:fldChar w:fldCharType="begin"/>
        </w:r>
        <w:r w:rsidR="00991640">
          <w:rPr>
            <w:webHidden/>
          </w:rPr>
          <w:instrText xml:space="preserve"> PAGEREF _Toc418179487 \h </w:instrText>
        </w:r>
        <w:r w:rsidR="00991640">
          <w:rPr>
            <w:webHidden/>
          </w:rPr>
        </w:r>
        <w:r w:rsidR="00991640">
          <w:rPr>
            <w:webHidden/>
          </w:rPr>
          <w:fldChar w:fldCharType="separate"/>
        </w:r>
        <w:r w:rsidR="00B909E6">
          <w:rPr>
            <w:webHidden/>
          </w:rPr>
          <w:t>166</w:t>
        </w:r>
        <w:r w:rsidR="00991640">
          <w:rPr>
            <w:webHidden/>
          </w:rPr>
          <w:fldChar w:fldCharType="end"/>
        </w:r>
      </w:hyperlink>
    </w:p>
    <w:p w14:paraId="02DD6F0E" w14:textId="77777777" w:rsidR="00991640" w:rsidRDefault="00447183">
      <w:pPr>
        <w:pStyle w:val="TableofFigures"/>
        <w:rPr>
          <w:rFonts w:asciiTheme="minorHAnsi" w:eastAsiaTheme="minorEastAsia" w:hAnsiTheme="minorHAnsi" w:cstheme="minorBidi"/>
        </w:rPr>
      </w:pPr>
      <w:hyperlink w:anchor="_Toc418179488" w:history="1">
        <w:r w:rsidR="00991640" w:rsidRPr="00670356">
          <w:rPr>
            <w:rStyle w:val="Hyperlink"/>
          </w:rPr>
          <w:t>Table 91</w:t>
        </w:r>
        <w:r w:rsidR="00991640">
          <w:rPr>
            <w:rFonts w:asciiTheme="minorHAnsi" w:eastAsiaTheme="minorEastAsia" w:hAnsiTheme="minorHAnsi" w:cstheme="minorBidi"/>
          </w:rPr>
          <w:tab/>
        </w:r>
        <w:r w:rsidR="00991640" w:rsidRPr="00670356">
          <w:rPr>
            <w:rStyle w:val="Hyperlink"/>
          </w:rPr>
          <w:t>Diagnostic accuracy of CFTR mutation testing compared with DNA sequencing in patients with CBVAD</w:t>
        </w:r>
        <w:r w:rsidR="00991640">
          <w:rPr>
            <w:webHidden/>
          </w:rPr>
          <w:tab/>
        </w:r>
        <w:r w:rsidR="00991640">
          <w:rPr>
            <w:webHidden/>
          </w:rPr>
          <w:fldChar w:fldCharType="begin"/>
        </w:r>
        <w:r w:rsidR="00991640">
          <w:rPr>
            <w:webHidden/>
          </w:rPr>
          <w:instrText xml:space="preserve"> PAGEREF _Toc418179488 \h </w:instrText>
        </w:r>
        <w:r w:rsidR="00991640">
          <w:rPr>
            <w:webHidden/>
          </w:rPr>
        </w:r>
        <w:r w:rsidR="00991640">
          <w:rPr>
            <w:webHidden/>
          </w:rPr>
          <w:fldChar w:fldCharType="separate"/>
        </w:r>
        <w:r w:rsidR="00B909E6">
          <w:rPr>
            <w:webHidden/>
          </w:rPr>
          <w:t>167</w:t>
        </w:r>
        <w:r w:rsidR="00991640">
          <w:rPr>
            <w:webHidden/>
          </w:rPr>
          <w:fldChar w:fldCharType="end"/>
        </w:r>
      </w:hyperlink>
    </w:p>
    <w:p w14:paraId="03FA300D" w14:textId="77777777" w:rsidR="00991640" w:rsidRDefault="00447183">
      <w:pPr>
        <w:pStyle w:val="TableofFigures"/>
        <w:rPr>
          <w:rFonts w:asciiTheme="minorHAnsi" w:eastAsiaTheme="minorEastAsia" w:hAnsiTheme="minorHAnsi" w:cstheme="minorBidi"/>
        </w:rPr>
      </w:pPr>
      <w:hyperlink w:anchor="_Toc418179489" w:history="1">
        <w:r w:rsidR="00991640" w:rsidRPr="00670356">
          <w:rPr>
            <w:rStyle w:val="Hyperlink"/>
          </w:rPr>
          <w:t>Table 92</w:t>
        </w:r>
        <w:r w:rsidR="00991640">
          <w:rPr>
            <w:rFonts w:asciiTheme="minorHAnsi" w:eastAsiaTheme="minorEastAsia" w:hAnsiTheme="minorHAnsi" w:cstheme="minorBidi"/>
          </w:rPr>
          <w:tab/>
        </w:r>
        <w:r w:rsidR="00991640" w:rsidRPr="00670356">
          <w:rPr>
            <w:rStyle w:val="Hyperlink"/>
          </w:rPr>
          <w:t>Diagnostic accuracy of DNA sequencing compared with clinical diagnosis in patients with CBVAD</w:t>
        </w:r>
        <w:r w:rsidR="00991640">
          <w:rPr>
            <w:webHidden/>
          </w:rPr>
          <w:tab/>
        </w:r>
        <w:r w:rsidR="00991640">
          <w:rPr>
            <w:webHidden/>
          </w:rPr>
          <w:fldChar w:fldCharType="begin"/>
        </w:r>
        <w:r w:rsidR="00991640">
          <w:rPr>
            <w:webHidden/>
          </w:rPr>
          <w:instrText xml:space="preserve"> PAGEREF _Toc418179489 \h </w:instrText>
        </w:r>
        <w:r w:rsidR="00991640">
          <w:rPr>
            <w:webHidden/>
          </w:rPr>
        </w:r>
        <w:r w:rsidR="00991640">
          <w:rPr>
            <w:webHidden/>
          </w:rPr>
          <w:fldChar w:fldCharType="separate"/>
        </w:r>
        <w:r w:rsidR="00B909E6">
          <w:rPr>
            <w:webHidden/>
          </w:rPr>
          <w:t>168</w:t>
        </w:r>
        <w:r w:rsidR="00991640">
          <w:rPr>
            <w:webHidden/>
          </w:rPr>
          <w:fldChar w:fldCharType="end"/>
        </w:r>
      </w:hyperlink>
    </w:p>
    <w:p w14:paraId="30120C89" w14:textId="77777777" w:rsidR="00991640" w:rsidRDefault="00447183">
      <w:pPr>
        <w:pStyle w:val="TableofFigures"/>
        <w:rPr>
          <w:rFonts w:asciiTheme="minorHAnsi" w:eastAsiaTheme="minorEastAsia" w:hAnsiTheme="minorHAnsi" w:cstheme="minorBidi"/>
        </w:rPr>
      </w:pPr>
      <w:hyperlink w:anchor="_Toc418179490" w:history="1">
        <w:r w:rsidR="00991640" w:rsidRPr="00670356">
          <w:rPr>
            <w:rStyle w:val="Hyperlink"/>
          </w:rPr>
          <w:t>Table 93</w:t>
        </w:r>
        <w:r w:rsidR="00991640">
          <w:rPr>
            <w:rFonts w:asciiTheme="minorHAnsi" w:eastAsiaTheme="minorEastAsia" w:hAnsiTheme="minorHAnsi" w:cstheme="minorBidi"/>
          </w:rPr>
          <w:tab/>
        </w:r>
        <w:r w:rsidR="00991640" w:rsidRPr="00670356">
          <w:rPr>
            <w:rStyle w:val="Hyperlink"/>
          </w:rPr>
          <w:t>Diagnostic accuracy of CFTR mutation testing compared with clinical diagnosis in patients with CBVAD</w:t>
        </w:r>
        <w:r w:rsidR="00991640">
          <w:rPr>
            <w:webHidden/>
          </w:rPr>
          <w:tab/>
        </w:r>
        <w:r w:rsidR="00991640">
          <w:rPr>
            <w:webHidden/>
          </w:rPr>
          <w:fldChar w:fldCharType="begin"/>
        </w:r>
        <w:r w:rsidR="00991640">
          <w:rPr>
            <w:webHidden/>
          </w:rPr>
          <w:instrText xml:space="preserve"> PAGEREF _Toc418179490 \h </w:instrText>
        </w:r>
        <w:r w:rsidR="00991640">
          <w:rPr>
            <w:webHidden/>
          </w:rPr>
        </w:r>
        <w:r w:rsidR="00991640">
          <w:rPr>
            <w:webHidden/>
          </w:rPr>
          <w:fldChar w:fldCharType="separate"/>
        </w:r>
        <w:r w:rsidR="00B909E6">
          <w:rPr>
            <w:webHidden/>
          </w:rPr>
          <w:t>169</w:t>
        </w:r>
        <w:r w:rsidR="00991640">
          <w:rPr>
            <w:webHidden/>
          </w:rPr>
          <w:fldChar w:fldCharType="end"/>
        </w:r>
      </w:hyperlink>
    </w:p>
    <w:p w14:paraId="3F77BBE2" w14:textId="77777777" w:rsidR="00991640" w:rsidRDefault="00447183">
      <w:pPr>
        <w:pStyle w:val="TableofFigures"/>
        <w:rPr>
          <w:rFonts w:asciiTheme="minorHAnsi" w:eastAsiaTheme="minorEastAsia" w:hAnsiTheme="minorHAnsi" w:cstheme="minorBidi"/>
        </w:rPr>
      </w:pPr>
      <w:hyperlink w:anchor="_Toc418179491" w:history="1">
        <w:r w:rsidR="00991640" w:rsidRPr="00670356">
          <w:rPr>
            <w:rStyle w:val="Hyperlink"/>
          </w:rPr>
          <w:t>Table 94</w:t>
        </w:r>
        <w:r w:rsidR="00991640">
          <w:rPr>
            <w:rFonts w:asciiTheme="minorHAnsi" w:eastAsiaTheme="minorEastAsia" w:hAnsiTheme="minorHAnsi" w:cstheme="minorBidi"/>
          </w:rPr>
          <w:tab/>
        </w:r>
        <w:r w:rsidR="00991640" w:rsidRPr="00670356">
          <w:rPr>
            <w:rStyle w:val="Hyperlink"/>
          </w:rPr>
          <w:t>Diagnostic accuracy of CFTR mutation testing compared with DNA sequencing in CFTR mutation carriers</w:t>
        </w:r>
        <w:r w:rsidR="00991640">
          <w:rPr>
            <w:webHidden/>
          </w:rPr>
          <w:tab/>
        </w:r>
        <w:r w:rsidR="00991640">
          <w:rPr>
            <w:webHidden/>
          </w:rPr>
          <w:fldChar w:fldCharType="begin"/>
        </w:r>
        <w:r w:rsidR="00991640">
          <w:rPr>
            <w:webHidden/>
          </w:rPr>
          <w:instrText xml:space="preserve"> PAGEREF _Toc418179491 \h </w:instrText>
        </w:r>
        <w:r w:rsidR="00991640">
          <w:rPr>
            <w:webHidden/>
          </w:rPr>
        </w:r>
        <w:r w:rsidR="00991640">
          <w:rPr>
            <w:webHidden/>
          </w:rPr>
          <w:fldChar w:fldCharType="separate"/>
        </w:r>
        <w:r w:rsidR="00B909E6">
          <w:rPr>
            <w:webHidden/>
          </w:rPr>
          <w:t>170</w:t>
        </w:r>
        <w:r w:rsidR="00991640">
          <w:rPr>
            <w:webHidden/>
          </w:rPr>
          <w:fldChar w:fldCharType="end"/>
        </w:r>
      </w:hyperlink>
    </w:p>
    <w:p w14:paraId="6F6F904F" w14:textId="77777777" w:rsidR="00991640" w:rsidRDefault="00447183">
      <w:pPr>
        <w:pStyle w:val="TableofFigures"/>
        <w:rPr>
          <w:rFonts w:asciiTheme="minorHAnsi" w:eastAsiaTheme="minorEastAsia" w:hAnsiTheme="minorHAnsi" w:cstheme="minorBidi"/>
        </w:rPr>
      </w:pPr>
      <w:hyperlink w:anchor="_Toc418179492" w:history="1">
        <w:r w:rsidR="00991640" w:rsidRPr="00670356">
          <w:rPr>
            <w:rStyle w:val="Hyperlink"/>
          </w:rPr>
          <w:t>Table 95</w:t>
        </w:r>
        <w:r w:rsidR="00991640">
          <w:rPr>
            <w:rFonts w:asciiTheme="minorHAnsi" w:eastAsiaTheme="minorEastAsia" w:hAnsiTheme="minorHAnsi" w:cstheme="minorBidi"/>
          </w:rPr>
          <w:tab/>
        </w:r>
        <w:r w:rsidR="00991640" w:rsidRPr="00670356">
          <w:rPr>
            <w:rStyle w:val="Hyperlink"/>
          </w:rPr>
          <w:t>Diagnostic accuracy of CFTR mutation testing compared with clinical diagnosis in fetuses</w:t>
        </w:r>
        <w:r w:rsidR="00991640">
          <w:rPr>
            <w:webHidden/>
          </w:rPr>
          <w:tab/>
        </w:r>
        <w:r w:rsidR="00991640">
          <w:rPr>
            <w:webHidden/>
          </w:rPr>
          <w:fldChar w:fldCharType="begin"/>
        </w:r>
        <w:r w:rsidR="00991640">
          <w:rPr>
            <w:webHidden/>
          </w:rPr>
          <w:instrText xml:space="preserve"> PAGEREF _Toc418179492 \h </w:instrText>
        </w:r>
        <w:r w:rsidR="00991640">
          <w:rPr>
            <w:webHidden/>
          </w:rPr>
        </w:r>
        <w:r w:rsidR="00991640">
          <w:rPr>
            <w:webHidden/>
          </w:rPr>
          <w:fldChar w:fldCharType="separate"/>
        </w:r>
        <w:r w:rsidR="00B909E6">
          <w:rPr>
            <w:webHidden/>
          </w:rPr>
          <w:t>170</w:t>
        </w:r>
        <w:r w:rsidR="00991640">
          <w:rPr>
            <w:webHidden/>
          </w:rPr>
          <w:fldChar w:fldCharType="end"/>
        </w:r>
      </w:hyperlink>
    </w:p>
    <w:p w14:paraId="26002448" w14:textId="77777777" w:rsidR="00991640" w:rsidRDefault="00447183">
      <w:pPr>
        <w:pStyle w:val="TableofFigures"/>
        <w:rPr>
          <w:rFonts w:asciiTheme="minorHAnsi" w:eastAsiaTheme="minorEastAsia" w:hAnsiTheme="minorHAnsi" w:cstheme="minorBidi"/>
        </w:rPr>
      </w:pPr>
      <w:hyperlink w:anchor="_Toc418179493" w:history="1">
        <w:r w:rsidR="00991640" w:rsidRPr="00670356">
          <w:rPr>
            <w:rStyle w:val="Hyperlink"/>
          </w:rPr>
          <w:t>Table 96</w:t>
        </w:r>
        <w:r w:rsidR="00991640">
          <w:rPr>
            <w:rFonts w:asciiTheme="minorHAnsi" w:eastAsiaTheme="minorEastAsia" w:hAnsiTheme="minorHAnsi" w:cstheme="minorBidi"/>
          </w:rPr>
          <w:tab/>
        </w:r>
        <w:r w:rsidR="00991640" w:rsidRPr="00670356">
          <w:rPr>
            <w:rStyle w:val="Hyperlink"/>
          </w:rPr>
          <w:t>CFTR mutation test limitations, mutation identification errors and failure rates</w:t>
        </w:r>
        <w:r w:rsidR="00991640">
          <w:rPr>
            <w:webHidden/>
          </w:rPr>
          <w:tab/>
        </w:r>
        <w:r w:rsidR="00991640">
          <w:rPr>
            <w:webHidden/>
          </w:rPr>
          <w:fldChar w:fldCharType="begin"/>
        </w:r>
        <w:r w:rsidR="00991640">
          <w:rPr>
            <w:webHidden/>
          </w:rPr>
          <w:instrText xml:space="preserve"> PAGEREF _Toc418179493 \h </w:instrText>
        </w:r>
        <w:r w:rsidR="00991640">
          <w:rPr>
            <w:webHidden/>
          </w:rPr>
        </w:r>
        <w:r w:rsidR="00991640">
          <w:rPr>
            <w:webHidden/>
          </w:rPr>
          <w:fldChar w:fldCharType="separate"/>
        </w:r>
        <w:r w:rsidR="00B909E6">
          <w:rPr>
            <w:webHidden/>
          </w:rPr>
          <w:t>171</w:t>
        </w:r>
        <w:r w:rsidR="00991640">
          <w:rPr>
            <w:webHidden/>
          </w:rPr>
          <w:fldChar w:fldCharType="end"/>
        </w:r>
      </w:hyperlink>
    </w:p>
    <w:p w14:paraId="6E7CA21D" w14:textId="77777777" w:rsidR="00991640" w:rsidRDefault="00447183">
      <w:pPr>
        <w:pStyle w:val="TableofFigures"/>
        <w:rPr>
          <w:rFonts w:asciiTheme="minorHAnsi" w:eastAsiaTheme="minorEastAsia" w:hAnsiTheme="minorHAnsi" w:cstheme="minorBidi"/>
        </w:rPr>
      </w:pPr>
      <w:hyperlink w:anchor="_Toc418179494" w:history="1">
        <w:r w:rsidR="00991640" w:rsidRPr="00670356">
          <w:rPr>
            <w:rStyle w:val="Hyperlink"/>
          </w:rPr>
          <w:t xml:space="preserve">Table 97 </w:t>
        </w:r>
        <w:r w:rsidR="00991640">
          <w:rPr>
            <w:rFonts w:asciiTheme="minorHAnsi" w:eastAsiaTheme="minorEastAsia" w:hAnsiTheme="minorHAnsi" w:cstheme="minorBidi"/>
          </w:rPr>
          <w:tab/>
        </w:r>
        <w:r w:rsidR="00991640" w:rsidRPr="00670356">
          <w:rPr>
            <w:rStyle w:val="Hyperlink"/>
          </w:rPr>
          <w:t>Psychological impact of TOP due to fetal abnormalities</w:t>
        </w:r>
        <w:r w:rsidR="00991640">
          <w:rPr>
            <w:webHidden/>
          </w:rPr>
          <w:tab/>
        </w:r>
        <w:r w:rsidR="00991640">
          <w:rPr>
            <w:webHidden/>
          </w:rPr>
          <w:fldChar w:fldCharType="begin"/>
        </w:r>
        <w:r w:rsidR="00991640">
          <w:rPr>
            <w:webHidden/>
          </w:rPr>
          <w:instrText xml:space="preserve"> PAGEREF _Toc418179494 \h </w:instrText>
        </w:r>
        <w:r w:rsidR="00991640">
          <w:rPr>
            <w:webHidden/>
          </w:rPr>
        </w:r>
        <w:r w:rsidR="00991640">
          <w:rPr>
            <w:webHidden/>
          </w:rPr>
          <w:fldChar w:fldCharType="separate"/>
        </w:r>
        <w:r w:rsidR="00B909E6">
          <w:rPr>
            <w:webHidden/>
          </w:rPr>
          <w:t>174</w:t>
        </w:r>
        <w:r w:rsidR="00991640">
          <w:rPr>
            <w:webHidden/>
          </w:rPr>
          <w:fldChar w:fldCharType="end"/>
        </w:r>
      </w:hyperlink>
    </w:p>
    <w:p w14:paraId="3E642912" w14:textId="77777777" w:rsidR="00991640" w:rsidRDefault="00447183">
      <w:pPr>
        <w:pStyle w:val="TableofFigures"/>
        <w:rPr>
          <w:rFonts w:asciiTheme="minorHAnsi" w:eastAsiaTheme="minorEastAsia" w:hAnsiTheme="minorHAnsi" w:cstheme="minorBidi"/>
        </w:rPr>
      </w:pPr>
      <w:hyperlink w:anchor="_Toc418179495" w:history="1">
        <w:r w:rsidR="00991640" w:rsidRPr="00670356">
          <w:rPr>
            <w:rStyle w:val="Hyperlink"/>
          </w:rPr>
          <w:t>Table 98</w:t>
        </w:r>
        <w:r w:rsidR="00991640">
          <w:rPr>
            <w:rFonts w:asciiTheme="minorHAnsi" w:eastAsiaTheme="minorEastAsia" w:hAnsiTheme="minorHAnsi" w:cstheme="minorBidi"/>
          </w:rPr>
          <w:tab/>
        </w:r>
        <w:r w:rsidR="00991640" w:rsidRPr="00670356">
          <w:rPr>
            <w:rStyle w:val="Hyperlink"/>
          </w:rPr>
          <w:t>Incidence of CF in fetuses with echogenic bowel reported in previous studies</w:t>
        </w:r>
        <w:r w:rsidR="00991640">
          <w:rPr>
            <w:webHidden/>
          </w:rPr>
          <w:tab/>
        </w:r>
        <w:r w:rsidR="00991640">
          <w:rPr>
            <w:webHidden/>
          </w:rPr>
          <w:fldChar w:fldCharType="begin"/>
        </w:r>
        <w:r w:rsidR="00991640">
          <w:rPr>
            <w:webHidden/>
          </w:rPr>
          <w:instrText xml:space="preserve"> PAGEREF _Toc418179495 \h </w:instrText>
        </w:r>
        <w:r w:rsidR="00991640">
          <w:rPr>
            <w:webHidden/>
          </w:rPr>
        </w:r>
        <w:r w:rsidR="00991640">
          <w:rPr>
            <w:webHidden/>
          </w:rPr>
          <w:fldChar w:fldCharType="separate"/>
        </w:r>
        <w:r w:rsidR="00B909E6">
          <w:rPr>
            <w:webHidden/>
          </w:rPr>
          <w:t>191</w:t>
        </w:r>
        <w:r w:rsidR="00991640">
          <w:rPr>
            <w:webHidden/>
          </w:rPr>
          <w:fldChar w:fldCharType="end"/>
        </w:r>
      </w:hyperlink>
    </w:p>
    <w:p w14:paraId="23887F04" w14:textId="67032D75" w:rsidR="00991640" w:rsidRDefault="00447183">
      <w:pPr>
        <w:pStyle w:val="TableofFigures"/>
        <w:rPr>
          <w:rFonts w:asciiTheme="minorHAnsi" w:eastAsiaTheme="minorEastAsia" w:hAnsiTheme="minorHAnsi" w:cstheme="minorBidi"/>
        </w:rPr>
      </w:pPr>
      <w:hyperlink w:anchor="_Toc418179496" w:history="1">
        <w:r w:rsidR="00991640" w:rsidRPr="00670356">
          <w:rPr>
            <w:rStyle w:val="Hyperlink"/>
          </w:rPr>
          <w:t>Table 99</w:t>
        </w:r>
        <w:r w:rsidR="00991640">
          <w:rPr>
            <w:rFonts w:asciiTheme="minorHAnsi" w:eastAsiaTheme="minorEastAsia" w:hAnsiTheme="minorHAnsi" w:cstheme="minorBidi"/>
          </w:rPr>
          <w:tab/>
        </w:r>
        <w:r w:rsidR="00991640" w:rsidRPr="00670356">
          <w:rPr>
            <w:rStyle w:val="Hyperlink"/>
          </w:rPr>
          <w:t>Results of literature search for economic evaluations for prenatal CFTR mutation testing</w:t>
        </w:r>
        <w:r w:rsidR="00991640">
          <w:rPr>
            <w:webHidden/>
          </w:rPr>
          <w:tab/>
        </w:r>
        <w:r w:rsidR="00991640">
          <w:rPr>
            <w:webHidden/>
          </w:rPr>
          <w:fldChar w:fldCharType="begin"/>
        </w:r>
        <w:r w:rsidR="00991640">
          <w:rPr>
            <w:webHidden/>
          </w:rPr>
          <w:instrText xml:space="preserve"> PAGEREF _Toc418179496 \h </w:instrText>
        </w:r>
        <w:r w:rsidR="00991640">
          <w:rPr>
            <w:webHidden/>
          </w:rPr>
        </w:r>
        <w:r w:rsidR="00991640">
          <w:rPr>
            <w:webHidden/>
          </w:rPr>
          <w:fldChar w:fldCharType="separate"/>
        </w:r>
        <w:r w:rsidR="00B909E6">
          <w:rPr>
            <w:webHidden/>
          </w:rPr>
          <w:t>191</w:t>
        </w:r>
        <w:r w:rsidR="00991640">
          <w:rPr>
            <w:webHidden/>
          </w:rPr>
          <w:fldChar w:fldCharType="end"/>
        </w:r>
      </w:hyperlink>
    </w:p>
    <w:p w14:paraId="467D905F" w14:textId="7FF3DFFB" w:rsidR="00991640" w:rsidRDefault="00447183">
      <w:pPr>
        <w:pStyle w:val="TableofFigures"/>
        <w:rPr>
          <w:rFonts w:asciiTheme="minorHAnsi" w:eastAsiaTheme="minorEastAsia" w:hAnsiTheme="minorHAnsi" w:cstheme="minorBidi"/>
        </w:rPr>
      </w:pPr>
      <w:hyperlink w:anchor="_Toc418179497" w:history="1">
        <w:r w:rsidR="00991640" w:rsidRPr="00670356">
          <w:rPr>
            <w:rStyle w:val="Hyperlink"/>
          </w:rPr>
          <w:t>Table 100</w:t>
        </w:r>
        <w:r w:rsidR="00991640">
          <w:rPr>
            <w:rFonts w:asciiTheme="minorHAnsi" w:eastAsiaTheme="minorEastAsia" w:hAnsiTheme="minorHAnsi" w:cstheme="minorBidi"/>
          </w:rPr>
          <w:tab/>
        </w:r>
        <w:r w:rsidR="00991640" w:rsidRPr="00670356">
          <w:rPr>
            <w:rStyle w:val="Hyperlink"/>
          </w:rPr>
          <w:t>Results of literature search for economic evaluations for prenatal CFTR mutation testing in fetus</w:t>
        </w:r>
        <w:r w:rsidR="0093182B">
          <w:rPr>
            <w:rStyle w:val="Hyperlink"/>
          </w:rPr>
          <w:t>us</w:t>
        </w:r>
        <w:r w:rsidR="00991640" w:rsidRPr="00670356">
          <w:rPr>
            <w:rStyle w:val="Hyperlink"/>
          </w:rPr>
          <w:t xml:space="preserve"> showing echogenic bowel</w:t>
        </w:r>
        <w:r w:rsidR="00991640">
          <w:rPr>
            <w:webHidden/>
          </w:rPr>
          <w:tab/>
        </w:r>
        <w:r w:rsidR="00991640">
          <w:rPr>
            <w:webHidden/>
          </w:rPr>
          <w:fldChar w:fldCharType="begin"/>
        </w:r>
        <w:r w:rsidR="00991640">
          <w:rPr>
            <w:webHidden/>
          </w:rPr>
          <w:instrText xml:space="preserve"> PAGEREF _Toc418179497 \h </w:instrText>
        </w:r>
        <w:r w:rsidR="00991640">
          <w:rPr>
            <w:webHidden/>
          </w:rPr>
        </w:r>
        <w:r w:rsidR="00991640">
          <w:rPr>
            <w:webHidden/>
          </w:rPr>
          <w:fldChar w:fldCharType="separate"/>
        </w:r>
        <w:r w:rsidR="00B909E6">
          <w:rPr>
            <w:webHidden/>
          </w:rPr>
          <w:t>192</w:t>
        </w:r>
        <w:r w:rsidR="00991640">
          <w:rPr>
            <w:webHidden/>
          </w:rPr>
          <w:fldChar w:fldCharType="end"/>
        </w:r>
      </w:hyperlink>
    </w:p>
    <w:p w14:paraId="5A187722" w14:textId="77777777" w:rsidR="00991640" w:rsidRDefault="00447183">
      <w:pPr>
        <w:pStyle w:val="TableofFigures"/>
        <w:rPr>
          <w:rFonts w:asciiTheme="minorHAnsi" w:eastAsiaTheme="minorEastAsia" w:hAnsiTheme="minorHAnsi" w:cstheme="minorBidi"/>
        </w:rPr>
      </w:pPr>
      <w:hyperlink w:anchor="_Toc418179498" w:history="1">
        <w:r w:rsidR="00991640" w:rsidRPr="00670356">
          <w:rPr>
            <w:rStyle w:val="Hyperlink"/>
          </w:rPr>
          <w:t>Table 101</w:t>
        </w:r>
        <w:r w:rsidR="00991640">
          <w:rPr>
            <w:rFonts w:asciiTheme="minorHAnsi" w:eastAsiaTheme="minorEastAsia" w:hAnsiTheme="minorHAnsi" w:cstheme="minorBidi"/>
          </w:rPr>
          <w:tab/>
        </w:r>
        <w:r w:rsidR="00991640" w:rsidRPr="00670356">
          <w:rPr>
            <w:rStyle w:val="Hyperlink"/>
          </w:rPr>
          <w:t>Economic evaluations identified that investigate cost-effectiveness of prenatal screening in Australia</w:t>
        </w:r>
        <w:r w:rsidR="00991640">
          <w:rPr>
            <w:webHidden/>
          </w:rPr>
          <w:tab/>
        </w:r>
        <w:r w:rsidR="00991640">
          <w:rPr>
            <w:webHidden/>
          </w:rPr>
          <w:fldChar w:fldCharType="begin"/>
        </w:r>
        <w:r w:rsidR="00991640">
          <w:rPr>
            <w:webHidden/>
          </w:rPr>
          <w:instrText xml:space="preserve"> PAGEREF _Toc418179498 \h </w:instrText>
        </w:r>
        <w:r w:rsidR="00991640">
          <w:rPr>
            <w:webHidden/>
          </w:rPr>
        </w:r>
        <w:r w:rsidR="00991640">
          <w:rPr>
            <w:webHidden/>
          </w:rPr>
          <w:fldChar w:fldCharType="separate"/>
        </w:r>
        <w:r w:rsidR="00B909E6">
          <w:rPr>
            <w:webHidden/>
          </w:rPr>
          <w:t>193</w:t>
        </w:r>
        <w:r w:rsidR="00991640">
          <w:rPr>
            <w:webHidden/>
          </w:rPr>
          <w:fldChar w:fldCharType="end"/>
        </w:r>
      </w:hyperlink>
    </w:p>
    <w:p w14:paraId="779F3F65" w14:textId="49E49166" w:rsidR="00991640" w:rsidRDefault="00447183">
      <w:pPr>
        <w:pStyle w:val="TableofFigures"/>
        <w:rPr>
          <w:rFonts w:asciiTheme="minorHAnsi" w:eastAsiaTheme="minorEastAsia" w:hAnsiTheme="minorHAnsi" w:cstheme="minorBidi"/>
        </w:rPr>
      </w:pPr>
      <w:hyperlink w:anchor="_Toc418179499" w:history="1">
        <w:r w:rsidR="00991640" w:rsidRPr="00670356">
          <w:rPr>
            <w:rStyle w:val="Hyperlink"/>
          </w:rPr>
          <w:t>Table 102</w:t>
        </w:r>
        <w:r w:rsidR="00991640">
          <w:rPr>
            <w:rFonts w:asciiTheme="minorHAnsi" w:eastAsiaTheme="minorEastAsia" w:hAnsiTheme="minorHAnsi" w:cstheme="minorBidi"/>
          </w:rPr>
          <w:tab/>
        </w:r>
        <w:r w:rsidR="00991640" w:rsidRPr="00670356">
          <w:rPr>
            <w:rStyle w:val="Hyperlink"/>
          </w:rPr>
          <w:t xml:space="preserve">Costs associated with CFTR </w:t>
        </w:r>
        <w:r w:rsidR="00022486">
          <w:rPr>
            <w:rStyle w:val="Hyperlink"/>
          </w:rPr>
          <w:t>m</w:t>
        </w:r>
        <w:r w:rsidR="00991640" w:rsidRPr="00670356">
          <w:rPr>
            <w:rStyle w:val="Hyperlink"/>
          </w:rPr>
          <w:t>utation testing</w:t>
        </w:r>
        <w:r w:rsidR="00991640">
          <w:rPr>
            <w:webHidden/>
          </w:rPr>
          <w:tab/>
        </w:r>
        <w:r w:rsidR="00991640">
          <w:rPr>
            <w:webHidden/>
          </w:rPr>
          <w:fldChar w:fldCharType="begin"/>
        </w:r>
        <w:r w:rsidR="00991640">
          <w:rPr>
            <w:webHidden/>
          </w:rPr>
          <w:instrText xml:space="preserve"> PAGEREF _Toc418179499 \h </w:instrText>
        </w:r>
        <w:r w:rsidR="00991640">
          <w:rPr>
            <w:webHidden/>
          </w:rPr>
        </w:r>
        <w:r w:rsidR="00991640">
          <w:rPr>
            <w:webHidden/>
          </w:rPr>
          <w:fldChar w:fldCharType="separate"/>
        </w:r>
        <w:r w:rsidR="00B909E6">
          <w:rPr>
            <w:webHidden/>
          </w:rPr>
          <w:t>194</w:t>
        </w:r>
        <w:r w:rsidR="00991640">
          <w:rPr>
            <w:webHidden/>
          </w:rPr>
          <w:fldChar w:fldCharType="end"/>
        </w:r>
      </w:hyperlink>
    </w:p>
    <w:p w14:paraId="3350030C" w14:textId="60AAE193" w:rsidR="00991640" w:rsidRDefault="00447183">
      <w:pPr>
        <w:pStyle w:val="TableofFigures"/>
        <w:rPr>
          <w:rFonts w:asciiTheme="minorHAnsi" w:eastAsiaTheme="minorEastAsia" w:hAnsiTheme="minorHAnsi" w:cstheme="minorBidi"/>
        </w:rPr>
      </w:pPr>
      <w:hyperlink w:anchor="_Toc418179500" w:history="1">
        <w:r w:rsidR="00991640" w:rsidRPr="00670356">
          <w:rPr>
            <w:rStyle w:val="Hyperlink"/>
          </w:rPr>
          <w:t>Table 103</w:t>
        </w:r>
        <w:r w:rsidR="00991640">
          <w:rPr>
            <w:rFonts w:asciiTheme="minorHAnsi" w:eastAsiaTheme="minorEastAsia" w:hAnsiTheme="minorHAnsi" w:cstheme="minorBidi"/>
          </w:rPr>
          <w:tab/>
        </w:r>
        <w:r w:rsidR="00991640" w:rsidRPr="00670356">
          <w:rPr>
            <w:rStyle w:val="Hyperlink"/>
          </w:rPr>
          <w:t>Model probabilities for identifying CFTR mutations in both parents in the base</w:t>
        </w:r>
        <w:r w:rsidR="00022486">
          <w:rPr>
            <w:rStyle w:val="Hyperlink"/>
          </w:rPr>
          <w:t>-</w:t>
        </w:r>
        <w:r w:rsidR="00991640" w:rsidRPr="00670356">
          <w:rPr>
            <w:rStyle w:val="Hyperlink"/>
          </w:rPr>
          <w:t>case analysis</w:t>
        </w:r>
        <w:r w:rsidR="00991640">
          <w:rPr>
            <w:webHidden/>
          </w:rPr>
          <w:tab/>
        </w:r>
        <w:r w:rsidR="00991640">
          <w:rPr>
            <w:webHidden/>
          </w:rPr>
          <w:fldChar w:fldCharType="begin"/>
        </w:r>
        <w:r w:rsidR="00991640">
          <w:rPr>
            <w:webHidden/>
          </w:rPr>
          <w:instrText xml:space="preserve"> PAGEREF _Toc418179500 \h </w:instrText>
        </w:r>
        <w:r w:rsidR="00991640">
          <w:rPr>
            <w:webHidden/>
          </w:rPr>
        </w:r>
        <w:r w:rsidR="00991640">
          <w:rPr>
            <w:webHidden/>
          </w:rPr>
          <w:fldChar w:fldCharType="separate"/>
        </w:r>
        <w:r w:rsidR="00B909E6">
          <w:rPr>
            <w:webHidden/>
          </w:rPr>
          <w:t>195</w:t>
        </w:r>
        <w:r w:rsidR="00991640">
          <w:rPr>
            <w:webHidden/>
          </w:rPr>
          <w:fldChar w:fldCharType="end"/>
        </w:r>
      </w:hyperlink>
    </w:p>
    <w:p w14:paraId="1F91B8DB" w14:textId="77777777" w:rsidR="00991640" w:rsidRDefault="00447183">
      <w:pPr>
        <w:pStyle w:val="TableofFigures"/>
        <w:rPr>
          <w:rFonts w:asciiTheme="minorHAnsi" w:eastAsiaTheme="minorEastAsia" w:hAnsiTheme="minorHAnsi" w:cstheme="minorBidi"/>
        </w:rPr>
      </w:pPr>
      <w:hyperlink w:anchor="_Toc418179501" w:history="1">
        <w:r w:rsidR="00991640" w:rsidRPr="00670356">
          <w:rPr>
            <w:rStyle w:val="Hyperlink"/>
          </w:rPr>
          <w:t>Table 104</w:t>
        </w:r>
        <w:r w:rsidR="00991640">
          <w:rPr>
            <w:rFonts w:asciiTheme="minorHAnsi" w:eastAsiaTheme="minorEastAsia" w:hAnsiTheme="minorHAnsi" w:cstheme="minorBidi"/>
          </w:rPr>
          <w:tab/>
        </w:r>
        <w:r w:rsidR="00991640" w:rsidRPr="00670356">
          <w:rPr>
            <w:rStyle w:val="Hyperlink"/>
          </w:rPr>
          <w:t>Outcome and incremental effects (per 100 pregnancies) for additional scenario 1</w:t>
        </w:r>
        <w:r w:rsidR="00991640">
          <w:rPr>
            <w:webHidden/>
          </w:rPr>
          <w:tab/>
        </w:r>
        <w:r w:rsidR="00991640">
          <w:rPr>
            <w:webHidden/>
          </w:rPr>
          <w:fldChar w:fldCharType="begin"/>
        </w:r>
        <w:r w:rsidR="00991640">
          <w:rPr>
            <w:webHidden/>
          </w:rPr>
          <w:instrText xml:space="preserve"> PAGEREF _Toc418179501 \h </w:instrText>
        </w:r>
        <w:r w:rsidR="00991640">
          <w:rPr>
            <w:webHidden/>
          </w:rPr>
        </w:r>
        <w:r w:rsidR="00991640">
          <w:rPr>
            <w:webHidden/>
          </w:rPr>
          <w:fldChar w:fldCharType="separate"/>
        </w:r>
        <w:r w:rsidR="00B909E6">
          <w:rPr>
            <w:webHidden/>
          </w:rPr>
          <w:t>198</w:t>
        </w:r>
        <w:r w:rsidR="00991640">
          <w:rPr>
            <w:webHidden/>
          </w:rPr>
          <w:fldChar w:fldCharType="end"/>
        </w:r>
      </w:hyperlink>
    </w:p>
    <w:p w14:paraId="346D66B3" w14:textId="77777777" w:rsidR="00991640" w:rsidRDefault="00447183">
      <w:pPr>
        <w:pStyle w:val="TableofFigures"/>
        <w:rPr>
          <w:rFonts w:asciiTheme="minorHAnsi" w:eastAsiaTheme="minorEastAsia" w:hAnsiTheme="minorHAnsi" w:cstheme="minorBidi"/>
        </w:rPr>
      </w:pPr>
      <w:hyperlink w:anchor="_Toc418179502" w:history="1">
        <w:r w:rsidR="00991640" w:rsidRPr="00670356">
          <w:rPr>
            <w:rStyle w:val="Hyperlink"/>
          </w:rPr>
          <w:t>Table 105</w:t>
        </w:r>
        <w:r w:rsidR="00991640">
          <w:rPr>
            <w:rFonts w:asciiTheme="minorHAnsi" w:eastAsiaTheme="minorEastAsia" w:hAnsiTheme="minorHAnsi" w:cstheme="minorBidi"/>
          </w:rPr>
          <w:tab/>
        </w:r>
        <w:r w:rsidR="00991640" w:rsidRPr="00670356">
          <w:rPr>
            <w:rStyle w:val="Hyperlink"/>
          </w:rPr>
          <w:t>Incremental costs, additional scenario 1</w:t>
        </w:r>
        <w:r w:rsidR="00991640">
          <w:rPr>
            <w:webHidden/>
          </w:rPr>
          <w:tab/>
        </w:r>
        <w:r w:rsidR="00991640">
          <w:rPr>
            <w:webHidden/>
          </w:rPr>
          <w:fldChar w:fldCharType="begin"/>
        </w:r>
        <w:r w:rsidR="00991640">
          <w:rPr>
            <w:webHidden/>
          </w:rPr>
          <w:instrText xml:space="preserve"> PAGEREF _Toc418179502 \h </w:instrText>
        </w:r>
        <w:r w:rsidR="00991640">
          <w:rPr>
            <w:webHidden/>
          </w:rPr>
        </w:r>
        <w:r w:rsidR="00991640">
          <w:rPr>
            <w:webHidden/>
          </w:rPr>
          <w:fldChar w:fldCharType="separate"/>
        </w:r>
        <w:r w:rsidR="00B909E6">
          <w:rPr>
            <w:webHidden/>
          </w:rPr>
          <w:t>198</w:t>
        </w:r>
        <w:r w:rsidR="00991640">
          <w:rPr>
            <w:webHidden/>
          </w:rPr>
          <w:fldChar w:fldCharType="end"/>
        </w:r>
      </w:hyperlink>
    </w:p>
    <w:p w14:paraId="6409C342" w14:textId="77777777" w:rsidR="00991640" w:rsidRDefault="00447183">
      <w:pPr>
        <w:pStyle w:val="TableofFigures"/>
        <w:rPr>
          <w:rFonts w:asciiTheme="minorHAnsi" w:eastAsiaTheme="minorEastAsia" w:hAnsiTheme="minorHAnsi" w:cstheme="minorBidi"/>
        </w:rPr>
      </w:pPr>
      <w:hyperlink w:anchor="_Toc418179503" w:history="1">
        <w:r w:rsidR="00991640" w:rsidRPr="00670356">
          <w:rPr>
            <w:rStyle w:val="Hyperlink"/>
          </w:rPr>
          <w:t>Table 106</w:t>
        </w:r>
        <w:r w:rsidR="00991640">
          <w:rPr>
            <w:rFonts w:asciiTheme="minorHAnsi" w:eastAsiaTheme="minorEastAsia" w:hAnsiTheme="minorHAnsi" w:cstheme="minorBidi"/>
          </w:rPr>
          <w:tab/>
        </w:r>
        <w:r w:rsidR="00991640" w:rsidRPr="00670356">
          <w:rPr>
            <w:rStyle w:val="Hyperlink"/>
          </w:rPr>
          <w:t>ICER, additional scenario 1</w:t>
        </w:r>
        <w:r w:rsidR="00991640">
          <w:rPr>
            <w:webHidden/>
          </w:rPr>
          <w:tab/>
        </w:r>
        <w:r w:rsidR="00991640">
          <w:rPr>
            <w:webHidden/>
          </w:rPr>
          <w:fldChar w:fldCharType="begin"/>
        </w:r>
        <w:r w:rsidR="00991640">
          <w:rPr>
            <w:webHidden/>
          </w:rPr>
          <w:instrText xml:space="preserve"> PAGEREF _Toc418179503 \h </w:instrText>
        </w:r>
        <w:r w:rsidR="00991640">
          <w:rPr>
            <w:webHidden/>
          </w:rPr>
        </w:r>
        <w:r w:rsidR="00991640">
          <w:rPr>
            <w:webHidden/>
          </w:rPr>
          <w:fldChar w:fldCharType="separate"/>
        </w:r>
        <w:r w:rsidR="00B909E6">
          <w:rPr>
            <w:webHidden/>
          </w:rPr>
          <w:t>198</w:t>
        </w:r>
        <w:r w:rsidR="00991640">
          <w:rPr>
            <w:webHidden/>
          </w:rPr>
          <w:fldChar w:fldCharType="end"/>
        </w:r>
      </w:hyperlink>
    </w:p>
    <w:p w14:paraId="659499D5" w14:textId="77777777" w:rsidR="00991640" w:rsidRDefault="00447183">
      <w:pPr>
        <w:pStyle w:val="TableofFigures"/>
        <w:rPr>
          <w:rFonts w:asciiTheme="minorHAnsi" w:eastAsiaTheme="minorEastAsia" w:hAnsiTheme="minorHAnsi" w:cstheme="minorBidi"/>
        </w:rPr>
      </w:pPr>
      <w:hyperlink w:anchor="_Toc418179504" w:history="1">
        <w:r w:rsidR="00991640" w:rsidRPr="00670356">
          <w:rPr>
            <w:rStyle w:val="Hyperlink"/>
          </w:rPr>
          <w:t>Table 107</w:t>
        </w:r>
        <w:r w:rsidR="00991640">
          <w:rPr>
            <w:rFonts w:asciiTheme="minorHAnsi" w:eastAsiaTheme="minorEastAsia" w:hAnsiTheme="minorHAnsi" w:cstheme="minorBidi"/>
          </w:rPr>
          <w:tab/>
        </w:r>
        <w:r w:rsidR="00991640" w:rsidRPr="00670356">
          <w:rPr>
            <w:rStyle w:val="Hyperlink"/>
          </w:rPr>
          <w:t>Outcome and incremental effects (per 100 pregnancies) for additional scenario 2</w:t>
        </w:r>
        <w:r w:rsidR="00991640">
          <w:rPr>
            <w:webHidden/>
          </w:rPr>
          <w:tab/>
        </w:r>
        <w:r w:rsidR="00991640">
          <w:rPr>
            <w:webHidden/>
          </w:rPr>
          <w:fldChar w:fldCharType="begin"/>
        </w:r>
        <w:r w:rsidR="00991640">
          <w:rPr>
            <w:webHidden/>
          </w:rPr>
          <w:instrText xml:space="preserve"> PAGEREF _Toc418179504 \h </w:instrText>
        </w:r>
        <w:r w:rsidR="00991640">
          <w:rPr>
            <w:webHidden/>
          </w:rPr>
        </w:r>
        <w:r w:rsidR="00991640">
          <w:rPr>
            <w:webHidden/>
          </w:rPr>
          <w:fldChar w:fldCharType="separate"/>
        </w:r>
        <w:r w:rsidR="00B909E6">
          <w:rPr>
            <w:webHidden/>
          </w:rPr>
          <w:t>199</w:t>
        </w:r>
        <w:r w:rsidR="00991640">
          <w:rPr>
            <w:webHidden/>
          </w:rPr>
          <w:fldChar w:fldCharType="end"/>
        </w:r>
      </w:hyperlink>
    </w:p>
    <w:p w14:paraId="10DE7EF0" w14:textId="77777777" w:rsidR="00991640" w:rsidRDefault="00447183">
      <w:pPr>
        <w:pStyle w:val="TableofFigures"/>
        <w:rPr>
          <w:rFonts w:asciiTheme="minorHAnsi" w:eastAsiaTheme="minorEastAsia" w:hAnsiTheme="minorHAnsi" w:cstheme="minorBidi"/>
        </w:rPr>
      </w:pPr>
      <w:hyperlink w:anchor="_Toc418179505" w:history="1">
        <w:r w:rsidR="00991640" w:rsidRPr="00670356">
          <w:rPr>
            <w:rStyle w:val="Hyperlink"/>
          </w:rPr>
          <w:t>Table 108</w:t>
        </w:r>
        <w:r w:rsidR="00991640">
          <w:rPr>
            <w:rFonts w:asciiTheme="minorHAnsi" w:eastAsiaTheme="minorEastAsia" w:hAnsiTheme="minorHAnsi" w:cstheme="minorBidi"/>
          </w:rPr>
          <w:tab/>
        </w:r>
        <w:r w:rsidR="00991640" w:rsidRPr="00670356">
          <w:rPr>
            <w:rStyle w:val="Hyperlink"/>
          </w:rPr>
          <w:t>Incremental costs, additional scenario 2</w:t>
        </w:r>
        <w:r w:rsidR="00991640">
          <w:rPr>
            <w:webHidden/>
          </w:rPr>
          <w:tab/>
        </w:r>
        <w:r w:rsidR="00991640">
          <w:rPr>
            <w:webHidden/>
          </w:rPr>
          <w:fldChar w:fldCharType="begin"/>
        </w:r>
        <w:r w:rsidR="00991640">
          <w:rPr>
            <w:webHidden/>
          </w:rPr>
          <w:instrText xml:space="preserve"> PAGEREF _Toc418179505 \h </w:instrText>
        </w:r>
        <w:r w:rsidR="00991640">
          <w:rPr>
            <w:webHidden/>
          </w:rPr>
        </w:r>
        <w:r w:rsidR="00991640">
          <w:rPr>
            <w:webHidden/>
          </w:rPr>
          <w:fldChar w:fldCharType="separate"/>
        </w:r>
        <w:r w:rsidR="00B909E6">
          <w:rPr>
            <w:webHidden/>
          </w:rPr>
          <w:t>199</w:t>
        </w:r>
        <w:r w:rsidR="00991640">
          <w:rPr>
            <w:webHidden/>
          </w:rPr>
          <w:fldChar w:fldCharType="end"/>
        </w:r>
      </w:hyperlink>
    </w:p>
    <w:p w14:paraId="42B868A5" w14:textId="77777777" w:rsidR="00991640" w:rsidRDefault="00447183">
      <w:pPr>
        <w:pStyle w:val="TableofFigures"/>
        <w:rPr>
          <w:rFonts w:asciiTheme="minorHAnsi" w:eastAsiaTheme="minorEastAsia" w:hAnsiTheme="minorHAnsi" w:cstheme="minorBidi"/>
        </w:rPr>
      </w:pPr>
      <w:hyperlink w:anchor="_Toc418179506" w:history="1">
        <w:r w:rsidR="00991640" w:rsidRPr="00670356">
          <w:rPr>
            <w:rStyle w:val="Hyperlink"/>
          </w:rPr>
          <w:t>Table 109</w:t>
        </w:r>
        <w:r w:rsidR="00991640">
          <w:rPr>
            <w:rFonts w:asciiTheme="minorHAnsi" w:eastAsiaTheme="minorEastAsia" w:hAnsiTheme="minorHAnsi" w:cstheme="minorBidi"/>
          </w:rPr>
          <w:tab/>
        </w:r>
        <w:r w:rsidR="00991640" w:rsidRPr="00670356">
          <w:rPr>
            <w:rStyle w:val="Hyperlink"/>
          </w:rPr>
          <w:t>ICER, additional scenario 2</w:t>
        </w:r>
        <w:r w:rsidR="00991640">
          <w:rPr>
            <w:webHidden/>
          </w:rPr>
          <w:tab/>
        </w:r>
        <w:r w:rsidR="00991640">
          <w:rPr>
            <w:webHidden/>
          </w:rPr>
          <w:fldChar w:fldCharType="begin"/>
        </w:r>
        <w:r w:rsidR="00991640">
          <w:rPr>
            <w:webHidden/>
          </w:rPr>
          <w:instrText xml:space="preserve"> PAGEREF _Toc418179506 \h </w:instrText>
        </w:r>
        <w:r w:rsidR="00991640">
          <w:rPr>
            <w:webHidden/>
          </w:rPr>
        </w:r>
        <w:r w:rsidR="00991640">
          <w:rPr>
            <w:webHidden/>
          </w:rPr>
          <w:fldChar w:fldCharType="separate"/>
        </w:r>
        <w:r w:rsidR="00B909E6">
          <w:rPr>
            <w:webHidden/>
          </w:rPr>
          <w:t>200</w:t>
        </w:r>
        <w:r w:rsidR="00991640">
          <w:rPr>
            <w:webHidden/>
          </w:rPr>
          <w:fldChar w:fldCharType="end"/>
        </w:r>
      </w:hyperlink>
    </w:p>
    <w:p w14:paraId="37936945" w14:textId="77777777" w:rsidR="00991640" w:rsidRDefault="00447183">
      <w:pPr>
        <w:pStyle w:val="TableofFigures"/>
        <w:rPr>
          <w:rFonts w:asciiTheme="minorHAnsi" w:eastAsiaTheme="minorEastAsia" w:hAnsiTheme="minorHAnsi" w:cstheme="minorBidi"/>
        </w:rPr>
      </w:pPr>
      <w:hyperlink w:anchor="_Toc418179507" w:history="1">
        <w:r w:rsidR="00991640" w:rsidRPr="00670356">
          <w:rPr>
            <w:rStyle w:val="Hyperlink"/>
          </w:rPr>
          <w:t>Table 110</w:t>
        </w:r>
        <w:r w:rsidR="00991640">
          <w:rPr>
            <w:rFonts w:asciiTheme="minorHAnsi" w:eastAsiaTheme="minorEastAsia" w:hAnsiTheme="minorHAnsi" w:cstheme="minorBidi"/>
          </w:rPr>
          <w:tab/>
        </w:r>
        <w:r w:rsidR="00991640" w:rsidRPr="00670356">
          <w:rPr>
            <w:rStyle w:val="Hyperlink"/>
          </w:rPr>
          <w:t>Outcome and incremental effects (per 100 pregnancies) for additional scenario 3</w:t>
        </w:r>
        <w:r w:rsidR="00991640">
          <w:rPr>
            <w:webHidden/>
          </w:rPr>
          <w:tab/>
        </w:r>
        <w:r w:rsidR="00991640">
          <w:rPr>
            <w:webHidden/>
          </w:rPr>
          <w:fldChar w:fldCharType="begin"/>
        </w:r>
        <w:r w:rsidR="00991640">
          <w:rPr>
            <w:webHidden/>
          </w:rPr>
          <w:instrText xml:space="preserve"> PAGEREF _Toc418179507 \h </w:instrText>
        </w:r>
        <w:r w:rsidR="00991640">
          <w:rPr>
            <w:webHidden/>
          </w:rPr>
        </w:r>
        <w:r w:rsidR="00991640">
          <w:rPr>
            <w:webHidden/>
          </w:rPr>
          <w:fldChar w:fldCharType="separate"/>
        </w:r>
        <w:r w:rsidR="00B909E6">
          <w:rPr>
            <w:webHidden/>
          </w:rPr>
          <w:t>200</w:t>
        </w:r>
        <w:r w:rsidR="00991640">
          <w:rPr>
            <w:webHidden/>
          </w:rPr>
          <w:fldChar w:fldCharType="end"/>
        </w:r>
      </w:hyperlink>
    </w:p>
    <w:p w14:paraId="2D3A420D" w14:textId="77777777" w:rsidR="00991640" w:rsidRDefault="00447183">
      <w:pPr>
        <w:pStyle w:val="TableofFigures"/>
        <w:rPr>
          <w:rFonts w:asciiTheme="minorHAnsi" w:eastAsiaTheme="minorEastAsia" w:hAnsiTheme="minorHAnsi" w:cstheme="minorBidi"/>
        </w:rPr>
      </w:pPr>
      <w:hyperlink w:anchor="_Toc418179508" w:history="1">
        <w:r w:rsidR="00991640" w:rsidRPr="00670356">
          <w:rPr>
            <w:rStyle w:val="Hyperlink"/>
          </w:rPr>
          <w:t>Table 111</w:t>
        </w:r>
        <w:r w:rsidR="00991640">
          <w:rPr>
            <w:rFonts w:asciiTheme="minorHAnsi" w:eastAsiaTheme="minorEastAsia" w:hAnsiTheme="minorHAnsi" w:cstheme="minorBidi"/>
          </w:rPr>
          <w:tab/>
        </w:r>
        <w:r w:rsidR="00991640" w:rsidRPr="00670356">
          <w:rPr>
            <w:rStyle w:val="Hyperlink"/>
          </w:rPr>
          <w:t>Incremental costs, additional scenario 3</w:t>
        </w:r>
        <w:r w:rsidR="00991640">
          <w:rPr>
            <w:webHidden/>
          </w:rPr>
          <w:tab/>
        </w:r>
        <w:r w:rsidR="00991640">
          <w:rPr>
            <w:webHidden/>
          </w:rPr>
          <w:fldChar w:fldCharType="begin"/>
        </w:r>
        <w:r w:rsidR="00991640">
          <w:rPr>
            <w:webHidden/>
          </w:rPr>
          <w:instrText xml:space="preserve"> PAGEREF _Toc418179508 \h </w:instrText>
        </w:r>
        <w:r w:rsidR="00991640">
          <w:rPr>
            <w:webHidden/>
          </w:rPr>
        </w:r>
        <w:r w:rsidR="00991640">
          <w:rPr>
            <w:webHidden/>
          </w:rPr>
          <w:fldChar w:fldCharType="separate"/>
        </w:r>
        <w:r w:rsidR="00B909E6">
          <w:rPr>
            <w:webHidden/>
          </w:rPr>
          <w:t>201</w:t>
        </w:r>
        <w:r w:rsidR="00991640">
          <w:rPr>
            <w:webHidden/>
          </w:rPr>
          <w:fldChar w:fldCharType="end"/>
        </w:r>
      </w:hyperlink>
    </w:p>
    <w:p w14:paraId="2F04B93A" w14:textId="77777777" w:rsidR="00991640" w:rsidRDefault="00447183">
      <w:pPr>
        <w:pStyle w:val="TableofFigures"/>
        <w:rPr>
          <w:rFonts w:asciiTheme="minorHAnsi" w:eastAsiaTheme="minorEastAsia" w:hAnsiTheme="minorHAnsi" w:cstheme="minorBidi"/>
        </w:rPr>
      </w:pPr>
      <w:hyperlink w:anchor="_Toc418179509" w:history="1">
        <w:r w:rsidR="00991640" w:rsidRPr="00670356">
          <w:rPr>
            <w:rStyle w:val="Hyperlink"/>
          </w:rPr>
          <w:t>Table 112</w:t>
        </w:r>
        <w:r w:rsidR="00991640">
          <w:rPr>
            <w:rFonts w:asciiTheme="minorHAnsi" w:eastAsiaTheme="minorEastAsia" w:hAnsiTheme="minorHAnsi" w:cstheme="minorBidi"/>
          </w:rPr>
          <w:tab/>
        </w:r>
        <w:r w:rsidR="00991640" w:rsidRPr="00670356">
          <w:rPr>
            <w:rStyle w:val="Hyperlink"/>
          </w:rPr>
          <w:t>ICER, additional scenario 3</w:t>
        </w:r>
        <w:r w:rsidR="00991640">
          <w:rPr>
            <w:webHidden/>
          </w:rPr>
          <w:tab/>
        </w:r>
        <w:r w:rsidR="00991640">
          <w:rPr>
            <w:webHidden/>
          </w:rPr>
          <w:fldChar w:fldCharType="begin"/>
        </w:r>
        <w:r w:rsidR="00991640">
          <w:rPr>
            <w:webHidden/>
          </w:rPr>
          <w:instrText xml:space="preserve"> PAGEREF _Toc418179509 \h </w:instrText>
        </w:r>
        <w:r w:rsidR="00991640">
          <w:rPr>
            <w:webHidden/>
          </w:rPr>
        </w:r>
        <w:r w:rsidR="00991640">
          <w:rPr>
            <w:webHidden/>
          </w:rPr>
          <w:fldChar w:fldCharType="separate"/>
        </w:r>
        <w:r w:rsidR="00B909E6">
          <w:rPr>
            <w:webHidden/>
          </w:rPr>
          <w:t>201</w:t>
        </w:r>
        <w:r w:rsidR="00991640">
          <w:rPr>
            <w:webHidden/>
          </w:rPr>
          <w:fldChar w:fldCharType="end"/>
        </w:r>
      </w:hyperlink>
    </w:p>
    <w:p w14:paraId="6342AB01" w14:textId="169CB758" w:rsidR="00991640" w:rsidRDefault="00447183">
      <w:pPr>
        <w:pStyle w:val="TableofFigures"/>
        <w:rPr>
          <w:rFonts w:asciiTheme="minorHAnsi" w:eastAsiaTheme="minorEastAsia" w:hAnsiTheme="minorHAnsi" w:cstheme="minorBidi"/>
        </w:rPr>
      </w:pPr>
      <w:hyperlink w:anchor="_Toc418179510" w:history="1">
        <w:r w:rsidR="00991640" w:rsidRPr="00670356">
          <w:rPr>
            <w:rStyle w:val="Hyperlink"/>
          </w:rPr>
          <w:t>Table 113</w:t>
        </w:r>
        <w:r w:rsidR="00991640">
          <w:rPr>
            <w:rFonts w:asciiTheme="minorHAnsi" w:eastAsiaTheme="minorEastAsia" w:hAnsiTheme="minorHAnsi" w:cstheme="minorBidi"/>
          </w:rPr>
          <w:tab/>
        </w:r>
        <w:r w:rsidR="00991640" w:rsidRPr="00670356">
          <w:rPr>
            <w:rStyle w:val="Hyperlink"/>
          </w:rPr>
          <w:t>Projected number</w:t>
        </w:r>
        <w:r w:rsidR="00D53F19">
          <w:rPr>
            <w:rStyle w:val="Hyperlink"/>
          </w:rPr>
          <w:t>s</w:t>
        </w:r>
        <w:r w:rsidR="00991640" w:rsidRPr="00670356">
          <w:rPr>
            <w:rStyle w:val="Hyperlink"/>
          </w:rPr>
          <w:t xml:space="preserve"> of CFTR mutation tests, 2012</w:t>
        </w:r>
        <w:r w:rsidR="00D9150E">
          <w:rPr>
            <w:rStyle w:val="Hyperlink"/>
          </w:rPr>
          <w:t>–</w:t>
        </w:r>
        <w:r w:rsidR="00991640" w:rsidRPr="00670356">
          <w:rPr>
            <w:rStyle w:val="Hyperlink"/>
          </w:rPr>
          <w:t>19</w:t>
        </w:r>
        <w:r w:rsidR="00991640">
          <w:rPr>
            <w:webHidden/>
          </w:rPr>
          <w:tab/>
        </w:r>
        <w:r w:rsidR="00991640">
          <w:rPr>
            <w:webHidden/>
          </w:rPr>
          <w:fldChar w:fldCharType="begin"/>
        </w:r>
        <w:r w:rsidR="00991640">
          <w:rPr>
            <w:webHidden/>
          </w:rPr>
          <w:instrText xml:space="preserve"> PAGEREF _Toc418179510 \h </w:instrText>
        </w:r>
        <w:r w:rsidR="00991640">
          <w:rPr>
            <w:webHidden/>
          </w:rPr>
        </w:r>
        <w:r w:rsidR="00991640">
          <w:rPr>
            <w:webHidden/>
          </w:rPr>
          <w:fldChar w:fldCharType="separate"/>
        </w:r>
        <w:r w:rsidR="00B909E6">
          <w:rPr>
            <w:webHidden/>
          </w:rPr>
          <w:t>202</w:t>
        </w:r>
        <w:r w:rsidR="00991640">
          <w:rPr>
            <w:webHidden/>
          </w:rPr>
          <w:fldChar w:fldCharType="end"/>
        </w:r>
      </w:hyperlink>
    </w:p>
    <w:p w14:paraId="0FA72367" w14:textId="10BDA062" w:rsidR="00991640" w:rsidRDefault="00447183">
      <w:pPr>
        <w:pStyle w:val="TableofFigures"/>
        <w:rPr>
          <w:rFonts w:asciiTheme="minorHAnsi" w:eastAsiaTheme="minorEastAsia" w:hAnsiTheme="minorHAnsi" w:cstheme="minorBidi"/>
        </w:rPr>
      </w:pPr>
      <w:hyperlink w:anchor="_Toc418179511" w:history="1">
        <w:r w:rsidR="00991640" w:rsidRPr="00670356">
          <w:rPr>
            <w:rStyle w:val="Hyperlink"/>
          </w:rPr>
          <w:t>Table 114</w:t>
        </w:r>
        <w:r w:rsidR="00991640">
          <w:rPr>
            <w:rFonts w:asciiTheme="minorHAnsi" w:eastAsiaTheme="minorEastAsia" w:hAnsiTheme="minorHAnsi" w:cstheme="minorBidi"/>
          </w:rPr>
          <w:tab/>
        </w:r>
        <w:r w:rsidR="00991640" w:rsidRPr="00670356">
          <w:rPr>
            <w:rStyle w:val="Hyperlink"/>
          </w:rPr>
          <w:t>Estimated number</w:t>
        </w:r>
        <w:r w:rsidR="00D53F19">
          <w:rPr>
            <w:rStyle w:val="Hyperlink"/>
          </w:rPr>
          <w:t>s</w:t>
        </w:r>
        <w:r w:rsidR="00991640" w:rsidRPr="00670356">
          <w:rPr>
            <w:rStyle w:val="Hyperlink"/>
          </w:rPr>
          <w:t xml:space="preserve"> of CFTR mutation tests and cost implication for diagnostic indications eligible for MBS funding</w:t>
        </w:r>
        <w:r w:rsidR="00AD2954">
          <w:t>, populations 1b, 1c and 1d</w:t>
        </w:r>
        <w:r w:rsidR="00991640">
          <w:rPr>
            <w:webHidden/>
          </w:rPr>
          <w:tab/>
        </w:r>
        <w:r w:rsidR="00991640">
          <w:rPr>
            <w:webHidden/>
          </w:rPr>
          <w:fldChar w:fldCharType="begin"/>
        </w:r>
        <w:r w:rsidR="00991640">
          <w:rPr>
            <w:webHidden/>
          </w:rPr>
          <w:instrText xml:space="preserve"> PAGEREF _Toc418179511 \h </w:instrText>
        </w:r>
        <w:r w:rsidR="00991640">
          <w:rPr>
            <w:webHidden/>
          </w:rPr>
        </w:r>
        <w:r w:rsidR="00991640">
          <w:rPr>
            <w:webHidden/>
          </w:rPr>
          <w:fldChar w:fldCharType="separate"/>
        </w:r>
        <w:r w:rsidR="00B909E6">
          <w:rPr>
            <w:webHidden/>
          </w:rPr>
          <w:t>202</w:t>
        </w:r>
        <w:r w:rsidR="00991640">
          <w:rPr>
            <w:webHidden/>
          </w:rPr>
          <w:fldChar w:fldCharType="end"/>
        </w:r>
      </w:hyperlink>
    </w:p>
    <w:p w14:paraId="1A05D853" w14:textId="39DD1A59" w:rsidR="00991640" w:rsidRDefault="00447183">
      <w:pPr>
        <w:pStyle w:val="TableofFigures"/>
        <w:rPr>
          <w:rFonts w:asciiTheme="minorHAnsi" w:eastAsiaTheme="minorEastAsia" w:hAnsiTheme="minorHAnsi" w:cstheme="minorBidi"/>
        </w:rPr>
      </w:pPr>
      <w:hyperlink w:anchor="_Toc418179512" w:history="1">
        <w:r w:rsidR="00991640" w:rsidRPr="00670356">
          <w:rPr>
            <w:rStyle w:val="Hyperlink"/>
          </w:rPr>
          <w:t>Table 115</w:t>
        </w:r>
        <w:r w:rsidR="00991640">
          <w:rPr>
            <w:rFonts w:asciiTheme="minorHAnsi" w:eastAsiaTheme="minorEastAsia" w:hAnsiTheme="minorHAnsi" w:cstheme="minorBidi"/>
          </w:rPr>
          <w:tab/>
        </w:r>
        <w:r w:rsidR="00991640" w:rsidRPr="00670356">
          <w:rPr>
            <w:rStyle w:val="Hyperlink"/>
          </w:rPr>
          <w:t>Estimated number</w:t>
        </w:r>
        <w:r w:rsidR="00D53F19">
          <w:rPr>
            <w:rStyle w:val="Hyperlink"/>
          </w:rPr>
          <w:t>s</w:t>
        </w:r>
        <w:r w:rsidR="00991640" w:rsidRPr="00670356">
          <w:rPr>
            <w:rStyle w:val="Hyperlink"/>
          </w:rPr>
          <w:t xml:space="preserve"> of CFTR mutation tests and cost implication</w:t>
        </w:r>
        <w:r w:rsidR="00D53F19">
          <w:rPr>
            <w:rStyle w:val="Hyperlink"/>
          </w:rPr>
          <w:t>s</w:t>
        </w:r>
        <w:r w:rsidR="00991640" w:rsidRPr="00670356">
          <w:rPr>
            <w:rStyle w:val="Hyperlink"/>
          </w:rPr>
          <w:t xml:space="preserve"> for prenatal indications eligible for MBS funding</w:t>
        </w:r>
        <w:r w:rsidR="00AD2954">
          <w:t>, populations 2a and 2b</w:t>
        </w:r>
        <w:r w:rsidR="00991640">
          <w:rPr>
            <w:webHidden/>
          </w:rPr>
          <w:tab/>
        </w:r>
        <w:r w:rsidR="00991640">
          <w:rPr>
            <w:webHidden/>
          </w:rPr>
          <w:fldChar w:fldCharType="begin"/>
        </w:r>
        <w:r w:rsidR="00991640">
          <w:rPr>
            <w:webHidden/>
          </w:rPr>
          <w:instrText xml:space="preserve"> PAGEREF _Toc418179512 \h </w:instrText>
        </w:r>
        <w:r w:rsidR="00991640">
          <w:rPr>
            <w:webHidden/>
          </w:rPr>
        </w:r>
        <w:r w:rsidR="00991640">
          <w:rPr>
            <w:webHidden/>
          </w:rPr>
          <w:fldChar w:fldCharType="separate"/>
        </w:r>
        <w:r w:rsidR="00B909E6">
          <w:rPr>
            <w:webHidden/>
          </w:rPr>
          <w:t>203</w:t>
        </w:r>
        <w:r w:rsidR="00991640">
          <w:rPr>
            <w:webHidden/>
          </w:rPr>
          <w:fldChar w:fldCharType="end"/>
        </w:r>
      </w:hyperlink>
    </w:p>
    <w:p w14:paraId="6D489A94" w14:textId="7248A910" w:rsidR="00991640" w:rsidRDefault="00447183">
      <w:pPr>
        <w:pStyle w:val="TableofFigures"/>
        <w:rPr>
          <w:rFonts w:asciiTheme="minorHAnsi" w:eastAsiaTheme="minorEastAsia" w:hAnsiTheme="minorHAnsi" w:cstheme="minorBidi"/>
        </w:rPr>
      </w:pPr>
      <w:hyperlink w:anchor="_Toc418179513" w:history="1">
        <w:r w:rsidR="00991640" w:rsidRPr="00670356">
          <w:rPr>
            <w:rStyle w:val="Hyperlink"/>
          </w:rPr>
          <w:t>Table 116</w:t>
        </w:r>
        <w:r w:rsidR="00991640">
          <w:rPr>
            <w:rFonts w:asciiTheme="minorHAnsi" w:eastAsiaTheme="minorEastAsia" w:hAnsiTheme="minorHAnsi" w:cstheme="minorBidi"/>
          </w:rPr>
          <w:tab/>
        </w:r>
        <w:r w:rsidR="00991640" w:rsidRPr="00670356">
          <w:rPr>
            <w:rStyle w:val="Hyperlink"/>
          </w:rPr>
          <w:t>Estimated number</w:t>
        </w:r>
        <w:r w:rsidR="00D53F19">
          <w:rPr>
            <w:rStyle w:val="Hyperlink"/>
          </w:rPr>
          <w:t>s</w:t>
        </w:r>
        <w:r w:rsidR="00991640" w:rsidRPr="00670356">
          <w:rPr>
            <w:rStyle w:val="Hyperlink"/>
          </w:rPr>
          <w:t xml:space="preserve"> of CFTR mutation tests and cost implication</w:t>
        </w:r>
        <w:r w:rsidR="00D53F19">
          <w:rPr>
            <w:rStyle w:val="Hyperlink"/>
          </w:rPr>
          <w:t>s</w:t>
        </w:r>
        <w:r w:rsidR="00991640" w:rsidRPr="00670356">
          <w:rPr>
            <w:rStyle w:val="Hyperlink"/>
          </w:rPr>
          <w:t xml:space="preserve"> for prenatal indications eligible for MBS funding</w:t>
        </w:r>
        <w:r w:rsidR="00AD2954">
          <w:t>, population 3</w:t>
        </w:r>
        <w:r w:rsidR="00991640">
          <w:rPr>
            <w:webHidden/>
          </w:rPr>
          <w:tab/>
        </w:r>
        <w:r w:rsidR="00991640">
          <w:rPr>
            <w:webHidden/>
          </w:rPr>
          <w:fldChar w:fldCharType="begin"/>
        </w:r>
        <w:r w:rsidR="00991640">
          <w:rPr>
            <w:webHidden/>
          </w:rPr>
          <w:instrText xml:space="preserve"> PAGEREF _Toc418179513 \h </w:instrText>
        </w:r>
        <w:r w:rsidR="00991640">
          <w:rPr>
            <w:webHidden/>
          </w:rPr>
        </w:r>
        <w:r w:rsidR="00991640">
          <w:rPr>
            <w:webHidden/>
          </w:rPr>
          <w:fldChar w:fldCharType="separate"/>
        </w:r>
        <w:r w:rsidR="00B909E6">
          <w:rPr>
            <w:webHidden/>
          </w:rPr>
          <w:t>203</w:t>
        </w:r>
        <w:r w:rsidR="00991640">
          <w:rPr>
            <w:webHidden/>
          </w:rPr>
          <w:fldChar w:fldCharType="end"/>
        </w:r>
      </w:hyperlink>
    </w:p>
    <w:p w14:paraId="4C7248EA" w14:textId="77777777" w:rsidR="00452F32" w:rsidRPr="00183E4D" w:rsidRDefault="00503C5B" w:rsidP="00DF343F">
      <w:pPr>
        <w:pStyle w:val="Heading2"/>
      </w:pPr>
      <w:r>
        <w:rPr>
          <w:rFonts w:asciiTheme="minorHAnsi" w:eastAsiaTheme="minorEastAsia" w:hAnsiTheme="minorHAnsi" w:cstheme="minorBidi"/>
          <w:b w:val="0"/>
          <w:smallCaps w:val="0"/>
          <w:noProof/>
          <w:sz w:val="22"/>
        </w:rPr>
        <w:fldChar w:fldCharType="end"/>
      </w:r>
      <w:bookmarkStart w:id="26" w:name="_Toc381796427"/>
      <w:bookmarkStart w:id="27" w:name="_Toc395200738"/>
      <w:bookmarkStart w:id="28" w:name="_Toc399247193"/>
      <w:bookmarkStart w:id="29" w:name="_Toc418179266"/>
      <w:bookmarkStart w:id="30" w:name="_Toc418179673"/>
      <w:bookmarkStart w:id="31" w:name="_Toc418179860"/>
      <w:bookmarkEnd w:id="24"/>
      <w:bookmarkEnd w:id="25"/>
      <w:r w:rsidR="008F59A8" w:rsidRPr="00183E4D">
        <w:t>Figures</w:t>
      </w:r>
      <w:bookmarkEnd w:id="26"/>
      <w:bookmarkEnd w:id="27"/>
      <w:bookmarkEnd w:id="28"/>
      <w:bookmarkEnd w:id="29"/>
      <w:bookmarkEnd w:id="30"/>
      <w:bookmarkEnd w:id="31"/>
    </w:p>
    <w:p w14:paraId="4EC430EC" w14:textId="77777777" w:rsidR="00754172"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23525556" w:history="1">
        <w:r w:rsidR="00754172" w:rsidRPr="00F33495">
          <w:rPr>
            <w:rStyle w:val="Hyperlink"/>
          </w:rPr>
          <w:t xml:space="preserve">Figure 1 </w:t>
        </w:r>
        <w:r w:rsidR="00754172">
          <w:rPr>
            <w:rFonts w:asciiTheme="minorHAnsi" w:eastAsiaTheme="minorEastAsia" w:hAnsiTheme="minorHAnsi" w:cstheme="minorBidi"/>
          </w:rPr>
          <w:tab/>
        </w:r>
        <w:r w:rsidR="00754172" w:rsidRPr="00F33495">
          <w:rPr>
            <w:rStyle w:val="Hyperlink"/>
          </w:rPr>
          <w:t xml:space="preserve">Genotypes of CFTR mutations in Australia, 2012 </w:t>
        </w:r>
        <w:r w:rsidR="00754172" w:rsidRPr="00F33495">
          <w:rPr>
            <w:rStyle w:val="Hyperlink"/>
            <w:vertAlign w:val="superscript"/>
          </w:rPr>
          <w:t>a</w:t>
        </w:r>
        <w:r w:rsidR="00754172">
          <w:rPr>
            <w:webHidden/>
          </w:rPr>
          <w:tab/>
        </w:r>
        <w:r w:rsidR="00754172">
          <w:rPr>
            <w:webHidden/>
          </w:rPr>
          <w:fldChar w:fldCharType="begin"/>
        </w:r>
        <w:r w:rsidR="00754172">
          <w:rPr>
            <w:webHidden/>
          </w:rPr>
          <w:instrText xml:space="preserve"> PAGEREF _Toc423525556 \h </w:instrText>
        </w:r>
        <w:r w:rsidR="00754172">
          <w:rPr>
            <w:webHidden/>
          </w:rPr>
        </w:r>
        <w:r w:rsidR="00754172">
          <w:rPr>
            <w:webHidden/>
          </w:rPr>
          <w:fldChar w:fldCharType="separate"/>
        </w:r>
        <w:r w:rsidR="00B909E6">
          <w:rPr>
            <w:webHidden/>
          </w:rPr>
          <w:t>35</w:t>
        </w:r>
        <w:r w:rsidR="00754172">
          <w:rPr>
            <w:webHidden/>
          </w:rPr>
          <w:fldChar w:fldCharType="end"/>
        </w:r>
      </w:hyperlink>
    </w:p>
    <w:p w14:paraId="5795A1A7" w14:textId="77777777" w:rsidR="00754172" w:rsidRDefault="00447183">
      <w:pPr>
        <w:pStyle w:val="TableofFigures"/>
        <w:rPr>
          <w:rFonts w:asciiTheme="minorHAnsi" w:eastAsiaTheme="minorEastAsia" w:hAnsiTheme="minorHAnsi" w:cstheme="minorBidi"/>
        </w:rPr>
      </w:pPr>
      <w:hyperlink w:anchor="_Toc423525557" w:history="1">
        <w:r w:rsidR="00754172" w:rsidRPr="00F33495">
          <w:rPr>
            <w:rStyle w:val="Hyperlink"/>
          </w:rPr>
          <w:t>Figure 2</w:t>
        </w:r>
        <w:r w:rsidR="00754172">
          <w:rPr>
            <w:rFonts w:asciiTheme="minorHAnsi" w:eastAsiaTheme="minorEastAsia" w:hAnsiTheme="minorHAnsi" w:cstheme="minorBidi"/>
          </w:rPr>
          <w:tab/>
        </w:r>
        <w:r w:rsidR="00754172" w:rsidRPr="00F33495">
          <w:rPr>
            <w:rStyle w:val="Hyperlink"/>
          </w:rPr>
          <w:t>Clinical pathway for use of a genetic CFTR test to identify mutations in people with a high clinical suspicion of CF</w:t>
        </w:r>
        <w:r w:rsidR="00754172">
          <w:rPr>
            <w:webHidden/>
          </w:rPr>
          <w:tab/>
        </w:r>
        <w:r w:rsidR="00754172">
          <w:rPr>
            <w:webHidden/>
          </w:rPr>
          <w:fldChar w:fldCharType="begin"/>
        </w:r>
        <w:r w:rsidR="00754172">
          <w:rPr>
            <w:webHidden/>
          </w:rPr>
          <w:instrText xml:space="preserve"> PAGEREF _Toc423525557 \h </w:instrText>
        </w:r>
        <w:r w:rsidR="00754172">
          <w:rPr>
            <w:webHidden/>
          </w:rPr>
        </w:r>
        <w:r w:rsidR="00754172">
          <w:rPr>
            <w:webHidden/>
          </w:rPr>
          <w:fldChar w:fldCharType="separate"/>
        </w:r>
        <w:r w:rsidR="00B909E6">
          <w:rPr>
            <w:webHidden/>
          </w:rPr>
          <w:t>44</w:t>
        </w:r>
        <w:r w:rsidR="00754172">
          <w:rPr>
            <w:webHidden/>
          </w:rPr>
          <w:fldChar w:fldCharType="end"/>
        </w:r>
      </w:hyperlink>
    </w:p>
    <w:p w14:paraId="22676E4B" w14:textId="77777777" w:rsidR="00754172" w:rsidRDefault="00447183">
      <w:pPr>
        <w:pStyle w:val="TableofFigures"/>
        <w:rPr>
          <w:rFonts w:asciiTheme="minorHAnsi" w:eastAsiaTheme="minorEastAsia" w:hAnsiTheme="minorHAnsi" w:cstheme="minorBidi"/>
        </w:rPr>
      </w:pPr>
      <w:hyperlink w:anchor="_Toc423525558" w:history="1">
        <w:r w:rsidR="00754172" w:rsidRPr="00F33495">
          <w:rPr>
            <w:rStyle w:val="Hyperlink"/>
          </w:rPr>
          <w:t>Figure 3</w:t>
        </w:r>
        <w:r w:rsidR="00754172">
          <w:rPr>
            <w:rFonts w:asciiTheme="minorHAnsi" w:eastAsiaTheme="minorEastAsia" w:hAnsiTheme="minorHAnsi" w:cstheme="minorBidi"/>
          </w:rPr>
          <w:tab/>
        </w:r>
        <w:r w:rsidR="00754172" w:rsidRPr="00F33495">
          <w:rPr>
            <w:rStyle w:val="Hyperlink"/>
          </w:rPr>
          <w:t>Clinical pathway for use of a genetic CFTR test in pregnant couples to determine the CF status of the fetus</w:t>
        </w:r>
        <w:r w:rsidR="00754172">
          <w:rPr>
            <w:webHidden/>
          </w:rPr>
          <w:tab/>
        </w:r>
        <w:r w:rsidR="00754172">
          <w:rPr>
            <w:webHidden/>
          </w:rPr>
          <w:fldChar w:fldCharType="begin"/>
        </w:r>
        <w:r w:rsidR="00754172">
          <w:rPr>
            <w:webHidden/>
          </w:rPr>
          <w:instrText xml:space="preserve"> PAGEREF _Toc423525558 \h </w:instrText>
        </w:r>
        <w:r w:rsidR="00754172">
          <w:rPr>
            <w:webHidden/>
          </w:rPr>
        </w:r>
        <w:r w:rsidR="00754172">
          <w:rPr>
            <w:webHidden/>
          </w:rPr>
          <w:fldChar w:fldCharType="separate"/>
        </w:r>
        <w:r w:rsidR="00B909E6">
          <w:rPr>
            <w:webHidden/>
          </w:rPr>
          <w:t>45</w:t>
        </w:r>
        <w:r w:rsidR="00754172">
          <w:rPr>
            <w:webHidden/>
          </w:rPr>
          <w:fldChar w:fldCharType="end"/>
        </w:r>
      </w:hyperlink>
    </w:p>
    <w:p w14:paraId="74FEF8ED" w14:textId="77777777" w:rsidR="00754172" w:rsidRDefault="00447183">
      <w:pPr>
        <w:pStyle w:val="TableofFigures"/>
        <w:rPr>
          <w:rFonts w:asciiTheme="minorHAnsi" w:eastAsiaTheme="minorEastAsia" w:hAnsiTheme="minorHAnsi" w:cstheme="minorBidi"/>
        </w:rPr>
      </w:pPr>
      <w:hyperlink w:anchor="_Toc423525559" w:history="1">
        <w:r w:rsidR="00754172" w:rsidRPr="00F33495">
          <w:rPr>
            <w:rStyle w:val="Hyperlink"/>
          </w:rPr>
          <w:t>Figure 4</w:t>
        </w:r>
        <w:r w:rsidR="00754172">
          <w:rPr>
            <w:rFonts w:asciiTheme="minorHAnsi" w:eastAsiaTheme="minorEastAsia" w:hAnsiTheme="minorHAnsi" w:cstheme="minorBidi"/>
          </w:rPr>
          <w:tab/>
        </w:r>
        <w:r w:rsidR="00754172" w:rsidRPr="00F33495">
          <w:rPr>
            <w:rStyle w:val="Hyperlink"/>
          </w:rPr>
          <w:t>Clinical pathway for use of a genetic CFTR test to inform reproductive planning, prior to conception (plus PGD or prenatal CFTR testing), versus prenatal CFTR testing</w:t>
        </w:r>
        <w:r w:rsidR="00754172">
          <w:rPr>
            <w:webHidden/>
          </w:rPr>
          <w:tab/>
        </w:r>
        <w:r w:rsidR="00754172">
          <w:rPr>
            <w:webHidden/>
          </w:rPr>
          <w:fldChar w:fldCharType="begin"/>
        </w:r>
        <w:r w:rsidR="00754172">
          <w:rPr>
            <w:webHidden/>
          </w:rPr>
          <w:instrText xml:space="preserve"> PAGEREF _Toc423525559 \h </w:instrText>
        </w:r>
        <w:r w:rsidR="00754172">
          <w:rPr>
            <w:webHidden/>
          </w:rPr>
        </w:r>
        <w:r w:rsidR="00754172">
          <w:rPr>
            <w:webHidden/>
          </w:rPr>
          <w:fldChar w:fldCharType="separate"/>
        </w:r>
        <w:r w:rsidR="00B909E6">
          <w:rPr>
            <w:webHidden/>
          </w:rPr>
          <w:t>46</w:t>
        </w:r>
        <w:r w:rsidR="00754172">
          <w:rPr>
            <w:webHidden/>
          </w:rPr>
          <w:fldChar w:fldCharType="end"/>
        </w:r>
      </w:hyperlink>
    </w:p>
    <w:p w14:paraId="74A09973" w14:textId="77777777" w:rsidR="00754172" w:rsidRDefault="00447183">
      <w:pPr>
        <w:pStyle w:val="TableofFigures"/>
        <w:rPr>
          <w:rFonts w:asciiTheme="minorHAnsi" w:eastAsiaTheme="minorEastAsia" w:hAnsiTheme="minorHAnsi" w:cstheme="minorBidi"/>
        </w:rPr>
      </w:pPr>
      <w:hyperlink w:anchor="_Toc423525560" w:history="1">
        <w:r w:rsidR="00754172" w:rsidRPr="00F33495">
          <w:rPr>
            <w:rStyle w:val="Hyperlink"/>
          </w:rPr>
          <w:t xml:space="preserve">Figure 5 </w:t>
        </w:r>
        <w:r w:rsidR="00754172">
          <w:rPr>
            <w:rFonts w:asciiTheme="minorHAnsi" w:eastAsiaTheme="minorEastAsia" w:hAnsiTheme="minorHAnsi" w:cstheme="minorBidi"/>
          </w:rPr>
          <w:tab/>
        </w:r>
        <w:r w:rsidR="00754172" w:rsidRPr="00F33495">
          <w:rPr>
            <w:rStyle w:val="Hyperlink"/>
          </w:rPr>
          <w:t>Summary of the process used to identify and select studies for the assessment</w:t>
        </w:r>
        <w:r w:rsidR="00754172">
          <w:rPr>
            <w:webHidden/>
          </w:rPr>
          <w:tab/>
        </w:r>
        <w:r w:rsidR="00754172">
          <w:rPr>
            <w:webHidden/>
          </w:rPr>
          <w:fldChar w:fldCharType="begin"/>
        </w:r>
        <w:r w:rsidR="00754172">
          <w:rPr>
            <w:webHidden/>
          </w:rPr>
          <w:instrText xml:space="preserve"> PAGEREF _Toc423525560 \h </w:instrText>
        </w:r>
        <w:r w:rsidR="00754172">
          <w:rPr>
            <w:webHidden/>
          </w:rPr>
        </w:r>
        <w:r w:rsidR="00754172">
          <w:rPr>
            <w:webHidden/>
          </w:rPr>
          <w:fldChar w:fldCharType="separate"/>
        </w:r>
        <w:r w:rsidR="00B909E6">
          <w:rPr>
            <w:webHidden/>
          </w:rPr>
          <w:t>56</w:t>
        </w:r>
        <w:r w:rsidR="00754172">
          <w:rPr>
            <w:webHidden/>
          </w:rPr>
          <w:fldChar w:fldCharType="end"/>
        </w:r>
      </w:hyperlink>
    </w:p>
    <w:p w14:paraId="502BCCA2" w14:textId="77777777" w:rsidR="00754172" w:rsidRDefault="00447183">
      <w:pPr>
        <w:pStyle w:val="TableofFigures"/>
        <w:rPr>
          <w:rFonts w:asciiTheme="minorHAnsi" w:eastAsiaTheme="minorEastAsia" w:hAnsiTheme="minorHAnsi" w:cstheme="minorBidi"/>
        </w:rPr>
      </w:pPr>
      <w:hyperlink w:anchor="_Toc423525561" w:history="1">
        <w:r w:rsidR="00754172" w:rsidRPr="00F33495">
          <w:rPr>
            <w:rStyle w:val="Hyperlink"/>
          </w:rPr>
          <w:t>Figure 6</w:t>
        </w:r>
        <w:r w:rsidR="00754172">
          <w:rPr>
            <w:rFonts w:asciiTheme="minorHAnsi" w:eastAsiaTheme="minorEastAsia" w:hAnsiTheme="minorHAnsi" w:cstheme="minorBidi"/>
          </w:rPr>
          <w:tab/>
        </w:r>
        <w:r w:rsidR="00754172" w:rsidRPr="00F33495">
          <w:rPr>
            <w:rStyle w:val="Hyperlink"/>
          </w:rPr>
          <w:t>Decision analytic structure of the economic evaluation for fetus at 1:4 risk of CF due to parents being carriers</w:t>
        </w:r>
        <w:r w:rsidR="00754172">
          <w:rPr>
            <w:webHidden/>
          </w:rPr>
          <w:tab/>
        </w:r>
        <w:r w:rsidR="00754172">
          <w:rPr>
            <w:webHidden/>
          </w:rPr>
          <w:fldChar w:fldCharType="begin"/>
        </w:r>
        <w:r w:rsidR="00754172">
          <w:rPr>
            <w:webHidden/>
          </w:rPr>
          <w:instrText xml:space="preserve"> PAGEREF _Toc423525561 \h </w:instrText>
        </w:r>
        <w:r w:rsidR="00754172">
          <w:rPr>
            <w:webHidden/>
          </w:rPr>
        </w:r>
        <w:r w:rsidR="00754172">
          <w:rPr>
            <w:webHidden/>
          </w:rPr>
          <w:fldChar w:fldCharType="separate"/>
        </w:r>
        <w:r w:rsidR="00B909E6">
          <w:rPr>
            <w:webHidden/>
          </w:rPr>
          <w:t>106</w:t>
        </w:r>
        <w:r w:rsidR="00754172">
          <w:rPr>
            <w:webHidden/>
          </w:rPr>
          <w:fldChar w:fldCharType="end"/>
        </w:r>
      </w:hyperlink>
    </w:p>
    <w:p w14:paraId="3B56466F" w14:textId="77777777" w:rsidR="00754172" w:rsidRDefault="00447183">
      <w:pPr>
        <w:pStyle w:val="TableofFigures"/>
        <w:rPr>
          <w:rFonts w:asciiTheme="minorHAnsi" w:eastAsiaTheme="minorEastAsia" w:hAnsiTheme="minorHAnsi" w:cstheme="minorBidi"/>
        </w:rPr>
      </w:pPr>
      <w:hyperlink w:anchor="_Toc423525562" w:history="1">
        <w:r w:rsidR="00754172" w:rsidRPr="00F33495">
          <w:rPr>
            <w:rStyle w:val="Hyperlink"/>
          </w:rPr>
          <w:t>Figure 7</w:t>
        </w:r>
        <w:r w:rsidR="00754172">
          <w:rPr>
            <w:rFonts w:asciiTheme="minorHAnsi" w:eastAsiaTheme="minorEastAsia" w:hAnsiTheme="minorHAnsi" w:cstheme="minorBidi"/>
          </w:rPr>
          <w:tab/>
        </w:r>
        <w:r w:rsidR="00754172" w:rsidRPr="00F33495">
          <w:rPr>
            <w:rStyle w:val="Hyperlink"/>
          </w:rPr>
          <w:t>Decision analytic structure of the economic evaluation for fetus at high risk of CF due to echogenic bowel diagnosed on second-trimester ultrasound</w:t>
        </w:r>
        <w:r w:rsidR="00754172">
          <w:rPr>
            <w:webHidden/>
          </w:rPr>
          <w:tab/>
        </w:r>
        <w:r w:rsidR="00754172">
          <w:rPr>
            <w:webHidden/>
          </w:rPr>
          <w:fldChar w:fldCharType="begin"/>
        </w:r>
        <w:r w:rsidR="00754172">
          <w:rPr>
            <w:webHidden/>
          </w:rPr>
          <w:instrText xml:space="preserve"> PAGEREF _Toc423525562 \h </w:instrText>
        </w:r>
        <w:r w:rsidR="00754172">
          <w:rPr>
            <w:webHidden/>
          </w:rPr>
        </w:r>
        <w:r w:rsidR="00754172">
          <w:rPr>
            <w:webHidden/>
          </w:rPr>
          <w:fldChar w:fldCharType="separate"/>
        </w:r>
        <w:r w:rsidR="00B909E6">
          <w:rPr>
            <w:webHidden/>
          </w:rPr>
          <w:t>107</w:t>
        </w:r>
        <w:r w:rsidR="00754172">
          <w:rPr>
            <w:webHidden/>
          </w:rPr>
          <w:fldChar w:fldCharType="end"/>
        </w:r>
      </w:hyperlink>
    </w:p>
    <w:p w14:paraId="77D8D328" w14:textId="77777777" w:rsidR="00754172" w:rsidRDefault="00447183">
      <w:pPr>
        <w:pStyle w:val="TableofFigures"/>
        <w:rPr>
          <w:rFonts w:asciiTheme="minorHAnsi" w:eastAsiaTheme="minorEastAsia" w:hAnsiTheme="minorHAnsi" w:cstheme="minorBidi"/>
        </w:rPr>
      </w:pPr>
      <w:hyperlink w:anchor="_Toc423525563" w:history="1">
        <w:r w:rsidR="00754172" w:rsidRPr="00F33495">
          <w:rPr>
            <w:rStyle w:val="Hyperlink"/>
          </w:rPr>
          <w:t>Figure 8</w:t>
        </w:r>
        <w:r w:rsidR="00754172">
          <w:rPr>
            <w:rFonts w:asciiTheme="minorHAnsi" w:eastAsiaTheme="minorEastAsia" w:hAnsiTheme="minorHAnsi" w:cstheme="minorBidi"/>
          </w:rPr>
          <w:tab/>
        </w:r>
        <w:r w:rsidR="00754172" w:rsidRPr="00F33495">
          <w:rPr>
            <w:rStyle w:val="Hyperlink"/>
          </w:rPr>
          <w:t>Tornado sensitivity analysis, model 1 (Both parents known CF carriers)</w:t>
        </w:r>
        <w:r w:rsidR="00754172">
          <w:rPr>
            <w:webHidden/>
          </w:rPr>
          <w:tab/>
        </w:r>
        <w:r w:rsidR="00754172">
          <w:rPr>
            <w:webHidden/>
          </w:rPr>
          <w:fldChar w:fldCharType="begin"/>
        </w:r>
        <w:r w:rsidR="00754172">
          <w:rPr>
            <w:webHidden/>
          </w:rPr>
          <w:instrText xml:space="preserve"> PAGEREF _Toc423525563 \h </w:instrText>
        </w:r>
        <w:r w:rsidR="00754172">
          <w:rPr>
            <w:webHidden/>
          </w:rPr>
        </w:r>
        <w:r w:rsidR="00754172">
          <w:rPr>
            <w:webHidden/>
          </w:rPr>
          <w:fldChar w:fldCharType="separate"/>
        </w:r>
        <w:r w:rsidR="00B909E6">
          <w:rPr>
            <w:webHidden/>
          </w:rPr>
          <w:t>123</w:t>
        </w:r>
        <w:r w:rsidR="00754172">
          <w:rPr>
            <w:webHidden/>
          </w:rPr>
          <w:fldChar w:fldCharType="end"/>
        </w:r>
      </w:hyperlink>
    </w:p>
    <w:p w14:paraId="5429A6A2" w14:textId="77777777" w:rsidR="00754172" w:rsidRDefault="00447183">
      <w:pPr>
        <w:pStyle w:val="TableofFigures"/>
        <w:rPr>
          <w:rFonts w:asciiTheme="minorHAnsi" w:eastAsiaTheme="minorEastAsia" w:hAnsiTheme="minorHAnsi" w:cstheme="minorBidi"/>
        </w:rPr>
      </w:pPr>
      <w:hyperlink w:anchor="_Toc423525564" w:history="1">
        <w:r w:rsidR="00754172" w:rsidRPr="00F33495">
          <w:rPr>
            <w:rStyle w:val="Hyperlink"/>
          </w:rPr>
          <w:t>Figure 9</w:t>
        </w:r>
        <w:r w:rsidR="00754172">
          <w:rPr>
            <w:rFonts w:asciiTheme="minorHAnsi" w:eastAsiaTheme="minorEastAsia" w:hAnsiTheme="minorHAnsi" w:cstheme="minorBidi"/>
          </w:rPr>
          <w:tab/>
        </w:r>
        <w:r w:rsidR="00754172" w:rsidRPr="00F33495">
          <w:rPr>
            <w:rStyle w:val="Hyperlink"/>
          </w:rPr>
          <w:t>Tornado sensitivity analysis, model 2 (Fetus has FEB)</w:t>
        </w:r>
        <w:r w:rsidR="00754172">
          <w:rPr>
            <w:webHidden/>
          </w:rPr>
          <w:tab/>
        </w:r>
        <w:r w:rsidR="00754172">
          <w:rPr>
            <w:webHidden/>
          </w:rPr>
          <w:fldChar w:fldCharType="begin"/>
        </w:r>
        <w:r w:rsidR="00754172">
          <w:rPr>
            <w:webHidden/>
          </w:rPr>
          <w:instrText xml:space="preserve"> PAGEREF _Toc423525564 \h </w:instrText>
        </w:r>
        <w:r w:rsidR="00754172">
          <w:rPr>
            <w:webHidden/>
          </w:rPr>
        </w:r>
        <w:r w:rsidR="00754172">
          <w:rPr>
            <w:webHidden/>
          </w:rPr>
          <w:fldChar w:fldCharType="separate"/>
        </w:r>
        <w:r w:rsidR="00B909E6">
          <w:rPr>
            <w:webHidden/>
          </w:rPr>
          <w:t>123</w:t>
        </w:r>
        <w:r w:rsidR="00754172">
          <w:rPr>
            <w:webHidden/>
          </w:rPr>
          <w:fldChar w:fldCharType="end"/>
        </w:r>
      </w:hyperlink>
    </w:p>
    <w:p w14:paraId="5CEA6D7E" w14:textId="77777777" w:rsidR="00754172" w:rsidRDefault="00447183">
      <w:pPr>
        <w:pStyle w:val="TableofFigures"/>
        <w:rPr>
          <w:rFonts w:asciiTheme="minorHAnsi" w:eastAsiaTheme="minorEastAsia" w:hAnsiTheme="minorHAnsi" w:cstheme="minorBidi"/>
        </w:rPr>
      </w:pPr>
      <w:hyperlink w:anchor="_Toc423525565" w:history="1">
        <w:r w:rsidR="00754172" w:rsidRPr="00F33495">
          <w:rPr>
            <w:rStyle w:val="Hyperlink"/>
          </w:rPr>
          <w:t>Figure 10</w:t>
        </w:r>
        <w:r w:rsidR="00754172">
          <w:rPr>
            <w:rFonts w:asciiTheme="minorHAnsi" w:eastAsiaTheme="minorEastAsia" w:hAnsiTheme="minorHAnsi" w:cstheme="minorBidi"/>
          </w:rPr>
          <w:tab/>
        </w:r>
        <w:r w:rsidR="00754172" w:rsidRPr="00F33495">
          <w:rPr>
            <w:rStyle w:val="Hyperlink"/>
          </w:rPr>
          <w:t>Results of the economic evaluation (total CF births), model 1 (Both parents known CF carriers)</w:t>
        </w:r>
        <w:r w:rsidR="00754172">
          <w:rPr>
            <w:webHidden/>
          </w:rPr>
          <w:tab/>
        </w:r>
        <w:r w:rsidR="00754172">
          <w:rPr>
            <w:webHidden/>
          </w:rPr>
          <w:fldChar w:fldCharType="begin"/>
        </w:r>
        <w:r w:rsidR="00754172">
          <w:rPr>
            <w:webHidden/>
          </w:rPr>
          <w:instrText xml:space="preserve"> PAGEREF _Toc423525565 \h </w:instrText>
        </w:r>
        <w:r w:rsidR="00754172">
          <w:rPr>
            <w:webHidden/>
          </w:rPr>
        </w:r>
        <w:r w:rsidR="00754172">
          <w:rPr>
            <w:webHidden/>
          </w:rPr>
          <w:fldChar w:fldCharType="separate"/>
        </w:r>
        <w:r w:rsidR="00B909E6">
          <w:rPr>
            <w:webHidden/>
          </w:rPr>
          <w:t>196</w:t>
        </w:r>
        <w:r w:rsidR="00754172">
          <w:rPr>
            <w:webHidden/>
          </w:rPr>
          <w:fldChar w:fldCharType="end"/>
        </w:r>
      </w:hyperlink>
    </w:p>
    <w:p w14:paraId="2877500B" w14:textId="77777777" w:rsidR="00754172" w:rsidRDefault="00447183">
      <w:pPr>
        <w:pStyle w:val="TableofFigures"/>
        <w:rPr>
          <w:rFonts w:asciiTheme="minorHAnsi" w:eastAsiaTheme="minorEastAsia" w:hAnsiTheme="minorHAnsi" w:cstheme="minorBidi"/>
        </w:rPr>
      </w:pPr>
      <w:hyperlink w:anchor="_Toc423525566" w:history="1">
        <w:r w:rsidR="00754172" w:rsidRPr="00F33495">
          <w:rPr>
            <w:rStyle w:val="Hyperlink"/>
          </w:rPr>
          <w:t>Figure 11</w:t>
        </w:r>
        <w:r w:rsidR="00754172">
          <w:rPr>
            <w:rFonts w:asciiTheme="minorHAnsi" w:eastAsiaTheme="minorEastAsia" w:hAnsiTheme="minorHAnsi" w:cstheme="minorBidi"/>
          </w:rPr>
          <w:tab/>
        </w:r>
        <w:r w:rsidR="00754172" w:rsidRPr="00F33495">
          <w:rPr>
            <w:rStyle w:val="Hyperlink"/>
          </w:rPr>
          <w:t>Results of the economic evaluation (total CF births), model 2 (Fetus has FEB)</w:t>
        </w:r>
        <w:r w:rsidR="00754172">
          <w:rPr>
            <w:webHidden/>
          </w:rPr>
          <w:tab/>
        </w:r>
        <w:r w:rsidR="00754172">
          <w:rPr>
            <w:webHidden/>
          </w:rPr>
          <w:fldChar w:fldCharType="begin"/>
        </w:r>
        <w:r w:rsidR="00754172">
          <w:rPr>
            <w:webHidden/>
          </w:rPr>
          <w:instrText xml:space="preserve"> PAGEREF _Toc423525566 \h </w:instrText>
        </w:r>
        <w:r w:rsidR="00754172">
          <w:rPr>
            <w:webHidden/>
          </w:rPr>
        </w:r>
        <w:r w:rsidR="00754172">
          <w:rPr>
            <w:webHidden/>
          </w:rPr>
          <w:fldChar w:fldCharType="separate"/>
        </w:r>
        <w:r w:rsidR="00B909E6">
          <w:rPr>
            <w:webHidden/>
          </w:rPr>
          <w:t>197</w:t>
        </w:r>
        <w:r w:rsidR="00754172">
          <w:rPr>
            <w:webHidden/>
          </w:rPr>
          <w:fldChar w:fldCharType="end"/>
        </w:r>
      </w:hyperlink>
    </w:p>
    <w:p w14:paraId="4803307C" w14:textId="77777777" w:rsidR="00452F32" w:rsidRPr="00183E4D" w:rsidRDefault="0086593E" w:rsidP="00DF343F">
      <w:pPr>
        <w:ind w:left="414"/>
      </w:pPr>
      <w:r w:rsidRPr="00183E4D">
        <w:rPr>
          <w:szCs w:val="24"/>
        </w:rPr>
        <w:fldChar w:fldCharType="end"/>
      </w:r>
    </w:p>
    <w:p w14:paraId="3D67E40E" w14:textId="77777777" w:rsidR="008F59A8" w:rsidRPr="00183E4D" w:rsidRDefault="008F59A8" w:rsidP="00DF343F">
      <w:pPr>
        <w:sectPr w:rsidR="008F59A8" w:rsidRPr="00183E4D" w:rsidSect="000D04B6">
          <w:headerReference w:type="even" r:id="rId16"/>
          <w:headerReference w:type="default" r:id="rId17"/>
          <w:footerReference w:type="even" r:id="rId18"/>
          <w:footerReference w:type="default" r:id="rId19"/>
          <w:headerReference w:type="first" r:id="rId20"/>
          <w:type w:val="oddPage"/>
          <w:pgSz w:w="11906" w:h="16838"/>
          <w:pgMar w:top="1440" w:right="1440" w:bottom="1440" w:left="1440" w:header="720" w:footer="720" w:gutter="0"/>
          <w:paperSrc w:first="2" w:other="2"/>
          <w:pgNumType w:fmt="lowerRoman"/>
          <w:cols w:space="720"/>
          <w:docGrid w:linePitch="299"/>
        </w:sectPr>
      </w:pPr>
    </w:p>
    <w:p w14:paraId="55A4D336" w14:textId="77777777" w:rsidR="002F5F9B" w:rsidRPr="00183E4D" w:rsidRDefault="000D1300" w:rsidP="00DF343F">
      <w:pPr>
        <w:pStyle w:val="Heading1"/>
      </w:pPr>
      <w:bookmarkStart w:id="32" w:name="_Toc236559502"/>
      <w:bookmarkStart w:id="33" w:name="_Toc379118056"/>
      <w:bookmarkStart w:id="34" w:name="_Toc381796428"/>
      <w:bookmarkStart w:id="35" w:name="_Toc418179861"/>
      <w:r w:rsidRPr="00183E4D">
        <w:lastRenderedPageBreak/>
        <w:t>Executive S</w:t>
      </w:r>
      <w:r w:rsidR="002F5F9B" w:rsidRPr="00183E4D">
        <w:t>ummary</w:t>
      </w:r>
      <w:bookmarkEnd w:id="32"/>
      <w:bookmarkEnd w:id="33"/>
      <w:bookmarkEnd w:id="34"/>
      <w:bookmarkEnd w:id="35"/>
    </w:p>
    <w:p w14:paraId="2F47AE90" w14:textId="1B1DB954" w:rsidR="008C7152" w:rsidRDefault="001D0931" w:rsidP="00DF343F">
      <w:pPr>
        <w:pStyle w:val="Heading2"/>
        <w:rPr>
          <w:smallCaps w:val="0"/>
        </w:rPr>
      </w:pPr>
      <w:bookmarkStart w:id="36" w:name="_Toc418071365"/>
      <w:bookmarkStart w:id="37" w:name="_Toc418179268"/>
      <w:bookmarkStart w:id="38" w:name="_Toc418179675"/>
      <w:bookmarkStart w:id="39" w:name="_Toc418179862"/>
      <w:r>
        <w:rPr>
          <w:smallCaps w:val="0"/>
        </w:rPr>
        <w:t xml:space="preserve">Testing for hereditary mutations </w:t>
      </w:r>
      <w:r w:rsidR="00015B7B">
        <w:rPr>
          <w:smallCaps w:val="0"/>
        </w:rPr>
        <w:t>in</w:t>
      </w:r>
      <w:r>
        <w:rPr>
          <w:smallCaps w:val="0"/>
        </w:rPr>
        <w:t xml:space="preserve"> the </w:t>
      </w:r>
      <w:r w:rsidR="008800B8">
        <w:rPr>
          <w:smallCaps w:val="0"/>
        </w:rPr>
        <w:t>c</w:t>
      </w:r>
      <w:r w:rsidR="00F9373B">
        <w:rPr>
          <w:smallCaps w:val="0"/>
        </w:rPr>
        <w:t xml:space="preserve">ystic </w:t>
      </w:r>
      <w:r w:rsidR="008800B8">
        <w:rPr>
          <w:smallCaps w:val="0"/>
        </w:rPr>
        <w:t>f</w:t>
      </w:r>
      <w:r w:rsidR="00F9373B">
        <w:rPr>
          <w:smallCaps w:val="0"/>
        </w:rPr>
        <w:t xml:space="preserve">ibrosis </w:t>
      </w:r>
      <w:r w:rsidR="008800B8">
        <w:rPr>
          <w:smallCaps w:val="0"/>
        </w:rPr>
        <w:t>t</w:t>
      </w:r>
      <w:r w:rsidR="00F9373B">
        <w:rPr>
          <w:smallCaps w:val="0"/>
        </w:rPr>
        <w:t xml:space="preserve">ransmembrane conductance </w:t>
      </w:r>
      <w:r w:rsidR="008800B8">
        <w:rPr>
          <w:smallCaps w:val="0"/>
        </w:rPr>
        <w:t>r</w:t>
      </w:r>
      <w:r w:rsidR="00F9373B">
        <w:rPr>
          <w:smallCaps w:val="0"/>
        </w:rPr>
        <w:t>egulator</w:t>
      </w:r>
      <w:r>
        <w:rPr>
          <w:smallCaps w:val="0"/>
        </w:rPr>
        <w:t xml:space="preserve"> (</w:t>
      </w:r>
      <w:r w:rsidR="00A21FD9" w:rsidRPr="00A21FD9">
        <w:rPr>
          <w:i/>
          <w:smallCaps w:val="0"/>
        </w:rPr>
        <w:t>CFTR</w:t>
      </w:r>
      <w:r>
        <w:rPr>
          <w:smallCaps w:val="0"/>
        </w:rPr>
        <w:t>) gene</w:t>
      </w:r>
      <w:bookmarkEnd w:id="36"/>
      <w:bookmarkEnd w:id="37"/>
      <w:bookmarkEnd w:id="38"/>
      <w:bookmarkEnd w:id="39"/>
    </w:p>
    <w:p w14:paraId="6C08A77B" w14:textId="77777777" w:rsidR="008C7152" w:rsidRPr="00183E4D" w:rsidRDefault="00630910" w:rsidP="0090134D">
      <w:pPr>
        <w:pStyle w:val="ESNumberedSectionHeading"/>
        <w:ind w:left="927" w:hanging="927"/>
      </w:pPr>
      <w:bookmarkStart w:id="40" w:name="_Toc379118246"/>
      <w:bookmarkStart w:id="41" w:name="_Toc381796430"/>
      <w:bookmarkStart w:id="42" w:name="_Toc395200741"/>
      <w:bookmarkStart w:id="43" w:name="_Toc418179863"/>
      <w:r w:rsidRPr="00183E4D">
        <w:t>Rationale for A</w:t>
      </w:r>
      <w:r w:rsidR="008C7152" w:rsidRPr="00183E4D">
        <w:t>ssessment</w:t>
      </w:r>
      <w:bookmarkEnd w:id="40"/>
      <w:bookmarkEnd w:id="41"/>
      <w:bookmarkEnd w:id="42"/>
      <w:bookmarkEnd w:id="43"/>
    </w:p>
    <w:p w14:paraId="37D62E96" w14:textId="0FDE0F2F" w:rsidR="00015B7B" w:rsidRDefault="00015B7B" w:rsidP="00C54F42">
      <w:pPr>
        <w:spacing w:after="120"/>
      </w:pPr>
      <w:bookmarkStart w:id="44" w:name="_Toc395200742"/>
      <w:r w:rsidRPr="00873ADA">
        <w:t>This contracted assessment examines the evidence to support the listing on the Medicare Benefits Schedule (MBS)</w:t>
      </w:r>
      <w:r>
        <w:t xml:space="preserve"> </w:t>
      </w:r>
      <w:r w:rsidRPr="00873ADA">
        <w:t xml:space="preserve">of </w:t>
      </w:r>
      <w:r>
        <w:t xml:space="preserve">genetic testing for hereditary mutations in the </w:t>
      </w:r>
      <w:r w:rsidRPr="00A21FD9">
        <w:rPr>
          <w:i/>
        </w:rPr>
        <w:t>CFTR</w:t>
      </w:r>
      <w:r>
        <w:t xml:space="preserve"> gene</w:t>
      </w:r>
      <w:r w:rsidRPr="00873ADA">
        <w:t>. The service would be used</w:t>
      </w:r>
      <w:r>
        <w:t xml:space="preserve"> </w:t>
      </w:r>
      <w:r w:rsidR="00D23A31">
        <w:t>for</w:t>
      </w:r>
      <w:r>
        <w:t xml:space="preserve">: </w:t>
      </w:r>
    </w:p>
    <w:p w14:paraId="2EC5F042" w14:textId="77966E2F" w:rsidR="00015B7B" w:rsidRDefault="00015B7B" w:rsidP="00C54F42">
      <w:pPr>
        <w:pStyle w:val="ListParagraph"/>
        <w:numPr>
          <w:ilvl w:val="0"/>
          <w:numId w:val="45"/>
        </w:numPr>
        <w:spacing w:after="120"/>
        <w:ind w:left="714" w:hanging="357"/>
      </w:pPr>
      <w:r>
        <w:t xml:space="preserve">the diagnosis of prenatal </w:t>
      </w:r>
      <w:r w:rsidR="008800B8">
        <w:t>c</w:t>
      </w:r>
      <w:r>
        <w:t xml:space="preserve">ystic </w:t>
      </w:r>
      <w:r w:rsidR="008800B8">
        <w:t>f</w:t>
      </w:r>
      <w:r>
        <w:t xml:space="preserve">ibrosis (CF) </w:t>
      </w:r>
    </w:p>
    <w:p w14:paraId="7A9EDD8E" w14:textId="6FE3E317" w:rsidR="00015B7B" w:rsidRDefault="00015B7B" w:rsidP="00C54F42">
      <w:pPr>
        <w:pStyle w:val="ListParagraph"/>
        <w:numPr>
          <w:ilvl w:val="0"/>
          <w:numId w:val="45"/>
        </w:numPr>
        <w:spacing w:after="120"/>
      </w:pPr>
      <w:r>
        <w:t xml:space="preserve">people suspected of CF or </w:t>
      </w:r>
      <w:r w:rsidRPr="00C75216">
        <w:t>CFTR</w:t>
      </w:r>
      <w:r w:rsidR="000C4A35">
        <w:t>-</w:t>
      </w:r>
      <w:r>
        <w:t>related disorders</w:t>
      </w:r>
    </w:p>
    <w:p w14:paraId="3BA678A9" w14:textId="148BE67D" w:rsidR="00015B7B" w:rsidRDefault="00015B7B" w:rsidP="00C54F42">
      <w:pPr>
        <w:pStyle w:val="ListParagraph"/>
        <w:numPr>
          <w:ilvl w:val="0"/>
          <w:numId w:val="45"/>
        </w:numPr>
        <w:spacing w:after="120"/>
      </w:pPr>
      <w:r>
        <w:t xml:space="preserve">partners of people with at least one known </w:t>
      </w:r>
      <w:r w:rsidRPr="00D353B3">
        <w:t xml:space="preserve">CFTR </w:t>
      </w:r>
      <w:r>
        <w:t>mutation</w:t>
      </w:r>
      <w:r w:rsidR="00662142">
        <w:t>—</w:t>
      </w:r>
      <w:r>
        <w:t>for the purpose of reproductive planning</w:t>
      </w:r>
      <w:r w:rsidRPr="00873ADA">
        <w:t xml:space="preserve">. </w:t>
      </w:r>
    </w:p>
    <w:p w14:paraId="7C6FD0C5" w14:textId="26878BA3" w:rsidR="00015B7B" w:rsidRPr="00873ADA" w:rsidRDefault="00015B7B" w:rsidP="00015B7B">
      <w:r>
        <w:t>It is</w:t>
      </w:r>
      <w:r w:rsidRPr="00873ADA">
        <w:t xml:space="preserve"> claimed </w:t>
      </w:r>
      <w:r>
        <w:t xml:space="preserve">in the </w:t>
      </w:r>
      <w:r w:rsidR="00662142">
        <w:t>a</w:t>
      </w:r>
      <w:r>
        <w:t xml:space="preserve">pplication from the Royal College of Pathologists of Australasia (RCPA) </w:t>
      </w:r>
      <w:r w:rsidRPr="00873ADA">
        <w:t xml:space="preserve">that </w:t>
      </w:r>
      <w:r>
        <w:t>the MBS</w:t>
      </w:r>
      <w:r w:rsidRPr="00873ADA">
        <w:t xml:space="preserve"> listing of </w:t>
      </w:r>
      <w:r w:rsidRPr="006F6A47">
        <w:t>CFTR</w:t>
      </w:r>
      <w:r>
        <w:t xml:space="preserve"> testing</w:t>
      </w:r>
      <w:r w:rsidRPr="00873ADA">
        <w:t xml:space="preserve"> in the target population and setting will </w:t>
      </w:r>
      <w:r>
        <w:t>create</w:t>
      </w:r>
      <w:r w:rsidRPr="00873ADA">
        <w:t xml:space="preserve"> </w:t>
      </w:r>
      <w:r>
        <w:t>additional diagnostic surety for a lifelong, expensive and complex condition, affecting family planning options and the selection of treatment</w:t>
      </w:r>
      <w:r w:rsidRPr="00873ADA">
        <w:t>.</w:t>
      </w:r>
    </w:p>
    <w:p w14:paraId="68A90C8D" w14:textId="3904AB15" w:rsidR="00015B7B" w:rsidRPr="00183E4D" w:rsidRDefault="00015B7B" w:rsidP="00015B7B">
      <w:r w:rsidRPr="00183E4D">
        <w:t xml:space="preserve">This assessment of </w:t>
      </w:r>
      <w:r w:rsidRPr="006F6A47">
        <w:t>CFTR</w:t>
      </w:r>
      <w:r w:rsidRPr="00D01D08">
        <w:t xml:space="preserve"> </w:t>
      </w:r>
      <w:r>
        <w:t>mutation testing</w:t>
      </w:r>
      <w:r w:rsidRPr="00183E4D">
        <w:t xml:space="preserve"> </w:t>
      </w:r>
      <w:r>
        <w:t>sought evidence on all</w:t>
      </w:r>
      <w:r w:rsidRPr="00183E4D">
        <w:t xml:space="preserve"> the PICO</w:t>
      </w:r>
      <w:r w:rsidRPr="00183E4D">
        <w:rPr>
          <w:rStyle w:val="FootnoteReference"/>
        </w:rPr>
        <w:footnoteReference w:id="1"/>
      </w:r>
      <w:r w:rsidRPr="00183E4D">
        <w:t xml:space="preserve"> elements that were </w:t>
      </w:r>
      <w:r>
        <w:t>pre-specified in a research</w:t>
      </w:r>
      <w:r w:rsidRPr="00183E4D">
        <w:t xml:space="preserve"> </w:t>
      </w:r>
      <w:r>
        <w:t>p</w:t>
      </w:r>
      <w:r w:rsidRPr="00183E4D">
        <w:t xml:space="preserve">rotocol </w:t>
      </w:r>
      <w:r>
        <w:t>that resulted from the application. The protocol was discussed and agreed by the Protocol Advisory Sub-Committee (PASC), and included input from Health Expert Standing Panel (HESP) members and the relevant policy area of the Department of Health (the Department)</w:t>
      </w:r>
      <w:r w:rsidRPr="00183E4D">
        <w:t>.</w:t>
      </w:r>
      <w:r>
        <w:t xml:space="preserve"> The research protocol was approved by the Department and can be found on the Medical Services Advisory Committee (MSAC) website.</w:t>
      </w:r>
    </w:p>
    <w:p w14:paraId="47EE2B41" w14:textId="77777777" w:rsidR="008C7152" w:rsidRPr="00183E4D" w:rsidRDefault="008A6152" w:rsidP="0096428C">
      <w:pPr>
        <w:pStyle w:val="ESNumberedSectionHeading"/>
        <w:ind w:left="927" w:hanging="927"/>
      </w:pPr>
      <w:bookmarkStart w:id="45" w:name="_Toc418179864"/>
      <w:r w:rsidRPr="00183E4D">
        <w:t xml:space="preserve">Proposed </w:t>
      </w:r>
      <w:r w:rsidR="00630910" w:rsidRPr="00183E4D">
        <w:t>M</w:t>
      </w:r>
      <w:r w:rsidRPr="00183E4D">
        <w:t xml:space="preserve">edical </w:t>
      </w:r>
      <w:r w:rsidR="00630910" w:rsidRPr="00183E4D">
        <w:t>S</w:t>
      </w:r>
      <w:r w:rsidRPr="00183E4D">
        <w:t>ervice</w:t>
      </w:r>
      <w:bookmarkEnd w:id="44"/>
      <w:bookmarkEnd w:id="45"/>
    </w:p>
    <w:p w14:paraId="4BF0E3D6" w14:textId="4F13D253" w:rsidR="00D66C87" w:rsidRDefault="00015B7B" w:rsidP="00DF343F">
      <w:bookmarkStart w:id="46" w:name="_Toc379118248"/>
      <w:bookmarkStart w:id="47" w:name="_Toc381796432"/>
      <w:r>
        <w:t xml:space="preserve">Cystic </w:t>
      </w:r>
      <w:r w:rsidR="00882DB9">
        <w:t>f</w:t>
      </w:r>
      <w:r>
        <w:t>ibrosis (CF)</w:t>
      </w:r>
      <w:r w:rsidRPr="00BA368C">
        <w:t xml:space="preserve"> and other </w:t>
      </w:r>
      <w:r w:rsidRPr="00D353B3">
        <w:t>CFTR</w:t>
      </w:r>
      <w:r w:rsidR="00D87BFA">
        <w:t>-</w:t>
      </w:r>
      <w:r w:rsidRPr="00BA368C">
        <w:t>related disorders are the most common autosomal recessive disorder in Caucasians, with a frequency of about 1 in 2</w:t>
      </w:r>
      <w:r>
        <w:t>,</w:t>
      </w:r>
      <w:r w:rsidRPr="00BA368C">
        <w:t>500</w:t>
      </w:r>
      <w:r>
        <w:t>–</w:t>
      </w:r>
      <w:r w:rsidRPr="00BA368C">
        <w:t>2</w:t>
      </w:r>
      <w:r>
        <w:t>,</w:t>
      </w:r>
      <w:r w:rsidRPr="00BA368C">
        <w:t>800 live births worldwide and a carrier frequency of 1 in 25 in Australia.</w:t>
      </w:r>
      <w:r>
        <w:t xml:space="preserve"> The major cause of morbidity and mortality among young people with CF is p</w:t>
      </w:r>
      <w:r w:rsidRPr="00BA368C">
        <w:t>rogressive respiratory disease</w:t>
      </w:r>
      <w:r>
        <w:t>. Cystic fibrosis</w:t>
      </w:r>
      <w:r w:rsidR="001C2991" w:rsidRPr="008210FE">
        <w:t xml:space="preserve"> is</w:t>
      </w:r>
      <w:r w:rsidR="001C2991">
        <w:t xml:space="preserve"> usually</w:t>
      </w:r>
      <w:r w:rsidR="001C2991" w:rsidRPr="008210FE">
        <w:t xml:space="preserve"> clinically diagnosed with supporting evidence of </w:t>
      </w:r>
      <w:r w:rsidR="001C2991">
        <w:t xml:space="preserve">a </w:t>
      </w:r>
      <w:r w:rsidR="00FD37D3" w:rsidRPr="00FD37D3">
        <w:t>CFTR</w:t>
      </w:r>
      <w:r w:rsidR="001C2991" w:rsidRPr="008210FE">
        <w:t xml:space="preserve"> abnormality, either by </w:t>
      </w:r>
      <w:r w:rsidR="00D66C87" w:rsidRPr="008210FE">
        <w:t>sweat chloride measurement or</w:t>
      </w:r>
      <w:r w:rsidR="00D66C87">
        <w:t xml:space="preserve"> through identification of</w:t>
      </w:r>
      <w:r w:rsidR="00D66C87" w:rsidRPr="008210FE">
        <w:t xml:space="preserve"> mutations in the </w:t>
      </w:r>
      <w:r w:rsidR="00D66C87" w:rsidRPr="00A21FD9">
        <w:rPr>
          <w:i/>
        </w:rPr>
        <w:t>CFTR</w:t>
      </w:r>
      <w:r w:rsidR="00D66C87" w:rsidRPr="008210FE">
        <w:rPr>
          <w:i/>
        </w:rPr>
        <w:t xml:space="preserve"> </w:t>
      </w:r>
      <w:r w:rsidR="00D66C87" w:rsidRPr="008210FE">
        <w:t>gene known to cause CF.</w:t>
      </w:r>
      <w:r w:rsidR="00D66C87">
        <w:t xml:space="preserve"> Genetic testing occurs in three groups</w:t>
      </w:r>
      <w:r w:rsidR="00025324">
        <w:t xml:space="preserve"> to provide information for</w:t>
      </w:r>
      <w:r w:rsidR="00025324" w:rsidRPr="00EF3D42">
        <w:t xml:space="preserve"> reproductive planning</w:t>
      </w:r>
      <w:r w:rsidR="00D66C87">
        <w:t>: (1) i</w:t>
      </w:r>
      <w:r w:rsidR="00D66C87" w:rsidRPr="004A5782">
        <w:t>ndividuals</w:t>
      </w:r>
      <w:r w:rsidR="00D66C87">
        <w:t xml:space="preserve"> suspected of having CF or</w:t>
      </w:r>
      <w:r w:rsidR="00D66C87" w:rsidRPr="004A5782">
        <w:t xml:space="preserve"> </w:t>
      </w:r>
      <w:r w:rsidR="00D66C87" w:rsidRPr="004A5782">
        <w:lastRenderedPageBreak/>
        <w:t>presenting with classic or non-classic CF symptoms</w:t>
      </w:r>
      <w:r w:rsidR="00D66C87">
        <w:t xml:space="preserve"> (including men with congenital bilateral absence of the vas deferens (CBAVD))</w:t>
      </w:r>
      <w:r w:rsidR="00025324">
        <w:t>;</w:t>
      </w:r>
      <w:r w:rsidR="00D66C87">
        <w:t xml:space="preserve"> (2) </w:t>
      </w:r>
      <w:r w:rsidR="00D66C87" w:rsidRPr="00C72B02">
        <w:t xml:space="preserve">couples </w:t>
      </w:r>
      <w:r w:rsidR="00D66C87">
        <w:t>seeking prenatal diagnosis</w:t>
      </w:r>
      <w:r w:rsidR="00D66C87" w:rsidRPr="001C2991">
        <w:t xml:space="preserve"> </w:t>
      </w:r>
      <w:r w:rsidR="00D66C87">
        <w:t xml:space="preserve">as a consequence of </w:t>
      </w:r>
      <w:r w:rsidR="00D66C87" w:rsidRPr="00C72B02">
        <w:t>hav</w:t>
      </w:r>
      <w:r w:rsidR="00D66C87">
        <w:t>ing</w:t>
      </w:r>
      <w:r w:rsidR="00D66C87" w:rsidRPr="00C72B02">
        <w:t xml:space="preserve"> had a previous child with CF or a </w:t>
      </w:r>
      <w:r w:rsidR="00D66C87" w:rsidRPr="00D353B3">
        <w:t>CFTR</w:t>
      </w:r>
      <w:r w:rsidR="00025324">
        <w:t>-</w:t>
      </w:r>
      <w:r w:rsidR="00D66C87" w:rsidRPr="00C72B02">
        <w:t>re</w:t>
      </w:r>
      <w:r w:rsidR="00D66C87">
        <w:t>lated disorder, or</w:t>
      </w:r>
      <w:r w:rsidR="00D66C87" w:rsidRPr="00C72B02">
        <w:t xml:space="preserve"> hav</w:t>
      </w:r>
      <w:r w:rsidR="00D66C87">
        <w:t>ing</w:t>
      </w:r>
      <w:r w:rsidR="00D66C87" w:rsidRPr="00C72B02">
        <w:t xml:space="preserve"> been identified by other means to both be carriers of a </w:t>
      </w:r>
      <w:r w:rsidR="00D66C87" w:rsidRPr="00D353B3">
        <w:t xml:space="preserve">CFTR </w:t>
      </w:r>
      <w:r w:rsidR="00D66C87" w:rsidRPr="00C72B02">
        <w:t>mutation</w:t>
      </w:r>
      <w:r w:rsidR="00D66C87">
        <w:t>, or having a fetus with an echogenic bowel</w:t>
      </w:r>
      <w:r w:rsidR="00025324">
        <w:t>;</w:t>
      </w:r>
      <w:r w:rsidR="00D66C87">
        <w:t xml:space="preserve"> and (3) </w:t>
      </w:r>
      <w:r w:rsidR="00D66C87" w:rsidRPr="00EF3D42">
        <w:t>a partner of someone with</w:t>
      </w:r>
      <w:r w:rsidR="00D66C87">
        <w:t xml:space="preserve"> at least one</w:t>
      </w:r>
      <w:r w:rsidR="00D66C87" w:rsidRPr="00EF3D42">
        <w:t xml:space="preserve"> known </w:t>
      </w:r>
      <w:r w:rsidR="00D66C87" w:rsidRPr="00D353B3">
        <w:t>CFTR</w:t>
      </w:r>
      <w:r w:rsidR="00D66C87" w:rsidRPr="00EF3D42">
        <w:t xml:space="preserve"> mutation</w:t>
      </w:r>
      <w:r w:rsidR="00D66C87">
        <w:t xml:space="preserve">. Most CF patients in Australia are currently diagnosed through national newborn screening </w:t>
      </w:r>
      <w:r w:rsidR="0067459F">
        <w:t xml:space="preserve">(NBS) </w:t>
      </w:r>
      <w:r w:rsidR="00D66C87">
        <w:t>programs; all infants with elevated immunoreactive trypsinogen levels would be suspected of CF and tested. These infants would theoretically fall within group</w:t>
      </w:r>
      <w:r w:rsidR="00025324">
        <w:t xml:space="preserve"> (1)</w:t>
      </w:r>
      <w:r w:rsidR="00D66C87">
        <w:t xml:space="preserve"> mentioned above. </w:t>
      </w:r>
      <w:r w:rsidR="00025324">
        <w:t>Therefore</w:t>
      </w:r>
      <w:r w:rsidR="00D66C87">
        <w:t xml:space="preserve">, as this testing of newborns is already considered standard practice and funded by the </w:t>
      </w:r>
      <w:r w:rsidR="00025324">
        <w:t>s</w:t>
      </w:r>
      <w:r w:rsidR="00D66C87">
        <w:t xml:space="preserve">tates and </w:t>
      </w:r>
      <w:r w:rsidR="00025324">
        <w:t>t</w:t>
      </w:r>
      <w:r w:rsidR="00D66C87">
        <w:t>erritories (</w:t>
      </w:r>
      <w:r w:rsidR="00025324">
        <w:t xml:space="preserve">i.e. </w:t>
      </w:r>
      <w:r w:rsidR="00D66C87">
        <w:t>parents would not be paying for the test themselves), it was considered by PASC that testing of newborns would not need to be examined further in this assessment.</w:t>
      </w:r>
    </w:p>
    <w:p w14:paraId="1C44DD9A" w14:textId="46789018" w:rsidR="00D66C87" w:rsidRDefault="00D66C87" w:rsidP="00D66C87">
      <w:r>
        <w:t xml:space="preserve">Different types of genetic tests are currently performed in Australia. Common mutation analyses are conducted in patients/parents/partners for whom familial mutations are not known, whereas total gene sequencing is undertaken if the clinical situation demands </w:t>
      </w:r>
      <w:r w:rsidR="00025324">
        <w:t xml:space="preserve">it </w:t>
      </w:r>
      <w:r>
        <w:t xml:space="preserve">and the common mutation analysis is unable to identify both CFTR mutations. In prenatal testing, if a mutation is known in both parents, a mutation analysis would be performed on a sample from the fetus, specifically targeting the parents’ mutations. If the parents both carry the most common mutation, f508del, a single mutation test would be performed. However, if at least one of them carries a different mutation (investigated by the common mutation test), the fetus would be tested using the common mutation test. </w:t>
      </w:r>
    </w:p>
    <w:p w14:paraId="52D8E2D7" w14:textId="77777777" w:rsidR="0090134D" w:rsidRDefault="0090134D" w:rsidP="0090134D">
      <w:pPr>
        <w:pStyle w:val="Heading4"/>
      </w:pPr>
      <w:r w:rsidRPr="00183E4D">
        <w:t xml:space="preserve">Current </w:t>
      </w:r>
      <w:r>
        <w:t xml:space="preserve">funding </w:t>
      </w:r>
      <w:r w:rsidRPr="00183E4D">
        <w:t>arrangements</w:t>
      </w:r>
    </w:p>
    <w:p w14:paraId="65832F17" w14:textId="7BC176E7" w:rsidR="0090134D" w:rsidRPr="00D73BE9" w:rsidRDefault="007F7C7C" w:rsidP="0090134D">
      <w:r>
        <w:t>The</w:t>
      </w:r>
      <w:r w:rsidRPr="002E2B1C">
        <w:t xml:space="preserve"> </w:t>
      </w:r>
      <w:r>
        <w:t xml:space="preserve">RCPA Genetic Testing Survey 2011 identified </w:t>
      </w:r>
      <w:r w:rsidR="00025324">
        <w:t>11</w:t>
      </w:r>
      <w:r w:rsidR="00025324" w:rsidRPr="00BC645A">
        <w:t xml:space="preserve"> </w:t>
      </w:r>
      <w:r>
        <w:t xml:space="preserve">Australian </w:t>
      </w:r>
      <w:r w:rsidRPr="00BC645A">
        <w:t xml:space="preserve">diagnostic laboratories </w:t>
      </w:r>
      <w:r>
        <w:t xml:space="preserve">that were </w:t>
      </w:r>
      <w:r w:rsidRPr="002E651E">
        <w:t xml:space="preserve">National Association of Testing Authorities </w:t>
      </w:r>
      <w:r>
        <w:t>(NATA)</w:t>
      </w:r>
      <w:r w:rsidR="00025324">
        <w:t>-</w:t>
      </w:r>
      <w:r>
        <w:t xml:space="preserve">accredited to perform more than 100 </w:t>
      </w:r>
      <w:r w:rsidRPr="00D353B3">
        <w:t>CFTR</w:t>
      </w:r>
      <w:r>
        <w:t xml:space="preserve"> mutation tests in 2011. </w:t>
      </w:r>
      <w:r w:rsidRPr="00D353B3">
        <w:t>CFTR</w:t>
      </w:r>
      <w:r>
        <w:t xml:space="preserve"> mutation testing is already practised in all </w:t>
      </w:r>
      <w:r w:rsidR="00F31845">
        <w:t>s</w:t>
      </w:r>
      <w:r>
        <w:t xml:space="preserve">tates and </w:t>
      </w:r>
      <w:r w:rsidR="00F31845">
        <w:t>t</w:t>
      </w:r>
      <w:r>
        <w:t xml:space="preserve">erritories, with funding derived from the sources listed in </w:t>
      </w:r>
      <w:r w:rsidR="0090134D">
        <w:fldChar w:fldCharType="begin"/>
      </w:r>
      <w:r w:rsidR="0090134D">
        <w:instrText xml:space="preserve"> REF _Ref412621284 \h  \* MERGEFORMAT </w:instrText>
      </w:r>
      <w:r w:rsidR="0090134D">
        <w:fldChar w:fldCharType="separate"/>
      </w:r>
      <w:r w:rsidR="00BB0E3E" w:rsidRPr="00BC645A">
        <w:t xml:space="preserve">Table </w:t>
      </w:r>
      <w:r w:rsidR="00BB0E3E">
        <w:rPr>
          <w:noProof/>
        </w:rPr>
        <w:t>8</w:t>
      </w:r>
      <w:r w:rsidR="0090134D">
        <w:fldChar w:fldCharType="end"/>
      </w:r>
      <w:r w:rsidR="0090134D">
        <w:t xml:space="preserve"> on </w:t>
      </w:r>
      <w:r w:rsidR="0090134D" w:rsidRPr="00754172">
        <w:t xml:space="preserve">page </w:t>
      </w:r>
      <w:r w:rsidR="0090134D" w:rsidRPr="00754172">
        <w:fldChar w:fldCharType="begin"/>
      </w:r>
      <w:r w:rsidR="0090134D" w:rsidRPr="00754172">
        <w:instrText xml:space="preserve"> PAGEREF _Ref412621859 \h </w:instrText>
      </w:r>
      <w:r w:rsidR="0090134D" w:rsidRPr="00754172">
        <w:fldChar w:fldCharType="separate"/>
      </w:r>
      <w:r w:rsidR="00BB0E3E">
        <w:rPr>
          <w:noProof/>
        </w:rPr>
        <w:t>42</w:t>
      </w:r>
      <w:r w:rsidR="0090134D" w:rsidRPr="00754172">
        <w:fldChar w:fldCharType="end"/>
      </w:r>
      <w:r w:rsidR="0090134D">
        <w:t>.</w:t>
      </w:r>
    </w:p>
    <w:p w14:paraId="74B26F27" w14:textId="77777777" w:rsidR="00835007" w:rsidRPr="00183E4D" w:rsidRDefault="00630910" w:rsidP="00B56D93">
      <w:pPr>
        <w:pStyle w:val="ESNumberedSectionHeading"/>
        <w:ind w:left="993" w:hanging="993"/>
      </w:pPr>
      <w:bookmarkStart w:id="48" w:name="_Toc395200743"/>
      <w:bookmarkStart w:id="49" w:name="_Toc418179865"/>
      <w:r w:rsidRPr="00183E4D">
        <w:t>Proposal for P</w:t>
      </w:r>
      <w:r w:rsidR="00835007" w:rsidRPr="00183E4D">
        <w:t>ubl</w:t>
      </w:r>
      <w:r w:rsidRPr="00183E4D">
        <w:t>ic F</w:t>
      </w:r>
      <w:r w:rsidR="00835007" w:rsidRPr="00183E4D">
        <w:t>unding</w:t>
      </w:r>
      <w:bookmarkEnd w:id="48"/>
      <w:bookmarkEnd w:id="49"/>
    </w:p>
    <w:p w14:paraId="7C5F1749" w14:textId="6A671D63" w:rsidR="008F1201" w:rsidRPr="007F7C7C" w:rsidRDefault="008F1201" w:rsidP="00DF343F">
      <w:r w:rsidRPr="00183E4D">
        <w:t>The proposed MBS item descriptor</w:t>
      </w:r>
      <w:r>
        <w:t>s</w:t>
      </w:r>
      <w:r w:rsidRPr="00183E4D">
        <w:t xml:space="preserve"> </w:t>
      </w:r>
      <w:r>
        <w:t>are</w:t>
      </w:r>
      <w:r w:rsidRPr="00183E4D">
        <w:t xml:space="preserve"> </w:t>
      </w:r>
      <w:r w:rsidRPr="000F4655">
        <w:t xml:space="preserve">summarised in </w:t>
      </w:r>
      <w:r w:rsidRPr="000F4655">
        <w:fldChar w:fldCharType="begin"/>
      </w:r>
      <w:r w:rsidRPr="000F4655">
        <w:instrText xml:space="preserve"> REF _Ref394849669 \h </w:instrText>
      </w:r>
      <w:r>
        <w:instrText xml:space="preserve"> \* MERGEFORMAT </w:instrText>
      </w:r>
      <w:r w:rsidRPr="000F4655">
        <w:fldChar w:fldCharType="separate"/>
      </w:r>
      <w:r w:rsidR="00BB0E3E" w:rsidRPr="000F4655">
        <w:t xml:space="preserve">Table </w:t>
      </w:r>
      <w:r w:rsidR="00BB0E3E">
        <w:t>7</w:t>
      </w:r>
      <w:r w:rsidRPr="000F4655">
        <w:fldChar w:fldCharType="end"/>
      </w:r>
      <w:r>
        <w:t xml:space="preserve"> on </w:t>
      </w:r>
      <w:r w:rsidRPr="00754172">
        <w:t xml:space="preserve">page </w:t>
      </w:r>
      <w:r w:rsidRPr="00754172">
        <w:fldChar w:fldCharType="begin"/>
      </w:r>
      <w:r w:rsidRPr="00754172">
        <w:instrText xml:space="preserve"> PAGEREF _Ref412620859 \h </w:instrText>
      </w:r>
      <w:r w:rsidRPr="00754172">
        <w:fldChar w:fldCharType="separate"/>
      </w:r>
      <w:r w:rsidR="00BB0E3E">
        <w:rPr>
          <w:noProof/>
        </w:rPr>
        <w:t>40</w:t>
      </w:r>
      <w:r w:rsidRPr="00754172">
        <w:fldChar w:fldCharType="end"/>
      </w:r>
      <w:r w:rsidRPr="000F4655">
        <w:t>.</w:t>
      </w:r>
      <w:r w:rsidR="007F7C7C">
        <w:t xml:space="preserve"> F</w:t>
      </w:r>
      <w:r>
        <w:t>ees were not proposed by the applicants.</w:t>
      </w:r>
    </w:p>
    <w:p w14:paraId="670D4FEA" w14:textId="77777777" w:rsidR="00D73BE9" w:rsidRDefault="005602D3" w:rsidP="0096428C">
      <w:pPr>
        <w:pStyle w:val="ESNumberedSectionHeading"/>
        <w:ind w:left="993" w:hanging="993"/>
      </w:pPr>
      <w:bookmarkStart w:id="50" w:name="_Toc395200744"/>
      <w:bookmarkStart w:id="51" w:name="_Toc418179866"/>
      <w:bookmarkEnd w:id="46"/>
      <w:bookmarkEnd w:id="47"/>
      <w:r w:rsidRPr="00183E4D">
        <w:t xml:space="preserve">Comparator </w:t>
      </w:r>
      <w:r w:rsidR="00630910" w:rsidRPr="00183E4D">
        <w:t>D</w:t>
      </w:r>
      <w:r w:rsidRPr="00183E4D">
        <w:t>etail</w:t>
      </w:r>
      <w:r w:rsidR="00753141" w:rsidRPr="00183E4D">
        <w:t>s</w:t>
      </w:r>
      <w:bookmarkEnd w:id="50"/>
      <w:bookmarkEnd w:id="51"/>
      <w:r w:rsidRPr="00183E4D">
        <w:t xml:space="preserve"> </w:t>
      </w:r>
    </w:p>
    <w:p w14:paraId="04BFC2B7" w14:textId="5096D405" w:rsidR="008A5233" w:rsidRPr="00183E4D" w:rsidRDefault="000169F7" w:rsidP="00B72480">
      <w:r>
        <w:t xml:space="preserve">A </w:t>
      </w:r>
      <w:r w:rsidR="007F7C7C">
        <w:t xml:space="preserve">full comparative assessment of the safety and clinical effectiveness of </w:t>
      </w:r>
      <w:r w:rsidR="007F7C7C" w:rsidRPr="00D353B3">
        <w:t>CFTR</w:t>
      </w:r>
      <w:r w:rsidR="007F7C7C">
        <w:t xml:space="preserve"> mutation testing was conducted for one of the population groups (group </w:t>
      </w:r>
      <w:r w:rsidR="00177ADF">
        <w:t>(</w:t>
      </w:r>
      <w:r w:rsidR="007F7C7C">
        <w:t>2</w:t>
      </w:r>
      <w:r w:rsidR="00177ADF">
        <w:t>)</w:t>
      </w:r>
      <w:r w:rsidR="007F7C7C">
        <w:t xml:space="preserve">: prenatal diagnosis). Currently, parents receiving the test for prenatal diagnostic purposes would have to pay for </w:t>
      </w:r>
      <w:r w:rsidR="007F7C7C" w:rsidRPr="00D353B3">
        <w:t>CFTR</w:t>
      </w:r>
      <w:r w:rsidR="007F7C7C">
        <w:t xml:space="preserve"> mutation testing themselves (in the private system). If the test was not affordable, there would be no prenatal genetic testing and the diagnosis would be made after the child’s birth through existing neonatal programs. The selected comparator for this assessment of population group </w:t>
      </w:r>
      <w:r w:rsidR="00177ADF">
        <w:t>(</w:t>
      </w:r>
      <w:r w:rsidR="007F7C7C">
        <w:t>2</w:t>
      </w:r>
      <w:r w:rsidR="00177ADF">
        <w:t>)</w:t>
      </w:r>
      <w:r w:rsidR="007F7C7C">
        <w:t xml:space="preserve"> was ‘no prenatal genetic testing’.</w:t>
      </w:r>
    </w:p>
    <w:p w14:paraId="4B9D9FE0" w14:textId="77777777" w:rsidR="008C7152" w:rsidRPr="00183E4D" w:rsidRDefault="008C7152" w:rsidP="0096428C">
      <w:pPr>
        <w:pStyle w:val="ESNumberedSectionHeading"/>
        <w:ind w:left="927" w:hanging="927"/>
      </w:pPr>
      <w:bookmarkStart w:id="52" w:name="_Toc395200745"/>
      <w:bookmarkStart w:id="53" w:name="_Toc418179867"/>
      <w:r w:rsidRPr="00183E4D">
        <w:lastRenderedPageBreak/>
        <w:t xml:space="preserve">Clinical </w:t>
      </w:r>
      <w:r w:rsidR="00630910" w:rsidRPr="00183E4D">
        <w:t xml:space="preserve">Use of the </w:t>
      </w:r>
      <w:bookmarkEnd w:id="52"/>
      <w:r w:rsidR="0071212A">
        <w:t>Test</w:t>
      </w:r>
      <w:bookmarkEnd w:id="53"/>
    </w:p>
    <w:p w14:paraId="790B3375" w14:textId="0F9A5CFB" w:rsidR="00613152" w:rsidRDefault="009E2715" w:rsidP="00685B38">
      <w:r>
        <w:t>The ways in which</w:t>
      </w:r>
      <w:r w:rsidR="00EE0E39">
        <w:t xml:space="preserve"> the tests are used in the three different population groups are shown in the clinical management </w:t>
      </w:r>
      <w:r w:rsidR="00EE0E39" w:rsidRPr="000F4655">
        <w:t xml:space="preserve">algorithms in </w:t>
      </w:r>
      <w:r w:rsidR="00A6413E">
        <w:t>Figure 2, Figure 3 and Figure 4</w:t>
      </w:r>
      <w:r w:rsidR="0090134D">
        <w:t xml:space="preserve"> on </w:t>
      </w:r>
      <w:r w:rsidR="0090134D" w:rsidRPr="00754172">
        <w:t>page</w:t>
      </w:r>
      <w:r w:rsidR="00177ADF" w:rsidRPr="00754172">
        <w:t>s</w:t>
      </w:r>
      <w:r w:rsidR="00754172" w:rsidRPr="00754172">
        <w:t xml:space="preserve"> </w:t>
      </w:r>
      <w:r w:rsidR="00754172" w:rsidRPr="00754172">
        <w:fldChar w:fldCharType="begin"/>
      </w:r>
      <w:r w:rsidR="00754172" w:rsidRPr="00754172">
        <w:instrText xml:space="preserve"> PAGEREF _Ref422323359 \h </w:instrText>
      </w:r>
      <w:r w:rsidR="00754172" w:rsidRPr="00754172">
        <w:fldChar w:fldCharType="separate"/>
      </w:r>
      <w:r w:rsidR="00BB0E3E">
        <w:rPr>
          <w:noProof/>
        </w:rPr>
        <w:t>44</w:t>
      </w:r>
      <w:r w:rsidR="00754172" w:rsidRPr="00754172">
        <w:fldChar w:fldCharType="end"/>
      </w:r>
      <w:r w:rsidR="00577393" w:rsidRPr="00754172">
        <w:t>–</w:t>
      </w:r>
      <w:r w:rsidR="0090134D" w:rsidRPr="00754172">
        <w:fldChar w:fldCharType="begin"/>
      </w:r>
      <w:r w:rsidR="0090134D" w:rsidRPr="00754172">
        <w:instrText xml:space="preserve"> PAGEREF _Ref412548502 \h </w:instrText>
      </w:r>
      <w:r w:rsidR="0090134D" w:rsidRPr="00754172">
        <w:fldChar w:fldCharType="separate"/>
      </w:r>
      <w:r w:rsidR="00BB0E3E">
        <w:rPr>
          <w:noProof/>
        </w:rPr>
        <w:t>46</w:t>
      </w:r>
      <w:r w:rsidR="0090134D" w:rsidRPr="00754172">
        <w:fldChar w:fldCharType="end"/>
      </w:r>
      <w:r w:rsidR="00EE0E39" w:rsidRPr="000F4655">
        <w:t>.</w:t>
      </w:r>
    </w:p>
    <w:p w14:paraId="3DC1FC9A" w14:textId="77777777" w:rsidR="00FB6A8A" w:rsidRPr="00183E4D" w:rsidRDefault="00630910" w:rsidP="0096428C">
      <w:pPr>
        <w:pStyle w:val="ESNumberedSectionHeading"/>
        <w:ind w:left="927" w:hanging="927"/>
      </w:pPr>
      <w:bookmarkStart w:id="54" w:name="_Toc395200746"/>
      <w:bookmarkStart w:id="55" w:name="_Toc418179868"/>
      <w:bookmarkStart w:id="56" w:name="_Toc379118058"/>
      <w:bookmarkStart w:id="57" w:name="_Toc379118250"/>
      <w:bookmarkStart w:id="58" w:name="_Toc381796434"/>
      <w:r w:rsidRPr="00183E4D">
        <w:t>Key Differences in the D</w:t>
      </w:r>
      <w:r w:rsidR="00FB6A8A" w:rsidRPr="00183E4D">
        <w:t xml:space="preserve">elivery of the </w:t>
      </w:r>
      <w:r w:rsidRPr="00183E4D">
        <w:t>Proposed Medical Service and the Main C</w:t>
      </w:r>
      <w:r w:rsidR="00FB6A8A" w:rsidRPr="00183E4D">
        <w:t>omparator</w:t>
      </w:r>
      <w:bookmarkEnd w:id="54"/>
      <w:bookmarkEnd w:id="55"/>
      <w:r w:rsidR="00FB6A8A" w:rsidRPr="00183E4D">
        <w:t xml:space="preserve"> </w:t>
      </w:r>
    </w:p>
    <w:p w14:paraId="1A0E85E7" w14:textId="3F2D79AE" w:rsidR="007F7C7C" w:rsidRPr="007F7C7C" w:rsidRDefault="007F7C7C" w:rsidP="007F7C7C">
      <w:bookmarkStart w:id="59" w:name="_Toc395200747"/>
      <w:r w:rsidRPr="007F7C7C">
        <w:t xml:space="preserve">In couples that are pregnant with a fetus that is identified to be at risk of CF, mutation testing of the </w:t>
      </w:r>
      <w:r w:rsidRPr="00D353B3">
        <w:rPr>
          <w:i/>
        </w:rPr>
        <w:t>CFTR</w:t>
      </w:r>
      <w:r w:rsidRPr="007F7C7C">
        <w:t xml:space="preserve"> gene provides knowledge regarding whether at birth the infant would have CF. This information may further inform a decision to terminate the pregnancy if the fetus is found to be affected. In couples planning to have a child, mutation testing allows carrier couples the option of conceiving through the use of in</w:t>
      </w:r>
      <w:r w:rsidR="000C4692">
        <w:t>-</w:t>
      </w:r>
      <w:r w:rsidRPr="007F7C7C">
        <w:t>vitro fertilisation (IVF) and preimplantation genetic diagnosis (PGD).</w:t>
      </w:r>
    </w:p>
    <w:p w14:paraId="01B308DF" w14:textId="77777777" w:rsidR="002440A5" w:rsidRPr="00183E4D" w:rsidRDefault="00630910" w:rsidP="0096428C">
      <w:pPr>
        <w:pStyle w:val="ESNumberedSectionHeading"/>
        <w:ind w:left="927" w:hanging="927"/>
      </w:pPr>
      <w:bookmarkStart w:id="60" w:name="_Toc418179869"/>
      <w:r w:rsidRPr="00183E4D">
        <w:t>Clinical C</w:t>
      </w:r>
      <w:r w:rsidR="002440A5" w:rsidRPr="00183E4D">
        <w:t>laim</w:t>
      </w:r>
      <w:bookmarkEnd w:id="59"/>
      <w:bookmarkEnd w:id="60"/>
    </w:p>
    <w:p w14:paraId="4C680E6E" w14:textId="4D879452" w:rsidR="00246620" w:rsidRDefault="00CB5EBF" w:rsidP="00B72480">
      <w:r>
        <w:t>The applicant claimed</w:t>
      </w:r>
      <w:r w:rsidRPr="008210FE">
        <w:t xml:space="preserve"> that</w:t>
      </w:r>
      <w:r w:rsidR="007F7C7C">
        <w:t xml:space="preserve"> the</w:t>
      </w:r>
      <w:r w:rsidRPr="008210FE">
        <w:t xml:space="preserve"> identification of </w:t>
      </w:r>
      <w:r w:rsidR="00FD37D3" w:rsidRPr="00FD37D3">
        <w:t>CFTR</w:t>
      </w:r>
      <w:r w:rsidRPr="008210FE">
        <w:t xml:space="preserve"> mutations is important for providing information</w:t>
      </w:r>
      <w:r>
        <w:t xml:space="preserve"> at a molecular level</w:t>
      </w:r>
      <w:r w:rsidRPr="008210FE">
        <w:t xml:space="preserve"> about prognosis as a result of genotype</w:t>
      </w:r>
      <w:r w:rsidR="00B86038">
        <w:t>–</w:t>
      </w:r>
      <w:r w:rsidRPr="008210FE">
        <w:t>phenotype correlation.</w:t>
      </w:r>
      <w:r>
        <w:t xml:space="preserve"> Prenatal testing could aid the d</w:t>
      </w:r>
      <w:r w:rsidR="009E2715">
        <w:t>ecision whether to terminate a</w:t>
      </w:r>
      <w:r>
        <w:t xml:space="preserve"> pregnancy. Furth</w:t>
      </w:r>
      <w:r w:rsidR="002025C6">
        <w:t>ermore, patients aged 6</w:t>
      </w:r>
      <w:r w:rsidR="00B86038">
        <w:t> </w:t>
      </w:r>
      <w:r w:rsidR="002025C6">
        <w:t>years and</w:t>
      </w:r>
      <w:r>
        <w:t xml:space="preserve"> older </w:t>
      </w:r>
      <w:r w:rsidR="009E2715">
        <w:t>who are identified as having at least one</w:t>
      </w:r>
      <w:r>
        <w:t xml:space="preserve"> G551D mutation are eligible for the drug </w:t>
      </w:r>
      <w:r w:rsidR="009E2715">
        <w:t xml:space="preserve">ivacaftor (Kalydeco®) </w:t>
      </w:r>
      <w:r>
        <w:t>through the Pharmaceutical Benefits Scheme (PBS).</w:t>
      </w:r>
    </w:p>
    <w:p w14:paraId="4EFE6D60" w14:textId="6551EC32" w:rsidR="00C96FE9" w:rsidRPr="00183E4D" w:rsidRDefault="00AE1CBE" w:rsidP="00DF343F">
      <w:pPr>
        <w:pStyle w:val="Heading3"/>
      </w:pPr>
      <w:bookmarkStart w:id="61" w:name="_Toc395200748"/>
      <w:bookmarkStart w:id="62" w:name="_Toc418179870"/>
      <w:r w:rsidRPr="00183E4D">
        <w:t>A.8</w:t>
      </w:r>
      <w:r w:rsidR="00FC10F8">
        <w:t>–</w:t>
      </w:r>
      <w:r w:rsidRPr="00183E4D">
        <w:t>B.1</w:t>
      </w:r>
      <w:r w:rsidRPr="00183E4D">
        <w:tab/>
      </w:r>
      <w:r w:rsidR="00630910" w:rsidRPr="00183E4D">
        <w:rPr>
          <w:rStyle w:val="Heading3Char"/>
          <w:b/>
          <w:smallCaps/>
        </w:rPr>
        <w:t>Approach T</w:t>
      </w:r>
      <w:r w:rsidRPr="00183E4D">
        <w:t xml:space="preserve">aken to the </w:t>
      </w:r>
      <w:r w:rsidR="00630910" w:rsidRPr="00183E4D">
        <w:rPr>
          <w:rStyle w:val="Heading3Char"/>
          <w:b/>
          <w:smallCaps/>
        </w:rPr>
        <w:t>E</w:t>
      </w:r>
      <w:r w:rsidRPr="00183E4D">
        <w:t xml:space="preserve">vidence </w:t>
      </w:r>
      <w:r w:rsidR="00630910" w:rsidRPr="00183E4D">
        <w:rPr>
          <w:rStyle w:val="Heading3Char"/>
          <w:b/>
          <w:smallCaps/>
        </w:rPr>
        <w:t>A</w:t>
      </w:r>
      <w:r w:rsidRPr="00183E4D">
        <w:t>ssessment</w:t>
      </w:r>
      <w:bookmarkEnd w:id="61"/>
      <w:bookmarkEnd w:id="62"/>
    </w:p>
    <w:p w14:paraId="11B6DD6F" w14:textId="07CAFB52" w:rsidR="00F32C58" w:rsidRDefault="00F32C58" w:rsidP="00DF343F">
      <w:r>
        <w:t xml:space="preserve">The approach for the systematic review for the different population groups is shown in </w:t>
      </w:r>
      <w:r>
        <w:fldChar w:fldCharType="begin"/>
      </w:r>
      <w:r>
        <w:instrText xml:space="preserve"> REF _Ref401920123 \h </w:instrText>
      </w:r>
      <w:r>
        <w:fldChar w:fldCharType="separate"/>
      </w:r>
      <w:r w:rsidR="00BB0E3E">
        <w:t xml:space="preserve">Table </w:t>
      </w:r>
      <w:r w:rsidR="00BB0E3E">
        <w:rPr>
          <w:noProof/>
        </w:rPr>
        <w:t>9</w:t>
      </w:r>
      <w:r>
        <w:fldChar w:fldCharType="end"/>
      </w:r>
      <w:r w:rsidR="000E587A">
        <w:t xml:space="preserve"> on </w:t>
      </w:r>
      <w:r w:rsidR="000E587A" w:rsidRPr="00E10116">
        <w:t xml:space="preserve">page </w:t>
      </w:r>
      <w:r w:rsidR="000E587A" w:rsidRPr="00E10116">
        <w:fldChar w:fldCharType="begin"/>
      </w:r>
      <w:r w:rsidR="000E587A" w:rsidRPr="00E10116">
        <w:instrText xml:space="preserve"> PAGEREF _Ref417470648 \h </w:instrText>
      </w:r>
      <w:r w:rsidR="000E587A" w:rsidRPr="00E10116">
        <w:fldChar w:fldCharType="separate"/>
      </w:r>
      <w:r w:rsidR="00BB0E3E">
        <w:rPr>
          <w:noProof/>
        </w:rPr>
        <w:t>48</w:t>
      </w:r>
      <w:r w:rsidR="000E587A" w:rsidRPr="00E10116">
        <w:fldChar w:fldCharType="end"/>
      </w:r>
      <w:r w:rsidR="00760F7A">
        <w:t xml:space="preserve"> and in the PICO boxes in section A.8</w:t>
      </w:r>
      <w:r>
        <w:t>.</w:t>
      </w:r>
      <w:r w:rsidR="0097218D">
        <w:t xml:space="preserve"> Population groups </w:t>
      </w:r>
      <w:r w:rsidR="00B86038">
        <w:t>(</w:t>
      </w:r>
      <w:r w:rsidR="0097218D">
        <w:t>1</w:t>
      </w:r>
      <w:r w:rsidR="00B86038">
        <w:t>)</w:t>
      </w:r>
      <w:r w:rsidR="0097218D">
        <w:t xml:space="preserve"> and </w:t>
      </w:r>
      <w:r w:rsidR="00B86038">
        <w:t>(</w:t>
      </w:r>
      <w:r w:rsidR="0097218D">
        <w:t>3</w:t>
      </w:r>
      <w:r w:rsidR="00B86038">
        <w:t>)</w:t>
      </w:r>
      <w:r w:rsidR="0097218D">
        <w:t xml:space="preserve"> were assessed in terms of test accuracy alone because</w:t>
      </w:r>
      <w:r w:rsidR="004F40CE">
        <w:t xml:space="preserve"> the health benefit </w:t>
      </w:r>
      <w:r w:rsidR="00B86038">
        <w:t xml:space="preserve">would </w:t>
      </w:r>
      <w:r w:rsidR="004F40CE">
        <w:t xml:space="preserve">be assessed in the submission to </w:t>
      </w:r>
      <w:r w:rsidR="009927E1">
        <w:t xml:space="preserve">the </w:t>
      </w:r>
      <w:r w:rsidR="009927E1" w:rsidRPr="009B120E">
        <w:rPr>
          <w:rFonts w:eastAsiaTheme="minorEastAsia"/>
        </w:rPr>
        <w:t>Pharmaceutical Benefits Advisory Committee (</w:t>
      </w:r>
      <w:r w:rsidR="004F40CE" w:rsidRPr="006857F3">
        <w:t>P</w:t>
      </w:r>
      <w:r w:rsidR="004F40CE">
        <w:t>BAC</w:t>
      </w:r>
      <w:r w:rsidR="009927E1">
        <w:t>)</w:t>
      </w:r>
      <w:r w:rsidR="004F40CE">
        <w:t xml:space="preserve"> for ivacaftor</w:t>
      </w:r>
      <w:r w:rsidR="00C217AB">
        <w:t>,</w:t>
      </w:r>
      <w:r w:rsidR="004F40CE">
        <w:t xml:space="preserve"> and</w:t>
      </w:r>
      <w:r w:rsidR="0097218D">
        <w:t xml:space="preserve"> the benefit of testing for reproductive planning </w:t>
      </w:r>
      <w:r w:rsidR="00C217AB">
        <w:t xml:space="preserve">would </w:t>
      </w:r>
      <w:r w:rsidR="0097218D">
        <w:t xml:space="preserve">be assessed in the contracted assessment of </w:t>
      </w:r>
      <w:r w:rsidR="00B86038">
        <w:t>PGD</w:t>
      </w:r>
      <w:r w:rsidR="0097218D">
        <w:t xml:space="preserve"> (</w:t>
      </w:r>
      <w:r w:rsidR="00B86038">
        <w:t xml:space="preserve">see </w:t>
      </w:r>
      <w:r w:rsidR="0097218D">
        <w:t xml:space="preserve">MSAC </w:t>
      </w:r>
      <w:r w:rsidR="00B86038">
        <w:t xml:space="preserve">application no. </w:t>
      </w:r>
      <w:r w:rsidR="0097218D">
        <w:t>1165)</w:t>
      </w:r>
      <w:r w:rsidR="004F40CE">
        <w:t xml:space="preserve">. PASC agreed </w:t>
      </w:r>
      <w:r w:rsidR="00057C35">
        <w:t xml:space="preserve">that </w:t>
      </w:r>
      <w:r w:rsidR="004F40CE">
        <w:t>this need not be re-examined specifically for CFTR.</w:t>
      </w:r>
      <w:r>
        <w:t xml:space="preserve"> </w:t>
      </w:r>
      <w:r w:rsidR="00AA562E">
        <w:t>The medical literature was searched to identify relevant studies and systematic reviews</w:t>
      </w:r>
      <w:r w:rsidR="00057C35">
        <w:t>,</w:t>
      </w:r>
      <w:r w:rsidR="00AA562E">
        <w:t xml:space="preserve"> and a linked evidence approach was used</w:t>
      </w:r>
      <w:r w:rsidR="004F40CE">
        <w:t xml:space="preserve"> to guide synthesis of the collated evidence</w:t>
      </w:r>
      <w:r w:rsidR="00AA562E">
        <w:t>. Additional searches were done to assess the safety of amniocentesis and chorionic villus sampling</w:t>
      </w:r>
      <w:r w:rsidR="00C217AB">
        <w:t xml:space="preserve"> (CVS)</w:t>
      </w:r>
      <w:r w:rsidR="00057C35">
        <w:t>,</w:t>
      </w:r>
      <w:r w:rsidR="00AA562E">
        <w:t xml:space="preserve"> and</w:t>
      </w:r>
      <w:r w:rsidR="00DF5916">
        <w:t xml:space="preserve"> </w:t>
      </w:r>
      <w:r w:rsidR="00AA562E">
        <w:t>the health implications of</w:t>
      </w:r>
      <w:r w:rsidR="004F40CE">
        <w:t xml:space="preserve"> possible</w:t>
      </w:r>
      <w:r w:rsidR="00AA562E">
        <w:t xml:space="preserve"> management changes due to the absence of CF-specific studies.</w:t>
      </w:r>
    </w:p>
    <w:p w14:paraId="2F59B1D5" w14:textId="5B76F12E" w:rsidR="008C7152" w:rsidRPr="00183E4D" w:rsidRDefault="00A36EB9" w:rsidP="00DF343F">
      <w:pPr>
        <w:pStyle w:val="Heading3"/>
      </w:pPr>
      <w:bookmarkStart w:id="63" w:name="_Toc395200749"/>
      <w:bookmarkStart w:id="64" w:name="_Toc418179871"/>
      <w:r w:rsidRPr="00183E4D">
        <w:t>B.2</w:t>
      </w:r>
      <w:r w:rsidR="00FC10F8">
        <w:t>–</w:t>
      </w:r>
      <w:r w:rsidRPr="00183E4D">
        <w:t>B.5</w:t>
      </w:r>
      <w:r w:rsidRPr="00183E4D">
        <w:tab/>
      </w:r>
      <w:r w:rsidR="00630910" w:rsidRPr="00183E4D">
        <w:rPr>
          <w:rStyle w:val="Heading3Char"/>
          <w:b/>
          <w:smallCaps/>
        </w:rPr>
        <w:t>Characteristics of the Evidence</w:t>
      </w:r>
      <w:r w:rsidR="00057C35">
        <w:rPr>
          <w:rStyle w:val="Heading3Char"/>
          <w:b/>
          <w:smallCaps/>
        </w:rPr>
        <w:t>-</w:t>
      </w:r>
      <w:r w:rsidR="00C37CF0" w:rsidRPr="00C54F42">
        <w:rPr>
          <w:rStyle w:val="Heading3Char"/>
          <w:b/>
          <w:bCs/>
          <w:smallCaps/>
        </w:rPr>
        <w:t>b</w:t>
      </w:r>
      <w:r w:rsidRPr="00183E4D">
        <w:rPr>
          <w:rStyle w:val="Heading3Char"/>
          <w:b/>
          <w:smallCaps/>
        </w:rPr>
        <w:t>ase</w:t>
      </w:r>
      <w:bookmarkEnd w:id="56"/>
      <w:bookmarkEnd w:id="57"/>
      <w:bookmarkEnd w:id="58"/>
      <w:bookmarkEnd w:id="63"/>
      <w:bookmarkEnd w:id="64"/>
    </w:p>
    <w:p w14:paraId="1F080F4C" w14:textId="5008A3ED" w:rsidR="00220420" w:rsidRDefault="007A051B" w:rsidP="00220420">
      <w:r>
        <w:t xml:space="preserve">No studies were identified that </w:t>
      </w:r>
      <w:r w:rsidR="004F40CE">
        <w:t>met the PICO criteria for directly</w:t>
      </w:r>
      <w:r>
        <w:t xml:space="preserve"> </w:t>
      </w:r>
      <w:r w:rsidR="004F40CE">
        <w:t>assessing the clinical eff</w:t>
      </w:r>
      <w:r>
        <w:t xml:space="preserve">ectiveness or safety of (prenatal) </w:t>
      </w:r>
      <w:r w:rsidR="00FD37D3" w:rsidRPr="00FD37D3">
        <w:t>CFTR</w:t>
      </w:r>
      <w:r>
        <w:t xml:space="preserve"> mutation testing.</w:t>
      </w:r>
      <w:r w:rsidR="007A5D24">
        <w:t xml:space="preserve"> </w:t>
      </w:r>
      <w:r w:rsidR="001C67AA">
        <w:t>Detailed characteristics of the studies linked through a chain of evidence to estimate the clinical effectiveness of CFTR mutation testing</w:t>
      </w:r>
      <w:r w:rsidR="007A5D24">
        <w:t xml:space="preserve"> can be found in section B.4 and </w:t>
      </w:r>
      <w:r w:rsidR="007A5D24">
        <w:fldChar w:fldCharType="begin"/>
      </w:r>
      <w:r w:rsidR="007A5D24">
        <w:instrText xml:space="preserve"> REF _Ref364237249 \h  \* MERGEFORMAT </w:instrText>
      </w:r>
      <w:r w:rsidR="007A5D24">
        <w:fldChar w:fldCharType="separate"/>
      </w:r>
      <w:r w:rsidR="00BB0E3E" w:rsidRPr="00183E4D">
        <w:t xml:space="preserve">Appendix </w:t>
      </w:r>
      <w:r w:rsidR="00BB0E3E">
        <w:t>C</w:t>
      </w:r>
      <w:r w:rsidR="007A5D24">
        <w:fldChar w:fldCharType="end"/>
      </w:r>
      <w:r w:rsidR="007A5D24">
        <w:t xml:space="preserve">, </w:t>
      </w:r>
      <w:r w:rsidR="007A5D24" w:rsidRPr="00005666">
        <w:fldChar w:fldCharType="begin"/>
      </w:r>
      <w:r w:rsidR="007A5D24">
        <w:instrText xml:space="preserve"> REF _Ref412211481 \h  \* MERGEFORMAT </w:instrText>
      </w:r>
      <w:r w:rsidR="007A5D24" w:rsidRPr="00005666">
        <w:fldChar w:fldCharType="separate"/>
      </w:r>
      <w:r w:rsidR="00BB0E3E" w:rsidRPr="001A4A46">
        <w:t xml:space="preserve">Appendix </w:t>
      </w:r>
      <w:r w:rsidR="00BB0E3E">
        <w:t>D</w:t>
      </w:r>
      <w:r w:rsidR="007A5D24" w:rsidRPr="00005666">
        <w:fldChar w:fldCharType="end"/>
      </w:r>
      <w:r w:rsidR="007A5D24" w:rsidRPr="00005666">
        <w:t xml:space="preserve"> and </w:t>
      </w:r>
      <w:r w:rsidR="007A5D24" w:rsidRPr="00005666">
        <w:fldChar w:fldCharType="begin"/>
      </w:r>
      <w:r w:rsidR="007A5D24" w:rsidRPr="00005666">
        <w:instrText xml:space="preserve"> REF _Ref412106201 \h </w:instrText>
      </w:r>
      <w:r w:rsidR="007A5D24">
        <w:instrText xml:space="preserve"> \* MERGEFORMAT </w:instrText>
      </w:r>
      <w:r w:rsidR="007A5D24" w:rsidRPr="00005666">
        <w:fldChar w:fldCharType="separate"/>
      </w:r>
      <w:r w:rsidR="00BB0E3E" w:rsidRPr="001A4A46">
        <w:t xml:space="preserve">Appendix </w:t>
      </w:r>
      <w:r w:rsidR="00BB0E3E">
        <w:t>E</w:t>
      </w:r>
      <w:r w:rsidR="007A5D24" w:rsidRPr="00005666">
        <w:fldChar w:fldCharType="end"/>
      </w:r>
      <w:r w:rsidR="007A5D24">
        <w:t xml:space="preserve">. </w:t>
      </w:r>
      <w:r w:rsidR="001C67AA">
        <w:t>Section B.3 provides</w:t>
      </w:r>
      <w:r w:rsidR="003B093D">
        <w:t xml:space="preserve"> information on</w:t>
      </w:r>
      <w:r w:rsidR="009E2715">
        <w:t xml:space="preserve"> the</w:t>
      </w:r>
      <w:r w:rsidR="003B093D">
        <w:t xml:space="preserve"> risk of bias of the included studies. </w:t>
      </w:r>
    </w:p>
    <w:p w14:paraId="101AAE88" w14:textId="7685A3C5" w:rsidR="001C67AA" w:rsidRDefault="00220420" w:rsidP="001C67AA">
      <w:r>
        <w:lastRenderedPageBreak/>
        <w:t xml:space="preserve">A summary of the risk of bias </w:t>
      </w:r>
      <w:r w:rsidR="001C67AA">
        <w:t>in</w:t>
      </w:r>
      <w:r>
        <w:t xml:space="preserve"> the</w:t>
      </w:r>
      <w:r w:rsidR="001C67AA">
        <w:t xml:space="preserve"> test</w:t>
      </w:r>
      <w:r>
        <w:t xml:space="preserve"> accuracy studies</w:t>
      </w:r>
      <w:r w:rsidR="009E2715">
        <w:t xml:space="preserve">, </w:t>
      </w:r>
      <w:r>
        <w:t xml:space="preserve">determined using the QUADAS-2 </w:t>
      </w:r>
      <w:r w:rsidR="000E587A">
        <w:t>tool,</w:t>
      </w:r>
      <w:r w:rsidR="001C67AA">
        <w:t xml:space="preserve"> is given</w:t>
      </w:r>
      <w:r>
        <w:t xml:space="preserve"> in section B.3.i and </w:t>
      </w:r>
      <w:r w:rsidRPr="008F0174">
        <w:t xml:space="preserve">in </w:t>
      </w:r>
      <w:r>
        <w:rPr>
          <w:highlight w:val="yellow"/>
        </w:rPr>
        <w:fldChar w:fldCharType="begin"/>
      </w:r>
      <w:r>
        <w:instrText xml:space="preserve"> REF _Ref412106548 \h </w:instrText>
      </w:r>
      <w:r>
        <w:rPr>
          <w:highlight w:val="yellow"/>
        </w:rPr>
      </w:r>
      <w:r>
        <w:rPr>
          <w:highlight w:val="yellow"/>
        </w:rPr>
        <w:fldChar w:fldCharType="separate"/>
      </w:r>
      <w:r w:rsidR="00BB0E3E">
        <w:t xml:space="preserve">Table </w:t>
      </w:r>
      <w:r w:rsidR="00BB0E3E">
        <w:rPr>
          <w:noProof/>
        </w:rPr>
        <w:t>21</w:t>
      </w:r>
      <w:r>
        <w:rPr>
          <w:highlight w:val="yellow"/>
        </w:rPr>
        <w:fldChar w:fldCharType="end"/>
      </w:r>
      <w:r w:rsidRPr="008F0174">
        <w:t xml:space="preserve"> to </w:t>
      </w:r>
      <w:r>
        <w:rPr>
          <w:highlight w:val="yellow"/>
        </w:rPr>
        <w:fldChar w:fldCharType="begin"/>
      </w:r>
      <w:r>
        <w:instrText xml:space="preserve"> REF _Ref412106559 \h </w:instrText>
      </w:r>
      <w:r>
        <w:rPr>
          <w:highlight w:val="yellow"/>
        </w:rPr>
      </w:r>
      <w:r>
        <w:rPr>
          <w:highlight w:val="yellow"/>
        </w:rPr>
        <w:fldChar w:fldCharType="separate"/>
      </w:r>
      <w:r w:rsidR="00BB0E3E">
        <w:t xml:space="preserve">Table </w:t>
      </w:r>
      <w:r w:rsidR="00BB0E3E">
        <w:rPr>
          <w:noProof/>
        </w:rPr>
        <w:t>30</w:t>
      </w:r>
      <w:r>
        <w:rPr>
          <w:highlight w:val="yellow"/>
        </w:rPr>
        <w:fldChar w:fldCharType="end"/>
      </w:r>
      <w:r>
        <w:t>.</w:t>
      </w:r>
      <w:r w:rsidR="001C67AA">
        <w:t xml:space="preserve"> Summaries</w:t>
      </w:r>
      <w:r w:rsidR="001C67AA" w:rsidRPr="008F0174">
        <w:t xml:space="preserve"> of the characteristics of the diagnostic accuracy studies are shown in</w:t>
      </w:r>
      <w:r w:rsidR="001C67AA">
        <w:t xml:space="preserve"> </w:t>
      </w:r>
      <w:r w:rsidR="001C67AA">
        <w:fldChar w:fldCharType="begin"/>
      </w:r>
      <w:r w:rsidR="001C67AA">
        <w:instrText xml:space="preserve"> REF _Ref413315598 \h </w:instrText>
      </w:r>
      <w:r w:rsidR="001C67AA">
        <w:fldChar w:fldCharType="separate"/>
      </w:r>
      <w:r w:rsidR="00BB0E3E">
        <w:t xml:space="preserve">Table </w:t>
      </w:r>
      <w:r w:rsidR="00BB0E3E">
        <w:rPr>
          <w:noProof/>
        </w:rPr>
        <w:t>31</w:t>
      </w:r>
      <w:r w:rsidR="001C67AA">
        <w:fldChar w:fldCharType="end"/>
      </w:r>
      <w:r w:rsidR="001C67AA">
        <w:t xml:space="preserve"> </w:t>
      </w:r>
      <w:r w:rsidR="001C67AA" w:rsidRPr="008F0174">
        <w:t>to</w:t>
      </w:r>
      <w:r w:rsidR="001C67AA">
        <w:t xml:space="preserve"> </w:t>
      </w:r>
      <w:r w:rsidR="001C67AA">
        <w:fldChar w:fldCharType="begin"/>
      </w:r>
      <w:r w:rsidR="001C67AA">
        <w:instrText xml:space="preserve"> REF _Ref413315650 \h </w:instrText>
      </w:r>
      <w:r w:rsidR="001C67AA">
        <w:fldChar w:fldCharType="separate"/>
      </w:r>
      <w:r w:rsidR="00BB0E3E">
        <w:t xml:space="preserve">Table </w:t>
      </w:r>
      <w:r w:rsidR="00BB0E3E">
        <w:rPr>
          <w:noProof/>
        </w:rPr>
        <w:t>40</w:t>
      </w:r>
      <w:r w:rsidR="001C67AA">
        <w:fldChar w:fldCharType="end"/>
      </w:r>
      <w:r w:rsidR="001C67AA">
        <w:t xml:space="preserve">. The key outcome assessed was clinical sensitivity, with some studies reporting yield or failure rates. As the majority of pregnancies with a fetus found to have </w:t>
      </w:r>
      <w:r w:rsidR="009F6E83">
        <w:t xml:space="preserve">two </w:t>
      </w:r>
      <w:r w:rsidR="001C67AA">
        <w:t xml:space="preserve">CFTR mutations were terminated, results based on a clinical diagnosis after birth could not be determined. Therefore, the specificity and false positive rate could not be reported. </w:t>
      </w:r>
    </w:p>
    <w:p w14:paraId="12FB2C3A" w14:textId="58B8E991" w:rsidR="001C67AA" w:rsidRDefault="001C67AA" w:rsidP="001C67AA">
      <w:r>
        <w:t xml:space="preserve">Thirteen studies met the study eligibility criteria for assessing the accuracy of tests in patients with classical CF symptoms; they were mostly level III-2 studies of variable quality. Nine studies, all level III-2 and of variable quality, were included to assess the performance of CFTR mutation testing in men with CBAVD. No studies were identified to determine the accuracy of </w:t>
      </w:r>
      <w:r w:rsidRPr="00D353B3">
        <w:t>CFTR</w:t>
      </w:r>
      <w:r>
        <w:t xml:space="preserve"> mutation testing in partners of CF carriers or parents with a fetus suspected of CF; however, </w:t>
      </w:r>
      <w:r w:rsidR="00C217AB">
        <w:t xml:space="preserve">1 </w:t>
      </w:r>
      <w:r>
        <w:t>good</w:t>
      </w:r>
      <w:r w:rsidR="009F6E83">
        <w:t>-</w:t>
      </w:r>
      <w:r>
        <w:t xml:space="preserve">quality level III-2 study reported on the diagnostic accuracy of </w:t>
      </w:r>
      <w:r w:rsidRPr="00D353B3">
        <w:t>CFTR</w:t>
      </w:r>
      <w:r>
        <w:t xml:space="preserve"> mutation testing in CF carriers with a known </w:t>
      </w:r>
      <w:r w:rsidRPr="00D353B3">
        <w:t>CFTR</w:t>
      </w:r>
      <w:r>
        <w:t xml:space="preserve"> mutation. Four studies reported on prenatal testing of fetuses suspected of having CF but only </w:t>
      </w:r>
      <w:r w:rsidR="00C217AB">
        <w:t xml:space="preserve">2 </w:t>
      </w:r>
      <w:r>
        <w:t>of these were comparative (</w:t>
      </w:r>
      <w:r w:rsidR="009F6E83">
        <w:t xml:space="preserve">i.e. </w:t>
      </w:r>
      <w:r>
        <w:t xml:space="preserve">level III-2 and of good quality). One of these studies also reported on the accuracy of CFTR mutation testing in fetuses with fetal echogenic bowel (FEB). </w:t>
      </w:r>
    </w:p>
    <w:p w14:paraId="133FA510" w14:textId="4C2374A8" w:rsidR="009E2715" w:rsidRDefault="00A11D26" w:rsidP="009D3D31">
      <w:r>
        <w:t>Testing f</w:t>
      </w:r>
      <w:r w:rsidR="002D4982">
        <w:t xml:space="preserve">ailure rates were also investigated in section B.3.i; </w:t>
      </w:r>
      <w:r w:rsidR="00C217AB">
        <w:t xml:space="preserve">5 </w:t>
      </w:r>
      <w:r w:rsidR="002D4982">
        <w:t>studies (</w:t>
      </w:r>
      <w:r w:rsidR="00C217AB">
        <w:t xml:space="preserve">4 </w:t>
      </w:r>
      <w:r w:rsidR="00F34A29">
        <w:t>poor</w:t>
      </w:r>
      <w:r w:rsidR="009F6E83">
        <w:t>-</w:t>
      </w:r>
      <w:r w:rsidR="00F34A29">
        <w:t xml:space="preserve">quality non-comparative studies and </w:t>
      </w:r>
      <w:r w:rsidR="00C217AB">
        <w:t xml:space="preserve">1 </w:t>
      </w:r>
      <w:r w:rsidR="00F34A29">
        <w:t>good</w:t>
      </w:r>
      <w:r w:rsidR="009F6E83">
        <w:t>-</w:t>
      </w:r>
      <w:r w:rsidR="00F34A29">
        <w:t>quality l</w:t>
      </w:r>
      <w:r w:rsidR="002D4982">
        <w:t>evel III-2</w:t>
      </w:r>
      <w:r w:rsidR="00F34A29">
        <w:t xml:space="preserve"> study</w:t>
      </w:r>
      <w:r w:rsidR="002D4982">
        <w:t xml:space="preserve">) were included. </w:t>
      </w:r>
    </w:p>
    <w:p w14:paraId="0BAC111C" w14:textId="3F7ADC8E" w:rsidR="009D3D31" w:rsidRPr="009D3D31" w:rsidRDefault="009D3D31" w:rsidP="009D3D31">
      <w:r>
        <w:t>Study quality for the change</w:t>
      </w:r>
      <w:r w:rsidR="00C217AB">
        <w:t>-</w:t>
      </w:r>
      <w:r>
        <w:t>in</w:t>
      </w:r>
      <w:r w:rsidR="00C217AB">
        <w:t>-</w:t>
      </w:r>
      <w:r>
        <w:t xml:space="preserve">management step of the linked analysis </w:t>
      </w:r>
      <w:r w:rsidR="00F47653">
        <w:t>w</w:t>
      </w:r>
      <w:r>
        <w:t>as evaluated using the IHE checklist</w:t>
      </w:r>
      <w:r w:rsidR="009E2715">
        <w:t xml:space="preserve"> for case series</w:t>
      </w:r>
      <w:r>
        <w:t>, as none of the studies were comparative</w:t>
      </w:r>
      <w:r w:rsidR="006178CE">
        <w:t xml:space="preserve"> (</w:t>
      </w:r>
      <w:r w:rsidR="009F6E83">
        <w:t xml:space="preserve">i.e. </w:t>
      </w:r>
      <w:r w:rsidR="006178CE">
        <w:t>all level IV evidence)</w:t>
      </w:r>
      <w:r>
        <w:t xml:space="preserve">. </w:t>
      </w:r>
      <w:r w:rsidR="006178CE">
        <w:t xml:space="preserve">Five </w:t>
      </w:r>
      <w:r w:rsidR="00F47653">
        <w:t xml:space="preserve">studies </w:t>
      </w:r>
      <w:r w:rsidR="006178CE">
        <w:t xml:space="preserve">were of high quality and </w:t>
      </w:r>
      <w:r w:rsidR="00C217AB">
        <w:t xml:space="preserve">4 </w:t>
      </w:r>
      <w:r w:rsidR="006178CE">
        <w:t xml:space="preserve">of medium quality. </w:t>
      </w:r>
      <w:r w:rsidR="009E2715">
        <w:t>Termination of pregnancy (</w:t>
      </w:r>
      <w:r w:rsidR="006178CE">
        <w:t>TOP</w:t>
      </w:r>
      <w:r w:rsidR="009E2715">
        <w:t>)</w:t>
      </w:r>
      <w:r w:rsidR="006178CE">
        <w:t xml:space="preserve"> rates and CF birth rates were the key outcomes extracted from every study.</w:t>
      </w:r>
    </w:p>
    <w:p w14:paraId="63191EC9" w14:textId="676C0B40" w:rsidR="00A36EB9" w:rsidRPr="008E6D7B" w:rsidRDefault="000D1300" w:rsidP="008E6D7B">
      <w:pPr>
        <w:pStyle w:val="Heading3"/>
      </w:pPr>
      <w:bookmarkStart w:id="65" w:name="_Toc395200750"/>
      <w:bookmarkStart w:id="66" w:name="_Toc418179872"/>
      <w:r w:rsidRPr="008E6D7B">
        <w:t>B.6</w:t>
      </w:r>
      <w:r w:rsidR="00FC10F8">
        <w:t>–</w:t>
      </w:r>
      <w:r w:rsidRPr="008E6D7B">
        <w:t>B.8</w:t>
      </w:r>
      <w:r w:rsidRPr="008E6D7B">
        <w:tab/>
      </w:r>
      <w:r w:rsidR="00A36EB9" w:rsidRPr="008E6D7B">
        <w:t>Results</w:t>
      </w:r>
      <w:bookmarkEnd w:id="65"/>
      <w:bookmarkEnd w:id="66"/>
    </w:p>
    <w:p w14:paraId="55BEE706" w14:textId="77777777" w:rsidR="00E91BE1" w:rsidRDefault="008C7152" w:rsidP="00DF343F">
      <w:pPr>
        <w:pStyle w:val="Heading4"/>
      </w:pPr>
      <w:r w:rsidRPr="00183E4D">
        <w:t xml:space="preserve">Safety </w:t>
      </w:r>
    </w:p>
    <w:p w14:paraId="17B1C180" w14:textId="77777777" w:rsidR="0071212A" w:rsidRDefault="0071212A" w:rsidP="0071212A">
      <w:pPr>
        <w:pStyle w:val="Heading5"/>
      </w:pPr>
      <w:r>
        <w:t>Test adverse events</w:t>
      </w:r>
    </w:p>
    <w:p w14:paraId="0C5B4C1E" w14:textId="62D68D4D" w:rsidR="00F34A29" w:rsidRPr="0071212A" w:rsidRDefault="00F34A29" w:rsidP="00F34A29">
      <w:bookmarkStart w:id="67" w:name="_Ref413056289"/>
      <w:r>
        <w:t xml:space="preserve">No studies on the safety of prenatal </w:t>
      </w:r>
      <w:r w:rsidRPr="00D353B3">
        <w:t>CFTR</w:t>
      </w:r>
      <w:r>
        <w:t xml:space="preserve"> testing were identified. A separate search was conducted to investigate the safety of amniocentesis and CVS, both of which are used to retrieve fetal DNA for prenatal testing (discussed in section B.8.1). Evidence from systematic reviews was identified, comparing the fetal loss rates associated with amniocentesis and CVS with no invasive testing. The attributable risk of fetal loss due to amniocentesis was 0.1% according to the most recent systematic review (2015; k=7, each study N&gt;1</w:t>
      </w:r>
      <w:r w:rsidR="00C217AB">
        <w:t>,</w:t>
      </w:r>
      <w:r>
        <w:t>000), whereas the only randomised controlled trial available, published in 1986, showed an increase of 1% in total fetal loss. For CVS a 2015 systematic review estimated an attributable risk of fetal loss of 0.22% (</w:t>
      </w:r>
      <w:r w:rsidRPr="008149B3">
        <w:t xml:space="preserve">95%CI </w:t>
      </w:r>
      <w:r w:rsidR="007715E5">
        <w:t>–</w:t>
      </w:r>
      <w:r w:rsidRPr="008149B3">
        <w:t>0.71</w:t>
      </w:r>
      <w:r>
        <w:t>,</w:t>
      </w:r>
      <w:r w:rsidRPr="008149B3">
        <w:t xml:space="preserve"> 1.16,</w:t>
      </w:r>
      <w:r>
        <w:t xml:space="preserve"> k=3, p=0.64).</w:t>
      </w:r>
      <w:r w:rsidR="00DB5534">
        <w:t xml:space="preserve"> </w:t>
      </w:r>
    </w:p>
    <w:p w14:paraId="07D59C01" w14:textId="77777777" w:rsidR="0071212A" w:rsidRPr="0071212A" w:rsidRDefault="00861BCB" w:rsidP="0071212A">
      <w:pPr>
        <w:pStyle w:val="Heading5"/>
      </w:pPr>
      <w:r>
        <w:lastRenderedPageBreak/>
        <w:t>A</w:t>
      </w:r>
      <w:r w:rsidR="0071212A">
        <w:t>dverse events</w:t>
      </w:r>
      <w:r>
        <w:t xml:space="preserve"> from change in management</w:t>
      </w:r>
      <w:bookmarkEnd w:id="67"/>
    </w:p>
    <w:p w14:paraId="28CE7788" w14:textId="1350F15C" w:rsidR="00F97096" w:rsidRDefault="008149B3" w:rsidP="00F97096">
      <w:r>
        <w:t xml:space="preserve">Adverse events from </w:t>
      </w:r>
      <w:r w:rsidR="00B4188E">
        <w:t xml:space="preserve">TOP are shown in section </w:t>
      </w:r>
      <w:r w:rsidR="001B24A7">
        <w:t>B.8.1</w:t>
      </w:r>
      <w:r w:rsidR="00B4188E">
        <w:t xml:space="preserve">. </w:t>
      </w:r>
      <w:r w:rsidR="0098081C">
        <w:t xml:space="preserve">There are a number of </w:t>
      </w:r>
      <w:r w:rsidR="00F97096">
        <w:t>methods for TOP</w:t>
      </w:r>
      <w:r w:rsidR="009F6E83">
        <w:t>,</w:t>
      </w:r>
      <w:r w:rsidR="00F97096">
        <w:t xml:space="preserve"> both </w:t>
      </w:r>
      <w:r w:rsidR="00110E04">
        <w:t xml:space="preserve">pharmaceutical </w:t>
      </w:r>
      <w:r w:rsidR="00F97096">
        <w:t>and surgical, and the method selected often depends on the gestational age of the fetus, availability</w:t>
      </w:r>
      <w:r w:rsidR="009967AF">
        <w:t xml:space="preserve"> of these options</w:t>
      </w:r>
      <w:r w:rsidR="009F6E83">
        <w:t>,</w:t>
      </w:r>
      <w:r w:rsidR="00F97096">
        <w:t xml:space="preserve"> and physician or patient preference. Surgical TOP in</w:t>
      </w:r>
      <w:r w:rsidR="009E2715">
        <w:t xml:space="preserve"> the</w:t>
      </w:r>
      <w:r w:rsidR="00F97096">
        <w:t xml:space="preserve"> first trimester can lead to complications such as infection, cervical laceration (rare), incomplete evacuation, uterine perforation (rare), haemorrhage and problems with anaesthesia. Side effects and complications from </w:t>
      </w:r>
      <w:r w:rsidR="00110E04">
        <w:t xml:space="preserve">pharmaceutical </w:t>
      </w:r>
      <w:r w:rsidR="00F97096">
        <w:t>TOPs in</w:t>
      </w:r>
      <w:r w:rsidR="009E2715">
        <w:t xml:space="preserve"> the</w:t>
      </w:r>
      <w:r w:rsidR="00F97096">
        <w:t xml:space="preserve"> first trimester are bleeding (moderate to heavy), pain, nausea, vomiting and diarrhoea. No maternal deaths were reported from surgical or </w:t>
      </w:r>
      <w:r w:rsidR="00615942">
        <w:t xml:space="preserve">pharmaceutical </w:t>
      </w:r>
      <w:r w:rsidR="00F97096">
        <w:t>TOP.</w:t>
      </w:r>
    </w:p>
    <w:p w14:paraId="13CC537B" w14:textId="5E475DFA" w:rsidR="008149B3" w:rsidRDefault="00F97096" w:rsidP="00F97096">
      <w:r>
        <w:t>Second</w:t>
      </w:r>
      <w:r w:rsidR="00CA6661">
        <w:t>-</w:t>
      </w:r>
      <w:r>
        <w:t>trimester TOP can also be conducted by drug regimen or surgically. The incidence of combined major and minor complications was lower with the surgical method, and fewer adverse events were reported</w:t>
      </w:r>
      <w:r w:rsidR="009F6E83">
        <w:t>,</w:t>
      </w:r>
      <w:r>
        <w:t xml:space="preserve"> compared </w:t>
      </w:r>
      <w:r w:rsidR="009F6E83">
        <w:t xml:space="preserve">with </w:t>
      </w:r>
      <w:r w:rsidR="00E82A43">
        <w:t xml:space="preserve">pharmaceutical </w:t>
      </w:r>
      <w:r>
        <w:t xml:space="preserve">TOP. However, </w:t>
      </w:r>
      <w:r w:rsidR="00616551">
        <w:t xml:space="preserve">side effects reported from </w:t>
      </w:r>
      <w:r w:rsidR="00E82A43">
        <w:t xml:space="preserve">pharmaceutical </w:t>
      </w:r>
      <w:r w:rsidR="00616551">
        <w:t xml:space="preserve">TOP were usually mild, except the need for surgical evacuation due to retained products of the placenta and heavy vaginal bleeding. </w:t>
      </w:r>
      <w:r>
        <w:t>It was concluded that there are safe and effective TOP methods available for</w:t>
      </w:r>
      <w:r w:rsidR="009967AF">
        <w:t xml:space="preserve"> use in</w:t>
      </w:r>
      <w:r>
        <w:t xml:space="preserve"> </w:t>
      </w:r>
      <w:r w:rsidR="00C74B06">
        <w:t xml:space="preserve">both </w:t>
      </w:r>
      <w:r>
        <w:t>first and second trimester</w:t>
      </w:r>
      <w:r w:rsidR="00C74B06">
        <w:t>s</w:t>
      </w:r>
      <w:r>
        <w:t>.</w:t>
      </w:r>
    </w:p>
    <w:p w14:paraId="20AB5C91" w14:textId="77777777" w:rsidR="00E91BE1" w:rsidRPr="00183E4D" w:rsidRDefault="008C7152" w:rsidP="00DF343F">
      <w:pPr>
        <w:pStyle w:val="Heading4"/>
      </w:pPr>
      <w:r w:rsidRPr="00183E4D">
        <w:t xml:space="preserve">Effectiveness </w:t>
      </w:r>
    </w:p>
    <w:p w14:paraId="690AFA12" w14:textId="77777777" w:rsidR="00861BCB" w:rsidRPr="000A77C8" w:rsidRDefault="00861BCB" w:rsidP="00861BCB">
      <w:pPr>
        <w:pStyle w:val="Heading5"/>
      </w:pPr>
      <w:r>
        <w:t>Direct effectiveness</w:t>
      </w:r>
    </w:p>
    <w:p w14:paraId="652864BF" w14:textId="178AC836" w:rsidR="008C7152" w:rsidRPr="000A77C8" w:rsidRDefault="006565B8" w:rsidP="006565B8">
      <w:r>
        <w:t>No studies on</w:t>
      </w:r>
      <w:r w:rsidR="009E2715">
        <w:t xml:space="preserve"> the</w:t>
      </w:r>
      <w:r>
        <w:t xml:space="preserve"> direct effectiveness</w:t>
      </w:r>
      <w:r w:rsidR="009E2715">
        <w:t xml:space="preserve"> of prenatal </w:t>
      </w:r>
      <w:r w:rsidR="00FD37D3" w:rsidRPr="00FD37D3">
        <w:t>CFTR</w:t>
      </w:r>
      <w:r w:rsidR="009E2715">
        <w:t xml:space="preserve"> mutation testing</w:t>
      </w:r>
      <w:r>
        <w:t xml:space="preserve"> were identified</w:t>
      </w:r>
      <w:r w:rsidR="009E2715">
        <w:t>.</w:t>
      </w:r>
      <w:r>
        <w:t xml:space="preserve"> </w:t>
      </w:r>
    </w:p>
    <w:p w14:paraId="59ADD5EB" w14:textId="77777777" w:rsidR="002D7C2B" w:rsidRDefault="002D7C2B" w:rsidP="002D7C2B">
      <w:pPr>
        <w:pStyle w:val="Heading5"/>
      </w:pPr>
      <w:r>
        <w:t>Effectiveness from linked evidence</w:t>
      </w:r>
    </w:p>
    <w:p w14:paraId="7CF46CBD" w14:textId="77777777" w:rsidR="00861BCB" w:rsidRPr="00214F43" w:rsidRDefault="00B229D2" w:rsidP="008F57E8">
      <w:pPr>
        <w:pStyle w:val="Heading6"/>
        <w:numPr>
          <w:ilvl w:val="0"/>
          <w:numId w:val="10"/>
        </w:numPr>
        <w:ind w:left="0" w:firstLine="0"/>
      </w:pPr>
      <w:r>
        <w:t>Diagnostic accuracy</w:t>
      </w:r>
    </w:p>
    <w:p w14:paraId="47FC7CBB" w14:textId="72ED238C" w:rsidR="00E603D3" w:rsidRDefault="00E46D95" w:rsidP="001B24A7">
      <w:r>
        <w:t xml:space="preserve">A summary of the diagnostic accuracy data can be found in </w:t>
      </w:r>
      <w:r w:rsidR="001B24A7">
        <w:fldChar w:fldCharType="begin"/>
      </w:r>
      <w:r w:rsidR="001B24A7">
        <w:instrText xml:space="preserve"> REF _Ref413225393 \h  \* MERGEFORMAT </w:instrText>
      </w:r>
      <w:r w:rsidR="001B24A7">
        <w:fldChar w:fldCharType="separate"/>
      </w:r>
      <w:r w:rsidR="00BB0E3E">
        <w:t xml:space="preserve">Table </w:t>
      </w:r>
      <w:r w:rsidR="00BB0E3E">
        <w:rPr>
          <w:noProof/>
        </w:rPr>
        <w:t>42</w:t>
      </w:r>
      <w:r w:rsidR="001B24A7">
        <w:fldChar w:fldCharType="end"/>
      </w:r>
      <w:r>
        <w:t xml:space="preserve"> on </w:t>
      </w:r>
      <w:r w:rsidRPr="00C07180">
        <w:t xml:space="preserve">page </w:t>
      </w:r>
      <w:r w:rsidR="001B24A7" w:rsidRPr="00C07180">
        <w:fldChar w:fldCharType="begin"/>
      </w:r>
      <w:r w:rsidR="001B24A7" w:rsidRPr="00C07180">
        <w:instrText xml:space="preserve"> PAGEREF _Ref413225411 \h </w:instrText>
      </w:r>
      <w:r w:rsidR="001B24A7" w:rsidRPr="00C07180">
        <w:fldChar w:fldCharType="separate"/>
      </w:r>
      <w:r w:rsidR="00BB0E3E">
        <w:rPr>
          <w:noProof/>
        </w:rPr>
        <w:t>73</w:t>
      </w:r>
      <w:r w:rsidR="001B24A7" w:rsidRPr="00C07180">
        <w:fldChar w:fldCharType="end"/>
      </w:r>
      <w:r>
        <w:t>.</w:t>
      </w:r>
      <w:r w:rsidR="006E525A">
        <w:t xml:space="preserve"> DNA sequencing and clinical diagnosis were used as reference standards.</w:t>
      </w:r>
      <w:r w:rsidR="005E5CE5">
        <w:t xml:space="preserve"> Diagnostic accuracy was investigated for </w:t>
      </w:r>
      <w:r w:rsidR="00F1152F">
        <w:t>all</w:t>
      </w:r>
      <w:r w:rsidR="005E5CE5">
        <w:t xml:space="preserve"> population groups: patients suspected of CF (including </w:t>
      </w:r>
      <w:r w:rsidR="008D58DF">
        <w:t xml:space="preserve">men </w:t>
      </w:r>
      <w:r w:rsidR="005E5CE5">
        <w:t>with CBAVD), parents of a fetus suspected of CF</w:t>
      </w:r>
      <w:r w:rsidR="00994DAB">
        <w:t>,</w:t>
      </w:r>
      <w:r w:rsidR="005E5CE5">
        <w:t xml:space="preserve"> and fetuses suspected of CF. </w:t>
      </w:r>
      <w:r w:rsidR="00F1152F">
        <w:t>No accuracy studies on partners of people with at least one known CFTR mutation were identified.</w:t>
      </w:r>
    </w:p>
    <w:p w14:paraId="3C49E554" w14:textId="422F6C59" w:rsidR="00E603D3" w:rsidRPr="00E603D3" w:rsidRDefault="00FD37D3" w:rsidP="00E46D95">
      <w:pPr>
        <w:rPr>
          <w:i/>
        </w:rPr>
      </w:pPr>
      <w:r w:rsidRPr="00D353B3">
        <w:rPr>
          <w:i/>
        </w:rPr>
        <w:t>CFTR</w:t>
      </w:r>
      <w:r w:rsidR="00ED09C5">
        <w:rPr>
          <w:i/>
        </w:rPr>
        <w:t xml:space="preserve"> testing in p</w:t>
      </w:r>
      <w:r w:rsidR="00E603D3">
        <w:rPr>
          <w:i/>
        </w:rPr>
        <w:t>atients with a high clinical suspicion of CF</w:t>
      </w:r>
    </w:p>
    <w:p w14:paraId="3CA0A599" w14:textId="3575FD06" w:rsidR="006E5876" w:rsidRDefault="00D17B65" w:rsidP="006E5876">
      <w:r>
        <w:t xml:space="preserve">The median sensitivity of </w:t>
      </w:r>
      <w:r w:rsidRPr="00D353B3">
        <w:t>CFTR</w:t>
      </w:r>
      <w:r>
        <w:t xml:space="preserve"> mutation testing in CF patients, compared with DNA sequencing, was 85% (range 71</w:t>
      </w:r>
      <w:r w:rsidR="0040393D">
        <w:t>–</w:t>
      </w:r>
      <w:r>
        <w:t>97; k=4) when all known mutations were included in the analysis, and 97% (range 90</w:t>
      </w:r>
      <w:r w:rsidR="0040393D">
        <w:t>–</w:t>
      </w:r>
      <w:r>
        <w:t xml:space="preserve">100) when only those mutations designed to be detected by each test were included. This means that only 3% of samples were falsely negative, and the tests are highly accurate when compared </w:t>
      </w:r>
      <w:r w:rsidR="0040393D">
        <w:t xml:space="preserve">with </w:t>
      </w:r>
      <w:r>
        <w:t xml:space="preserve">gene sequencing. Due to the reduced number of </w:t>
      </w:r>
      <w:r w:rsidRPr="00D353B3">
        <w:t>CFTR</w:t>
      </w:r>
      <w:r>
        <w:t xml:space="preserve"> mutations detected by panel-based tests, the median sensitivity of panel-based </w:t>
      </w:r>
      <w:r w:rsidRPr="00D353B3">
        <w:t>CFTR</w:t>
      </w:r>
      <w:r>
        <w:t xml:space="preserve"> tests compared with clinical diagnosis was only 80% (range 52</w:t>
      </w:r>
      <w:r w:rsidR="0040393D">
        <w:t>–</w:t>
      </w:r>
      <w:r>
        <w:t xml:space="preserve">91; k=5), </w:t>
      </w:r>
      <w:r w:rsidR="00860A1E">
        <w:t xml:space="preserve">versus </w:t>
      </w:r>
      <w:r>
        <w:t>91% (range 86</w:t>
      </w:r>
      <w:r w:rsidR="0040393D">
        <w:t>–</w:t>
      </w:r>
      <w:r>
        <w:t xml:space="preserve">100; k=4) for DNA sequencing compared with clinical diagnosis. </w:t>
      </w:r>
      <w:r w:rsidR="006E5876">
        <w:t xml:space="preserve">Meta-analysis could not be conducted to determine the accuracy of CFTR mutation testing in patients with a high clinical suspicion of CF. Only </w:t>
      </w:r>
      <w:r w:rsidR="00860A1E">
        <w:t xml:space="preserve">1 </w:t>
      </w:r>
      <w:r w:rsidR="006E5876">
        <w:t xml:space="preserve">study met the </w:t>
      </w:r>
      <w:r w:rsidR="006E5876">
        <w:rPr>
          <w:i/>
          <w:iCs/>
        </w:rPr>
        <w:t>a priori</w:t>
      </w:r>
      <w:r w:rsidR="006E5876">
        <w:t xml:space="preserve"> inclusion criteria, and the </w:t>
      </w:r>
      <w:r w:rsidR="006E5876">
        <w:lastRenderedPageBreak/>
        <w:t>studies that met the broadened criteria compared CFTR mutation testing with either DNA sequencing methods in patients with known CFTR mutations, or with clinical diagnosis in patients definitively diagnosed with CF or CBVAD. As a consequence, only the sensitivity and false negative rate could be reported.</w:t>
      </w:r>
    </w:p>
    <w:p w14:paraId="663E3FC3" w14:textId="00FC4EB1" w:rsidR="00D17B65" w:rsidRDefault="00D17B65" w:rsidP="00D17B65">
      <w:r>
        <w:t xml:space="preserve">Panel-based </w:t>
      </w:r>
      <w:r w:rsidRPr="00D353B3">
        <w:t>CFTR</w:t>
      </w:r>
      <w:r>
        <w:t xml:space="preserve"> mutation testing was compared with exon scanning </w:t>
      </w:r>
      <w:r w:rsidRPr="00D353B3">
        <w:t>CFTR</w:t>
      </w:r>
      <w:r>
        <w:t xml:space="preserve"> mutation testing plus DNA sequencing and </w:t>
      </w:r>
      <w:r>
        <w:rPr>
          <w:rFonts w:asciiTheme="minorHAnsi" w:hAnsiTheme="minorHAnsi"/>
        </w:rPr>
        <w:t>multiplex ligation-dependent probe a</w:t>
      </w:r>
      <w:r w:rsidRPr="006B3E53">
        <w:rPr>
          <w:rFonts w:asciiTheme="minorHAnsi" w:hAnsiTheme="minorHAnsi"/>
        </w:rPr>
        <w:t>mplification</w:t>
      </w:r>
      <w:r>
        <w:t xml:space="preserve"> (MPLA) deletion detection in men with CBAVD in </w:t>
      </w:r>
      <w:r w:rsidR="00860A1E">
        <w:t xml:space="preserve">1 </w:t>
      </w:r>
      <w:r>
        <w:t>study. The sensitivity to detect all mutations was 94% (95%CI 81</w:t>
      </w:r>
      <w:r w:rsidR="0071636C">
        <w:t xml:space="preserve">, </w:t>
      </w:r>
      <w:r>
        <w:t>99) when compared with DNA sequencing</w:t>
      </w:r>
      <w:r w:rsidR="00860A1E">
        <w:t>,</w:t>
      </w:r>
      <w:r>
        <w:t xml:space="preserve"> and 89% (95%CI 75</w:t>
      </w:r>
      <w:r w:rsidR="0071636C">
        <w:t xml:space="preserve">, </w:t>
      </w:r>
      <w:r>
        <w:t>97) when compared with DNA sequencing plus MPLA. There were no false positive results. Panel</w:t>
      </w:r>
      <w:r w:rsidR="00AF49E8">
        <w:t>-</w:t>
      </w:r>
      <w:r>
        <w:t>based testing compared with clinical diagnosis only had a sensitivity of 52% (range 45</w:t>
      </w:r>
      <w:r w:rsidR="00AF49E8">
        <w:t>–</w:t>
      </w:r>
      <w:r>
        <w:t xml:space="preserve">72, k=4), due to the large proportion of patients and chromosomes for which a </w:t>
      </w:r>
      <w:r w:rsidRPr="009B120E">
        <w:t>CFTR</w:t>
      </w:r>
      <w:r w:rsidRPr="005175FA">
        <w:t xml:space="preserve"> </w:t>
      </w:r>
      <w:r>
        <w:t xml:space="preserve">mutation could not be identified. Exon-scanning </w:t>
      </w:r>
      <w:r w:rsidRPr="00D353B3">
        <w:t>CFTR</w:t>
      </w:r>
      <w:r>
        <w:t xml:space="preserve"> mutation testing plus DNA sequencing had a slightly higher sensitivity </w:t>
      </w:r>
      <w:r w:rsidR="00860A1E">
        <w:t>of 64%</w:t>
      </w:r>
      <w:r w:rsidR="002C54E2">
        <w:t xml:space="preserve"> (range 47–88, k=5) </w:t>
      </w:r>
      <w:r>
        <w:t xml:space="preserve">when compared with clinical diagnosis. </w:t>
      </w:r>
    </w:p>
    <w:p w14:paraId="4460951B" w14:textId="71AD9CB6" w:rsidR="00723BFF" w:rsidRPr="00723BFF" w:rsidRDefault="00FD37D3" w:rsidP="004D4C47">
      <w:pPr>
        <w:rPr>
          <w:i/>
        </w:rPr>
      </w:pPr>
      <w:r w:rsidRPr="00D353B3">
        <w:rPr>
          <w:i/>
        </w:rPr>
        <w:t>CFTR</w:t>
      </w:r>
      <w:r w:rsidR="00ED09C5">
        <w:rPr>
          <w:i/>
        </w:rPr>
        <w:t xml:space="preserve"> testing in p</w:t>
      </w:r>
      <w:r w:rsidR="00723BFF">
        <w:rPr>
          <w:i/>
        </w:rPr>
        <w:t>arents with a fetus suspected of CF</w:t>
      </w:r>
    </w:p>
    <w:p w14:paraId="4844FB8F" w14:textId="6A639D43" w:rsidR="004D4C47" w:rsidRDefault="00F9358B" w:rsidP="004D4C47">
      <w:r>
        <w:t xml:space="preserve">Only </w:t>
      </w:r>
      <w:r w:rsidR="00860A1E">
        <w:t xml:space="preserve">1 </w:t>
      </w:r>
      <w:r>
        <w:t xml:space="preserve">study met the inclusion criteria </w:t>
      </w:r>
      <w:r w:rsidR="00D17B65">
        <w:t>to assess</w:t>
      </w:r>
      <w:r>
        <w:t xml:space="preserve"> </w:t>
      </w:r>
      <w:r w:rsidR="00D17B65">
        <w:t>test performance</w:t>
      </w:r>
      <w:r>
        <w:t xml:space="preserve"> in parents</w:t>
      </w:r>
      <w:r w:rsidR="009E2715">
        <w:t xml:space="preserve"> of a fetus suspected of having CF</w:t>
      </w:r>
      <w:r>
        <w:t xml:space="preserve">. The study compared the accuracy of four different panel-based tests to DGGE exon-scanning </w:t>
      </w:r>
      <w:r w:rsidR="00FD37D3" w:rsidRPr="00FD37D3">
        <w:t>CFTR</w:t>
      </w:r>
      <w:r>
        <w:t xml:space="preserve"> mutation testing plus DNA sequencing in 25 </w:t>
      </w:r>
      <w:r w:rsidR="00FD37D3" w:rsidRPr="00FD37D3">
        <w:t>CFTR</w:t>
      </w:r>
      <w:r>
        <w:t xml:space="preserve"> mutation carriers. The panel-based tests had a sensitivity of 100% for</w:t>
      </w:r>
      <w:r w:rsidR="00D17B65">
        <w:t xml:space="preserve"> the</w:t>
      </w:r>
      <w:r>
        <w:t xml:space="preserve"> mutations </w:t>
      </w:r>
      <w:r w:rsidR="00D17B65">
        <w:t>they were designed to</w:t>
      </w:r>
      <w:r w:rsidR="00ED09C5">
        <w:t xml:space="preserve"> detect</w:t>
      </w:r>
      <w:r w:rsidR="00D17B65">
        <w:t>,</w:t>
      </w:r>
      <w:r w:rsidR="00ED09C5">
        <w:t xml:space="preserve"> and 92% when all mutations were included in the analysis.</w:t>
      </w:r>
    </w:p>
    <w:p w14:paraId="1973731F" w14:textId="7DC3F106" w:rsidR="00ED09C5" w:rsidRDefault="00FD37D3" w:rsidP="004D4C47">
      <w:pPr>
        <w:rPr>
          <w:i/>
        </w:rPr>
      </w:pPr>
      <w:r w:rsidRPr="00D353B3">
        <w:rPr>
          <w:i/>
        </w:rPr>
        <w:t>CFTR</w:t>
      </w:r>
      <w:r w:rsidR="00ED09C5">
        <w:rPr>
          <w:i/>
        </w:rPr>
        <w:t xml:space="preserve"> testing in fetuses</w:t>
      </w:r>
    </w:p>
    <w:p w14:paraId="68878042" w14:textId="3FBB14A2" w:rsidR="00F37AC6" w:rsidRDefault="00D17B65" w:rsidP="00F37AC6">
      <w:r>
        <w:t xml:space="preserve">Four studies were included that reported on the accuracy of </w:t>
      </w:r>
      <w:r w:rsidRPr="00D353B3">
        <w:t>CFTR</w:t>
      </w:r>
      <w:r>
        <w:t xml:space="preserve"> mutation tests in fetuses from carrier parents as compared </w:t>
      </w:r>
      <w:r w:rsidR="00AF49E8">
        <w:t xml:space="preserve">with </w:t>
      </w:r>
      <w:r>
        <w:t>clinical diagnosis after birth</w:t>
      </w:r>
      <w:r w:rsidR="00860A1E">
        <w:t>, with</w:t>
      </w:r>
      <w:r w:rsidR="00E34C5C">
        <w:t xml:space="preserve"> samples</w:t>
      </w:r>
      <w:r w:rsidR="00860A1E">
        <w:t xml:space="preserve"> </w:t>
      </w:r>
      <w:r w:rsidR="00E34C5C">
        <w:t xml:space="preserve">collected through various methods </w:t>
      </w:r>
      <w:r w:rsidR="00860A1E">
        <w:t>(</w:t>
      </w:r>
      <w:r w:rsidR="00E34C5C">
        <w:t>e.g. CVS or amniocentesis</w:t>
      </w:r>
      <w:r w:rsidR="00307132">
        <w:t>;</w:t>
      </w:r>
      <w:r w:rsidR="00E34C5C">
        <w:t xml:space="preserve"> see </w:t>
      </w:r>
      <w:r w:rsidR="00E34C5C">
        <w:fldChar w:fldCharType="begin"/>
      </w:r>
      <w:r w:rsidR="00E34C5C">
        <w:instrText xml:space="preserve"> REF _Ref418162429 \h </w:instrText>
      </w:r>
      <w:r w:rsidR="00E34C5C">
        <w:fldChar w:fldCharType="separate"/>
      </w:r>
      <w:r w:rsidR="00BB0E3E">
        <w:t xml:space="preserve">Table </w:t>
      </w:r>
      <w:r w:rsidR="00BB0E3E">
        <w:rPr>
          <w:noProof/>
        </w:rPr>
        <w:t>86</w:t>
      </w:r>
      <w:r w:rsidR="00E34C5C">
        <w:fldChar w:fldCharType="end"/>
      </w:r>
      <w:r w:rsidR="00E34C5C">
        <w:t>)</w:t>
      </w:r>
      <w:r>
        <w:t xml:space="preserve">. No false negative results were reported in </w:t>
      </w:r>
      <w:r w:rsidR="00860A1E">
        <w:t xml:space="preserve">2 </w:t>
      </w:r>
      <w:r>
        <w:t>of the studies (sensitivity = 100%)</w:t>
      </w:r>
      <w:r w:rsidR="00307132">
        <w:t>,</w:t>
      </w:r>
      <w:r>
        <w:t xml:space="preserve"> </w:t>
      </w:r>
      <w:r w:rsidR="00307132">
        <w:t>and</w:t>
      </w:r>
      <w:r w:rsidR="00DF5916">
        <w:t xml:space="preserve"> </w:t>
      </w:r>
      <w:r>
        <w:t>the other studies only reported diagnostic yield (8</w:t>
      </w:r>
      <w:r w:rsidR="00384CAB">
        <w:t>%</w:t>
      </w:r>
      <w:r w:rsidR="00307132">
        <w:t>–</w:t>
      </w:r>
      <w:r>
        <w:t>22% with CF, 38</w:t>
      </w:r>
      <w:r w:rsidR="00384CAB">
        <w:t>%</w:t>
      </w:r>
      <w:r w:rsidR="00307132">
        <w:t>–</w:t>
      </w:r>
      <w:r>
        <w:t>5</w:t>
      </w:r>
      <w:r w:rsidR="00F37AC6">
        <w:t xml:space="preserve">5% </w:t>
      </w:r>
      <w:r w:rsidR="00860A1E">
        <w:t xml:space="preserve">for </w:t>
      </w:r>
      <w:r w:rsidR="00F37AC6">
        <w:t>carriers, 24</w:t>
      </w:r>
      <w:r w:rsidR="00384CAB">
        <w:t>%</w:t>
      </w:r>
      <w:r w:rsidR="00307132">
        <w:t>–</w:t>
      </w:r>
      <w:r w:rsidR="00F37AC6">
        <w:t xml:space="preserve">33% </w:t>
      </w:r>
      <w:r w:rsidR="00860A1E">
        <w:t xml:space="preserve">for </w:t>
      </w:r>
      <w:r w:rsidR="00F37AC6">
        <w:t xml:space="preserve">normal). </w:t>
      </w:r>
      <w:r w:rsidR="00F37AC6" w:rsidRPr="00F37AC6">
        <w:t>Of the fetuses with two identified CFTR mutations (from carrier parents), 95% are aborted (see ‘change in patient management’</w:t>
      </w:r>
      <w:r w:rsidR="007513B8">
        <w:t xml:space="preserve"> below</w:t>
      </w:r>
      <w:r w:rsidR="00F37AC6" w:rsidRPr="00F37AC6">
        <w:t xml:space="preserve">). The </w:t>
      </w:r>
      <w:r w:rsidR="00083FB8">
        <w:t xml:space="preserve">false positives </w:t>
      </w:r>
      <w:r w:rsidR="00F37AC6" w:rsidRPr="00F37AC6">
        <w:t>of the test could not be determined as the presence of CF could not be clinically determined in those that were aborted.</w:t>
      </w:r>
    </w:p>
    <w:p w14:paraId="076BAED6" w14:textId="0B3C0C4F" w:rsidR="00FF0C57" w:rsidRDefault="009E2715" w:rsidP="004D4C47">
      <w:r>
        <w:t>The a</w:t>
      </w:r>
      <w:r w:rsidR="000068C2">
        <w:t xml:space="preserve">ccuracy of </w:t>
      </w:r>
      <w:r w:rsidR="00FD37D3" w:rsidRPr="00FD37D3">
        <w:t>CFTR</w:t>
      </w:r>
      <w:r>
        <w:t xml:space="preserve"> mutation</w:t>
      </w:r>
      <w:r w:rsidR="000068C2">
        <w:t xml:space="preserve"> testing in fetuses with</w:t>
      </w:r>
      <w:r>
        <w:t xml:space="preserve"> a fetal echogenic bowel</w:t>
      </w:r>
      <w:r w:rsidR="000068C2">
        <w:t xml:space="preserve"> </w:t>
      </w:r>
      <w:r>
        <w:t>(</w:t>
      </w:r>
      <w:r w:rsidR="000068C2">
        <w:t>FEB</w:t>
      </w:r>
      <w:r>
        <w:t>)</w:t>
      </w:r>
      <w:r w:rsidR="000068C2">
        <w:t xml:space="preserve"> was only identified in </w:t>
      </w:r>
      <w:r w:rsidR="007513B8">
        <w:t xml:space="preserve">1 </w:t>
      </w:r>
      <w:r w:rsidR="000068C2">
        <w:t xml:space="preserve">study. As no clinical outcomes were reported, the accuracy compared </w:t>
      </w:r>
      <w:r w:rsidR="00134B1F">
        <w:t xml:space="preserve">with </w:t>
      </w:r>
      <w:r w:rsidR="000068C2">
        <w:t xml:space="preserve">clinical diagnosis could not be determined. </w:t>
      </w:r>
    </w:p>
    <w:p w14:paraId="491F039C" w14:textId="77777777" w:rsidR="000068C2" w:rsidRDefault="000068C2" w:rsidP="004D4C47">
      <w:pPr>
        <w:rPr>
          <w:i/>
        </w:rPr>
      </w:pPr>
      <w:r>
        <w:rPr>
          <w:i/>
        </w:rPr>
        <w:t>Test failure rates</w:t>
      </w:r>
    </w:p>
    <w:p w14:paraId="45DA5688" w14:textId="483906EB" w:rsidR="000068C2" w:rsidRDefault="00B24857" w:rsidP="004D4C47">
      <w:r>
        <w:lastRenderedPageBreak/>
        <w:t xml:space="preserve">The failure rates of seven different panel-based </w:t>
      </w:r>
      <w:r w:rsidR="00FD37D3" w:rsidRPr="00FD37D3">
        <w:t>CFTR</w:t>
      </w:r>
      <w:r>
        <w:t xml:space="preserve"> tests were reported in </w:t>
      </w:r>
      <w:r w:rsidR="000D4B54">
        <w:t xml:space="preserve">5 </w:t>
      </w:r>
      <w:r>
        <w:t>studies (median 4.5%</w:t>
      </w:r>
      <w:r w:rsidR="009D3069">
        <w:t>;</w:t>
      </w:r>
      <w:r>
        <w:t xml:space="preserve"> range 0.0001</w:t>
      </w:r>
      <w:r w:rsidR="00134B1F">
        <w:t>–</w:t>
      </w:r>
      <w:r>
        <w:t>9), which suggests that around 4.5% of tests would need to be repeated in diagnostic laboratories.</w:t>
      </w:r>
    </w:p>
    <w:p w14:paraId="64367798" w14:textId="4E014770" w:rsidR="00B24857" w:rsidRDefault="00B24857" w:rsidP="004D4C47">
      <w:r>
        <w:t>Overall,</w:t>
      </w:r>
      <w:r w:rsidR="00E61541">
        <w:t xml:space="preserve"> the</w:t>
      </w:r>
      <w:r>
        <w:t xml:space="preserve"> sensitivity of </w:t>
      </w:r>
      <w:r w:rsidR="00FD37D3" w:rsidRPr="00FD37D3">
        <w:t>CFTR</w:t>
      </w:r>
      <w:r>
        <w:t xml:space="preserve"> mutation tests is high when detecting mutations included in the mutation panel. </w:t>
      </w:r>
      <w:r w:rsidRPr="00B24857">
        <w:t xml:space="preserve">Both panel-based and exon-scanning </w:t>
      </w:r>
      <w:r w:rsidR="00FD37D3" w:rsidRPr="00FD37D3">
        <w:t>CFTR</w:t>
      </w:r>
      <w:r w:rsidRPr="00B24857">
        <w:t xml:space="preserve"> mutation tests, as well as DNA sequencing-based tests</w:t>
      </w:r>
      <w:r w:rsidR="00134B1F">
        <w:t>,</w:t>
      </w:r>
      <w:r w:rsidRPr="00B24857">
        <w:t xml:space="preserve"> cannot detect large deletion or insertion mutations, which occur in about 2% of CF patients worldwide.</w:t>
      </w:r>
      <w:r>
        <w:t xml:space="preserve"> In </w:t>
      </w:r>
      <w:r w:rsidR="002A0D0D">
        <w:t xml:space="preserve">the </w:t>
      </w:r>
      <w:r>
        <w:t>case of a negative test result, it is important for the diagnostic laboratory to explain the scope of the mutation testing undertaken and the likelihood of the p</w:t>
      </w:r>
      <w:r w:rsidR="00E61541">
        <w:t>erson</w:t>
      </w:r>
      <w:r>
        <w:t xml:space="preserve"> being truly negative</w:t>
      </w:r>
      <w:r w:rsidR="00E61541">
        <w:t>, particularly when one of the consequences of testing may be TOP</w:t>
      </w:r>
      <w:r>
        <w:t>.</w:t>
      </w:r>
    </w:p>
    <w:p w14:paraId="1896FA68" w14:textId="18B52715" w:rsidR="002D7C2B" w:rsidRDefault="002D7C2B" w:rsidP="008F57E8">
      <w:pPr>
        <w:pStyle w:val="Heading6"/>
        <w:numPr>
          <w:ilvl w:val="0"/>
          <w:numId w:val="10"/>
        </w:numPr>
        <w:ind w:left="0" w:firstLine="0"/>
      </w:pPr>
      <w:r w:rsidRPr="002D7C2B">
        <w:t>Change in patient management</w:t>
      </w:r>
      <w:r w:rsidR="00737711">
        <w:t xml:space="preserve"> (prenatal testing group only)</w:t>
      </w:r>
    </w:p>
    <w:p w14:paraId="731128BE" w14:textId="18288A9E" w:rsidR="00D84537" w:rsidRDefault="00D84537" w:rsidP="00F27F74">
      <w:bookmarkStart w:id="68" w:name="_Toc318718116"/>
      <w:r>
        <w:t xml:space="preserve">Nine studies were included to assess the impact of prenatal testing on </w:t>
      </w:r>
      <w:r w:rsidR="00311054">
        <w:t>the</w:t>
      </w:r>
      <w:r>
        <w:t xml:space="preserve"> management</w:t>
      </w:r>
      <w:r w:rsidR="00311054">
        <w:t xml:space="preserve"> of patients</w:t>
      </w:r>
      <w:r>
        <w:t xml:space="preserve">. </w:t>
      </w:r>
      <w:r w:rsidR="00F149BC">
        <w:t xml:space="preserve">None of the studies included a comparison with pregnancy management when there was no prenatal </w:t>
      </w:r>
      <w:r w:rsidR="00F149BC" w:rsidRPr="00D353B3">
        <w:t>CFTR</w:t>
      </w:r>
      <w:r w:rsidR="00F149BC">
        <w:t xml:space="preserve"> testing; therefore</w:t>
      </w:r>
      <w:r w:rsidR="00134B1F">
        <w:t>,</w:t>
      </w:r>
      <w:r w:rsidR="00F149BC">
        <w:t xml:space="preserve"> all </w:t>
      </w:r>
      <w:r w:rsidR="000D4B54">
        <w:t xml:space="preserve">9 </w:t>
      </w:r>
      <w:r w:rsidR="00F149BC">
        <w:t>studies were non-comparative. Six studies reported on the rate of TOP in pregnancies affected by FEB</w:t>
      </w:r>
      <w:r w:rsidR="00134B1F">
        <w:t>,</w:t>
      </w:r>
      <w:r w:rsidR="00F149BC">
        <w:t xml:space="preserve"> </w:t>
      </w:r>
      <w:r w:rsidR="00134B1F">
        <w:t>with</w:t>
      </w:r>
      <w:r w:rsidR="00F149BC">
        <w:t xml:space="preserve"> TOP occurr</w:t>
      </w:r>
      <w:r w:rsidR="00134B1F">
        <w:t>ing</w:t>
      </w:r>
      <w:r w:rsidR="00F149BC">
        <w:t xml:space="preserve"> in 65% (50/77) of the pregnancies where </w:t>
      </w:r>
      <w:r w:rsidR="00F149BC" w:rsidRPr="00D353B3">
        <w:t>CFTR</w:t>
      </w:r>
      <w:r w:rsidR="00F149BC">
        <w:t xml:space="preserve"> mutations were identified (range 0%</w:t>
      </w:r>
      <w:r w:rsidR="00134B1F">
        <w:t>–</w:t>
      </w:r>
      <w:r w:rsidR="00F149BC">
        <w:t xml:space="preserve">100%). In prospective parents who are known carriers, a positive </w:t>
      </w:r>
      <w:r w:rsidR="00F149BC" w:rsidRPr="00D353B3">
        <w:t>CFTR</w:t>
      </w:r>
      <w:r w:rsidR="00F149BC">
        <w:t xml:space="preserve"> test in the fetus led to TOP in 155/163 cases (95%, k=4). This shows that CFTR mutation testing does change management and that a positive test result predicts TOP. It is assumed that no TOP would occur in the absence of prenatal testing.</w:t>
      </w:r>
    </w:p>
    <w:bookmarkEnd w:id="68"/>
    <w:p w14:paraId="7454ED5E" w14:textId="77777777" w:rsidR="005C4455" w:rsidRDefault="005C4455" w:rsidP="008F57E8">
      <w:pPr>
        <w:pStyle w:val="Heading6"/>
        <w:numPr>
          <w:ilvl w:val="0"/>
          <w:numId w:val="10"/>
        </w:numPr>
        <w:ind w:left="0" w:firstLine="0"/>
      </w:pPr>
      <w:r>
        <w:t>Treatment effectiveness</w:t>
      </w:r>
    </w:p>
    <w:p w14:paraId="033A5F46" w14:textId="77777777" w:rsidR="00F149BC" w:rsidRDefault="00F149BC" w:rsidP="00F149BC">
      <w:bookmarkStart w:id="69" w:name="_Toc395200751"/>
      <w:bookmarkStart w:id="70" w:name="_Toc379118059"/>
      <w:bookmarkStart w:id="71" w:name="_Toc379118251"/>
      <w:bookmarkStart w:id="72" w:name="_Toc381796435"/>
      <w:r>
        <w:t xml:space="preserve">As outlined above, one key result of prenatal </w:t>
      </w:r>
      <w:r w:rsidRPr="00F149BC">
        <w:t>CFTR</w:t>
      </w:r>
      <w:r>
        <w:t xml:space="preserve"> mutation testing is that fewer children with CF will be born.</w:t>
      </w:r>
    </w:p>
    <w:p w14:paraId="41ACE9DA" w14:textId="58A60F6A" w:rsidR="00F149BC" w:rsidRDefault="00F149BC" w:rsidP="00F149BC">
      <w:r>
        <w:t xml:space="preserve">No studies were identified on parental psychological health after proceeding with TOP, as a consequence of a CF-affected fetus, compared </w:t>
      </w:r>
      <w:r w:rsidR="00017737">
        <w:t xml:space="preserve">with </w:t>
      </w:r>
      <w:r>
        <w:t xml:space="preserve">the psychological health associated with proceeding with the pregnancy and raising a child with CF. Adverse events and complications due to TOP can be found in section B.8.1 and </w:t>
      </w:r>
      <w:r w:rsidRPr="00C07180">
        <w:t xml:space="preserve">page </w:t>
      </w:r>
      <w:r w:rsidRPr="00C07180">
        <w:fldChar w:fldCharType="begin"/>
      </w:r>
      <w:r w:rsidRPr="00C07180">
        <w:instrText xml:space="preserve"> PAGEREF _Ref413056289 \h </w:instrText>
      </w:r>
      <w:r w:rsidRPr="00C07180">
        <w:fldChar w:fldCharType="separate"/>
      </w:r>
      <w:r w:rsidR="00BB0E3E">
        <w:rPr>
          <w:noProof/>
        </w:rPr>
        <w:t>xviii</w:t>
      </w:r>
      <w:r w:rsidRPr="00C07180">
        <w:fldChar w:fldCharType="end"/>
      </w:r>
      <w:r>
        <w:t>. A separate (non-systematic) search was conducted to identify studies investigating psychological outcomes after TOP was instigated following identification of various fetal anomalies (not specific to CF). Post</w:t>
      </w:r>
      <w:r w:rsidR="00017737">
        <w:t>-</w:t>
      </w:r>
      <w:r>
        <w:t>traumatic stress, grief, anger, guilt and depression were prevalent in this population. In the first few months after TOP, rates of post</w:t>
      </w:r>
      <w:r w:rsidR="00017737">
        <w:t>-</w:t>
      </w:r>
      <w:r>
        <w:t>traumatic stress (45.8</w:t>
      </w:r>
      <w:r w:rsidR="001E35A5">
        <w:t>%</w:t>
      </w:r>
      <w:r>
        <w:t>–67%), grief (36</w:t>
      </w:r>
      <w:r w:rsidR="001E35A5">
        <w:t>%</w:t>
      </w:r>
      <w:r>
        <w:t xml:space="preserve">–78%) and depression (around 30%) were high, </w:t>
      </w:r>
      <w:r w:rsidR="00017737">
        <w:t>but</w:t>
      </w:r>
      <w:r>
        <w:t xml:space="preserve"> these rates decreased over time. Depression and anxiety rates reported in the first couple of months after TOP were similar to the rates among mothers of children suffering from CF, with 20</w:t>
      </w:r>
      <w:r w:rsidR="001E35A5">
        <w:t>%</w:t>
      </w:r>
      <w:r w:rsidR="00017737">
        <w:t>–</w:t>
      </w:r>
      <w:r>
        <w:t xml:space="preserve">34% and 48% of these women scoring above the threshold for depression and anxiety, respectively. Psychological health improved over time in women who underwent TOP, but it is not fully known whether this is also the case for women with children suffering from CF. One study indicated that in this group, severe depression and anxiety </w:t>
      </w:r>
      <w:r w:rsidR="00017737">
        <w:t xml:space="preserve">were </w:t>
      </w:r>
      <w:r>
        <w:t xml:space="preserve">associated with a younger age of the child. Women showed </w:t>
      </w:r>
      <w:r>
        <w:lastRenderedPageBreak/>
        <w:t>more (psychological) symptoms than men, both in the post-TOP group and the group with CF</w:t>
      </w:r>
      <w:r w:rsidR="00017737">
        <w:t>-</w:t>
      </w:r>
      <w:r>
        <w:t>affected children.</w:t>
      </w:r>
    </w:p>
    <w:p w14:paraId="49462DA9" w14:textId="24528C9B" w:rsidR="00F149BC" w:rsidRDefault="00F149BC" w:rsidP="00F149BC">
      <w:pPr>
        <w:pStyle w:val="Heading4"/>
      </w:pPr>
      <w:r>
        <w:t>Conclusion</w:t>
      </w:r>
    </w:p>
    <w:p w14:paraId="2A0BF397" w14:textId="2C6D9A6D" w:rsidR="003A625B" w:rsidRPr="007E2D13" w:rsidRDefault="003A625B" w:rsidP="003A625B">
      <w:r w:rsidRPr="007E2D13">
        <w:t>On the basis of the benefits and harms reported in the evidence</w:t>
      </w:r>
      <w:r w:rsidR="002B2387">
        <w:t>-</w:t>
      </w:r>
      <w:r w:rsidRPr="007E2D13">
        <w:t xml:space="preserve">base (summarised above), it is suggested that, relative to no genetic testing and </w:t>
      </w:r>
      <w:r w:rsidR="000D4B54">
        <w:t xml:space="preserve">subsequent </w:t>
      </w:r>
      <w:r w:rsidRPr="007E2D13">
        <w:t xml:space="preserve">clinical diagnosis after birth, prenatal </w:t>
      </w:r>
      <w:r w:rsidRPr="003A625B">
        <w:t>CFTR</w:t>
      </w:r>
      <w:r w:rsidRPr="007E2D13">
        <w:t xml:space="preserve"> mutation testing </w:t>
      </w:r>
      <w:r>
        <w:t>is likely to correctly identify most CFTR mutations if the appropriate test is used</w:t>
      </w:r>
      <w:r w:rsidR="000D4B54">
        <w:t>,</w:t>
      </w:r>
      <w:r>
        <w:t xml:space="preserve"> and will result in the termination of a majority of the affected pregnancies. CFTR mutation testing</w:t>
      </w:r>
      <w:r w:rsidRPr="007E2D13">
        <w:t xml:space="preserve"> reduc</w:t>
      </w:r>
      <w:r>
        <w:t>es</w:t>
      </w:r>
      <w:r w:rsidRPr="007E2D13">
        <w:t xml:space="preserve"> the frequency of people being born with CF. </w:t>
      </w:r>
      <w:r>
        <w:t>The test</w:t>
      </w:r>
      <w:r w:rsidRPr="007E2D13">
        <w:t xml:space="preserve"> has inferior safety compared </w:t>
      </w:r>
      <w:r w:rsidR="002B2387">
        <w:t>with</w:t>
      </w:r>
      <w:r w:rsidR="002B2387" w:rsidRPr="007E2D13">
        <w:t xml:space="preserve"> </w:t>
      </w:r>
      <w:r w:rsidRPr="007E2D13">
        <w:t xml:space="preserve">clinical diagnosis after birth, due to the risk of miscarriage associated with prenatal sampling procedures and </w:t>
      </w:r>
      <w:r>
        <w:t xml:space="preserve">the </w:t>
      </w:r>
      <w:r w:rsidRPr="007E2D13">
        <w:t xml:space="preserve">adverse events associated with </w:t>
      </w:r>
      <w:r w:rsidR="002B2387">
        <w:t>TOP</w:t>
      </w:r>
      <w:r w:rsidRPr="007E2D13">
        <w:t xml:space="preserve">. There was insufficient evidence to make a direct comparison </w:t>
      </w:r>
      <w:r w:rsidR="002B2387">
        <w:t>between</w:t>
      </w:r>
      <w:r w:rsidR="002B2387" w:rsidRPr="007E2D13">
        <w:t xml:space="preserve"> </w:t>
      </w:r>
      <w:r w:rsidRPr="007E2D13">
        <w:t xml:space="preserve">the psychological impact of </w:t>
      </w:r>
      <w:r w:rsidR="002B2387">
        <w:t>TOP</w:t>
      </w:r>
      <w:r w:rsidRPr="007E2D13">
        <w:t xml:space="preserve"> and the impact of raising a child with CF</w:t>
      </w:r>
      <w:r>
        <w:t xml:space="preserve">, although in the short term the </w:t>
      </w:r>
      <w:r w:rsidR="002B2387">
        <w:t xml:space="preserve">rates of depression </w:t>
      </w:r>
      <w:r>
        <w:t>appear to be similar</w:t>
      </w:r>
      <w:r w:rsidRPr="007E2D13">
        <w:t>.</w:t>
      </w:r>
    </w:p>
    <w:p w14:paraId="19DB9E6F" w14:textId="77777777" w:rsidR="000A2C9E" w:rsidRPr="00183E4D" w:rsidRDefault="000A2C9E">
      <w:pPr>
        <w:pStyle w:val="Heading3"/>
        <w:tabs>
          <w:tab w:val="left" w:pos="567"/>
        </w:tabs>
      </w:pPr>
      <w:bookmarkStart w:id="73" w:name="_Toc418179873"/>
      <w:r w:rsidRPr="00183E4D">
        <w:t>C.</w:t>
      </w:r>
      <w:r w:rsidRPr="00183E4D">
        <w:tab/>
        <w:t>Translation Issues</w:t>
      </w:r>
      <w:bookmarkEnd w:id="69"/>
      <w:bookmarkEnd w:id="73"/>
    </w:p>
    <w:p w14:paraId="69852597" w14:textId="424AA327" w:rsidR="00093AB4" w:rsidRDefault="00093AB4" w:rsidP="009B120E">
      <w:pPr>
        <w:spacing w:after="120"/>
      </w:pPr>
      <w:r w:rsidRPr="007D28A8">
        <w:t xml:space="preserve">A full economic evaluation was done </w:t>
      </w:r>
      <w:r w:rsidR="000D4B54" w:rsidRPr="007D28A8">
        <w:t xml:space="preserve">only </w:t>
      </w:r>
      <w:r w:rsidRPr="007D28A8">
        <w:t>for prenatal testing</w:t>
      </w:r>
      <w:r w:rsidR="001E35A5">
        <w:t>;</w:t>
      </w:r>
      <w:r w:rsidRPr="007D28A8">
        <w:t xml:space="preserve"> </w:t>
      </w:r>
      <w:r w:rsidR="001E35A5">
        <w:t>that is,</w:t>
      </w:r>
      <w:r w:rsidRPr="007D28A8">
        <w:t xml:space="preserve"> populations 2a and 2b. The key issues identified in translating the systematic review of the clinical</w:t>
      </w:r>
      <w:r>
        <w:t xml:space="preserve"> evidence to the base</w:t>
      </w:r>
      <w:r w:rsidR="001D1319">
        <w:t>-</w:t>
      </w:r>
      <w:r>
        <w:t xml:space="preserve">case economic evaluations were: </w:t>
      </w:r>
    </w:p>
    <w:p w14:paraId="26800B5D" w14:textId="6B76BE22" w:rsidR="000A2C9E" w:rsidRDefault="00867417" w:rsidP="009B120E">
      <w:pPr>
        <w:pStyle w:val="ListParagraph"/>
        <w:numPr>
          <w:ilvl w:val="0"/>
          <w:numId w:val="44"/>
        </w:numPr>
        <w:spacing w:after="120"/>
      </w:pPr>
      <w:r>
        <w:t xml:space="preserve">What is the </w:t>
      </w:r>
      <w:r w:rsidR="001D2A62">
        <w:t>analytical validity</w:t>
      </w:r>
      <w:r>
        <w:t xml:space="preserve"> of </w:t>
      </w:r>
      <w:r w:rsidR="00FD37D3" w:rsidRPr="00FD37D3">
        <w:t>CFTR</w:t>
      </w:r>
      <w:r>
        <w:t xml:space="preserve"> mutation testing in </w:t>
      </w:r>
      <w:r w:rsidR="001D1319">
        <w:t xml:space="preserve">the </w:t>
      </w:r>
      <w:r>
        <w:t>prenatal population?</w:t>
      </w:r>
    </w:p>
    <w:p w14:paraId="1940C721" w14:textId="69E73205" w:rsidR="00867417" w:rsidRDefault="00867417" w:rsidP="009B120E">
      <w:pPr>
        <w:pStyle w:val="ListParagraph"/>
        <w:numPr>
          <w:ilvl w:val="0"/>
          <w:numId w:val="44"/>
        </w:numPr>
        <w:spacing w:after="120"/>
      </w:pPr>
      <w:r>
        <w:t xml:space="preserve">What is </w:t>
      </w:r>
      <w:r w:rsidR="00E42867">
        <w:t xml:space="preserve">the clinical sensitivity </w:t>
      </w:r>
      <w:r w:rsidR="008360E9">
        <w:t xml:space="preserve">(detection rate) </w:t>
      </w:r>
      <w:r w:rsidR="00E42867">
        <w:t xml:space="preserve">of </w:t>
      </w:r>
      <w:r w:rsidR="0085150E">
        <w:t xml:space="preserve">the </w:t>
      </w:r>
      <w:r w:rsidR="00FD37D3" w:rsidRPr="00FD37D3">
        <w:t>CFTR</w:t>
      </w:r>
      <w:r w:rsidR="00E42867">
        <w:t xml:space="preserve"> mutation test?</w:t>
      </w:r>
    </w:p>
    <w:p w14:paraId="6523F662" w14:textId="77777777" w:rsidR="00E42867" w:rsidRDefault="00E42867" w:rsidP="009B120E">
      <w:pPr>
        <w:pStyle w:val="ListParagraph"/>
        <w:numPr>
          <w:ilvl w:val="0"/>
          <w:numId w:val="44"/>
        </w:numPr>
        <w:spacing w:after="120"/>
      </w:pPr>
      <w:r>
        <w:t>What is the incidence of CF in fetuses diagnosed with echogenic bowel?</w:t>
      </w:r>
    </w:p>
    <w:p w14:paraId="2FAFECB0" w14:textId="77777777" w:rsidR="00E42867" w:rsidRDefault="00E42867" w:rsidP="009B120E">
      <w:pPr>
        <w:pStyle w:val="ListParagraph"/>
        <w:numPr>
          <w:ilvl w:val="0"/>
          <w:numId w:val="44"/>
        </w:numPr>
        <w:spacing w:after="120"/>
      </w:pPr>
      <w:r>
        <w:t>What is the risk of miscarriage associated with invasive testing?</w:t>
      </w:r>
    </w:p>
    <w:p w14:paraId="0B17E2AC" w14:textId="77777777" w:rsidR="00E42867" w:rsidRDefault="00E42867" w:rsidP="009B120E">
      <w:pPr>
        <w:pStyle w:val="ListParagraph"/>
        <w:numPr>
          <w:ilvl w:val="0"/>
          <w:numId w:val="44"/>
        </w:numPr>
        <w:spacing w:after="120"/>
      </w:pPr>
      <w:r>
        <w:t>What is the uptake rate of termination of pregnancy?</w:t>
      </w:r>
    </w:p>
    <w:p w14:paraId="2E5FA5F2" w14:textId="4461FA3E" w:rsidR="00867417" w:rsidRPr="00183E4D" w:rsidRDefault="00762E7C" w:rsidP="000A2C9E">
      <w:r>
        <w:t xml:space="preserve">Pre-modelling studies were conducted to address these issues. </w:t>
      </w:r>
      <w:r w:rsidR="00E42867">
        <w:t xml:space="preserve">A </w:t>
      </w:r>
      <w:r w:rsidR="00867417" w:rsidRPr="005D23E5">
        <w:t>summary of the findings of e</w:t>
      </w:r>
      <w:r w:rsidR="00867417">
        <w:t xml:space="preserve">ach pre-modelling study and </w:t>
      </w:r>
      <w:r w:rsidR="000D4B54">
        <w:t xml:space="preserve">its </w:t>
      </w:r>
      <w:r w:rsidR="00867417">
        <w:t xml:space="preserve">implications to </w:t>
      </w:r>
      <w:r w:rsidR="00867417" w:rsidRPr="005D23E5">
        <w:t>the economic evaluation</w:t>
      </w:r>
      <w:r w:rsidR="00E42867">
        <w:t xml:space="preserve"> can be found in </w:t>
      </w:r>
      <w:r w:rsidR="00E42867">
        <w:fldChar w:fldCharType="begin"/>
      </w:r>
      <w:r w:rsidR="00E42867">
        <w:instrText xml:space="preserve"> REF _Ref413881251 \h </w:instrText>
      </w:r>
      <w:r w:rsidR="00E42867">
        <w:fldChar w:fldCharType="separate"/>
      </w:r>
      <w:r w:rsidR="00BB0E3E" w:rsidRPr="002D2515">
        <w:t xml:space="preserve">Table </w:t>
      </w:r>
      <w:r w:rsidR="00BB0E3E">
        <w:rPr>
          <w:noProof/>
        </w:rPr>
        <w:t>53</w:t>
      </w:r>
      <w:r w:rsidR="00E42867">
        <w:fldChar w:fldCharType="end"/>
      </w:r>
      <w:r w:rsidR="00E42867">
        <w:t xml:space="preserve"> on </w:t>
      </w:r>
      <w:r w:rsidR="00E42867" w:rsidRPr="00C07180">
        <w:t xml:space="preserve">page </w:t>
      </w:r>
      <w:r w:rsidR="00E42867" w:rsidRPr="00C07180">
        <w:fldChar w:fldCharType="begin"/>
      </w:r>
      <w:r w:rsidR="00E42867" w:rsidRPr="00C07180">
        <w:instrText xml:space="preserve"> PAGEREF _Ref416682918 \h </w:instrText>
      </w:r>
      <w:r w:rsidR="00E42867" w:rsidRPr="00C07180">
        <w:fldChar w:fldCharType="separate"/>
      </w:r>
      <w:r w:rsidR="00BB0E3E">
        <w:rPr>
          <w:noProof/>
        </w:rPr>
        <w:t>99</w:t>
      </w:r>
      <w:r w:rsidR="00E42867" w:rsidRPr="00C07180">
        <w:fldChar w:fldCharType="end"/>
      </w:r>
      <w:r w:rsidR="00E42867">
        <w:t>.</w:t>
      </w:r>
    </w:p>
    <w:p w14:paraId="266DF701" w14:textId="6EA0AA3A" w:rsidR="008C7152" w:rsidRPr="00183E4D" w:rsidRDefault="00D62ADF" w:rsidP="00DF343F">
      <w:pPr>
        <w:pStyle w:val="Heading3"/>
      </w:pPr>
      <w:bookmarkStart w:id="74" w:name="_Toc395200752"/>
      <w:bookmarkStart w:id="75" w:name="_Toc418179874"/>
      <w:r w:rsidRPr="00183E4D">
        <w:t>D.</w:t>
      </w:r>
      <w:r w:rsidR="00FC10F8">
        <w:tab/>
      </w:r>
      <w:r w:rsidR="008C7152" w:rsidRPr="00183E4D">
        <w:t>Economic</w:t>
      </w:r>
      <w:r w:rsidR="000B7EE2" w:rsidRPr="00183E4D">
        <w:t xml:space="preserve"> </w:t>
      </w:r>
      <w:bookmarkEnd w:id="70"/>
      <w:bookmarkEnd w:id="71"/>
      <w:bookmarkEnd w:id="72"/>
      <w:r w:rsidRPr="00183E4D">
        <w:t>Evaluation</w:t>
      </w:r>
      <w:bookmarkEnd w:id="74"/>
      <w:bookmarkEnd w:id="75"/>
    </w:p>
    <w:p w14:paraId="63A99CC8" w14:textId="24AF5D2C" w:rsidR="00C96FE9" w:rsidRDefault="00093AB4" w:rsidP="00A94BED">
      <w:bookmarkStart w:id="76" w:name="_Ref379404328"/>
      <w:r>
        <w:t>An</w:t>
      </w:r>
      <w:r w:rsidRPr="009D5409">
        <w:t xml:space="preserve"> </w:t>
      </w:r>
      <w:r>
        <w:t>analysis is presented to</w:t>
      </w:r>
      <w:r w:rsidRPr="009D5409">
        <w:t xml:space="preserve"> </w:t>
      </w:r>
      <w:r>
        <w:t xml:space="preserve">investigate the cost-effectiveness of </w:t>
      </w:r>
      <w:r w:rsidRPr="00127652">
        <w:t xml:space="preserve">prenatal genetic </w:t>
      </w:r>
      <w:r w:rsidRPr="00FD37D3">
        <w:t>CFTR</w:t>
      </w:r>
      <w:r w:rsidRPr="00127652">
        <w:t xml:space="preserve"> testing</w:t>
      </w:r>
      <w:r w:rsidRPr="009D5409">
        <w:t xml:space="preserve"> </w:t>
      </w:r>
      <w:r>
        <w:t xml:space="preserve">in pregnancies </w:t>
      </w:r>
      <w:r w:rsidRPr="00A94BED">
        <w:t xml:space="preserve">where </w:t>
      </w:r>
      <w:r>
        <w:t>fetuses are assessed as</w:t>
      </w:r>
      <w:r w:rsidRPr="00A94BED">
        <w:t xml:space="preserve"> high risk of having CF</w:t>
      </w:r>
      <w:r>
        <w:t xml:space="preserve"> (</w:t>
      </w:r>
      <w:r w:rsidRPr="009D5409">
        <w:t xml:space="preserve">populations </w:t>
      </w:r>
      <w:r>
        <w:t>2a</w:t>
      </w:r>
      <w:r w:rsidRPr="009D5409">
        <w:t xml:space="preserve"> and </w:t>
      </w:r>
      <w:r>
        <w:t xml:space="preserve">2b) compared </w:t>
      </w:r>
      <w:r w:rsidRPr="00127652">
        <w:t xml:space="preserve">with </w:t>
      </w:r>
      <w:r>
        <w:t xml:space="preserve">the current situation of </w:t>
      </w:r>
      <w:r w:rsidRPr="00127652">
        <w:t>no prenatal genetic testing</w:t>
      </w:r>
      <w:r>
        <w:t xml:space="preserve"> and CF diagnosis through </w:t>
      </w:r>
      <w:r w:rsidR="0067459F">
        <w:t>NBS</w:t>
      </w:r>
      <w:r>
        <w:t xml:space="preserve"> after birth.</w:t>
      </w:r>
      <w:r w:rsidR="009147B5">
        <w:t xml:space="preserve"> </w:t>
      </w:r>
      <w:r w:rsidR="009147B5" w:rsidRPr="009147B5">
        <w:t xml:space="preserve">A summary of the </w:t>
      </w:r>
      <w:r w:rsidR="00A724FC">
        <w:t>key characteristics</w:t>
      </w:r>
      <w:r w:rsidR="009147B5" w:rsidRPr="009147B5">
        <w:t xml:space="preserve"> of the economic model is presented in</w:t>
      </w:r>
      <w:r w:rsidR="009147B5">
        <w:t xml:space="preserve"> </w:t>
      </w:r>
      <w:r w:rsidR="009147B5">
        <w:fldChar w:fldCharType="begin"/>
      </w:r>
      <w:r w:rsidR="009147B5">
        <w:instrText xml:space="preserve"> REF _Ref379483368 \h </w:instrText>
      </w:r>
      <w:r w:rsidR="00A94BED">
        <w:instrText xml:space="preserve"> \* MERGEFORMAT </w:instrText>
      </w:r>
      <w:r w:rsidR="009147B5">
        <w:fldChar w:fldCharType="separate"/>
      </w:r>
      <w:r w:rsidR="00BB0E3E" w:rsidRPr="009147B5">
        <w:t xml:space="preserve">Table </w:t>
      </w:r>
      <w:r w:rsidR="00BB0E3E">
        <w:t>1</w:t>
      </w:r>
      <w:r w:rsidR="009147B5">
        <w:fldChar w:fldCharType="end"/>
      </w:r>
      <w:r w:rsidR="009147B5">
        <w:t>.</w:t>
      </w:r>
    </w:p>
    <w:p w14:paraId="7CF08011" w14:textId="77777777" w:rsidR="00CD61FF" w:rsidRPr="00183E4D" w:rsidRDefault="00CD61FF" w:rsidP="00A94BED"/>
    <w:p w14:paraId="316DFD18" w14:textId="77777777" w:rsidR="005C3E17" w:rsidRPr="00183E4D" w:rsidRDefault="00DB3295" w:rsidP="00BB381C">
      <w:pPr>
        <w:pStyle w:val="Caption"/>
        <w:tabs>
          <w:tab w:val="left" w:pos="1134"/>
        </w:tabs>
        <w:ind w:left="1134" w:hanging="1134"/>
      </w:pPr>
      <w:bookmarkStart w:id="77" w:name="_Ref379483368"/>
      <w:bookmarkStart w:id="78" w:name="_Ref394419656"/>
      <w:bookmarkStart w:id="79" w:name="_Toc418179398"/>
      <w:r w:rsidRPr="009147B5">
        <w:lastRenderedPageBreak/>
        <w:t>Table</w:t>
      </w:r>
      <w:r w:rsidR="005C3E17" w:rsidRPr="009147B5">
        <w:t xml:space="preserve"> </w:t>
      </w:r>
      <w:fldSimple w:instr=" SEQ Table \* ARABIC ">
        <w:r w:rsidR="00BB0E3E">
          <w:rPr>
            <w:noProof/>
          </w:rPr>
          <w:t>1</w:t>
        </w:r>
      </w:fldSimple>
      <w:bookmarkEnd w:id="76"/>
      <w:bookmarkEnd w:id="77"/>
      <w:r w:rsidR="005C3E17" w:rsidRPr="00183E4D">
        <w:tab/>
        <w:t>Summary of the economic evaluation</w:t>
      </w:r>
      <w:bookmarkEnd w:id="78"/>
      <w:bookmarkEnd w:id="79"/>
      <w:r w:rsidR="005C3E17" w:rsidRPr="00183E4D">
        <w:t xml:space="preserve"> </w:t>
      </w:r>
    </w:p>
    <w:tbl>
      <w:tblPr>
        <w:tblStyle w:val="TableGrid1"/>
        <w:tblW w:w="0" w:type="auto"/>
        <w:tblLook w:val="01E0" w:firstRow="1" w:lastRow="1" w:firstColumn="1" w:lastColumn="1" w:noHBand="0" w:noVBand="0"/>
        <w:tblCaption w:val="Table 1 Summary of the economic evaluation"/>
        <w:tblDescription w:val="This table describes the key constructs of the economic evaluation provided in the assessment report."/>
      </w:tblPr>
      <w:tblGrid>
        <w:gridCol w:w="3119"/>
        <w:gridCol w:w="5953"/>
      </w:tblGrid>
      <w:tr w:rsidR="001C0F83" w:rsidRPr="00127652" w14:paraId="5468C205" w14:textId="77777777" w:rsidTr="0042252D">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Pr>
          <w:p w14:paraId="6393515E" w14:textId="77777777" w:rsidR="001C0F83" w:rsidRPr="00AD3612" w:rsidRDefault="001C0F83" w:rsidP="003857BF">
            <w:pPr>
              <w:pStyle w:val="TableHeading"/>
            </w:pPr>
            <w:r w:rsidRPr="00AD3612">
              <w:t>Perspective</w:t>
            </w:r>
          </w:p>
        </w:tc>
        <w:tc>
          <w:tcPr>
            <w:tcW w:w="5953" w:type="dxa"/>
          </w:tcPr>
          <w:p w14:paraId="25A56036" w14:textId="77C6B716" w:rsidR="001C0F83" w:rsidRPr="00127652" w:rsidRDefault="001C0F83" w:rsidP="009B120E">
            <w:pPr>
              <w:pStyle w:val="Tabletext1"/>
              <w:jc w:val="left"/>
              <w:rPr>
                <w:vanish/>
              </w:rPr>
            </w:pPr>
            <w:r w:rsidRPr="00127652">
              <w:t xml:space="preserve">Australian </w:t>
            </w:r>
            <w:r w:rsidR="003E38A0">
              <w:t>h</w:t>
            </w:r>
            <w:r w:rsidRPr="00127652">
              <w:t xml:space="preserve">ealthcare </w:t>
            </w:r>
          </w:p>
        </w:tc>
      </w:tr>
      <w:tr w:rsidR="001C0F83" w:rsidRPr="00127652" w14:paraId="57E3311D" w14:textId="77777777" w:rsidTr="004245A0">
        <w:trPr>
          <w:trHeight w:val="20"/>
        </w:trPr>
        <w:tc>
          <w:tcPr>
            <w:tcW w:w="3119" w:type="dxa"/>
          </w:tcPr>
          <w:p w14:paraId="51E821D1" w14:textId="77777777" w:rsidR="001C0F83" w:rsidRPr="00AD3612" w:rsidRDefault="001C0F83" w:rsidP="003857BF">
            <w:pPr>
              <w:pStyle w:val="TableHeading"/>
            </w:pPr>
            <w:r w:rsidRPr="00AD3612">
              <w:t>Comparator</w:t>
            </w:r>
          </w:p>
        </w:tc>
        <w:tc>
          <w:tcPr>
            <w:tcW w:w="5953" w:type="dxa"/>
          </w:tcPr>
          <w:p w14:paraId="51662D42" w14:textId="77777777" w:rsidR="001C0F83" w:rsidRPr="00127652" w:rsidRDefault="001C0F83" w:rsidP="009B120E">
            <w:pPr>
              <w:pStyle w:val="Tabletext1"/>
              <w:jc w:val="left"/>
            </w:pPr>
            <w:r w:rsidRPr="00127652">
              <w:t>No prenatal diagnosis for cystic fibrosis (CF)</w:t>
            </w:r>
          </w:p>
        </w:tc>
      </w:tr>
      <w:tr w:rsidR="001C0F83" w:rsidRPr="00127652" w14:paraId="1754ECDB" w14:textId="77777777" w:rsidTr="004245A0">
        <w:trPr>
          <w:trHeight w:val="20"/>
        </w:trPr>
        <w:tc>
          <w:tcPr>
            <w:tcW w:w="3119" w:type="dxa"/>
          </w:tcPr>
          <w:p w14:paraId="41E01434" w14:textId="77777777" w:rsidR="001C0F83" w:rsidRPr="00AD3612" w:rsidRDefault="001C0F83" w:rsidP="003857BF">
            <w:pPr>
              <w:pStyle w:val="TableHeading"/>
            </w:pPr>
            <w:r w:rsidRPr="00AD3612">
              <w:t>Type of economic evaluation</w:t>
            </w:r>
          </w:p>
        </w:tc>
        <w:tc>
          <w:tcPr>
            <w:tcW w:w="5953" w:type="dxa"/>
          </w:tcPr>
          <w:p w14:paraId="4C73F398" w14:textId="77777777" w:rsidR="001C0F83" w:rsidRPr="00127652" w:rsidRDefault="001C0F83" w:rsidP="009B120E">
            <w:pPr>
              <w:pStyle w:val="Tabletext1"/>
              <w:jc w:val="left"/>
              <w:rPr>
                <w:vanish/>
              </w:rPr>
            </w:pPr>
            <w:r w:rsidRPr="00127652">
              <w:t>Cost-effectiveness</w:t>
            </w:r>
          </w:p>
        </w:tc>
      </w:tr>
      <w:tr w:rsidR="001C0F83" w:rsidRPr="00127652" w14:paraId="6B9288DE" w14:textId="77777777" w:rsidTr="004245A0">
        <w:trPr>
          <w:trHeight w:val="20"/>
        </w:trPr>
        <w:tc>
          <w:tcPr>
            <w:tcW w:w="3119" w:type="dxa"/>
          </w:tcPr>
          <w:p w14:paraId="300F50D8" w14:textId="77777777" w:rsidR="001C0F83" w:rsidRPr="00AD3612" w:rsidRDefault="001C0F83" w:rsidP="003857BF">
            <w:pPr>
              <w:pStyle w:val="TableHeading"/>
            </w:pPr>
            <w:r w:rsidRPr="00AD3612">
              <w:t>Sources of evidence</w:t>
            </w:r>
          </w:p>
        </w:tc>
        <w:tc>
          <w:tcPr>
            <w:tcW w:w="5953" w:type="dxa"/>
          </w:tcPr>
          <w:p w14:paraId="569D4CA7" w14:textId="1D6AC027" w:rsidR="001C0F83" w:rsidRPr="00127652" w:rsidRDefault="001C0F83" w:rsidP="009B120E">
            <w:pPr>
              <w:pStyle w:val="Tabletext1"/>
              <w:jc w:val="left"/>
              <w:rPr>
                <w:vanish/>
              </w:rPr>
            </w:pPr>
            <w:r w:rsidRPr="00127652">
              <w:t xml:space="preserve">Systematic </w:t>
            </w:r>
            <w:r w:rsidR="003116D1">
              <w:t>r</w:t>
            </w:r>
            <w:r w:rsidRPr="00127652">
              <w:t>eview</w:t>
            </w:r>
          </w:p>
        </w:tc>
      </w:tr>
      <w:tr w:rsidR="001C0F83" w:rsidRPr="00127652" w14:paraId="38A7CB8B" w14:textId="77777777" w:rsidTr="004245A0">
        <w:trPr>
          <w:trHeight w:val="20"/>
        </w:trPr>
        <w:tc>
          <w:tcPr>
            <w:tcW w:w="3119" w:type="dxa"/>
            <w:hideMark/>
          </w:tcPr>
          <w:p w14:paraId="6F99A38F" w14:textId="77777777" w:rsidR="001C0F83" w:rsidRPr="00AD3612" w:rsidRDefault="001C0F83" w:rsidP="003857BF">
            <w:pPr>
              <w:pStyle w:val="TableHeading"/>
            </w:pPr>
            <w:r w:rsidRPr="00AD3612">
              <w:t>Time horizon</w:t>
            </w:r>
          </w:p>
        </w:tc>
        <w:tc>
          <w:tcPr>
            <w:tcW w:w="5953" w:type="dxa"/>
            <w:hideMark/>
          </w:tcPr>
          <w:p w14:paraId="742488FA" w14:textId="77777777" w:rsidR="001C0F83" w:rsidRPr="00127652" w:rsidRDefault="001C0F83" w:rsidP="009B120E">
            <w:pPr>
              <w:pStyle w:val="Tabletext1"/>
              <w:jc w:val="left"/>
            </w:pPr>
            <w:r w:rsidRPr="00127652">
              <w:t>Pregnancy to newborn screening</w:t>
            </w:r>
          </w:p>
        </w:tc>
      </w:tr>
      <w:tr w:rsidR="001C0F83" w:rsidRPr="00127652" w14:paraId="46683BE3" w14:textId="77777777" w:rsidTr="004245A0">
        <w:trPr>
          <w:trHeight w:val="20"/>
        </w:trPr>
        <w:tc>
          <w:tcPr>
            <w:tcW w:w="3119" w:type="dxa"/>
            <w:hideMark/>
          </w:tcPr>
          <w:p w14:paraId="18385C8E" w14:textId="77777777" w:rsidR="001C0F83" w:rsidRPr="00AD3612" w:rsidRDefault="001C0F83" w:rsidP="003857BF">
            <w:pPr>
              <w:pStyle w:val="TableHeading"/>
            </w:pPr>
            <w:r w:rsidRPr="00AD3612">
              <w:t>Outcomes</w:t>
            </w:r>
          </w:p>
        </w:tc>
        <w:tc>
          <w:tcPr>
            <w:tcW w:w="5953" w:type="dxa"/>
          </w:tcPr>
          <w:p w14:paraId="45436AE2" w14:textId="4C832C2E" w:rsidR="001C0F83" w:rsidRPr="00127652" w:rsidRDefault="001C0F83" w:rsidP="009B120E">
            <w:pPr>
              <w:pStyle w:val="Tabletext1"/>
              <w:jc w:val="left"/>
            </w:pPr>
            <w:r>
              <w:t xml:space="preserve">Costs per prenatal CF </w:t>
            </w:r>
            <w:r w:rsidR="00E752E2">
              <w:t xml:space="preserve">case </w:t>
            </w:r>
            <w:r>
              <w:t>detected, costs per CF birth averted</w:t>
            </w:r>
            <w:r w:rsidR="009F55C7">
              <w:t>, costs per pre-informed CF birth</w:t>
            </w:r>
          </w:p>
        </w:tc>
      </w:tr>
      <w:tr w:rsidR="008360E9" w:rsidRPr="00127652" w14:paraId="06DDCA95" w14:textId="77777777" w:rsidTr="004245A0">
        <w:trPr>
          <w:trHeight w:val="20"/>
        </w:trPr>
        <w:tc>
          <w:tcPr>
            <w:tcW w:w="3119" w:type="dxa"/>
            <w:hideMark/>
          </w:tcPr>
          <w:p w14:paraId="27CE60DD" w14:textId="77777777" w:rsidR="008360E9" w:rsidRPr="008360E9" w:rsidRDefault="008360E9" w:rsidP="008360E9">
            <w:pPr>
              <w:pStyle w:val="TableHeading"/>
            </w:pPr>
            <w:r w:rsidRPr="008360E9">
              <w:t>Costs</w:t>
            </w:r>
          </w:p>
        </w:tc>
        <w:tc>
          <w:tcPr>
            <w:tcW w:w="5953" w:type="dxa"/>
          </w:tcPr>
          <w:p w14:paraId="3366B941" w14:textId="77777777" w:rsidR="008360E9" w:rsidRDefault="008360E9" w:rsidP="009B120E">
            <w:pPr>
              <w:pStyle w:val="Tabletext1"/>
              <w:jc w:val="left"/>
            </w:pPr>
            <w:r>
              <w:t>Australian dollars, 2014 prices</w:t>
            </w:r>
          </w:p>
        </w:tc>
      </w:tr>
      <w:tr w:rsidR="001C0F83" w:rsidRPr="00127652" w14:paraId="616504CB" w14:textId="77777777" w:rsidTr="004245A0">
        <w:trPr>
          <w:trHeight w:val="20"/>
        </w:trPr>
        <w:tc>
          <w:tcPr>
            <w:tcW w:w="3119" w:type="dxa"/>
            <w:hideMark/>
          </w:tcPr>
          <w:p w14:paraId="05B1730D" w14:textId="77777777" w:rsidR="001C0F83" w:rsidRPr="00AD3612" w:rsidRDefault="001C0F83" w:rsidP="003857BF">
            <w:pPr>
              <w:pStyle w:val="TableHeading"/>
            </w:pPr>
            <w:r w:rsidRPr="00AD3612">
              <w:t>Methods used to generate results</w:t>
            </w:r>
          </w:p>
        </w:tc>
        <w:tc>
          <w:tcPr>
            <w:tcW w:w="5953" w:type="dxa"/>
          </w:tcPr>
          <w:p w14:paraId="039760B0" w14:textId="77777777" w:rsidR="001C0F83" w:rsidRPr="00127652" w:rsidRDefault="001C0F83" w:rsidP="009B120E">
            <w:pPr>
              <w:pStyle w:val="Tabletext1"/>
              <w:jc w:val="left"/>
            </w:pPr>
            <w:r w:rsidRPr="00127652">
              <w:t>Decision tree analysis</w:t>
            </w:r>
          </w:p>
        </w:tc>
      </w:tr>
      <w:tr w:rsidR="001C0F83" w:rsidRPr="00127652" w14:paraId="30D77BCA" w14:textId="77777777" w:rsidTr="004245A0">
        <w:trPr>
          <w:trHeight w:val="20"/>
        </w:trPr>
        <w:tc>
          <w:tcPr>
            <w:tcW w:w="3119" w:type="dxa"/>
            <w:hideMark/>
          </w:tcPr>
          <w:p w14:paraId="7B75DD2C" w14:textId="77777777" w:rsidR="001C0F83" w:rsidRPr="00AD3612" w:rsidRDefault="001C0F83" w:rsidP="003857BF">
            <w:pPr>
              <w:pStyle w:val="TableHeading"/>
            </w:pPr>
            <w:r w:rsidRPr="00AD3612">
              <w:t>Discount rate</w:t>
            </w:r>
          </w:p>
        </w:tc>
        <w:tc>
          <w:tcPr>
            <w:tcW w:w="5953" w:type="dxa"/>
          </w:tcPr>
          <w:p w14:paraId="73B2E3BB" w14:textId="77777777" w:rsidR="001C0F83" w:rsidRPr="00127652" w:rsidRDefault="001C0F83" w:rsidP="009B120E">
            <w:pPr>
              <w:pStyle w:val="Tabletext1"/>
              <w:jc w:val="left"/>
            </w:pPr>
            <w:r w:rsidRPr="00127652">
              <w:t>Not applicable</w:t>
            </w:r>
          </w:p>
        </w:tc>
      </w:tr>
      <w:tr w:rsidR="001C0F83" w:rsidRPr="00127652" w14:paraId="1EE7CB87" w14:textId="77777777" w:rsidTr="004245A0">
        <w:trPr>
          <w:trHeight w:val="20"/>
        </w:trPr>
        <w:tc>
          <w:tcPr>
            <w:tcW w:w="3119" w:type="dxa"/>
            <w:hideMark/>
          </w:tcPr>
          <w:p w14:paraId="55B4BBCA" w14:textId="77777777" w:rsidR="001C0F83" w:rsidRPr="00AD3612" w:rsidRDefault="001C0F83" w:rsidP="003857BF">
            <w:pPr>
              <w:pStyle w:val="TableHeading"/>
            </w:pPr>
            <w:r w:rsidRPr="00AD3612">
              <w:t>Software packages used</w:t>
            </w:r>
          </w:p>
        </w:tc>
        <w:tc>
          <w:tcPr>
            <w:tcW w:w="5953" w:type="dxa"/>
          </w:tcPr>
          <w:p w14:paraId="11951232" w14:textId="77777777" w:rsidR="001C0F83" w:rsidRPr="00127652" w:rsidRDefault="001C0F83" w:rsidP="009B120E">
            <w:pPr>
              <w:pStyle w:val="Tabletext1"/>
              <w:jc w:val="left"/>
            </w:pPr>
            <w:r w:rsidRPr="00127652">
              <w:t>TreeAge Pro Software 2015</w:t>
            </w:r>
            <w:r>
              <w:t>, MS Excel 2010</w:t>
            </w:r>
          </w:p>
        </w:tc>
      </w:tr>
    </w:tbl>
    <w:p w14:paraId="3D77B8D5" w14:textId="77777777" w:rsidR="007B135A" w:rsidRDefault="007B135A" w:rsidP="00DF343F"/>
    <w:p w14:paraId="34FAA576" w14:textId="235A6712" w:rsidR="00A724FC" w:rsidRPr="00127652" w:rsidRDefault="00A724FC" w:rsidP="009B120E">
      <w:pPr>
        <w:spacing w:after="120"/>
      </w:pPr>
      <w:r w:rsidRPr="00127652">
        <w:t xml:space="preserve">Two economic models are presented for populations </w:t>
      </w:r>
      <w:r w:rsidR="00093AB4">
        <w:t>2a and 2b</w:t>
      </w:r>
      <w:r>
        <w:t>:</w:t>
      </w:r>
    </w:p>
    <w:p w14:paraId="06DCB9A1" w14:textId="0A8F5C76" w:rsidR="00093AB4" w:rsidRPr="00127652" w:rsidRDefault="00093AB4" w:rsidP="009B120E">
      <w:pPr>
        <w:numPr>
          <w:ilvl w:val="0"/>
          <w:numId w:val="27"/>
        </w:numPr>
        <w:spacing w:after="120"/>
      </w:pPr>
      <w:r w:rsidRPr="00127652">
        <w:rPr>
          <w:b/>
        </w:rPr>
        <w:t>Model 1</w:t>
      </w:r>
      <w:r>
        <w:rPr>
          <w:b/>
        </w:rPr>
        <w:t xml:space="preserve"> </w:t>
      </w:r>
      <w:r w:rsidRPr="00170DDE">
        <w:rPr>
          <w:b/>
        </w:rPr>
        <w:t xml:space="preserve">(population </w:t>
      </w:r>
      <w:r>
        <w:rPr>
          <w:b/>
        </w:rPr>
        <w:t>2</w:t>
      </w:r>
      <w:r w:rsidRPr="00170DDE">
        <w:rPr>
          <w:b/>
        </w:rPr>
        <w:t>a)</w:t>
      </w:r>
      <w:r w:rsidRPr="00127652">
        <w:rPr>
          <w:b/>
        </w:rPr>
        <w:t>:</w:t>
      </w:r>
      <w:r w:rsidRPr="00127652">
        <w:t xml:space="preserve"> Fetus at 1:4 risk of CF due to parents being </w:t>
      </w:r>
      <w:r w:rsidR="001F308C">
        <w:t xml:space="preserve">known </w:t>
      </w:r>
      <w:r w:rsidRPr="00127652">
        <w:t>carriers or hav</w:t>
      </w:r>
      <w:r w:rsidR="001F308C">
        <w:t>ing</w:t>
      </w:r>
      <w:r w:rsidRPr="00127652">
        <w:t xml:space="preserve"> </w:t>
      </w:r>
      <w:r w:rsidR="003116D1">
        <w:t xml:space="preserve">a </w:t>
      </w:r>
      <w:r w:rsidRPr="00127652">
        <w:t>previous child clinically diagnosed with CF</w:t>
      </w:r>
    </w:p>
    <w:p w14:paraId="5CCA019F" w14:textId="38DAD084" w:rsidR="00093AB4" w:rsidRPr="00127652" w:rsidRDefault="00093AB4" w:rsidP="009B120E">
      <w:pPr>
        <w:numPr>
          <w:ilvl w:val="0"/>
          <w:numId w:val="27"/>
        </w:numPr>
        <w:spacing w:after="120"/>
      </w:pPr>
      <w:r w:rsidRPr="00127652">
        <w:rPr>
          <w:b/>
        </w:rPr>
        <w:t>Model 2</w:t>
      </w:r>
      <w:r>
        <w:rPr>
          <w:b/>
        </w:rPr>
        <w:t xml:space="preserve"> (population 2b</w:t>
      </w:r>
      <w:r w:rsidRPr="00170DDE">
        <w:rPr>
          <w:b/>
        </w:rPr>
        <w:t>)</w:t>
      </w:r>
      <w:r w:rsidRPr="00127652">
        <w:rPr>
          <w:b/>
        </w:rPr>
        <w:t>:</w:t>
      </w:r>
      <w:r w:rsidRPr="00127652">
        <w:t xml:space="preserve"> Fetus at risk of CF due to diagnosis of echogenic bowel on the second</w:t>
      </w:r>
      <w:r w:rsidR="00CA6661">
        <w:t>-</w:t>
      </w:r>
      <w:r w:rsidRPr="00127652">
        <w:t xml:space="preserve">trimester ultrasound </w:t>
      </w:r>
    </w:p>
    <w:p w14:paraId="49D883FF" w14:textId="79D73148" w:rsidR="00E91BE1" w:rsidRDefault="00D32C75" w:rsidP="009B120E">
      <w:pPr>
        <w:spacing w:after="120"/>
      </w:pPr>
      <w:r w:rsidRPr="00183E4D">
        <w:t>Key structural assumptions of the model</w:t>
      </w:r>
      <w:r w:rsidR="003276DE">
        <w:t>s</w:t>
      </w:r>
      <w:r w:rsidRPr="00183E4D">
        <w:t xml:space="preserve"> a</w:t>
      </w:r>
      <w:r w:rsidR="005C3E17" w:rsidRPr="00183E4D">
        <w:t>re:</w:t>
      </w:r>
    </w:p>
    <w:p w14:paraId="73F9D793" w14:textId="3D7E33E4" w:rsidR="00093AB4" w:rsidRDefault="00093AB4" w:rsidP="009B120E">
      <w:pPr>
        <w:numPr>
          <w:ilvl w:val="0"/>
          <w:numId w:val="28"/>
        </w:numPr>
        <w:spacing w:after="120"/>
      </w:pPr>
      <w:r>
        <w:t xml:space="preserve">Prenatal diagnostic </w:t>
      </w:r>
      <w:r w:rsidRPr="00FD37D3">
        <w:t>CFTR</w:t>
      </w:r>
      <w:r w:rsidRPr="00E752E2">
        <w:t xml:space="preserve"> </w:t>
      </w:r>
      <w:r w:rsidRPr="00127652">
        <w:t xml:space="preserve">testing is done within </w:t>
      </w:r>
      <w:r>
        <w:t>a</w:t>
      </w:r>
      <w:r w:rsidRPr="00127652">
        <w:t xml:space="preserve"> valid timeframe to allow for </w:t>
      </w:r>
      <w:r w:rsidR="003116D1">
        <w:t>TOP</w:t>
      </w:r>
      <w:r w:rsidRPr="00127652">
        <w:t xml:space="preserve"> if CF is diagnosed.</w:t>
      </w:r>
    </w:p>
    <w:p w14:paraId="52D016B1" w14:textId="77777777" w:rsidR="00093AB4" w:rsidRDefault="00093AB4" w:rsidP="009B120E">
      <w:pPr>
        <w:numPr>
          <w:ilvl w:val="0"/>
          <w:numId w:val="28"/>
        </w:numPr>
        <w:spacing w:after="120"/>
      </w:pPr>
      <w:r>
        <w:t>The parents accepting the test are prepared to take the risk of invasive testing.</w:t>
      </w:r>
    </w:p>
    <w:p w14:paraId="14035A8C" w14:textId="4E56D965" w:rsidR="00093AB4" w:rsidRPr="00127652" w:rsidRDefault="00093AB4" w:rsidP="009B120E">
      <w:pPr>
        <w:numPr>
          <w:ilvl w:val="0"/>
          <w:numId w:val="28"/>
        </w:numPr>
        <w:spacing w:after="120"/>
      </w:pPr>
      <w:r w:rsidRPr="00170DDE">
        <w:t>Consistent with the limited available evidence</w:t>
      </w:r>
      <w:r w:rsidR="003116D1">
        <w:t>-</w:t>
      </w:r>
      <w:r w:rsidRPr="00170DDE">
        <w:t xml:space="preserve">base, mutation tests for this population group are assumed to be 100% sensitive and it is assumed that the tests used are appropriate for the mutations being identified. In the absence of any evidence, </w:t>
      </w:r>
      <w:r w:rsidR="003276DE">
        <w:t>it is</w:t>
      </w:r>
      <w:r w:rsidRPr="00170DDE">
        <w:t xml:space="preserve"> assumed that the tests are also 100% specific</w:t>
      </w:r>
      <w:r>
        <w:t xml:space="preserve">. </w:t>
      </w:r>
      <w:r w:rsidR="003276DE">
        <w:t>The a</w:t>
      </w:r>
      <w:r>
        <w:t>nalytical validity of the d</w:t>
      </w:r>
      <w:r w:rsidRPr="00127652">
        <w:t>iagnostic test</w:t>
      </w:r>
      <w:r>
        <w:t>s is, therefore, considered 100%</w:t>
      </w:r>
      <w:r w:rsidR="003116D1">
        <w:t>;</w:t>
      </w:r>
      <w:r>
        <w:t xml:space="preserve"> </w:t>
      </w:r>
      <w:r w:rsidR="003116D1">
        <w:t>that is,</w:t>
      </w:r>
      <w:r>
        <w:t xml:space="preserve"> </w:t>
      </w:r>
      <w:r w:rsidR="003276DE">
        <w:t xml:space="preserve">the </w:t>
      </w:r>
      <w:r>
        <w:t xml:space="preserve">mutation </w:t>
      </w:r>
      <w:r w:rsidRPr="00B05DB1">
        <w:t xml:space="preserve">tests </w:t>
      </w:r>
      <w:r>
        <w:t>are</w:t>
      </w:r>
      <w:r w:rsidRPr="00B05DB1">
        <w:t xml:space="preserve"> </w:t>
      </w:r>
      <w:r>
        <w:t xml:space="preserve">assumed to </w:t>
      </w:r>
      <w:r w:rsidRPr="001D2A62">
        <w:t>accurately detect the presence or absence of specific mutations</w:t>
      </w:r>
      <w:r>
        <w:t xml:space="preserve">. </w:t>
      </w:r>
      <w:r w:rsidR="003116D1">
        <w:t>The i</w:t>
      </w:r>
      <w:r>
        <w:t>mpact of varying the test accuracy was not assessed in the sensitivity analyses.</w:t>
      </w:r>
    </w:p>
    <w:p w14:paraId="5FB562F5" w14:textId="77777777" w:rsidR="00093AB4" w:rsidRPr="00127652" w:rsidRDefault="00093AB4" w:rsidP="009B120E">
      <w:pPr>
        <w:numPr>
          <w:ilvl w:val="0"/>
          <w:numId w:val="28"/>
        </w:numPr>
        <w:spacing w:after="120"/>
      </w:pPr>
      <w:r w:rsidRPr="00127652">
        <w:t xml:space="preserve">Parenting partnerships are considered stable </w:t>
      </w:r>
      <w:r>
        <w:t>and transparent (i.e.</w:t>
      </w:r>
      <w:r w:rsidRPr="00127652">
        <w:t xml:space="preserve"> parents with a previous CF child </w:t>
      </w:r>
      <w:r>
        <w:t xml:space="preserve">between them </w:t>
      </w:r>
      <w:r w:rsidRPr="00127652">
        <w:t>are both assumed to be carriers)</w:t>
      </w:r>
      <w:r>
        <w:t>.</w:t>
      </w:r>
    </w:p>
    <w:p w14:paraId="65B03550" w14:textId="55D20424" w:rsidR="00DD796D" w:rsidRDefault="00E55171" w:rsidP="00133A8D">
      <w:r>
        <w:t xml:space="preserve">The proposed MBS listing for the common mutation test suggests the inclusion of a minimum of </w:t>
      </w:r>
      <w:r w:rsidR="00505067">
        <w:t xml:space="preserve">10 </w:t>
      </w:r>
      <w:r>
        <w:t>mutations in the panel. This does not appear to reflect current clinical practice as a larger number of mutations are generally included in the common mutation panel. As a consequence, four scenarios were considered in the economic evaluation, var</w:t>
      </w:r>
      <w:r w:rsidR="00505067">
        <w:t>ying</w:t>
      </w:r>
      <w:r>
        <w:t xml:space="preserve"> according to the number of mutations included in the panel and by the clinical sensitivity of the common mutation test. A summary of the scenario analyses is presented in </w:t>
      </w:r>
      <w:r w:rsidR="00A42D2A">
        <w:fldChar w:fldCharType="begin"/>
      </w:r>
      <w:r w:rsidR="00A42D2A">
        <w:instrText xml:space="preserve"> REF _Ref416689170 \h </w:instrText>
      </w:r>
      <w:r w:rsidR="00A42D2A">
        <w:fldChar w:fldCharType="separate"/>
      </w:r>
      <w:r w:rsidR="00BB0E3E">
        <w:t xml:space="preserve">Table </w:t>
      </w:r>
      <w:r w:rsidR="00BB0E3E">
        <w:rPr>
          <w:noProof/>
        </w:rPr>
        <w:t>2</w:t>
      </w:r>
      <w:r w:rsidR="00A42D2A">
        <w:fldChar w:fldCharType="end"/>
      </w:r>
      <w:r w:rsidR="00DD796D">
        <w:t>.</w:t>
      </w:r>
    </w:p>
    <w:p w14:paraId="33FA2D7B" w14:textId="77777777" w:rsidR="00DD796D" w:rsidRDefault="00DD796D" w:rsidP="00DD796D">
      <w:pPr>
        <w:pStyle w:val="Caption"/>
      </w:pPr>
      <w:bookmarkStart w:id="80" w:name="_Ref416689170"/>
      <w:bookmarkStart w:id="81" w:name="_Toc418179399"/>
      <w:r>
        <w:lastRenderedPageBreak/>
        <w:t xml:space="preserve">Table </w:t>
      </w:r>
      <w:fldSimple w:instr=" SEQ Table \* ARABIC ">
        <w:r w:rsidR="00BB0E3E">
          <w:rPr>
            <w:noProof/>
          </w:rPr>
          <w:t>2</w:t>
        </w:r>
      </w:fldSimple>
      <w:bookmarkEnd w:id="80"/>
      <w:r>
        <w:tab/>
      </w:r>
      <w:r>
        <w:tab/>
      </w:r>
      <w:r w:rsidRPr="009136C8">
        <w:t>Scena</w:t>
      </w:r>
      <w:r>
        <w:t>rios analysed in economic evaluation</w:t>
      </w:r>
      <w:bookmarkEnd w:id="81"/>
    </w:p>
    <w:tbl>
      <w:tblPr>
        <w:tblStyle w:val="TableGrid2"/>
        <w:tblW w:w="5001" w:type="pct"/>
        <w:tblLayout w:type="fixed"/>
        <w:tblLook w:val="04A0" w:firstRow="1" w:lastRow="0" w:firstColumn="1" w:lastColumn="0" w:noHBand="0" w:noVBand="1"/>
        <w:tblCaption w:val="Table 2 Scenarios analysed in the economic evaluation"/>
        <w:tblDescription w:val="This table provides information about the scenarios analysed in the economic evaluation presented in section D. "/>
      </w:tblPr>
      <w:tblGrid>
        <w:gridCol w:w="3085"/>
        <w:gridCol w:w="1986"/>
        <w:gridCol w:w="1864"/>
        <w:gridCol w:w="2309"/>
      </w:tblGrid>
      <w:tr w:rsidR="00DD796D" w:rsidRPr="00A36682" w14:paraId="7E7EFEFD" w14:textId="77777777" w:rsidTr="007C1FC6">
        <w:trPr>
          <w:cnfStyle w:val="100000000000" w:firstRow="1" w:lastRow="0" w:firstColumn="0" w:lastColumn="0" w:oddVBand="0" w:evenVBand="0" w:oddHBand="0" w:evenHBand="0" w:firstRowFirstColumn="0" w:firstRowLastColumn="0" w:lastRowFirstColumn="0" w:lastRowLastColumn="0"/>
          <w:trHeight w:val="300"/>
          <w:tblHeader/>
        </w:trPr>
        <w:tc>
          <w:tcPr>
            <w:tcW w:w="1669" w:type="pct"/>
            <w:noWrap/>
            <w:hideMark/>
          </w:tcPr>
          <w:p w14:paraId="1FAFA559" w14:textId="77777777" w:rsidR="00DD796D" w:rsidRPr="00A36682" w:rsidRDefault="00DD796D" w:rsidP="00BC6914">
            <w:pPr>
              <w:pStyle w:val="TableText0"/>
              <w:jc w:val="left"/>
              <w:rPr>
                <w:b/>
              </w:rPr>
            </w:pPr>
            <w:r w:rsidRPr="00A36682">
              <w:rPr>
                <w:b/>
              </w:rPr>
              <w:t>Number of common mutations included in the panel</w:t>
            </w:r>
          </w:p>
        </w:tc>
        <w:tc>
          <w:tcPr>
            <w:tcW w:w="1074" w:type="pct"/>
          </w:tcPr>
          <w:p w14:paraId="3066FCC2" w14:textId="77777777" w:rsidR="00DD796D" w:rsidRPr="00A36682" w:rsidRDefault="00DD796D" w:rsidP="00FD1E29">
            <w:pPr>
              <w:pStyle w:val="TableText0"/>
              <w:rPr>
                <w:b/>
              </w:rPr>
            </w:pPr>
            <w:r w:rsidRPr="00A36682">
              <w:rPr>
                <w:b/>
              </w:rPr>
              <w:t>Clinical sensitivity</w:t>
            </w:r>
          </w:p>
        </w:tc>
        <w:tc>
          <w:tcPr>
            <w:tcW w:w="1008" w:type="pct"/>
          </w:tcPr>
          <w:p w14:paraId="79FB6581" w14:textId="77777777" w:rsidR="00DD796D" w:rsidRPr="00A36682" w:rsidRDefault="00DD796D" w:rsidP="00FD1E29">
            <w:pPr>
              <w:pStyle w:val="TableText0"/>
              <w:rPr>
                <w:b/>
              </w:rPr>
            </w:pPr>
            <w:r w:rsidRPr="00A36682">
              <w:rPr>
                <w:b/>
              </w:rPr>
              <w:t>Cost</w:t>
            </w:r>
          </w:p>
        </w:tc>
        <w:tc>
          <w:tcPr>
            <w:tcW w:w="1249" w:type="pct"/>
          </w:tcPr>
          <w:p w14:paraId="3C720D8F" w14:textId="77777777" w:rsidR="00DD796D" w:rsidRPr="00A36682" w:rsidRDefault="00DD796D" w:rsidP="00FD1E29">
            <w:pPr>
              <w:pStyle w:val="TableText0"/>
              <w:rPr>
                <w:b/>
              </w:rPr>
            </w:pPr>
            <w:r w:rsidRPr="00A36682">
              <w:rPr>
                <w:b/>
              </w:rPr>
              <w:t>Model usage</w:t>
            </w:r>
          </w:p>
        </w:tc>
      </w:tr>
      <w:tr w:rsidR="003017F6" w:rsidRPr="00643C8F" w14:paraId="4DD262AA" w14:textId="77777777" w:rsidTr="007C1FC6">
        <w:trPr>
          <w:trHeight w:val="300"/>
        </w:trPr>
        <w:tc>
          <w:tcPr>
            <w:tcW w:w="1669" w:type="pct"/>
            <w:noWrap/>
            <w:vAlign w:val="center"/>
            <w:hideMark/>
          </w:tcPr>
          <w:p w14:paraId="69091A28" w14:textId="74F5B576" w:rsidR="003017F6" w:rsidRPr="00643C8F" w:rsidRDefault="003017F6" w:rsidP="00BC6914">
            <w:pPr>
              <w:pStyle w:val="TableText0"/>
              <w:jc w:val="left"/>
            </w:pPr>
            <w:r w:rsidRPr="00DA7924">
              <w:t>10</w:t>
            </w:r>
            <w:r>
              <w:t xml:space="preserve"> (PASC</w:t>
            </w:r>
            <w:r w:rsidR="00505067">
              <w:t>-</w:t>
            </w:r>
            <w:r>
              <w:t>recommended minimum)</w:t>
            </w:r>
          </w:p>
        </w:tc>
        <w:tc>
          <w:tcPr>
            <w:tcW w:w="1074" w:type="pct"/>
          </w:tcPr>
          <w:p w14:paraId="1D3D6040" w14:textId="77777777" w:rsidR="003017F6" w:rsidRPr="00643C8F" w:rsidRDefault="003017F6" w:rsidP="009B120E">
            <w:pPr>
              <w:pStyle w:val="TableText0"/>
              <w:ind w:right="460"/>
              <w:jc w:val="right"/>
            </w:pPr>
            <w:r>
              <w:t>80%</w:t>
            </w:r>
          </w:p>
        </w:tc>
        <w:tc>
          <w:tcPr>
            <w:tcW w:w="1008" w:type="pct"/>
          </w:tcPr>
          <w:p w14:paraId="56A24A6B" w14:textId="77777777" w:rsidR="003017F6" w:rsidRPr="00643C8F" w:rsidRDefault="003017F6" w:rsidP="009B120E">
            <w:pPr>
              <w:pStyle w:val="TableText0"/>
              <w:ind w:right="460"/>
              <w:jc w:val="right"/>
            </w:pPr>
            <w:r w:rsidRPr="00643C8F">
              <w:t>$135</w:t>
            </w:r>
          </w:p>
        </w:tc>
        <w:tc>
          <w:tcPr>
            <w:tcW w:w="1249" w:type="pct"/>
          </w:tcPr>
          <w:p w14:paraId="2B0DDC8A" w14:textId="113F6EA6" w:rsidR="003017F6" w:rsidRPr="00643C8F" w:rsidRDefault="003017F6" w:rsidP="00FD1E29">
            <w:pPr>
              <w:pStyle w:val="TableText0"/>
            </w:pPr>
            <w:r w:rsidRPr="00643C8F">
              <w:t>Base</w:t>
            </w:r>
            <w:r w:rsidR="004D52EA">
              <w:t>-</w:t>
            </w:r>
            <w:r w:rsidRPr="00643C8F">
              <w:t>case analysis</w:t>
            </w:r>
          </w:p>
        </w:tc>
      </w:tr>
      <w:tr w:rsidR="003017F6" w:rsidRPr="00643C8F" w14:paraId="2E53CF23" w14:textId="77777777" w:rsidTr="007C1FC6">
        <w:trPr>
          <w:trHeight w:val="300"/>
        </w:trPr>
        <w:tc>
          <w:tcPr>
            <w:tcW w:w="1669" w:type="pct"/>
            <w:noWrap/>
            <w:vAlign w:val="center"/>
            <w:hideMark/>
          </w:tcPr>
          <w:p w14:paraId="1B1FE701" w14:textId="498496AB" w:rsidR="003017F6" w:rsidRPr="00643C8F" w:rsidRDefault="003017F6" w:rsidP="00BC6914">
            <w:pPr>
              <w:pStyle w:val="TableText0"/>
              <w:jc w:val="left"/>
            </w:pPr>
            <w:r w:rsidRPr="00DA7924">
              <w:t>17</w:t>
            </w:r>
            <w:r>
              <w:t xml:space="preserve"> (HGSA</w:t>
            </w:r>
            <w:r w:rsidR="00505067">
              <w:t>-</w:t>
            </w:r>
            <w:r>
              <w:t>recommended)</w:t>
            </w:r>
          </w:p>
        </w:tc>
        <w:tc>
          <w:tcPr>
            <w:tcW w:w="1074" w:type="pct"/>
          </w:tcPr>
          <w:p w14:paraId="31EDE3A3" w14:textId="77777777" w:rsidR="003017F6" w:rsidRPr="00643C8F" w:rsidRDefault="003017F6" w:rsidP="009B120E">
            <w:pPr>
              <w:pStyle w:val="TableText0"/>
              <w:ind w:right="460"/>
              <w:jc w:val="right"/>
            </w:pPr>
            <w:r>
              <w:t>83.5%</w:t>
            </w:r>
          </w:p>
        </w:tc>
        <w:tc>
          <w:tcPr>
            <w:tcW w:w="1008" w:type="pct"/>
          </w:tcPr>
          <w:p w14:paraId="0E42A8A1" w14:textId="77777777" w:rsidR="003017F6" w:rsidRDefault="003017F6" w:rsidP="009B120E">
            <w:pPr>
              <w:pStyle w:val="TableText0"/>
              <w:ind w:right="460"/>
              <w:jc w:val="right"/>
            </w:pPr>
            <w:r w:rsidRPr="00643C8F">
              <w:t>$150</w:t>
            </w:r>
          </w:p>
        </w:tc>
        <w:tc>
          <w:tcPr>
            <w:tcW w:w="1249" w:type="pct"/>
          </w:tcPr>
          <w:p w14:paraId="2E4BD5BF" w14:textId="77777777" w:rsidR="003017F6" w:rsidRPr="00643C8F" w:rsidRDefault="003017F6" w:rsidP="00FD1E29">
            <w:pPr>
              <w:pStyle w:val="TableText0"/>
            </w:pPr>
            <w:r>
              <w:t>Additional</w:t>
            </w:r>
            <w:r w:rsidRPr="00643C8F">
              <w:t xml:space="preserve"> scenario 1</w:t>
            </w:r>
          </w:p>
        </w:tc>
      </w:tr>
      <w:tr w:rsidR="003017F6" w:rsidRPr="00643C8F" w14:paraId="078CE6A0" w14:textId="77777777" w:rsidTr="007C1FC6">
        <w:trPr>
          <w:trHeight w:val="300"/>
        </w:trPr>
        <w:tc>
          <w:tcPr>
            <w:tcW w:w="1669" w:type="pct"/>
            <w:noWrap/>
            <w:vAlign w:val="center"/>
            <w:hideMark/>
          </w:tcPr>
          <w:p w14:paraId="603E47E1" w14:textId="7E94F915" w:rsidR="003017F6" w:rsidRPr="00643C8F" w:rsidRDefault="003017F6" w:rsidP="00BC6914">
            <w:pPr>
              <w:pStyle w:val="TableText0"/>
              <w:jc w:val="left"/>
            </w:pPr>
            <w:r w:rsidRPr="00DA7924">
              <w:t>23</w:t>
            </w:r>
            <w:r>
              <w:t xml:space="preserve"> (ACOG</w:t>
            </w:r>
            <w:r w:rsidR="00505067">
              <w:t>-</w:t>
            </w:r>
            <w:r>
              <w:t>recommended)</w:t>
            </w:r>
          </w:p>
        </w:tc>
        <w:tc>
          <w:tcPr>
            <w:tcW w:w="1074" w:type="pct"/>
          </w:tcPr>
          <w:p w14:paraId="50587E98" w14:textId="77777777" w:rsidR="003017F6" w:rsidRPr="00643C8F" w:rsidRDefault="003017F6" w:rsidP="009B120E">
            <w:pPr>
              <w:pStyle w:val="TableText0"/>
              <w:ind w:right="460"/>
              <w:jc w:val="right"/>
            </w:pPr>
            <w:r>
              <w:t>88%</w:t>
            </w:r>
          </w:p>
        </w:tc>
        <w:tc>
          <w:tcPr>
            <w:tcW w:w="1008" w:type="pct"/>
          </w:tcPr>
          <w:p w14:paraId="6DFD70B9" w14:textId="77777777" w:rsidR="003017F6" w:rsidRDefault="003017F6" w:rsidP="009B120E">
            <w:pPr>
              <w:pStyle w:val="TableText0"/>
              <w:ind w:right="460"/>
              <w:jc w:val="right"/>
            </w:pPr>
            <w:r w:rsidRPr="00643C8F">
              <w:t>$</w:t>
            </w:r>
            <w:r>
              <w:t>170</w:t>
            </w:r>
          </w:p>
        </w:tc>
        <w:tc>
          <w:tcPr>
            <w:tcW w:w="1249" w:type="pct"/>
          </w:tcPr>
          <w:p w14:paraId="2EDA4B70" w14:textId="77777777" w:rsidR="003017F6" w:rsidRPr="00643C8F" w:rsidRDefault="003017F6" w:rsidP="00FD1E29">
            <w:pPr>
              <w:pStyle w:val="TableText0"/>
            </w:pPr>
            <w:r>
              <w:t>Additional</w:t>
            </w:r>
            <w:r w:rsidRPr="00643C8F">
              <w:t xml:space="preserve"> scenario 2</w:t>
            </w:r>
          </w:p>
        </w:tc>
      </w:tr>
      <w:tr w:rsidR="003017F6" w:rsidRPr="00643C8F" w14:paraId="1C53A8A0" w14:textId="77777777" w:rsidTr="007C1FC6">
        <w:trPr>
          <w:trHeight w:val="300"/>
        </w:trPr>
        <w:tc>
          <w:tcPr>
            <w:tcW w:w="1669" w:type="pct"/>
            <w:noWrap/>
            <w:vAlign w:val="center"/>
            <w:hideMark/>
          </w:tcPr>
          <w:p w14:paraId="437840EC" w14:textId="3424881A" w:rsidR="003017F6" w:rsidRPr="00643C8F" w:rsidRDefault="003017F6" w:rsidP="00BC6914">
            <w:pPr>
              <w:pStyle w:val="TableText0"/>
              <w:jc w:val="left"/>
            </w:pPr>
            <w:r w:rsidRPr="00DA7924">
              <w:t>32</w:t>
            </w:r>
            <w:r w:rsidR="00E55171">
              <w:t xml:space="preserve"> (</w:t>
            </w:r>
            <w:r w:rsidR="00505067">
              <w:t>c</w:t>
            </w:r>
            <w:r w:rsidR="00E55171">
              <w:t>l</w:t>
            </w:r>
            <w:r>
              <w:t>inical evidence</w:t>
            </w:r>
            <w:r w:rsidR="00505067">
              <w:t>;</w:t>
            </w:r>
            <w:r>
              <w:t xml:space="preserve"> see section B.6)</w:t>
            </w:r>
          </w:p>
        </w:tc>
        <w:tc>
          <w:tcPr>
            <w:tcW w:w="1074" w:type="pct"/>
          </w:tcPr>
          <w:p w14:paraId="775F6B6F" w14:textId="77777777" w:rsidR="003017F6" w:rsidRPr="00643C8F" w:rsidRDefault="003017F6" w:rsidP="009B120E">
            <w:pPr>
              <w:pStyle w:val="TableText0"/>
              <w:ind w:right="460"/>
              <w:jc w:val="right"/>
            </w:pPr>
            <w:r>
              <w:t>92%</w:t>
            </w:r>
          </w:p>
        </w:tc>
        <w:tc>
          <w:tcPr>
            <w:tcW w:w="1008" w:type="pct"/>
          </w:tcPr>
          <w:p w14:paraId="22A96907" w14:textId="77777777" w:rsidR="003017F6" w:rsidRDefault="003017F6" w:rsidP="009B120E">
            <w:pPr>
              <w:pStyle w:val="TableText0"/>
              <w:ind w:right="460"/>
              <w:jc w:val="right"/>
            </w:pPr>
            <w:r w:rsidRPr="00643C8F">
              <w:t>$200</w:t>
            </w:r>
          </w:p>
        </w:tc>
        <w:tc>
          <w:tcPr>
            <w:tcW w:w="1249" w:type="pct"/>
          </w:tcPr>
          <w:p w14:paraId="582EF401" w14:textId="77777777" w:rsidR="003017F6" w:rsidRPr="00643C8F" w:rsidRDefault="003017F6" w:rsidP="00FD1E29">
            <w:pPr>
              <w:pStyle w:val="TableText0"/>
            </w:pPr>
            <w:r>
              <w:t>Additional scenario 3</w:t>
            </w:r>
          </w:p>
        </w:tc>
      </w:tr>
    </w:tbl>
    <w:p w14:paraId="0BA3C804" w14:textId="78860F74" w:rsidR="003017F6" w:rsidRDefault="003017F6" w:rsidP="003017F6">
      <w:pPr>
        <w:pStyle w:val="Tablenotes0"/>
        <w:rPr>
          <w:lang w:val="en-US"/>
        </w:rPr>
      </w:pPr>
      <w:r>
        <w:t xml:space="preserve">ACOG = </w:t>
      </w:r>
      <w:r w:rsidRPr="00A35B8B">
        <w:t>American College of Obstetricians and Gynaecologists</w:t>
      </w:r>
      <w:r>
        <w:t xml:space="preserve">; </w:t>
      </w:r>
      <w:r w:rsidRPr="004F66AD">
        <w:t xml:space="preserve">HGSA = </w:t>
      </w:r>
      <w:r w:rsidRPr="004F66AD">
        <w:rPr>
          <w:lang w:val="en-US"/>
        </w:rPr>
        <w:t xml:space="preserve">Human </w:t>
      </w:r>
      <w:r>
        <w:rPr>
          <w:lang w:val="en-US"/>
        </w:rPr>
        <w:t>Genetics Society of Australasia</w:t>
      </w:r>
      <w:r w:rsidR="00E00DDD">
        <w:rPr>
          <w:lang w:val="en-US"/>
        </w:rPr>
        <w:t xml:space="preserve">; </w:t>
      </w:r>
      <w:r w:rsidR="00E00DDD">
        <w:t>PASC = Protocol Advisory Sub-Committee</w:t>
      </w:r>
    </w:p>
    <w:p w14:paraId="44C14540" w14:textId="33DC678C" w:rsidR="00C50A14" w:rsidRDefault="00C50A14" w:rsidP="003017F6">
      <w:pPr>
        <w:spacing w:before="240"/>
      </w:pPr>
      <w:r>
        <w:t>Under baseline assumptions (10</w:t>
      </w:r>
      <w:r w:rsidR="00AB33F5">
        <w:t>-</w:t>
      </w:r>
      <w:r>
        <w:t>mutation panel with 80% test sensitivity and cost of $135), the incremen</w:t>
      </w:r>
      <w:r w:rsidR="00E55171">
        <w:t>tal costs per CF birth averted we</w:t>
      </w:r>
      <w:r>
        <w:t>re $1</w:t>
      </w:r>
      <w:r w:rsidR="009A3599">
        <w:t>,</w:t>
      </w:r>
      <w:r>
        <w:t xml:space="preserve">898 and $23,254 for </w:t>
      </w:r>
      <w:r w:rsidR="009711F2">
        <w:t>m</w:t>
      </w:r>
      <w:r>
        <w:t xml:space="preserve">odel 1 and </w:t>
      </w:r>
      <w:r w:rsidR="009711F2">
        <w:t>m</w:t>
      </w:r>
      <w:r>
        <w:t>odel 2</w:t>
      </w:r>
      <w:r w:rsidR="003C23F1">
        <w:t>,</w:t>
      </w:r>
      <w:r>
        <w:t xml:space="preserve"> respectively. Although the mutation panels (additional scenarios) with higher sensitivity result in higher effectiveness, </w:t>
      </w:r>
      <w:r w:rsidR="00E55171">
        <w:t>this</w:t>
      </w:r>
      <w:r>
        <w:t xml:space="preserve"> is offset by the higher costs of the mutation test. The incremental costs per CF birth averted were observed to be driven largely by the cost of the diagnostic tests (common mutation t</w:t>
      </w:r>
      <w:r w:rsidR="005F11BB">
        <w:t>est and whole gene sequencing).</w:t>
      </w:r>
    </w:p>
    <w:p w14:paraId="458A8C94" w14:textId="3B181FD9" w:rsidR="00A724FC" w:rsidRDefault="000D337C" w:rsidP="00133A8D">
      <w:r w:rsidRPr="00183E4D">
        <w:t xml:space="preserve">The </w:t>
      </w:r>
      <w:r w:rsidR="005F11BB">
        <w:t xml:space="preserve">summary </w:t>
      </w:r>
      <w:r w:rsidRPr="00183E4D">
        <w:t xml:space="preserve">results of </w:t>
      </w:r>
      <w:r w:rsidR="005F11BB">
        <w:t xml:space="preserve">the </w:t>
      </w:r>
      <w:r w:rsidRPr="00183E4D">
        <w:t xml:space="preserve">economic evaluation are </w:t>
      </w:r>
      <w:r w:rsidR="005F11BB">
        <w:t>presented</w:t>
      </w:r>
      <w:r w:rsidRPr="00183E4D">
        <w:t xml:space="preserve"> in the </w:t>
      </w:r>
      <w:r w:rsidR="009A55B6">
        <w:fldChar w:fldCharType="begin"/>
      </w:r>
      <w:r w:rsidR="009A55B6">
        <w:instrText xml:space="preserve"> REF _Ref418079374 \h </w:instrText>
      </w:r>
      <w:r w:rsidR="009A55B6">
        <w:fldChar w:fldCharType="separate"/>
      </w:r>
      <w:r w:rsidR="00BB0E3E">
        <w:t xml:space="preserve">Table </w:t>
      </w:r>
      <w:r w:rsidR="00BB0E3E">
        <w:rPr>
          <w:noProof/>
        </w:rPr>
        <w:t>3</w:t>
      </w:r>
      <w:r w:rsidR="009A55B6">
        <w:fldChar w:fldCharType="end"/>
      </w:r>
      <w:r w:rsidR="007C7B39">
        <w:t>.</w:t>
      </w:r>
      <w:r w:rsidR="00D816A3">
        <w:t xml:space="preserve"> A</w:t>
      </w:r>
      <w:r w:rsidR="00D816A3" w:rsidRPr="00D816A3">
        <w:t xml:space="preserve">n alternative presentation of the economic model </w:t>
      </w:r>
      <w:r w:rsidR="009A55B6">
        <w:t>calculating benefits and harms</w:t>
      </w:r>
      <w:r w:rsidR="00D816A3" w:rsidRPr="00D816A3">
        <w:t xml:space="preserve"> resulting from a given expenditure associated with the proposed testing is presented</w:t>
      </w:r>
      <w:r w:rsidR="009A55B6">
        <w:t xml:space="preserve"> in section D.5 on </w:t>
      </w:r>
      <w:r w:rsidR="006E5876" w:rsidRPr="00C07180">
        <w:t xml:space="preserve">page </w:t>
      </w:r>
      <w:r w:rsidR="006E5876" w:rsidRPr="00C07180">
        <w:fldChar w:fldCharType="begin"/>
      </w:r>
      <w:r w:rsidR="006E5876" w:rsidRPr="00C07180">
        <w:instrText xml:space="preserve"> PAGEREF _Ref418173884 \h </w:instrText>
      </w:r>
      <w:r w:rsidR="006E5876" w:rsidRPr="00C07180">
        <w:fldChar w:fldCharType="separate"/>
      </w:r>
      <w:r w:rsidR="00BB0E3E">
        <w:rPr>
          <w:noProof/>
        </w:rPr>
        <w:t>119</w:t>
      </w:r>
      <w:r w:rsidR="006E5876" w:rsidRPr="00C07180">
        <w:fldChar w:fldCharType="end"/>
      </w:r>
      <w:r w:rsidR="006E5876">
        <w:t>.</w:t>
      </w:r>
    </w:p>
    <w:p w14:paraId="6F3FEBEB" w14:textId="0BCDDC25" w:rsidR="00C50A14" w:rsidRDefault="00C50A14" w:rsidP="00022486">
      <w:pPr>
        <w:pStyle w:val="Caption"/>
        <w:ind w:left="1134" w:hanging="1134"/>
      </w:pPr>
      <w:bookmarkStart w:id="82" w:name="_Ref418079374"/>
      <w:bookmarkStart w:id="83" w:name="_Toc418179400"/>
      <w:r>
        <w:t xml:space="preserve">Table </w:t>
      </w:r>
      <w:fldSimple w:instr=" SEQ Table \* ARABIC ">
        <w:r w:rsidR="00BB0E3E">
          <w:rPr>
            <w:noProof/>
          </w:rPr>
          <w:t>3</w:t>
        </w:r>
      </w:fldSimple>
      <w:bookmarkEnd w:id="82"/>
      <w:r>
        <w:tab/>
      </w:r>
      <w:r w:rsidRPr="00710BFA">
        <w:t xml:space="preserve">The incremental cost-effectiveness of prenatal </w:t>
      </w:r>
      <w:r w:rsidR="00FD37D3" w:rsidRPr="00FD37D3">
        <w:t>CFTR</w:t>
      </w:r>
      <w:r w:rsidRPr="00710BFA">
        <w:t xml:space="preserve"> mutation testing</w:t>
      </w:r>
      <w:r w:rsidR="00C573C1">
        <w:t xml:space="preserve"> for all </w:t>
      </w:r>
      <w:r w:rsidR="00E55171">
        <w:t xml:space="preserve">scenarios explored </w:t>
      </w:r>
      <w:r w:rsidR="00E55171" w:rsidRPr="00EB46DC">
        <w:t xml:space="preserve">in the </w:t>
      </w:r>
      <w:r w:rsidR="00E55171">
        <w:t>economic evaluation</w:t>
      </w:r>
      <w:bookmarkEnd w:id="83"/>
    </w:p>
    <w:tbl>
      <w:tblPr>
        <w:tblStyle w:val="TableGrid11"/>
        <w:tblW w:w="0" w:type="auto"/>
        <w:tblLook w:val="04A0" w:firstRow="1" w:lastRow="0" w:firstColumn="1" w:lastColumn="0" w:noHBand="0" w:noVBand="1"/>
        <w:tblCaption w:val="Incremental cost-effectiveness ratios for additional scenarios"/>
        <w:tblDescription w:val="Incremental cost-effectiveness ratios for additional scenarios"/>
      </w:tblPr>
      <w:tblGrid>
        <w:gridCol w:w="2845"/>
        <w:gridCol w:w="1579"/>
        <w:gridCol w:w="1606"/>
        <w:gridCol w:w="1606"/>
        <w:gridCol w:w="1606"/>
      </w:tblGrid>
      <w:tr w:rsidR="007135DA" w:rsidRPr="007135DA" w14:paraId="51B166BC" w14:textId="77777777" w:rsidTr="007C1FC6">
        <w:trPr>
          <w:cnfStyle w:val="100000000000" w:firstRow="1" w:lastRow="0" w:firstColumn="0" w:lastColumn="0" w:oddVBand="0" w:evenVBand="0" w:oddHBand="0" w:evenHBand="0" w:firstRowFirstColumn="0" w:firstRowLastColumn="0" w:lastRowFirstColumn="0" w:lastRowLastColumn="0"/>
          <w:trHeight w:val="300"/>
          <w:tblHeader/>
        </w:trPr>
        <w:tc>
          <w:tcPr>
            <w:tcW w:w="0" w:type="auto"/>
            <w:tcBorders>
              <w:bottom w:val="single" w:sz="4" w:space="0" w:color="auto"/>
            </w:tcBorders>
            <w:hideMark/>
          </w:tcPr>
          <w:p w14:paraId="024A94A1" w14:textId="77777777" w:rsidR="007135DA" w:rsidRPr="007135DA" w:rsidRDefault="007135DA" w:rsidP="00E55171">
            <w:pPr>
              <w:pStyle w:val="TableText0"/>
              <w:jc w:val="left"/>
              <w:rPr>
                <w:b/>
              </w:rPr>
            </w:pPr>
            <w:r w:rsidRPr="007135DA">
              <w:rPr>
                <w:b/>
              </w:rPr>
              <w:t>Strategy</w:t>
            </w:r>
          </w:p>
        </w:tc>
        <w:tc>
          <w:tcPr>
            <w:tcW w:w="0" w:type="auto"/>
            <w:tcBorders>
              <w:bottom w:val="single" w:sz="4" w:space="0" w:color="auto"/>
            </w:tcBorders>
          </w:tcPr>
          <w:p w14:paraId="39EB14C7" w14:textId="738322D2" w:rsidR="007135DA" w:rsidRPr="007135DA" w:rsidRDefault="007135DA" w:rsidP="009B120E">
            <w:pPr>
              <w:pStyle w:val="TableText0"/>
              <w:jc w:val="center"/>
              <w:rPr>
                <w:b/>
              </w:rPr>
            </w:pPr>
            <w:r w:rsidRPr="007135DA">
              <w:rPr>
                <w:b/>
              </w:rPr>
              <w:t>Base</w:t>
            </w:r>
            <w:r w:rsidR="00B215EE">
              <w:rPr>
                <w:b/>
              </w:rPr>
              <w:t>-</w:t>
            </w:r>
            <w:r w:rsidRPr="007135DA">
              <w:rPr>
                <w:b/>
              </w:rPr>
              <w:t>case scenario</w:t>
            </w:r>
          </w:p>
          <w:p w14:paraId="02349A84" w14:textId="08DBD904" w:rsidR="007135DA" w:rsidRPr="007135DA" w:rsidRDefault="007135DA" w:rsidP="009B120E">
            <w:pPr>
              <w:pStyle w:val="TableText0"/>
              <w:jc w:val="center"/>
              <w:rPr>
                <w:b/>
              </w:rPr>
            </w:pPr>
            <w:r w:rsidRPr="007135DA">
              <w:rPr>
                <w:b/>
              </w:rPr>
              <w:t>10</w:t>
            </w:r>
            <w:r w:rsidR="00AB33F5">
              <w:rPr>
                <w:b/>
              </w:rPr>
              <w:t>-</w:t>
            </w:r>
            <w:r w:rsidRPr="007135DA">
              <w:rPr>
                <w:b/>
              </w:rPr>
              <w:t>mutation panel</w:t>
            </w:r>
          </w:p>
        </w:tc>
        <w:tc>
          <w:tcPr>
            <w:tcW w:w="0" w:type="auto"/>
            <w:tcBorders>
              <w:bottom w:val="single" w:sz="4" w:space="0" w:color="auto"/>
            </w:tcBorders>
            <w:hideMark/>
          </w:tcPr>
          <w:p w14:paraId="24B08048" w14:textId="77777777" w:rsidR="007135DA" w:rsidRPr="007135DA" w:rsidRDefault="007135DA" w:rsidP="009B120E">
            <w:pPr>
              <w:pStyle w:val="TableText0"/>
              <w:jc w:val="center"/>
              <w:rPr>
                <w:b/>
              </w:rPr>
            </w:pPr>
            <w:r w:rsidRPr="007135DA">
              <w:rPr>
                <w:b/>
              </w:rPr>
              <w:t>Alternate scenario 1</w:t>
            </w:r>
          </w:p>
          <w:p w14:paraId="37186C02" w14:textId="75211231" w:rsidR="007135DA" w:rsidRPr="007135DA" w:rsidRDefault="007135DA" w:rsidP="009B120E">
            <w:pPr>
              <w:pStyle w:val="TableText0"/>
              <w:jc w:val="center"/>
              <w:rPr>
                <w:b/>
              </w:rPr>
            </w:pPr>
            <w:r w:rsidRPr="007135DA">
              <w:rPr>
                <w:b/>
              </w:rPr>
              <w:t>17</w:t>
            </w:r>
            <w:r w:rsidR="00AB33F5">
              <w:rPr>
                <w:b/>
              </w:rPr>
              <w:t>-</w:t>
            </w:r>
            <w:r w:rsidRPr="007135DA">
              <w:rPr>
                <w:b/>
              </w:rPr>
              <w:t>mutation panel</w:t>
            </w:r>
          </w:p>
        </w:tc>
        <w:tc>
          <w:tcPr>
            <w:tcW w:w="0" w:type="auto"/>
            <w:tcBorders>
              <w:bottom w:val="single" w:sz="4" w:space="0" w:color="auto"/>
            </w:tcBorders>
            <w:hideMark/>
          </w:tcPr>
          <w:p w14:paraId="7B7666E5" w14:textId="77777777" w:rsidR="007135DA" w:rsidRPr="007135DA" w:rsidRDefault="007135DA" w:rsidP="009B120E">
            <w:pPr>
              <w:pStyle w:val="TableText0"/>
              <w:jc w:val="center"/>
              <w:rPr>
                <w:b/>
              </w:rPr>
            </w:pPr>
            <w:r w:rsidRPr="007135DA">
              <w:rPr>
                <w:b/>
              </w:rPr>
              <w:t>Alternate scenario 2</w:t>
            </w:r>
          </w:p>
          <w:p w14:paraId="3EF46017" w14:textId="10C3D44B" w:rsidR="007135DA" w:rsidRPr="007135DA" w:rsidRDefault="007135DA" w:rsidP="009B120E">
            <w:pPr>
              <w:pStyle w:val="TableText0"/>
              <w:jc w:val="center"/>
              <w:rPr>
                <w:b/>
              </w:rPr>
            </w:pPr>
            <w:r w:rsidRPr="007135DA">
              <w:rPr>
                <w:b/>
              </w:rPr>
              <w:t>23</w:t>
            </w:r>
            <w:r w:rsidR="00AB33F5">
              <w:rPr>
                <w:b/>
              </w:rPr>
              <w:t>-</w:t>
            </w:r>
            <w:r w:rsidRPr="007135DA">
              <w:rPr>
                <w:b/>
              </w:rPr>
              <w:t>mutation panel</w:t>
            </w:r>
          </w:p>
        </w:tc>
        <w:tc>
          <w:tcPr>
            <w:tcW w:w="0" w:type="auto"/>
            <w:tcBorders>
              <w:bottom w:val="single" w:sz="4" w:space="0" w:color="auto"/>
            </w:tcBorders>
            <w:hideMark/>
          </w:tcPr>
          <w:p w14:paraId="7718522E" w14:textId="77777777" w:rsidR="007135DA" w:rsidRPr="007135DA" w:rsidRDefault="007135DA" w:rsidP="009B120E">
            <w:pPr>
              <w:pStyle w:val="TableText0"/>
              <w:jc w:val="center"/>
              <w:rPr>
                <w:b/>
              </w:rPr>
            </w:pPr>
            <w:r w:rsidRPr="007135DA">
              <w:rPr>
                <w:b/>
              </w:rPr>
              <w:t>Alternate scenario 3</w:t>
            </w:r>
          </w:p>
          <w:p w14:paraId="40171C9C" w14:textId="43B409B4" w:rsidR="007135DA" w:rsidRPr="007135DA" w:rsidRDefault="007135DA" w:rsidP="009B120E">
            <w:pPr>
              <w:pStyle w:val="TableText0"/>
              <w:jc w:val="center"/>
              <w:rPr>
                <w:b/>
              </w:rPr>
            </w:pPr>
            <w:r w:rsidRPr="007135DA">
              <w:rPr>
                <w:b/>
              </w:rPr>
              <w:t>32</w:t>
            </w:r>
            <w:r w:rsidR="00AB33F5">
              <w:rPr>
                <w:b/>
              </w:rPr>
              <w:t>-</w:t>
            </w:r>
            <w:r w:rsidRPr="007135DA">
              <w:rPr>
                <w:b/>
              </w:rPr>
              <w:t>mutation panel</w:t>
            </w:r>
          </w:p>
        </w:tc>
      </w:tr>
      <w:tr w:rsidR="00C573C1" w:rsidRPr="00B41D88" w14:paraId="60BDBB80" w14:textId="77777777" w:rsidTr="00BB2456">
        <w:trPr>
          <w:trHeight w:val="300"/>
        </w:trPr>
        <w:tc>
          <w:tcPr>
            <w:tcW w:w="0" w:type="auto"/>
            <w:tcBorders>
              <w:top w:val="single" w:sz="4" w:space="0" w:color="auto"/>
              <w:left w:val="single" w:sz="4" w:space="0" w:color="auto"/>
              <w:bottom w:val="single" w:sz="4" w:space="0" w:color="auto"/>
              <w:right w:val="nil"/>
            </w:tcBorders>
            <w:shd w:val="clear" w:color="auto" w:fill="F2F2F2" w:themeFill="background1" w:themeFillShade="F2"/>
          </w:tcPr>
          <w:p w14:paraId="1DBF20E0" w14:textId="6CE50AAA" w:rsidR="00C573C1" w:rsidRPr="00B41D88" w:rsidRDefault="00C573C1" w:rsidP="00BB2456">
            <w:pPr>
              <w:pStyle w:val="Tabletext1"/>
              <w:jc w:val="left"/>
              <w:rPr>
                <w:b/>
              </w:rPr>
            </w:pPr>
            <w:r>
              <w:rPr>
                <w:rFonts w:cs="Arial"/>
                <w:snapToGrid w:val="0"/>
              </w:rPr>
              <w:t>Model 1</w:t>
            </w:r>
            <w:r w:rsidR="007135DA">
              <w:rPr>
                <w:rFonts w:cs="Arial"/>
                <w:snapToGrid w:val="0"/>
              </w:rPr>
              <w:t xml:space="preserve"> </w:t>
            </w:r>
            <w:r w:rsidR="007135DA" w:rsidRPr="007135DA">
              <w:rPr>
                <w:rFonts w:cs="Arial"/>
                <w:i/>
                <w:snapToGrid w:val="0"/>
              </w:rPr>
              <w:t>– Parents are known CF carriers</w:t>
            </w:r>
          </w:p>
        </w:tc>
        <w:tc>
          <w:tcPr>
            <w:tcW w:w="0" w:type="auto"/>
            <w:tcBorders>
              <w:top w:val="single" w:sz="4" w:space="0" w:color="auto"/>
              <w:left w:val="nil"/>
              <w:bottom w:val="single" w:sz="4" w:space="0" w:color="auto"/>
              <w:right w:val="nil"/>
            </w:tcBorders>
            <w:shd w:val="clear" w:color="auto" w:fill="F2F2F2" w:themeFill="background1" w:themeFillShade="F2"/>
          </w:tcPr>
          <w:p w14:paraId="485CFE67" w14:textId="77777777" w:rsidR="00C573C1" w:rsidRPr="00B41D88" w:rsidRDefault="00C573C1" w:rsidP="00BB2456">
            <w:pPr>
              <w:pStyle w:val="Tabletext1"/>
              <w:rPr>
                <w:b/>
              </w:rPr>
            </w:pPr>
          </w:p>
        </w:tc>
        <w:tc>
          <w:tcPr>
            <w:tcW w:w="0" w:type="auto"/>
            <w:tcBorders>
              <w:top w:val="single" w:sz="4" w:space="0" w:color="auto"/>
              <w:left w:val="nil"/>
              <w:bottom w:val="single" w:sz="4" w:space="0" w:color="auto"/>
              <w:right w:val="nil"/>
            </w:tcBorders>
            <w:shd w:val="clear" w:color="auto" w:fill="F2F2F2" w:themeFill="background1" w:themeFillShade="F2"/>
          </w:tcPr>
          <w:p w14:paraId="329884C5" w14:textId="77777777" w:rsidR="00C573C1" w:rsidRPr="00B41D88" w:rsidRDefault="00C573C1" w:rsidP="00BB2456">
            <w:pPr>
              <w:pStyle w:val="Tabletext1"/>
              <w:rPr>
                <w:b/>
              </w:rPr>
            </w:pPr>
          </w:p>
        </w:tc>
        <w:tc>
          <w:tcPr>
            <w:tcW w:w="0" w:type="auto"/>
            <w:tcBorders>
              <w:top w:val="single" w:sz="4" w:space="0" w:color="auto"/>
              <w:left w:val="nil"/>
              <w:bottom w:val="single" w:sz="4" w:space="0" w:color="auto"/>
              <w:right w:val="nil"/>
            </w:tcBorders>
            <w:shd w:val="clear" w:color="auto" w:fill="F2F2F2" w:themeFill="background1" w:themeFillShade="F2"/>
          </w:tcPr>
          <w:p w14:paraId="202A3AC2" w14:textId="77777777" w:rsidR="00C573C1" w:rsidRPr="00B41D88" w:rsidRDefault="00C573C1" w:rsidP="00BB2456">
            <w:pPr>
              <w:pStyle w:val="Tabletext1"/>
              <w:rPr>
                <w:b/>
              </w:rPr>
            </w:pPr>
          </w:p>
        </w:tc>
        <w:tc>
          <w:tcPr>
            <w:tcW w:w="0" w:type="auto"/>
            <w:tcBorders>
              <w:top w:val="single" w:sz="4" w:space="0" w:color="auto"/>
              <w:left w:val="nil"/>
              <w:bottom w:val="single" w:sz="4" w:space="0" w:color="auto"/>
              <w:right w:val="single" w:sz="4" w:space="0" w:color="auto"/>
            </w:tcBorders>
            <w:shd w:val="clear" w:color="auto" w:fill="F2F2F2" w:themeFill="background1" w:themeFillShade="F2"/>
          </w:tcPr>
          <w:p w14:paraId="0F1CD901" w14:textId="77777777" w:rsidR="00C573C1" w:rsidRPr="00B41D88" w:rsidRDefault="00C573C1" w:rsidP="00BB2456">
            <w:pPr>
              <w:pStyle w:val="Tabletext1"/>
              <w:rPr>
                <w:b/>
              </w:rPr>
            </w:pPr>
          </w:p>
        </w:tc>
      </w:tr>
      <w:tr w:rsidR="00E3189A" w:rsidRPr="0028495F" w14:paraId="26CDA559" w14:textId="77777777" w:rsidTr="00BB2456">
        <w:trPr>
          <w:trHeight w:val="475"/>
        </w:trPr>
        <w:tc>
          <w:tcPr>
            <w:tcW w:w="0" w:type="auto"/>
            <w:tcBorders>
              <w:top w:val="single" w:sz="4" w:space="0" w:color="auto"/>
            </w:tcBorders>
            <w:hideMark/>
          </w:tcPr>
          <w:p w14:paraId="69CF09EB" w14:textId="77777777" w:rsidR="00E3189A" w:rsidRPr="00BB2456" w:rsidRDefault="00E3189A" w:rsidP="00BB2456">
            <w:pPr>
              <w:pStyle w:val="Tabletext1"/>
              <w:jc w:val="left"/>
            </w:pPr>
            <w:r w:rsidRPr="00BB2456">
              <w:t>Incremental cost per prenatal CF diagnosed</w:t>
            </w:r>
          </w:p>
        </w:tc>
        <w:tc>
          <w:tcPr>
            <w:tcW w:w="0" w:type="auto"/>
            <w:tcBorders>
              <w:top w:val="single" w:sz="4" w:space="0" w:color="auto"/>
            </w:tcBorders>
          </w:tcPr>
          <w:p w14:paraId="46BC7634" w14:textId="77777777" w:rsidR="00E3189A" w:rsidRPr="00BB2456" w:rsidRDefault="00E3189A" w:rsidP="009B120E">
            <w:pPr>
              <w:pStyle w:val="Tabletext1"/>
              <w:ind w:right="239"/>
              <w:jc w:val="right"/>
            </w:pPr>
            <w:r w:rsidRPr="00BB2456">
              <w:rPr>
                <w:szCs w:val="22"/>
              </w:rPr>
              <w:t>$1,804</w:t>
            </w:r>
          </w:p>
        </w:tc>
        <w:tc>
          <w:tcPr>
            <w:tcW w:w="0" w:type="auto"/>
            <w:tcBorders>
              <w:top w:val="single" w:sz="4" w:space="0" w:color="auto"/>
            </w:tcBorders>
          </w:tcPr>
          <w:p w14:paraId="470F9011" w14:textId="7F0D9EA8" w:rsidR="00E3189A" w:rsidRPr="00BB2456" w:rsidRDefault="00E3189A" w:rsidP="009B120E">
            <w:pPr>
              <w:pStyle w:val="Tabletext1"/>
              <w:ind w:right="239"/>
              <w:jc w:val="right"/>
            </w:pPr>
            <w:r>
              <w:rPr>
                <w:rFonts w:cs="Arial"/>
                <w:snapToGrid w:val="0"/>
              </w:rPr>
              <w:t>$1,816</w:t>
            </w:r>
          </w:p>
        </w:tc>
        <w:tc>
          <w:tcPr>
            <w:tcW w:w="0" w:type="auto"/>
            <w:tcBorders>
              <w:top w:val="single" w:sz="4" w:space="0" w:color="auto"/>
            </w:tcBorders>
          </w:tcPr>
          <w:p w14:paraId="3B16BA96" w14:textId="530D8126" w:rsidR="00E3189A" w:rsidRPr="00BB2456" w:rsidRDefault="00E3189A" w:rsidP="009B120E">
            <w:pPr>
              <w:pStyle w:val="Tabletext1"/>
              <w:ind w:right="239"/>
              <w:jc w:val="right"/>
            </w:pPr>
            <w:r>
              <w:rPr>
                <w:rFonts w:cs="Arial"/>
                <w:snapToGrid w:val="0"/>
              </w:rPr>
              <w:t>$1,840</w:t>
            </w:r>
          </w:p>
        </w:tc>
        <w:tc>
          <w:tcPr>
            <w:tcW w:w="0" w:type="auto"/>
            <w:tcBorders>
              <w:top w:val="single" w:sz="4" w:space="0" w:color="auto"/>
            </w:tcBorders>
          </w:tcPr>
          <w:p w14:paraId="7200E13C" w14:textId="1E3BB50A" w:rsidR="00E3189A" w:rsidRPr="00BB2456" w:rsidRDefault="00E3189A" w:rsidP="009B120E">
            <w:pPr>
              <w:pStyle w:val="Tabletext1"/>
              <w:ind w:right="239"/>
              <w:jc w:val="right"/>
            </w:pPr>
            <w:r>
              <w:rPr>
                <w:rFonts w:cs="Arial"/>
                <w:snapToGrid w:val="0"/>
              </w:rPr>
              <w:t>$1,977</w:t>
            </w:r>
          </w:p>
        </w:tc>
      </w:tr>
      <w:tr w:rsidR="00E3189A" w:rsidRPr="00BB2456" w14:paraId="6339E47E" w14:textId="77777777" w:rsidTr="00BB2456">
        <w:trPr>
          <w:trHeight w:val="510"/>
        </w:trPr>
        <w:tc>
          <w:tcPr>
            <w:tcW w:w="0" w:type="auto"/>
            <w:hideMark/>
          </w:tcPr>
          <w:p w14:paraId="3A4D0633" w14:textId="77777777" w:rsidR="00E3189A" w:rsidRPr="00BB2456" w:rsidRDefault="00E3189A" w:rsidP="00BB2456">
            <w:pPr>
              <w:pStyle w:val="Tabletext1"/>
              <w:jc w:val="left"/>
              <w:rPr>
                <w:rFonts w:cs="Arial"/>
                <w:snapToGrid w:val="0"/>
              </w:rPr>
            </w:pPr>
            <w:r w:rsidRPr="00BB2456">
              <w:rPr>
                <w:rFonts w:cs="Arial"/>
                <w:snapToGrid w:val="0"/>
              </w:rPr>
              <w:t>Incremental cost per CF birth averted</w:t>
            </w:r>
          </w:p>
        </w:tc>
        <w:tc>
          <w:tcPr>
            <w:tcW w:w="0" w:type="auto"/>
            <w:tcBorders>
              <w:bottom w:val="single" w:sz="4" w:space="0" w:color="auto"/>
            </w:tcBorders>
          </w:tcPr>
          <w:p w14:paraId="37F39537" w14:textId="663D28D1" w:rsidR="00E3189A" w:rsidRPr="00BB2456" w:rsidRDefault="005D43E7" w:rsidP="009B120E">
            <w:pPr>
              <w:pStyle w:val="Tabletext1"/>
              <w:ind w:right="239"/>
              <w:jc w:val="right"/>
              <w:rPr>
                <w:rFonts w:cs="Arial"/>
                <w:snapToGrid w:val="0"/>
              </w:rPr>
            </w:pPr>
            <w:r>
              <w:rPr>
                <w:rFonts w:cs="Arial"/>
                <w:snapToGrid w:val="0"/>
                <w:szCs w:val="22"/>
              </w:rPr>
              <w:t>$1,898</w:t>
            </w:r>
          </w:p>
        </w:tc>
        <w:tc>
          <w:tcPr>
            <w:tcW w:w="0" w:type="auto"/>
          </w:tcPr>
          <w:p w14:paraId="16B02BC9" w14:textId="6847BC97" w:rsidR="00E3189A" w:rsidRPr="00BB2456" w:rsidRDefault="00E3189A" w:rsidP="009B120E">
            <w:pPr>
              <w:pStyle w:val="Tabletext1"/>
              <w:ind w:right="239"/>
              <w:jc w:val="right"/>
              <w:rPr>
                <w:rFonts w:cs="Arial"/>
                <w:snapToGrid w:val="0"/>
              </w:rPr>
            </w:pPr>
            <w:r>
              <w:rPr>
                <w:rFonts w:cs="Arial"/>
                <w:snapToGrid w:val="0"/>
              </w:rPr>
              <w:t>$1,910</w:t>
            </w:r>
          </w:p>
        </w:tc>
        <w:tc>
          <w:tcPr>
            <w:tcW w:w="0" w:type="auto"/>
          </w:tcPr>
          <w:p w14:paraId="7F8C7876" w14:textId="58FA01A8" w:rsidR="00E3189A" w:rsidRPr="00BB2456" w:rsidRDefault="00E3189A" w:rsidP="009B120E">
            <w:pPr>
              <w:pStyle w:val="Tabletext1"/>
              <w:ind w:right="239"/>
              <w:jc w:val="right"/>
              <w:rPr>
                <w:rFonts w:cs="Arial"/>
                <w:snapToGrid w:val="0"/>
              </w:rPr>
            </w:pPr>
            <w:r>
              <w:rPr>
                <w:rFonts w:cs="Arial"/>
                <w:snapToGrid w:val="0"/>
              </w:rPr>
              <w:t>$1,935</w:t>
            </w:r>
          </w:p>
        </w:tc>
        <w:tc>
          <w:tcPr>
            <w:tcW w:w="0" w:type="auto"/>
            <w:tcBorders>
              <w:bottom w:val="single" w:sz="4" w:space="0" w:color="auto"/>
            </w:tcBorders>
          </w:tcPr>
          <w:p w14:paraId="4AF63AC8" w14:textId="4E038FFD" w:rsidR="00E3189A" w:rsidRPr="00BB2456" w:rsidRDefault="00E3189A" w:rsidP="009B120E">
            <w:pPr>
              <w:pStyle w:val="Tabletext1"/>
              <w:ind w:right="239"/>
              <w:jc w:val="right"/>
              <w:rPr>
                <w:rFonts w:cs="Arial"/>
                <w:snapToGrid w:val="0"/>
              </w:rPr>
            </w:pPr>
            <w:r>
              <w:rPr>
                <w:rFonts w:cs="Arial"/>
                <w:snapToGrid w:val="0"/>
              </w:rPr>
              <w:t>$2,079</w:t>
            </w:r>
          </w:p>
        </w:tc>
      </w:tr>
      <w:tr w:rsidR="00E3189A" w:rsidRPr="00BB2456" w14:paraId="501C88A6" w14:textId="77777777" w:rsidTr="00BB2456">
        <w:trPr>
          <w:trHeight w:val="300"/>
        </w:trPr>
        <w:tc>
          <w:tcPr>
            <w:tcW w:w="0" w:type="auto"/>
            <w:tcBorders>
              <w:right w:val="nil"/>
            </w:tcBorders>
            <w:shd w:val="clear" w:color="auto" w:fill="F2F2F2" w:themeFill="background1" w:themeFillShade="F2"/>
          </w:tcPr>
          <w:p w14:paraId="3EFFADCF" w14:textId="1450AEAB" w:rsidR="00E3189A" w:rsidRPr="007135DA" w:rsidRDefault="00E3189A" w:rsidP="007135DA">
            <w:pPr>
              <w:pStyle w:val="Tabletext1"/>
              <w:rPr>
                <w:i/>
              </w:rPr>
            </w:pPr>
            <w:r w:rsidRPr="00BB2456">
              <w:t>Model 2</w:t>
            </w:r>
            <w:r w:rsidR="007135DA">
              <w:t xml:space="preserve"> </w:t>
            </w:r>
            <w:r w:rsidR="007135DA" w:rsidRPr="007135DA">
              <w:rPr>
                <w:i/>
              </w:rPr>
              <w:t>– Fetus has FEB</w:t>
            </w:r>
          </w:p>
        </w:tc>
        <w:tc>
          <w:tcPr>
            <w:tcW w:w="0" w:type="auto"/>
            <w:tcBorders>
              <w:left w:val="nil"/>
              <w:right w:val="nil"/>
            </w:tcBorders>
            <w:shd w:val="clear" w:color="auto" w:fill="F2F2F2" w:themeFill="background1" w:themeFillShade="F2"/>
          </w:tcPr>
          <w:p w14:paraId="71BBB796" w14:textId="77777777" w:rsidR="00E3189A" w:rsidRPr="00BB2456" w:rsidRDefault="00E3189A" w:rsidP="009B120E">
            <w:pPr>
              <w:pStyle w:val="Tabletext1"/>
              <w:ind w:right="239"/>
              <w:jc w:val="right"/>
            </w:pPr>
          </w:p>
        </w:tc>
        <w:tc>
          <w:tcPr>
            <w:tcW w:w="0" w:type="auto"/>
            <w:tcBorders>
              <w:left w:val="nil"/>
              <w:right w:val="nil"/>
            </w:tcBorders>
            <w:shd w:val="clear" w:color="auto" w:fill="F2F2F2" w:themeFill="background1" w:themeFillShade="F2"/>
          </w:tcPr>
          <w:p w14:paraId="497EEA15" w14:textId="77777777" w:rsidR="00E3189A" w:rsidRPr="00BB2456" w:rsidRDefault="00E3189A" w:rsidP="009B120E">
            <w:pPr>
              <w:pStyle w:val="Tabletext1"/>
              <w:ind w:right="239"/>
              <w:jc w:val="right"/>
            </w:pPr>
          </w:p>
        </w:tc>
        <w:tc>
          <w:tcPr>
            <w:tcW w:w="0" w:type="auto"/>
            <w:tcBorders>
              <w:left w:val="nil"/>
              <w:right w:val="nil"/>
            </w:tcBorders>
            <w:shd w:val="clear" w:color="auto" w:fill="F2F2F2" w:themeFill="background1" w:themeFillShade="F2"/>
          </w:tcPr>
          <w:p w14:paraId="24E6F362" w14:textId="77777777" w:rsidR="00E3189A" w:rsidRPr="00BB2456" w:rsidRDefault="00E3189A" w:rsidP="009B120E">
            <w:pPr>
              <w:pStyle w:val="Tabletext1"/>
              <w:ind w:right="239"/>
              <w:jc w:val="right"/>
            </w:pPr>
          </w:p>
        </w:tc>
        <w:tc>
          <w:tcPr>
            <w:tcW w:w="0" w:type="auto"/>
            <w:tcBorders>
              <w:left w:val="nil"/>
              <w:bottom w:val="single" w:sz="4" w:space="0" w:color="auto"/>
              <w:right w:val="single" w:sz="4" w:space="0" w:color="auto"/>
            </w:tcBorders>
            <w:shd w:val="clear" w:color="auto" w:fill="F2F2F2" w:themeFill="background1" w:themeFillShade="F2"/>
          </w:tcPr>
          <w:p w14:paraId="4B13C294" w14:textId="77777777" w:rsidR="00E3189A" w:rsidRPr="00BB2456" w:rsidRDefault="00E3189A" w:rsidP="009B120E">
            <w:pPr>
              <w:pStyle w:val="Tabletext1"/>
              <w:ind w:right="239"/>
              <w:jc w:val="right"/>
            </w:pPr>
          </w:p>
        </w:tc>
      </w:tr>
      <w:tr w:rsidR="00E3189A" w:rsidRPr="0028495F" w14:paraId="24A4C8F1" w14:textId="77777777" w:rsidTr="00BB2456">
        <w:trPr>
          <w:trHeight w:val="510"/>
        </w:trPr>
        <w:tc>
          <w:tcPr>
            <w:tcW w:w="0" w:type="auto"/>
          </w:tcPr>
          <w:p w14:paraId="71B31CD2" w14:textId="77777777" w:rsidR="00E3189A" w:rsidRPr="00BB2456" w:rsidRDefault="00E3189A" w:rsidP="00BB2456">
            <w:pPr>
              <w:pStyle w:val="Tabletext1"/>
              <w:jc w:val="left"/>
            </w:pPr>
            <w:r w:rsidRPr="00BB2456">
              <w:t>Incremental cost per prenatal CF diagnosed</w:t>
            </w:r>
          </w:p>
        </w:tc>
        <w:tc>
          <w:tcPr>
            <w:tcW w:w="0" w:type="auto"/>
          </w:tcPr>
          <w:p w14:paraId="7F65A04B" w14:textId="007B4F27" w:rsidR="00E3189A" w:rsidRPr="00BB2456" w:rsidRDefault="00E3189A" w:rsidP="009B120E">
            <w:pPr>
              <w:pStyle w:val="Tabletext1"/>
              <w:ind w:right="239"/>
              <w:jc w:val="right"/>
            </w:pPr>
            <w:r>
              <w:rPr>
                <w:szCs w:val="22"/>
              </w:rPr>
              <w:t>$15,182</w:t>
            </w:r>
          </w:p>
        </w:tc>
        <w:tc>
          <w:tcPr>
            <w:tcW w:w="0" w:type="auto"/>
          </w:tcPr>
          <w:p w14:paraId="78C34EC2" w14:textId="19DEDEEC" w:rsidR="00E3189A" w:rsidRPr="00BB2456" w:rsidRDefault="00E3189A" w:rsidP="009B120E">
            <w:pPr>
              <w:pStyle w:val="Tabletext1"/>
              <w:ind w:right="239"/>
              <w:jc w:val="right"/>
            </w:pPr>
            <w:r>
              <w:rPr>
                <w:rFonts w:cs="Arial"/>
                <w:snapToGrid w:val="0"/>
              </w:rPr>
              <w:t>$15,331</w:t>
            </w:r>
          </w:p>
        </w:tc>
        <w:tc>
          <w:tcPr>
            <w:tcW w:w="0" w:type="auto"/>
          </w:tcPr>
          <w:p w14:paraId="77B16FDE" w14:textId="1BA850A2" w:rsidR="00E3189A" w:rsidRPr="00BB2456" w:rsidRDefault="00E3189A" w:rsidP="009B120E">
            <w:pPr>
              <w:pStyle w:val="Tabletext1"/>
              <w:ind w:right="239"/>
              <w:jc w:val="right"/>
            </w:pPr>
            <w:r>
              <w:rPr>
                <w:rFonts w:cs="Arial"/>
                <w:snapToGrid w:val="0"/>
              </w:rPr>
              <w:t>$15,537</w:t>
            </w:r>
          </w:p>
        </w:tc>
        <w:tc>
          <w:tcPr>
            <w:tcW w:w="0" w:type="auto"/>
          </w:tcPr>
          <w:p w14:paraId="6D1DA08A" w14:textId="22A69E7A" w:rsidR="00E3189A" w:rsidRPr="00BB2456" w:rsidRDefault="00E3189A" w:rsidP="009B120E">
            <w:pPr>
              <w:pStyle w:val="Tabletext1"/>
              <w:ind w:right="239"/>
              <w:jc w:val="right"/>
            </w:pPr>
            <w:r>
              <w:rPr>
                <w:rFonts w:cs="Arial"/>
                <w:snapToGrid w:val="0"/>
              </w:rPr>
              <w:t>$16,304</w:t>
            </w:r>
          </w:p>
        </w:tc>
      </w:tr>
      <w:tr w:rsidR="00E3189A" w:rsidRPr="0028495F" w14:paraId="0CCF466F" w14:textId="77777777" w:rsidTr="00BB2456">
        <w:trPr>
          <w:trHeight w:val="510"/>
        </w:trPr>
        <w:tc>
          <w:tcPr>
            <w:tcW w:w="0" w:type="auto"/>
          </w:tcPr>
          <w:p w14:paraId="60BD944C" w14:textId="77777777" w:rsidR="00E3189A" w:rsidRPr="00BB2456" w:rsidRDefault="00E3189A" w:rsidP="00BB2456">
            <w:pPr>
              <w:pStyle w:val="Tabletext1"/>
              <w:jc w:val="left"/>
            </w:pPr>
            <w:r w:rsidRPr="00BB2456">
              <w:t>Incremental cost per CF birth averted</w:t>
            </w:r>
          </w:p>
        </w:tc>
        <w:tc>
          <w:tcPr>
            <w:tcW w:w="0" w:type="auto"/>
          </w:tcPr>
          <w:p w14:paraId="63EF2423" w14:textId="4F642F41" w:rsidR="00E3189A" w:rsidRPr="00BB2456" w:rsidRDefault="00E3189A" w:rsidP="009B120E">
            <w:pPr>
              <w:pStyle w:val="Tabletext1"/>
              <w:ind w:right="239"/>
              <w:jc w:val="right"/>
            </w:pPr>
            <w:r w:rsidRPr="00BB2456">
              <w:rPr>
                <w:szCs w:val="22"/>
              </w:rPr>
              <w:t>$23,2</w:t>
            </w:r>
            <w:r>
              <w:rPr>
                <w:szCs w:val="22"/>
              </w:rPr>
              <w:t>5</w:t>
            </w:r>
            <w:r w:rsidR="005D43E7">
              <w:rPr>
                <w:szCs w:val="22"/>
              </w:rPr>
              <w:t>4</w:t>
            </w:r>
          </w:p>
        </w:tc>
        <w:tc>
          <w:tcPr>
            <w:tcW w:w="0" w:type="auto"/>
          </w:tcPr>
          <w:p w14:paraId="684A4E92" w14:textId="2C0EF3C7" w:rsidR="00E3189A" w:rsidRPr="00BB2456" w:rsidRDefault="00E3189A" w:rsidP="009B120E">
            <w:pPr>
              <w:pStyle w:val="Tabletext1"/>
              <w:ind w:right="239"/>
              <w:jc w:val="right"/>
            </w:pPr>
            <w:r>
              <w:rPr>
                <w:rFonts w:cs="Arial"/>
                <w:snapToGrid w:val="0"/>
              </w:rPr>
              <w:t>$23,480</w:t>
            </w:r>
          </w:p>
        </w:tc>
        <w:tc>
          <w:tcPr>
            <w:tcW w:w="0" w:type="auto"/>
          </w:tcPr>
          <w:p w14:paraId="05B51A8C" w14:textId="3AF98B26" w:rsidR="00E3189A" w:rsidRPr="00BB2456" w:rsidRDefault="00E3189A" w:rsidP="009B120E">
            <w:pPr>
              <w:pStyle w:val="Tabletext1"/>
              <w:ind w:right="239"/>
              <w:jc w:val="right"/>
            </w:pPr>
            <w:r>
              <w:t>$23,794</w:t>
            </w:r>
          </w:p>
        </w:tc>
        <w:tc>
          <w:tcPr>
            <w:tcW w:w="0" w:type="auto"/>
            <w:tcBorders>
              <w:bottom w:val="single" w:sz="4" w:space="0" w:color="auto"/>
            </w:tcBorders>
          </w:tcPr>
          <w:p w14:paraId="0FC828BB" w14:textId="6E45424E" w:rsidR="00E3189A" w:rsidRPr="00BB2456" w:rsidRDefault="00E3189A" w:rsidP="009B120E">
            <w:pPr>
              <w:pStyle w:val="Tabletext1"/>
              <w:ind w:right="239"/>
              <w:jc w:val="right"/>
            </w:pPr>
            <w:r>
              <w:t>$24,972</w:t>
            </w:r>
          </w:p>
        </w:tc>
      </w:tr>
    </w:tbl>
    <w:p w14:paraId="06CDC228" w14:textId="5943F7EC" w:rsidR="00C50A14" w:rsidRDefault="00E00DDD" w:rsidP="00C50A14">
      <w:pPr>
        <w:pStyle w:val="Tablenotes0"/>
      </w:pPr>
      <w:r>
        <w:t xml:space="preserve">CF = cystic fibrosis; </w:t>
      </w:r>
      <w:r w:rsidRPr="00FD37D3">
        <w:t>CFTR</w:t>
      </w:r>
      <w:r>
        <w:t xml:space="preserve"> = cystic fibrosis transmembrane conductance regulator; </w:t>
      </w:r>
      <w:r w:rsidR="007135DA">
        <w:t>FEB</w:t>
      </w:r>
      <w:r w:rsidR="00B215EE">
        <w:t xml:space="preserve"> </w:t>
      </w:r>
      <w:r w:rsidR="007135DA">
        <w:t xml:space="preserve">= fetal echogenic bowel; </w:t>
      </w:r>
      <w:r w:rsidR="00C50A14">
        <w:t>ICER = incremental cost-effectiveness ratio</w:t>
      </w:r>
    </w:p>
    <w:p w14:paraId="1E9E23FE" w14:textId="42065F12" w:rsidR="00404BE7" w:rsidRDefault="00E55171" w:rsidP="00C50A14">
      <w:pPr>
        <w:spacing w:before="240"/>
      </w:pPr>
      <w:r>
        <w:t xml:space="preserve">In </w:t>
      </w:r>
      <w:r w:rsidR="009711F2">
        <w:t>m</w:t>
      </w:r>
      <w:r>
        <w:t>odel 1 (both parents are known CF carriers) t</w:t>
      </w:r>
      <w:r w:rsidRPr="00183E4D">
        <w:t xml:space="preserve">he </w:t>
      </w:r>
      <w:r>
        <w:t xml:space="preserve">results were most sensitive to the uptake rate of terminations of CF-affected pregnancies, the cost of </w:t>
      </w:r>
      <w:r w:rsidR="0067459F">
        <w:t>NBS</w:t>
      </w:r>
      <w:r>
        <w:t xml:space="preserve"> in infants tested prenatally, the sensitivity of the common mutation panel and the cost of whole gene sequencing. In </w:t>
      </w:r>
      <w:r w:rsidR="009711F2">
        <w:t>m</w:t>
      </w:r>
      <w:r>
        <w:t>odel 2 the ICER was most sensitive to changes in the incidence of CF in fetuses with FEB, as well as TOP uptake rates</w:t>
      </w:r>
      <w:r w:rsidRPr="00185D5F">
        <w:t xml:space="preserve"> </w:t>
      </w:r>
      <w:r>
        <w:t>in the tested population</w:t>
      </w:r>
      <w:r w:rsidR="008474A8">
        <w:t xml:space="preserve"> (</w:t>
      </w:r>
      <w:r w:rsidR="008474A8">
        <w:fldChar w:fldCharType="begin"/>
      </w:r>
      <w:r w:rsidR="008474A8">
        <w:instrText xml:space="preserve"> REF _Ref418176996 \h </w:instrText>
      </w:r>
      <w:r w:rsidR="008474A8">
        <w:fldChar w:fldCharType="separate"/>
      </w:r>
      <w:r w:rsidR="00BB0E3E" w:rsidRPr="006709A4">
        <w:t xml:space="preserve">Table </w:t>
      </w:r>
      <w:r w:rsidR="00BB0E3E">
        <w:rPr>
          <w:noProof/>
        </w:rPr>
        <w:t>4</w:t>
      </w:r>
      <w:r w:rsidR="008474A8">
        <w:fldChar w:fldCharType="end"/>
      </w:r>
      <w:r w:rsidR="008474A8">
        <w:t>)</w:t>
      </w:r>
      <w:r w:rsidR="00185D5F">
        <w:t>.</w:t>
      </w:r>
    </w:p>
    <w:p w14:paraId="33D7883D" w14:textId="77777777" w:rsidR="00C73C36" w:rsidRPr="00003F89" w:rsidRDefault="00C73C36" w:rsidP="00F57AF2">
      <w:pPr>
        <w:pStyle w:val="Caption"/>
        <w:rPr>
          <w:snapToGrid w:val="0"/>
          <w:lang w:eastAsia="en-US"/>
        </w:rPr>
      </w:pPr>
      <w:bookmarkStart w:id="84" w:name="_Ref418176996"/>
      <w:bookmarkStart w:id="85" w:name="_Toc418179401"/>
      <w:r w:rsidRPr="006709A4">
        <w:lastRenderedPageBreak/>
        <w:t xml:space="preserve">Table </w:t>
      </w:r>
      <w:fldSimple w:instr=" SEQ Table \* ARABIC ">
        <w:r w:rsidR="00BB0E3E">
          <w:rPr>
            <w:noProof/>
          </w:rPr>
          <w:t>4</w:t>
        </w:r>
      </w:fldSimple>
      <w:bookmarkEnd w:id="84"/>
      <w:r w:rsidR="00F57AF2">
        <w:tab/>
      </w:r>
      <w:r w:rsidRPr="00003F89">
        <w:tab/>
      </w:r>
      <w:r w:rsidRPr="00003F89">
        <w:rPr>
          <w:snapToGrid w:val="0"/>
          <w:lang w:eastAsia="en-US"/>
        </w:rPr>
        <w:t>Key</w:t>
      </w:r>
      <w:r>
        <w:rPr>
          <w:snapToGrid w:val="0"/>
          <w:lang w:eastAsia="en-US"/>
        </w:rPr>
        <w:t xml:space="preserve"> drivers of the economic models</w:t>
      </w:r>
      <w:bookmarkEnd w:id="85"/>
    </w:p>
    <w:tbl>
      <w:tblPr>
        <w:tblStyle w:val="TableGrid1"/>
        <w:tblW w:w="5000" w:type="pct"/>
        <w:tblLook w:val="04A0" w:firstRow="1" w:lastRow="0" w:firstColumn="1" w:lastColumn="0" w:noHBand="0" w:noVBand="1"/>
        <w:tblCaption w:val="Table 4 Key drivers of the economic model"/>
        <w:tblDescription w:val="This table describes what factors and assumptions in the economic model affect the incremental cost-effectiveness to the greatest extent."/>
      </w:tblPr>
      <w:tblGrid>
        <w:gridCol w:w="2819"/>
        <w:gridCol w:w="2983"/>
        <w:gridCol w:w="3440"/>
      </w:tblGrid>
      <w:tr w:rsidR="00C73C36" w:rsidRPr="00B01912" w14:paraId="06BD13D1"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525" w:type="pct"/>
          </w:tcPr>
          <w:p w14:paraId="6E925224" w14:textId="77777777" w:rsidR="00C73C36" w:rsidRPr="00B01912" w:rsidRDefault="00C73C36" w:rsidP="009B120E">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Description</w:t>
            </w:r>
          </w:p>
        </w:tc>
        <w:tc>
          <w:tcPr>
            <w:tcW w:w="1614" w:type="pct"/>
          </w:tcPr>
          <w:p w14:paraId="7E6621F1" w14:textId="77777777" w:rsidR="00C73C36" w:rsidRPr="00B01912" w:rsidRDefault="00C73C36" w:rsidP="00954561">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Values assessed in sensitivity analysis</w:t>
            </w:r>
          </w:p>
        </w:tc>
        <w:tc>
          <w:tcPr>
            <w:tcW w:w="1861" w:type="pct"/>
          </w:tcPr>
          <w:p w14:paraId="2F3105ED" w14:textId="77777777" w:rsidR="00C73C36" w:rsidRPr="00B01912" w:rsidRDefault="00C73C36" w:rsidP="009B120E">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Impact</w:t>
            </w:r>
          </w:p>
        </w:tc>
      </w:tr>
      <w:tr w:rsidR="00C73C36" w:rsidRPr="00B01912" w14:paraId="3539A50F" w14:textId="77777777" w:rsidTr="004245A0">
        <w:tc>
          <w:tcPr>
            <w:tcW w:w="1525" w:type="pct"/>
          </w:tcPr>
          <w:p w14:paraId="1EADEDAD" w14:textId="2ACF4C5C" w:rsidR="00C73C36" w:rsidRPr="00B01912" w:rsidRDefault="00C73C36" w:rsidP="009B120E">
            <w:pPr>
              <w:keepNext/>
              <w:spacing w:after="40" w:line="240" w:lineRule="auto"/>
              <w:jc w:val="left"/>
              <w:rPr>
                <w:rFonts w:ascii="Arial Narrow" w:hAnsi="Arial Narrow"/>
                <w:i/>
                <w:snapToGrid w:val="0"/>
                <w:sz w:val="20"/>
                <w:szCs w:val="20"/>
                <w:lang w:eastAsia="en-US"/>
              </w:rPr>
            </w:pPr>
            <w:r w:rsidRPr="00B01912">
              <w:rPr>
                <w:rFonts w:ascii="Arial Narrow" w:hAnsi="Arial Narrow"/>
                <w:i/>
                <w:snapToGrid w:val="0"/>
                <w:sz w:val="20"/>
                <w:szCs w:val="20"/>
                <w:lang w:eastAsia="en-US"/>
              </w:rPr>
              <w:t>Model 1</w:t>
            </w:r>
            <w:r w:rsidR="000629F4">
              <w:rPr>
                <w:rFonts w:ascii="Arial Narrow" w:hAnsi="Arial Narrow"/>
                <w:i/>
                <w:snapToGrid w:val="0"/>
                <w:sz w:val="20"/>
                <w:szCs w:val="20"/>
                <w:lang w:eastAsia="en-US"/>
              </w:rPr>
              <w:t xml:space="preserve"> </w:t>
            </w:r>
            <w:r w:rsidR="000629F4" w:rsidRPr="000629F4">
              <w:rPr>
                <w:rFonts w:ascii="Arial Narrow" w:hAnsi="Arial Narrow"/>
                <w:i/>
                <w:snapToGrid w:val="0"/>
                <w:sz w:val="20"/>
                <w:szCs w:val="20"/>
                <w:lang w:eastAsia="en-US"/>
              </w:rPr>
              <w:t>– Parents are known CF carriers</w:t>
            </w:r>
            <w:r w:rsidR="00DF5916">
              <w:rPr>
                <w:rFonts w:ascii="Arial Narrow" w:hAnsi="Arial Narrow"/>
                <w:i/>
                <w:snapToGrid w:val="0"/>
                <w:sz w:val="20"/>
                <w:szCs w:val="20"/>
                <w:lang w:eastAsia="en-US"/>
              </w:rPr>
              <w:t xml:space="preserve"> </w:t>
            </w:r>
          </w:p>
        </w:tc>
        <w:tc>
          <w:tcPr>
            <w:tcW w:w="1614" w:type="pct"/>
          </w:tcPr>
          <w:p w14:paraId="1183DAE5" w14:textId="77777777" w:rsidR="00C73C36" w:rsidRPr="00B01912" w:rsidRDefault="00C73C36" w:rsidP="009B120E">
            <w:pPr>
              <w:keepNext/>
              <w:spacing w:after="40" w:line="240" w:lineRule="auto"/>
              <w:jc w:val="left"/>
              <w:rPr>
                <w:rFonts w:ascii="Arial Narrow" w:hAnsi="Arial Narrow"/>
                <w:i/>
                <w:sz w:val="20"/>
                <w:szCs w:val="20"/>
              </w:rPr>
            </w:pPr>
          </w:p>
        </w:tc>
        <w:tc>
          <w:tcPr>
            <w:tcW w:w="1861" w:type="pct"/>
          </w:tcPr>
          <w:p w14:paraId="0A713CE4" w14:textId="77777777" w:rsidR="00C73C36" w:rsidRPr="00B01912" w:rsidRDefault="00C73C36" w:rsidP="009B120E">
            <w:pPr>
              <w:keepNext/>
              <w:spacing w:after="40" w:line="240" w:lineRule="auto"/>
              <w:jc w:val="left"/>
              <w:rPr>
                <w:rFonts w:ascii="Arial Narrow" w:hAnsi="Arial Narrow"/>
                <w:i/>
                <w:sz w:val="20"/>
                <w:szCs w:val="20"/>
              </w:rPr>
            </w:pPr>
          </w:p>
        </w:tc>
      </w:tr>
      <w:tr w:rsidR="00C73C36" w:rsidRPr="00B01912" w14:paraId="38B5B66B" w14:textId="77777777" w:rsidTr="004245A0">
        <w:tc>
          <w:tcPr>
            <w:tcW w:w="1525" w:type="pct"/>
          </w:tcPr>
          <w:p w14:paraId="7F7E0D0F" w14:textId="77777777" w:rsidR="00C73C36" w:rsidRPr="00B01912" w:rsidRDefault="00C73C36" w:rsidP="00954561">
            <w:pPr>
              <w:keepNext/>
              <w:spacing w:after="40" w:line="240" w:lineRule="auto"/>
              <w:jc w:val="left"/>
              <w:rPr>
                <w:rFonts w:ascii="Arial Narrow" w:hAnsi="Arial Narrow"/>
                <w:snapToGrid w:val="0"/>
                <w:sz w:val="20"/>
                <w:szCs w:val="20"/>
                <w:lang w:eastAsia="en-US"/>
              </w:rPr>
            </w:pPr>
            <w:r w:rsidRPr="00B01912">
              <w:rPr>
                <w:rFonts w:ascii="Arial Narrow" w:hAnsi="Arial Narrow"/>
                <w:snapToGrid w:val="0"/>
                <w:sz w:val="20"/>
                <w:szCs w:val="20"/>
                <w:lang w:eastAsia="en-US"/>
              </w:rPr>
              <w:t>Uptake of termination of affected pregnancy</w:t>
            </w:r>
          </w:p>
        </w:tc>
        <w:tc>
          <w:tcPr>
            <w:tcW w:w="1614" w:type="pct"/>
          </w:tcPr>
          <w:p w14:paraId="21C7E5C6" w14:textId="6DB133B8" w:rsidR="00C73C36" w:rsidRPr="00B01912" w:rsidRDefault="00C73C36" w:rsidP="009B120E">
            <w:pPr>
              <w:keepNext/>
              <w:spacing w:after="40" w:line="240" w:lineRule="auto"/>
              <w:jc w:val="left"/>
              <w:rPr>
                <w:rFonts w:ascii="Arial Narrow" w:hAnsi="Arial Narrow"/>
                <w:sz w:val="20"/>
                <w:szCs w:val="20"/>
              </w:rPr>
            </w:pPr>
            <w:r w:rsidRPr="00B01912">
              <w:rPr>
                <w:rFonts w:ascii="Arial Narrow" w:hAnsi="Arial Narrow"/>
                <w:sz w:val="20"/>
                <w:szCs w:val="20"/>
              </w:rPr>
              <w:t xml:space="preserve">Varied between 80% </w:t>
            </w:r>
            <w:r w:rsidR="00264873">
              <w:rPr>
                <w:rFonts w:ascii="Arial Narrow" w:hAnsi="Arial Narrow"/>
                <w:sz w:val="20"/>
                <w:szCs w:val="20"/>
              </w:rPr>
              <w:t>and</w:t>
            </w:r>
            <w:r w:rsidRPr="00B01912">
              <w:rPr>
                <w:rFonts w:ascii="Arial Narrow" w:hAnsi="Arial Narrow"/>
                <w:sz w:val="20"/>
                <w:szCs w:val="20"/>
              </w:rPr>
              <w:t xml:space="preserve"> 100%</w:t>
            </w:r>
          </w:p>
        </w:tc>
        <w:tc>
          <w:tcPr>
            <w:tcW w:w="1861" w:type="pct"/>
          </w:tcPr>
          <w:p w14:paraId="0CC69102" w14:textId="046CA215"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C73C36" w:rsidRPr="00B01912">
              <w:rPr>
                <w:rFonts w:ascii="Arial Narrow" w:hAnsi="Arial Narrow"/>
                <w:sz w:val="20"/>
                <w:szCs w:val="20"/>
              </w:rPr>
              <w:t xml:space="preserve"> lower termination uptake rates favo</w:t>
            </w:r>
            <w:r w:rsidR="005621E2">
              <w:rPr>
                <w:rFonts w:ascii="Arial Narrow" w:hAnsi="Arial Narrow"/>
                <w:sz w:val="20"/>
                <w:szCs w:val="20"/>
              </w:rPr>
              <w:t>u</w:t>
            </w:r>
            <w:r w:rsidR="00C73C36" w:rsidRPr="00B01912">
              <w:rPr>
                <w:rFonts w:ascii="Arial Narrow" w:hAnsi="Arial Narrow"/>
                <w:sz w:val="20"/>
                <w:szCs w:val="20"/>
              </w:rPr>
              <w:t xml:space="preserve">r </w:t>
            </w:r>
            <w:r>
              <w:rPr>
                <w:rFonts w:ascii="Arial Narrow" w:hAnsi="Arial Narrow"/>
                <w:sz w:val="20"/>
                <w:szCs w:val="20"/>
              </w:rPr>
              <w:t xml:space="preserve">the </w:t>
            </w:r>
            <w:r w:rsidR="00C73C36" w:rsidRPr="00B01912">
              <w:rPr>
                <w:rFonts w:ascii="Arial Narrow" w:hAnsi="Arial Narrow"/>
                <w:sz w:val="20"/>
                <w:szCs w:val="20"/>
              </w:rPr>
              <w:t xml:space="preserve">comparator </w:t>
            </w:r>
          </w:p>
        </w:tc>
      </w:tr>
      <w:tr w:rsidR="00C73C36" w:rsidRPr="00B01912" w14:paraId="551E1C89" w14:textId="77777777" w:rsidTr="004245A0">
        <w:tc>
          <w:tcPr>
            <w:tcW w:w="1525" w:type="pct"/>
          </w:tcPr>
          <w:p w14:paraId="2E2405A8" w14:textId="421A12EE" w:rsidR="00C73C36" w:rsidRPr="00B01912" w:rsidRDefault="00C73C36">
            <w:pPr>
              <w:keepNext/>
              <w:spacing w:after="40" w:line="240" w:lineRule="auto"/>
              <w:jc w:val="left"/>
              <w:rPr>
                <w:rFonts w:ascii="Arial Narrow" w:hAnsi="Arial Narrow"/>
                <w:sz w:val="20"/>
                <w:szCs w:val="20"/>
              </w:rPr>
            </w:pPr>
            <w:r w:rsidRPr="00B01912">
              <w:rPr>
                <w:rFonts w:ascii="Arial Narrow" w:hAnsi="Arial Narrow"/>
                <w:sz w:val="20"/>
                <w:szCs w:val="20"/>
              </w:rPr>
              <w:t xml:space="preserve">Cost of </w:t>
            </w:r>
            <w:r w:rsidR="0067459F">
              <w:rPr>
                <w:rFonts w:ascii="Arial Narrow" w:hAnsi="Arial Narrow"/>
                <w:sz w:val="20"/>
                <w:szCs w:val="20"/>
              </w:rPr>
              <w:t>NBS</w:t>
            </w:r>
            <w:r w:rsidRPr="00B01912">
              <w:rPr>
                <w:rFonts w:ascii="Arial Narrow" w:hAnsi="Arial Narrow"/>
                <w:sz w:val="20"/>
                <w:szCs w:val="20"/>
              </w:rPr>
              <w:t xml:space="preserve"> in infants tested prenatally</w:t>
            </w:r>
          </w:p>
        </w:tc>
        <w:tc>
          <w:tcPr>
            <w:tcW w:w="1614" w:type="pct"/>
          </w:tcPr>
          <w:p w14:paraId="36F9CF41" w14:textId="7D54FC50" w:rsidR="00C73C36" w:rsidRPr="00B01912" w:rsidRDefault="005F11BB" w:rsidP="009B120E">
            <w:pPr>
              <w:keepNext/>
              <w:spacing w:after="40" w:line="240" w:lineRule="auto"/>
              <w:jc w:val="left"/>
              <w:rPr>
                <w:rFonts w:ascii="Arial Narrow" w:hAnsi="Arial Narrow"/>
                <w:sz w:val="20"/>
                <w:szCs w:val="20"/>
              </w:rPr>
            </w:pPr>
            <w:r>
              <w:rPr>
                <w:rFonts w:ascii="Arial Narrow" w:hAnsi="Arial Narrow"/>
                <w:sz w:val="20"/>
                <w:szCs w:val="20"/>
              </w:rPr>
              <w:t xml:space="preserve">Varied between $5 </w:t>
            </w:r>
            <w:r w:rsidR="00264873">
              <w:rPr>
                <w:rFonts w:ascii="Arial Narrow" w:hAnsi="Arial Narrow"/>
                <w:sz w:val="20"/>
                <w:szCs w:val="20"/>
              </w:rPr>
              <w:t>and</w:t>
            </w:r>
            <w:r>
              <w:rPr>
                <w:rFonts w:ascii="Arial Narrow" w:hAnsi="Arial Narrow"/>
                <w:sz w:val="20"/>
                <w:szCs w:val="20"/>
              </w:rPr>
              <w:t xml:space="preserve"> $25</w:t>
            </w:r>
            <w:r w:rsidR="00C73C36" w:rsidRPr="00B01912">
              <w:rPr>
                <w:rFonts w:ascii="Arial Narrow" w:hAnsi="Arial Narrow"/>
                <w:sz w:val="20"/>
                <w:szCs w:val="20"/>
              </w:rPr>
              <w:t>0</w:t>
            </w:r>
          </w:p>
        </w:tc>
        <w:tc>
          <w:tcPr>
            <w:tcW w:w="1861" w:type="pct"/>
          </w:tcPr>
          <w:p w14:paraId="2890C68F" w14:textId="5BF8F866"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E15BE4" w:rsidRPr="00E15BE4">
              <w:rPr>
                <w:rFonts w:ascii="Arial Narrow" w:hAnsi="Arial Narrow"/>
                <w:sz w:val="20"/>
                <w:szCs w:val="20"/>
              </w:rPr>
              <w:t xml:space="preserve"> retesting neonates for </w:t>
            </w:r>
            <w:r w:rsidR="00FD37D3" w:rsidRPr="00FD37D3">
              <w:rPr>
                <w:rFonts w:ascii="Arial Narrow" w:hAnsi="Arial Narrow"/>
                <w:sz w:val="20"/>
                <w:szCs w:val="20"/>
              </w:rPr>
              <w:t>CFTR</w:t>
            </w:r>
            <w:r w:rsidR="00E15BE4" w:rsidRPr="00E15BE4">
              <w:rPr>
                <w:rFonts w:ascii="Arial Narrow" w:hAnsi="Arial Narrow"/>
                <w:sz w:val="20"/>
                <w:szCs w:val="20"/>
              </w:rPr>
              <w:t xml:space="preserve"> mutations during NBS favours</w:t>
            </w:r>
            <w:r>
              <w:rPr>
                <w:rFonts w:ascii="Arial Narrow" w:hAnsi="Arial Narrow"/>
                <w:sz w:val="20"/>
                <w:szCs w:val="20"/>
              </w:rPr>
              <w:t xml:space="preserve"> the</w:t>
            </w:r>
            <w:r w:rsidR="00E15BE4" w:rsidRPr="00E15BE4">
              <w:rPr>
                <w:rFonts w:ascii="Arial Narrow" w:hAnsi="Arial Narrow"/>
                <w:sz w:val="20"/>
                <w:szCs w:val="20"/>
              </w:rPr>
              <w:t xml:space="preserve"> comparator</w:t>
            </w:r>
          </w:p>
        </w:tc>
      </w:tr>
      <w:tr w:rsidR="00C73C36" w:rsidRPr="00B01912" w14:paraId="1A26FB43" w14:textId="77777777" w:rsidTr="004245A0">
        <w:tc>
          <w:tcPr>
            <w:tcW w:w="1525" w:type="pct"/>
          </w:tcPr>
          <w:p w14:paraId="7F39A3A2" w14:textId="77777777" w:rsidR="00C73C36" w:rsidRPr="00B01912" w:rsidRDefault="00C73C36" w:rsidP="00954561">
            <w:pPr>
              <w:keepNext/>
              <w:spacing w:after="40" w:line="240" w:lineRule="auto"/>
              <w:jc w:val="left"/>
              <w:rPr>
                <w:rFonts w:ascii="Arial Narrow" w:hAnsi="Arial Narrow"/>
                <w:sz w:val="20"/>
                <w:szCs w:val="20"/>
              </w:rPr>
            </w:pPr>
            <w:r w:rsidRPr="00B01912">
              <w:rPr>
                <w:rFonts w:ascii="Arial Narrow" w:hAnsi="Arial Narrow"/>
                <w:sz w:val="20"/>
                <w:szCs w:val="20"/>
              </w:rPr>
              <w:t>Clinical sensitivity of common mutation test</w:t>
            </w:r>
          </w:p>
        </w:tc>
        <w:tc>
          <w:tcPr>
            <w:tcW w:w="1614" w:type="pct"/>
          </w:tcPr>
          <w:p w14:paraId="61478552" w14:textId="77777777" w:rsidR="00C73C36" w:rsidRPr="00B01912" w:rsidRDefault="005F11BB" w:rsidP="009B120E">
            <w:pPr>
              <w:keepNext/>
              <w:spacing w:after="40" w:line="240" w:lineRule="auto"/>
              <w:jc w:val="left"/>
              <w:rPr>
                <w:rFonts w:ascii="Arial Narrow" w:hAnsi="Arial Narrow"/>
                <w:sz w:val="20"/>
                <w:szCs w:val="20"/>
              </w:rPr>
            </w:pPr>
            <w:r>
              <w:rPr>
                <w:rFonts w:ascii="Arial Narrow" w:hAnsi="Arial Narrow"/>
                <w:sz w:val="20"/>
                <w:szCs w:val="20"/>
              </w:rPr>
              <w:t>Varied between 80% and 98</w:t>
            </w:r>
            <w:r w:rsidR="00C73C36" w:rsidRPr="00B01912">
              <w:rPr>
                <w:rFonts w:ascii="Arial Narrow" w:hAnsi="Arial Narrow"/>
                <w:sz w:val="20"/>
                <w:szCs w:val="20"/>
              </w:rPr>
              <w:t>%</w:t>
            </w:r>
          </w:p>
        </w:tc>
        <w:tc>
          <w:tcPr>
            <w:tcW w:w="1861" w:type="pct"/>
          </w:tcPr>
          <w:p w14:paraId="0FD28437" w14:textId="3955C39F"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C73C36" w:rsidRPr="00B01912">
              <w:rPr>
                <w:rFonts w:ascii="Arial Narrow" w:hAnsi="Arial Narrow"/>
                <w:sz w:val="20"/>
                <w:szCs w:val="20"/>
              </w:rPr>
              <w:t xml:space="preserve"> higher clinical sensitivity favo</w:t>
            </w:r>
            <w:r w:rsidR="005621E2">
              <w:rPr>
                <w:rFonts w:ascii="Arial Narrow" w:hAnsi="Arial Narrow"/>
                <w:sz w:val="20"/>
                <w:szCs w:val="20"/>
              </w:rPr>
              <w:t>u</w:t>
            </w:r>
            <w:r w:rsidR="00C73C36" w:rsidRPr="00B01912">
              <w:rPr>
                <w:rFonts w:ascii="Arial Narrow" w:hAnsi="Arial Narrow"/>
                <w:sz w:val="20"/>
                <w:szCs w:val="20"/>
              </w:rPr>
              <w:t xml:space="preserve">rs </w:t>
            </w:r>
            <w:r>
              <w:rPr>
                <w:rFonts w:ascii="Arial Narrow" w:hAnsi="Arial Narrow"/>
                <w:sz w:val="20"/>
                <w:szCs w:val="20"/>
              </w:rPr>
              <w:t xml:space="preserve">the </w:t>
            </w:r>
            <w:r w:rsidR="00C73C36" w:rsidRPr="00B01912">
              <w:rPr>
                <w:rFonts w:ascii="Arial Narrow" w:hAnsi="Arial Narrow"/>
                <w:sz w:val="20"/>
                <w:szCs w:val="20"/>
              </w:rPr>
              <w:t>intervention</w:t>
            </w:r>
          </w:p>
        </w:tc>
      </w:tr>
      <w:tr w:rsidR="00C73C36" w:rsidRPr="00B01912" w14:paraId="0A5C86AC" w14:textId="77777777" w:rsidTr="004245A0">
        <w:tc>
          <w:tcPr>
            <w:tcW w:w="1525" w:type="pct"/>
          </w:tcPr>
          <w:p w14:paraId="6482058A" w14:textId="2CE18281" w:rsidR="00C73C36" w:rsidRPr="00B01912" w:rsidRDefault="00C73C36" w:rsidP="00954561">
            <w:pPr>
              <w:keepNext/>
              <w:spacing w:after="40" w:line="240" w:lineRule="auto"/>
              <w:jc w:val="left"/>
              <w:rPr>
                <w:rFonts w:ascii="Arial Narrow" w:hAnsi="Arial Narrow"/>
                <w:sz w:val="20"/>
                <w:szCs w:val="20"/>
              </w:rPr>
            </w:pPr>
            <w:r w:rsidRPr="00B01912">
              <w:rPr>
                <w:rFonts w:ascii="Arial Narrow" w:hAnsi="Arial Narrow"/>
                <w:sz w:val="20"/>
                <w:szCs w:val="20"/>
              </w:rPr>
              <w:t>Cost of whole gene sequencing</w:t>
            </w:r>
          </w:p>
        </w:tc>
        <w:tc>
          <w:tcPr>
            <w:tcW w:w="1614" w:type="pct"/>
          </w:tcPr>
          <w:p w14:paraId="6B1B74EB" w14:textId="539B5A92" w:rsidR="00C73C36" w:rsidRPr="00B01912" w:rsidRDefault="005F11BB" w:rsidP="009B120E">
            <w:pPr>
              <w:keepNext/>
              <w:spacing w:after="40" w:line="240" w:lineRule="auto"/>
              <w:jc w:val="left"/>
              <w:rPr>
                <w:rFonts w:ascii="Arial Narrow" w:hAnsi="Arial Narrow"/>
                <w:sz w:val="20"/>
                <w:szCs w:val="20"/>
              </w:rPr>
            </w:pPr>
            <w:r>
              <w:rPr>
                <w:rFonts w:ascii="Arial Narrow" w:hAnsi="Arial Narrow"/>
                <w:sz w:val="20"/>
                <w:szCs w:val="20"/>
              </w:rPr>
              <w:t xml:space="preserve">Varied </w:t>
            </w:r>
            <w:r w:rsidR="00264873">
              <w:rPr>
                <w:rFonts w:ascii="Arial Narrow" w:hAnsi="Arial Narrow"/>
                <w:sz w:val="20"/>
                <w:szCs w:val="20"/>
              </w:rPr>
              <w:t>between</w:t>
            </w:r>
            <w:r>
              <w:rPr>
                <w:rFonts w:ascii="Arial Narrow" w:hAnsi="Arial Narrow"/>
                <w:sz w:val="20"/>
                <w:szCs w:val="20"/>
              </w:rPr>
              <w:t xml:space="preserve"> $500 </w:t>
            </w:r>
            <w:r w:rsidR="00264873">
              <w:rPr>
                <w:rFonts w:ascii="Arial Narrow" w:hAnsi="Arial Narrow"/>
                <w:sz w:val="20"/>
                <w:szCs w:val="20"/>
              </w:rPr>
              <w:t>and</w:t>
            </w:r>
            <w:r>
              <w:rPr>
                <w:rFonts w:ascii="Arial Narrow" w:hAnsi="Arial Narrow"/>
                <w:sz w:val="20"/>
                <w:szCs w:val="20"/>
              </w:rPr>
              <w:t xml:space="preserve"> $1</w:t>
            </w:r>
            <w:r w:rsidR="00264873">
              <w:rPr>
                <w:rFonts w:ascii="Arial Narrow" w:hAnsi="Arial Narrow"/>
                <w:sz w:val="20"/>
                <w:szCs w:val="20"/>
              </w:rPr>
              <w:t>,</w:t>
            </w:r>
            <w:r>
              <w:rPr>
                <w:rFonts w:ascii="Arial Narrow" w:hAnsi="Arial Narrow"/>
                <w:sz w:val="20"/>
                <w:szCs w:val="20"/>
              </w:rPr>
              <w:t>00</w:t>
            </w:r>
            <w:r w:rsidR="00C73C36" w:rsidRPr="00B01912">
              <w:rPr>
                <w:rFonts w:ascii="Arial Narrow" w:hAnsi="Arial Narrow"/>
                <w:sz w:val="20"/>
                <w:szCs w:val="20"/>
              </w:rPr>
              <w:t>5</w:t>
            </w:r>
          </w:p>
        </w:tc>
        <w:tc>
          <w:tcPr>
            <w:tcW w:w="1861" w:type="pct"/>
          </w:tcPr>
          <w:p w14:paraId="176149E5" w14:textId="740EC980"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C73C36" w:rsidRPr="00B01912">
              <w:rPr>
                <w:rFonts w:ascii="Arial Narrow" w:hAnsi="Arial Narrow"/>
                <w:sz w:val="20"/>
                <w:szCs w:val="20"/>
              </w:rPr>
              <w:t xml:space="preserve"> lowering the cost favo</w:t>
            </w:r>
            <w:r w:rsidR="005621E2">
              <w:rPr>
                <w:rFonts w:ascii="Arial Narrow" w:hAnsi="Arial Narrow"/>
                <w:sz w:val="20"/>
                <w:szCs w:val="20"/>
              </w:rPr>
              <w:t>u</w:t>
            </w:r>
            <w:r w:rsidR="00C73C36" w:rsidRPr="00B01912">
              <w:rPr>
                <w:rFonts w:ascii="Arial Narrow" w:hAnsi="Arial Narrow"/>
                <w:sz w:val="20"/>
                <w:szCs w:val="20"/>
              </w:rPr>
              <w:t xml:space="preserve">rs </w:t>
            </w:r>
            <w:r>
              <w:rPr>
                <w:rFonts w:ascii="Arial Narrow" w:hAnsi="Arial Narrow"/>
                <w:sz w:val="20"/>
                <w:szCs w:val="20"/>
              </w:rPr>
              <w:t xml:space="preserve">the </w:t>
            </w:r>
            <w:r w:rsidR="00C73C36" w:rsidRPr="00B01912">
              <w:rPr>
                <w:rFonts w:ascii="Arial Narrow" w:hAnsi="Arial Narrow"/>
                <w:sz w:val="20"/>
                <w:szCs w:val="20"/>
              </w:rPr>
              <w:t>intervention</w:t>
            </w:r>
          </w:p>
        </w:tc>
      </w:tr>
      <w:tr w:rsidR="00C73C36" w:rsidRPr="00B01912" w14:paraId="5B02D98B" w14:textId="77777777" w:rsidTr="004245A0">
        <w:tc>
          <w:tcPr>
            <w:tcW w:w="1525" w:type="pct"/>
          </w:tcPr>
          <w:p w14:paraId="1AA73BF8" w14:textId="3F108C34" w:rsidR="00C73C36" w:rsidRPr="00B01912" w:rsidRDefault="00C73C36" w:rsidP="00954561">
            <w:pPr>
              <w:keepNext/>
              <w:spacing w:after="40" w:line="240" w:lineRule="auto"/>
              <w:jc w:val="left"/>
              <w:rPr>
                <w:rFonts w:ascii="Arial Narrow" w:hAnsi="Arial Narrow"/>
                <w:i/>
                <w:snapToGrid w:val="0"/>
                <w:sz w:val="20"/>
                <w:szCs w:val="20"/>
                <w:lang w:eastAsia="en-US"/>
              </w:rPr>
            </w:pPr>
            <w:r w:rsidRPr="00B01912">
              <w:rPr>
                <w:rFonts w:ascii="Arial Narrow" w:hAnsi="Arial Narrow"/>
                <w:i/>
                <w:snapToGrid w:val="0"/>
                <w:sz w:val="20"/>
                <w:szCs w:val="20"/>
                <w:lang w:eastAsia="en-US"/>
              </w:rPr>
              <w:t>Model 2</w:t>
            </w:r>
            <w:r w:rsidR="000629F4">
              <w:rPr>
                <w:rFonts w:ascii="Arial Narrow" w:hAnsi="Arial Narrow"/>
                <w:i/>
                <w:snapToGrid w:val="0"/>
                <w:sz w:val="20"/>
                <w:szCs w:val="20"/>
                <w:lang w:eastAsia="en-US"/>
              </w:rPr>
              <w:t xml:space="preserve"> </w:t>
            </w:r>
            <w:r w:rsidR="000629F4" w:rsidRPr="000629F4">
              <w:rPr>
                <w:rFonts w:ascii="Arial Narrow" w:hAnsi="Arial Narrow"/>
                <w:i/>
                <w:snapToGrid w:val="0"/>
                <w:sz w:val="20"/>
                <w:szCs w:val="20"/>
                <w:lang w:eastAsia="en-US"/>
              </w:rPr>
              <w:t>– Fetus has FEB</w:t>
            </w:r>
          </w:p>
        </w:tc>
        <w:tc>
          <w:tcPr>
            <w:tcW w:w="1614" w:type="pct"/>
          </w:tcPr>
          <w:p w14:paraId="1CB45783" w14:textId="77777777" w:rsidR="00C73C36" w:rsidRPr="00B01912" w:rsidRDefault="00C73C36" w:rsidP="009B120E">
            <w:pPr>
              <w:keepNext/>
              <w:spacing w:after="40" w:line="240" w:lineRule="auto"/>
              <w:jc w:val="left"/>
              <w:rPr>
                <w:rFonts w:ascii="Arial Narrow" w:hAnsi="Arial Narrow"/>
                <w:i/>
                <w:snapToGrid w:val="0"/>
                <w:sz w:val="20"/>
                <w:szCs w:val="20"/>
                <w:lang w:eastAsia="en-US"/>
              </w:rPr>
            </w:pPr>
          </w:p>
        </w:tc>
        <w:tc>
          <w:tcPr>
            <w:tcW w:w="1861" w:type="pct"/>
          </w:tcPr>
          <w:p w14:paraId="4D8DFBD4" w14:textId="77777777" w:rsidR="00C73C36" w:rsidRPr="00B01912" w:rsidRDefault="00C73C36" w:rsidP="00954561">
            <w:pPr>
              <w:keepNext/>
              <w:spacing w:after="40" w:line="240" w:lineRule="auto"/>
              <w:jc w:val="left"/>
              <w:rPr>
                <w:rFonts w:ascii="Arial Narrow" w:hAnsi="Arial Narrow"/>
                <w:i/>
                <w:snapToGrid w:val="0"/>
                <w:sz w:val="20"/>
                <w:szCs w:val="20"/>
                <w:lang w:eastAsia="en-US"/>
              </w:rPr>
            </w:pPr>
          </w:p>
        </w:tc>
      </w:tr>
      <w:tr w:rsidR="00C73C36" w:rsidRPr="00B01912" w14:paraId="4954B90E" w14:textId="77777777" w:rsidTr="004245A0">
        <w:tc>
          <w:tcPr>
            <w:tcW w:w="1525" w:type="pct"/>
          </w:tcPr>
          <w:p w14:paraId="1760880F" w14:textId="77777777" w:rsidR="00C73C36" w:rsidRPr="00B01912" w:rsidRDefault="00C73C36" w:rsidP="00954561">
            <w:pPr>
              <w:keepNext/>
              <w:spacing w:after="40" w:line="240" w:lineRule="auto"/>
              <w:jc w:val="left"/>
              <w:rPr>
                <w:rFonts w:ascii="Arial Narrow" w:hAnsi="Arial Narrow"/>
                <w:snapToGrid w:val="0"/>
                <w:sz w:val="20"/>
                <w:szCs w:val="20"/>
                <w:lang w:eastAsia="en-US"/>
              </w:rPr>
            </w:pPr>
            <w:r w:rsidRPr="00B01912">
              <w:rPr>
                <w:rFonts w:ascii="Arial Narrow" w:hAnsi="Arial Narrow"/>
                <w:snapToGrid w:val="0"/>
                <w:sz w:val="20"/>
                <w:szCs w:val="20"/>
                <w:lang w:eastAsia="en-US"/>
              </w:rPr>
              <w:t>Uptake of termination of affected pregnancy</w:t>
            </w:r>
          </w:p>
        </w:tc>
        <w:tc>
          <w:tcPr>
            <w:tcW w:w="1614" w:type="pct"/>
          </w:tcPr>
          <w:p w14:paraId="6D5063C4" w14:textId="1CDC0E01" w:rsidR="00C73C36" w:rsidRPr="00B01912" w:rsidRDefault="00C73C36" w:rsidP="009B120E">
            <w:pPr>
              <w:keepNext/>
              <w:spacing w:after="40" w:line="240" w:lineRule="auto"/>
              <w:jc w:val="left"/>
              <w:rPr>
                <w:rFonts w:ascii="Arial Narrow" w:hAnsi="Arial Narrow"/>
                <w:sz w:val="20"/>
                <w:szCs w:val="20"/>
              </w:rPr>
            </w:pPr>
            <w:r w:rsidRPr="00B01912">
              <w:rPr>
                <w:rFonts w:ascii="Arial Narrow" w:hAnsi="Arial Narrow"/>
                <w:sz w:val="20"/>
                <w:szCs w:val="20"/>
              </w:rPr>
              <w:t>Va</w:t>
            </w:r>
            <w:r w:rsidR="005F11BB">
              <w:rPr>
                <w:rFonts w:ascii="Arial Narrow" w:hAnsi="Arial Narrow"/>
                <w:sz w:val="20"/>
                <w:szCs w:val="20"/>
              </w:rPr>
              <w:t xml:space="preserve">ried </w:t>
            </w:r>
            <w:r w:rsidR="00264873">
              <w:rPr>
                <w:rFonts w:ascii="Arial Narrow" w:hAnsi="Arial Narrow"/>
                <w:sz w:val="20"/>
                <w:szCs w:val="20"/>
              </w:rPr>
              <w:t xml:space="preserve">between </w:t>
            </w:r>
            <w:r w:rsidR="005F11BB">
              <w:rPr>
                <w:rFonts w:ascii="Arial Narrow" w:hAnsi="Arial Narrow"/>
                <w:sz w:val="20"/>
                <w:szCs w:val="20"/>
              </w:rPr>
              <w:t>3</w:t>
            </w:r>
            <w:r w:rsidRPr="00B01912">
              <w:rPr>
                <w:rFonts w:ascii="Arial Narrow" w:hAnsi="Arial Narrow"/>
                <w:sz w:val="20"/>
                <w:szCs w:val="20"/>
              </w:rPr>
              <w:t xml:space="preserve">0% </w:t>
            </w:r>
            <w:r w:rsidR="00264873">
              <w:rPr>
                <w:rFonts w:ascii="Arial Narrow" w:hAnsi="Arial Narrow"/>
                <w:sz w:val="20"/>
                <w:szCs w:val="20"/>
              </w:rPr>
              <w:t>and</w:t>
            </w:r>
            <w:r w:rsidRPr="00B01912">
              <w:rPr>
                <w:rFonts w:ascii="Arial Narrow" w:hAnsi="Arial Narrow"/>
                <w:sz w:val="20"/>
                <w:szCs w:val="20"/>
              </w:rPr>
              <w:t xml:space="preserve"> 100%</w:t>
            </w:r>
          </w:p>
        </w:tc>
        <w:tc>
          <w:tcPr>
            <w:tcW w:w="1861" w:type="pct"/>
          </w:tcPr>
          <w:p w14:paraId="40103882" w14:textId="795AD52F"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C73C36" w:rsidRPr="00B01912">
              <w:rPr>
                <w:rFonts w:ascii="Arial Narrow" w:hAnsi="Arial Narrow"/>
                <w:sz w:val="20"/>
                <w:szCs w:val="20"/>
              </w:rPr>
              <w:t xml:space="preserve"> lower termination uptake rates favo</w:t>
            </w:r>
            <w:r w:rsidR="005621E2">
              <w:rPr>
                <w:rFonts w:ascii="Arial Narrow" w:hAnsi="Arial Narrow"/>
                <w:sz w:val="20"/>
                <w:szCs w:val="20"/>
              </w:rPr>
              <w:t>u</w:t>
            </w:r>
            <w:r w:rsidR="00C73C36" w:rsidRPr="00B01912">
              <w:rPr>
                <w:rFonts w:ascii="Arial Narrow" w:hAnsi="Arial Narrow"/>
                <w:sz w:val="20"/>
                <w:szCs w:val="20"/>
              </w:rPr>
              <w:t>r</w:t>
            </w:r>
            <w:r>
              <w:rPr>
                <w:rFonts w:ascii="Arial Narrow" w:hAnsi="Arial Narrow"/>
                <w:sz w:val="20"/>
                <w:szCs w:val="20"/>
              </w:rPr>
              <w:t xml:space="preserve"> the</w:t>
            </w:r>
            <w:r w:rsidR="00C73C36" w:rsidRPr="00B01912">
              <w:rPr>
                <w:rFonts w:ascii="Arial Narrow" w:hAnsi="Arial Narrow"/>
                <w:sz w:val="20"/>
                <w:szCs w:val="20"/>
              </w:rPr>
              <w:t xml:space="preserve"> comparator</w:t>
            </w:r>
          </w:p>
        </w:tc>
      </w:tr>
      <w:tr w:rsidR="00C73C36" w:rsidRPr="00B01912" w14:paraId="773E0B9D" w14:textId="77777777" w:rsidTr="004245A0">
        <w:tc>
          <w:tcPr>
            <w:tcW w:w="1525" w:type="pct"/>
          </w:tcPr>
          <w:p w14:paraId="524C2228" w14:textId="77777777" w:rsidR="00C73C36" w:rsidRPr="00B01912" w:rsidRDefault="00C73C36" w:rsidP="00954561">
            <w:pPr>
              <w:keepNext/>
              <w:spacing w:after="40" w:line="240" w:lineRule="auto"/>
              <w:jc w:val="left"/>
              <w:rPr>
                <w:rFonts w:ascii="Arial Narrow" w:hAnsi="Arial Narrow"/>
                <w:sz w:val="20"/>
                <w:szCs w:val="20"/>
              </w:rPr>
            </w:pPr>
            <w:r w:rsidRPr="00B01912">
              <w:rPr>
                <w:rFonts w:ascii="Arial Narrow" w:hAnsi="Arial Narrow"/>
                <w:sz w:val="20"/>
                <w:szCs w:val="20"/>
              </w:rPr>
              <w:t>Incidence of CF in FEB</w:t>
            </w:r>
          </w:p>
        </w:tc>
        <w:tc>
          <w:tcPr>
            <w:tcW w:w="1614" w:type="pct"/>
          </w:tcPr>
          <w:p w14:paraId="4DC72ABA" w14:textId="6B4CD8B1" w:rsidR="00C73C36" w:rsidRPr="00B01912" w:rsidRDefault="00C73C36" w:rsidP="009B120E">
            <w:pPr>
              <w:keepNext/>
              <w:spacing w:after="40" w:line="240" w:lineRule="auto"/>
              <w:jc w:val="left"/>
              <w:rPr>
                <w:rFonts w:ascii="Arial Narrow" w:hAnsi="Arial Narrow"/>
                <w:sz w:val="20"/>
                <w:szCs w:val="20"/>
              </w:rPr>
            </w:pPr>
            <w:r w:rsidRPr="00B01912">
              <w:rPr>
                <w:rFonts w:ascii="Arial Narrow" w:hAnsi="Arial Narrow"/>
                <w:sz w:val="20"/>
                <w:szCs w:val="20"/>
              </w:rPr>
              <w:t xml:space="preserve">Varied </w:t>
            </w:r>
            <w:r w:rsidR="00264873">
              <w:rPr>
                <w:rFonts w:ascii="Arial Narrow" w:hAnsi="Arial Narrow"/>
                <w:sz w:val="20"/>
                <w:szCs w:val="20"/>
              </w:rPr>
              <w:t>between</w:t>
            </w:r>
            <w:r w:rsidR="00264873" w:rsidRPr="00B01912">
              <w:rPr>
                <w:rFonts w:ascii="Arial Narrow" w:hAnsi="Arial Narrow"/>
                <w:sz w:val="20"/>
                <w:szCs w:val="20"/>
              </w:rPr>
              <w:t xml:space="preserve"> </w:t>
            </w:r>
            <w:r w:rsidRPr="00B01912">
              <w:rPr>
                <w:rFonts w:ascii="Arial Narrow" w:hAnsi="Arial Narrow"/>
                <w:sz w:val="20"/>
                <w:szCs w:val="20"/>
              </w:rPr>
              <w:t xml:space="preserve">2% </w:t>
            </w:r>
            <w:r w:rsidR="00264873">
              <w:rPr>
                <w:rFonts w:ascii="Arial Narrow" w:hAnsi="Arial Narrow"/>
                <w:sz w:val="20"/>
                <w:szCs w:val="20"/>
              </w:rPr>
              <w:t>and</w:t>
            </w:r>
            <w:r w:rsidR="00264873" w:rsidRPr="00B01912">
              <w:rPr>
                <w:rFonts w:ascii="Arial Narrow" w:hAnsi="Arial Narrow"/>
                <w:sz w:val="20"/>
                <w:szCs w:val="20"/>
              </w:rPr>
              <w:t xml:space="preserve"> </w:t>
            </w:r>
            <w:r w:rsidRPr="00B01912">
              <w:rPr>
                <w:rFonts w:ascii="Arial Narrow" w:hAnsi="Arial Narrow"/>
                <w:sz w:val="20"/>
                <w:szCs w:val="20"/>
              </w:rPr>
              <w:t>13%</w:t>
            </w:r>
          </w:p>
        </w:tc>
        <w:tc>
          <w:tcPr>
            <w:tcW w:w="0" w:type="auto"/>
          </w:tcPr>
          <w:p w14:paraId="6CBF055F" w14:textId="6C548558" w:rsidR="00C73C36" w:rsidRPr="00B01912" w:rsidRDefault="00BF5179" w:rsidP="00954561">
            <w:pPr>
              <w:keepNext/>
              <w:spacing w:after="40" w:line="240" w:lineRule="auto"/>
              <w:jc w:val="left"/>
              <w:rPr>
                <w:rFonts w:ascii="Arial Narrow" w:hAnsi="Arial Narrow"/>
                <w:sz w:val="20"/>
                <w:szCs w:val="20"/>
              </w:rPr>
            </w:pPr>
            <w:r>
              <w:rPr>
                <w:rFonts w:ascii="Arial Narrow" w:hAnsi="Arial Narrow"/>
                <w:sz w:val="20"/>
                <w:szCs w:val="20"/>
              </w:rPr>
              <w:t>High;</w:t>
            </w:r>
            <w:r w:rsidR="00C73C36" w:rsidRPr="00B01912">
              <w:rPr>
                <w:rFonts w:ascii="Arial Narrow" w:hAnsi="Arial Narrow"/>
                <w:sz w:val="20"/>
                <w:szCs w:val="20"/>
              </w:rPr>
              <w:t xml:space="preserve"> higher incidence of CF in FEB favo</w:t>
            </w:r>
            <w:r w:rsidR="005621E2">
              <w:rPr>
                <w:rFonts w:ascii="Arial Narrow" w:hAnsi="Arial Narrow"/>
                <w:sz w:val="20"/>
                <w:szCs w:val="20"/>
              </w:rPr>
              <w:t>u</w:t>
            </w:r>
            <w:r w:rsidR="00C73C36" w:rsidRPr="00B01912">
              <w:rPr>
                <w:rFonts w:ascii="Arial Narrow" w:hAnsi="Arial Narrow"/>
                <w:sz w:val="20"/>
                <w:szCs w:val="20"/>
              </w:rPr>
              <w:t xml:space="preserve">rs </w:t>
            </w:r>
            <w:r>
              <w:rPr>
                <w:rFonts w:ascii="Arial Narrow" w:hAnsi="Arial Narrow"/>
                <w:sz w:val="20"/>
                <w:szCs w:val="20"/>
              </w:rPr>
              <w:t xml:space="preserve">the </w:t>
            </w:r>
            <w:r w:rsidR="00C73C36" w:rsidRPr="00B01912">
              <w:rPr>
                <w:rFonts w:ascii="Arial Narrow" w:hAnsi="Arial Narrow"/>
                <w:sz w:val="20"/>
                <w:szCs w:val="20"/>
              </w:rPr>
              <w:t>intervention</w:t>
            </w:r>
          </w:p>
        </w:tc>
      </w:tr>
    </w:tbl>
    <w:p w14:paraId="0532E1D9" w14:textId="49B0ADE4" w:rsidR="00BF5179" w:rsidRDefault="00C73C36" w:rsidP="00BF5179">
      <w:pPr>
        <w:pStyle w:val="Tablenotes0"/>
        <w:spacing w:after="40"/>
      </w:pPr>
      <w:r>
        <w:t xml:space="preserve">CF = cystic fibrosis; </w:t>
      </w:r>
      <w:r w:rsidR="00BF5179">
        <w:t>FEB = fetal echogenic bowe</w:t>
      </w:r>
      <w:r w:rsidR="005954E2">
        <w:t>l</w:t>
      </w:r>
      <w:r w:rsidR="00E00DDD">
        <w:t>; NBS = newborn screening</w:t>
      </w:r>
    </w:p>
    <w:p w14:paraId="22507ADA" w14:textId="539462AE" w:rsidR="00C73C36" w:rsidRDefault="00BF5179" w:rsidP="00BF5179">
      <w:pPr>
        <w:pStyle w:val="Tablenotes0"/>
      </w:pPr>
      <w:r>
        <w:t xml:space="preserve">Note: </w:t>
      </w:r>
      <w:r w:rsidR="00A27425">
        <w:t>I</w:t>
      </w:r>
      <w:r>
        <w:t>ntervention is CFTR mutation common panel test (base</w:t>
      </w:r>
      <w:r w:rsidR="00A27425">
        <w:t>-</w:t>
      </w:r>
      <w:r>
        <w:t>case scenario) and comparator is no genetic testing.</w:t>
      </w:r>
    </w:p>
    <w:p w14:paraId="0485B792" w14:textId="7E9A9BCD" w:rsidR="00E45959" w:rsidRPr="00183E4D" w:rsidRDefault="00E45959" w:rsidP="00E45959">
      <w:pPr>
        <w:pStyle w:val="Heading3"/>
      </w:pPr>
      <w:bookmarkStart w:id="86" w:name="_Toc259437725"/>
      <w:bookmarkStart w:id="87" w:name="_Toc395200753"/>
      <w:bookmarkStart w:id="88" w:name="_Toc418179875"/>
      <w:bookmarkStart w:id="89" w:name="_Toc395200754"/>
      <w:bookmarkStart w:id="90" w:name="_Toc379118060"/>
      <w:bookmarkStart w:id="91" w:name="_Toc379118252"/>
      <w:r w:rsidRPr="00183E4D">
        <w:t>E.</w:t>
      </w:r>
      <w:r w:rsidR="00FC10F8">
        <w:tab/>
      </w:r>
      <w:r w:rsidRPr="00183E4D">
        <w:t>Estimated Extent of Use and Financial Im</w:t>
      </w:r>
      <w:bookmarkEnd w:id="86"/>
      <w:r w:rsidRPr="00183E4D">
        <w:t>plications</w:t>
      </w:r>
      <w:bookmarkEnd w:id="87"/>
      <w:bookmarkEnd w:id="88"/>
    </w:p>
    <w:p w14:paraId="187B97CF" w14:textId="7F613D53" w:rsidR="00BF5179" w:rsidRPr="00202CCF" w:rsidRDefault="00BF5179" w:rsidP="00BF5179">
      <w:pPr>
        <w:rPr>
          <w:b/>
          <w:smallCaps/>
        </w:rPr>
      </w:pPr>
      <w:r w:rsidRPr="00BC6914">
        <w:t xml:space="preserve">A market-based approach has been used to estimate the financial implications of listing </w:t>
      </w:r>
      <w:r w:rsidRPr="00FD37D3">
        <w:t>CFTR</w:t>
      </w:r>
      <w:r w:rsidRPr="00BC6914">
        <w:t xml:space="preserve"> mutation testing on the MBS</w:t>
      </w:r>
      <w:r>
        <w:t>. The estimate has been</w:t>
      </w:r>
      <w:r w:rsidRPr="00BC6914">
        <w:t xml:space="preserve"> based on extrapolations from data collected in the RCPA Genetic Testing Survey conducted in 2011. While the survey recorded the number of </w:t>
      </w:r>
      <w:r w:rsidRPr="00FD37D3">
        <w:t>CFTR</w:t>
      </w:r>
      <w:r w:rsidRPr="00BC6914">
        <w:t xml:space="preserve"> tests by broad reason, data could not be distinguished by </w:t>
      </w:r>
      <w:r>
        <w:t xml:space="preserve">patient </w:t>
      </w:r>
      <w:r w:rsidRPr="00BC6914">
        <w:t>indication</w:t>
      </w:r>
      <w:r>
        <w:t>. A</w:t>
      </w:r>
      <w:r w:rsidRPr="00BC6914">
        <w:t xml:space="preserve">s the proposed </w:t>
      </w:r>
      <w:r>
        <w:t>descriptor</w:t>
      </w:r>
      <w:r w:rsidRPr="00BC6914">
        <w:t xml:space="preserve"> for </w:t>
      </w:r>
      <w:r>
        <w:t xml:space="preserve">the </w:t>
      </w:r>
      <w:r w:rsidRPr="00BC6914">
        <w:t xml:space="preserve">MBS </w:t>
      </w:r>
      <w:r>
        <w:t>item</w:t>
      </w:r>
      <w:r w:rsidRPr="00BC6914">
        <w:t xml:space="preserve"> do</w:t>
      </w:r>
      <w:r>
        <w:t>es</w:t>
      </w:r>
      <w:r w:rsidRPr="00BC6914">
        <w:t xml:space="preserve"> not include all current indications for testing (</w:t>
      </w:r>
      <w:r w:rsidR="00FB2432">
        <w:t>i.e</w:t>
      </w:r>
      <w:r w:rsidRPr="00BC6914">
        <w:t xml:space="preserve">. newborn or general population screening are not proposed), the proportion of current </w:t>
      </w:r>
      <w:r>
        <w:t xml:space="preserve">CFTR </w:t>
      </w:r>
      <w:r w:rsidRPr="00BC6914">
        <w:t xml:space="preserve">tests </w:t>
      </w:r>
      <w:r>
        <w:t xml:space="preserve">that would be </w:t>
      </w:r>
      <w:r w:rsidRPr="00BC6914">
        <w:t xml:space="preserve">eligible for </w:t>
      </w:r>
      <w:r>
        <w:t xml:space="preserve">use with the </w:t>
      </w:r>
      <w:r w:rsidRPr="00BC6914">
        <w:t xml:space="preserve">MBS </w:t>
      </w:r>
      <w:r>
        <w:t>item</w:t>
      </w:r>
      <w:r w:rsidRPr="00BC6914">
        <w:t xml:space="preserve"> w</w:t>
      </w:r>
      <w:r>
        <w:t>as</w:t>
      </w:r>
      <w:r w:rsidRPr="00BC6914">
        <w:t xml:space="preserve"> sought from the literature and expert opinion. </w:t>
      </w:r>
    </w:p>
    <w:p w14:paraId="587B8F41" w14:textId="423B5487" w:rsidR="00BF5179" w:rsidRPr="00BC6914" w:rsidRDefault="00BF5179" w:rsidP="00BF5179">
      <w:r w:rsidRPr="00FD37D3">
        <w:t>CFTR</w:t>
      </w:r>
      <w:r w:rsidRPr="00BC6914">
        <w:t xml:space="preserve"> mutation testing is currently provided by the </w:t>
      </w:r>
      <w:r w:rsidR="00FB2432">
        <w:t>s</w:t>
      </w:r>
      <w:r w:rsidRPr="00BC6914">
        <w:t>tates/</w:t>
      </w:r>
      <w:r w:rsidR="00FB2432">
        <w:t>t</w:t>
      </w:r>
      <w:r w:rsidRPr="00BC6914">
        <w:t>erritories or is privately funded</w:t>
      </w:r>
      <w:r w:rsidRPr="0016216E">
        <w:t xml:space="preserve"> </w:t>
      </w:r>
      <w:r>
        <w:t>by</w:t>
      </w:r>
      <w:r w:rsidRPr="00BC6914">
        <w:t xml:space="preserve"> the populations eligible for MBS funding. </w:t>
      </w:r>
      <w:r>
        <w:t>Should</w:t>
      </w:r>
      <w:r w:rsidRPr="00BC6914">
        <w:t xml:space="preserve"> listing on the MBS</w:t>
      </w:r>
      <w:r>
        <w:t xml:space="preserve"> be recommended</w:t>
      </w:r>
      <w:r w:rsidRPr="00BC6914">
        <w:t xml:space="preserve">, it is expected that </w:t>
      </w:r>
      <w:r w:rsidR="00FB2432">
        <w:t xml:space="preserve">the </w:t>
      </w:r>
      <w:r w:rsidRPr="00BC6914">
        <w:t xml:space="preserve">cost of testing will shift from the </w:t>
      </w:r>
      <w:r w:rsidR="00FB2432">
        <w:t>s</w:t>
      </w:r>
      <w:r w:rsidRPr="00BC6914">
        <w:t>tates/</w:t>
      </w:r>
      <w:r w:rsidR="00FB2432">
        <w:t>t</w:t>
      </w:r>
      <w:r w:rsidRPr="00BC6914">
        <w:t>erritories or patients to the MBS (with no cost-offsets to the MBS anticipated).</w:t>
      </w:r>
    </w:p>
    <w:p w14:paraId="3C00E19D" w14:textId="18A36974" w:rsidR="00E45959" w:rsidRPr="00BC6914" w:rsidRDefault="00E45959" w:rsidP="00E45959">
      <w:r w:rsidRPr="00BC6914">
        <w:t xml:space="preserve">The financial implications to the MBS resulting from the proposed listing of </w:t>
      </w:r>
      <w:r w:rsidR="00FD37D3" w:rsidRPr="00FD37D3">
        <w:t>CFTR</w:t>
      </w:r>
      <w:r w:rsidRPr="00BC6914">
        <w:t xml:space="preserve"> mutation testing are </w:t>
      </w:r>
      <w:r w:rsidRPr="0032032E">
        <w:t xml:space="preserve">summarised in </w:t>
      </w:r>
      <w:r w:rsidR="0032032E">
        <w:fldChar w:fldCharType="begin"/>
      </w:r>
      <w:r w:rsidR="0032032E">
        <w:instrText xml:space="preserve"> REF _Ref395200110 \h </w:instrText>
      </w:r>
      <w:r w:rsidR="0032032E">
        <w:fldChar w:fldCharType="separate"/>
      </w:r>
      <w:r w:rsidR="00BB0E3E" w:rsidRPr="000B09C4">
        <w:t xml:space="preserve">Table </w:t>
      </w:r>
      <w:r w:rsidR="00BB0E3E">
        <w:rPr>
          <w:noProof/>
        </w:rPr>
        <w:t>5</w:t>
      </w:r>
      <w:r w:rsidR="0032032E">
        <w:fldChar w:fldCharType="end"/>
      </w:r>
      <w:r w:rsidRPr="0032032E">
        <w:t>.</w:t>
      </w:r>
    </w:p>
    <w:p w14:paraId="08DC2512" w14:textId="0E47869E" w:rsidR="00E45959" w:rsidRPr="00183E4D" w:rsidRDefault="00E45959" w:rsidP="00E45959">
      <w:pPr>
        <w:pStyle w:val="Caption"/>
        <w:tabs>
          <w:tab w:val="left" w:pos="1134"/>
        </w:tabs>
        <w:ind w:left="1134" w:hanging="1134"/>
      </w:pPr>
      <w:bookmarkStart w:id="92" w:name="_Ref395200110"/>
      <w:bookmarkStart w:id="93" w:name="_Toc393197779"/>
      <w:bookmarkStart w:id="94" w:name="_Toc393378192"/>
      <w:bookmarkStart w:id="95" w:name="_Toc416855296"/>
      <w:bookmarkStart w:id="96" w:name="_Toc418179402"/>
      <w:r w:rsidRPr="000B09C4">
        <w:lastRenderedPageBreak/>
        <w:t xml:space="preserve">Table </w:t>
      </w:r>
      <w:fldSimple w:instr=" SEQ Table \* ARABIC ">
        <w:r w:rsidR="00BB0E3E">
          <w:rPr>
            <w:noProof/>
          </w:rPr>
          <w:t>5</w:t>
        </w:r>
      </w:fldSimple>
      <w:bookmarkEnd w:id="92"/>
      <w:r w:rsidRPr="00183E4D">
        <w:tab/>
        <w:t xml:space="preserve">Total costs to the MBS associated with </w:t>
      </w:r>
      <w:bookmarkEnd w:id="93"/>
      <w:bookmarkEnd w:id="94"/>
      <w:r w:rsidR="00FD37D3" w:rsidRPr="00FD37D3">
        <w:t>CFTR</w:t>
      </w:r>
      <w:r>
        <w:t xml:space="preserve"> mutation testing</w:t>
      </w:r>
      <w:bookmarkEnd w:id="95"/>
      <w:bookmarkEnd w:id="96"/>
    </w:p>
    <w:tbl>
      <w:tblPr>
        <w:tblStyle w:val="TableGrid1"/>
        <w:tblW w:w="4907" w:type="pct"/>
        <w:tblLook w:val="04A0" w:firstRow="1" w:lastRow="0" w:firstColumn="1" w:lastColumn="0" w:noHBand="0" w:noVBand="1"/>
        <w:tblCaption w:val="Table 9 Total costs to the MBS associated with XXX"/>
        <w:tblDescription w:val="This table provides a summary of the financial impact of the proposed new medical service over the next 5 years."/>
      </w:tblPr>
      <w:tblGrid>
        <w:gridCol w:w="2267"/>
        <w:gridCol w:w="1361"/>
        <w:gridCol w:w="1361"/>
        <w:gridCol w:w="1361"/>
        <w:gridCol w:w="1361"/>
        <w:gridCol w:w="1359"/>
      </w:tblGrid>
      <w:tr w:rsidR="00E45959" w:rsidRPr="00183E4D" w14:paraId="6FB3886B" w14:textId="77777777" w:rsidTr="0042252D">
        <w:trPr>
          <w:cnfStyle w:val="100000000000" w:firstRow="1" w:lastRow="0" w:firstColumn="0" w:lastColumn="0" w:oddVBand="0" w:evenVBand="0" w:oddHBand="0" w:evenHBand="0" w:firstRowFirstColumn="0" w:firstRowLastColumn="0" w:lastRowFirstColumn="0" w:lastRowLastColumn="0"/>
          <w:trHeight w:val="20"/>
          <w:tblHeader/>
        </w:trPr>
        <w:tc>
          <w:tcPr>
            <w:tcW w:w="1250" w:type="pct"/>
          </w:tcPr>
          <w:p w14:paraId="0086DFA3" w14:textId="77777777" w:rsidR="00E45959" w:rsidRPr="00183E4D" w:rsidRDefault="00E45959" w:rsidP="0032032E">
            <w:pPr>
              <w:pStyle w:val="TableHeading"/>
              <w:jc w:val="center"/>
            </w:pPr>
            <w:r w:rsidRPr="002D4B34">
              <w:rPr>
                <w:color w:val="FFFFFF" w:themeColor="background1"/>
              </w:rPr>
              <w:t>-</w:t>
            </w:r>
          </w:p>
        </w:tc>
        <w:tc>
          <w:tcPr>
            <w:tcW w:w="750" w:type="pct"/>
          </w:tcPr>
          <w:p w14:paraId="513E1740" w14:textId="77777777" w:rsidR="00E45959" w:rsidRPr="00183E4D" w:rsidRDefault="00E45959">
            <w:pPr>
              <w:pStyle w:val="TableHeading"/>
              <w:jc w:val="center"/>
            </w:pPr>
            <w:r w:rsidRPr="00F515FA">
              <w:t>2015</w:t>
            </w:r>
          </w:p>
        </w:tc>
        <w:tc>
          <w:tcPr>
            <w:tcW w:w="750" w:type="pct"/>
          </w:tcPr>
          <w:p w14:paraId="560EE471" w14:textId="77777777" w:rsidR="00E45959" w:rsidRPr="00183E4D" w:rsidRDefault="00E45959">
            <w:pPr>
              <w:pStyle w:val="TableHeading"/>
              <w:jc w:val="center"/>
            </w:pPr>
            <w:r w:rsidRPr="00F515FA">
              <w:t>2016</w:t>
            </w:r>
          </w:p>
        </w:tc>
        <w:tc>
          <w:tcPr>
            <w:tcW w:w="750" w:type="pct"/>
          </w:tcPr>
          <w:p w14:paraId="145EA177" w14:textId="77777777" w:rsidR="00E45959" w:rsidRPr="00183E4D" w:rsidRDefault="00E45959">
            <w:pPr>
              <w:pStyle w:val="TableHeading"/>
              <w:jc w:val="center"/>
            </w:pPr>
            <w:r w:rsidRPr="00F515FA">
              <w:t>2017</w:t>
            </w:r>
          </w:p>
        </w:tc>
        <w:tc>
          <w:tcPr>
            <w:tcW w:w="750" w:type="pct"/>
          </w:tcPr>
          <w:p w14:paraId="0D65009D" w14:textId="77777777" w:rsidR="00E45959" w:rsidRPr="00183E4D" w:rsidRDefault="00E45959">
            <w:pPr>
              <w:pStyle w:val="TableHeading"/>
              <w:jc w:val="center"/>
            </w:pPr>
            <w:r w:rsidRPr="00F515FA">
              <w:t>2018</w:t>
            </w:r>
          </w:p>
        </w:tc>
        <w:tc>
          <w:tcPr>
            <w:tcW w:w="749" w:type="pct"/>
          </w:tcPr>
          <w:p w14:paraId="76D54B38" w14:textId="77777777" w:rsidR="00E45959" w:rsidRPr="00183E4D" w:rsidRDefault="00E45959">
            <w:pPr>
              <w:pStyle w:val="TableHeading"/>
              <w:jc w:val="center"/>
            </w:pPr>
            <w:r w:rsidRPr="00F515FA">
              <w:t>2019</w:t>
            </w:r>
          </w:p>
        </w:tc>
      </w:tr>
      <w:tr w:rsidR="00E45959" w:rsidRPr="00183E4D" w14:paraId="32BBC9AF" w14:textId="77777777" w:rsidTr="004245A0">
        <w:trPr>
          <w:trHeight w:val="20"/>
        </w:trPr>
        <w:tc>
          <w:tcPr>
            <w:tcW w:w="1250" w:type="pct"/>
          </w:tcPr>
          <w:p w14:paraId="5585726C" w14:textId="50113E4A" w:rsidR="00E45959" w:rsidRDefault="00FD37D3" w:rsidP="00BC6914">
            <w:pPr>
              <w:keepNext/>
              <w:tabs>
                <w:tab w:val="left" w:pos="851"/>
              </w:tabs>
              <w:spacing w:after="40" w:line="240" w:lineRule="auto"/>
              <w:rPr>
                <w:rFonts w:ascii="Arial Narrow" w:hAnsi="Arial Narrow"/>
                <w:b/>
                <w:sz w:val="20"/>
                <w:szCs w:val="20"/>
              </w:rPr>
            </w:pPr>
            <w:r w:rsidRPr="00FD37D3">
              <w:rPr>
                <w:rFonts w:ascii="Arial Narrow" w:hAnsi="Arial Narrow"/>
                <w:b/>
                <w:sz w:val="20"/>
                <w:szCs w:val="20"/>
              </w:rPr>
              <w:t>CFTR</w:t>
            </w:r>
            <w:r w:rsidR="00E45959">
              <w:rPr>
                <w:rFonts w:ascii="Arial Narrow" w:hAnsi="Arial Narrow"/>
                <w:b/>
                <w:sz w:val="20"/>
                <w:szCs w:val="20"/>
              </w:rPr>
              <w:t xml:space="preserve"> mutation tests</w:t>
            </w:r>
          </w:p>
        </w:tc>
        <w:tc>
          <w:tcPr>
            <w:tcW w:w="750" w:type="pct"/>
          </w:tcPr>
          <w:p w14:paraId="7B837551" w14:textId="77777777" w:rsidR="00E45959" w:rsidRPr="00183E4D" w:rsidRDefault="00E45959" w:rsidP="00BC6914">
            <w:pPr>
              <w:keepNext/>
              <w:spacing w:after="40" w:line="240" w:lineRule="auto"/>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7D38ADB1" w14:textId="77777777" w:rsidR="00E45959" w:rsidRPr="00183E4D" w:rsidRDefault="00E45959" w:rsidP="00BC6914">
            <w:pPr>
              <w:keepNext/>
              <w:spacing w:after="40" w:line="240" w:lineRule="auto"/>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026C5684" w14:textId="77777777" w:rsidR="00E45959" w:rsidRPr="00183E4D" w:rsidRDefault="00E45959" w:rsidP="00BC6914">
            <w:pPr>
              <w:keepNext/>
              <w:spacing w:after="40" w:line="240" w:lineRule="auto"/>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113FB922" w14:textId="77777777" w:rsidR="00E45959" w:rsidRPr="00183E4D" w:rsidRDefault="00E45959" w:rsidP="00BC6914">
            <w:pPr>
              <w:keepNext/>
              <w:spacing w:after="40" w:line="240" w:lineRule="auto"/>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49" w:type="pct"/>
          </w:tcPr>
          <w:p w14:paraId="54AE0327" w14:textId="77777777" w:rsidR="00E45959" w:rsidRPr="00183E4D" w:rsidRDefault="00E45959" w:rsidP="00BC6914">
            <w:pPr>
              <w:keepNext/>
              <w:spacing w:after="40" w:line="240" w:lineRule="auto"/>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r>
      <w:tr w:rsidR="00E45959" w:rsidRPr="00183E4D" w14:paraId="6CEC5CE0" w14:textId="77777777" w:rsidTr="004245A0">
        <w:trPr>
          <w:trHeight w:val="20"/>
        </w:trPr>
        <w:tc>
          <w:tcPr>
            <w:tcW w:w="1250" w:type="pct"/>
          </w:tcPr>
          <w:p w14:paraId="6935023B" w14:textId="79268ADE" w:rsidR="00E45959" w:rsidRPr="00D363FF" w:rsidRDefault="00E45959" w:rsidP="00BC6914">
            <w:pPr>
              <w:keepNext/>
              <w:tabs>
                <w:tab w:val="left" w:pos="851"/>
              </w:tabs>
              <w:spacing w:after="40" w:line="240" w:lineRule="auto"/>
              <w:ind w:left="851" w:hanging="851"/>
              <w:rPr>
                <w:rFonts w:ascii="Arial Narrow" w:hAnsi="Arial Narrow"/>
                <w:sz w:val="20"/>
                <w:szCs w:val="20"/>
              </w:rPr>
            </w:pPr>
            <w:r w:rsidRPr="000B09C4">
              <w:rPr>
                <w:rFonts w:ascii="Arial Narrow" w:hAnsi="Arial Narrow"/>
                <w:sz w:val="20"/>
                <w:szCs w:val="20"/>
              </w:rPr>
              <w:t>Single mutation analyses</w:t>
            </w:r>
            <w:r w:rsidR="002C188F">
              <w:rPr>
                <w:rFonts w:ascii="Arial Narrow" w:hAnsi="Arial Narrow"/>
                <w:sz w:val="20"/>
                <w:szCs w:val="20"/>
              </w:rPr>
              <w:t xml:space="preserve"> </w:t>
            </w:r>
            <w:r w:rsidR="00954561" w:rsidRPr="00006341">
              <w:rPr>
                <w:rFonts w:ascii="Arial Narrow" w:hAnsi="Arial Narrow"/>
                <w:sz w:val="20"/>
                <w:szCs w:val="20"/>
                <w:vertAlign w:val="superscript"/>
              </w:rPr>
              <w:t>a</w:t>
            </w:r>
          </w:p>
        </w:tc>
        <w:tc>
          <w:tcPr>
            <w:tcW w:w="750" w:type="pct"/>
          </w:tcPr>
          <w:p w14:paraId="31A39276" w14:textId="77777777" w:rsidR="00E45959" w:rsidRPr="000B09C4" w:rsidRDefault="00E45959" w:rsidP="00006341">
            <w:pPr>
              <w:pStyle w:val="Tabletext1"/>
              <w:keepNext/>
              <w:ind w:right="259"/>
              <w:jc w:val="right"/>
            </w:pPr>
            <w:r w:rsidRPr="002B4932">
              <w:t>720</w:t>
            </w:r>
          </w:p>
        </w:tc>
        <w:tc>
          <w:tcPr>
            <w:tcW w:w="750" w:type="pct"/>
          </w:tcPr>
          <w:p w14:paraId="6B368A76" w14:textId="77777777" w:rsidR="00E45959" w:rsidRPr="000B09C4" w:rsidRDefault="00E45959" w:rsidP="00006341">
            <w:pPr>
              <w:pStyle w:val="Tabletext1"/>
              <w:keepNext/>
              <w:ind w:right="259"/>
              <w:jc w:val="right"/>
            </w:pPr>
            <w:r w:rsidRPr="002B4932">
              <w:t>828</w:t>
            </w:r>
          </w:p>
        </w:tc>
        <w:tc>
          <w:tcPr>
            <w:tcW w:w="750" w:type="pct"/>
          </w:tcPr>
          <w:p w14:paraId="266AC9A7" w14:textId="77777777" w:rsidR="00E45959" w:rsidRPr="000B09C4" w:rsidRDefault="00E45959" w:rsidP="00006341">
            <w:pPr>
              <w:pStyle w:val="Tabletext1"/>
              <w:keepNext/>
              <w:ind w:right="259"/>
              <w:jc w:val="right"/>
            </w:pPr>
            <w:r w:rsidRPr="002B4932">
              <w:t>953</w:t>
            </w:r>
          </w:p>
        </w:tc>
        <w:tc>
          <w:tcPr>
            <w:tcW w:w="750" w:type="pct"/>
          </w:tcPr>
          <w:p w14:paraId="69C6DE03" w14:textId="77777777" w:rsidR="00E45959" w:rsidRPr="000B09C4" w:rsidRDefault="00E45959" w:rsidP="00006341">
            <w:pPr>
              <w:pStyle w:val="Tabletext1"/>
              <w:keepNext/>
              <w:ind w:right="259"/>
              <w:jc w:val="right"/>
            </w:pPr>
            <w:r w:rsidRPr="002B4932">
              <w:t>1,096</w:t>
            </w:r>
          </w:p>
        </w:tc>
        <w:tc>
          <w:tcPr>
            <w:tcW w:w="749" w:type="pct"/>
          </w:tcPr>
          <w:p w14:paraId="0D400AD6" w14:textId="77777777" w:rsidR="00E45959" w:rsidRPr="000B09C4" w:rsidRDefault="00E45959" w:rsidP="00006341">
            <w:pPr>
              <w:pStyle w:val="Tabletext1"/>
              <w:keepNext/>
              <w:ind w:right="259"/>
              <w:jc w:val="right"/>
            </w:pPr>
            <w:r w:rsidRPr="002B4932">
              <w:t>1,260</w:t>
            </w:r>
          </w:p>
        </w:tc>
      </w:tr>
      <w:tr w:rsidR="00E45959" w:rsidRPr="00183E4D" w14:paraId="5ABBB59C" w14:textId="77777777" w:rsidTr="004245A0">
        <w:trPr>
          <w:trHeight w:val="20"/>
        </w:trPr>
        <w:tc>
          <w:tcPr>
            <w:tcW w:w="1250" w:type="pct"/>
          </w:tcPr>
          <w:p w14:paraId="42B3F2DD" w14:textId="77777777" w:rsidR="00E45959" w:rsidRPr="00D363FF" w:rsidRDefault="00E45959" w:rsidP="00BC6914">
            <w:pPr>
              <w:keepNext/>
              <w:tabs>
                <w:tab w:val="left" w:pos="851"/>
              </w:tabs>
              <w:spacing w:after="40" w:line="240" w:lineRule="auto"/>
              <w:ind w:left="851" w:hanging="851"/>
              <w:rPr>
                <w:rFonts w:ascii="Arial Narrow" w:hAnsi="Arial Narrow"/>
                <w:sz w:val="20"/>
                <w:szCs w:val="20"/>
              </w:rPr>
            </w:pPr>
            <w:r w:rsidRPr="000B09C4">
              <w:rPr>
                <w:rFonts w:ascii="Arial Narrow" w:hAnsi="Arial Narrow"/>
                <w:sz w:val="20"/>
                <w:szCs w:val="20"/>
              </w:rPr>
              <w:t>Common mutation panels</w:t>
            </w:r>
          </w:p>
        </w:tc>
        <w:tc>
          <w:tcPr>
            <w:tcW w:w="750" w:type="pct"/>
          </w:tcPr>
          <w:p w14:paraId="0C78DAEF" w14:textId="77777777" w:rsidR="00E45959" w:rsidRPr="000B09C4" w:rsidRDefault="00E45959" w:rsidP="00006341">
            <w:pPr>
              <w:pStyle w:val="Tabletext1"/>
              <w:keepNext/>
              <w:ind w:right="259"/>
              <w:jc w:val="right"/>
            </w:pPr>
            <w:r w:rsidRPr="002B4932">
              <w:t>6,608</w:t>
            </w:r>
          </w:p>
        </w:tc>
        <w:tc>
          <w:tcPr>
            <w:tcW w:w="750" w:type="pct"/>
          </w:tcPr>
          <w:p w14:paraId="1373C3B7" w14:textId="77777777" w:rsidR="00E45959" w:rsidRPr="000B09C4" w:rsidRDefault="00E45959" w:rsidP="00006341">
            <w:pPr>
              <w:pStyle w:val="Tabletext1"/>
              <w:keepNext/>
              <w:ind w:right="259"/>
              <w:jc w:val="right"/>
            </w:pPr>
            <w:r w:rsidRPr="002B4932">
              <w:t>7,599</w:t>
            </w:r>
          </w:p>
        </w:tc>
        <w:tc>
          <w:tcPr>
            <w:tcW w:w="750" w:type="pct"/>
          </w:tcPr>
          <w:p w14:paraId="5B28027E" w14:textId="77777777" w:rsidR="00E45959" w:rsidRPr="000B09C4" w:rsidRDefault="00E45959" w:rsidP="00006341">
            <w:pPr>
              <w:pStyle w:val="Tabletext1"/>
              <w:keepNext/>
              <w:ind w:right="259"/>
              <w:jc w:val="right"/>
            </w:pPr>
            <w:r w:rsidRPr="002B4932">
              <w:t>8,739</w:t>
            </w:r>
          </w:p>
        </w:tc>
        <w:tc>
          <w:tcPr>
            <w:tcW w:w="750" w:type="pct"/>
          </w:tcPr>
          <w:p w14:paraId="28F492C3" w14:textId="77777777" w:rsidR="00E45959" w:rsidRPr="000B09C4" w:rsidRDefault="00E45959" w:rsidP="00006341">
            <w:pPr>
              <w:pStyle w:val="Tabletext1"/>
              <w:keepNext/>
              <w:ind w:right="259"/>
              <w:jc w:val="right"/>
            </w:pPr>
            <w:r w:rsidRPr="002B4932">
              <w:t>10,049</w:t>
            </w:r>
          </w:p>
        </w:tc>
        <w:tc>
          <w:tcPr>
            <w:tcW w:w="749" w:type="pct"/>
          </w:tcPr>
          <w:p w14:paraId="49AF0766" w14:textId="77777777" w:rsidR="00E45959" w:rsidRPr="000B09C4" w:rsidRDefault="00E45959" w:rsidP="00006341">
            <w:pPr>
              <w:pStyle w:val="Tabletext1"/>
              <w:keepNext/>
              <w:ind w:right="259"/>
              <w:jc w:val="right"/>
            </w:pPr>
            <w:r w:rsidRPr="002B4932">
              <w:t>11,557</w:t>
            </w:r>
          </w:p>
        </w:tc>
      </w:tr>
      <w:tr w:rsidR="00E45959" w:rsidRPr="00183E4D" w14:paraId="08CDAF46" w14:textId="77777777" w:rsidTr="004245A0">
        <w:trPr>
          <w:trHeight w:val="20"/>
        </w:trPr>
        <w:tc>
          <w:tcPr>
            <w:tcW w:w="1250" w:type="pct"/>
          </w:tcPr>
          <w:p w14:paraId="6E330E8A" w14:textId="1196102C" w:rsidR="00E45959" w:rsidRPr="00D363FF" w:rsidRDefault="00E45959" w:rsidP="00BC6914">
            <w:pPr>
              <w:keepNext/>
              <w:tabs>
                <w:tab w:val="left" w:pos="851"/>
              </w:tabs>
              <w:spacing w:after="40" w:line="240" w:lineRule="auto"/>
              <w:ind w:left="851" w:hanging="851"/>
              <w:rPr>
                <w:rFonts w:ascii="Arial Narrow" w:hAnsi="Arial Narrow"/>
                <w:sz w:val="20"/>
                <w:szCs w:val="20"/>
              </w:rPr>
            </w:pPr>
            <w:r w:rsidRPr="000B09C4">
              <w:rPr>
                <w:rFonts w:ascii="Arial Narrow" w:hAnsi="Arial Narrow"/>
                <w:sz w:val="20"/>
                <w:szCs w:val="20"/>
              </w:rPr>
              <w:t>Whole gene screens</w:t>
            </w:r>
          </w:p>
        </w:tc>
        <w:tc>
          <w:tcPr>
            <w:tcW w:w="750" w:type="pct"/>
          </w:tcPr>
          <w:p w14:paraId="37C1C16A" w14:textId="77777777" w:rsidR="00E45959" w:rsidRPr="000B09C4" w:rsidRDefault="00E45959" w:rsidP="00006341">
            <w:pPr>
              <w:pStyle w:val="Tabletext1"/>
              <w:keepNext/>
              <w:ind w:right="259"/>
              <w:jc w:val="right"/>
            </w:pPr>
            <w:r w:rsidRPr="00057715">
              <w:t>1,176</w:t>
            </w:r>
          </w:p>
        </w:tc>
        <w:tc>
          <w:tcPr>
            <w:tcW w:w="750" w:type="pct"/>
          </w:tcPr>
          <w:p w14:paraId="1F25CDF6" w14:textId="77777777" w:rsidR="00E45959" w:rsidRPr="000B09C4" w:rsidRDefault="00E45959" w:rsidP="00006341">
            <w:pPr>
              <w:pStyle w:val="Tabletext1"/>
              <w:keepNext/>
              <w:ind w:right="259"/>
              <w:jc w:val="right"/>
            </w:pPr>
            <w:r w:rsidRPr="00057715">
              <w:t>1,353</w:t>
            </w:r>
          </w:p>
        </w:tc>
        <w:tc>
          <w:tcPr>
            <w:tcW w:w="750" w:type="pct"/>
          </w:tcPr>
          <w:p w14:paraId="085B10AA" w14:textId="77777777" w:rsidR="00E45959" w:rsidRPr="000B09C4" w:rsidRDefault="00E45959" w:rsidP="00006341">
            <w:pPr>
              <w:pStyle w:val="Tabletext1"/>
              <w:keepNext/>
              <w:ind w:right="259"/>
              <w:jc w:val="right"/>
            </w:pPr>
            <w:r w:rsidRPr="00057715">
              <w:t>1,555</w:t>
            </w:r>
          </w:p>
        </w:tc>
        <w:tc>
          <w:tcPr>
            <w:tcW w:w="750" w:type="pct"/>
          </w:tcPr>
          <w:p w14:paraId="289B0960" w14:textId="77777777" w:rsidR="00E45959" w:rsidRPr="000B09C4" w:rsidRDefault="00E45959" w:rsidP="00006341">
            <w:pPr>
              <w:pStyle w:val="Tabletext1"/>
              <w:keepNext/>
              <w:ind w:right="259"/>
              <w:jc w:val="right"/>
            </w:pPr>
            <w:r w:rsidRPr="00057715">
              <w:t>1,789</w:t>
            </w:r>
          </w:p>
        </w:tc>
        <w:tc>
          <w:tcPr>
            <w:tcW w:w="749" w:type="pct"/>
          </w:tcPr>
          <w:p w14:paraId="5EC36384" w14:textId="77777777" w:rsidR="00E45959" w:rsidRPr="000B09C4" w:rsidRDefault="00E45959" w:rsidP="00006341">
            <w:pPr>
              <w:pStyle w:val="Tabletext1"/>
              <w:keepNext/>
              <w:ind w:right="259"/>
              <w:jc w:val="right"/>
            </w:pPr>
            <w:r w:rsidRPr="00057715">
              <w:t>2,057</w:t>
            </w:r>
          </w:p>
        </w:tc>
      </w:tr>
      <w:tr w:rsidR="00E45959" w:rsidRPr="00183E4D" w14:paraId="521969E1" w14:textId="77777777" w:rsidTr="004245A0">
        <w:trPr>
          <w:trHeight w:val="20"/>
        </w:trPr>
        <w:tc>
          <w:tcPr>
            <w:tcW w:w="1250" w:type="pct"/>
          </w:tcPr>
          <w:p w14:paraId="55C9CE9F" w14:textId="77777777" w:rsidR="00E45959" w:rsidRPr="000B09C4" w:rsidRDefault="00E45959" w:rsidP="00BC6914">
            <w:pPr>
              <w:keepNext/>
              <w:tabs>
                <w:tab w:val="left" w:pos="851"/>
              </w:tabs>
              <w:spacing w:after="40" w:line="240" w:lineRule="auto"/>
              <w:ind w:left="851" w:hanging="851"/>
              <w:rPr>
                <w:rFonts w:ascii="Arial Narrow" w:hAnsi="Arial Narrow"/>
                <w:b/>
                <w:sz w:val="20"/>
                <w:szCs w:val="20"/>
              </w:rPr>
            </w:pPr>
            <w:r w:rsidRPr="000B09C4">
              <w:rPr>
                <w:rFonts w:ascii="Arial Narrow" w:hAnsi="Arial Narrow"/>
                <w:b/>
                <w:sz w:val="20"/>
                <w:szCs w:val="20"/>
              </w:rPr>
              <w:t>Total</w:t>
            </w:r>
            <w:r>
              <w:rPr>
                <w:rFonts w:ascii="Arial Narrow" w:hAnsi="Arial Narrow"/>
                <w:b/>
                <w:sz w:val="20"/>
                <w:szCs w:val="20"/>
              </w:rPr>
              <w:t xml:space="preserve"> number of tests</w:t>
            </w:r>
          </w:p>
        </w:tc>
        <w:tc>
          <w:tcPr>
            <w:tcW w:w="750" w:type="pct"/>
          </w:tcPr>
          <w:p w14:paraId="3A087A76" w14:textId="77777777" w:rsidR="00E45959" w:rsidRPr="000B09C4" w:rsidRDefault="00E45959" w:rsidP="00006341">
            <w:pPr>
              <w:pStyle w:val="Tabletext1"/>
              <w:keepNext/>
              <w:ind w:right="259"/>
              <w:jc w:val="right"/>
              <w:rPr>
                <w:b/>
              </w:rPr>
            </w:pPr>
            <w:r w:rsidRPr="00FB7948">
              <w:rPr>
                <w:b/>
              </w:rPr>
              <w:t>8,504</w:t>
            </w:r>
          </w:p>
        </w:tc>
        <w:tc>
          <w:tcPr>
            <w:tcW w:w="750" w:type="pct"/>
          </w:tcPr>
          <w:p w14:paraId="724ECC64" w14:textId="77777777" w:rsidR="00E45959" w:rsidRPr="000B09C4" w:rsidRDefault="00E45959" w:rsidP="00006341">
            <w:pPr>
              <w:pStyle w:val="Tabletext1"/>
              <w:keepNext/>
              <w:ind w:right="259"/>
              <w:jc w:val="right"/>
              <w:rPr>
                <w:b/>
              </w:rPr>
            </w:pPr>
            <w:r w:rsidRPr="00FB7948">
              <w:rPr>
                <w:b/>
              </w:rPr>
              <w:t>9,780</w:t>
            </w:r>
          </w:p>
        </w:tc>
        <w:tc>
          <w:tcPr>
            <w:tcW w:w="750" w:type="pct"/>
          </w:tcPr>
          <w:p w14:paraId="54041C20" w14:textId="77777777" w:rsidR="00E45959" w:rsidRPr="000B09C4" w:rsidRDefault="00E45959" w:rsidP="00006341">
            <w:pPr>
              <w:pStyle w:val="Tabletext1"/>
              <w:keepNext/>
              <w:ind w:right="259"/>
              <w:jc w:val="right"/>
              <w:rPr>
                <w:b/>
              </w:rPr>
            </w:pPr>
            <w:r w:rsidRPr="00FB7948">
              <w:rPr>
                <w:b/>
              </w:rPr>
              <w:t>11,247</w:t>
            </w:r>
          </w:p>
        </w:tc>
        <w:tc>
          <w:tcPr>
            <w:tcW w:w="750" w:type="pct"/>
          </w:tcPr>
          <w:p w14:paraId="3CB7E4F2" w14:textId="77777777" w:rsidR="00E45959" w:rsidRPr="000B09C4" w:rsidRDefault="00E45959" w:rsidP="00006341">
            <w:pPr>
              <w:pStyle w:val="Tabletext1"/>
              <w:keepNext/>
              <w:ind w:right="259"/>
              <w:jc w:val="right"/>
              <w:rPr>
                <w:b/>
              </w:rPr>
            </w:pPr>
            <w:r w:rsidRPr="00FB7948">
              <w:rPr>
                <w:b/>
              </w:rPr>
              <w:t>12,934</w:t>
            </w:r>
          </w:p>
        </w:tc>
        <w:tc>
          <w:tcPr>
            <w:tcW w:w="749" w:type="pct"/>
          </w:tcPr>
          <w:p w14:paraId="75D6F246" w14:textId="77777777" w:rsidR="00E45959" w:rsidRPr="000B09C4" w:rsidRDefault="00E45959" w:rsidP="00006341">
            <w:pPr>
              <w:pStyle w:val="Tabletext1"/>
              <w:keepNext/>
              <w:ind w:right="259"/>
              <w:jc w:val="right"/>
              <w:rPr>
                <w:b/>
              </w:rPr>
            </w:pPr>
            <w:r w:rsidRPr="00FB7948">
              <w:rPr>
                <w:b/>
              </w:rPr>
              <w:t>14,874</w:t>
            </w:r>
          </w:p>
        </w:tc>
      </w:tr>
      <w:tr w:rsidR="00E45959" w:rsidRPr="00183E4D" w14:paraId="7A37FFBE" w14:textId="77777777" w:rsidTr="004245A0">
        <w:trPr>
          <w:trHeight w:val="20"/>
        </w:trPr>
        <w:tc>
          <w:tcPr>
            <w:tcW w:w="1250" w:type="pct"/>
          </w:tcPr>
          <w:p w14:paraId="33FFBFB8" w14:textId="56AA5FF5" w:rsidR="00E45959" w:rsidRPr="00183E4D" w:rsidRDefault="00E45959" w:rsidP="00BC6914">
            <w:pPr>
              <w:keepNext/>
              <w:tabs>
                <w:tab w:val="left" w:pos="851"/>
              </w:tabs>
              <w:spacing w:after="40" w:line="240" w:lineRule="auto"/>
              <w:rPr>
                <w:rFonts w:ascii="Arial Narrow" w:hAnsi="Arial Narrow"/>
                <w:b/>
                <w:sz w:val="20"/>
                <w:szCs w:val="20"/>
              </w:rPr>
            </w:pPr>
            <w:r>
              <w:rPr>
                <w:rFonts w:ascii="Arial Narrow" w:hAnsi="Arial Narrow"/>
                <w:b/>
                <w:sz w:val="20"/>
                <w:szCs w:val="20"/>
              </w:rPr>
              <w:t>Cost per test</w:t>
            </w:r>
          </w:p>
        </w:tc>
        <w:tc>
          <w:tcPr>
            <w:tcW w:w="750" w:type="pct"/>
          </w:tcPr>
          <w:p w14:paraId="756ACDA8"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1D60A1BE"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1F29A54E"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1BB76C6B"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49" w:type="pct"/>
          </w:tcPr>
          <w:p w14:paraId="66C6F87F"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r>
      <w:tr w:rsidR="00E45959" w:rsidRPr="00183E4D" w14:paraId="09C91AE7" w14:textId="77777777" w:rsidTr="004245A0">
        <w:trPr>
          <w:trHeight w:val="20"/>
        </w:trPr>
        <w:tc>
          <w:tcPr>
            <w:tcW w:w="1250" w:type="pct"/>
          </w:tcPr>
          <w:p w14:paraId="515B1389" w14:textId="38EF81EF" w:rsidR="00E45959" w:rsidRPr="00183E4D" w:rsidRDefault="00E45959" w:rsidP="00BC6914">
            <w:pPr>
              <w:keepNext/>
              <w:tabs>
                <w:tab w:val="left" w:pos="851"/>
              </w:tabs>
              <w:spacing w:after="40" w:line="240" w:lineRule="auto"/>
              <w:ind w:left="851" w:hanging="851"/>
              <w:rPr>
                <w:rFonts w:ascii="Arial Narrow" w:hAnsi="Arial Narrow"/>
                <w:sz w:val="20"/>
                <w:szCs w:val="20"/>
              </w:rPr>
            </w:pPr>
            <w:r w:rsidRPr="003F3724">
              <w:rPr>
                <w:rFonts w:ascii="Arial Narrow" w:hAnsi="Arial Narrow"/>
                <w:sz w:val="20"/>
                <w:szCs w:val="20"/>
              </w:rPr>
              <w:t>Single mutation analyses</w:t>
            </w:r>
            <w:r w:rsidR="00933F68">
              <w:rPr>
                <w:rFonts w:ascii="Arial Narrow" w:hAnsi="Arial Narrow"/>
                <w:sz w:val="20"/>
                <w:szCs w:val="20"/>
              </w:rPr>
              <w:t xml:space="preserve"> </w:t>
            </w:r>
            <w:r w:rsidR="00933F68" w:rsidRPr="00E66C08">
              <w:rPr>
                <w:rFonts w:ascii="Arial Narrow" w:hAnsi="Arial Narrow"/>
                <w:sz w:val="20"/>
                <w:szCs w:val="20"/>
                <w:vertAlign w:val="superscript"/>
              </w:rPr>
              <w:t>a</w:t>
            </w:r>
          </w:p>
        </w:tc>
        <w:tc>
          <w:tcPr>
            <w:tcW w:w="750" w:type="pct"/>
          </w:tcPr>
          <w:p w14:paraId="2E093DD2"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$80</w:t>
            </w:r>
          </w:p>
        </w:tc>
        <w:tc>
          <w:tcPr>
            <w:tcW w:w="750" w:type="pct"/>
          </w:tcPr>
          <w:p w14:paraId="33956CF8"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$80</w:t>
            </w:r>
          </w:p>
        </w:tc>
        <w:tc>
          <w:tcPr>
            <w:tcW w:w="750" w:type="pct"/>
          </w:tcPr>
          <w:p w14:paraId="06822B1B"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$80</w:t>
            </w:r>
          </w:p>
        </w:tc>
        <w:tc>
          <w:tcPr>
            <w:tcW w:w="750" w:type="pct"/>
          </w:tcPr>
          <w:p w14:paraId="4ABC6973"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$80</w:t>
            </w:r>
          </w:p>
        </w:tc>
        <w:tc>
          <w:tcPr>
            <w:tcW w:w="749" w:type="pct"/>
          </w:tcPr>
          <w:p w14:paraId="392634EC"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$80</w:t>
            </w:r>
          </w:p>
        </w:tc>
      </w:tr>
      <w:tr w:rsidR="00E45959" w:rsidRPr="00183E4D" w14:paraId="5C68E768" w14:textId="77777777" w:rsidTr="004245A0">
        <w:trPr>
          <w:trHeight w:val="20"/>
        </w:trPr>
        <w:tc>
          <w:tcPr>
            <w:tcW w:w="1250" w:type="pct"/>
          </w:tcPr>
          <w:p w14:paraId="0319C93E" w14:textId="77777777" w:rsidR="00E45959" w:rsidRPr="00183E4D" w:rsidRDefault="00E45959" w:rsidP="00BC6914">
            <w:pPr>
              <w:keepNext/>
              <w:tabs>
                <w:tab w:val="left" w:pos="851"/>
              </w:tabs>
              <w:spacing w:after="40" w:line="240" w:lineRule="auto"/>
              <w:ind w:left="851" w:hanging="851"/>
              <w:rPr>
                <w:rFonts w:ascii="Arial Narrow" w:hAnsi="Arial Narrow"/>
                <w:sz w:val="20"/>
                <w:szCs w:val="20"/>
              </w:rPr>
            </w:pPr>
            <w:r w:rsidRPr="003F3724">
              <w:rPr>
                <w:rFonts w:ascii="Arial Narrow" w:hAnsi="Arial Narrow"/>
                <w:sz w:val="20"/>
                <w:szCs w:val="20"/>
              </w:rPr>
              <w:t>Common mutation panels</w:t>
            </w:r>
          </w:p>
        </w:tc>
        <w:tc>
          <w:tcPr>
            <w:tcW w:w="750" w:type="pct"/>
          </w:tcPr>
          <w:p w14:paraId="0F4A0147"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$135</w:t>
            </w:r>
          </w:p>
        </w:tc>
        <w:tc>
          <w:tcPr>
            <w:tcW w:w="750" w:type="pct"/>
          </w:tcPr>
          <w:p w14:paraId="251FCBA7"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$135</w:t>
            </w:r>
          </w:p>
        </w:tc>
        <w:tc>
          <w:tcPr>
            <w:tcW w:w="750" w:type="pct"/>
          </w:tcPr>
          <w:p w14:paraId="4FD47B64"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$135</w:t>
            </w:r>
          </w:p>
        </w:tc>
        <w:tc>
          <w:tcPr>
            <w:tcW w:w="750" w:type="pct"/>
          </w:tcPr>
          <w:p w14:paraId="258E8E3C"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$135</w:t>
            </w:r>
          </w:p>
        </w:tc>
        <w:tc>
          <w:tcPr>
            <w:tcW w:w="749" w:type="pct"/>
          </w:tcPr>
          <w:p w14:paraId="68F364A4"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$135</w:t>
            </w:r>
          </w:p>
        </w:tc>
      </w:tr>
      <w:tr w:rsidR="00E45959" w:rsidRPr="00183E4D" w14:paraId="1F505BFB" w14:textId="77777777" w:rsidTr="004245A0">
        <w:trPr>
          <w:trHeight w:val="20"/>
        </w:trPr>
        <w:tc>
          <w:tcPr>
            <w:tcW w:w="1250" w:type="pct"/>
          </w:tcPr>
          <w:p w14:paraId="3F8255FA" w14:textId="1F48DB60" w:rsidR="00E45959" w:rsidRPr="00183E4D" w:rsidRDefault="00E45959" w:rsidP="00BC6914">
            <w:pPr>
              <w:keepNext/>
              <w:spacing w:after="40" w:line="240" w:lineRule="auto"/>
              <w:rPr>
                <w:rFonts w:ascii="Arial Narrow" w:hAnsi="Arial Narrow"/>
                <w:sz w:val="20"/>
                <w:szCs w:val="20"/>
              </w:rPr>
            </w:pPr>
            <w:r w:rsidRPr="003F3724">
              <w:rPr>
                <w:rFonts w:ascii="Arial Narrow" w:hAnsi="Arial Narrow"/>
                <w:sz w:val="20"/>
                <w:szCs w:val="20"/>
              </w:rPr>
              <w:t>Whole gene screens</w:t>
            </w:r>
          </w:p>
        </w:tc>
        <w:tc>
          <w:tcPr>
            <w:tcW w:w="750" w:type="pct"/>
          </w:tcPr>
          <w:p w14:paraId="06291F75"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$1,000</w:t>
            </w:r>
          </w:p>
        </w:tc>
        <w:tc>
          <w:tcPr>
            <w:tcW w:w="750" w:type="pct"/>
          </w:tcPr>
          <w:p w14:paraId="72A8717D" w14:textId="77777777" w:rsidR="00E45959" w:rsidRPr="0044548F" w:rsidRDefault="00E45959" w:rsidP="00006341">
            <w:pPr>
              <w:keepNext/>
              <w:spacing w:after="40" w:line="240" w:lineRule="auto"/>
              <w:ind w:right="259"/>
              <w:jc w:val="right"/>
              <w:rPr>
                <w:rFonts w:ascii="Arial Narrow" w:hAnsi="Arial Narrow"/>
                <w:sz w:val="20"/>
                <w:szCs w:val="20"/>
              </w:rPr>
            </w:pPr>
            <w:r w:rsidRPr="0044548F">
              <w:rPr>
                <w:rFonts w:ascii="Arial Narrow" w:hAnsi="Arial Narrow"/>
                <w:sz w:val="20"/>
                <w:szCs w:val="20"/>
              </w:rPr>
              <w:t>$1,000</w:t>
            </w:r>
          </w:p>
        </w:tc>
        <w:tc>
          <w:tcPr>
            <w:tcW w:w="750" w:type="pct"/>
          </w:tcPr>
          <w:p w14:paraId="4316CC22"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$1,000</w:t>
            </w:r>
          </w:p>
        </w:tc>
        <w:tc>
          <w:tcPr>
            <w:tcW w:w="750" w:type="pct"/>
          </w:tcPr>
          <w:p w14:paraId="5CA21AC7"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$1,000</w:t>
            </w:r>
          </w:p>
        </w:tc>
        <w:tc>
          <w:tcPr>
            <w:tcW w:w="749" w:type="pct"/>
          </w:tcPr>
          <w:p w14:paraId="51EA29BF" w14:textId="77777777" w:rsidR="00E45959" w:rsidRPr="00D72171" w:rsidRDefault="00E45959" w:rsidP="00006341">
            <w:pPr>
              <w:keepNext/>
              <w:spacing w:after="40" w:line="240" w:lineRule="auto"/>
              <w:ind w:right="259"/>
              <w:jc w:val="right"/>
              <w:rPr>
                <w:rFonts w:ascii="Arial Narrow" w:hAnsi="Arial Narrow"/>
                <w:sz w:val="20"/>
                <w:szCs w:val="20"/>
              </w:rPr>
            </w:pPr>
            <w:r w:rsidRPr="00D72171">
              <w:rPr>
                <w:rFonts w:ascii="Arial Narrow" w:hAnsi="Arial Narrow"/>
                <w:sz w:val="20"/>
                <w:szCs w:val="20"/>
              </w:rPr>
              <w:t>$1,000</w:t>
            </w:r>
          </w:p>
        </w:tc>
      </w:tr>
      <w:tr w:rsidR="00E45959" w:rsidRPr="00183E4D" w14:paraId="53C58A78" w14:textId="77777777" w:rsidTr="004245A0">
        <w:trPr>
          <w:trHeight w:val="20"/>
        </w:trPr>
        <w:tc>
          <w:tcPr>
            <w:tcW w:w="1250" w:type="pct"/>
          </w:tcPr>
          <w:p w14:paraId="68E56C9F" w14:textId="77777777" w:rsidR="00E45959" w:rsidRPr="00183E4D" w:rsidRDefault="00E45959" w:rsidP="00BC6914">
            <w:pPr>
              <w:keepNext/>
              <w:spacing w:after="40" w:line="240" w:lineRule="auto"/>
              <w:rPr>
                <w:rFonts w:ascii="Arial Narrow" w:hAnsi="Arial Narrow"/>
                <w:b/>
                <w:sz w:val="20"/>
                <w:szCs w:val="20"/>
              </w:rPr>
            </w:pPr>
            <w:r>
              <w:rPr>
                <w:rFonts w:ascii="Arial Narrow" w:hAnsi="Arial Narrow"/>
                <w:b/>
                <w:sz w:val="20"/>
                <w:szCs w:val="20"/>
              </w:rPr>
              <w:t>Cost of testing, by type</w:t>
            </w:r>
          </w:p>
        </w:tc>
        <w:tc>
          <w:tcPr>
            <w:tcW w:w="750" w:type="pct"/>
          </w:tcPr>
          <w:p w14:paraId="4484F1B1"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3B38FCA7"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144154FC"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50" w:type="pct"/>
          </w:tcPr>
          <w:p w14:paraId="2965F182"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c>
          <w:tcPr>
            <w:tcW w:w="749" w:type="pct"/>
          </w:tcPr>
          <w:p w14:paraId="46EED747" w14:textId="77777777" w:rsidR="00E45959" w:rsidRPr="00183E4D" w:rsidRDefault="00E45959" w:rsidP="00006341">
            <w:pPr>
              <w:keepNext/>
              <w:spacing w:after="40" w:line="240" w:lineRule="auto"/>
              <w:ind w:right="259"/>
              <w:jc w:val="right"/>
              <w:rPr>
                <w:rFonts w:ascii="Arial Narrow" w:hAnsi="Arial Narrow"/>
                <w:b/>
                <w:color w:val="FFFFFF" w:themeColor="background1"/>
                <w:sz w:val="20"/>
                <w:szCs w:val="20"/>
              </w:rPr>
            </w:pPr>
            <w:r>
              <w:rPr>
                <w:rFonts w:ascii="Arial Narrow" w:hAnsi="Arial Narrow"/>
                <w:b/>
                <w:color w:val="FFFFFF" w:themeColor="background1"/>
                <w:sz w:val="20"/>
                <w:szCs w:val="20"/>
              </w:rPr>
              <w:t>-</w:t>
            </w:r>
          </w:p>
        </w:tc>
      </w:tr>
      <w:tr w:rsidR="00E45959" w:rsidRPr="00183E4D" w14:paraId="0BAD063B" w14:textId="77777777" w:rsidTr="004245A0">
        <w:trPr>
          <w:trHeight w:val="20"/>
        </w:trPr>
        <w:tc>
          <w:tcPr>
            <w:tcW w:w="1250" w:type="pct"/>
          </w:tcPr>
          <w:p w14:paraId="5C5E08F7" w14:textId="57589227" w:rsidR="00E45959" w:rsidRPr="00183E4D" w:rsidRDefault="00E45959" w:rsidP="00BC6914">
            <w:pPr>
              <w:keepNext/>
              <w:tabs>
                <w:tab w:val="left" w:pos="851"/>
              </w:tabs>
              <w:spacing w:after="40" w:line="240" w:lineRule="auto"/>
              <w:ind w:left="851" w:hanging="851"/>
              <w:rPr>
                <w:rFonts w:ascii="Arial Narrow" w:hAnsi="Arial Narrow"/>
                <w:sz w:val="20"/>
                <w:szCs w:val="20"/>
              </w:rPr>
            </w:pPr>
            <w:r w:rsidRPr="003F3724">
              <w:rPr>
                <w:rFonts w:ascii="Arial Narrow" w:hAnsi="Arial Narrow"/>
                <w:sz w:val="20"/>
                <w:szCs w:val="20"/>
              </w:rPr>
              <w:t>Single mutation analyses</w:t>
            </w:r>
            <w:r w:rsidR="00933F68">
              <w:rPr>
                <w:rFonts w:ascii="Arial Narrow" w:hAnsi="Arial Narrow"/>
                <w:sz w:val="20"/>
                <w:szCs w:val="20"/>
              </w:rPr>
              <w:t xml:space="preserve"> </w:t>
            </w:r>
            <w:r w:rsidR="00933F68" w:rsidRPr="00E66C08">
              <w:rPr>
                <w:rFonts w:ascii="Arial Narrow" w:hAnsi="Arial Narrow"/>
                <w:sz w:val="20"/>
                <w:szCs w:val="20"/>
                <w:vertAlign w:val="superscript"/>
              </w:rPr>
              <w:t>a</w:t>
            </w:r>
          </w:p>
        </w:tc>
        <w:tc>
          <w:tcPr>
            <w:tcW w:w="750" w:type="pct"/>
          </w:tcPr>
          <w:p w14:paraId="1E8AD0BC" w14:textId="77777777" w:rsidR="00E45959" w:rsidRPr="00183E4D" w:rsidRDefault="00E45959" w:rsidP="00006341">
            <w:pPr>
              <w:pStyle w:val="Tabletext1"/>
              <w:keepNext/>
              <w:ind w:right="259"/>
              <w:jc w:val="right"/>
            </w:pPr>
            <w:r w:rsidRPr="00783D6C">
              <w:t>$57,625</w:t>
            </w:r>
          </w:p>
        </w:tc>
        <w:tc>
          <w:tcPr>
            <w:tcW w:w="750" w:type="pct"/>
          </w:tcPr>
          <w:p w14:paraId="4E769071" w14:textId="77777777" w:rsidR="00E45959" w:rsidRPr="00183E4D" w:rsidRDefault="00E45959" w:rsidP="00006341">
            <w:pPr>
              <w:pStyle w:val="Tabletext1"/>
              <w:keepNext/>
              <w:ind w:right="259"/>
              <w:jc w:val="right"/>
            </w:pPr>
            <w:r w:rsidRPr="00783D6C">
              <w:t>$66,269</w:t>
            </w:r>
          </w:p>
        </w:tc>
        <w:tc>
          <w:tcPr>
            <w:tcW w:w="750" w:type="pct"/>
          </w:tcPr>
          <w:p w14:paraId="35901837" w14:textId="77777777" w:rsidR="00E45959" w:rsidRPr="00183E4D" w:rsidRDefault="00E45959" w:rsidP="00006341">
            <w:pPr>
              <w:pStyle w:val="Tabletext1"/>
              <w:keepNext/>
              <w:ind w:right="259"/>
              <w:jc w:val="right"/>
            </w:pPr>
            <w:r w:rsidRPr="00783D6C">
              <w:t>$76,209</w:t>
            </w:r>
          </w:p>
        </w:tc>
        <w:tc>
          <w:tcPr>
            <w:tcW w:w="750" w:type="pct"/>
          </w:tcPr>
          <w:p w14:paraId="73FDD5A9" w14:textId="77777777" w:rsidR="00E45959" w:rsidRPr="00183E4D" w:rsidRDefault="00E45959" w:rsidP="00006341">
            <w:pPr>
              <w:pStyle w:val="Tabletext1"/>
              <w:keepNext/>
              <w:ind w:right="259"/>
              <w:jc w:val="right"/>
            </w:pPr>
            <w:r w:rsidRPr="00783D6C">
              <w:t>$87,640</w:t>
            </w:r>
          </w:p>
        </w:tc>
        <w:tc>
          <w:tcPr>
            <w:tcW w:w="749" w:type="pct"/>
          </w:tcPr>
          <w:p w14:paraId="6BFAB2DF" w14:textId="77777777" w:rsidR="00E45959" w:rsidRPr="00183E4D" w:rsidRDefault="00E45959" w:rsidP="00006341">
            <w:pPr>
              <w:pStyle w:val="Tabletext1"/>
              <w:keepNext/>
              <w:ind w:right="259"/>
              <w:jc w:val="right"/>
            </w:pPr>
            <w:r w:rsidRPr="00783D6C">
              <w:t>$100,786</w:t>
            </w:r>
          </w:p>
        </w:tc>
      </w:tr>
      <w:tr w:rsidR="00E45959" w:rsidRPr="00183E4D" w14:paraId="7A048B73" w14:textId="77777777" w:rsidTr="004245A0">
        <w:trPr>
          <w:trHeight w:val="20"/>
        </w:trPr>
        <w:tc>
          <w:tcPr>
            <w:tcW w:w="1250" w:type="pct"/>
          </w:tcPr>
          <w:p w14:paraId="07D4CA99" w14:textId="77777777" w:rsidR="00E45959" w:rsidRPr="00183E4D" w:rsidRDefault="00E45959" w:rsidP="00BC6914">
            <w:pPr>
              <w:keepNext/>
              <w:tabs>
                <w:tab w:val="left" w:pos="851"/>
              </w:tabs>
              <w:spacing w:after="40" w:line="240" w:lineRule="auto"/>
              <w:ind w:left="851" w:hanging="851"/>
              <w:rPr>
                <w:rFonts w:ascii="Arial Narrow" w:hAnsi="Arial Narrow"/>
                <w:sz w:val="20"/>
                <w:szCs w:val="20"/>
              </w:rPr>
            </w:pPr>
            <w:r w:rsidRPr="003F3724">
              <w:rPr>
                <w:rFonts w:ascii="Arial Narrow" w:hAnsi="Arial Narrow"/>
                <w:sz w:val="20"/>
                <w:szCs w:val="20"/>
              </w:rPr>
              <w:t>Common mutation panels</w:t>
            </w:r>
          </w:p>
        </w:tc>
        <w:tc>
          <w:tcPr>
            <w:tcW w:w="750" w:type="pct"/>
          </w:tcPr>
          <w:p w14:paraId="096CF5CD" w14:textId="77777777" w:rsidR="00E45959" w:rsidRPr="00183E4D" w:rsidRDefault="00E45959" w:rsidP="00006341">
            <w:pPr>
              <w:pStyle w:val="Tabletext1"/>
              <w:keepNext/>
              <w:ind w:right="259"/>
              <w:jc w:val="right"/>
            </w:pPr>
            <w:r w:rsidRPr="00783D6C">
              <w:t>$892,040</w:t>
            </w:r>
          </w:p>
        </w:tc>
        <w:tc>
          <w:tcPr>
            <w:tcW w:w="750" w:type="pct"/>
          </w:tcPr>
          <w:p w14:paraId="341E5F03" w14:textId="77777777" w:rsidR="00E45959" w:rsidRPr="00183E4D" w:rsidRDefault="00E45959" w:rsidP="00006341">
            <w:pPr>
              <w:pStyle w:val="Tabletext1"/>
              <w:keepNext/>
              <w:ind w:right="259"/>
              <w:jc w:val="right"/>
            </w:pPr>
            <w:r w:rsidRPr="00783D6C">
              <w:t>$1,025,846</w:t>
            </w:r>
          </w:p>
        </w:tc>
        <w:tc>
          <w:tcPr>
            <w:tcW w:w="750" w:type="pct"/>
          </w:tcPr>
          <w:p w14:paraId="0C2FD002" w14:textId="77777777" w:rsidR="00E45959" w:rsidRPr="00183E4D" w:rsidRDefault="00E45959" w:rsidP="00006341">
            <w:pPr>
              <w:pStyle w:val="Tabletext1"/>
              <w:keepNext/>
              <w:ind w:right="259"/>
              <w:jc w:val="right"/>
            </w:pPr>
            <w:r w:rsidRPr="00783D6C">
              <w:t>$1,179,723</w:t>
            </w:r>
          </w:p>
        </w:tc>
        <w:tc>
          <w:tcPr>
            <w:tcW w:w="750" w:type="pct"/>
          </w:tcPr>
          <w:p w14:paraId="214B8F01" w14:textId="77777777" w:rsidR="00E45959" w:rsidRPr="00183E4D" w:rsidRDefault="00E45959" w:rsidP="00006341">
            <w:pPr>
              <w:pStyle w:val="Tabletext1"/>
              <w:keepNext/>
              <w:ind w:right="259"/>
              <w:jc w:val="right"/>
            </w:pPr>
            <w:r w:rsidRPr="00783D6C">
              <w:t>$1,356,681</w:t>
            </w:r>
          </w:p>
        </w:tc>
        <w:tc>
          <w:tcPr>
            <w:tcW w:w="749" w:type="pct"/>
          </w:tcPr>
          <w:p w14:paraId="6AB9EEA1" w14:textId="77777777" w:rsidR="00E45959" w:rsidRPr="00183E4D" w:rsidRDefault="00E45959" w:rsidP="00006341">
            <w:pPr>
              <w:pStyle w:val="Tabletext1"/>
              <w:keepNext/>
              <w:ind w:right="259"/>
              <w:jc w:val="right"/>
            </w:pPr>
            <w:r w:rsidRPr="00783D6C">
              <w:t>$1,560,183</w:t>
            </w:r>
          </w:p>
        </w:tc>
      </w:tr>
      <w:tr w:rsidR="00E45959" w:rsidRPr="00183E4D" w14:paraId="7D21D675" w14:textId="77777777" w:rsidTr="004245A0">
        <w:trPr>
          <w:trHeight w:val="20"/>
        </w:trPr>
        <w:tc>
          <w:tcPr>
            <w:tcW w:w="1250" w:type="pct"/>
          </w:tcPr>
          <w:p w14:paraId="1B66A960" w14:textId="4536CE67" w:rsidR="00E45959" w:rsidRPr="00183E4D" w:rsidRDefault="00E45959" w:rsidP="00BC6914">
            <w:pPr>
              <w:keepNext/>
              <w:spacing w:after="40" w:line="240" w:lineRule="auto"/>
              <w:rPr>
                <w:rFonts w:ascii="Arial Narrow" w:hAnsi="Arial Narrow"/>
                <w:sz w:val="20"/>
                <w:szCs w:val="20"/>
              </w:rPr>
            </w:pPr>
            <w:r w:rsidRPr="003F3724">
              <w:rPr>
                <w:rFonts w:ascii="Arial Narrow" w:hAnsi="Arial Narrow"/>
                <w:sz w:val="20"/>
                <w:szCs w:val="20"/>
              </w:rPr>
              <w:t>Whole gene screens</w:t>
            </w:r>
          </w:p>
        </w:tc>
        <w:tc>
          <w:tcPr>
            <w:tcW w:w="750" w:type="pct"/>
          </w:tcPr>
          <w:p w14:paraId="4C7C7F3F" w14:textId="77777777" w:rsidR="00E45959" w:rsidRPr="00183E4D" w:rsidRDefault="00E45959" w:rsidP="00006341">
            <w:pPr>
              <w:pStyle w:val="Tabletext1"/>
              <w:keepNext/>
              <w:ind w:right="259"/>
              <w:jc w:val="right"/>
            </w:pPr>
            <w:r w:rsidRPr="00783D6C">
              <w:t>$1,176,131</w:t>
            </w:r>
          </w:p>
        </w:tc>
        <w:tc>
          <w:tcPr>
            <w:tcW w:w="750" w:type="pct"/>
          </w:tcPr>
          <w:p w14:paraId="5F2A76A4" w14:textId="77777777" w:rsidR="00E45959" w:rsidRPr="00183E4D" w:rsidRDefault="00E45959" w:rsidP="00006341">
            <w:pPr>
              <w:pStyle w:val="Tabletext1"/>
              <w:keepNext/>
              <w:ind w:right="259"/>
              <w:jc w:val="right"/>
            </w:pPr>
            <w:r w:rsidRPr="00783D6C">
              <w:t>$1,352,551</w:t>
            </w:r>
          </w:p>
        </w:tc>
        <w:tc>
          <w:tcPr>
            <w:tcW w:w="750" w:type="pct"/>
          </w:tcPr>
          <w:p w14:paraId="7B165AD9" w14:textId="77777777" w:rsidR="00E45959" w:rsidRPr="00183E4D" w:rsidRDefault="00E45959" w:rsidP="00006341">
            <w:pPr>
              <w:pStyle w:val="Tabletext1"/>
              <w:keepNext/>
              <w:ind w:right="259"/>
              <w:jc w:val="right"/>
            </w:pPr>
            <w:r w:rsidRPr="00783D6C">
              <w:t>$1,555,434</w:t>
            </w:r>
          </w:p>
        </w:tc>
        <w:tc>
          <w:tcPr>
            <w:tcW w:w="750" w:type="pct"/>
          </w:tcPr>
          <w:p w14:paraId="23A83EE7" w14:textId="77777777" w:rsidR="00E45959" w:rsidRPr="00183E4D" w:rsidRDefault="00E45959" w:rsidP="00006341">
            <w:pPr>
              <w:pStyle w:val="Tabletext1"/>
              <w:keepNext/>
              <w:ind w:right="259"/>
              <w:jc w:val="right"/>
            </w:pPr>
            <w:r w:rsidRPr="00783D6C">
              <w:t>$1,788,749</w:t>
            </w:r>
          </w:p>
        </w:tc>
        <w:tc>
          <w:tcPr>
            <w:tcW w:w="749" w:type="pct"/>
          </w:tcPr>
          <w:p w14:paraId="0881F85E" w14:textId="77777777" w:rsidR="00E45959" w:rsidRPr="00183E4D" w:rsidRDefault="00E45959" w:rsidP="00006341">
            <w:pPr>
              <w:pStyle w:val="Tabletext1"/>
              <w:keepNext/>
              <w:ind w:right="259"/>
              <w:jc w:val="right"/>
            </w:pPr>
            <w:r w:rsidRPr="00783D6C">
              <w:t>$2,057,061</w:t>
            </w:r>
          </w:p>
        </w:tc>
      </w:tr>
      <w:tr w:rsidR="00E45959" w:rsidRPr="00183E4D" w14:paraId="1A9EB883" w14:textId="77777777" w:rsidTr="004245A0">
        <w:trPr>
          <w:trHeight w:val="20"/>
        </w:trPr>
        <w:tc>
          <w:tcPr>
            <w:tcW w:w="1250" w:type="pct"/>
          </w:tcPr>
          <w:p w14:paraId="162D3C12" w14:textId="408F6ABC" w:rsidR="00E45959" w:rsidRPr="00183E4D" w:rsidRDefault="00E45959" w:rsidP="00BC6914">
            <w:pPr>
              <w:pStyle w:val="Tabletext1"/>
              <w:keepNext/>
              <w:jc w:val="left"/>
              <w:rPr>
                <w:b/>
              </w:rPr>
            </w:pPr>
            <w:r w:rsidRPr="00183E4D">
              <w:rPr>
                <w:b/>
              </w:rPr>
              <w:t>Total cost</w:t>
            </w:r>
            <w:r>
              <w:rPr>
                <w:b/>
              </w:rPr>
              <w:t xml:space="preserve"> of </w:t>
            </w:r>
            <w:r w:rsidR="00FD37D3" w:rsidRPr="00FD37D3">
              <w:rPr>
                <w:b/>
              </w:rPr>
              <w:t>CFTR</w:t>
            </w:r>
            <w:r>
              <w:rPr>
                <w:b/>
              </w:rPr>
              <w:t xml:space="preserve"> testing</w:t>
            </w:r>
          </w:p>
        </w:tc>
        <w:tc>
          <w:tcPr>
            <w:tcW w:w="750" w:type="pct"/>
          </w:tcPr>
          <w:p w14:paraId="606631DD" w14:textId="77777777" w:rsidR="00E45959" w:rsidRPr="0044548F" w:rsidRDefault="00E45959" w:rsidP="00006341">
            <w:pPr>
              <w:pStyle w:val="Tabletext1"/>
              <w:keepNext/>
              <w:ind w:right="259"/>
              <w:jc w:val="right"/>
              <w:rPr>
                <w:b/>
              </w:rPr>
            </w:pPr>
            <w:r w:rsidRPr="003D5E01">
              <w:rPr>
                <w:b/>
              </w:rPr>
              <w:t>$2,125,796</w:t>
            </w:r>
          </w:p>
        </w:tc>
        <w:tc>
          <w:tcPr>
            <w:tcW w:w="750" w:type="pct"/>
          </w:tcPr>
          <w:p w14:paraId="4B93D562" w14:textId="77777777" w:rsidR="00E45959" w:rsidRPr="0044548F" w:rsidRDefault="00E45959" w:rsidP="00006341">
            <w:pPr>
              <w:pStyle w:val="Tabletext1"/>
              <w:keepNext/>
              <w:ind w:right="259"/>
              <w:jc w:val="right"/>
              <w:rPr>
                <w:b/>
              </w:rPr>
            </w:pPr>
            <w:r w:rsidRPr="003D5E01">
              <w:rPr>
                <w:b/>
              </w:rPr>
              <w:t>$2,444,665</w:t>
            </w:r>
          </w:p>
        </w:tc>
        <w:tc>
          <w:tcPr>
            <w:tcW w:w="750" w:type="pct"/>
          </w:tcPr>
          <w:p w14:paraId="016DF23D" w14:textId="77777777" w:rsidR="00E45959" w:rsidRPr="0044548F" w:rsidRDefault="00E45959" w:rsidP="00006341">
            <w:pPr>
              <w:pStyle w:val="Tabletext1"/>
              <w:keepNext/>
              <w:ind w:right="259"/>
              <w:jc w:val="right"/>
              <w:rPr>
                <w:b/>
              </w:rPr>
            </w:pPr>
            <w:r w:rsidRPr="003D5E01">
              <w:rPr>
                <w:b/>
              </w:rPr>
              <w:t>$2,811,365</w:t>
            </w:r>
          </w:p>
        </w:tc>
        <w:tc>
          <w:tcPr>
            <w:tcW w:w="750" w:type="pct"/>
          </w:tcPr>
          <w:p w14:paraId="71F2B545" w14:textId="77777777" w:rsidR="00E45959" w:rsidRPr="0044548F" w:rsidRDefault="00E45959" w:rsidP="00006341">
            <w:pPr>
              <w:pStyle w:val="Tabletext1"/>
              <w:keepNext/>
              <w:ind w:right="259"/>
              <w:jc w:val="right"/>
              <w:rPr>
                <w:b/>
              </w:rPr>
            </w:pPr>
            <w:r w:rsidRPr="003D5E01">
              <w:rPr>
                <w:b/>
              </w:rPr>
              <w:t>$3,233,070</w:t>
            </w:r>
          </w:p>
        </w:tc>
        <w:tc>
          <w:tcPr>
            <w:tcW w:w="749" w:type="pct"/>
          </w:tcPr>
          <w:p w14:paraId="0721113B" w14:textId="77777777" w:rsidR="00E45959" w:rsidRPr="0044548F" w:rsidRDefault="00E45959" w:rsidP="00006341">
            <w:pPr>
              <w:pStyle w:val="Tabletext1"/>
              <w:keepNext/>
              <w:ind w:right="259"/>
              <w:jc w:val="right"/>
              <w:rPr>
                <w:b/>
              </w:rPr>
            </w:pPr>
            <w:r w:rsidRPr="003D5E01">
              <w:rPr>
                <w:b/>
              </w:rPr>
              <w:t>$3,718,030</w:t>
            </w:r>
          </w:p>
        </w:tc>
      </w:tr>
      <w:tr w:rsidR="00E45959" w:rsidRPr="00183E4D" w14:paraId="0FF9FBF3" w14:textId="77777777" w:rsidTr="004245A0">
        <w:trPr>
          <w:trHeight w:val="20"/>
        </w:trPr>
        <w:tc>
          <w:tcPr>
            <w:tcW w:w="1250" w:type="pct"/>
          </w:tcPr>
          <w:p w14:paraId="56193648" w14:textId="77777777" w:rsidR="00E45959" w:rsidRPr="00183E4D" w:rsidRDefault="00E45959" w:rsidP="00BC6914">
            <w:pPr>
              <w:pStyle w:val="Tabletext1"/>
              <w:keepNext/>
              <w:jc w:val="left"/>
              <w:rPr>
                <w:b/>
              </w:rPr>
            </w:pPr>
            <w:r w:rsidRPr="00C7140E">
              <w:rPr>
                <w:b/>
              </w:rPr>
              <w:t>MBS rebate (85%)</w:t>
            </w:r>
          </w:p>
        </w:tc>
        <w:tc>
          <w:tcPr>
            <w:tcW w:w="750" w:type="pct"/>
          </w:tcPr>
          <w:p w14:paraId="204446F1" w14:textId="77777777" w:rsidR="00E45959" w:rsidRPr="003D5E01" w:rsidRDefault="00E45959" w:rsidP="00006341">
            <w:pPr>
              <w:pStyle w:val="Tabletext1"/>
              <w:keepNext/>
              <w:ind w:right="259"/>
              <w:jc w:val="right"/>
              <w:rPr>
                <w:b/>
              </w:rPr>
            </w:pPr>
            <w:r w:rsidRPr="003D5E01">
              <w:rPr>
                <w:b/>
              </w:rPr>
              <w:t>$1,806,926</w:t>
            </w:r>
          </w:p>
        </w:tc>
        <w:tc>
          <w:tcPr>
            <w:tcW w:w="750" w:type="pct"/>
          </w:tcPr>
          <w:p w14:paraId="76625CC5" w14:textId="77777777" w:rsidR="00E45959" w:rsidRPr="003D5E01" w:rsidRDefault="00E45959" w:rsidP="00006341">
            <w:pPr>
              <w:pStyle w:val="Tabletext1"/>
              <w:keepNext/>
              <w:ind w:right="259"/>
              <w:jc w:val="right"/>
              <w:rPr>
                <w:b/>
              </w:rPr>
            </w:pPr>
            <w:r w:rsidRPr="003D5E01">
              <w:rPr>
                <w:b/>
              </w:rPr>
              <w:t>$2,077,965</w:t>
            </w:r>
          </w:p>
        </w:tc>
        <w:tc>
          <w:tcPr>
            <w:tcW w:w="750" w:type="pct"/>
          </w:tcPr>
          <w:p w14:paraId="368DEDE0" w14:textId="77777777" w:rsidR="00E45959" w:rsidRPr="003D5E01" w:rsidRDefault="00E45959" w:rsidP="00006341">
            <w:pPr>
              <w:pStyle w:val="Tabletext1"/>
              <w:keepNext/>
              <w:ind w:right="259"/>
              <w:jc w:val="right"/>
              <w:rPr>
                <w:b/>
              </w:rPr>
            </w:pPr>
            <w:r w:rsidRPr="003D5E01">
              <w:rPr>
                <w:b/>
              </w:rPr>
              <w:t>$2,389,660</w:t>
            </w:r>
          </w:p>
        </w:tc>
        <w:tc>
          <w:tcPr>
            <w:tcW w:w="750" w:type="pct"/>
          </w:tcPr>
          <w:p w14:paraId="7DEB6B09" w14:textId="77777777" w:rsidR="00E45959" w:rsidRPr="003D5E01" w:rsidRDefault="00E45959" w:rsidP="00006341">
            <w:pPr>
              <w:pStyle w:val="Tabletext1"/>
              <w:keepNext/>
              <w:ind w:right="259"/>
              <w:jc w:val="right"/>
              <w:rPr>
                <w:b/>
              </w:rPr>
            </w:pPr>
            <w:r w:rsidRPr="003D5E01">
              <w:rPr>
                <w:b/>
              </w:rPr>
              <w:t>$2,748,109</w:t>
            </w:r>
          </w:p>
        </w:tc>
        <w:tc>
          <w:tcPr>
            <w:tcW w:w="749" w:type="pct"/>
          </w:tcPr>
          <w:p w14:paraId="4B762F1B" w14:textId="77777777" w:rsidR="00E45959" w:rsidRPr="003D5E01" w:rsidRDefault="00E45959" w:rsidP="00006341">
            <w:pPr>
              <w:pStyle w:val="Tabletext1"/>
              <w:keepNext/>
              <w:ind w:right="259"/>
              <w:jc w:val="right"/>
              <w:rPr>
                <w:b/>
              </w:rPr>
            </w:pPr>
            <w:r w:rsidRPr="003D5E01">
              <w:rPr>
                <w:b/>
              </w:rPr>
              <w:t>$3,160,326</w:t>
            </w:r>
          </w:p>
        </w:tc>
      </w:tr>
      <w:tr w:rsidR="00E45959" w:rsidRPr="00183E4D" w14:paraId="1CDE85A4" w14:textId="77777777" w:rsidTr="004245A0">
        <w:trPr>
          <w:trHeight w:val="20"/>
        </w:trPr>
        <w:tc>
          <w:tcPr>
            <w:tcW w:w="1250" w:type="pct"/>
          </w:tcPr>
          <w:p w14:paraId="0443444A" w14:textId="77777777" w:rsidR="00E45959" w:rsidRPr="00183E4D" w:rsidRDefault="00E45959" w:rsidP="00BC6914">
            <w:pPr>
              <w:pStyle w:val="Tabletext1"/>
              <w:keepNext/>
              <w:jc w:val="left"/>
              <w:rPr>
                <w:b/>
              </w:rPr>
            </w:pPr>
            <w:r>
              <w:t>Patient contribution</w:t>
            </w:r>
          </w:p>
        </w:tc>
        <w:tc>
          <w:tcPr>
            <w:tcW w:w="750" w:type="pct"/>
          </w:tcPr>
          <w:p w14:paraId="239F8867" w14:textId="77777777" w:rsidR="00E45959" w:rsidRPr="003D5E01" w:rsidRDefault="00E45959" w:rsidP="00006341">
            <w:pPr>
              <w:pStyle w:val="Tabletext1"/>
              <w:keepNext/>
              <w:ind w:right="259"/>
              <w:jc w:val="right"/>
              <w:rPr>
                <w:b/>
              </w:rPr>
            </w:pPr>
            <w:r w:rsidRPr="003D5E01">
              <w:t>$318,869</w:t>
            </w:r>
          </w:p>
        </w:tc>
        <w:tc>
          <w:tcPr>
            <w:tcW w:w="750" w:type="pct"/>
          </w:tcPr>
          <w:p w14:paraId="3A408FC4" w14:textId="77777777" w:rsidR="00E45959" w:rsidRPr="003D5E01" w:rsidRDefault="00E45959" w:rsidP="00006341">
            <w:pPr>
              <w:pStyle w:val="Tabletext1"/>
              <w:keepNext/>
              <w:ind w:right="259"/>
              <w:jc w:val="right"/>
              <w:rPr>
                <w:b/>
              </w:rPr>
            </w:pPr>
            <w:r w:rsidRPr="003D5E01">
              <w:t>$366,700</w:t>
            </w:r>
          </w:p>
        </w:tc>
        <w:tc>
          <w:tcPr>
            <w:tcW w:w="750" w:type="pct"/>
          </w:tcPr>
          <w:p w14:paraId="59D81C75" w14:textId="77777777" w:rsidR="00E45959" w:rsidRPr="003D5E01" w:rsidRDefault="00E45959" w:rsidP="00006341">
            <w:pPr>
              <w:pStyle w:val="Tabletext1"/>
              <w:keepNext/>
              <w:ind w:right="259"/>
              <w:jc w:val="right"/>
              <w:rPr>
                <w:b/>
              </w:rPr>
            </w:pPr>
            <w:r w:rsidRPr="003D5E01">
              <w:t>$421,705</w:t>
            </w:r>
          </w:p>
        </w:tc>
        <w:tc>
          <w:tcPr>
            <w:tcW w:w="750" w:type="pct"/>
          </w:tcPr>
          <w:p w14:paraId="52C88E91" w14:textId="77777777" w:rsidR="00E45959" w:rsidRPr="003D5E01" w:rsidRDefault="00E45959" w:rsidP="00006341">
            <w:pPr>
              <w:pStyle w:val="Tabletext1"/>
              <w:keepNext/>
              <w:ind w:right="259"/>
              <w:jc w:val="right"/>
              <w:rPr>
                <w:b/>
              </w:rPr>
            </w:pPr>
            <w:r w:rsidRPr="003D5E01">
              <w:t>$484,960</w:t>
            </w:r>
          </w:p>
        </w:tc>
        <w:tc>
          <w:tcPr>
            <w:tcW w:w="749" w:type="pct"/>
          </w:tcPr>
          <w:p w14:paraId="73123740" w14:textId="77777777" w:rsidR="00E45959" w:rsidRPr="003D5E01" w:rsidRDefault="00E45959" w:rsidP="00006341">
            <w:pPr>
              <w:pStyle w:val="Tabletext1"/>
              <w:keepNext/>
              <w:ind w:right="259"/>
              <w:jc w:val="right"/>
              <w:rPr>
                <w:b/>
              </w:rPr>
            </w:pPr>
            <w:r w:rsidRPr="003D5E01">
              <w:t>$557,705</w:t>
            </w:r>
          </w:p>
        </w:tc>
      </w:tr>
    </w:tbl>
    <w:p w14:paraId="64A6D802" w14:textId="77777777" w:rsidR="00037504" w:rsidRPr="00933F68" w:rsidRDefault="00037504" w:rsidP="008B1274">
      <w:pPr>
        <w:pStyle w:val="TableNotes"/>
        <w:spacing w:after="0" w:line="240" w:lineRule="auto"/>
        <w:ind w:left="0"/>
        <w:contextualSpacing w:val="0"/>
        <w:rPr>
          <w:sz w:val="18"/>
          <w:szCs w:val="18"/>
        </w:rPr>
      </w:pPr>
      <w:r w:rsidRPr="0009583A">
        <w:rPr>
          <w:sz w:val="18"/>
          <w:szCs w:val="18"/>
          <w:vertAlign w:val="superscript"/>
        </w:rPr>
        <w:t>a</w:t>
      </w:r>
      <w:r>
        <w:rPr>
          <w:sz w:val="18"/>
          <w:szCs w:val="18"/>
        </w:rPr>
        <w:t xml:space="preserve"> </w:t>
      </w:r>
      <w:r w:rsidRPr="0009583A">
        <w:rPr>
          <w:sz w:val="18"/>
          <w:szCs w:val="18"/>
        </w:rPr>
        <w:t>Single mutation analyses are performed to identify one or two F508del mutations</w:t>
      </w:r>
      <w:r>
        <w:rPr>
          <w:sz w:val="18"/>
          <w:szCs w:val="18"/>
        </w:rPr>
        <w:t>.</w:t>
      </w:r>
    </w:p>
    <w:p w14:paraId="1FB9B3EE" w14:textId="4A92E6EE" w:rsidR="00E45959" w:rsidRDefault="00FD37D3" w:rsidP="00E45959">
      <w:pPr>
        <w:pStyle w:val="TableNotes"/>
        <w:ind w:left="0"/>
        <w:rPr>
          <w:sz w:val="18"/>
          <w:szCs w:val="18"/>
        </w:rPr>
      </w:pPr>
      <w:r w:rsidRPr="00FD37D3">
        <w:rPr>
          <w:sz w:val="18"/>
          <w:szCs w:val="18"/>
        </w:rPr>
        <w:t>CFTR</w:t>
      </w:r>
      <w:r w:rsidR="00E45959">
        <w:rPr>
          <w:sz w:val="18"/>
          <w:szCs w:val="18"/>
        </w:rPr>
        <w:t xml:space="preserve"> = </w:t>
      </w:r>
      <w:r w:rsidR="00AA674E">
        <w:rPr>
          <w:sz w:val="18"/>
          <w:szCs w:val="18"/>
        </w:rPr>
        <w:t>c</w:t>
      </w:r>
      <w:r w:rsidR="00F9373B">
        <w:rPr>
          <w:sz w:val="18"/>
          <w:szCs w:val="18"/>
        </w:rPr>
        <w:t xml:space="preserve">ystic </w:t>
      </w:r>
      <w:r w:rsidR="00AA674E">
        <w:rPr>
          <w:sz w:val="18"/>
          <w:szCs w:val="18"/>
        </w:rPr>
        <w:t>f</w:t>
      </w:r>
      <w:r w:rsidR="00F9373B">
        <w:rPr>
          <w:sz w:val="18"/>
          <w:szCs w:val="18"/>
        </w:rPr>
        <w:t xml:space="preserve">ibrosis </w:t>
      </w:r>
      <w:r w:rsidR="00AA674E">
        <w:rPr>
          <w:sz w:val="18"/>
          <w:szCs w:val="18"/>
        </w:rPr>
        <w:t>t</w:t>
      </w:r>
      <w:r w:rsidR="00F9373B">
        <w:rPr>
          <w:sz w:val="18"/>
          <w:szCs w:val="18"/>
        </w:rPr>
        <w:t xml:space="preserve">ransmembrane conductance </w:t>
      </w:r>
      <w:r w:rsidR="00AA674E">
        <w:rPr>
          <w:sz w:val="18"/>
          <w:szCs w:val="18"/>
        </w:rPr>
        <w:t>r</w:t>
      </w:r>
      <w:r w:rsidR="00F9373B">
        <w:rPr>
          <w:sz w:val="18"/>
          <w:szCs w:val="18"/>
        </w:rPr>
        <w:t>egulator</w:t>
      </w:r>
      <w:r w:rsidR="00E45959">
        <w:rPr>
          <w:sz w:val="18"/>
          <w:szCs w:val="18"/>
        </w:rPr>
        <w:t>; MBS</w:t>
      </w:r>
      <w:r w:rsidR="006D5DFE">
        <w:rPr>
          <w:sz w:val="18"/>
          <w:szCs w:val="18"/>
        </w:rPr>
        <w:t xml:space="preserve"> </w:t>
      </w:r>
      <w:r w:rsidR="00E45959">
        <w:rPr>
          <w:sz w:val="18"/>
          <w:szCs w:val="18"/>
        </w:rPr>
        <w:t>= Medicare Benefits Schedule</w:t>
      </w:r>
    </w:p>
    <w:p w14:paraId="70170327" w14:textId="67748683" w:rsidR="00BF5179" w:rsidRPr="00BC6914" w:rsidRDefault="00BF5179" w:rsidP="00BF5179">
      <w:r w:rsidRPr="00BC6914">
        <w:t xml:space="preserve">As the proposed listing does not attempt to change existing clinical practice, the net cost </w:t>
      </w:r>
      <w:r>
        <w:t xml:space="preserve">to the Australian health system </w:t>
      </w:r>
      <w:r w:rsidRPr="00BC6914">
        <w:t xml:space="preserve">should be zero </w:t>
      </w:r>
      <w:r>
        <w:t>for</w:t>
      </w:r>
      <w:r w:rsidRPr="00BC6914">
        <w:t xml:space="preserve"> </w:t>
      </w:r>
      <w:r>
        <w:t>a</w:t>
      </w:r>
      <w:r w:rsidR="00BD6868">
        <w:t>n</w:t>
      </w:r>
      <w:r w:rsidRPr="00BC6914">
        <w:t xml:space="preserve"> </w:t>
      </w:r>
      <w:r>
        <w:t xml:space="preserve">MBS </w:t>
      </w:r>
      <w:r w:rsidRPr="00BC6914">
        <w:t>listing</w:t>
      </w:r>
      <w:r w:rsidRPr="00FD37D3">
        <w:t xml:space="preserve"> </w:t>
      </w:r>
      <w:r>
        <w:t xml:space="preserve">for </w:t>
      </w:r>
      <w:r w:rsidRPr="00FD37D3">
        <w:t>CFTR</w:t>
      </w:r>
      <w:r w:rsidRPr="00BC6914">
        <w:t xml:space="preserve"> mutation testing. If, however,</w:t>
      </w:r>
      <w:r>
        <w:t xml:space="preserve"> </w:t>
      </w:r>
      <w:r w:rsidRPr="00BC6914">
        <w:t>there is growth in the market</w:t>
      </w:r>
      <w:r w:rsidR="00BD6868">
        <w:t>,</w:t>
      </w:r>
      <w:r w:rsidRPr="00BC6914">
        <w:t xml:space="preserve"> the net overall cost of </w:t>
      </w:r>
      <w:r w:rsidRPr="00FD37D3">
        <w:t>CFTR</w:t>
      </w:r>
      <w:r w:rsidRPr="00BC6914">
        <w:t xml:space="preserve"> mutation testing </w:t>
      </w:r>
      <w:r>
        <w:t>will</w:t>
      </w:r>
      <w:r w:rsidRPr="00BC6914">
        <w:t xml:space="preserve"> be positive, but th</w:t>
      </w:r>
      <w:r>
        <w:t>e</w:t>
      </w:r>
      <w:r w:rsidRPr="00BC6914">
        <w:t xml:space="preserve"> effect may be small as it is likely that the </w:t>
      </w:r>
      <w:r>
        <w:t xml:space="preserve">majority of patients </w:t>
      </w:r>
      <w:r w:rsidRPr="00BC6914">
        <w:t xml:space="preserve">eligible for MBS funding </w:t>
      </w:r>
      <w:r>
        <w:t>would</w:t>
      </w:r>
      <w:r w:rsidRPr="00BC6914">
        <w:t xml:space="preserve"> </w:t>
      </w:r>
      <w:r>
        <w:t>continue to receive testing</w:t>
      </w:r>
      <w:r w:rsidRPr="00BC6914">
        <w:t xml:space="preserve"> funded by </w:t>
      </w:r>
      <w:r>
        <w:t xml:space="preserve">the </w:t>
      </w:r>
      <w:r w:rsidR="00BD6868">
        <w:t>s</w:t>
      </w:r>
      <w:r w:rsidRPr="00BC6914">
        <w:t>tates/</w:t>
      </w:r>
      <w:r w:rsidR="00BD6868">
        <w:t>t</w:t>
      </w:r>
      <w:r w:rsidRPr="00BC6914">
        <w:t>erritories.</w:t>
      </w:r>
    </w:p>
    <w:p w14:paraId="3DE0D0A6" w14:textId="25134DC7" w:rsidR="00BF5179" w:rsidRPr="00BC6914" w:rsidRDefault="00BF5179" w:rsidP="00BF5179">
      <w:r w:rsidRPr="00BC6914">
        <w:t>The analyses were most sensitive to changes that increased the number of common mutation screening tests,</w:t>
      </w:r>
      <w:r>
        <w:t xml:space="preserve"> such as increasing the proportion of current </w:t>
      </w:r>
      <w:r w:rsidR="00BD6868">
        <w:t xml:space="preserve">eligible </w:t>
      </w:r>
      <w:r>
        <w:t>screening tests, which increased the cost</w:t>
      </w:r>
      <w:r w:rsidRPr="00BC6914">
        <w:t xml:space="preserve"> implication to the MBS by </w:t>
      </w:r>
      <w:r>
        <w:t xml:space="preserve">up to </w:t>
      </w:r>
      <w:r w:rsidRPr="00BC6914">
        <w:t xml:space="preserve">25%. Reducing the </w:t>
      </w:r>
      <w:r>
        <w:t xml:space="preserve">market </w:t>
      </w:r>
      <w:r w:rsidRPr="00BC6914">
        <w:t xml:space="preserve">growth rate, improving the clinical sensitivity of the common mutation panel and reducing the cost of the whole gene screen </w:t>
      </w:r>
      <w:r>
        <w:t xml:space="preserve">would </w:t>
      </w:r>
      <w:r w:rsidRPr="00BC6914">
        <w:t xml:space="preserve">result in </w:t>
      </w:r>
      <w:r>
        <w:t xml:space="preserve">a </w:t>
      </w:r>
      <w:r w:rsidRPr="00BC6914">
        <w:t>substantial reduc</w:t>
      </w:r>
      <w:r>
        <w:t>tion in</w:t>
      </w:r>
      <w:r w:rsidRPr="00BC6914">
        <w:t xml:space="preserve"> costs to the MBS (25</w:t>
      </w:r>
      <w:r w:rsidR="00BD6868">
        <w:t>%</w:t>
      </w:r>
      <w:r w:rsidRPr="00BC6914">
        <w:t>–50%).</w:t>
      </w:r>
    </w:p>
    <w:p w14:paraId="3A06AF4E" w14:textId="1BDB0900" w:rsidR="000D1300" w:rsidRPr="00183E4D" w:rsidRDefault="000B7A2F" w:rsidP="000B7A2F">
      <w:pPr>
        <w:pStyle w:val="Heading3"/>
      </w:pPr>
      <w:bookmarkStart w:id="97" w:name="_Toc418179876"/>
      <w:r w:rsidRPr="00183E4D">
        <w:t>F.</w:t>
      </w:r>
      <w:r w:rsidR="00FC10F8">
        <w:tab/>
      </w:r>
      <w:r w:rsidRPr="00183E4D">
        <w:t>Other Relevant C</w:t>
      </w:r>
      <w:r w:rsidR="000D1300" w:rsidRPr="00183E4D">
        <w:t>onsiderations</w:t>
      </w:r>
      <w:bookmarkEnd w:id="89"/>
      <w:bookmarkEnd w:id="97"/>
    </w:p>
    <w:p w14:paraId="2D800965" w14:textId="77777777" w:rsidR="00A9644B" w:rsidRDefault="00EC6CDA" w:rsidP="00EC6CDA">
      <w:pPr>
        <w:pStyle w:val="Heading4"/>
      </w:pPr>
      <w:r>
        <w:t>Ethical considerations</w:t>
      </w:r>
    </w:p>
    <w:p w14:paraId="23F53B2A" w14:textId="2623FCC3" w:rsidR="00EC6CDA" w:rsidRDefault="00EC6CDA" w:rsidP="00EC6CDA">
      <w:r>
        <w:t xml:space="preserve">The goal of prenatal testing is to help couples make an informed choice of whether to terminate their pregnancy. As genetic tests pose their own specific considerations, the relevant literature on ethical theory, genetic testing and prenatal testing was reviewed and the balance of arguments was </w:t>
      </w:r>
      <w:r w:rsidR="00BF5179">
        <w:t>assessed. The perspective of the fetus was not assessed in this analysis, as the difference between ‘existing’ and ‘not existing’ is beyond comparison here.</w:t>
      </w:r>
    </w:p>
    <w:p w14:paraId="11EB7B13" w14:textId="77777777" w:rsidR="00EC6CDA" w:rsidRDefault="00EC6CDA" w:rsidP="00EC6CDA">
      <w:pPr>
        <w:pStyle w:val="Heading5"/>
      </w:pPr>
      <w:r>
        <w:lastRenderedPageBreak/>
        <w:t>Ethical framework</w:t>
      </w:r>
    </w:p>
    <w:p w14:paraId="11DD3FF4" w14:textId="504F530F" w:rsidR="00EC6CDA" w:rsidRPr="00EC6CDA" w:rsidRDefault="00EC6CDA" w:rsidP="00EC6CDA">
      <w:r>
        <w:t>The four-principles approach, also called ‘principlism’</w:t>
      </w:r>
      <w:r w:rsidR="006B5466">
        <w:t>,</w:t>
      </w:r>
      <w:r>
        <w:t xml:space="preserve"> was adopted in this assessment. It comprises respect for autonomy, non-mal</w:t>
      </w:r>
      <w:r w:rsidR="0027559A">
        <w:t>e</w:t>
      </w:r>
      <w:r>
        <w:t>ficence, beneficence and justice</w:t>
      </w:r>
      <w:r w:rsidR="006B5466">
        <w:t>—</w:t>
      </w:r>
      <w:r>
        <w:t xml:space="preserve">which are used to analyse and assess the ethical considerations relating to the provision of healthcare. </w:t>
      </w:r>
    </w:p>
    <w:bookmarkEnd w:id="90"/>
    <w:bookmarkEnd w:id="91"/>
    <w:p w14:paraId="6FEB2205" w14:textId="77777777" w:rsidR="008F59A8" w:rsidRDefault="00EC6CDA" w:rsidP="00EC6CDA">
      <w:pPr>
        <w:pStyle w:val="Heading5"/>
      </w:pPr>
      <w:r>
        <w:t>Ethical issues specific to prenatal testing</w:t>
      </w:r>
    </w:p>
    <w:p w14:paraId="2A85045E" w14:textId="75520FB1" w:rsidR="00A73927" w:rsidRDefault="00C47D24" w:rsidP="00DF343F">
      <w:r>
        <w:t xml:space="preserve">The main ethical issues </w:t>
      </w:r>
      <w:r w:rsidR="002C47D9">
        <w:t xml:space="preserve">for prenatal </w:t>
      </w:r>
      <w:r w:rsidR="00FD37D3" w:rsidRPr="00FD37D3">
        <w:t>CFTR</w:t>
      </w:r>
      <w:r w:rsidR="002C47D9">
        <w:t xml:space="preserve"> testing and their most relevant principles can be found in </w:t>
      </w:r>
      <w:r w:rsidR="002C47D9">
        <w:fldChar w:fldCharType="begin"/>
      </w:r>
      <w:r w:rsidR="002C47D9">
        <w:instrText xml:space="preserve"> REF _Ref410994983 \h </w:instrText>
      </w:r>
      <w:r w:rsidR="00226282">
        <w:instrText xml:space="preserve"> \* MERGEFORMAT </w:instrText>
      </w:r>
      <w:r w:rsidR="002C47D9">
        <w:fldChar w:fldCharType="separate"/>
      </w:r>
      <w:r w:rsidR="00BB0E3E" w:rsidRPr="00BB0E3E">
        <w:t>Table 85</w:t>
      </w:r>
      <w:r w:rsidR="002C47D9">
        <w:fldChar w:fldCharType="end"/>
      </w:r>
      <w:r w:rsidR="002C47D9">
        <w:t xml:space="preserve"> on page </w:t>
      </w:r>
      <w:r w:rsidR="002C47D9" w:rsidRPr="00C07180">
        <w:fldChar w:fldCharType="begin"/>
      </w:r>
      <w:r w:rsidR="002C47D9" w:rsidRPr="00C07180">
        <w:instrText xml:space="preserve"> PAGEREF _Ref413074859 \h </w:instrText>
      </w:r>
      <w:r w:rsidR="002C47D9" w:rsidRPr="00C07180">
        <w:fldChar w:fldCharType="separate"/>
      </w:r>
      <w:r w:rsidR="00BB0E3E">
        <w:rPr>
          <w:noProof/>
        </w:rPr>
        <w:t>141</w:t>
      </w:r>
      <w:r w:rsidR="002C47D9" w:rsidRPr="00C07180">
        <w:fldChar w:fldCharType="end"/>
      </w:r>
      <w:r w:rsidR="002C47D9" w:rsidRPr="00C07180">
        <w:t>.</w:t>
      </w:r>
      <w:r w:rsidR="002C47D9">
        <w:t xml:space="preserve"> </w:t>
      </w:r>
    </w:p>
    <w:p w14:paraId="4C054903" w14:textId="238F103B" w:rsidR="00A73927" w:rsidRDefault="00A73927" w:rsidP="00DF343F">
      <w:r w:rsidRPr="00A73927">
        <w:rPr>
          <w:i/>
        </w:rPr>
        <w:t>Informed choice and counse</w:t>
      </w:r>
      <w:r w:rsidR="00070FEA">
        <w:rPr>
          <w:i/>
        </w:rPr>
        <w:t>lling</w:t>
      </w:r>
      <w:r w:rsidR="00FD3076">
        <w:rPr>
          <w:i/>
        </w:rPr>
        <w:t xml:space="preserve">: </w:t>
      </w:r>
      <w:r>
        <w:t>Providing non-directive, balanced, complete information and counselling is important to give unbiased options for meaningful reproductive choice. Without th</w:t>
      </w:r>
      <w:r w:rsidR="00FC1D49">
        <w:t>e provision of informed choice</w:t>
      </w:r>
      <w:r>
        <w:t xml:space="preserve">, genetic testing and </w:t>
      </w:r>
      <w:r w:rsidR="006B5466">
        <w:t xml:space="preserve">offering </w:t>
      </w:r>
      <w:r>
        <w:t xml:space="preserve">the option for TOP means </w:t>
      </w:r>
      <w:r w:rsidR="006B5466">
        <w:t xml:space="preserve">that </w:t>
      </w:r>
      <w:r>
        <w:t>there is an initial pressur</w:t>
      </w:r>
      <w:r w:rsidR="00FC1D49">
        <w:t xml:space="preserve">e on couples to consider </w:t>
      </w:r>
      <w:r w:rsidR="00FC1D49" w:rsidRPr="00F94D01">
        <w:t>both</w:t>
      </w:r>
      <w:r w:rsidR="00FC1D49">
        <w:t>. T</w:t>
      </w:r>
      <w:r>
        <w:t xml:space="preserve">he more suggestive the offer and the less clear the opportunity to freely decline it, the greater the pressure. </w:t>
      </w:r>
    </w:p>
    <w:p w14:paraId="01CEE125" w14:textId="1C8D2DF4" w:rsidR="00A73927" w:rsidRDefault="00A73927" w:rsidP="00DF343F">
      <w:r>
        <w:rPr>
          <w:i/>
        </w:rPr>
        <w:t>Disability rights critique</w:t>
      </w:r>
      <w:r w:rsidR="00FD3076">
        <w:rPr>
          <w:i/>
        </w:rPr>
        <w:t>:</w:t>
      </w:r>
      <w:r w:rsidR="00FC1D49">
        <w:rPr>
          <w:i/>
        </w:rPr>
        <w:t xml:space="preserve"> </w:t>
      </w:r>
      <w:r w:rsidR="00FC1D49">
        <w:t xml:space="preserve">The disability rights critique </w:t>
      </w:r>
      <w:r w:rsidR="001E2942">
        <w:t>gives a critical view of</w:t>
      </w:r>
      <w:r w:rsidR="00FC1D49">
        <w:t xml:space="preserve"> selective TOP as a means to avoid the birth of children with a disorder or disability.</w:t>
      </w:r>
      <w:r w:rsidR="00FD3076">
        <w:rPr>
          <w:i/>
        </w:rPr>
        <w:t xml:space="preserve"> </w:t>
      </w:r>
      <w:r w:rsidR="001E2942">
        <w:t xml:space="preserve">This argument is less convincing, however, if informed decisions (rather than TOP rates) are taken as a measure of success in prenatal testing. </w:t>
      </w:r>
      <w:r w:rsidR="009042BD">
        <w:t>There is a concern that prenatal testing will lead to a degradation of society’s willingness to accept and care for children deemed ‘abnormal’, while at the same time enlarging the category of unacceptable ‘abnormality’ and narrowing the range of acceptable ‘normality’.</w:t>
      </w:r>
      <w:r w:rsidR="00070FEA">
        <w:t xml:space="preserve"> </w:t>
      </w:r>
      <w:r w:rsidR="006B5466">
        <w:t xml:space="preserve">It </w:t>
      </w:r>
      <w:r w:rsidR="00070FEA">
        <w:t>would also diminish the importance of developing cures for ‘preventable’ disorders.</w:t>
      </w:r>
      <w:r w:rsidR="009042BD">
        <w:t xml:space="preserve"> </w:t>
      </w:r>
    </w:p>
    <w:p w14:paraId="789FEEE0" w14:textId="07145790" w:rsidR="00ED6F85" w:rsidRDefault="00070FEA" w:rsidP="00DF343F">
      <w:r>
        <w:rPr>
          <w:i/>
        </w:rPr>
        <w:t>Access to testing and TOP</w:t>
      </w:r>
      <w:r w:rsidR="00FD3076">
        <w:rPr>
          <w:i/>
        </w:rPr>
        <w:t xml:space="preserve">: </w:t>
      </w:r>
      <w:r w:rsidR="00ED6F85">
        <w:t>Access to medical services in Australia is generally adequate and equitable, although access problems among r</w:t>
      </w:r>
      <w:r w:rsidR="00FC1D49">
        <w:t>ural populations are well known. I</w:t>
      </w:r>
      <w:r w:rsidR="00ED6F85">
        <w:t xml:space="preserve">n most cases </w:t>
      </w:r>
      <w:r w:rsidR="00FD37D3" w:rsidRPr="00FD37D3">
        <w:t>CFTR</w:t>
      </w:r>
      <w:r w:rsidR="00ED6F85">
        <w:t xml:space="preserve"> testing is paid for by the </w:t>
      </w:r>
      <w:r w:rsidR="001E2942">
        <w:t>s</w:t>
      </w:r>
      <w:r w:rsidR="00ED6F85">
        <w:t>tates/</w:t>
      </w:r>
      <w:r w:rsidR="001E2942">
        <w:t>t</w:t>
      </w:r>
      <w:r w:rsidR="00ED6F85">
        <w:t xml:space="preserve">erritories. </w:t>
      </w:r>
    </w:p>
    <w:p w14:paraId="33B0E090" w14:textId="5F19B946" w:rsidR="00FC1D49" w:rsidRDefault="00977824" w:rsidP="00FC1D49">
      <w:r>
        <w:rPr>
          <w:i/>
        </w:rPr>
        <w:t>Privacy and confidentiality</w:t>
      </w:r>
      <w:r w:rsidR="00FD3076">
        <w:rPr>
          <w:i/>
        </w:rPr>
        <w:t xml:space="preserve">: </w:t>
      </w:r>
      <w:r w:rsidR="00FC1D49">
        <w:t xml:space="preserve">Because </w:t>
      </w:r>
      <w:r w:rsidR="00FC1D49" w:rsidRPr="00FD37D3">
        <w:t>CFTR</w:t>
      </w:r>
      <w:r w:rsidR="00FC1D49">
        <w:t xml:space="preserve"> mutations affect both individuals and their families, ethical dilemmas can occur when a clinician has to balance the competing needs of maintaining the confidentiality of test results </w:t>
      </w:r>
      <w:r w:rsidR="001E2942">
        <w:t xml:space="preserve">and </w:t>
      </w:r>
      <w:r w:rsidR="00FC1D49">
        <w:t xml:space="preserve">informing family members of their own risk of having a child with CF. In the case of CF-carriers, genetic counsellors may seek to persuade patients to disclose their carrier-status </w:t>
      </w:r>
      <w:r w:rsidR="001E2942">
        <w:t xml:space="preserve">to </w:t>
      </w:r>
      <w:r w:rsidR="00FC1D49">
        <w:t>siblings, parents and/or children instead of providing non-directive counselling</w:t>
      </w:r>
      <w:r w:rsidR="001E2942">
        <w:t>;</w:t>
      </w:r>
      <w:r w:rsidR="00FC1D49">
        <w:t xml:space="preserve"> or </w:t>
      </w:r>
      <w:r w:rsidR="001E2942">
        <w:t xml:space="preserve">they may </w:t>
      </w:r>
      <w:r w:rsidR="00FC1D49">
        <w:t xml:space="preserve">ask the </w:t>
      </w:r>
      <w:r w:rsidR="001E2942">
        <w:t xml:space="preserve">patients to </w:t>
      </w:r>
      <w:r w:rsidR="00FC1D49">
        <w:t>allow the</w:t>
      </w:r>
      <w:r w:rsidR="001E2942">
        <w:t>m</w:t>
      </w:r>
      <w:r w:rsidR="00FC1D49">
        <w:t xml:space="preserve"> to disclose this information.</w:t>
      </w:r>
    </w:p>
    <w:p w14:paraId="3FE6F57D" w14:textId="49DF56BC" w:rsidR="00977824" w:rsidRPr="00E11712" w:rsidRDefault="00977824" w:rsidP="00DF343F">
      <w:r>
        <w:rPr>
          <w:i/>
        </w:rPr>
        <w:t>Weighing risks and benefits</w:t>
      </w:r>
      <w:r w:rsidR="00FD3076">
        <w:rPr>
          <w:i/>
        </w:rPr>
        <w:t xml:space="preserve">: </w:t>
      </w:r>
      <w:r w:rsidR="00A16342">
        <w:t>The principles of non-</w:t>
      </w:r>
      <w:r w:rsidR="005A3E66">
        <w:t>maleficence</w:t>
      </w:r>
      <w:r w:rsidR="00A16342">
        <w:t xml:space="preserve"> and </w:t>
      </w:r>
      <w:r w:rsidR="005A3E66">
        <w:t>beneficence</w:t>
      </w:r>
      <w:r w:rsidR="00A16342">
        <w:t xml:space="preserve"> could be taken to entail that </w:t>
      </w:r>
      <w:r w:rsidR="001E2942">
        <w:t xml:space="preserve">the </w:t>
      </w:r>
      <w:r w:rsidR="00A16342">
        <w:t xml:space="preserve">risks of harm should be outweighed (perhaps substantially) by </w:t>
      </w:r>
      <w:r w:rsidR="001E2942">
        <w:t xml:space="preserve">the </w:t>
      </w:r>
      <w:r w:rsidR="00A16342">
        <w:t>probable benefits before a genetic test is accepted into general practice. Thus, relevant factors include the predictive value of the test</w:t>
      </w:r>
      <w:r w:rsidR="001E2942">
        <w:t>,</w:t>
      </w:r>
      <w:r w:rsidR="00A16342">
        <w:t xml:space="preserve"> the benefits and harms provided by interventions associated with the test (amniocentesis or CVS) and with a positive test result (TOP)</w:t>
      </w:r>
      <w:r w:rsidR="001E2942">
        <w:t>,</w:t>
      </w:r>
      <w:r w:rsidR="00A16342">
        <w:t xml:space="preserve"> and the availability and acceptability of those interventions.</w:t>
      </w:r>
    </w:p>
    <w:p w14:paraId="1A649414" w14:textId="73D59D77" w:rsidR="00070FEA" w:rsidRPr="00A16342" w:rsidRDefault="00FC1D49" w:rsidP="00DF343F">
      <w:r>
        <w:rPr>
          <w:i/>
        </w:rPr>
        <w:lastRenderedPageBreak/>
        <w:t>Ethical analysis c</w:t>
      </w:r>
      <w:r w:rsidR="00977824">
        <w:rPr>
          <w:i/>
        </w:rPr>
        <w:t>onclusions</w:t>
      </w:r>
      <w:r w:rsidR="00FD3076">
        <w:rPr>
          <w:i/>
        </w:rPr>
        <w:t xml:space="preserve">: </w:t>
      </w:r>
      <w:r w:rsidR="00A16342">
        <w:t xml:space="preserve">Prenatal genetic </w:t>
      </w:r>
      <w:r w:rsidR="00FD37D3" w:rsidRPr="00FD37D3">
        <w:t>CFTR</w:t>
      </w:r>
      <w:r w:rsidR="00A16342">
        <w:t xml:space="preserve"> mutation testing should only be offered on the MBS in conjunction with non-directive, pre- and post-test genetic counselling from accredited counsellors.</w:t>
      </w:r>
    </w:p>
    <w:p w14:paraId="1F918AAD" w14:textId="77777777" w:rsidR="00EC6CDA" w:rsidRDefault="00FD3076" w:rsidP="001D1F4E">
      <w:pPr>
        <w:pStyle w:val="Heading4"/>
      </w:pPr>
      <w:r>
        <w:t>Non-invasive prenatal diagnosis (NIPD)</w:t>
      </w:r>
    </w:p>
    <w:p w14:paraId="2D81C64C" w14:textId="2DC63C16" w:rsidR="00CC44BF" w:rsidRDefault="00F56EB6" w:rsidP="00006341">
      <w:pPr>
        <w:spacing w:after="120"/>
      </w:pPr>
      <w:r>
        <w:t xml:space="preserve">It is anticipated that non-invasive prenatal tests for CF using maternal blood will be available in the near future. </w:t>
      </w:r>
      <w:r w:rsidR="006C290B">
        <w:t>The a</w:t>
      </w:r>
      <w:r>
        <w:t xml:space="preserve">dvantages of NIPD are </w:t>
      </w:r>
      <w:r w:rsidR="006C290B">
        <w:t xml:space="preserve">that </w:t>
      </w:r>
      <w:r w:rsidR="008F3D28">
        <w:t xml:space="preserve">there is </w:t>
      </w:r>
      <w:r>
        <w:t xml:space="preserve">no </w:t>
      </w:r>
      <w:r w:rsidR="00CC44BF">
        <w:t>risk of miscarriage associated wit</w:t>
      </w:r>
      <w:r w:rsidR="008F3D28">
        <w:t>h the test, testing can occur at an</w:t>
      </w:r>
      <w:r w:rsidR="00CC44BF">
        <w:t xml:space="preserve"> earlier</w:t>
      </w:r>
      <w:r w:rsidR="00DD0B75">
        <w:t xml:space="preserve"> gestational age (7</w:t>
      </w:r>
      <w:r w:rsidR="00737564">
        <w:t>–</w:t>
      </w:r>
      <w:r w:rsidR="00DD0B75">
        <w:t>9</w:t>
      </w:r>
      <w:r w:rsidR="00737564">
        <w:t> </w:t>
      </w:r>
      <w:r w:rsidR="00DD0B75">
        <w:t>weeks)</w:t>
      </w:r>
      <w:r w:rsidR="00737564">
        <w:t>,</w:t>
      </w:r>
      <w:r w:rsidR="00DD0B75">
        <w:t xml:space="preserve"> and</w:t>
      </w:r>
      <w:r w:rsidR="00CC44BF">
        <w:t xml:space="preserve"> NIPD is less invasive than amniocentesis and CVS. NIPD is mostly seen as a positive development; however, </w:t>
      </w:r>
      <w:r w:rsidR="00737564">
        <w:t xml:space="preserve">the following </w:t>
      </w:r>
      <w:r w:rsidR="00CC44BF">
        <w:t>ethical concerns r</w:t>
      </w:r>
      <w:r w:rsidR="008F3D28">
        <w:t xml:space="preserve">egarding </w:t>
      </w:r>
      <w:r w:rsidR="00737564">
        <w:t xml:space="preserve">it </w:t>
      </w:r>
      <w:r w:rsidR="008F3D28">
        <w:t>have been raised</w:t>
      </w:r>
    </w:p>
    <w:p w14:paraId="66A114F8" w14:textId="28FBDB21" w:rsidR="00CC44BF" w:rsidRDefault="008F3D28" w:rsidP="001D1F4E">
      <w:pPr>
        <w:pStyle w:val="ListParagraph"/>
        <w:numPr>
          <w:ilvl w:val="0"/>
          <w:numId w:val="24"/>
        </w:numPr>
        <w:spacing w:after="0" w:line="276" w:lineRule="auto"/>
      </w:pPr>
      <w:r>
        <w:t>NIPD must be accurate</w:t>
      </w:r>
      <w:r w:rsidR="00737564">
        <w:t>.</w:t>
      </w:r>
    </w:p>
    <w:p w14:paraId="4CAE533F" w14:textId="16C3593E" w:rsidR="00CC44BF" w:rsidRDefault="00CC44BF" w:rsidP="001D1F4E">
      <w:pPr>
        <w:pStyle w:val="ListParagraph"/>
        <w:numPr>
          <w:ilvl w:val="0"/>
          <w:numId w:val="24"/>
        </w:numPr>
        <w:spacing w:after="0" w:line="276" w:lineRule="auto"/>
      </w:pPr>
      <w:r>
        <w:t>‘Routinisation’ of the test</w:t>
      </w:r>
      <w:r w:rsidR="00187BE6">
        <w:t xml:space="preserve"> due to it</w:t>
      </w:r>
      <w:r w:rsidR="008D34F8">
        <w:t>s non-invasiveness</w:t>
      </w:r>
      <w:r>
        <w:t xml:space="preserve"> may lead to an erosion of informed decision</w:t>
      </w:r>
      <w:r w:rsidR="00C50825">
        <w:t>-</w:t>
      </w:r>
      <w:r>
        <w:t>making</w:t>
      </w:r>
      <w:r w:rsidR="008D34F8">
        <w:t>, emphasisin</w:t>
      </w:r>
      <w:r w:rsidR="008F3D28">
        <w:t>g the importance of counselling</w:t>
      </w:r>
      <w:r w:rsidR="00737564">
        <w:t>.</w:t>
      </w:r>
    </w:p>
    <w:p w14:paraId="56BC79F7" w14:textId="5F436F52" w:rsidR="008D34F8" w:rsidRDefault="008F3D28" w:rsidP="001D1F4E">
      <w:pPr>
        <w:pStyle w:val="ListParagraph"/>
        <w:numPr>
          <w:ilvl w:val="0"/>
          <w:numId w:val="24"/>
        </w:numPr>
        <w:spacing w:after="0" w:line="276" w:lineRule="auto"/>
      </w:pPr>
      <w:r>
        <w:t>The d</w:t>
      </w:r>
      <w:r w:rsidR="008D34F8">
        <w:t>ecreased risks of testing may increase pressure on couple</w:t>
      </w:r>
      <w:r>
        <w:t>s to undertake prenatal testing</w:t>
      </w:r>
      <w:r w:rsidR="00737564">
        <w:t>.</w:t>
      </w:r>
    </w:p>
    <w:p w14:paraId="179FF005" w14:textId="16F0128C" w:rsidR="008D34F8" w:rsidRDefault="008D34F8" w:rsidP="001D1F4E">
      <w:pPr>
        <w:pStyle w:val="ListParagraph"/>
        <w:numPr>
          <w:ilvl w:val="0"/>
          <w:numId w:val="24"/>
        </w:numPr>
        <w:spacing w:after="0" w:line="276" w:lineRule="auto"/>
      </w:pPr>
      <w:r>
        <w:t>With</w:t>
      </w:r>
      <w:r w:rsidR="008F3D28">
        <w:t xml:space="preserve"> the</w:t>
      </w:r>
      <w:r>
        <w:t xml:space="preserve"> routinisation of NIPD, the expectation is that more gene disorders will be able to be </w:t>
      </w:r>
      <w:r w:rsidR="008F3D28">
        <w:t>identified</w:t>
      </w:r>
      <w:r w:rsidR="00737564">
        <w:t>,</w:t>
      </w:r>
      <w:r w:rsidR="008F3D28">
        <w:t xml:space="preserve"> </w:t>
      </w:r>
      <w:r w:rsidR="00737564">
        <w:t xml:space="preserve">which </w:t>
      </w:r>
      <w:r w:rsidR="008F3D28">
        <w:t>will</w:t>
      </w:r>
      <w:r>
        <w:t xml:space="preserve"> </w:t>
      </w:r>
      <w:r w:rsidR="008F3D28">
        <w:t>widen</w:t>
      </w:r>
      <w:r>
        <w:t xml:space="preserve"> the scope of testing</w:t>
      </w:r>
      <w:r w:rsidR="008F3D28">
        <w:t xml:space="preserve"> and</w:t>
      </w:r>
      <w:r>
        <w:t xml:space="preserve"> could lead to further difficulties in ensuring informed consent.</w:t>
      </w:r>
    </w:p>
    <w:p w14:paraId="6DC7A9E2" w14:textId="77777777" w:rsidR="00CC44BF" w:rsidRDefault="003D7CC8" w:rsidP="001D1F4E">
      <w:pPr>
        <w:pStyle w:val="Heading4"/>
      </w:pPr>
      <w:r>
        <w:t>Legal implications</w:t>
      </w:r>
    </w:p>
    <w:p w14:paraId="12B6639E" w14:textId="46385157" w:rsidR="008F3D28" w:rsidRDefault="008F3D28" w:rsidP="008F3D28">
      <w:r>
        <w:t>TOP is regulated</w:t>
      </w:r>
      <w:r w:rsidRPr="00A573A0">
        <w:t xml:space="preserve"> </w:t>
      </w:r>
      <w:r>
        <w:t xml:space="preserve">by the </w:t>
      </w:r>
      <w:r w:rsidR="00737564">
        <w:t>s</w:t>
      </w:r>
      <w:r>
        <w:t>tates/</w:t>
      </w:r>
      <w:r w:rsidR="00737564">
        <w:t>t</w:t>
      </w:r>
      <w:r>
        <w:t xml:space="preserve">erritories. Therefore, whether TOP is lawful when CF is prenatally diagnosed could differ between </w:t>
      </w:r>
      <w:r w:rsidR="00737564">
        <w:t>s</w:t>
      </w:r>
      <w:r>
        <w:t>tates/</w:t>
      </w:r>
      <w:r w:rsidR="00737564">
        <w:t>t</w:t>
      </w:r>
      <w:r>
        <w:t>erritories. This might need to be considered in the decision</w:t>
      </w:r>
      <w:r w:rsidR="0001291C">
        <w:t>-</w:t>
      </w:r>
      <w:r>
        <w:t xml:space="preserve">making process. </w:t>
      </w:r>
    </w:p>
    <w:p w14:paraId="1F4B884B" w14:textId="77777777" w:rsidR="002A26F7" w:rsidRPr="00183E4D" w:rsidRDefault="002A26F7" w:rsidP="002A26F7">
      <w:pPr>
        <w:ind w:left="414"/>
      </w:pPr>
    </w:p>
    <w:p w14:paraId="2FB855A7" w14:textId="77777777" w:rsidR="002A26F7" w:rsidRPr="00183E4D" w:rsidRDefault="002A26F7" w:rsidP="002A26F7">
      <w:pPr>
        <w:sectPr w:rsidR="002A26F7" w:rsidRPr="00183E4D" w:rsidSect="000D04B6">
          <w:headerReference w:type="even" r:id="rId21"/>
          <w:headerReference w:type="default" r:id="rId22"/>
          <w:footerReference w:type="even" r:id="rId23"/>
          <w:footerReference w:type="default" r:id="rId24"/>
          <w:headerReference w:type="first" r:id="rId25"/>
          <w:pgSz w:w="11906" w:h="16838"/>
          <w:pgMar w:top="1440" w:right="1440" w:bottom="1440" w:left="1440" w:header="720" w:footer="720" w:gutter="0"/>
          <w:paperSrc w:first="2" w:other="2"/>
          <w:pgNumType w:fmt="lowerRoman"/>
          <w:cols w:space="720"/>
          <w:docGrid w:linePitch="299"/>
        </w:sectPr>
      </w:pPr>
    </w:p>
    <w:p w14:paraId="4DBAA82E" w14:textId="77777777" w:rsidR="00553518" w:rsidRPr="00183E4D" w:rsidRDefault="003346E0" w:rsidP="00DF343F">
      <w:pPr>
        <w:pStyle w:val="Heading1"/>
      </w:pPr>
      <w:bookmarkStart w:id="98" w:name="_Toc355274699"/>
      <w:bookmarkStart w:id="99" w:name="_Ref363826811"/>
      <w:bookmarkStart w:id="100" w:name="_Toc379118061"/>
      <w:bookmarkStart w:id="101" w:name="_Toc381796437"/>
      <w:bookmarkStart w:id="102" w:name="_Toc418179877"/>
      <w:bookmarkStart w:id="103" w:name="_Toc451749499"/>
      <w:r>
        <w:lastRenderedPageBreak/>
        <w:t>Glossary and A</w:t>
      </w:r>
      <w:r w:rsidR="00553518" w:rsidRPr="00183E4D">
        <w:t>bbreviations</w:t>
      </w:r>
      <w:bookmarkEnd w:id="98"/>
      <w:bookmarkEnd w:id="99"/>
      <w:bookmarkEnd w:id="100"/>
      <w:bookmarkEnd w:id="101"/>
      <w:bookmarkEnd w:id="102"/>
      <w:r w:rsidR="00553518" w:rsidRPr="00183E4D">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and abbreviations"/>
        <w:tblDescription w:val="Glossary and abbreviations"/>
      </w:tblPr>
      <w:tblGrid>
        <w:gridCol w:w="1526"/>
        <w:gridCol w:w="8221"/>
      </w:tblGrid>
      <w:tr w:rsidR="006C290B" w:rsidRPr="00183E4D" w14:paraId="7D64AE9A" w14:textId="77777777" w:rsidTr="00DA6356">
        <w:trPr>
          <w:tblHeader/>
        </w:trPr>
        <w:tc>
          <w:tcPr>
            <w:tcW w:w="1526" w:type="dxa"/>
          </w:tcPr>
          <w:p w14:paraId="0CD2D59D" w14:textId="77777777" w:rsidR="00572689" w:rsidRPr="00F94D01" w:rsidRDefault="0045782E" w:rsidP="00DA6356">
            <w:pPr>
              <w:spacing w:line="240" w:lineRule="auto"/>
              <w:ind w:left="0"/>
              <w:jc w:val="left"/>
              <w:rPr>
                <w:b/>
              </w:rPr>
            </w:pPr>
            <w:r w:rsidRPr="00F94D01">
              <w:rPr>
                <w:b/>
              </w:rPr>
              <w:t>Acronym or term</w:t>
            </w:r>
          </w:p>
        </w:tc>
        <w:tc>
          <w:tcPr>
            <w:tcW w:w="8221" w:type="dxa"/>
          </w:tcPr>
          <w:p w14:paraId="0F59A6E7" w14:textId="77777777" w:rsidR="00572689" w:rsidRPr="00F94D01" w:rsidRDefault="0045782E" w:rsidP="00DA6356">
            <w:pPr>
              <w:spacing w:line="240" w:lineRule="auto"/>
              <w:jc w:val="left"/>
              <w:rPr>
                <w:b/>
              </w:rPr>
            </w:pPr>
            <w:r w:rsidRPr="00F94D01">
              <w:rPr>
                <w:b/>
              </w:rPr>
              <w:t>Description</w:t>
            </w:r>
          </w:p>
        </w:tc>
      </w:tr>
      <w:tr w:rsidR="006C290B" w:rsidRPr="00183E4D" w14:paraId="1F70B99B" w14:textId="77777777" w:rsidTr="00DA6356">
        <w:tc>
          <w:tcPr>
            <w:tcW w:w="1526" w:type="dxa"/>
          </w:tcPr>
          <w:p w14:paraId="1A8B3D1D" w14:textId="77777777" w:rsidR="00C57626" w:rsidRPr="00F94D01" w:rsidRDefault="00C57626" w:rsidP="00DA6356">
            <w:pPr>
              <w:spacing w:line="240" w:lineRule="auto"/>
              <w:ind w:left="0"/>
              <w:jc w:val="left"/>
            </w:pPr>
            <w:r w:rsidRPr="00F94D01">
              <w:t>ACFDR</w:t>
            </w:r>
          </w:p>
        </w:tc>
        <w:tc>
          <w:tcPr>
            <w:tcW w:w="8221" w:type="dxa"/>
          </w:tcPr>
          <w:p w14:paraId="6AB43C0D" w14:textId="77777777" w:rsidR="00C57626" w:rsidRPr="00F94D01" w:rsidRDefault="00C57626" w:rsidP="00DA6356">
            <w:pPr>
              <w:spacing w:line="240" w:lineRule="auto"/>
              <w:jc w:val="left"/>
            </w:pPr>
            <w:r w:rsidRPr="00F94D01">
              <w:t>Australian Cystic Fibrosis Data Registry</w:t>
            </w:r>
          </w:p>
        </w:tc>
      </w:tr>
      <w:tr w:rsidR="006C290B" w:rsidRPr="00183E4D" w14:paraId="17B6DFD6" w14:textId="77777777" w:rsidTr="00DA6356">
        <w:tc>
          <w:tcPr>
            <w:tcW w:w="1526" w:type="dxa"/>
          </w:tcPr>
          <w:p w14:paraId="428D44F4" w14:textId="77777777" w:rsidR="00BD2F0F" w:rsidRPr="00F94D01" w:rsidRDefault="00BD2F0F">
            <w:pPr>
              <w:spacing w:line="240" w:lineRule="auto"/>
              <w:ind w:left="0"/>
            </w:pPr>
            <w:r w:rsidRPr="00F94D01">
              <w:t>ACMG</w:t>
            </w:r>
          </w:p>
        </w:tc>
        <w:tc>
          <w:tcPr>
            <w:tcW w:w="8221" w:type="dxa"/>
          </w:tcPr>
          <w:p w14:paraId="409B0FB8" w14:textId="77777777" w:rsidR="00BD2F0F" w:rsidRPr="00F94D01" w:rsidRDefault="00BD2F0F" w:rsidP="00DA6356">
            <w:pPr>
              <w:spacing w:line="240" w:lineRule="auto"/>
              <w:jc w:val="left"/>
            </w:pPr>
            <w:r w:rsidRPr="00F94D01">
              <w:t>American College of Medical Genetics</w:t>
            </w:r>
          </w:p>
        </w:tc>
      </w:tr>
      <w:tr w:rsidR="006C290B" w:rsidRPr="00183E4D" w14:paraId="4355F26C" w14:textId="77777777" w:rsidTr="00DA6356">
        <w:tc>
          <w:tcPr>
            <w:tcW w:w="1526" w:type="dxa"/>
          </w:tcPr>
          <w:p w14:paraId="5DB5CDFC" w14:textId="77777777" w:rsidR="002E2B1C" w:rsidRPr="00F94D01" w:rsidRDefault="002E2B1C" w:rsidP="00DA6356">
            <w:pPr>
              <w:spacing w:line="240" w:lineRule="auto"/>
              <w:ind w:left="0"/>
              <w:jc w:val="left"/>
            </w:pPr>
            <w:r w:rsidRPr="00F94D01">
              <w:t>ACOG</w:t>
            </w:r>
          </w:p>
        </w:tc>
        <w:tc>
          <w:tcPr>
            <w:tcW w:w="8221" w:type="dxa"/>
          </w:tcPr>
          <w:p w14:paraId="22AC340F" w14:textId="77777777" w:rsidR="002E2B1C" w:rsidRPr="00F94D01" w:rsidRDefault="002E2B1C" w:rsidP="00DA6356">
            <w:pPr>
              <w:spacing w:line="240" w:lineRule="auto"/>
              <w:jc w:val="left"/>
              <w:rPr>
                <w:b/>
              </w:rPr>
            </w:pPr>
            <w:r w:rsidRPr="00F94D01">
              <w:t>American College of Obstetricians and Gynaecologists</w:t>
            </w:r>
          </w:p>
        </w:tc>
      </w:tr>
      <w:tr w:rsidR="006C290B" w:rsidRPr="00183E4D" w14:paraId="4F4CCD74" w14:textId="77777777" w:rsidTr="00DA6356">
        <w:tc>
          <w:tcPr>
            <w:tcW w:w="1526" w:type="dxa"/>
          </w:tcPr>
          <w:p w14:paraId="1E1F8FC1" w14:textId="3565B0BE" w:rsidR="0001291C" w:rsidRPr="00F94D01" w:rsidRDefault="0001291C">
            <w:pPr>
              <w:spacing w:line="240" w:lineRule="auto"/>
              <w:ind w:left="0"/>
              <w:jc w:val="left"/>
            </w:pPr>
            <w:r w:rsidRPr="00F94D01">
              <w:t>AHTA</w:t>
            </w:r>
          </w:p>
        </w:tc>
        <w:tc>
          <w:tcPr>
            <w:tcW w:w="8221" w:type="dxa"/>
          </w:tcPr>
          <w:p w14:paraId="3BDAADDD" w14:textId="21D2F74B" w:rsidR="0001291C" w:rsidRPr="00F94D01" w:rsidRDefault="0001291C">
            <w:pPr>
              <w:spacing w:line="240" w:lineRule="auto"/>
              <w:jc w:val="left"/>
              <w:rPr>
                <w:rFonts w:asciiTheme="minorHAnsi" w:hAnsiTheme="minorHAnsi"/>
              </w:rPr>
            </w:pPr>
            <w:r w:rsidRPr="00F94D01">
              <w:t>Adelaide Health Technology Assessment</w:t>
            </w:r>
          </w:p>
        </w:tc>
      </w:tr>
      <w:tr w:rsidR="006C290B" w:rsidRPr="00183E4D" w14:paraId="328190A5" w14:textId="77777777" w:rsidTr="00DA6356">
        <w:tc>
          <w:tcPr>
            <w:tcW w:w="1526" w:type="dxa"/>
          </w:tcPr>
          <w:p w14:paraId="5342044E" w14:textId="77777777" w:rsidR="002177EE" w:rsidRPr="00F94D01" w:rsidRDefault="002177EE" w:rsidP="00DA6356">
            <w:pPr>
              <w:spacing w:line="240" w:lineRule="auto"/>
              <w:ind w:left="0"/>
              <w:jc w:val="left"/>
            </w:pPr>
            <w:r w:rsidRPr="00F94D01">
              <w:t>ARMS</w:t>
            </w:r>
          </w:p>
        </w:tc>
        <w:tc>
          <w:tcPr>
            <w:tcW w:w="8221" w:type="dxa"/>
          </w:tcPr>
          <w:p w14:paraId="26AC13D5" w14:textId="2AB1B926" w:rsidR="002177EE" w:rsidRPr="00F94D01" w:rsidRDefault="000425B1" w:rsidP="00DA6356">
            <w:pPr>
              <w:spacing w:line="240" w:lineRule="auto"/>
              <w:jc w:val="left"/>
            </w:pPr>
            <w:r w:rsidRPr="00F94D01">
              <w:rPr>
                <w:rFonts w:asciiTheme="minorHAnsi" w:hAnsiTheme="minorHAnsi"/>
              </w:rPr>
              <w:t>a</w:t>
            </w:r>
            <w:r w:rsidR="002177EE" w:rsidRPr="00F94D01">
              <w:rPr>
                <w:rFonts w:asciiTheme="minorHAnsi" w:hAnsiTheme="minorHAnsi"/>
              </w:rPr>
              <w:t>mplification refractory mutation system</w:t>
            </w:r>
          </w:p>
        </w:tc>
      </w:tr>
      <w:tr w:rsidR="006C290B" w:rsidRPr="00183E4D" w14:paraId="75B60E13" w14:textId="77777777" w:rsidTr="00DA6356">
        <w:tc>
          <w:tcPr>
            <w:tcW w:w="1526" w:type="dxa"/>
          </w:tcPr>
          <w:p w14:paraId="2F96E19C" w14:textId="77777777" w:rsidR="002177EE" w:rsidRPr="00F94D01" w:rsidRDefault="002177EE" w:rsidP="00DA6356">
            <w:pPr>
              <w:spacing w:line="240" w:lineRule="auto"/>
              <w:ind w:left="0"/>
              <w:jc w:val="left"/>
            </w:pPr>
            <w:r w:rsidRPr="00F94D01">
              <w:t>ASOH</w:t>
            </w:r>
          </w:p>
        </w:tc>
        <w:tc>
          <w:tcPr>
            <w:tcW w:w="8221" w:type="dxa"/>
          </w:tcPr>
          <w:p w14:paraId="4A59E514" w14:textId="7F18ADAF" w:rsidR="002177EE" w:rsidRPr="00F94D01" w:rsidRDefault="000425B1" w:rsidP="00DA6356">
            <w:pPr>
              <w:spacing w:line="240" w:lineRule="auto"/>
              <w:jc w:val="left"/>
              <w:rPr>
                <w:rFonts w:asciiTheme="minorHAnsi" w:hAnsiTheme="minorHAnsi"/>
              </w:rPr>
            </w:pPr>
            <w:r w:rsidRPr="00F94D01">
              <w:rPr>
                <w:rFonts w:asciiTheme="minorHAnsi" w:hAnsiTheme="minorHAnsi"/>
              </w:rPr>
              <w:t>a</w:t>
            </w:r>
            <w:r w:rsidR="002177EE" w:rsidRPr="00F94D01">
              <w:rPr>
                <w:rFonts w:asciiTheme="minorHAnsi" w:hAnsiTheme="minorHAnsi"/>
              </w:rPr>
              <w:t>llele-specific oligonucleotide hybridisation</w:t>
            </w:r>
          </w:p>
        </w:tc>
      </w:tr>
      <w:tr w:rsidR="006C290B" w:rsidRPr="00183E4D" w14:paraId="21B100BF" w14:textId="77777777" w:rsidTr="00DA6356">
        <w:tc>
          <w:tcPr>
            <w:tcW w:w="1526" w:type="dxa"/>
          </w:tcPr>
          <w:p w14:paraId="6446D8A0" w14:textId="77777777" w:rsidR="00023360" w:rsidRPr="00F94D01" w:rsidRDefault="00023360" w:rsidP="00DA6356">
            <w:pPr>
              <w:spacing w:line="240" w:lineRule="auto"/>
              <w:ind w:left="0"/>
              <w:jc w:val="left"/>
            </w:pPr>
            <w:r w:rsidRPr="00F94D01">
              <w:t>BDI</w:t>
            </w:r>
          </w:p>
        </w:tc>
        <w:tc>
          <w:tcPr>
            <w:tcW w:w="8221" w:type="dxa"/>
          </w:tcPr>
          <w:p w14:paraId="0CF1575B" w14:textId="77777777" w:rsidR="00023360" w:rsidRPr="00F94D01" w:rsidRDefault="00023360" w:rsidP="00DA6356">
            <w:pPr>
              <w:spacing w:line="240" w:lineRule="auto"/>
              <w:jc w:val="left"/>
              <w:rPr>
                <w:rFonts w:asciiTheme="minorHAnsi" w:hAnsiTheme="minorHAnsi"/>
              </w:rPr>
            </w:pPr>
            <w:r w:rsidRPr="00F94D01">
              <w:rPr>
                <w:rFonts w:asciiTheme="minorHAnsi" w:hAnsiTheme="minorHAnsi"/>
              </w:rPr>
              <w:t>Beck Depression Inventory</w:t>
            </w:r>
          </w:p>
        </w:tc>
      </w:tr>
      <w:tr w:rsidR="006C290B" w:rsidRPr="00183E4D" w14:paraId="58C39470" w14:textId="77777777" w:rsidTr="00DA6356">
        <w:tc>
          <w:tcPr>
            <w:tcW w:w="1526" w:type="dxa"/>
          </w:tcPr>
          <w:p w14:paraId="1E766C31" w14:textId="77777777" w:rsidR="002177EE" w:rsidRPr="00F94D01" w:rsidRDefault="002177EE" w:rsidP="00DA6356">
            <w:pPr>
              <w:spacing w:line="240" w:lineRule="auto"/>
              <w:ind w:left="0"/>
              <w:jc w:val="left"/>
            </w:pPr>
            <w:r w:rsidRPr="00F94D01">
              <w:t>CAVD</w:t>
            </w:r>
          </w:p>
        </w:tc>
        <w:tc>
          <w:tcPr>
            <w:tcW w:w="8221" w:type="dxa"/>
          </w:tcPr>
          <w:p w14:paraId="40214E3F" w14:textId="70CC0C54" w:rsidR="002177EE" w:rsidRPr="00F94D01" w:rsidRDefault="000425B1" w:rsidP="00DA6356">
            <w:pPr>
              <w:spacing w:line="240" w:lineRule="auto"/>
              <w:jc w:val="left"/>
              <w:rPr>
                <w:rFonts w:asciiTheme="minorHAnsi" w:hAnsiTheme="minorHAnsi"/>
              </w:rPr>
            </w:pPr>
            <w:r w:rsidRPr="00F94D01">
              <w:rPr>
                <w:rFonts w:asciiTheme="minorHAnsi" w:hAnsiTheme="minorHAnsi"/>
              </w:rPr>
              <w:t>c</w:t>
            </w:r>
            <w:r w:rsidR="002177EE" w:rsidRPr="00F94D01">
              <w:rPr>
                <w:rFonts w:asciiTheme="minorHAnsi" w:hAnsiTheme="minorHAnsi"/>
              </w:rPr>
              <w:t>ongenital absence of the vas deference</w:t>
            </w:r>
          </w:p>
        </w:tc>
      </w:tr>
      <w:tr w:rsidR="006C290B" w:rsidRPr="00183E4D" w14:paraId="7BFB4DFA" w14:textId="77777777" w:rsidTr="00DA6356">
        <w:tc>
          <w:tcPr>
            <w:tcW w:w="1526" w:type="dxa"/>
          </w:tcPr>
          <w:p w14:paraId="62226673" w14:textId="77777777" w:rsidR="00C57626" w:rsidRPr="00F94D01" w:rsidRDefault="00C57626" w:rsidP="00DA6356">
            <w:pPr>
              <w:spacing w:line="240" w:lineRule="auto"/>
              <w:ind w:left="0"/>
              <w:jc w:val="left"/>
            </w:pPr>
            <w:r w:rsidRPr="00F94D01">
              <w:t>CBAVD</w:t>
            </w:r>
          </w:p>
        </w:tc>
        <w:tc>
          <w:tcPr>
            <w:tcW w:w="8221" w:type="dxa"/>
          </w:tcPr>
          <w:p w14:paraId="5CC13AD8" w14:textId="5F01F929" w:rsidR="00C57626" w:rsidRPr="00F94D01" w:rsidRDefault="000425B1" w:rsidP="00DA6356">
            <w:pPr>
              <w:spacing w:line="240" w:lineRule="auto"/>
              <w:jc w:val="left"/>
            </w:pPr>
            <w:r w:rsidRPr="00F94D01">
              <w:t>c</w:t>
            </w:r>
            <w:r w:rsidR="002E2B1C" w:rsidRPr="00F94D01">
              <w:t>ongenital b</w:t>
            </w:r>
            <w:r w:rsidR="00C57626" w:rsidRPr="00F94D01">
              <w:t>ilate</w:t>
            </w:r>
            <w:r w:rsidR="002E2B1C" w:rsidRPr="00F94D01">
              <w:t>ral absence of the vas d</w:t>
            </w:r>
            <w:r w:rsidR="00C57626" w:rsidRPr="00F94D01">
              <w:t>eferens</w:t>
            </w:r>
          </w:p>
        </w:tc>
      </w:tr>
      <w:tr w:rsidR="006C290B" w:rsidRPr="00183E4D" w14:paraId="28DEA107" w14:textId="77777777" w:rsidTr="00DA6356">
        <w:tc>
          <w:tcPr>
            <w:tcW w:w="1526" w:type="dxa"/>
          </w:tcPr>
          <w:p w14:paraId="72EB6408" w14:textId="77777777" w:rsidR="00023360" w:rsidRPr="00F94D01" w:rsidRDefault="00023360" w:rsidP="00DA6356">
            <w:pPr>
              <w:spacing w:line="240" w:lineRule="auto"/>
              <w:ind w:left="0"/>
              <w:jc w:val="left"/>
            </w:pPr>
            <w:r w:rsidRPr="00F94D01">
              <w:t>CES-D</w:t>
            </w:r>
          </w:p>
        </w:tc>
        <w:tc>
          <w:tcPr>
            <w:tcW w:w="8221" w:type="dxa"/>
          </w:tcPr>
          <w:p w14:paraId="4B697C9E" w14:textId="77777777" w:rsidR="00023360" w:rsidRPr="00F94D01" w:rsidRDefault="00023360" w:rsidP="00DA6356">
            <w:pPr>
              <w:spacing w:line="240" w:lineRule="auto"/>
              <w:jc w:val="left"/>
            </w:pPr>
            <w:r w:rsidRPr="00F94D01">
              <w:t>Center for Epidemiologic Studies – Depression scale</w:t>
            </w:r>
          </w:p>
        </w:tc>
      </w:tr>
      <w:tr w:rsidR="006C290B" w:rsidRPr="00183E4D" w14:paraId="1BAE692E" w14:textId="77777777" w:rsidTr="00DA6356">
        <w:tc>
          <w:tcPr>
            <w:tcW w:w="1526" w:type="dxa"/>
          </w:tcPr>
          <w:p w14:paraId="7FD44508" w14:textId="77777777" w:rsidR="00C57626" w:rsidRPr="00F94D01" w:rsidRDefault="00C57626" w:rsidP="00DA6356">
            <w:pPr>
              <w:spacing w:line="240" w:lineRule="auto"/>
              <w:ind w:left="0"/>
              <w:jc w:val="left"/>
            </w:pPr>
            <w:r w:rsidRPr="00F94D01">
              <w:t>CF</w:t>
            </w:r>
          </w:p>
        </w:tc>
        <w:tc>
          <w:tcPr>
            <w:tcW w:w="8221" w:type="dxa"/>
          </w:tcPr>
          <w:p w14:paraId="0D694CA7" w14:textId="69C08377" w:rsidR="00C57626" w:rsidRPr="00F94D01" w:rsidRDefault="008800B8" w:rsidP="00DA6356">
            <w:pPr>
              <w:spacing w:line="240" w:lineRule="auto"/>
              <w:jc w:val="left"/>
            </w:pPr>
            <w:r w:rsidRPr="00DA6356">
              <w:t>c</w:t>
            </w:r>
            <w:r w:rsidR="002E2B1C" w:rsidRPr="00F94D01">
              <w:t>ystic f</w:t>
            </w:r>
            <w:r w:rsidR="00C57626" w:rsidRPr="00F94D01">
              <w:t>ibrosis</w:t>
            </w:r>
          </w:p>
        </w:tc>
      </w:tr>
      <w:tr w:rsidR="006C290B" w:rsidRPr="00183E4D" w14:paraId="161865D4" w14:textId="77777777" w:rsidTr="00DA6356">
        <w:tc>
          <w:tcPr>
            <w:tcW w:w="1526" w:type="dxa"/>
          </w:tcPr>
          <w:p w14:paraId="0D05BA45" w14:textId="07B1E720" w:rsidR="00C57626" w:rsidRPr="00F94D01" w:rsidRDefault="00FD37D3" w:rsidP="00DA6356">
            <w:pPr>
              <w:spacing w:line="240" w:lineRule="auto"/>
              <w:ind w:left="0"/>
              <w:jc w:val="left"/>
            </w:pPr>
            <w:r w:rsidRPr="00F94D01">
              <w:t>CFTR</w:t>
            </w:r>
          </w:p>
        </w:tc>
        <w:tc>
          <w:tcPr>
            <w:tcW w:w="8221" w:type="dxa"/>
          </w:tcPr>
          <w:p w14:paraId="2FC79128" w14:textId="198069D0" w:rsidR="00C57626" w:rsidRPr="00F94D01" w:rsidRDefault="008800B8" w:rsidP="00DA6356">
            <w:pPr>
              <w:spacing w:line="240" w:lineRule="auto"/>
              <w:jc w:val="left"/>
            </w:pPr>
            <w:r w:rsidRPr="00DA6356">
              <w:t>c</w:t>
            </w:r>
            <w:r w:rsidR="002E2B1C" w:rsidRPr="00F94D01">
              <w:t>ystic fibrosis transmembrane conductance r</w:t>
            </w:r>
            <w:r w:rsidR="00C57626" w:rsidRPr="00F94D01">
              <w:t>egulator</w:t>
            </w:r>
          </w:p>
        </w:tc>
      </w:tr>
      <w:tr w:rsidR="006C290B" w:rsidRPr="00183E4D" w14:paraId="61A72917" w14:textId="77777777" w:rsidTr="00DA6356">
        <w:tc>
          <w:tcPr>
            <w:tcW w:w="1526" w:type="dxa"/>
          </w:tcPr>
          <w:p w14:paraId="410735A1" w14:textId="77777777" w:rsidR="00730F86" w:rsidRPr="00F94D01" w:rsidRDefault="00730F86" w:rsidP="00DA6356">
            <w:pPr>
              <w:spacing w:line="240" w:lineRule="auto"/>
              <w:ind w:left="0"/>
              <w:jc w:val="left"/>
            </w:pPr>
            <w:r w:rsidRPr="00F94D01">
              <w:t>CI</w:t>
            </w:r>
          </w:p>
        </w:tc>
        <w:tc>
          <w:tcPr>
            <w:tcW w:w="8221" w:type="dxa"/>
          </w:tcPr>
          <w:p w14:paraId="4CA1437E" w14:textId="6E681485" w:rsidR="00730F86" w:rsidRPr="00F94D01" w:rsidRDefault="000425B1" w:rsidP="00DA6356">
            <w:pPr>
              <w:spacing w:line="240" w:lineRule="auto"/>
              <w:jc w:val="left"/>
            </w:pPr>
            <w:r w:rsidRPr="00F94D01">
              <w:t>c</w:t>
            </w:r>
            <w:r w:rsidR="00730F86" w:rsidRPr="00F94D01">
              <w:t>onfidence interval</w:t>
            </w:r>
          </w:p>
        </w:tc>
      </w:tr>
      <w:tr w:rsidR="006C290B" w:rsidRPr="00183E4D" w14:paraId="55D03D7F" w14:textId="77777777" w:rsidTr="00DA6356">
        <w:tc>
          <w:tcPr>
            <w:tcW w:w="1526" w:type="dxa"/>
          </w:tcPr>
          <w:p w14:paraId="64E03BE8" w14:textId="77777777" w:rsidR="00730F86" w:rsidRPr="00F94D01" w:rsidRDefault="00730F86" w:rsidP="00DA6356">
            <w:pPr>
              <w:spacing w:line="240" w:lineRule="auto"/>
              <w:ind w:left="0"/>
              <w:jc w:val="left"/>
            </w:pPr>
            <w:r w:rsidRPr="00F94D01">
              <w:t>CVS</w:t>
            </w:r>
          </w:p>
        </w:tc>
        <w:tc>
          <w:tcPr>
            <w:tcW w:w="8221" w:type="dxa"/>
          </w:tcPr>
          <w:p w14:paraId="09672A59" w14:textId="29E828DB" w:rsidR="00730F86" w:rsidRPr="00F94D01" w:rsidRDefault="000425B1" w:rsidP="00DA6356">
            <w:pPr>
              <w:spacing w:line="240" w:lineRule="auto"/>
              <w:jc w:val="left"/>
            </w:pPr>
            <w:r w:rsidRPr="00F94D01">
              <w:t>c</w:t>
            </w:r>
            <w:r w:rsidR="00730F86" w:rsidRPr="00F94D01">
              <w:t>horionic villus sampling</w:t>
            </w:r>
          </w:p>
        </w:tc>
      </w:tr>
      <w:tr w:rsidR="006C290B" w:rsidRPr="00183E4D" w14:paraId="782597E9" w14:textId="77777777" w:rsidTr="00DA6356">
        <w:tc>
          <w:tcPr>
            <w:tcW w:w="1526" w:type="dxa"/>
          </w:tcPr>
          <w:p w14:paraId="30D40E93" w14:textId="77777777" w:rsidR="002177EE" w:rsidRPr="00F94D01" w:rsidRDefault="002177EE" w:rsidP="00DA6356">
            <w:pPr>
              <w:spacing w:line="240" w:lineRule="auto"/>
              <w:ind w:left="0"/>
              <w:jc w:val="left"/>
            </w:pPr>
            <w:r w:rsidRPr="00F94D01">
              <w:t>DGGE</w:t>
            </w:r>
          </w:p>
        </w:tc>
        <w:tc>
          <w:tcPr>
            <w:tcW w:w="8221" w:type="dxa"/>
          </w:tcPr>
          <w:p w14:paraId="523FE449" w14:textId="4A741AAC" w:rsidR="002177EE" w:rsidRPr="00F94D01" w:rsidRDefault="000425B1" w:rsidP="00DA6356">
            <w:pPr>
              <w:spacing w:line="240" w:lineRule="auto"/>
              <w:jc w:val="left"/>
            </w:pPr>
            <w:r w:rsidRPr="00F94D01">
              <w:rPr>
                <w:rFonts w:asciiTheme="minorHAnsi" w:hAnsiTheme="minorHAnsi"/>
              </w:rPr>
              <w:t>d</w:t>
            </w:r>
            <w:r w:rsidR="002177EE" w:rsidRPr="00F94D01">
              <w:rPr>
                <w:rFonts w:asciiTheme="minorHAnsi" w:hAnsiTheme="minorHAnsi"/>
              </w:rPr>
              <w:t>enaturing gradient gel electrophoresis</w:t>
            </w:r>
          </w:p>
        </w:tc>
      </w:tr>
      <w:tr w:rsidR="006C290B" w:rsidRPr="00183E4D" w14:paraId="4CD241F5" w14:textId="77777777" w:rsidTr="00DA6356">
        <w:tc>
          <w:tcPr>
            <w:tcW w:w="1526" w:type="dxa"/>
          </w:tcPr>
          <w:p w14:paraId="5541CC37" w14:textId="77777777" w:rsidR="002177EE" w:rsidRPr="00F94D01" w:rsidRDefault="002177EE" w:rsidP="00DA6356">
            <w:pPr>
              <w:spacing w:line="240" w:lineRule="auto"/>
              <w:ind w:left="0"/>
              <w:jc w:val="left"/>
            </w:pPr>
            <w:r w:rsidRPr="00F94D01">
              <w:t>DHPLC</w:t>
            </w:r>
          </w:p>
        </w:tc>
        <w:tc>
          <w:tcPr>
            <w:tcW w:w="8221" w:type="dxa"/>
          </w:tcPr>
          <w:p w14:paraId="58443C83" w14:textId="63300C67" w:rsidR="002177EE" w:rsidRPr="00F94D01" w:rsidRDefault="000425B1" w:rsidP="00DA6356">
            <w:pPr>
              <w:spacing w:line="240" w:lineRule="auto"/>
              <w:jc w:val="left"/>
            </w:pPr>
            <w:r w:rsidRPr="00F94D01">
              <w:rPr>
                <w:rFonts w:asciiTheme="minorHAnsi" w:hAnsiTheme="minorHAnsi"/>
              </w:rPr>
              <w:t>d</w:t>
            </w:r>
            <w:r w:rsidR="002177EE" w:rsidRPr="00F94D01">
              <w:rPr>
                <w:rFonts w:asciiTheme="minorHAnsi" w:hAnsiTheme="minorHAnsi"/>
              </w:rPr>
              <w:t>enaturing high performance liquid chromatography</w:t>
            </w:r>
          </w:p>
        </w:tc>
      </w:tr>
      <w:tr w:rsidR="006C290B" w:rsidRPr="00183E4D" w14:paraId="34FDB1F3" w14:textId="77777777" w:rsidTr="00DA6356">
        <w:tc>
          <w:tcPr>
            <w:tcW w:w="1526" w:type="dxa"/>
          </w:tcPr>
          <w:p w14:paraId="39394213" w14:textId="77777777" w:rsidR="002177EE" w:rsidRPr="00F94D01" w:rsidRDefault="002177EE" w:rsidP="00DA6356">
            <w:pPr>
              <w:spacing w:line="240" w:lineRule="auto"/>
              <w:ind w:left="0"/>
              <w:jc w:val="left"/>
            </w:pPr>
            <w:r w:rsidRPr="00F94D01">
              <w:t>DNA</w:t>
            </w:r>
          </w:p>
        </w:tc>
        <w:tc>
          <w:tcPr>
            <w:tcW w:w="8221" w:type="dxa"/>
          </w:tcPr>
          <w:p w14:paraId="64A8A638" w14:textId="4558B60A" w:rsidR="002177EE" w:rsidRPr="00F94D01" w:rsidRDefault="000425B1" w:rsidP="00DA6356">
            <w:pPr>
              <w:spacing w:line="240" w:lineRule="auto"/>
              <w:jc w:val="left"/>
            </w:pPr>
            <w:r w:rsidRPr="00F94D01">
              <w:t>d</w:t>
            </w:r>
            <w:r w:rsidR="002177EE" w:rsidRPr="00F94D01">
              <w:t>eoxyribonucleic acid</w:t>
            </w:r>
          </w:p>
        </w:tc>
      </w:tr>
      <w:tr w:rsidR="006C290B" w:rsidRPr="00183E4D" w14:paraId="31A096B7" w14:textId="77777777" w:rsidTr="00DA6356">
        <w:tc>
          <w:tcPr>
            <w:tcW w:w="1526" w:type="dxa"/>
          </w:tcPr>
          <w:p w14:paraId="03A07792" w14:textId="77777777" w:rsidR="00023360" w:rsidRPr="00F94D01" w:rsidRDefault="00023360" w:rsidP="00DA6356">
            <w:pPr>
              <w:spacing w:line="240" w:lineRule="auto"/>
              <w:ind w:left="0"/>
              <w:jc w:val="left"/>
            </w:pPr>
            <w:r w:rsidRPr="00F94D01">
              <w:t>eMAP</w:t>
            </w:r>
          </w:p>
        </w:tc>
        <w:tc>
          <w:tcPr>
            <w:tcW w:w="8221" w:type="dxa"/>
          </w:tcPr>
          <w:p w14:paraId="3E17C9AC" w14:textId="4E4AAF34" w:rsidR="00023360" w:rsidRPr="00F94D01" w:rsidRDefault="000425B1" w:rsidP="00DA6356">
            <w:pPr>
              <w:spacing w:line="240" w:lineRule="auto"/>
              <w:jc w:val="left"/>
            </w:pPr>
            <w:r w:rsidRPr="00F94D01">
              <w:t>e</w:t>
            </w:r>
            <w:r w:rsidR="00023360" w:rsidRPr="00F94D01">
              <w:t>longation</w:t>
            </w:r>
            <w:r w:rsidR="0001291C" w:rsidRPr="00F94D01">
              <w:t>-</w:t>
            </w:r>
            <w:r w:rsidR="00023360" w:rsidRPr="00F94D01">
              <w:t>mediated multiplexed analysis of polymorphisms</w:t>
            </w:r>
          </w:p>
        </w:tc>
      </w:tr>
      <w:tr w:rsidR="006C290B" w:rsidRPr="00183E4D" w14:paraId="73C136D4" w14:textId="77777777" w:rsidTr="00DA6356">
        <w:tc>
          <w:tcPr>
            <w:tcW w:w="1526" w:type="dxa"/>
          </w:tcPr>
          <w:p w14:paraId="78C2AC0A" w14:textId="77777777" w:rsidR="00023360" w:rsidRPr="00F94D01" w:rsidRDefault="00023360" w:rsidP="00DA6356">
            <w:pPr>
              <w:spacing w:line="240" w:lineRule="auto"/>
              <w:ind w:left="0"/>
              <w:jc w:val="left"/>
            </w:pPr>
            <w:r w:rsidRPr="00F94D01">
              <w:t>EPDS</w:t>
            </w:r>
          </w:p>
        </w:tc>
        <w:tc>
          <w:tcPr>
            <w:tcW w:w="8221" w:type="dxa"/>
          </w:tcPr>
          <w:p w14:paraId="5F4EF95C" w14:textId="77777777" w:rsidR="00023360" w:rsidRPr="00F94D01" w:rsidRDefault="00023360" w:rsidP="00DA6356">
            <w:pPr>
              <w:spacing w:line="240" w:lineRule="auto"/>
              <w:jc w:val="left"/>
            </w:pPr>
            <w:r w:rsidRPr="00F94D01">
              <w:t>Edinburgh Postnatal Depression Scale</w:t>
            </w:r>
          </w:p>
        </w:tc>
      </w:tr>
      <w:tr w:rsidR="006C290B" w:rsidRPr="00183E4D" w14:paraId="255510C2" w14:textId="77777777" w:rsidTr="00DA6356">
        <w:tc>
          <w:tcPr>
            <w:tcW w:w="1526" w:type="dxa"/>
          </w:tcPr>
          <w:p w14:paraId="1DC79D56" w14:textId="5727F1E2" w:rsidR="00720E10" w:rsidRPr="00DA6356" w:rsidRDefault="00720E10" w:rsidP="000227A0">
            <w:pPr>
              <w:spacing w:line="240" w:lineRule="auto"/>
              <w:ind w:left="0"/>
              <w:jc w:val="left"/>
            </w:pPr>
            <w:r w:rsidRPr="00F94D01">
              <w:t>F508del</w:t>
            </w:r>
          </w:p>
        </w:tc>
        <w:tc>
          <w:tcPr>
            <w:tcW w:w="8221" w:type="dxa"/>
          </w:tcPr>
          <w:p w14:paraId="11DADC91" w14:textId="77777777" w:rsidR="000227A0" w:rsidRDefault="00720E10" w:rsidP="000227A0">
            <w:pPr>
              <w:spacing w:line="240" w:lineRule="auto"/>
              <w:jc w:val="left"/>
            </w:pPr>
            <w:r w:rsidRPr="00F94D01">
              <w:t xml:space="preserve">a three base-pair deletion that results in the loss of phenylalanine at </w:t>
            </w:r>
          </w:p>
          <w:p w14:paraId="0DEBACE9" w14:textId="144C652B" w:rsidR="00720E10" w:rsidRPr="00DA6356" w:rsidRDefault="00720E10" w:rsidP="000227A0">
            <w:pPr>
              <w:spacing w:line="240" w:lineRule="auto"/>
              <w:jc w:val="left"/>
            </w:pPr>
            <w:r w:rsidRPr="00F94D01">
              <w:t>position 508</w:t>
            </w:r>
          </w:p>
        </w:tc>
      </w:tr>
      <w:tr w:rsidR="006C290B" w:rsidRPr="00183E4D" w14:paraId="58C59F61" w14:textId="77777777" w:rsidTr="00DA6356">
        <w:tc>
          <w:tcPr>
            <w:tcW w:w="1526" w:type="dxa"/>
          </w:tcPr>
          <w:p w14:paraId="56615F3F" w14:textId="77777777" w:rsidR="00730F86" w:rsidRPr="00F94D01" w:rsidRDefault="00730F86" w:rsidP="00DA6356">
            <w:pPr>
              <w:spacing w:line="240" w:lineRule="auto"/>
              <w:ind w:left="0"/>
              <w:jc w:val="left"/>
            </w:pPr>
            <w:r w:rsidRPr="00F94D01">
              <w:t>FEB</w:t>
            </w:r>
          </w:p>
        </w:tc>
        <w:tc>
          <w:tcPr>
            <w:tcW w:w="8221" w:type="dxa"/>
          </w:tcPr>
          <w:p w14:paraId="708FD404" w14:textId="22303363" w:rsidR="00730F86" w:rsidRPr="00F94D01" w:rsidRDefault="000425B1" w:rsidP="00DA6356">
            <w:pPr>
              <w:spacing w:line="240" w:lineRule="auto"/>
              <w:jc w:val="left"/>
            </w:pPr>
            <w:r w:rsidRPr="00F94D01">
              <w:t>f</w:t>
            </w:r>
            <w:r w:rsidR="00730F86" w:rsidRPr="00F94D01">
              <w:t>etal echogenic bowel</w:t>
            </w:r>
          </w:p>
        </w:tc>
      </w:tr>
      <w:tr w:rsidR="006C290B" w:rsidRPr="00183E4D" w14:paraId="6F149853" w14:textId="77777777" w:rsidTr="00DA6356">
        <w:tc>
          <w:tcPr>
            <w:tcW w:w="1526" w:type="dxa"/>
          </w:tcPr>
          <w:p w14:paraId="308024E1" w14:textId="77777777" w:rsidR="00023360" w:rsidRPr="00F94D01" w:rsidRDefault="00023360" w:rsidP="00DA6356">
            <w:pPr>
              <w:spacing w:line="240" w:lineRule="auto"/>
              <w:ind w:left="0"/>
              <w:jc w:val="left"/>
            </w:pPr>
            <w:r w:rsidRPr="00F94D01">
              <w:t>HADS</w:t>
            </w:r>
          </w:p>
        </w:tc>
        <w:tc>
          <w:tcPr>
            <w:tcW w:w="8221" w:type="dxa"/>
          </w:tcPr>
          <w:p w14:paraId="3F13A102" w14:textId="77777777" w:rsidR="00023360" w:rsidRPr="00F94D01" w:rsidRDefault="00023360" w:rsidP="00DA6356">
            <w:pPr>
              <w:spacing w:line="240" w:lineRule="auto"/>
              <w:jc w:val="left"/>
            </w:pPr>
            <w:r w:rsidRPr="00F94D01">
              <w:t>Hospital Anxiety and Depression Scale</w:t>
            </w:r>
          </w:p>
        </w:tc>
      </w:tr>
      <w:tr w:rsidR="006C290B" w:rsidRPr="00183E4D" w14:paraId="4F29B704" w14:textId="77777777" w:rsidTr="00DA6356">
        <w:tc>
          <w:tcPr>
            <w:tcW w:w="1526" w:type="dxa"/>
          </w:tcPr>
          <w:p w14:paraId="042496C0" w14:textId="77777777" w:rsidR="0052270C" w:rsidRPr="00F94D01" w:rsidRDefault="0052270C" w:rsidP="00DA6356">
            <w:pPr>
              <w:spacing w:line="240" w:lineRule="auto"/>
              <w:ind w:left="0"/>
              <w:jc w:val="left"/>
            </w:pPr>
            <w:r w:rsidRPr="00F94D01">
              <w:lastRenderedPageBreak/>
              <w:t>HESP</w:t>
            </w:r>
          </w:p>
        </w:tc>
        <w:tc>
          <w:tcPr>
            <w:tcW w:w="8221" w:type="dxa"/>
          </w:tcPr>
          <w:p w14:paraId="0AB7FB20" w14:textId="77777777" w:rsidR="0052270C" w:rsidRPr="00F94D01" w:rsidRDefault="0052270C" w:rsidP="00DA6356">
            <w:pPr>
              <w:spacing w:line="240" w:lineRule="auto"/>
              <w:jc w:val="left"/>
            </w:pPr>
            <w:r w:rsidRPr="00F94D01">
              <w:t>Health Expert Standing Panel</w:t>
            </w:r>
          </w:p>
        </w:tc>
      </w:tr>
      <w:tr w:rsidR="006C290B" w:rsidRPr="00183E4D" w14:paraId="31E93A3D" w14:textId="77777777" w:rsidTr="00DA6356">
        <w:tc>
          <w:tcPr>
            <w:tcW w:w="1526" w:type="dxa"/>
          </w:tcPr>
          <w:p w14:paraId="0E5EFDBB" w14:textId="77777777" w:rsidR="00BD2F0F" w:rsidRPr="00F94D01" w:rsidRDefault="00BD2F0F" w:rsidP="00DA6356">
            <w:pPr>
              <w:spacing w:line="240" w:lineRule="auto"/>
              <w:ind w:left="0"/>
              <w:jc w:val="left"/>
            </w:pPr>
            <w:r w:rsidRPr="00F94D01">
              <w:t>HGSA</w:t>
            </w:r>
          </w:p>
        </w:tc>
        <w:tc>
          <w:tcPr>
            <w:tcW w:w="8221" w:type="dxa"/>
          </w:tcPr>
          <w:p w14:paraId="6D38AA46" w14:textId="77777777" w:rsidR="00BD2F0F" w:rsidRPr="00F94D01" w:rsidRDefault="00BD2F0F" w:rsidP="00DA6356">
            <w:pPr>
              <w:spacing w:line="240" w:lineRule="auto"/>
              <w:jc w:val="left"/>
            </w:pPr>
            <w:r w:rsidRPr="00F94D01">
              <w:t>Human Genetics Society of Australia</w:t>
            </w:r>
          </w:p>
        </w:tc>
      </w:tr>
      <w:tr w:rsidR="006C290B" w:rsidRPr="00183E4D" w14:paraId="14C7E50F" w14:textId="77777777" w:rsidTr="00DA6356">
        <w:tc>
          <w:tcPr>
            <w:tcW w:w="1526" w:type="dxa"/>
          </w:tcPr>
          <w:p w14:paraId="5B6C04E9" w14:textId="77777777" w:rsidR="0052270C" w:rsidRPr="00F94D01" w:rsidRDefault="0052270C" w:rsidP="00DA6356">
            <w:pPr>
              <w:spacing w:line="240" w:lineRule="auto"/>
              <w:ind w:left="0"/>
              <w:jc w:val="left"/>
            </w:pPr>
            <w:r w:rsidRPr="00F94D01">
              <w:t>HTA</w:t>
            </w:r>
          </w:p>
        </w:tc>
        <w:tc>
          <w:tcPr>
            <w:tcW w:w="8221" w:type="dxa"/>
          </w:tcPr>
          <w:p w14:paraId="5A0534D0" w14:textId="77777777" w:rsidR="0052270C" w:rsidRPr="00F94D01" w:rsidRDefault="002E2B1C" w:rsidP="00DA6356">
            <w:pPr>
              <w:spacing w:line="240" w:lineRule="auto"/>
              <w:jc w:val="left"/>
            </w:pPr>
            <w:r w:rsidRPr="00F94D01">
              <w:t>h</w:t>
            </w:r>
            <w:r w:rsidR="00B56B5D" w:rsidRPr="00F94D01">
              <w:t>ealth technology a</w:t>
            </w:r>
            <w:r w:rsidR="0052270C" w:rsidRPr="00F94D01">
              <w:t>ssessment</w:t>
            </w:r>
          </w:p>
        </w:tc>
      </w:tr>
      <w:tr w:rsidR="006C290B" w:rsidRPr="00183E4D" w14:paraId="14CBFA59" w14:textId="77777777" w:rsidTr="00DA6356">
        <w:tc>
          <w:tcPr>
            <w:tcW w:w="1526" w:type="dxa"/>
          </w:tcPr>
          <w:p w14:paraId="0E618164" w14:textId="77777777" w:rsidR="0052270C" w:rsidRPr="00F94D01" w:rsidRDefault="0052270C" w:rsidP="00DA6356">
            <w:pPr>
              <w:spacing w:line="240" w:lineRule="auto"/>
              <w:ind w:left="0"/>
              <w:jc w:val="left"/>
            </w:pPr>
            <w:r w:rsidRPr="00F94D01">
              <w:t>ICER</w:t>
            </w:r>
          </w:p>
        </w:tc>
        <w:tc>
          <w:tcPr>
            <w:tcW w:w="8221" w:type="dxa"/>
          </w:tcPr>
          <w:p w14:paraId="4DAD84C9" w14:textId="77777777" w:rsidR="0052270C" w:rsidRPr="00F94D01" w:rsidRDefault="0052270C" w:rsidP="00DA6356">
            <w:pPr>
              <w:spacing w:line="240" w:lineRule="auto"/>
              <w:jc w:val="left"/>
            </w:pPr>
            <w:r w:rsidRPr="00F94D01">
              <w:t>incremental cost-effectiveness ratio</w:t>
            </w:r>
          </w:p>
        </w:tc>
      </w:tr>
      <w:tr w:rsidR="006C290B" w:rsidRPr="00183E4D" w14:paraId="6A312078" w14:textId="77777777" w:rsidTr="00DA6356">
        <w:tc>
          <w:tcPr>
            <w:tcW w:w="1526" w:type="dxa"/>
          </w:tcPr>
          <w:p w14:paraId="704FEE50" w14:textId="77777777" w:rsidR="00023360" w:rsidRPr="00F94D01" w:rsidRDefault="00023360" w:rsidP="00DA6356">
            <w:pPr>
              <w:spacing w:line="240" w:lineRule="auto"/>
              <w:ind w:left="0"/>
              <w:jc w:val="left"/>
            </w:pPr>
            <w:r w:rsidRPr="00F94D01">
              <w:t>IES</w:t>
            </w:r>
          </w:p>
        </w:tc>
        <w:tc>
          <w:tcPr>
            <w:tcW w:w="8221" w:type="dxa"/>
          </w:tcPr>
          <w:p w14:paraId="457665ED" w14:textId="2E301A1C" w:rsidR="00023360" w:rsidRPr="00F94D01" w:rsidRDefault="000425B1" w:rsidP="00DA6356">
            <w:pPr>
              <w:spacing w:line="240" w:lineRule="auto"/>
              <w:jc w:val="left"/>
            </w:pPr>
            <w:r w:rsidRPr="00F94D01">
              <w:t>i</w:t>
            </w:r>
            <w:r w:rsidR="00023360" w:rsidRPr="00F94D01">
              <w:t>mpact of event scale</w:t>
            </w:r>
          </w:p>
        </w:tc>
      </w:tr>
      <w:tr w:rsidR="006C290B" w:rsidRPr="00183E4D" w14:paraId="505F55CF" w14:textId="77777777" w:rsidTr="00DA6356">
        <w:tc>
          <w:tcPr>
            <w:tcW w:w="1526" w:type="dxa"/>
          </w:tcPr>
          <w:p w14:paraId="79B78098" w14:textId="77777777" w:rsidR="00023360" w:rsidRPr="00F94D01" w:rsidRDefault="00023360" w:rsidP="00DA6356">
            <w:pPr>
              <w:spacing w:line="240" w:lineRule="auto"/>
              <w:ind w:left="0"/>
              <w:jc w:val="left"/>
            </w:pPr>
            <w:r w:rsidRPr="00F94D01">
              <w:t>IES-R</w:t>
            </w:r>
          </w:p>
        </w:tc>
        <w:tc>
          <w:tcPr>
            <w:tcW w:w="8221" w:type="dxa"/>
          </w:tcPr>
          <w:p w14:paraId="0FCD41BB" w14:textId="0666600B" w:rsidR="00023360" w:rsidRPr="00F94D01" w:rsidRDefault="000425B1" w:rsidP="00DA6356">
            <w:pPr>
              <w:spacing w:line="240" w:lineRule="auto"/>
              <w:jc w:val="left"/>
            </w:pPr>
            <w:r w:rsidRPr="00F94D01">
              <w:t>i</w:t>
            </w:r>
            <w:r w:rsidR="00023360" w:rsidRPr="00F94D01">
              <w:t>mpact of event scale revised</w:t>
            </w:r>
          </w:p>
        </w:tc>
      </w:tr>
      <w:tr w:rsidR="006C290B" w:rsidRPr="00183E4D" w14:paraId="368B1778" w14:textId="77777777" w:rsidTr="00DA6356">
        <w:tc>
          <w:tcPr>
            <w:tcW w:w="1526" w:type="dxa"/>
          </w:tcPr>
          <w:p w14:paraId="3E8A3E57" w14:textId="77777777" w:rsidR="00C57626" w:rsidRPr="00F94D01" w:rsidRDefault="00C57626" w:rsidP="00DA6356">
            <w:pPr>
              <w:spacing w:line="240" w:lineRule="auto"/>
              <w:ind w:left="0"/>
              <w:jc w:val="left"/>
            </w:pPr>
            <w:r w:rsidRPr="00F94D01">
              <w:t>IRT</w:t>
            </w:r>
          </w:p>
        </w:tc>
        <w:tc>
          <w:tcPr>
            <w:tcW w:w="8221" w:type="dxa"/>
          </w:tcPr>
          <w:p w14:paraId="588662DA" w14:textId="4C8D3FF7" w:rsidR="00C57626" w:rsidRPr="00F94D01" w:rsidRDefault="000425B1" w:rsidP="00DA6356">
            <w:pPr>
              <w:spacing w:line="240" w:lineRule="auto"/>
              <w:jc w:val="left"/>
            </w:pPr>
            <w:r w:rsidRPr="00F94D01">
              <w:t>i</w:t>
            </w:r>
            <w:r w:rsidR="0040509F" w:rsidRPr="00F94D01">
              <w:t>mmunoreactive t</w:t>
            </w:r>
            <w:r w:rsidR="00C57626" w:rsidRPr="00F94D01">
              <w:t>rypsinogen</w:t>
            </w:r>
          </w:p>
        </w:tc>
      </w:tr>
      <w:tr w:rsidR="006C290B" w:rsidRPr="00183E4D" w14:paraId="3234E2FF" w14:textId="77777777" w:rsidTr="00DA6356">
        <w:tc>
          <w:tcPr>
            <w:tcW w:w="1526" w:type="dxa"/>
          </w:tcPr>
          <w:p w14:paraId="7205639B" w14:textId="55D0A369" w:rsidR="000C4692" w:rsidRPr="00DA6356" w:rsidRDefault="000C4692" w:rsidP="00DA6356">
            <w:pPr>
              <w:spacing w:line="240" w:lineRule="auto"/>
              <w:ind w:left="0"/>
              <w:jc w:val="left"/>
            </w:pPr>
            <w:r w:rsidRPr="00DA6356">
              <w:t>IVF</w:t>
            </w:r>
          </w:p>
        </w:tc>
        <w:tc>
          <w:tcPr>
            <w:tcW w:w="8221" w:type="dxa"/>
          </w:tcPr>
          <w:p w14:paraId="53CB1D6E" w14:textId="31F528E7" w:rsidR="000C4692" w:rsidRPr="00DA6356" w:rsidRDefault="000C4692" w:rsidP="00DA6356">
            <w:pPr>
              <w:spacing w:line="240" w:lineRule="auto"/>
              <w:jc w:val="left"/>
            </w:pPr>
            <w:r w:rsidRPr="00F94D01">
              <w:t>in-vitro fertilisation</w:t>
            </w:r>
          </w:p>
        </w:tc>
      </w:tr>
      <w:tr w:rsidR="006C290B" w:rsidRPr="00183E4D" w14:paraId="4A733A4C" w14:textId="77777777" w:rsidTr="00DA6356">
        <w:tc>
          <w:tcPr>
            <w:tcW w:w="1526" w:type="dxa"/>
          </w:tcPr>
          <w:p w14:paraId="11101B02" w14:textId="77777777" w:rsidR="00A10FDF" w:rsidRPr="00F94D01" w:rsidRDefault="00695731" w:rsidP="00DA6356">
            <w:pPr>
              <w:spacing w:line="240" w:lineRule="auto"/>
              <w:ind w:left="0"/>
              <w:jc w:val="left"/>
            </w:pPr>
            <w:r w:rsidRPr="00F94D01">
              <w:t>MBS</w:t>
            </w:r>
          </w:p>
        </w:tc>
        <w:tc>
          <w:tcPr>
            <w:tcW w:w="8221" w:type="dxa"/>
          </w:tcPr>
          <w:p w14:paraId="31E8C8FC" w14:textId="77777777" w:rsidR="00A10FDF" w:rsidRPr="00F94D01" w:rsidRDefault="00695731" w:rsidP="00DA6356">
            <w:pPr>
              <w:spacing w:line="240" w:lineRule="auto"/>
              <w:jc w:val="left"/>
            </w:pPr>
            <w:r w:rsidRPr="00F94D01">
              <w:t>Medicare Benefits Schedule</w:t>
            </w:r>
          </w:p>
        </w:tc>
      </w:tr>
      <w:tr w:rsidR="006C290B" w:rsidRPr="00183E4D" w14:paraId="451D9086" w14:textId="77777777" w:rsidTr="00DA6356">
        <w:tc>
          <w:tcPr>
            <w:tcW w:w="1526" w:type="dxa"/>
          </w:tcPr>
          <w:p w14:paraId="41904BC7" w14:textId="77777777" w:rsidR="00C57626" w:rsidRPr="00F94D01" w:rsidRDefault="00C57626" w:rsidP="00DA6356">
            <w:pPr>
              <w:spacing w:line="240" w:lineRule="auto"/>
              <w:ind w:left="0"/>
              <w:jc w:val="left"/>
            </w:pPr>
            <w:r w:rsidRPr="00F94D01">
              <w:t>MLPA</w:t>
            </w:r>
          </w:p>
        </w:tc>
        <w:tc>
          <w:tcPr>
            <w:tcW w:w="8221" w:type="dxa"/>
          </w:tcPr>
          <w:p w14:paraId="57B7E6C9" w14:textId="77777777" w:rsidR="00C57626" w:rsidRPr="00F94D01" w:rsidRDefault="002E2B1C" w:rsidP="00DA6356">
            <w:pPr>
              <w:spacing w:line="240" w:lineRule="auto"/>
              <w:jc w:val="left"/>
            </w:pPr>
            <w:r w:rsidRPr="00F94D01">
              <w:rPr>
                <w:rFonts w:asciiTheme="minorHAnsi" w:hAnsiTheme="minorHAnsi"/>
              </w:rPr>
              <w:t>multiplex ligation-dependent probe a</w:t>
            </w:r>
            <w:r w:rsidR="00C57626" w:rsidRPr="00F94D01">
              <w:rPr>
                <w:rFonts w:asciiTheme="minorHAnsi" w:hAnsiTheme="minorHAnsi"/>
              </w:rPr>
              <w:t>mplification</w:t>
            </w:r>
          </w:p>
        </w:tc>
      </w:tr>
      <w:tr w:rsidR="006C290B" w:rsidRPr="00183E4D" w14:paraId="61E5280D" w14:textId="77777777" w:rsidTr="00DA6356">
        <w:tc>
          <w:tcPr>
            <w:tcW w:w="1526" w:type="dxa"/>
          </w:tcPr>
          <w:p w14:paraId="1A3E46EA" w14:textId="77777777" w:rsidR="00A529B5" w:rsidRPr="00F94D01" w:rsidRDefault="0052270C" w:rsidP="00DA6356">
            <w:pPr>
              <w:spacing w:line="240" w:lineRule="auto"/>
              <w:ind w:left="0"/>
              <w:jc w:val="left"/>
            </w:pPr>
            <w:r w:rsidRPr="00F94D01">
              <w:t>MSAC</w:t>
            </w:r>
          </w:p>
        </w:tc>
        <w:tc>
          <w:tcPr>
            <w:tcW w:w="8221" w:type="dxa"/>
          </w:tcPr>
          <w:p w14:paraId="62333781" w14:textId="77777777" w:rsidR="00A529B5" w:rsidRPr="00F94D01" w:rsidRDefault="0052270C" w:rsidP="00DA6356">
            <w:pPr>
              <w:spacing w:line="240" w:lineRule="auto"/>
              <w:jc w:val="left"/>
            </w:pPr>
            <w:r w:rsidRPr="00F94D01">
              <w:t>Medical Services Advisory Committee</w:t>
            </w:r>
          </w:p>
        </w:tc>
      </w:tr>
      <w:tr w:rsidR="006C290B" w:rsidRPr="00183E4D" w14:paraId="4F08C7A8" w14:textId="77777777" w:rsidTr="00DA6356">
        <w:tc>
          <w:tcPr>
            <w:tcW w:w="1526" w:type="dxa"/>
          </w:tcPr>
          <w:p w14:paraId="2F3E72E9" w14:textId="77777777" w:rsidR="002177EE" w:rsidRPr="00F94D01" w:rsidRDefault="002177EE" w:rsidP="00DA6356">
            <w:pPr>
              <w:spacing w:line="240" w:lineRule="auto"/>
              <w:ind w:left="0"/>
              <w:jc w:val="left"/>
            </w:pPr>
            <w:r w:rsidRPr="00F94D01">
              <w:t>mTTGE</w:t>
            </w:r>
          </w:p>
        </w:tc>
        <w:tc>
          <w:tcPr>
            <w:tcW w:w="8221" w:type="dxa"/>
          </w:tcPr>
          <w:p w14:paraId="09CB159C" w14:textId="61DBB88D" w:rsidR="002177EE" w:rsidRPr="00F94D01" w:rsidRDefault="000425B1" w:rsidP="00DA6356">
            <w:pPr>
              <w:spacing w:line="240" w:lineRule="auto"/>
              <w:jc w:val="left"/>
            </w:pPr>
            <w:r w:rsidRPr="00F94D01">
              <w:t>m</w:t>
            </w:r>
            <w:r w:rsidR="002177EE" w:rsidRPr="00F94D01">
              <w:t>odified temporal temperature gradient electrophoresis</w:t>
            </w:r>
          </w:p>
        </w:tc>
      </w:tr>
      <w:tr w:rsidR="006C290B" w:rsidRPr="00183E4D" w14:paraId="270CFC86" w14:textId="77777777" w:rsidTr="00DA6356">
        <w:tc>
          <w:tcPr>
            <w:tcW w:w="1526" w:type="dxa"/>
          </w:tcPr>
          <w:p w14:paraId="52590FA5" w14:textId="5529FC31" w:rsidR="000354AC" w:rsidRPr="00DA6356" w:rsidRDefault="000354AC" w:rsidP="00DA6356">
            <w:pPr>
              <w:spacing w:line="240" w:lineRule="auto"/>
              <w:ind w:left="0"/>
            </w:pPr>
            <w:r w:rsidRPr="00DA6356">
              <w:t>NBS</w:t>
            </w:r>
          </w:p>
        </w:tc>
        <w:tc>
          <w:tcPr>
            <w:tcW w:w="8221" w:type="dxa"/>
          </w:tcPr>
          <w:p w14:paraId="3DBA16E4" w14:textId="5344A23A" w:rsidR="000354AC" w:rsidRPr="00DA6356" w:rsidRDefault="000354AC" w:rsidP="00DA6356">
            <w:pPr>
              <w:spacing w:line="240" w:lineRule="auto"/>
            </w:pPr>
            <w:r w:rsidRPr="00DA6356">
              <w:t>newborn screening</w:t>
            </w:r>
          </w:p>
        </w:tc>
      </w:tr>
      <w:tr w:rsidR="006C290B" w:rsidRPr="00183E4D" w14:paraId="73D1D76C" w14:textId="77777777" w:rsidTr="00DA6356">
        <w:tc>
          <w:tcPr>
            <w:tcW w:w="1526" w:type="dxa"/>
          </w:tcPr>
          <w:p w14:paraId="1EE04489" w14:textId="77777777" w:rsidR="001521A4" w:rsidRPr="00F94D01" w:rsidRDefault="001521A4" w:rsidP="00DA6356">
            <w:pPr>
              <w:spacing w:line="240" w:lineRule="auto"/>
              <w:ind w:left="0"/>
              <w:jc w:val="left"/>
            </w:pPr>
            <w:r w:rsidRPr="00F94D01">
              <w:t>NIPD</w:t>
            </w:r>
          </w:p>
        </w:tc>
        <w:tc>
          <w:tcPr>
            <w:tcW w:w="8221" w:type="dxa"/>
          </w:tcPr>
          <w:p w14:paraId="1CB200B5" w14:textId="4543E08C" w:rsidR="001521A4" w:rsidRPr="00F94D01" w:rsidRDefault="000425B1" w:rsidP="00DA6356">
            <w:pPr>
              <w:spacing w:line="240" w:lineRule="auto"/>
              <w:jc w:val="left"/>
            </w:pPr>
            <w:r w:rsidRPr="00F94D01">
              <w:t>n</w:t>
            </w:r>
            <w:r w:rsidR="001521A4" w:rsidRPr="00F94D01">
              <w:t>on-invasive prenatal diagnosis</w:t>
            </w:r>
          </w:p>
        </w:tc>
      </w:tr>
      <w:tr w:rsidR="006C290B" w:rsidRPr="00183E4D" w14:paraId="32635065" w14:textId="77777777" w:rsidTr="00DA6356">
        <w:tc>
          <w:tcPr>
            <w:tcW w:w="1526" w:type="dxa"/>
          </w:tcPr>
          <w:p w14:paraId="773A6F4F" w14:textId="77777777" w:rsidR="002177EE" w:rsidRPr="00F94D01" w:rsidRDefault="002177EE" w:rsidP="00DA6356">
            <w:pPr>
              <w:spacing w:line="240" w:lineRule="auto"/>
              <w:ind w:left="0"/>
              <w:jc w:val="left"/>
            </w:pPr>
            <w:r w:rsidRPr="00F94D01">
              <w:t>OLA</w:t>
            </w:r>
          </w:p>
        </w:tc>
        <w:tc>
          <w:tcPr>
            <w:tcW w:w="8221" w:type="dxa"/>
          </w:tcPr>
          <w:p w14:paraId="17CD19CB" w14:textId="580A4734" w:rsidR="002177EE" w:rsidRPr="00F94D01" w:rsidRDefault="000425B1" w:rsidP="00DA6356">
            <w:pPr>
              <w:spacing w:line="240" w:lineRule="auto"/>
              <w:jc w:val="left"/>
            </w:pPr>
            <w:r w:rsidRPr="00F94D01">
              <w:t>o</w:t>
            </w:r>
            <w:r w:rsidR="002177EE" w:rsidRPr="00F94D01">
              <w:t>ligonucleotide ligation assay</w:t>
            </w:r>
          </w:p>
        </w:tc>
      </w:tr>
      <w:tr w:rsidR="006C290B" w:rsidRPr="00183E4D" w14:paraId="25CD6BCF" w14:textId="77777777" w:rsidTr="00DA6356">
        <w:tc>
          <w:tcPr>
            <w:tcW w:w="1526" w:type="dxa"/>
          </w:tcPr>
          <w:p w14:paraId="084F7E05" w14:textId="54ADAC81" w:rsidR="004F35F0" w:rsidRPr="00DA6356" w:rsidRDefault="004F35F0" w:rsidP="004F35F0">
            <w:pPr>
              <w:spacing w:line="240" w:lineRule="auto"/>
              <w:ind w:left="0"/>
              <w:jc w:val="left"/>
            </w:pPr>
            <w:r w:rsidRPr="00DA6356">
              <w:t>OR</w:t>
            </w:r>
          </w:p>
        </w:tc>
        <w:tc>
          <w:tcPr>
            <w:tcW w:w="8221" w:type="dxa"/>
          </w:tcPr>
          <w:p w14:paraId="6CA234B8" w14:textId="2A4D3F60" w:rsidR="004F35F0" w:rsidRPr="00DA6356" w:rsidRDefault="00804A37" w:rsidP="00DA6356">
            <w:pPr>
              <w:spacing w:line="240" w:lineRule="auto"/>
              <w:ind w:left="743"/>
              <w:jc w:val="left"/>
            </w:pPr>
            <w:r w:rsidRPr="00DA6356">
              <w:t>o</w:t>
            </w:r>
            <w:r w:rsidR="004F35F0" w:rsidRPr="00DA6356">
              <w:t>dds ratio</w:t>
            </w:r>
          </w:p>
        </w:tc>
      </w:tr>
      <w:tr w:rsidR="006C290B" w:rsidRPr="00183E4D" w14:paraId="61FA94F4" w14:textId="77777777" w:rsidTr="00DA6356">
        <w:tc>
          <w:tcPr>
            <w:tcW w:w="1526" w:type="dxa"/>
          </w:tcPr>
          <w:p w14:paraId="27100FC1" w14:textId="77777777" w:rsidR="00C57626" w:rsidRPr="00F94D01" w:rsidRDefault="00C57626" w:rsidP="00DA6356">
            <w:pPr>
              <w:spacing w:line="240" w:lineRule="auto"/>
              <w:ind w:left="0"/>
              <w:jc w:val="left"/>
            </w:pPr>
            <w:r w:rsidRPr="00F94D01">
              <w:t>PASC</w:t>
            </w:r>
          </w:p>
        </w:tc>
        <w:tc>
          <w:tcPr>
            <w:tcW w:w="8221" w:type="dxa"/>
          </w:tcPr>
          <w:p w14:paraId="2E392985" w14:textId="3721887A" w:rsidR="00C57626" w:rsidRPr="00F94D01" w:rsidRDefault="00C57626" w:rsidP="00DA6356">
            <w:pPr>
              <w:spacing w:line="240" w:lineRule="auto"/>
              <w:jc w:val="left"/>
            </w:pPr>
            <w:r w:rsidRPr="00F94D01">
              <w:t>Protocol Advisory Sub</w:t>
            </w:r>
            <w:r w:rsidR="00882DB9" w:rsidRPr="00DA6356">
              <w:t>-</w:t>
            </w:r>
            <w:r w:rsidRPr="00F94D01">
              <w:t>Committee</w:t>
            </w:r>
          </w:p>
        </w:tc>
      </w:tr>
      <w:tr w:rsidR="006C290B" w:rsidRPr="00183E4D" w14:paraId="0608ABE4" w14:textId="77777777" w:rsidTr="00DA6356">
        <w:tc>
          <w:tcPr>
            <w:tcW w:w="1526" w:type="dxa"/>
          </w:tcPr>
          <w:p w14:paraId="653132F9" w14:textId="77777777" w:rsidR="00BD2F0F" w:rsidRPr="00F94D01" w:rsidRDefault="00BD2F0F" w:rsidP="00DA6356">
            <w:pPr>
              <w:spacing w:line="240" w:lineRule="auto"/>
              <w:ind w:left="0"/>
              <w:jc w:val="left"/>
            </w:pPr>
            <w:r w:rsidRPr="00F94D01">
              <w:t>PBS</w:t>
            </w:r>
          </w:p>
        </w:tc>
        <w:tc>
          <w:tcPr>
            <w:tcW w:w="8221" w:type="dxa"/>
          </w:tcPr>
          <w:p w14:paraId="2B7D6E99" w14:textId="77777777" w:rsidR="00BD2F0F" w:rsidRPr="00F94D01" w:rsidRDefault="00BD2F0F" w:rsidP="00DA6356">
            <w:pPr>
              <w:spacing w:line="240" w:lineRule="auto"/>
              <w:jc w:val="left"/>
            </w:pPr>
            <w:r w:rsidRPr="00F94D01">
              <w:t>Pharmaceutical Benefits Scheme</w:t>
            </w:r>
          </w:p>
        </w:tc>
      </w:tr>
      <w:tr w:rsidR="006C290B" w:rsidRPr="00183E4D" w14:paraId="7497FF42" w14:textId="77777777" w:rsidTr="00DA6356">
        <w:tc>
          <w:tcPr>
            <w:tcW w:w="1526" w:type="dxa"/>
          </w:tcPr>
          <w:p w14:paraId="15B7082C" w14:textId="77777777" w:rsidR="002177EE" w:rsidRPr="00F94D01" w:rsidRDefault="002177EE" w:rsidP="00DA6356">
            <w:pPr>
              <w:spacing w:line="240" w:lineRule="auto"/>
              <w:ind w:left="0"/>
              <w:jc w:val="left"/>
            </w:pPr>
            <w:r w:rsidRPr="00F94D01">
              <w:t>PCR</w:t>
            </w:r>
          </w:p>
        </w:tc>
        <w:tc>
          <w:tcPr>
            <w:tcW w:w="8221" w:type="dxa"/>
          </w:tcPr>
          <w:p w14:paraId="29C13842" w14:textId="1D5A88C2" w:rsidR="002177EE" w:rsidRPr="00F94D01" w:rsidRDefault="000425B1" w:rsidP="00DA6356">
            <w:pPr>
              <w:spacing w:line="240" w:lineRule="auto"/>
              <w:jc w:val="left"/>
            </w:pPr>
            <w:r w:rsidRPr="00F94D01">
              <w:t>p</w:t>
            </w:r>
            <w:r w:rsidR="002177EE" w:rsidRPr="00F94D01">
              <w:t>olymerase chain reaction</w:t>
            </w:r>
          </w:p>
        </w:tc>
      </w:tr>
      <w:tr w:rsidR="006C290B" w:rsidRPr="00183E4D" w14:paraId="54BC8385" w14:textId="77777777" w:rsidTr="00DA6356">
        <w:tc>
          <w:tcPr>
            <w:tcW w:w="1526" w:type="dxa"/>
          </w:tcPr>
          <w:p w14:paraId="06288B87" w14:textId="77777777" w:rsidR="00C57626" w:rsidRPr="00F94D01" w:rsidRDefault="00C57626" w:rsidP="00DA6356">
            <w:pPr>
              <w:spacing w:line="240" w:lineRule="auto"/>
              <w:ind w:left="0"/>
              <w:jc w:val="left"/>
            </w:pPr>
            <w:r w:rsidRPr="00F94D01">
              <w:t>PGD</w:t>
            </w:r>
          </w:p>
        </w:tc>
        <w:tc>
          <w:tcPr>
            <w:tcW w:w="8221" w:type="dxa"/>
          </w:tcPr>
          <w:p w14:paraId="5C7D79F5" w14:textId="353D3F69" w:rsidR="00C57626" w:rsidRPr="00F94D01" w:rsidRDefault="000425B1" w:rsidP="00DA6356">
            <w:pPr>
              <w:spacing w:line="240" w:lineRule="auto"/>
              <w:jc w:val="left"/>
            </w:pPr>
            <w:r w:rsidRPr="00F94D01">
              <w:t>p</w:t>
            </w:r>
            <w:r w:rsidR="002E2B1C" w:rsidRPr="00F94D01">
              <w:t>re</w:t>
            </w:r>
            <w:r w:rsidR="00FD048D" w:rsidRPr="00DA6356">
              <w:t>-</w:t>
            </w:r>
            <w:r w:rsidR="002E2B1C" w:rsidRPr="00F94D01">
              <w:t>implantation genetic d</w:t>
            </w:r>
            <w:r w:rsidR="00C57626" w:rsidRPr="00F94D01">
              <w:t>iagnosis</w:t>
            </w:r>
          </w:p>
        </w:tc>
      </w:tr>
      <w:tr w:rsidR="006C290B" w:rsidRPr="00183E4D" w14:paraId="5136E288" w14:textId="77777777" w:rsidTr="00DA6356">
        <w:tc>
          <w:tcPr>
            <w:tcW w:w="1526" w:type="dxa"/>
          </w:tcPr>
          <w:p w14:paraId="5F0E6526" w14:textId="77777777" w:rsidR="00BD2F0F" w:rsidRPr="00DA6356" w:rsidRDefault="00BD2F0F" w:rsidP="00DA6356">
            <w:pPr>
              <w:spacing w:line="240" w:lineRule="auto"/>
              <w:ind w:left="0"/>
              <w:jc w:val="left"/>
            </w:pPr>
            <w:r w:rsidRPr="00DA6356">
              <w:t>PICO</w:t>
            </w:r>
          </w:p>
        </w:tc>
        <w:tc>
          <w:tcPr>
            <w:tcW w:w="8221" w:type="dxa"/>
          </w:tcPr>
          <w:p w14:paraId="464B48DB" w14:textId="69C9A90F" w:rsidR="00BD2F0F" w:rsidRPr="00F94D01" w:rsidRDefault="000425B1" w:rsidP="00DA6356">
            <w:pPr>
              <w:spacing w:line="240" w:lineRule="auto"/>
              <w:jc w:val="left"/>
            </w:pPr>
            <w:r w:rsidRPr="00DA6356">
              <w:t>p</w:t>
            </w:r>
            <w:r w:rsidR="00BD2F0F" w:rsidRPr="00DA6356">
              <w:t xml:space="preserve">opulation, </w:t>
            </w:r>
            <w:r w:rsidR="00D87BFA" w:rsidRPr="00DA6356">
              <w:t>intervention</w:t>
            </w:r>
            <w:r w:rsidR="00CB57C7">
              <w:t xml:space="preserve"> (i</w:t>
            </w:r>
            <w:r w:rsidR="00BD2F0F" w:rsidRPr="00DA6356">
              <w:t>nvestigation/</w:t>
            </w:r>
            <w:r w:rsidR="00CB57C7">
              <w:t>i</w:t>
            </w:r>
            <w:r w:rsidR="00BD2F0F" w:rsidRPr="00DA6356">
              <w:t>ndex test</w:t>
            </w:r>
            <w:r w:rsidR="00CB57C7">
              <w:t>)</w:t>
            </w:r>
            <w:r w:rsidR="00BD2F0F" w:rsidRPr="00DA6356">
              <w:t xml:space="preserve">, </w:t>
            </w:r>
            <w:r w:rsidRPr="00DA6356">
              <w:t>c</w:t>
            </w:r>
            <w:r w:rsidR="00BD2F0F" w:rsidRPr="00DA6356">
              <w:t>omparator</w:t>
            </w:r>
            <w:r w:rsidR="00D87BFA" w:rsidRPr="00DA6356">
              <w:t>,</w:t>
            </w:r>
            <w:r w:rsidR="00BD2F0F" w:rsidRPr="00DA6356">
              <w:t xml:space="preserve"> </w:t>
            </w:r>
            <w:r w:rsidRPr="00DA6356">
              <w:t>o</w:t>
            </w:r>
            <w:r w:rsidR="00BD2F0F" w:rsidRPr="00DA6356">
              <w:t>utcomes</w:t>
            </w:r>
          </w:p>
        </w:tc>
      </w:tr>
      <w:tr w:rsidR="006C290B" w:rsidRPr="00183E4D" w14:paraId="60B0558D" w14:textId="77777777" w:rsidTr="00DA6356">
        <w:tc>
          <w:tcPr>
            <w:tcW w:w="1526" w:type="dxa"/>
          </w:tcPr>
          <w:p w14:paraId="419D679A" w14:textId="77777777" w:rsidR="00BD2F0F" w:rsidRPr="00F94D01" w:rsidRDefault="00BD2F0F" w:rsidP="00DA6356">
            <w:pPr>
              <w:spacing w:line="240" w:lineRule="auto"/>
              <w:ind w:left="0"/>
              <w:jc w:val="left"/>
            </w:pPr>
            <w:r w:rsidRPr="00F94D01">
              <w:t>PND</w:t>
            </w:r>
          </w:p>
        </w:tc>
        <w:tc>
          <w:tcPr>
            <w:tcW w:w="8221" w:type="dxa"/>
          </w:tcPr>
          <w:p w14:paraId="4E9C63E0" w14:textId="7867A180" w:rsidR="00BD2F0F" w:rsidRPr="00F94D01" w:rsidRDefault="00DD776C" w:rsidP="00DA6356">
            <w:pPr>
              <w:spacing w:line="240" w:lineRule="auto"/>
              <w:jc w:val="left"/>
            </w:pPr>
            <w:r w:rsidRPr="00F94D01">
              <w:t>p</w:t>
            </w:r>
            <w:r w:rsidR="00BD2F0F" w:rsidRPr="00F94D01">
              <w:t>renatal diagnosis</w:t>
            </w:r>
          </w:p>
        </w:tc>
      </w:tr>
      <w:tr w:rsidR="006C290B" w:rsidRPr="00183E4D" w14:paraId="06B97584" w14:textId="77777777" w:rsidTr="00DA6356">
        <w:tc>
          <w:tcPr>
            <w:tcW w:w="1526" w:type="dxa"/>
          </w:tcPr>
          <w:p w14:paraId="320A713E" w14:textId="77777777" w:rsidR="00BD2F0F" w:rsidRPr="00F94D01" w:rsidRDefault="00BD2F0F" w:rsidP="00DA6356">
            <w:pPr>
              <w:spacing w:line="240" w:lineRule="auto"/>
              <w:ind w:left="0"/>
              <w:jc w:val="left"/>
            </w:pPr>
            <w:r w:rsidRPr="00F94D01">
              <w:t>QAP</w:t>
            </w:r>
          </w:p>
        </w:tc>
        <w:tc>
          <w:tcPr>
            <w:tcW w:w="8221" w:type="dxa"/>
          </w:tcPr>
          <w:p w14:paraId="55A71ABC" w14:textId="3AABB1C6" w:rsidR="00BD2F0F" w:rsidRPr="00F94D01" w:rsidRDefault="00DD776C" w:rsidP="00DA6356">
            <w:pPr>
              <w:spacing w:line="240" w:lineRule="auto"/>
              <w:jc w:val="left"/>
            </w:pPr>
            <w:r w:rsidRPr="00F94D01">
              <w:t>q</w:t>
            </w:r>
            <w:r w:rsidR="00BD2F0F" w:rsidRPr="00F94D01">
              <w:t>uality assurance program</w:t>
            </w:r>
          </w:p>
        </w:tc>
      </w:tr>
      <w:tr w:rsidR="006C290B" w:rsidRPr="00183E4D" w14:paraId="1311F531" w14:textId="77777777" w:rsidTr="00DA6356">
        <w:tc>
          <w:tcPr>
            <w:tcW w:w="1526" w:type="dxa"/>
          </w:tcPr>
          <w:p w14:paraId="13DE0CEB" w14:textId="77777777" w:rsidR="002E2B1C" w:rsidRPr="00F94D01" w:rsidRDefault="002E2B1C" w:rsidP="00DA6356">
            <w:pPr>
              <w:spacing w:line="240" w:lineRule="auto"/>
              <w:ind w:left="0"/>
              <w:jc w:val="left"/>
            </w:pPr>
            <w:r w:rsidRPr="00F94D01">
              <w:t>RCPA</w:t>
            </w:r>
          </w:p>
        </w:tc>
        <w:tc>
          <w:tcPr>
            <w:tcW w:w="8221" w:type="dxa"/>
          </w:tcPr>
          <w:p w14:paraId="48A23D2E" w14:textId="77777777" w:rsidR="002E2B1C" w:rsidRPr="00F94D01" w:rsidRDefault="002E2B1C" w:rsidP="00DA6356">
            <w:pPr>
              <w:spacing w:line="240" w:lineRule="auto"/>
              <w:jc w:val="left"/>
            </w:pPr>
            <w:r w:rsidRPr="00F94D01">
              <w:t>The Royal College of Pathologists of Australasia</w:t>
            </w:r>
          </w:p>
        </w:tc>
      </w:tr>
      <w:tr w:rsidR="006C290B" w:rsidRPr="00183E4D" w14:paraId="7FE4EE41" w14:textId="77777777" w:rsidTr="00DA6356">
        <w:tc>
          <w:tcPr>
            <w:tcW w:w="1526" w:type="dxa"/>
          </w:tcPr>
          <w:p w14:paraId="32F8065C" w14:textId="77777777" w:rsidR="00730F86" w:rsidRPr="00F94D01" w:rsidRDefault="00730F86" w:rsidP="00DA6356">
            <w:pPr>
              <w:spacing w:line="240" w:lineRule="auto"/>
              <w:ind w:left="0"/>
              <w:jc w:val="left"/>
            </w:pPr>
            <w:r w:rsidRPr="00F94D01">
              <w:t>RCT</w:t>
            </w:r>
          </w:p>
        </w:tc>
        <w:tc>
          <w:tcPr>
            <w:tcW w:w="8221" w:type="dxa"/>
          </w:tcPr>
          <w:p w14:paraId="7018BBAE" w14:textId="67CFBF96" w:rsidR="00730F86" w:rsidRPr="00F94D01" w:rsidRDefault="00DD776C" w:rsidP="00DA6356">
            <w:pPr>
              <w:spacing w:line="240" w:lineRule="auto"/>
              <w:jc w:val="left"/>
            </w:pPr>
            <w:r w:rsidRPr="00F94D01">
              <w:t>r</w:t>
            </w:r>
            <w:r w:rsidR="00730F86" w:rsidRPr="00F94D01">
              <w:t>andomised controlled trial</w:t>
            </w:r>
          </w:p>
        </w:tc>
      </w:tr>
      <w:tr w:rsidR="006C290B" w:rsidRPr="00183E4D" w14:paraId="36D7D83B" w14:textId="77777777" w:rsidTr="00DA6356">
        <w:tc>
          <w:tcPr>
            <w:tcW w:w="1526" w:type="dxa"/>
          </w:tcPr>
          <w:p w14:paraId="1E60A947" w14:textId="77777777" w:rsidR="002177EE" w:rsidRPr="00F94D01" w:rsidRDefault="002177EE" w:rsidP="00DA6356">
            <w:pPr>
              <w:spacing w:line="240" w:lineRule="auto"/>
              <w:ind w:left="0"/>
              <w:jc w:val="left"/>
            </w:pPr>
            <w:r w:rsidRPr="00F94D01">
              <w:lastRenderedPageBreak/>
              <w:t>RFLP</w:t>
            </w:r>
          </w:p>
        </w:tc>
        <w:tc>
          <w:tcPr>
            <w:tcW w:w="8221" w:type="dxa"/>
          </w:tcPr>
          <w:p w14:paraId="7D4ABA3E" w14:textId="27F5C259" w:rsidR="002177EE" w:rsidRPr="00F94D01" w:rsidRDefault="00DD776C" w:rsidP="00DA6356">
            <w:pPr>
              <w:spacing w:line="240" w:lineRule="auto"/>
              <w:jc w:val="left"/>
            </w:pPr>
            <w:r w:rsidRPr="00F94D01">
              <w:t>r</w:t>
            </w:r>
            <w:r w:rsidR="002177EE" w:rsidRPr="00F94D01">
              <w:t>estriction fragment length polymorphism</w:t>
            </w:r>
          </w:p>
        </w:tc>
      </w:tr>
      <w:tr w:rsidR="006C290B" w:rsidRPr="00183E4D" w14:paraId="5A8778F5" w14:textId="77777777" w:rsidTr="00DA6356">
        <w:tc>
          <w:tcPr>
            <w:tcW w:w="1526" w:type="dxa"/>
          </w:tcPr>
          <w:p w14:paraId="118F2514" w14:textId="77777777" w:rsidR="002177EE" w:rsidRPr="00F94D01" w:rsidRDefault="002177EE" w:rsidP="00DA6356">
            <w:pPr>
              <w:spacing w:line="240" w:lineRule="auto"/>
              <w:ind w:left="0"/>
              <w:jc w:val="left"/>
            </w:pPr>
            <w:r w:rsidRPr="00F94D01">
              <w:t>RNA</w:t>
            </w:r>
          </w:p>
        </w:tc>
        <w:tc>
          <w:tcPr>
            <w:tcW w:w="8221" w:type="dxa"/>
          </w:tcPr>
          <w:p w14:paraId="3B8E3B58" w14:textId="1A2D968B" w:rsidR="002177EE" w:rsidRPr="00F94D01" w:rsidRDefault="00DD776C" w:rsidP="00DA6356">
            <w:pPr>
              <w:spacing w:line="240" w:lineRule="auto"/>
              <w:jc w:val="left"/>
            </w:pPr>
            <w:r w:rsidRPr="00F94D01">
              <w:t>r</w:t>
            </w:r>
            <w:r w:rsidR="002177EE" w:rsidRPr="00F94D01">
              <w:t>ibonucleic acid</w:t>
            </w:r>
          </w:p>
        </w:tc>
      </w:tr>
      <w:tr w:rsidR="006C290B" w:rsidRPr="00183E4D" w14:paraId="3E69F00D" w14:textId="77777777" w:rsidTr="00DA6356">
        <w:tc>
          <w:tcPr>
            <w:tcW w:w="1526" w:type="dxa"/>
          </w:tcPr>
          <w:p w14:paraId="1A382E9D" w14:textId="77777777" w:rsidR="00730F86" w:rsidRPr="00F94D01" w:rsidRDefault="00730F86" w:rsidP="00DA6356">
            <w:pPr>
              <w:spacing w:line="240" w:lineRule="auto"/>
              <w:ind w:left="0"/>
              <w:jc w:val="left"/>
            </w:pPr>
            <w:r w:rsidRPr="00F94D01">
              <w:t>RR</w:t>
            </w:r>
          </w:p>
        </w:tc>
        <w:tc>
          <w:tcPr>
            <w:tcW w:w="8221" w:type="dxa"/>
          </w:tcPr>
          <w:p w14:paraId="78610E2E" w14:textId="61F50D8A" w:rsidR="00730F86" w:rsidRPr="00F94D01" w:rsidRDefault="00DD776C" w:rsidP="00DA6356">
            <w:pPr>
              <w:spacing w:line="240" w:lineRule="auto"/>
              <w:jc w:val="left"/>
            </w:pPr>
            <w:r w:rsidRPr="00F94D01">
              <w:t>r</w:t>
            </w:r>
            <w:r w:rsidR="00730F86" w:rsidRPr="00F94D01">
              <w:t>elative risk</w:t>
            </w:r>
          </w:p>
        </w:tc>
      </w:tr>
      <w:tr w:rsidR="006C290B" w:rsidRPr="00183E4D" w14:paraId="1F77588E" w14:textId="77777777" w:rsidTr="00DA6356">
        <w:tc>
          <w:tcPr>
            <w:tcW w:w="1526" w:type="dxa"/>
          </w:tcPr>
          <w:p w14:paraId="012AE796" w14:textId="77777777" w:rsidR="00730F86" w:rsidRPr="00F94D01" w:rsidRDefault="00730F86" w:rsidP="00DA6356">
            <w:pPr>
              <w:spacing w:line="240" w:lineRule="auto"/>
              <w:ind w:left="0"/>
              <w:jc w:val="left"/>
            </w:pPr>
            <w:r w:rsidRPr="00F94D01">
              <w:t>SD</w:t>
            </w:r>
          </w:p>
        </w:tc>
        <w:tc>
          <w:tcPr>
            <w:tcW w:w="8221" w:type="dxa"/>
          </w:tcPr>
          <w:p w14:paraId="66031632" w14:textId="11154612" w:rsidR="00730F86" w:rsidRPr="00F94D01" w:rsidRDefault="00DD776C" w:rsidP="00DA6356">
            <w:pPr>
              <w:spacing w:line="240" w:lineRule="auto"/>
              <w:jc w:val="left"/>
            </w:pPr>
            <w:r w:rsidRPr="00F94D01">
              <w:t>s</w:t>
            </w:r>
            <w:r w:rsidR="00730F86" w:rsidRPr="00F94D01">
              <w:t>tandard deviation</w:t>
            </w:r>
          </w:p>
        </w:tc>
      </w:tr>
      <w:tr w:rsidR="006C290B" w:rsidRPr="00183E4D" w14:paraId="75BDA1C8" w14:textId="77777777" w:rsidTr="00DA6356">
        <w:tc>
          <w:tcPr>
            <w:tcW w:w="1526" w:type="dxa"/>
          </w:tcPr>
          <w:p w14:paraId="408CFD1A" w14:textId="77777777" w:rsidR="002177EE" w:rsidRPr="00F94D01" w:rsidRDefault="002177EE" w:rsidP="00DA6356">
            <w:pPr>
              <w:spacing w:line="240" w:lineRule="auto"/>
              <w:ind w:left="0"/>
              <w:jc w:val="left"/>
            </w:pPr>
            <w:r w:rsidRPr="00F94D01">
              <w:t>SSCP</w:t>
            </w:r>
          </w:p>
        </w:tc>
        <w:tc>
          <w:tcPr>
            <w:tcW w:w="8221" w:type="dxa"/>
          </w:tcPr>
          <w:p w14:paraId="7BD6AD27" w14:textId="782DD955" w:rsidR="002177EE" w:rsidRPr="00F94D01" w:rsidRDefault="00DD776C" w:rsidP="00DA6356">
            <w:pPr>
              <w:spacing w:line="240" w:lineRule="auto"/>
              <w:jc w:val="left"/>
            </w:pPr>
            <w:r w:rsidRPr="00F94D01">
              <w:rPr>
                <w:rFonts w:asciiTheme="minorHAnsi" w:hAnsiTheme="minorHAnsi"/>
              </w:rPr>
              <w:t>s</w:t>
            </w:r>
            <w:r w:rsidR="002177EE" w:rsidRPr="00F94D01">
              <w:rPr>
                <w:rFonts w:asciiTheme="minorHAnsi" w:hAnsiTheme="minorHAnsi"/>
              </w:rPr>
              <w:t>ingle-stranded conformation polymorphism</w:t>
            </w:r>
          </w:p>
        </w:tc>
      </w:tr>
      <w:tr w:rsidR="006C290B" w:rsidRPr="00183E4D" w14:paraId="3B090A0B" w14:textId="77777777" w:rsidTr="00DA6356">
        <w:tc>
          <w:tcPr>
            <w:tcW w:w="1526" w:type="dxa"/>
          </w:tcPr>
          <w:p w14:paraId="06F47629" w14:textId="77777777" w:rsidR="00023360" w:rsidRPr="00F94D01" w:rsidRDefault="00023360" w:rsidP="00DA6356">
            <w:pPr>
              <w:spacing w:line="240" w:lineRule="auto"/>
              <w:ind w:left="0"/>
              <w:jc w:val="left"/>
            </w:pPr>
            <w:r w:rsidRPr="00F94D01">
              <w:t>STR</w:t>
            </w:r>
          </w:p>
        </w:tc>
        <w:tc>
          <w:tcPr>
            <w:tcW w:w="8221" w:type="dxa"/>
          </w:tcPr>
          <w:p w14:paraId="6B65CA26" w14:textId="11F785F2" w:rsidR="00023360" w:rsidRPr="00F94D01" w:rsidRDefault="00DD776C" w:rsidP="00DA6356">
            <w:pPr>
              <w:spacing w:line="240" w:lineRule="auto"/>
              <w:jc w:val="left"/>
              <w:rPr>
                <w:rFonts w:asciiTheme="minorHAnsi" w:hAnsiTheme="minorHAnsi"/>
              </w:rPr>
            </w:pPr>
            <w:r w:rsidRPr="00F94D01">
              <w:rPr>
                <w:rFonts w:asciiTheme="minorHAnsi" w:hAnsiTheme="minorHAnsi"/>
              </w:rPr>
              <w:t>s</w:t>
            </w:r>
            <w:r w:rsidR="00023360" w:rsidRPr="00F94D01">
              <w:rPr>
                <w:rFonts w:asciiTheme="minorHAnsi" w:hAnsiTheme="minorHAnsi"/>
              </w:rPr>
              <w:t>hort tandem repeats</w:t>
            </w:r>
          </w:p>
        </w:tc>
      </w:tr>
      <w:tr w:rsidR="006C290B" w:rsidRPr="00183E4D" w14:paraId="50895874" w14:textId="77777777" w:rsidTr="00DA6356">
        <w:tc>
          <w:tcPr>
            <w:tcW w:w="1526" w:type="dxa"/>
          </w:tcPr>
          <w:p w14:paraId="64D313BF" w14:textId="77777777" w:rsidR="00730F86" w:rsidRPr="00F94D01" w:rsidRDefault="00730F86" w:rsidP="00DA6356">
            <w:pPr>
              <w:spacing w:line="240" w:lineRule="auto"/>
              <w:ind w:left="0"/>
              <w:jc w:val="left"/>
            </w:pPr>
            <w:r w:rsidRPr="00F94D01">
              <w:t>TOP</w:t>
            </w:r>
          </w:p>
        </w:tc>
        <w:tc>
          <w:tcPr>
            <w:tcW w:w="8221" w:type="dxa"/>
          </w:tcPr>
          <w:p w14:paraId="10A978BB" w14:textId="5FDA5653" w:rsidR="00730F86" w:rsidRPr="00F94D01" w:rsidRDefault="00DD776C" w:rsidP="00DA6356">
            <w:pPr>
              <w:spacing w:line="240" w:lineRule="auto"/>
              <w:jc w:val="left"/>
            </w:pPr>
            <w:r w:rsidRPr="00F94D01">
              <w:t>t</w:t>
            </w:r>
            <w:r w:rsidR="00730F86" w:rsidRPr="00F94D01">
              <w:t>ermination of pregnancy</w:t>
            </w:r>
          </w:p>
        </w:tc>
      </w:tr>
    </w:tbl>
    <w:p w14:paraId="40132EA9" w14:textId="77777777" w:rsidR="00351191" w:rsidRPr="00183E4D" w:rsidRDefault="00351191" w:rsidP="00DF343F">
      <w:pPr>
        <w:tabs>
          <w:tab w:val="left" w:pos="1418"/>
        </w:tabs>
        <w:spacing w:line="240" w:lineRule="auto"/>
      </w:pPr>
    </w:p>
    <w:p w14:paraId="3AF1DF0A" w14:textId="3A9CE435" w:rsidR="008F59A8" w:rsidRPr="00183E4D" w:rsidRDefault="000C5D58">
      <w:pPr>
        <w:pStyle w:val="Heading1"/>
        <w:tabs>
          <w:tab w:val="left" w:pos="2268"/>
        </w:tabs>
      </w:pPr>
      <w:bookmarkStart w:id="104" w:name="_Toc418179878"/>
      <w:bookmarkEnd w:id="103"/>
      <w:r>
        <w:lastRenderedPageBreak/>
        <w:t>Section A</w:t>
      </w:r>
      <w:r>
        <w:tab/>
      </w:r>
      <w:r w:rsidR="00913620" w:rsidRPr="00183E4D">
        <w:t>Context</w:t>
      </w:r>
      <w:bookmarkEnd w:id="104"/>
    </w:p>
    <w:p w14:paraId="6C064DB5" w14:textId="7DA25B6B" w:rsidR="00E05186" w:rsidRPr="00183E4D" w:rsidRDefault="00E05186" w:rsidP="000C5D58">
      <w:r w:rsidRPr="00183E4D">
        <w:t xml:space="preserve">This </w:t>
      </w:r>
      <w:r w:rsidR="00803811">
        <w:t>contracted</w:t>
      </w:r>
      <w:r w:rsidR="00FD31FC" w:rsidRPr="00183E4D">
        <w:t xml:space="preserve"> </w:t>
      </w:r>
      <w:r w:rsidRPr="00183E4D">
        <w:t xml:space="preserve">assessment </w:t>
      </w:r>
      <w:r w:rsidR="00FD31FC" w:rsidRPr="00183E4D">
        <w:t xml:space="preserve">of </w:t>
      </w:r>
      <w:r w:rsidR="00D76865">
        <w:t>testing</w:t>
      </w:r>
      <w:r w:rsidRPr="00183E4D">
        <w:t xml:space="preserve"> </w:t>
      </w:r>
      <w:r w:rsidR="00FD31FC" w:rsidRPr="00183E4D">
        <w:t>for</w:t>
      </w:r>
      <w:r w:rsidR="00803811">
        <w:t xml:space="preserve"> hereditary mutations in the </w:t>
      </w:r>
      <w:r w:rsidR="0001291C">
        <w:t>c</w:t>
      </w:r>
      <w:r w:rsidR="00F9373B">
        <w:t xml:space="preserve">ystic </w:t>
      </w:r>
      <w:r w:rsidR="0001291C">
        <w:t>f</w:t>
      </w:r>
      <w:r w:rsidR="00F9373B">
        <w:t xml:space="preserve">ibrosis </w:t>
      </w:r>
      <w:r w:rsidR="0001291C">
        <w:t>t</w:t>
      </w:r>
      <w:r w:rsidR="00F9373B">
        <w:t xml:space="preserve">ransmembrane conductance </w:t>
      </w:r>
      <w:r w:rsidR="0001291C">
        <w:t>r</w:t>
      </w:r>
      <w:r w:rsidR="00F9373B">
        <w:t>egulator</w:t>
      </w:r>
      <w:r w:rsidR="00803811">
        <w:t xml:space="preserve"> </w:t>
      </w:r>
      <w:r w:rsidR="0001291C">
        <w:t>(</w:t>
      </w:r>
      <w:r w:rsidR="0001291C" w:rsidRPr="00BE5FDA">
        <w:t>CFTR</w:t>
      </w:r>
      <w:r w:rsidR="0001291C">
        <w:t xml:space="preserve">) </w:t>
      </w:r>
      <w:r w:rsidR="00803811">
        <w:t>gene</w:t>
      </w:r>
      <w:r w:rsidR="00FD31FC" w:rsidRPr="00183E4D">
        <w:t xml:space="preserve"> </w:t>
      </w:r>
      <w:r w:rsidRPr="00183E4D">
        <w:t>is intended for the Medical Services Advisory Committee (MSAC)</w:t>
      </w:r>
      <w:r w:rsidR="005256C2">
        <w:t>.</w:t>
      </w:r>
      <w:r w:rsidR="00187BE6">
        <w:t xml:space="preserve"> </w:t>
      </w:r>
      <w:r w:rsidR="0001291C">
        <w:t>It</w:t>
      </w:r>
      <w:r w:rsidR="00DA4EEB" w:rsidRPr="00873ADA">
        <w:t xml:space="preserve"> examines the evidence to support</w:t>
      </w:r>
      <w:r w:rsidR="00DA4EEB">
        <w:t xml:space="preserve"> </w:t>
      </w:r>
      <w:r w:rsidR="00DA4EEB" w:rsidRPr="00873ADA">
        <w:t xml:space="preserve">listing </w:t>
      </w:r>
      <w:r w:rsidR="006C290B" w:rsidRPr="00873ADA">
        <w:t>on the Medicare Benefits Schedule (MBS)</w:t>
      </w:r>
      <w:r w:rsidR="006C290B">
        <w:t xml:space="preserve"> </w:t>
      </w:r>
      <w:r w:rsidR="00DA4EEB">
        <w:t xml:space="preserve">of diagnostic testing for hereditary mutations on the </w:t>
      </w:r>
      <w:r w:rsidR="00FD37D3" w:rsidRPr="00BE5FDA">
        <w:t>CFTR</w:t>
      </w:r>
      <w:r w:rsidR="00DA4EEB">
        <w:t xml:space="preserve"> gene</w:t>
      </w:r>
      <w:r w:rsidRPr="00183E4D">
        <w:t>. MSAC evaluates new and existing health technologies and procedures for which funding is sought under the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48E0191B" w14:textId="22837F2B" w:rsidR="00BC7DA3" w:rsidRDefault="00BC7DA3" w:rsidP="00D76865">
      <w:r>
        <w:t>Adelaide Health Technology Assessment (AHTA) has been commissioned by the Australian Government</w:t>
      </w:r>
      <w:r w:rsidRPr="007943BC">
        <w:t xml:space="preserve"> Department of Health </w:t>
      </w:r>
      <w:r w:rsidR="002B3F71">
        <w:t xml:space="preserve">(the Department) </w:t>
      </w:r>
      <w:r w:rsidRPr="007943BC">
        <w:t xml:space="preserve">to conduct a systematic </w:t>
      </w:r>
      <w:r>
        <w:t xml:space="preserve">literature </w:t>
      </w:r>
      <w:r w:rsidRPr="007943BC">
        <w:t xml:space="preserve">review </w:t>
      </w:r>
      <w:r>
        <w:t>and economic evaluation of</w:t>
      </w:r>
      <w:r w:rsidRPr="00A12E71">
        <w:t xml:space="preserve"> </w:t>
      </w:r>
      <w:r w:rsidR="00FD37D3" w:rsidRPr="00FD37D3">
        <w:t>CFTR</w:t>
      </w:r>
      <w:r>
        <w:t xml:space="preserve"> mutation testing. This assessment has been undertaken </w:t>
      </w:r>
      <w:r w:rsidRPr="007943BC">
        <w:t>in order to inform MSAC’s decision-making r</w:t>
      </w:r>
      <w:r>
        <w:t xml:space="preserve">egarding whether the proposed medical service should be publicly funded. </w:t>
      </w:r>
    </w:p>
    <w:p w14:paraId="5830007E" w14:textId="38FD3F76" w:rsidR="00BC7DA3" w:rsidRDefault="009D44E4" w:rsidP="00D76865">
      <w:r w:rsidRPr="0008122C">
        <w:t>Appendix A</w:t>
      </w:r>
      <w:r w:rsidRPr="00183E4D">
        <w:t xml:space="preserve"> provides a list of the people involved in the development of this assessment report, including clinical expertise sourced from </w:t>
      </w:r>
      <w:r w:rsidRPr="00BC7DA3">
        <w:t>the Health Expert Standing Panel (HESP)</w:t>
      </w:r>
      <w:r w:rsidRPr="00183E4D">
        <w:t>.</w:t>
      </w:r>
      <w:r w:rsidR="00BC7DA3">
        <w:t xml:space="preserve"> HESP </w:t>
      </w:r>
      <w:r w:rsidR="00C50825">
        <w:t xml:space="preserve">is </w:t>
      </w:r>
      <w:r w:rsidR="00BC7DA3">
        <w:t>a pool of experts collated from various medical fields who have been nominated by their associated professional body or by applicants. HESP members are a panel of MSAC and are engaged to provide practical, professional advice that directly relates to each application and the service being proposed for the MBS. HESP members are not members of either MSAC or its subcommittees. Their role is limited to providing input and guidance to the assessment groups to ensure that the pathway is clinically relevant and takes into account consumer interests. HESP members</w:t>
      </w:r>
      <w:r w:rsidR="00C50825">
        <w:t>’</w:t>
      </w:r>
      <w:r w:rsidR="00BC7DA3">
        <w:t xml:space="preserve"> advice is used to inform the deliberations that MSAC presents to the Federal Minister for Health.</w:t>
      </w:r>
    </w:p>
    <w:p w14:paraId="448FB9E4" w14:textId="08BC2EB6" w:rsidR="00A05257" w:rsidRDefault="00E05186" w:rsidP="00DF343F">
      <w:r w:rsidRPr="00183E4D">
        <w:t xml:space="preserve">The proposed use </w:t>
      </w:r>
      <w:r w:rsidR="00695731" w:rsidRPr="00183E4D">
        <w:t xml:space="preserve">of </w:t>
      </w:r>
      <w:r w:rsidR="00A05257">
        <w:t>diagnostic testing for hereditary mutations in the</w:t>
      </w:r>
      <w:r w:rsidR="00C57626">
        <w:t xml:space="preserve"> </w:t>
      </w:r>
      <w:r w:rsidR="00A21FD9" w:rsidRPr="00A21FD9">
        <w:rPr>
          <w:i/>
        </w:rPr>
        <w:t>CFTR</w:t>
      </w:r>
      <w:r w:rsidR="00A05257">
        <w:t xml:space="preserve"> gene</w:t>
      </w:r>
      <w:r w:rsidR="00695731" w:rsidRPr="00183E4D">
        <w:t xml:space="preserve"> in Australian clinical practice was outlined in a </w:t>
      </w:r>
      <w:r w:rsidR="006C290B">
        <w:t>p</w:t>
      </w:r>
      <w:r w:rsidR="00695731" w:rsidRPr="00183E4D">
        <w:t xml:space="preserve">rotocol that </w:t>
      </w:r>
      <w:r w:rsidR="00BD49CE" w:rsidRPr="00183E4D">
        <w:t xml:space="preserve">was </w:t>
      </w:r>
      <w:r w:rsidR="00F458EB">
        <w:t>presented to</w:t>
      </w:r>
      <w:r w:rsidR="00752C99">
        <w:t xml:space="preserve"> </w:t>
      </w:r>
      <w:r w:rsidR="00F458EB">
        <w:t xml:space="preserve">the </w:t>
      </w:r>
      <w:r w:rsidR="00F458EB" w:rsidRPr="00183E4D">
        <w:t>Protocol Advisory Sub</w:t>
      </w:r>
      <w:r w:rsidR="00187BE6">
        <w:t>-</w:t>
      </w:r>
      <w:r w:rsidR="00F458EB" w:rsidRPr="00183E4D">
        <w:t>Committee (PASC)</w:t>
      </w:r>
      <w:r w:rsidR="00752C99">
        <w:t xml:space="preserve">. The </w:t>
      </w:r>
      <w:r w:rsidR="006C290B">
        <w:t>p</w:t>
      </w:r>
      <w:r w:rsidR="00752C99">
        <w:t xml:space="preserve">rotocol was </w:t>
      </w:r>
      <w:r w:rsidR="00BD49CE" w:rsidRPr="00183E4D">
        <w:t>released for public comment</w:t>
      </w:r>
      <w:r w:rsidR="00DA0959">
        <w:t xml:space="preserve"> in February 2014. </w:t>
      </w:r>
      <w:r w:rsidR="00A05257">
        <w:t xml:space="preserve">A separate research protocol based on the PASC Protocol, input from HESP members and a teleconference with the Department of Health was approved by the Department and is accessible through the MSAC website. </w:t>
      </w:r>
    </w:p>
    <w:p w14:paraId="58DB2AAE" w14:textId="77777777" w:rsidR="00AE4FA3" w:rsidRPr="008B04F6" w:rsidRDefault="00AE4FA3" w:rsidP="008B04F6">
      <w:pPr>
        <w:rPr>
          <w:b/>
          <w:smallCaps/>
          <w:sz w:val="28"/>
        </w:rPr>
      </w:pPr>
      <w:bookmarkStart w:id="105" w:name="_Toc379118063"/>
      <w:bookmarkStart w:id="106" w:name="_Toc381796439"/>
      <w:r w:rsidRPr="008B04F6">
        <w:rPr>
          <w:b/>
          <w:smallCaps/>
          <w:sz w:val="28"/>
        </w:rPr>
        <w:t xml:space="preserve">Cystic fibrosis and burden of disease </w:t>
      </w:r>
    </w:p>
    <w:p w14:paraId="6B0140A8" w14:textId="3896A163" w:rsidR="00AE4FA3" w:rsidRPr="00BA368C" w:rsidRDefault="009E708E" w:rsidP="00AE4FA3">
      <w:r>
        <w:t xml:space="preserve">Cystic </w:t>
      </w:r>
      <w:r w:rsidR="002B3F71">
        <w:t>f</w:t>
      </w:r>
      <w:r>
        <w:t>ibrosis (CF)</w:t>
      </w:r>
      <w:r w:rsidR="00AE4FA3" w:rsidRPr="00BA368C">
        <w:t xml:space="preserve"> and other </w:t>
      </w:r>
      <w:r w:rsidR="00FD37D3" w:rsidRPr="00FD37D3">
        <w:t>CFTR</w:t>
      </w:r>
      <w:r w:rsidR="002B3F71">
        <w:t>-</w:t>
      </w:r>
      <w:r w:rsidR="00AE4FA3" w:rsidRPr="00BA368C">
        <w:t>related disorders are the most common autosomal recessive disorder in Caucasians, with a frequency of about 1 in 2</w:t>
      </w:r>
      <w:r w:rsidR="00AE4FA3">
        <w:t>,</w:t>
      </w:r>
      <w:r w:rsidR="00AE4FA3" w:rsidRPr="00BA368C">
        <w:t>500</w:t>
      </w:r>
      <w:r w:rsidR="00AE4FA3">
        <w:t>–</w:t>
      </w:r>
      <w:r w:rsidR="00AE4FA3" w:rsidRPr="00BA368C">
        <w:t>2</w:t>
      </w:r>
      <w:r w:rsidR="00AE4FA3">
        <w:t>,</w:t>
      </w:r>
      <w:r w:rsidR="00AE4FA3" w:rsidRPr="00BA368C">
        <w:t xml:space="preserve">800 live births worldwide and a carrier frequency of 1 in 25 in Australia </w:t>
      </w:r>
      <w:r w:rsidR="00AE4FA3" w:rsidRPr="00BA368C">
        <w:fldChar w:fldCharType="begin">
          <w:fldData xml:space="preserve">PEVuZE5vdGU+PENpdGU+PEF1dGhvcj5CZWxsPC9BdXRob3I+PFllYXI+MjAxMTwvWWVhcj48UmVj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YWx0LXBlcmlvZGljYWw+PHBhZ2VzPjY4MS05PC9wYWdlcz48dm9sdW1lPjM2MTwvdm9sdW1lPjxu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</w:fldData>
        </w:fldChar>
      </w:r>
      <w:r w:rsidR="00AE4FA3" w:rsidRPr="00BA368C">
        <w:instrText xml:space="preserve"> ADDIN EN.CITE </w:instrText>
      </w:r>
      <w:r w:rsidR="00AE4FA3" w:rsidRPr="00BA368C">
        <w:fldChar w:fldCharType="begin">
          <w:fldData xml:space="preserve">PEVuZE5vdGU+PENpdGU+PEF1dGhvcj5CZWxsPC9BdXRob3I+PFllYXI+MjAxMTwvWWVhcj48UmVj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YWx0LXBlcmlvZGljYWw+PHBhZ2VzPjY4MS05PC9wYWdlcz48dm9sdW1lPjM2MTwvdm9sdW1lPjxu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</w:fldData>
        </w:fldChar>
      </w:r>
      <w:r w:rsidR="00AE4FA3" w:rsidRPr="00BA368C">
        <w:instrText xml:space="preserve"> ADDIN EN.CITE.DATA </w:instrText>
      </w:r>
      <w:r w:rsidR="00AE4FA3" w:rsidRPr="00BA368C">
        <w:fldChar w:fldCharType="end"/>
      </w:r>
      <w:r w:rsidR="00AE4FA3" w:rsidRPr="00BA368C">
        <w:fldChar w:fldCharType="separate"/>
      </w:r>
      <w:r w:rsidR="00AE4FA3" w:rsidRPr="00BA368C">
        <w:rPr>
          <w:noProof/>
        </w:rPr>
        <w:t>(</w:t>
      </w:r>
      <w:hyperlink w:anchor="_ENREF_13" w:tooltip="Bell, 2011 #4" w:history="1">
        <w:r w:rsidR="00B46ABF" w:rsidRPr="00BA368C">
          <w:rPr>
            <w:noProof/>
          </w:rPr>
          <w:t>Bell et al. 2011</w:t>
        </w:r>
      </w:hyperlink>
      <w:r w:rsidR="00AE4FA3" w:rsidRPr="00BA368C">
        <w:rPr>
          <w:noProof/>
        </w:rPr>
        <w:t xml:space="preserve">; </w:t>
      </w:r>
      <w:hyperlink w:anchor="_ENREF_98" w:tooltip="Ratjen, 2003 #2" w:history="1">
        <w:r w:rsidR="00B46ABF" w:rsidRPr="00BA368C">
          <w:rPr>
            <w:noProof/>
          </w:rPr>
          <w:t>Ratjen &amp; Doring 2003</w:t>
        </w:r>
      </w:hyperlink>
      <w:r w:rsidR="00AE4FA3" w:rsidRPr="00BA368C">
        <w:rPr>
          <w:noProof/>
        </w:rPr>
        <w:t>)</w:t>
      </w:r>
      <w:r w:rsidR="00AE4FA3" w:rsidRPr="00BA368C">
        <w:fldChar w:fldCharType="end"/>
      </w:r>
      <w:r w:rsidR="00AE4FA3" w:rsidRPr="00BA368C">
        <w:t>.</w:t>
      </w:r>
      <w:r>
        <w:t xml:space="preserve"> The major cause of morbidity and mortality among young people with CF is p</w:t>
      </w:r>
      <w:r w:rsidR="00AE4FA3" w:rsidRPr="00BA368C">
        <w:t>rogressive respiratory disease</w:t>
      </w:r>
      <w:r w:rsidR="00187BE6">
        <w:t>. On</w:t>
      </w:r>
      <w:r w:rsidR="00AE4FA3" w:rsidRPr="00BA368C">
        <w:t xml:space="preserve"> 31 </w:t>
      </w:r>
      <w:r w:rsidR="00AE4FA3" w:rsidRPr="00BA368C">
        <w:lastRenderedPageBreak/>
        <w:t xml:space="preserve">December 2012 the Australian Cystic Fibrosis Data Registry (ACFDR) held records of 3,156 people with CF </w:t>
      </w:r>
      <w:r w:rsidR="00AE4FA3" w:rsidRPr="00BA368C">
        <w:fldChar w:fldCharType="begin"/>
      </w:r>
      <w:r w:rsidR="00AE4FA3" w:rsidRPr="00BA368C">
        <w:instrText xml:space="preserve"> ADDIN EN.CITE &lt;EndNote&gt;&lt;Cite&gt;&lt;Author&gt;Cystic Fibrosis Australia&lt;/Author&gt;&lt;Year&gt;2013&lt;/Year&gt;&lt;RecNum&gt;7&lt;/RecNum&gt;&lt;DisplayText&gt;(Cystic Fibrosis Australia 2013)&lt;/DisplayText&gt;&lt;record&gt;&lt;rec-number&gt;7&lt;/rec-number&gt;&lt;foreign-keys&gt;&lt;key app="EN" db-id="prapatttj2ed0oezfzjxzpwrp5xt20pztewe"&gt;7&lt;/key&gt;&lt;/foreign-keys&gt;&lt;ref-type name="Report"&gt;27&lt;/ref-type&gt;&lt;contributors&gt;&lt;authors&gt;&lt;author&gt;Cystic Fibrosis Australia,&lt;/author&gt;&lt;/authors&gt;&lt;tertiary-authors&gt;&lt;author&gt;Cystic Fibrosis Australia&lt;/author&gt;&lt;/tertiary-authors&gt;&lt;/contributors&gt;&lt;titles&gt;&lt;title&gt;Cystic Fibrosis in Australia 2012. 15th Annual Report Australian Cystic Fibrosis Data Registry&lt;/title&gt;&lt;/titles&gt;&lt;dates&gt;&lt;year&gt;2013&lt;/year&gt;&lt;/dates&gt;&lt;pub-location&gt;Baulkham Hills NSW 2153&lt;/pub-location&gt;&lt;publisher&gt;Cystic Fibrosis Australia&lt;/publisher&gt;&lt;urls&gt;&lt;related-urls&gt;&lt;url&gt;http://www.cysticfibrosis.org.au/media/wysiwyg/CF-Australia/medical-documents/ACFDR_2012/ACFDR_Annual_Report_2012r.pdf&lt;/url&gt;&lt;/related-urls&gt;&lt;/urls&gt;&lt;access-date&gt;29/10/2013&lt;/access-date&gt;&lt;/record&gt;&lt;/Cite&gt;&lt;/EndNote&gt;</w:instrText>
      </w:r>
      <w:r w:rsidR="00AE4FA3" w:rsidRPr="00BA368C">
        <w:fldChar w:fldCharType="separate"/>
      </w:r>
      <w:r w:rsidR="00AE4FA3" w:rsidRPr="00BA368C">
        <w:rPr>
          <w:noProof/>
        </w:rPr>
        <w:t>(</w:t>
      </w:r>
      <w:hyperlink w:anchor="_ENREF_26" w:tooltip="Cystic Fibrosis Australia, 2013 #7" w:history="1">
        <w:r w:rsidR="00B46ABF" w:rsidRPr="00BA368C">
          <w:rPr>
            <w:noProof/>
          </w:rPr>
          <w:t>Cystic Fibrosis Australia 2013</w:t>
        </w:r>
      </w:hyperlink>
      <w:r w:rsidR="00AE4FA3" w:rsidRPr="00BA368C">
        <w:rPr>
          <w:noProof/>
        </w:rPr>
        <w:t>)</w:t>
      </w:r>
      <w:r w:rsidR="00AE4FA3" w:rsidRPr="00BA368C">
        <w:fldChar w:fldCharType="end"/>
      </w:r>
      <w:r w:rsidR="00AE4FA3" w:rsidRPr="00BA368C">
        <w:t xml:space="preserve">. The actual numbers of people suffering from CF </w:t>
      </w:r>
      <w:r w:rsidR="00AE4FA3">
        <w:t>is</w:t>
      </w:r>
      <w:r w:rsidR="00AE4FA3" w:rsidRPr="00BA368C">
        <w:t xml:space="preserve"> slightly higher, as it is estimated that only 90</w:t>
      </w:r>
      <w:r w:rsidR="002B3F71">
        <w:t>%</w:t>
      </w:r>
      <w:r w:rsidR="00AE4FA3" w:rsidRPr="00BA368C">
        <w:t xml:space="preserve"> of the people with CF are registered on the database </w:t>
      </w:r>
      <w:r w:rsidR="00AE4FA3" w:rsidRPr="00BA368C">
        <w:fldChar w:fldCharType="begin"/>
      </w:r>
      <w:r w:rsidR="00AE4FA3" w:rsidRPr="00BA368C">
        <w:instrText xml:space="preserve"> ADDIN EN.CITE &lt;EndNote&gt;&lt;Cite&gt;&lt;Author&gt;Cystic Fibrosis Australia&lt;/Author&gt;&lt;Year&gt;2013&lt;/Year&gt;&lt;RecNum&gt;7&lt;/RecNum&gt;&lt;DisplayText&gt;(Cystic Fibrosis Australia 2013)&lt;/DisplayText&gt;&lt;record&gt;&lt;rec-number&gt;7&lt;/rec-number&gt;&lt;foreign-keys&gt;&lt;key app="EN" db-id="prapatttj2ed0oezfzjxzpwrp5xt20pztewe"&gt;7&lt;/key&gt;&lt;/foreign-keys&gt;&lt;ref-type name="Report"&gt;27&lt;/ref-type&gt;&lt;contributors&gt;&lt;authors&gt;&lt;author&gt;Cystic Fibrosis Australia,&lt;/author&gt;&lt;/authors&gt;&lt;tertiary-authors&gt;&lt;author&gt;Cystic Fibrosis Australia&lt;/author&gt;&lt;/tertiary-authors&gt;&lt;/contributors&gt;&lt;titles&gt;&lt;title&gt;Cystic Fibrosis in Australia 2012. 15th Annual Report Australian Cystic Fibrosis Data Registry&lt;/title&gt;&lt;/titles&gt;&lt;dates&gt;&lt;year&gt;2013&lt;/year&gt;&lt;/dates&gt;&lt;pub-location&gt;Baulkham Hills NSW 2153&lt;/pub-location&gt;&lt;publisher&gt;Cystic Fibrosis Australia&lt;/publisher&gt;&lt;urls&gt;&lt;related-urls&gt;&lt;url&gt;http://www.cysticfibrosis.org.au/media/wysiwyg/CF-Australia/medical-documents/ACFDR_2012/ACFDR_Annual_Report_2012r.pdf&lt;/url&gt;&lt;/related-urls&gt;&lt;/urls&gt;&lt;access-date&gt;29/10/2013&lt;/access-date&gt;&lt;/record&gt;&lt;/Cite&gt;&lt;/EndNote&gt;</w:instrText>
      </w:r>
      <w:r w:rsidR="00AE4FA3" w:rsidRPr="00BA368C">
        <w:fldChar w:fldCharType="separate"/>
      </w:r>
      <w:r w:rsidR="00AE4FA3" w:rsidRPr="00BA368C">
        <w:rPr>
          <w:noProof/>
        </w:rPr>
        <w:t>(</w:t>
      </w:r>
      <w:hyperlink w:anchor="_ENREF_26" w:tooltip="Cystic Fibrosis Australia, 2013 #7" w:history="1">
        <w:r w:rsidR="00B46ABF" w:rsidRPr="00BA368C">
          <w:rPr>
            <w:noProof/>
          </w:rPr>
          <w:t>Cystic Fibrosis Australia 2013</w:t>
        </w:r>
      </w:hyperlink>
      <w:r w:rsidR="00AE4FA3" w:rsidRPr="00BA368C">
        <w:rPr>
          <w:noProof/>
        </w:rPr>
        <w:t>)</w:t>
      </w:r>
      <w:r w:rsidR="00AE4FA3" w:rsidRPr="00BA368C">
        <w:fldChar w:fldCharType="end"/>
      </w:r>
      <w:r w:rsidR="00AE4FA3" w:rsidRPr="00BA368C">
        <w:t>. Based on a population of 22.7</w:t>
      </w:r>
      <w:r w:rsidR="002B3F71">
        <w:t> </w:t>
      </w:r>
      <w:r w:rsidR="00AE4FA3" w:rsidRPr="00BA368C">
        <w:t>million Australians (2012), 1 in 7</w:t>
      </w:r>
      <w:r w:rsidR="00AE4FA3">
        <w:t>,</w:t>
      </w:r>
      <w:r w:rsidR="00AE4FA3" w:rsidRPr="00BA368C">
        <w:t xml:space="preserve">193 people in Australia </w:t>
      </w:r>
      <w:r w:rsidR="002B3F71">
        <w:t>had been</w:t>
      </w:r>
      <w:r w:rsidR="002B3F71" w:rsidRPr="00BA368C">
        <w:t xml:space="preserve"> </w:t>
      </w:r>
      <w:r w:rsidR="00AE4FA3" w:rsidRPr="00BA368C">
        <w:t xml:space="preserve">diagnosed with CF and </w:t>
      </w:r>
      <w:r w:rsidR="002B3F71">
        <w:t xml:space="preserve">were </w:t>
      </w:r>
      <w:r w:rsidR="00AE4FA3" w:rsidRPr="00BA368C">
        <w:t xml:space="preserve">registered with ACFDR. In the same year 63 (out of 309,582 births) CF cases were identified through </w:t>
      </w:r>
      <w:r w:rsidR="0067459F">
        <w:t>NBS</w:t>
      </w:r>
      <w:r w:rsidR="00AE4FA3" w:rsidRPr="00BA368C">
        <w:t xml:space="preserve">; </w:t>
      </w:r>
      <w:r w:rsidR="002B3F71">
        <w:t>that is,</w:t>
      </w:r>
      <w:r w:rsidR="00AE4FA3" w:rsidRPr="00BA368C">
        <w:t xml:space="preserve"> 1 in 4</w:t>
      </w:r>
      <w:r w:rsidR="00AE4FA3">
        <w:t>,</w:t>
      </w:r>
      <w:r w:rsidR="00AE4FA3" w:rsidRPr="00BA368C">
        <w:t>914 newborns received a CF diagnosis and were registered with ACFDR. Over 80</w:t>
      </w:r>
      <w:r w:rsidR="00AE4FA3">
        <w:t>%</w:t>
      </w:r>
      <w:r w:rsidR="00AE4FA3" w:rsidRPr="00BA368C">
        <w:t xml:space="preserve"> of infant diagnoses are completed by </w:t>
      </w:r>
      <w:r w:rsidR="002B3F71">
        <w:t>3 </w:t>
      </w:r>
      <w:r w:rsidR="00AE4FA3" w:rsidRPr="00BA368C">
        <w:t xml:space="preserve">months of age and are aided by neonatal screening programs, but some individuals </w:t>
      </w:r>
      <w:r w:rsidR="002B3F71">
        <w:t>are</w:t>
      </w:r>
      <w:r w:rsidR="002B3F71" w:rsidRPr="00BA368C">
        <w:t xml:space="preserve"> </w:t>
      </w:r>
      <w:r w:rsidR="00AE4FA3" w:rsidRPr="00BA368C">
        <w:t xml:space="preserve">diagnosed </w:t>
      </w:r>
      <w:r w:rsidR="002B3F71">
        <w:t>later—</w:t>
      </w:r>
      <w:r w:rsidR="00AE4FA3" w:rsidRPr="00BA368C">
        <w:t>ranging from early childhood to 35</w:t>
      </w:r>
      <w:r w:rsidR="002B3F71">
        <w:t> </w:t>
      </w:r>
      <w:r>
        <w:t>years</w:t>
      </w:r>
      <w:r w:rsidR="00AE4FA3" w:rsidRPr="00BA368C">
        <w:t xml:space="preserve"> and </w:t>
      </w:r>
      <w:r w:rsidR="002B3F71">
        <w:t>older</w:t>
      </w:r>
      <w:r w:rsidR="00AE4FA3" w:rsidRPr="00BA368C">
        <w:t xml:space="preserve">, depending on disease severity. Early diagnosis is expected to be associated with improved health outcomes but may have adverse social and psychological outcomes. </w:t>
      </w:r>
    </w:p>
    <w:p w14:paraId="2A1A5901" w14:textId="6BEEDEC2" w:rsidR="00AE4FA3" w:rsidRPr="00BA368C" w:rsidRDefault="00AE4FA3" w:rsidP="00AE4FA3">
      <w:r w:rsidRPr="00BA368C">
        <w:t>In Australia,</w:t>
      </w:r>
      <w:r w:rsidR="009E708E">
        <w:t xml:space="preserve"> between 1979 and 2005,</w:t>
      </w:r>
      <w:r w:rsidRPr="00BA368C">
        <w:t xml:space="preserve"> the mean life expectancy of people with CF increased from 12.2 to 27.9</w:t>
      </w:r>
      <w:r w:rsidR="002B3F71">
        <w:t> </w:t>
      </w:r>
      <w:r w:rsidRPr="00BA368C">
        <w:t>years for males and from 14.8 to 25.3</w:t>
      </w:r>
      <w:r w:rsidR="002B3F71">
        <w:t> </w:t>
      </w:r>
      <w:r w:rsidRPr="00BA368C">
        <w:t>years fo</w:t>
      </w:r>
      <w:r w:rsidR="009E708E">
        <w:t>r females</w:t>
      </w:r>
      <w:r w:rsidRPr="00BA368C">
        <w:t xml:space="preserve"> </w:t>
      </w:r>
      <w:r w:rsidRPr="00BA368C">
        <w:fldChar w:fldCharType="begin"/>
      </w:r>
      <w:r w:rsidRPr="00BA368C">
        <w:instrText xml:space="preserve"> ADDIN EN.CITE &lt;EndNote&gt;&lt;Cite&gt;&lt;Author&gt;Reid&lt;/Author&gt;&lt;Year&gt;2011&lt;/Year&gt;&lt;RecNum&gt;8&lt;/RecNum&gt;&lt;IDText&gt;392-5&lt;/IDText&gt;&lt;DisplayText&gt;(Reid et al. 2011)&lt;/DisplayText&gt;&lt;record&gt;&lt;rec-number&gt;8&lt;/rec-number&gt;&lt;foreign-keys&gt;&lt;key app="EN" db-id="prapatttj2ed0oezfzjxzpwrp5xt20pztewe"&gt;8&lt;/key&gt;&lt;/foreign-keys&gt;&lt;ref-type name="Journal Article"&gt;17&lt;/ref-type&gt;&lt;contributors&gt;&lt;authors&gt;&lt;author&gt;Reid, D. W.&lt;/author&gt;&lt;author&gt;Blizzard, C. L.&lt;/author&gt;&lt;author&gt;Shugg, D. M.&lt;/author&gt;&lt;author&gt;Flowers, C.&lt;/author&gt;&lt;author&gt;Cash, C.&lt;/author&gt;&lt;author&gt;Greville, H. M.&lt;/author&gt;&lt;/authors&gt;&lt;/contributors&gt;&lt;auth-address&gt;Department of Thoracic Medicine, The Prince Charles Hospital, Brisbane, QLD. David.Reid@qimr.edu.au&lt;/auth-address&gt;&lt;titles&gt;&lt;title&gt;Changes in cystic fibrosis mortality in Australia, 1979-2005&lt;/title&gt;&lt;secondary-title&gt;Med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392-5&lt;/pages&gt;&lt;volume&gt;195&lt;/volume&gt;&lt;number&gt;7&lt;/number&gt;&lt;keywords&gt;&lt;keyword&gt;Adolescent&lt;/keyword&gt;&lt;keyword&gt;Adult&lt;/keyword&gt;&lt;keyword&gt;Australia/epidemiology&lt;/keyword&gt;&lt;keyword&gt;Child&lt;/keyword&gt;&lt;keyword&gt;Cystic Fibrosis/diagnosis/*mortality/therapy&lt;/keyword&gt;&lt;keyword&gt;Female&lt;/keyword&gt;&lt;keyword&gt;Humans&lt;/keyword&gt;&lt;keyword&gt;*Life Expectancy&lt;/keyword&gt;&lt;keyword&gt;Lung Transplantation&lt;/keyword&gt;&lt;keyword&gt;Male&lt;/keyword&gt;&lt;keyword&gt;Middle Aged&lt;/keyword&gt;&lt;keyword&gt;Prognosis&lt;/keyword&gt;&lt;keyword&gt;Young Adult&lt;/keyword&gt;&lt;/keywords&gt;&lt;dates&gt;&lt;year&gt;2011&lt;/year&gt;&lt;pub-dates&gt;&lt;date&gt;Oct 3&lt;/date&gt;&lt;/pub-dates&gt;&lt;/dates&gt;&lt;isbn&gt;1326-5377 (Electronic)&amp;#xD;0025-729X (Linking)&lt;/isbn&gt;&lt;accession-num&gt;21978346&lt;/accession-num&gt;&lt;urls&gt;&lt;related-urls&gt;&lt;url&gt;http://www.ncbi.nlm.nih.gov/pubmed/21978346&lt;/url&gt;&lt;/related-urls&gt;&lt;/urls&gt;&lt;/record&gt;&lt;/Cite&gt;&lt;/EndNote&gt;</w:instrText>
      </w:r>
      <w:r w:rsidRPr="00BA368C">
        <w:fldChar w:fldCharType="separate"/>
      </w:r>
      <w:r w:rsidRPr="00BA368C">
        <w:rPr>
          <w:noProof/>
        </w:rPr>
        <w:t>(</w:t>
      </w:r>
      <w:hyperlink w:anchor="_ENREF_102" w:tooltip="Reid, 2011 #8" w:history="1">
        <w:r w:rsidR="00B46ABF" w:rsidRPr="00BA368C">
          <w:rPr>
            <w:noProof/>
          </w:rPr>
          <w:t>Reid et al. 2011</w:t>
        </w:r>
      </w:hyperlink>
      <w:r w:rsidRPr="00BA368C">
        <w:rPr>
          <w:noProof/>
        </w:rPr>
        <w:t>)</w:t>
      </w:r>
      <w:r w:rsidRPr="00BA368C">
        <w:fldChar w:fldCharType="end"/>
      </w:r>
      <w:r w:rsidRPr="00BA368C">
        <w:t>. The mean age of the registry population</w:t>
      </w:r>
      <w:r w:rsidR="00C03800">
        <w:t xml:space="preserve"> at the end of 2012</w:t>
      </w:r>
      <w:r w:rsidRPr="00BA368C">
        <w:t xml:space="preserve"> was 19.5</w:t>
      </w:r>
      <w:r w:rsidR="004E7E5B">
        <w:t> </w:t>
      </w:r>
      <w:r w:rsidRPr="00BA368C">
        <w:t xml:space="preserve">years, which is higher than </w:t>
      </w:r>
      <w:r w:rsidR="004E7E5B">
        <w:t xml:space="preserve">in </w:t>
      </w:r>
      <w:r w:rsidRPr="00BA368C">
        <w:t xml:space="preserve">previous years (19.1 in 2011, 18.8 in </w:t>
      </w:r>
      <w:r w:rsidR="004E7E5B">
        <w:t xml:space="preserve">both </w:t>
      </w:r>
      <w:r w:rsidRPr="00BA368C">
        <w:t>2010 and 2009). The proportion of patients who were adults (</w:t>
      </w:r>
      <w:r w:rsidR="004E7E5B">
        <w:t xml:space="preserve">i.e. </w:t>
      </w:r>
      <w:r w:rsidR="00C03800">
        <w:t>≥18</w:t>
      </w:r>
      <w:r w:rsidR="004E7E5B">
        <w:t> </w:t>
      </w:r>
      <w:r w:rsidR="00C03800">
        <w:t>years</w:t>
      </w:r>
      <w:r w:rsidR="004E7E5B">
        <w:t xml:space="preserve"> of age</w:t>
      </w:r>
      <w:r w:rsidR="00C03800">
        <w:t>)</w:t>
      </w:r>
      <w:r w:rsidRPr="00BA368C">
        <w:t xml:space="preserve"> was 49.3</w:t>
      </w:r>
      <w:r w:rsidR="004E7E5B">
        <w:t>%</w:t>
      </w:r>
      <w:r w:rsidRPr="00BA368C">
        <w:t xml:space="preserve"> in 2012, compared </w:t>
      </w:r>
      <w:r w:rsidR="004E7E5B">
        <w:t>with</w:t>
      </w:r>
      <w:r w:rsidR="004E7E5B" w:rsidRPr="00BA368C">
        <w:t xml:space="preserve"> </w:t>
      </w:r>
      <w:r w:rsidRPr="00BA368C">
        <w:t>35</w:t>
      </w:r>
      <w:r w:rsidR="004E7E5B">
        <w:t>%</w:t>
      </w:r>
      <w:r w:rsidRPr="00BA368C">
        <w:t xml:space="preserve"> in 2001, demonstrating improved life expectancy. Increases in life expectancy have had a progressive impact on healthcare utilisation. CF in adulthood is associated with severe lung disease, poor nutritional status and CF-related complications, leading to a high burden of disease. </w:t>
      </w:r>
    </w:p>
    <w:p w14:paraId="4FD54B76" w14:textId="1840121A" w:rsidR="00AE4FA3" w:rsidRPr="008B04F6" w:rsidRDefault="00AE4FA3" w:rsidP="008B04F6">
      <w:pPr>
        <w:rPr>
          <w:b/>
          <w:smallCaps/>
          <w:sz w:val="28"/>
        </w:rPr>
      </w:pPr>
      <w:r w:rsidRPr="008B04F6">
        <w:rPr>
          <w:b/>
          <w:smallCaps/>
          <w:sz w:val="28"/>
        </w:rPr>
        <w:t xml:space="preserve">The </w:t>
      </w:r>
      <w:r w:rsidR="00FD37D3" w:rsidRPr="00FD37D3">
        <w:rPr>
          <w:b/>
          <w:i/>
          <w:smallCaps/>
          <w:sz w:val="28"/>
        </w:rPr>
        <w:t>CFTR</w:t>
      </w:r>
      <w:r w:rsidRPr="008B04F6">
        <w:rPr>
          <w:b/>
          <w:smallCaps/>
          <w:sz w:val="28"/>
        </w:rPr>
        <w:t xml:space="preserve"> gene</w:t>
      </w:r>
    </w:p>
    <w:p w14:paraId="44BCCE60" w14:textId="264348E0" w:rsidR="00AE4FA3" w:rsidRPr="00BA368C" w:rsidRDefault="00AE4FA3" w:rsidP="001D0931">
      <w:r w:rsidRPr="00BA368C">
        <w:t>CF and</w:t>
      </w:r>
      <w:r w:rsidR="00D939C0">
        <w:t xml:space="preserve"> </w:t>
      </w:r>
      <w:r w:rsidR="00FD37D3" w:rsidRPr="00FD37D3">
        <w:t>CFTR</w:t>
      </w:r>
      <w:r w:rsidR="003B479D">
        <w:t>-</w:t>
      </w:r>
      <w:r w:rsidRPr="00BA368C">
        <w:t xml:space="preserve">related disorders are caused by mutations in the </w:t>
      </w:r>
      <w:r w:rsidRPr="006B3E53">
        <w:t>230</w:t>
      </w:r>
      <w:r w:rsidR="003B479D">
        <w:t>-</w:t>
      </w:r>
      <w:r w:rsidRPr="006B3E53">
        <w:t xml:space="preserve">kb </w:t>
      </w:r>
      <w:r w:rsidR="00A21FD9" w:rsidRPr="00A21FD9">
        <w:rPr>
          <w:i/>
        </w:rPr>
        <w:t>CFTR</w:t>
      </w:r>
      <w:r w:rsidRPr="00BA368C">
        <w:t xml:space="preserve"> gene on chromosome 7, encoding a polypeptide that is 1</w:t>
      </w:r>
      <w:r>
        <w:t>,</w:t>
      </w:r>
      <w:r w:rsidRPr="00BA368C">
        <w:t>480 amino</w:t>
      </w:r>
      <w:r>
        <w:t xml:space="preserve"> </w:t>
      </w:r>
      <w:r w:rsidRPr="00BA368C">
        <w:t>acids long</w:t>
      </w:r>
      <w:r>
        <w:t xml:space="preserve"> </w:t>
      </w:r>
      <w:r w:rsidRPr="00BA368C">
        <w:fldChar w:fldCharType="begin"/>
      </w:r>
      <w:r w:rsidRPr="00BA368C">
        <w:instrText xml:space="preserve"> ADDIN EN.CITE &lt;EndNote&gt;&lt;Cite&gt;&lt;Author&gt;Ratjen&lt;/Author&gt;&lt;Year&gt;2003&lt;/Year&gt;&lt;RecNum&gt;2&lt;/RecNum&gt;&lt;IDText&gt;681-9&lt;/IDText&gt;&lt;DisplayText&gt;(Ratjen, F. &amp;amp; Doring 2003)&lt;/DisplayText&gt;&lt;record&gt;&lt;rec-number&gt;2&lt;/rec-number&gt;&lt;foreign-keys&gt;&lt;key app="EN" db-id="prapatttj2ed0oezfzjxzpwrp5xt20pztewe"&gt;2&lt;/key&gt;&lt;/foreign-keys&gt;&lt;ref-type name="Journal Article"&gt;17&lt;/ref-type&gt;&lt;contributors&gt;&lt;authors&gt;&lt;author&gt;Ratjen, F.&lt;/author&gt;&lt;author&gt;Doring, G.&lt;/author&gt;&lt;/authors&gt;&lt;/contributors&gt;&lt;auth-address&gt;Department of Paediatrics, University of Essen, Essen, Germany. f.ratjen@uni-essen.de&lt;/auth-address&gt;&lt;titles&gt;&lt;title&gt;Cystic fibrosis&lt;/title&gt;&lt;secondary-title&gt;Lancet&lt;/secondary-title&gt;&lt;alt-title&gt;Lancet&lt;/alt-title&gt;&lt;/titles&gt;&lt;periodical&gt;&lt;full-title&gt;Lancet&lt;/full-title&gt;&lt;abbr-1&gt;Lancet&lt;/abbr-1&gt;&lt;/periodical&gt;&lt;alt-periodical&gt;&lt;full-title&gt;Lancet&lt;/full-title&gt;&lt;abbr-1&gt;Lancet&lt;/abbr-1&gt;&lt;/alt-periodical&gt;&lt;pages&gt;681-9&lt;/pages&gt;&lt;volume&gt;361&lt;/volume&gt;&lt;number&gt;9358&lt;/number&gt;&lt;keywords&gt;&lt;keyword&gt;Adolescent&lt;/keyword&gt;&lt;keyword&gt;Animals&lt;/keyword&gt;&lt;keyword&gt;Child&lt;/keyword&gt;&lt;keyword&gt;*Cystic Fibrosis/diagnosis/genetics/physiopathology&lt;/keyword&gt;&lt;keyword&gt;Cystic Fibrosis Transmembrane Conductance Regulator/*genetics&lt;/keyword&gt;&lt;keyword&gt;Genetic Therapy&lt;/keyword&gt;&lt;keyword&gt;Humans&lt;/keyword&gt;&lt;keyword&gt;Infant&lt;/keyword&gt;&lt;keyword&gt;Lung Transplantation&lt;/keyword&gt;&lt;keyword&gt;Mice&lt;/keyword&gt;&lt;keyword&gt;Prognosis&lt;/keyword&gt;&lt;/keywords&gt;&lt;dates&gt;&lt;year&gt;2003&lt;/year&gt;&lt;pub-dates&gt;&lt;date&gt;Feb 22&lt;/date&gt;&lt;/pub-dates&gt;&lt;/dates&gt;&lt;isbn&gt;0140-6736 (Print)&amp;#xD;0140-6736 (Linking)&lt;/isbn&gt;&lt;accession-num&gt;12606185&lt;/accession-num&gt;&lt;urls&gt;&lt;related-urls&gt;&lt;url&gt;http://www.ncbi.nlm.nih.gov/pubmed/12606185&lt;/url&gt;&lt;url&gt;http://ac.els-cdn.com/S0140673603125676/1-s2.0-S0140673603125676-main.pdf?_tid=d6d649f2-0612-11e3-b5ad-00000aab0f6c&amp;amp;acdnat=1376616553_3dfddc8e1eed9170064e3257122377f8&lt;/url&gt;&lt;/related-urls&gt;&lt;/urls&gt;&lt;electronic-resource-num&gt;10.1016/S0140-6736(03)12567-6&lt;/electronic-resource-num&gt;&lt;/record&gt;&lt;/Cite&gt;&lt;/EndNote&gt;</w:instrText>
      </w:r>
      <w:r w:rsidRPr="00BA368C">
        <w:fldChar w:fldCharType="separate"/>
      </w:r>
      <w:r w:rsidRPr="00BA368C">
        <w:rPr>
          <w:noProof/>
        </w:rPr>
        <w:t>(</w:t>
      </w:r>
      <w:hyperlink w:anchor="_ENREF_98" w:tooltip="Ratjen, 2003 #2" w:history="1">
        <w:r w:rsidR="00B46ABF" w:rsidRPr="00BA368C">
          <w:rPr>
            <w:noProof/>
          </w:rPr>
          <w:t>Ratjen &amp; Doring 2003</w:t>
        </w:r>
      </w:hyperlink>
      <w:r w:rsidRPr="00BA368C">
        <w:rPr>
          <w:noProof/>
        </w:rPr>
        <w:t>)</w:t>
      </w:r>
      <w:r w:rsidRPr="00BA368C">
        <w:fldChar w:fldCharType="end"/>
      </w:r>
      <w:r w:rsidRPr="00BA368C">
        <w:t xml:space="preserve">. </w:t>
      </w:r>
      <w:r w:rsidR="00FD37D3" w:rsidRPr="00FD37D3">
        <w:t>CFTR</w:t>
      </w:r>
      <w:r w:rsidRPr="00BA368C">
        <w:t xml:space="preserve"> belongs to a family of transmembrane proteins called ATP-binding cassette (ABC) transporters </w:t>
      </w:r>
      <w:r w:rsidR="003B479D">
        <w:t>that</w:t>
      </w:r>
      <w:r w:rsidR="003B479D" w:rsidRPr="00BA368C">
        <w:t xml:space="preserve"> </w:t>
      </w:r>
      <w:r w:rsidRPr="00BA368C">
        <w:t xml:space="preserve">function as a chloride channel in epithelial membranes </w:t>
      </w:r>
      <w:r w:rsidRPr="00BA368C">
        <w:fldChar w:fldCharType="begin"/>
      </w:r>
      <w:r w:rsidRPr="00BA368C">
        <w:instrText xml:space="preserve"> ADDIN EN.CITE &lt;EndNote&gt;&lt;Cite&gt;&lt;Author&gt;Ratjen&lt;/Author&gt;&lt;Year&gt;2008&lt;/Year&gt;&lt;RecNum&gt;5&lt;/RecNum&gt;&lt;IDText&gt;593 - 604&lt;/IDText&gt;&lt;DisplayText&gt;(Ratjen, F.  &amp;amp; Tullis 2008)&lt;/DisplayText&gt;&lt;record&gt;&lt;rec-number&gt;5&lt;/rec-number&gt;&lt;foreign-keys&gt;&lt;key app="EN" db-id="prapatttj2ed0oezfzjxzpwrp5xt20pztewe"&gt;5&lt;/key&gt;&lt;/foreign-keys&gt;&lt;ref-type name="Book Section"&gt;5&lt;/ref-type&gt;&lt;contributors&gt;&lt;authors&gt;&lt;author&gt;Ratjen, F. &lt;/author&gt;&lt;author&gt;Tullis, E.&lt;/author&gt;&lt;/authors&gt;&lt;/contributors&gt;&lt;titles&gt;&lt;title&gt;Cystic Fibrosis&lt;/title&gt;&lt;secondary-title&gt;Clinical Respiratory Medicine, Third Edition&lt;/secondary-title&gt;&lt;/titles&gt;&lt;pages&gt;593 - 604&lt;/pages&gt;&lt;section&gt;46&lt;/section&gt;&lt;dates&gt;&lt;year&gt;2008&lt;/year&gt;&lt;/dates&gt;&lt;pub-location&gt;Philadelphia, PA&lt;/pub-location&gt;&lt;publisher&gt;Elsevier&lt;/publisher&gt;&lt;urls&gt;&lt;related-urls&gt;&lt;url&gt;http://www.sciencedirect.com/science/book/9780323048255#ancsc0050&lt;/url&gt;&lt;/related-urls&gt;&lt;/urls&gt;&lt;/record&gt;&lt;/Cite&gt;&lt;/EndNote&gt;</w:instrText>
      </w:r>
      <w:r w:rsidRPr="00BA368C">
        <w:fldChar w:fldCharType="separate"/>
      </w:r>
      <w:r w:rsidRPr="00BA368C">
        <w:rPr>
          <w:noProof/>
        </w:rPr>
        <w:t>(</w:t>
      </w:r>
      <w:hyperlink w:anchor="_ENREF_99" w:tooltip="Ratjen, 2008 #5" w:history="1">
        <w:r w:rsidR="00B46ABF" w:rsidRPr="00BA368C">
          <w:rPr>
            <w:noProof/>
          </w:rPr>
          <w:t>Ratjen</w:t>
        </w:r>
        <w:r w:rsidR="00DF5916">
          <w:rPr>
            <w:noProof/>
          </w:rPr>
          <w:t xml:space="preserve"> </w:t>
        </w:r>
        <w:r w:rsidR="00B46ABF" w:rsidRPr="00BA368C">
          <w:rPr>
            <w:noProof/>
          </w:rPr>
          <w:t>&amp; Tullis 2008</w:t>
        </w:r>
      </w:hyperlink>
      <w:r w:rsidRPr="00BA368C">
        <w:rPr>
          <w:noProof/>
        </w:rPr>
        <w:t>)</w:t>
      </w:r>
      <w:r w:rsidRPr="00BA368C">
        <w:fldChar w:fldCharType="end"/>
      </w:r>
      <w:r w:rsidRPr="00BA368C">
        <w:t xml:space="preserve">. Disease expression varies by class of </w:t>
      </w:r>
      <w:r w:rsidR="00FD37D3" w:rsidRPr="00FD37D3">
        <w:t>CFTR</w:t>
      </w:r>
      <w:r w:rsidRPr="00BA368C">
        <w:t xml:space="preserve"> mutation, along with genetic modifiers and environmental factors </w:t>
      </w:r>
      <w:r w:rsidRPr="00BA368C">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00F57AF2">
        <w:instrText xml:space="preserve"> ADDIN EN.CITE </w:instrText>
      </w:r>
      <w:r w:rsidR="00F57AF2">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00F57AF2">
        <w:instrText xml:space="preserve"> ADDIN EN.CITE.DATA </w:instrText>
      </w:r>
      <w:r w:rsidR="00F57AF2">
        <w:fldChar w:fldCharType="end"/>
      </w:r>
      <w:r w:rsidRPr="00BA368C">
        <w:fldChar w:fldCharType="separate"/>
      </w:r>
      <w:r w:rsidRPr="00BA368C">
        <w:rPr>
          <w:noProof/>
        </w:rPr>
        <w:t>(</w:t>
      </w:r>
      <w:hyperlink w:anchor="_ENREF_81" w:tooltip="Moskowitz, 2008 #848" w:history="1">
        <w:r w:rsidR="00B46ABF" w:rsidRPr="00BA368C">
          <w:rPr>
            <w:noProof/>
          </w:rPr>
          <w:t>Moskowitz et al. 2008</w:t>
        </w:r>
      </w:hyperlink>
      <w:r w:rsidRPr="00BA368C">
        <w:rPr>
          <w:noProof/>
        </w:rPr>
        <w:t>)</w:t>
      </w:r>
      <w:r w:rsidRPr="00BA368C">
        <w:fldChar w:fldCharType="end"/>
      </w:r>
      <w:r w:rsidRPr="00BA368C">
        <w:t xml:space="preserve">. </w:t>
      </w:r>
      <w:r w:rsidR="00886B97">
        <w:t>Development of</w:t>
      </w:r>
      <w:r w:rsidR="00886B97" w:rsidRPr="00BA368C">
        <w:t xml:space="preserve"> </w:t>
      </w:r>
      <w:r w:rsidRPr="00BA368C">
        <w:t xml:space="preserve">classic CF requires two loss-of-function mutations in the </w:t>
      </w:r>
      <w:r w:rsidR="00A21FD9" w:rsidRPr="00A21FD9">
        <w:rPr>
          <w:i/>
        </w:rPr>
        <w:t>CFTR</w:t>
      </w:r>
      <w:r w:rsidRPr="00BA368C">
        <w:t xml:space="preserve"> gene. The disorder is characterised by chronic bacterial infection of the airways and sinuses, fat maldigestion due to pancreatic exocrine insufficiency, infertility in males due to</w:t>
      </w:r>
      <w:r w:rsidR="00C03800">
        <w:t xml:space="preserve"> </w:t>
      </w:r>
      <w:r w:rsidR="00886B97" w:rsidRPr="00BA368C">
        <w:t xml:space="preserve">congenital </w:t>
      </w:r>
      <w:r w:rsidR="00C03800">
        <w:t>bilateral</w:t>
      </w:r>
      <w:r w:rsidRPr="00BA368C">
        <w:t xml:space="preserve"> absence of the vas deferens</w:t>
      </w:r>
      <w:r w:rsidR="00886B97">
        <w:t xml:space="preserve"> (C</w:t>
      </w:r>
      <w:r w:rsidR="003B479D">
        <w:t>BAVD)</w:t>
      </w:r>
      <w:r w:rsidRPr="00BA368C">
        <w:t xml:space="preserve">, and high concentrations of chloride in sweat </w:t>
      </w:r>
      <w:r w:rsidRPr="00BA368C">
        <w:fldChar w:fldCharType="begin"/>
      </w:r>
      <w:r w:rsidRPr="00BA368C">
        <w:instrText xml:space="preserve"> ADDIN EN.CITE &lt;EndNote&gt;&lt;Cite&gt;&lt;Author&gt;Knowles&lt;/Author&gt;&lt;Year&gt;2002&lt;/Year&gt;&lt;RecNum&gt;3&lt;/RecNum&gt;&lt;IDText&gt;439-42&lt;/IDText&gt;&lt;DisplayText&gt;(Knowles &amp;amp; Durie 2002)&lt;/DisplayText&gt;&lt;record&gt;&lt;rec-number&gt;3&lt;/rec-number&gt;&lt;foreign-keys&gt;&lt;key app="EN" db-id="prapatttj2ed0oezfzjxzpwrp5xt20pztewe"&gt;3&lt;/key&gt;&lt;/foreign-keys&gt;&lt;ref-type name="Journal Article"&gt;17&lt;/ref-type&gt;&lt;contributors&gt;&lt;authors&gt;&lt;author&gt;Knowles, M. R.&lt;/author&gt;&lt;author&gt;Durie, P. R.&lt;/author&gt;&lt;/authors&gt;&lt;/contributors&gt;&lt;titles&gt;&lt;title&gt;What is cystic fibrosis?&lt;/title&gt;&lt;secondary-title&gt;N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medicine&lt;/abbr-1&gt;&lt;/alt-periodical&gt;&lt;pages&gt;439-42&lt;/pages&gt;&lt;volume&gt;347&lt;/volume&gt;&lt;number&gt;6&lt;/number&gt;&lt;keywords&gt;&lt;keyword&gt;Cystic Fibrosis/classification/diagnosis/*genetics&lt;/keyword&gt;&lt;keyword&gt;Cystic Fibrosis Transmembrane Conductance Regulator/*genetics&lt;/keyword&gt;&lt;keyword&gt;DNA Mutational Analysis&lt;/keyword&gt;&lt;keyword&gt;Humans&lt;/keyword&gt;&lt;keyword&gt;*Mutation&lt;/keyword&gt;&lt;keyword&gt;Phenotype&lt;/keyword&gt;&lt;/keywords&gt;&lt;dates&gt;&lt;year&gt;2002&lt;/year&gt;&lt;pub-dates&gt;&lt;date&gt;Aug 8&lt;/date&gt;&lt;/pub-dates&gt;&lt;/dates&gt;&lt;isbn&gt;1533-4406 (Electronic)&amp;#xD;0028-4793 (Linking)&lt;/isbn&gt;&lt;accession-num&gt;12167688&lt;/accession-num&gt;&lt;urls&gt;&lt;related-urls&gt;&lt;url&gt;http://www.ncbi.nlm.nih.gov/pubmed/12167688&lt;/url&gt;&lt;url&gt;http://www.nejm.org/doi/pdf/10.1056/NEJMe020070&lt;/url&gt;&lt;/related-urls&gt;&lt;/urls&gt;&lt;electronic-resource-num&gt;10.1056/NEJMe020070&lt;/electronic-resource-num&gt;&lt;/record&gt;&lt;/Cite&gt;&lt;/EndNote&gt;</w:instrText>
      </w:r>
      <w:r w:rsidRPr="00BA368C">
        <w:fldChar w:fldCharType="separate"/>
      </w:r>
      <w:r w:rsidRPr="00BA368C">
        <w:rPr>
          <w:noProof/>
        </w:rPr>
        <w:t>(</w:t>
      </w:r>
      <w:hyperlink w:anchor="_ENREF_62" w:tooltip="Knowles, 2002 #3" w:history="1">
        <w:r w:rsidR="00B46ABF" w:rsidRPr="00BA368C">
          <w:rPr>
            <w:noProof/>
          </w:rPr>
          <w:t>Knowles &amp; Durie 2002</w:t>
        </w:r>
      </w:hyperlink>
      <w:r w:rsidRPr="00BA368C">
        <w:rPr>
          <w:noProof/>
        </w:rPr>
        <w:t>)</w:t>
      </w:r>
      <w:r w:rsidRPr="00BA368C">
        <w:fldChar w:fldCharType="end"/>
      </w:r>
      <w:r w:rsidRPr="00BA368C">
        <w:t>.</w:t>
      </w:r>
      <w:r w:rsidR="003B479D">
        <w:t xml:space="preserve"> </w:t>
      </w:r>
      <w:r w:rsidRPr="00BA368C">
        <w:t xml:space="preserve">The most common changes are seen in the airways, where classic CF causes chronic pulmonary infections. Non-classic CF develops when there is at least one ‘mild’ mutation that results in partial functionality of the </w:t>
      </w:r>
      <w:r w:rsidR="00FD37D3" w:rsidRPr="00FD37D3">
        <w:t>CFTR</w:t>
      </w:r>
      <w:r w:rsidRPr="00BA368C">
        <w:t xml:space="preserve"> protein. Some of these mutations are linked to diseases of one organ, such as late onset pulmonary disease, CBAVD or idiopathic pancreatitis </w:t>
      </w:r>
      <w:r w:rsidRPr="00BA368C">
        <w:fldChar w:fldCharType="begin"/>
      </w:r>
      <w:r w:rsidRPr="00BA368C">
        <w:instrText xml:space="preserve"> ADDIN EN.CITE &lt;EndNote&gt;&lt;Cite&gt;&lt;Author&gt;Knowles&lt;/Author&gt;&lt;Year&gt;2002&lt;/Year&gt;&lt;RecNum&gt;3&lt;/RecNum&gt;&lt;IDText&gt;439-42&lt;/IDText&gt;&lt;DisplayText&gt;(Knowles &amp;amp; Durie 2002)&lt;/DisplayText&gt;&lt;record&gt;&lt;rec-number&gt;3&lt;/rec-number&gt;&lt;foreign-keys&gt;&lt;key app="EN" db-id="prapatttj2ed0oezfzjxzpwrp5xt20pztewe"&gt;3&lt;/key&gt;&lt;/foreign-keys&gt;&lt;ref-type name="Journal Article"&gt;17&lt;/ref-type&gt;&lt;contributors&gt;&lt;authors&gt;&lt;author&gt;Knowles, M. R.&lt;/author&gt;&lt;author&gt;Durie, P. R.&lt;/author&gt;&lt;/authors&gt;&lt;/contributors&gt;&lt;titles&gt;&lt;title&gt;What is cystic fibrosis?&lt;/title&gt;&lt;secondary-title&gt;N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medicine&lt;/abbr-1&gt;&lt;/alt-periodical&gt;&lt;pages&gt;439-42&lt;/pages&gt;&lt;volume&gt;347&lt;/volume&gt;&lt;number&gt;6&lt;/number&gt;&lt;keywords&gt;&lt;keyword&gt;Cystic Fibrosis/classification/diagnosis/*genetics&lt;/keyword&gt;&lt;keyword&gt;Cystic Fibrosis Transmembrane Conductance Regulator/*genetics&lt;/keyword&gt;&lt;keyword&gt;DNA Mutational Analysis&lt;/keyword&gt;&lt;keyword&gt;Humans&lt;/keyword&gt;&lt;keyword&gt;*Mutation&lt;/keyword&gt;&lt;keyword&gt;Phenotype&lt;/keyword&gt;&lt;/keywords&gt;&lt;dates&gt;&lt;year&gt;2002&lt;/year&gt;&lt;pub-dates&gt;&lt;date&gt;Aug 8&lt;/date&gt;&lt;/pub-dates&gt;&lt;/dates&gt;&lt;isbn&gt;1533-4406 (Electronic)&amp;#xD;0028-4793 (Linking)&lt;/isbn&gt;&lt;accession-num&gt;12167688&lt;/accession-num&gt;&lt;urls&gt;&lt;related-urls&gt;&lt;url&gt;http://www.ncbi.nlm.nih.gov/pubmed/12167688&lt;/url&gt;&lt;url&gt;http://www.nejm.org/doi/pdf/10.1056/NEJMe020070&lt;/url&gt;&lt;/related-urls&gt;&lt;/urls&gt;&lt;electronic-resource-num&gt;10.1056/NEJMe020070&lt;/electronic-resource-num&gt;&lt;/record&gt;&lt;/Cite&gt;&lt;/EndNote&gt;</w:instrText>
      </w:r>
      <w:r w:rsidRPr="00BA368C">
        <w:fldChar w:fldCharType="separate"/>
      </w:r>
      <w:r w:rsidRPr="00BA368C">
        <w:rPr>
          <w:noProof/>
        </w:rPr>
        <w:t>(</w:t>
      </w:r>
      <w:hyperlink w:anchor="_ENREF_62" w:tooltip="Knowles, 2002 #3" w:history="1">
        <w:r w:rsidR="00B46ABF" w:rsidRPr="00BA368C">
          <w:rPr>
            <w:noProof/>
          </w:rPr>
          <w:t>Knowles &amp; Durie 2002</w:t>
        </w:r>
      </w:hyperlink>
      <w:r w:rsidRPr="00BA368C">
        <w:rPr>
          <w:noProof/>
        </w:rPr>
        <w:t>)</w:t>
      </w:r>
      <w:r w:rsidRPr="00BA368C">
        <w:fldChar w:fldCharType="end"/>
      </w:r>
      <w:r w:rsidRPr="00BA368C">
        <w:t xml:space="preserve">. These patients are usually pancreatic sufficient, have chloride values that are close to normal and are typically diagnosed at an older age </w:t>
      </w:r>
      <w:r w:rsidRPr="00BA368C">
        <w:fldChar w:fldCharType="begin"/>
      </w:r>
      <w:r w:rsidRPr="00BA368C">
        <w:instrText xml:space="preserve"> ADDIN EN.CITE &lt;EndNote&gt;&lt;Cite&gt;&lt;Author&gt;Ratjen&lt;/Author&gt;&lt;Year&gt;2008&lt;/Year&gt;&lt;RecNum&gt;5&lt;/RecNum&gt;&lt;IDText&gt;593 - 604&lt;/IDText&gt;&lt;DisplayText&gt;(Ratjen, F.  &amp;amp; Tullis 2008)&lt;/DisplayText&gt;&lt;record&gt;&lt;rec-number&gt;5&lt;/rec-number&gt;&lt;foreign-keys&gt;&lt;key app="EN" db-id="prapatttj2ed0oezfzjxzpwrp5xt20pztewe"&gt;5&lt;/key&gt;&lt;/foreign-keys&gt;&lt;ref-type name="Book Section"&gt;5&lt;/ref-type&gt;&lt;contributors&gt;&lt;authors&gt;&lt;author&gt;Ratjen, F. &lt;/author&gt;&lt;author&gt;Tullis, E.&lt;/author&gt;&lt;/authors&gt;&lt;/contributors&gt;&lt;titles&gt;&lt;title&gt;Cystic Fibrosis&lt;/title&gt;&lt;secondary-title&gt;Clinical Respiratory Medicine, Third Edition&lt;/secondary-title&gt;&lt;/titles&gt;&lt;pages&gt;593 - 604&lt;/pages&gt;&lt;section&gt;46&lt;/section&gt;&lt;dates&gt;&lt;year&gt;2008&lt;/year&gt;&lt;/dates&gt;&lt;pub-location&gt;Philadelphia, PA&lt;/pub-location&gt;&lt;publisher&gt;Elsevier&lt;/publisher&gt;&lt;urls&gt;&lt;related-urls&gt;&lt;url&gt;http://www.sciencedirect.com/science/book/9780323048255#ancsc0050&lt;/url&gt;&lt;/related-urls&gt;&lt;/urls&gt;&lt;/record&gt;&lt;/Cite&gt;&lt;/EndNote&gt;</w:instrText>
      </w:r>
      <w:r w:rsidRPr="00BA368C">
        <w:fldChar w:fldCharType="separate"/>
      </w:r>
      <w:r w:rsidRPr="00BA368C">
        <w:rPr>
          <w:noProof/>
        </w:rPr>
        <w:t>(</w:t>
      </w:r>
      <w:hyperlink w:anchor="_ENREF_99" w:tooltip="Ratjen, 2008 #5" w:history="1">
        <w:r w:rsidR="00B46ABF" w:rsidRPr="00BA368C">
          <w:rPr>
            <w:noProof/>
          </w:rPr>
          <w:t>Ratjen</w:t>
        </w:r>
        <w:r w:rsidR="00DF5916">
          <w:rPr>
            <w:noProof/>
          </w:rPr>
          <w:t xml:space="preserve"> </w:t>
        </w:r>
        <w:r w:rsidR="00B46ABF" w:rsidRPr="00BA368C">
          <w:rPr>
            <w:noProof/>
          </w:rPr>
          <w:t>&amp; Tullis 2008</w:t>
        </w:r>
      </w:hyperlink>
      <w:r w:rsidRPr="00BA368C">
        <w:rPr>
          <w:noProof/>
        </w:rPr>
        <w:t>)</w:t>
      </w:r>
      <w:r w:rsidRPr="00BA368C">
        <w:fldChar w:fldCharType="end"/>
      </w:r>
      <w:r w:rsidRPr="00BA368C">
        <w:t xml:space="preserve">. The best correlation between genotype and phenotype in CF is seen in the context of pancreatic function. Prognosis in classical CF largely </w:t>
      </w:r>
      <w:r w:rsidRPr="00BA368C">
        <w:lastRenderedPageBreak/>
        <w:t>depends on whether the affected individual is pancreatic sufficient or insufficient (most are insufficient). Different genotype</w:t>
      </w:r>
      <w:r w:rsidR="00D0275B">
        <w:t>–</w:t>
      </w:r>
      <w:r w:rsidRPr="00BA368C">
        <w:t>phenotype correlations are shown in</w:t>
      </w:r>
      <w:r w:rsidR="006B7478">
        <w:t xml:space="preserve"> </w:t>
      </w:r>
      <w:r w:rsidR="006B7478">
        <w:fldChar w:fldCharType="begin"/>
      </w:r>
      <w:r w:rsidR="006B7478">
        <w:instrText xml:space="preserve"> REF _Ref413227284 \h </w:instrText>
      </w:r>
      <w:r w:rsidR="006B7478">
        <w:fldChar w:fldCharType="separate"/>
      </w:r>
      <w:r w:rsidR="00BB0E3E" w:rsidRPr="008210FE">
        <w:t xml:space="preserve">Table </w:t>
      </w:r>
      <w:r w:rsidR="00BB0E3E">
        <w:rPr>
          <w:noProof/>
        </w:rPr>
        <w:t>6</w:t>
      </w:r>
      <w:r w:rsidR="006B7478">
        <w:fldChar w:fldCharType="end"/>
      </w:r>
      <w:r w:rsidR="009C1DCC">
        <w:t xml:space="preserve"> (</w:t>
      </w:r>
      <w:r w:rsidR="009C1DCC" w:rsidRPr="00C07180">
        <w:t xml:space="preserve">page </w:t>
      </w:r>
      <w:r w:rsidR="009C1DCC" w:rsidRPr="00C07180">
        <w:fldChar w:fldCharType="begin"/>
      </w:r>
      <w:r w:rsidR="009C1DCC" w:rsidRPr="00C07180">
        <w:instrText xml:space="preserve"> PAGEREF _Ref412534594 \h </w:instrText>
      </w:r>
      <w:r w:rsidR="009C1DCC" w:rsidRPr="00C07180">
        <w:fldChar w:fldCharType="separate"/>
      </w:r>
      <w:r w:rsidR="00BB0E3E">
        <w:rPr>
          <w:noProof/>
        </w:rPr>
        <w:t>36</w:t>
      </w:r>
      <w:r w:rsidR="009C1DCC" w:rsidRPr="00C07180">
        <w:fldChar w:fldCharType="end"/>
      </w:r>
      <w:r w:rsidR="009C1DCC">
        <w:t>)</w:t>
      </w:r>
      <w:r w:rsidR="00D939C0">
        <w:t>.</w:t>
      </w:r>
    </w:p>
    <w:p w14:paraId="1A4610EB" w14:textId="28E86837" w:rsidR="00AE4FA3" w:rsidRPr="00BA368C" w:rsidRDefault="00FD37D3" w:rsidP="00AE4FA3">
      <w:r w:rsidRPr="00FD37D3">
        <w:t>CFTR</w:t>
      </w:r>
      <w:r w:rsidR="00AE4FA3" w:rsidRPr="00BA368C">
        <w:t xml:space="preserve"> mutations can be grouped into six classes </w:t>
      </w:r>
      <w:r w:rsidR="00AE4FA3" w:rsidRPr="00BA368C">
        <w:fldChar w:fldCharType="begin"/>
      </w:r>
      <w:r w:rsidR="00AE4FA3" w:rsidRPr="00BA368C">
        <w:instrText xml:space="preserve"> ADDIN EN.CITE &lt;EndNote&gt;&lt;Cite&gt;&lt;Author&gt;Rowe&lt;/Author&gt;&lt;Year&gt;2005&lt;/Year&gt;&lt;RecNum&gt;1&lt;/RecNum&gt;&lt;IDText&gt;1992-2001&lt;/IDText&gt;&lt;DisplayText&gt;(Rowe, Miller &amp;amp; Sorscher 2005)&lt;/DisplayText&gt;&lt;record&gt;&lt;rec-number&gt;1&lt;/rec-number&gt;&lt;foreign-keys&gt;&lt;key app="EN" db-id="prapatttj2ed0oezfzjxzpwrp5xt20pztewe"&gt;1&lt;/key&gt;&lt;/foreign-keys&gt;&lt;ref-type name="Journal Article"&gt;17&lt;/ref-type&gt;&lt;contributors&gt;&lt;authors&gt;&lt;author&gt;Rowe, S. M.&lt;/author&gt;&lt;author&gt;Miller, S.&lt;/author&gt;&lt;author&gt;Sorscher, E. J.&lt;/author&gt;&lt;/authors&gt;&lt;/contributors&gt;&lt;auth-address&gt;Gregory Fleming James Cystic Fibrosis Research Center, University of Alabama at Birmingham, Birmingham, AL 35294, USA.&lt;/auth-address&gt;&lt;titles&gt;&lt;title&gt;Cystic fibrosis&lt;/title&gt;&lt;secondary-title&gt;N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medicine&lt;/abbr-1&gt;&lt;/alt-periodical&gt;&lt;pages&gt;1992-2001&lt;/pages&gt;&lt;volume&gt;352&lt;/volume&gt;&lt;number&gt;19&lt;/number&gt;&lt;keywords&gt;&lt;keyword&gt;Absorption&lt;/keyword&gt;&lt;keyword&gt;Body Fluids/secretion&lt;/keyword&gt;&lt;keyword&gt;Cystic Fibrosis/genetics/*metabolism/pathology&lt;/keyword&gt;&lt;keyword&gt;Cystic Fibrosis Transmembrane Conductance&lt;/keyword&gt;&lt;keyword&gt;Regulator/chemistry/genetics/*metabolism&lt;/keyword&gt;&lt;keyword&gt;Humans&lt;/keyword&gt;&lt;keyword&gt;Mutation&lt;/keyword&gt;&lt;keyword&gt;Respiratory Mucosa/pathology/secretion&lt;/keyword&gt;&lt;keyword&gt;Sodium Chloride/*metabolism&lt;/keyword&gt;&lt;keyword&gt;Sweat/chemistry&lt;/keyword&gt;&lt;keyword&gt;Sweat Glands/metabolism&lt;/keyword&gt;&lt;/keywords&gt;&lt;dates&gt;&lt;year&gt;2005&lt;/year&gt;&lt;pub-dates&gt;&lt;date&gt;May 12&lt;/date&gt;&lt;/pub-dates&gt;&lt;/dates&gt;&lt;isbn&gt;1533-4406 (Electronic)&amp;#xD;0028-4793 (Linking)&lt;/isbn&gt;&lt;accession-num&gt;15888700&lt;/accession-num&gt;&lt;urls&gt;&lt;related-urls&gt;&lt;url&gt;http://www.ncbi.nlm.nih.gov/pubmed/15888700&lt;/url&gt;&lt;url&gt;http://www.nejm.org/doi/pdf/10.1056/NEJMra043184&lt;/url&gt;&lt;/related-urls&gt;&lt;/urls&gt;&lt;electronic-resource-num&gt;10.1056/NEJMra043184&lt;/electronic-resource-num&gt;&lt;/record&gt;&lt;/Cite&gt;&lt;/EndNote&gt;</w:instrText>
      </w:r>
      <w:r w:rsidR="00AE4FA3" w:rsidRPr="00BA368C">
        <w:fldChar w:fldCharType="separate"/>
      </w:r>
      <w:r w:rsidR="00AE4FA3" w:rsidRPr="00BA368C">
        <w:rPr>
          <w:noProof/>
        </w:rPr>
        <w:t>(</w:t>
      </w:r>
      <w:hyperlink w:anchor="_ENREF_104" w:tooltip="Rowe, 2005 #1" w:history="1">
        <w:r w:rsidR="00B46ABF" w:rsidRPr="00BA368C">
          <w:rPr>
            <w:noProof/>
          </w:rPr>
          <w:t>Rowe, Miller &amp; Sorscher 2005</w:t>
        </w:r>
      </w:hyperlink>
      <w:r w:rsidR="00AE4FA3" w:rsidRPr="00BA368C">
        <w:rPr>
          <w:noProof/>
        </w:rPr>
        <w:t>)</w:t>
      </w:r>
      <w:r w:rsidR="00AE4FA3" w:rsidRPr="00BA368C">
        <w:fldChar w:fldCharType="end"/>
      </w:r>
      <w:r w:rsidR="00AE4FA3" w:rsidRPr="00BA368C">
        <w:t>:</w:t>
      </w:r>
    </w:p>
    <w:p w14:paraId="0D03CB42" w14:textId="4A477332" w:rsidR="00AE4FA3" w:rsidRPr="00BA368C" w:rsidRDefault="00AE4FA3" w:rsidP="0010004D">
      <w:pPr>
        <w:spacing w:after="120"/>
      </w:pPr>
      <w:r w:rsidRPr="00BA368C">
        <w:t xml:space="preserve">Class </w:t>
      </w:r>
      <w:r w:rsidR="008B48FE">
        <w:t>I</w:t>
      </w:r>
      <w:r w:rsidR="00D0275B">
        <w:t>–</w:t>
      </w:r>
      <w:r w:rsidR="008B48FE">
        <w:t>III</w:t>
      </w:r>
      <w:r w:rsidRPr="00BA368C">
        <w:t xml:space="preserve"> mutations are associated with classic CF</w:t>
      </w:r>
      <w:r w:rsidR="00D0275B">
        <w:t>—</w:t>
      </w:r>
      <w:r w:rsidRPr="00BA368C">
        <w:t>pancreatic exocrine insufficiency and progressive lung disease</w:t>
      </w:r>
      <w:r w:rsidR="00886B97">
        <w:t>, exhibiting</w:t>
      </w:r>
      <w:r w:rsidR="00415CD9">
        <w:t>:</w:t>
      </w:r>
      <w:r w:rsidRPr="00BA368C">
        <w:t xml:space="preserve"> </w:t>
      </w:r>
    </w:p>
    <w:p w14:paraId="65996C2E" w14:textId="321B1843" w:rsidR="00AE4FA3" w:rsidRPr="00BA368C" w:rsidRDefault="00E530C5" w:rsidP="0010004D">
      <w:pPr>
        <w:numPr>
          <w:ilvl w:val="0"/>
          <w:numId w:val="56"/>
        </w:numPr>
        <w:spacing w:after="0"/>
      </w:pPr>
      <w:r>
        <w:t xml:space="preserve"> t</w:t>
      </w:r>
      <w:r w:rsidR="00AE4FA3" w:rsidRPr="00BA368C">
        <w:t xml:space="preserve">he absence of synthesis of the </w:t>
      </w:r>
      <w:r w:rsidR="00FD37D3" w:rsidRPr="00FD37D3">
        <w:t>CFTR</w:t>
      </w:r>
      <w:r w:rsidR="00AE4FA3" w:rsidRPr="00BA368C">
        <w:t xml:space="preserve"> protein</w:t>
      </w:r>
    </w:p>
    <w:p w14:paraId="49D80C4F" w14:textId="547E86AC" w:rsidR="00AE4FA3" w:rsidRPr="00BA368C" w:rsidRDefault="00E530C5" w:rsidP="0010004D">
      <w:pPr>
        <w:numPr>
          <w:ilvl w:val="0"/>
          <w:numId w:val="56"/>
        </w:numPr>
        <w:spacing w:after="0"/>
      </w:pPr>
      <w:r>
        <w:t xml:space="preserve"> d</w:t>
      </w:r>
      <w:r w:rsidR="00AE4FA3" w:rsidRPr="00BA368C">
        <w:t>efective protein maturation and premature degradation</w:t>
      </w:r>
    </w:p>
    <w:p w14:paraId="005D0640" w14:textId="15016781" w:rsidR="00AE4FA3" w:rsidRPr="00BA368C" w:rsidRDefault="00E530C5" w:rsidP="0010004D">
      <w:pPr>
        <w:numPr>
          <w:ilvl w:val="0"/>
          <w:numId w:val="56"/>
        </w:numPr>
        <w:spacing w:after="0"/>
      </w:pPr>
      <w:r>
        <w:t xml:space="preserve"> d</w:t>
      </w:r>
      <w:r w:rsidR="00AE4FA3" w:rsidRPr="00BA368C">
        <w:t>isordered regulation, such as diminished ATP binding and hydrolysis</w:t>
      </w:r>
    </w:p>
    <w:p w14:paraId="0BC566AC" w14:textId="77777777" w:rsidR="00AE4FA3" w:rsidRPr="00BA368C" w:rsidRDefault="00AE4FA3" w:rsidP="00AE4FA3">
      <w:pPr>
        <w:spacing w:after="0"/>
        <w:ind w:left="720"/>
      </w:pPr>
    </w:p>
    <w:p w14:paraId="2F00886A" w14:textId="3BE63150" w:rsidR="00AE4FA3" w:rsidRPr="00BA368C" w:rsidRDefault="00AE4FA3" w:rsidP="0010004D">
      <w:pPr>
        <w:spacing w:after="120"/>
      </w:pPr>
      <w:r w:rsidRPr="00BA368C">
        <w:t xml:space="preserve">Class </w:t>
      </w:r>
      <w:r w:rsidR="008B48FE">
        <w:t>IV</w:t>
      </w:r>
      <w:r w:rsidR="00415CD9">
        <w:t>–</w:t>
      </w:r>
      <w:r w:rsidR="008B48FE">
        <w:t>VI</w:t>
      </w:r>
      <w:r w:rsidRPr="00BA368C">
        <w:t xml:space="preserve"> mutations give a broader phenotype (and less severe disease) due to some functionality of the </w:t>
      </w:r>
      <w:r w:rsidR="00FD37D3" w:rsidRPr="00FD37D3">
        <w:t>CFTR</w:t>
      </w:r>
      <w:r w:rsidRPr="00BA368C">
        <w:t xml:space="preserve"> protein, usually without pancreatic insufficiency</w:t>
      </w:r>
      <w:r w:rsidR="00886B97">
        <w:t>, showing</w:t>
      </w:r>
      <w:r w:rsidR="00D15B76">
        <w:t>:</w:t>
      </w:r>
      <w:r w:rsidRPr="00BA368C">
        <w:t xml:space="preserve"> </w:t>
      </w:r>
    </w:p>
    <w:p w14:paraId="427E07A4" w14:textId="08FEA64E" w:rsidR="00AE4FA3" w:rsidRPr="00BA368C" w:rsidRDefault="00E530C5" w:rsidP="0010004D">
      <w:pPr>
        <w:numPr>
          <w:ilvl w:val="0"/>
          <w:numId w:val="56"/>
        </w:numPr>
        <w:spacing w:after="0"/>
      </w:pPr>
      <w:r>
        <w:t xml:space="preserve"> d</w:t>
      </w:r>
      <w:r w:rsidR="00AE4FA3" w:rsidRPr="00BA368C">
        <w:t>efective chloride conductance or channel gating, leading to partial channel activity</w:t>
      </w:r>
    </w:p>
    <w:p w14:paraId="77F7F18F" w14:textId="2C3EA274" w:rsidR="00AE4FA3" w:rsidRPr="00BA368C" w:rsidRDefault="00E530C5" w:rsidP="0010004D">
      <w:pPr>
        <w:numPr>
          <w:ilvl w:val="0"/>
          <w:numId w:val="56"/>
        </w:numPr>
        <w:spacing w:after="0"/>
      </w:pPr>
      <w:r>
        <w:t xml:space="preserve"> r</w:t>
      </w:r>
      <w:r w:rsidR="00AE4FA3" w:rsidRPr="00BA368C">
        <w:t xml:space="preserve">educed number of </w:t>
      </w:r>
      <w:r w:rsidR="00FD37D3" w:rsidRPr="00FD37D3">
        <w:t>CFTR</w:t>
      </w:r>
      <w:r w:rsidR="00AE4FA3" w:rsidRPr="00BA368C">
        <w:t xml:space="preserve"> transcripts due to a promotor or splicing abnormality</w:t>
      </w:r>
    </w:p>
    <w:p w14:paraId="7DFAEE56" w14:textId="79EB04BE" w:rsidR="00AE4FA3" w:rsidRPr="00BA368C" w:rsidRDefault="00E530C5" w:rsidP="0010004D">
      <w:pPr>
        <w:numPr>
          <w:ilvl w:val="0"/>
          <w:numId w:val="56"/>
        </w:numPr>
        <w:spacing w:after="0"/>
      </w:pPr>
      <w:r>
        <w:t xml:space="preserve"> a</w:t>
      </w:r>
      <w:r w:rsidR="00AE4FA3" w:rsidRPr="00BA368C">
        <w:t xml:space="preserve">ccelerated turnover from the cell surface due to defective stability of the </w:t>
      </w:r>
      <w:r w:rsidR="00FD37D3" w:rsidRPr="00FD37D3">
        <w:t>CFTR</w:t>
      </w:r>
      <w:r w:rsidR="00AE4FA3" w:rsidRPr="00BA368C">
        <w:t xml:space="preserve"> protein.</w:t>
      </w:r>
    </w:p>
    <w:p w14:paraId="1E964EF5" w14:textId="77777777" w:rsidR="00AE4FA3" w:rsidRPr="00BA368C" w:rsidRDefault="00AE4FA3" w:rsidP="00AE4FA3">
      <w:pPr>
        <w:spacing w:after="0"/>
        <w:ind w:left="720"/>
      </w:pPr>
    </w:p>
    <w:p w14:paraId="075FCE45" w14:textId="266C13C2" w:rsidR="00AE4FA3" w:rsidRPr="006B3E53" w:rsidRDefault="00AE4FA3" w:rsidP="00AE4FA3">
      <w:pPr>
        <w:rPr>
          <w:rFonts w:asciiTheme="minorHAnsi" w:hAnsiTheme="minorHAnsi"/>
        </w:rPr>
      </w:pPr>
      <w:r w:rsidRPr="006B3E53">
        <w:rPr>
          <w:rFonts w:asciiTheme="minorHAnsi" w:hAnsiTheme="minorHAnsi"/>
        </w:rPr>
        <w:t>To date</w:t>
      </w:r>
      <w:r w:rsidR="00B46680">
        <w:rPr>
          <w:rFonts w:asciiTheme="minorHAnsi" w:hAnsiTheme="minorHAnsi"/>
        </w:rPr>
        <w:t>,</w:t>
      </w:r>
      <w:r w:rsidRPr="006B3E53">
        <w:rPr>
          <w:rFonts w:asciiTheme="minorHAnsi" w:hAnsiTheme="minorHAnsi"/>
        </w:rPr>
        <w:t xml:space="preserve"> 1,993 mutations in the </w:t>
      </w:r>
      <w:r w:rsidR="00A21FD9" w:rsidRPr="00A21FD9">
        <w:rPr>
          <w:rFonts w:asciiTheme="minorHAnsi" w:hAnsiTheme="minorHAnsi"/>
          <w:i/>
        </w:rPr>
        <w:t>CFTR</w:t>
      </w:r>
      <w:r w:rsidRPr="006B3E53">
        <w:rPr>
          <w:rFonts w:asciiTheme="minorHAnsi" w:hAnsiTheme="minorHAnsi"/>
        </w:rPr>
        <w:t xml:space="preserve"> gene are listed on the Cystic Fibrosis Mutation </w:t>
      </w:r>
      <w:r>
        <w:rPr>
          <w:rFonts w:asciiTheme="minorHAnsi" w:hAnsiTheme="minorHAnsi"/>
        </w:rPr>
        <w:t>D</w:t>
      </w:r>
      <w:r w:rsidRPr="006B3E53">
        <w:rPr>
          <w:rFonts w:asciiTheme="minorHAnsi" w:hAnsiTheme="minorHAnsi"/>
        </w:rPr>
        <w:t>atabase</w:t>
      </w:r>
      <w:r w:rsidRPr="006B3E53">
        <w:rPr>
          <w:rFonts w:asciiTheme="minorHAnsi" w:hAnsiTheme="minorHAnsi"/>
          <w:vertAlign w:val="superscript"/>
        </w:rPr>
        <w:footnoteReference w:id="2"/>
      </w:r>
      <w:r w:rsidRPr="006B3E53">
        <w:rPr>
          <w:rFonts w:asciiTheme="minorHAnsi" w:hAnsiTheme="minorHAnsi"/>
        </w:rPr>
        <w:t>. Most are either point mutations or small deletion/insertion mutations that can be detected by DNA sequencing, exon</w:t>
      </w:r>
      <w:r w:rsidR="00E51E9B">
        <w:rPr>
          <w:rFonts w:asciiTheme="minorHAnsi" w:hAnsiTheme="minorHAnsi"/>
        </w:rPr>
        <w:t>-</w:t>
      </w:r>
      <w:r w:rsidRPr="006B3E53">
        <w:rPr>
          <w:rFonts w:asciiTheme="minorHAnsi" w:hAnsiTheme="minorHAnsi"/>
        </w:rPr>
        <w:t xml:space="preserve">scanning-based </w:t>
      </w:r>
      <w:r w:rsidR="00FD37D3" w:rsidRPr="00FD37D3">
        <w:rPr>
          <w:rFonts w:asciiTheme="minorHAnsi" w:hAnsiTheme="minorHAnsi"/>
        </w:rPr>
        <w:t>CFTR</w:t>
      </w:r>
      <w:r w:rsidRPr="006B3E53">
        <w:rPr>
          <w:rFonts w:asciiTheme="minorHAnsi" w:hAnsiTheme="minorHAnsi"/>
        </w:rPr>
        <w:t xml:space="preserve"> mutation tests</w:t>
      </w:r>
      <w:r w:rsidR="00F57648">
        <w:rPr>
          <w:rFonts w:asciiTheme="minorHAnsi" w:hAnsiTheme="minorHAnsi"/>
        </w:rPr>
        <w:t>,</w:t>
      </w:r>
      <w:r w:rsidRPr="006B3E53">
        <w:rPr>
          <w:rFonts w:asciiTheme="minorHAnsi" w:hAnsiTheme="minorHAnsi"/>
        </w:rPr>
        <w:t xml:space="preserve"> </w:t>
      </w:r>
      <w:r w:rsidR="00F57648">
        <w:rPr>
          <w:rFonts w:asciiTheme="minorHAnsi" w:hAnsiTheme="minorHAnsi"/>
        </w:rPr>
        <w:t>or</w:t>
      </w:r>
      <w:r w:rsidRPr="006B3E53">
        <w:rPr>
          <w:rFonts w:asciiTheme="minorHAnsi" w:hAnsiTheme="minorHAnsi"/>
        </w:rPr>
        <w:t xml:space="preserve"> panel-based </w:t>
      </w:r>
      <w:r w:rsidR="00FD37D3" w:rsidRPr="00FD37D3">
        <w:rPr>
          <w:rFonts w:asciiTheme="minorHAnsi" w:hAnsiTheme="minorHAnsi"/>
        </w:rPr>
        <w:t>CFTR</w:t>
      </w:r>
      <w:r w:rsidRPr="006B3E53">
        <w:rPr>
          <w:rFonts w:asciiTheme="minorHAnsi" w:hAnsiTheme="minorHAnsi"/>
        </w:rPr>
        <w:t xml:space="preserve"> mutation tests if the mutation is included in the test’s mutation panel</w:t>
      </w:r>
      <w:r>
        <w:rPr>
          <w:rFonts w:asciiTheme="minorHAnsi" w:hAnsiTheme="minorHAnsi"/>
        </w:rPr>
        <w:t xml:space="preserve"> </w:t>
      </w:r>
      <w:r w:rsidRPr="00BA368C">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00F57AF2">
        <w:instrText xml:space="preserve"> ADDIN EN.CITE </w:instrText>
      </w:r>
      <w:r w:rsidR="00F57AF2">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00F57AF2">
        <w:instrText xml:space="preserve"> ADDIN EN.CITE.DATA </w:instrText>
      </w:r>
      <w:r w:rsidR="00F57AF2">
        <w:fldChar w:fldCharType="end"/>
      </w:r>
      <w:r w:rsidRPr="00BA368C">
        <w:fldChar w:fldCharType="separate"/>
      </w:r>
      <w:r w:rsidR="002D6F40">
        <w:rPr>
          <w:noProof/>
        </w:rPr>
        <w:t>(</w:t>
      </w:r>
      <w:hyperlink w:anchor="_ENREF_81" w:tooltip="Moskowitz, 2008 #848" w:history="1">
        <w:r w:rsidR="00B46ABF">
          <w:rPr>
            <w:noProof/>
          </w:rPr>
          <w:t>Moskowitz et al. 2008</w:t>
        </w:r>
      </w:hyperlink>
      <w:r w:rsidR="002D6F40">
        <w:rPr>
          <w:noProof/>
        </w:rPr>
        <w:t>)</w:t>
      </w:r>
      <w:r w:rsidRPr="00BA368C">
        <w:fldChar w:fldCharType="end"/>
      </w:r>
      <w:r w:rsidRPr="006B3E53">
        <w:rPr>
          <w:rFonts w:asciiTheme="minorHAnsi" w:hAnsiTheme="minorHAnsi"/>
        </w:rPr>
        <w:t xml:space="preserve">. </w:t>
      </w:r>
      <w:r>
        <w:rPr>
          <w:rFonts w:asciiTheme="minorHAnsi" w:hAnsiTheme="minorHAnsi"/>
        </w:rPr>
        <w:t>L</w:t>
      </w:r>
      <w:r w:rsidRPr="006B3E53">
        <w:rPr>
          <w:rFonts w:asciiTheme="minorHAnsi" w:hAnsiTheme="minorHAnsi"/>
        </w:rPr>
        <w:t xml:space="preserve">arge deletion </w:t>
      </w:r>
      <w:r>
        <w:rPr>
          <w:rFonts w:asciiTheme="minorHAnsi" w:hAnsiTheme="minorHAnsi"/>
        </w:rPr>
        <w:t>or</w:t>
      </w:r>
      <w:r w:rsidRPr="006B3E53">
        <w:rPr>
          <w:rFonts w:asciiTheme="minorHAnsi" w:hAnsiTheme="minorHAnsi"/>
        </w:rPr>
        <w:t xml:space="preserve"> </w:t>
      </w:r>
      <w:r>
        <w:rPr>
          <w:rFonts w:asciiTheme="minorHAnsi" w:hAnsiTheme="minorHAnsi"/>
        </w:rPr>
        <w:t>insertion mutations</w:t>
      </w:r>
      <w:r w:rsidRPr="006B3E53">
        <w:rPr>
          <w:rFonts w:asciiTheme="minorHAnsi" w:hAnsiTheme="minorHAnsi"/>
        </w:rPr>
        <w:t xml:space="preserve"> account for approximately 1–3% of all </w:t>
      </w:r>
      <w:r w:rsidR="00FD37D3" w:rsidRPr="00FD37D3">
        <w:rPr>
          <w:rFonts w:asciiTheme="minorHAnsi" w:hAnsiTheme="minorHAnsi"/>
        </w:rPr>
        <w:t>CFTR</w:t>
      </w:r>
      <w:r w:rsidRPr="006B3E53">
        <w:rPr>
          <w:rFonts w:asciiTheme="minorHAnsi" w:hAnsiTheme="minorHAnsi"/>
        </w:rPr>
        <w:t xml:space="preserve"> mutations and occur in less than 2% of all CF patients worldwide</w:t>
      </w:r>
      <w:r w:rsidR="00F57648">
        <w:rPr>
          <w:rFonts w:asciiTheme="minorHAnsi" w:hAnsiTheme="minorHAnsi"/>
        </w:rPr>
        <w:t>;</w:t>
      </w:r>
      <w:r>
        <w:rPr>
          <w:rFonts w:asciiTheme="minorHAnsi" w:hAnsiTheme="minorHAnsi"/>
        </w:rPr>
        <w:t xml:space="preserve"> however, they</w:t>
      </w:r>
      <w:r w:rsidRPr="006B3E53">
        <w:rPr>
          <w:rFonts w:asciiTheme="minorHAnsi" w:hAnsiTheme="minorHAnsi"/>
        </w:rPr>
        <w:t xml:space="preserve"> cannot be detected by any of these tests</w:t>
      </w:r>
      <w:r w:rsidR="006C24BB">
        <w:rPr>
          <w:rFonts w:asciiTheme="minorHAnsi" w:hAnsiTheme="minorHAnsi"/>
        </w:rPr>
        <w:t xml:space="preserve"> </w:t>
      </w:r>
      <w:r w:rsidR="00677AF5">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 </w:instrText>
      </w:r>
      <w:r w:rsidR="009A054F">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EN.CITE.DATA </w:instrText>
      </w:r>
      <w:r w:rsidR="009A054F">
        <w:rPr>
          <w:rFonts w:asciiTheme="minorHAnsi" w:hAnsiTheme="minorHAnsi"/>
        </w:rPr>
      </w:r>
      <w:r w:rsidR="009A054F">
        <w:rPr>
          <w:rFonts w:asciiTheme="minorHAnsi" w:hAnsiTheme="minorHAnsi"/>
        </w:rPr>
        <w:fldChar w:fldCharType="end"/>
      </w:r>
      <w:r w:rsidR="00677AF5">
        <w:rPr>
          <w:rFonts w:asciiTheme="minorHAnsi" w:hAnsiTheme="minorHAnsi"/>
        </w:rPr>
      </w:r>
      <w:r w:rsidR="00677AF5">
        <w:rPr>
          <w:rFonts w:asciiTheme="minorHAnsi" w:hAnsiTheme="minorHAnsi"/>
        </w:rPr>
        <w:fldChar w:fldCharType="separate"/>
      </w:r>
      <w:r w:rsidR="00677AF5">
        <w:rPr>
          <w:rFonts w:asciiTheme="minorHAnsi" w:hAnsiTheme="minorHAnsi"/>
          <w:noProof/>
        </w:rPr>
        <w:t>(</w:t>
      </w:r>
      <w:hyperlink w:anchor="_ENREF_22" w:tooltip="Castellani, 2008 #163" w:history="1">
        <w:r w:rsidR="00B46ABF">
          <w:rPr>
            <w:rFonts w:asciiTheme="minorHAnsi" w:hAnsiTheme="minorHAnsi"/>
            <w:noProof/>
          </w:rPr>
          <w:t>Castellani et al. 2008</w:t>
        </w:r>
      </w:hyperlink>
      <w:r w:rsidR="00677AF5">
        <w:rPr>
          <w:rFonts w:asciiTheme="minorHAnsi" w:hAnsiTheme="minorHAnsi"/>
          <w:noProof/>
        </w:rPr>
        <w:t>)</w:t>
      </w:r>
      <w:r w:rsidR="00677AF5">
        <w:rPr>
          <w:rFonts w:asciiTheme="minorHAnsi" w:hAnsiTheme="minorHAnsi"/>
        </w:rPr>
        <w:fldChar w:fldCharType="end"/>
      </w:r>
      <w:r w:rsidR="006C24BB">
        <w:rPr>
          <w:rFonts w:asciiTheme="minorHAnsi" w:hAnsiTheme="minorHAnsi"/>
        </w:rPr>
        <w:t>.</w:t>
      </w:r>
      <w:r w:rsidRPr="006B3E53">
        <w:rPr>
          <w:rFonts w:asciiTheme="minorHAnsi" w:hAnsiTheme="minorHAnsi"/>
        </w:rPr>
        <w:t xml:space="preserve"> They can only be detected using methods such as multiplex ligation-dependent</w:t>
      </w:r>
      <w:r w:rsidR="002177EE">
        <w:rPr>
          <w:rFonts w:asciiTheme="minorHAnsi" w:hAnsiTheme="minorHAnsi"/>
        </w:rPr>
        <w:t xml:space="preserve"> probe amplification (MLPA) or quantitative f</w:t>
      </w:r>
      <w:r w:rsidRPr="006B3E53">
        <w:rPr>
          <w:rFonts w:asciiTheme="minorHAnsi" w:hAnsiTheme="minorHAnsi"/>
        </w:rPr>
        <w:t>l</w:t>
      </w:r>
      <w:r w:rsidR="002177EE">
        <w:rPr>
          <w:rFonts w:asciiTheme="minorHAnsi" w:hAnsiTheme="minorHAnsi"/>
        </w:rPr>
        <w:t>uorescent m</w:t>
      </w:r>
      <w:r w:rsidRPr="006B3E53">
        <w:rPr>
          <w:rFonts w:asciiTheme="minorHAnsi" w:hAnsiTheme="minorHAnsi"/>
        </w:rPr>
        <w:t xml:space="preserve">ultiplex </w:t>
      </w:r>
      <w:r w:rsidR="00F57648">
        <w:rPr>
          <w:rFonts w:asciiTheme="minorHAnsi" w:hAnsiTheme="minorHAnsi"/>
        </w:rPr>
        <w:t>p</w:t>
      </w:r>
      <w:r w:rsidR="002177EE">
        <w:rPr>
          <w:rFonts w:asciiTheme="minorHAnsi" w:hAnsiTheme="minorHAnsi"/>
        </w:rPr>
        <w:t xml:space="preserve">olymerase </w:t>
      </w:r>
      <w:r w:rsidR="00F57648">
        <w:rPr>
          <w:rFonts w:asciiTheme="minorHAnsi" w:hAnsiTheme="minorHAnsi"/>
        </w:rPr>
        <w:t>c</w:t>
      </w:r>
      <w:r w:rsidR="002177EE">
        <w:rPr>
          <w:rFonts w:asciiTheme="minorHAnsi" w:hAnsiTheme="minorHAnsi"/>
        </w:rPr>
        <w:t xml:space="preserve">hain </w:t>
      </w:r>
      <w:r w:rsidR="00F57648">
        <w:rPr>
          <w:rFonts w:asciiTheme="minorHAnsi" w:hAnsiTheme="minorHAnsi"/>
        </w:rPr>
        <w:t>r</w:t>
      </w:r>
      <w:r w:rsidR="002177EE">
        <w:rPr>
          <w:rFonts w:asciiTheme="minorHAnsi" w:hAnsiTheme="minorHAnsi"/>
        </w:rPr>
        <w:t>eaction (</w:t>
      </w:r>
      <w:r w:rsidRPr="006B3E53">
        <w:rPr>
          <w:rFonts w:asciiTheme="minorHAnsi" w:hAnsiTheme="minorHAnsi"/>
        </w:rPr>
        <w:t>PCR</w:t>
      </w:r>
      <w:r w:rsidR="002177EE">
        <w:rPr>
          <w:rFonts w:asciiTheme="minorHAnsi" w:hAnsiTheme="minorHAnsi"/>
        </w:rPr>
        <w:t>)</w:t>
      </w:r>
      <w:r w:rsidRPr="006B3E53">
        <w:rPr>
          <w:rFonts w:asciiTheme="minorHAnsi" w:hAnsiTheme="minorHAnsi"/>
        </w:rPr>
        <w:t>. Additionally, even the most extensive tests fail to detect all CF alleles</w:t>
      </w:r>
      <w:r w:rsidR="00720E10">
        <w:rPr>
          <w:rFonts w:asciiTheme="minorHAnsi" w:hAnsiTheme="minorHAnsi"/>
        </w:rPr>
        <w:t>,</w:t>
      </w:r>
      <w:r w:rsidRPr="006B3E53">
        <w:rPr>
          <w:rFonts w:asciiTheme="minorHAnsi" w:hAnsiTheme="minorHAnsi"/>
        </w:rPr>
        <w:t xml:space="preserve"> as 1–5% of CF alle</w:t>
      </w:r>
      <w:r w:rsidR="006C24BB">
        <w:rPr>
          <w:rFonts w:asciiTheme="minorHAnsi" w:hAnsiTheme="minorHAnsi"/>
        </w:rPr>
        <w:t xml:space="preserve">les have not yet been identified </w:t>
      </w:r>
      <w:r w:rsidR="00677AF5">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 </w:instrText>
      </w:r>
      <w:r w:rsidR="009A054F">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EN.CITE.DATA </w:instrText>
      </w:r>
      <w:r w:rsidR="009A054F">
        <w:rPr>
          <w:rFonts w:asciiTheme="minorHAnsi" w:hAnsiTheme="minorHAnsi"/>
        </w:rPr>
      </w:r>
      <w:r w:rsidR="009A054F">
        <w:rPr>
          <w:rFonts w:asciiTheme="minorHAnsi" w:hAnsiTheme="minorHAnsi"/>
        </w:rPr>
        <w:fldChar w:fldCharType="end"/>
      </w:r>
      <w:r w:rsidR="00677AF5">
        <w:rPr>
          <w:rFonts w:asciiTheme="minorHAnsi" w:hAnsiTheme="minorHAnsi"/>
        </w:rPr>
      </w:r>
      <w:r w:rsidR="00677AF5">
        <w:rPr>
          <w:rFonts w:asciiTheme="minorHAnsi" w:hAnsiTheme="minorHAnsi"/>
        </w:rPr>
        <w:fldChar w:fldCharType="separate"/>
      </w:r>
      <w:r w:rsidR="00677AF5">
        <w:rPr>
          <w:rFonts w:asciiTheme="minorHAnsi" w:hAnsiTheme="minorHAnsi"/>
          <w:noProof/>
        </w:rPr>
        <w:t>(</w:t>
      </w:r>
      <w:hyperlink w:anchor="_ENREF_22" w:tooltip="Castellani, 2008 #163" w:history="1">
        <w:r w:rsidR="00B46ABF">
          <w:rPr>
            <w:rFonts w:asciiTheme="minorHAnsi" w:hAnsiTheme="minorHAnsi"/>
            <w:noProof/>
          </w:rPr>
          <w:t>Castellani et al. 2008</w:t>
        </w:r>
      </w:hyperlink>
      <w:r w:rsidR="00677AF5">
        <w:rPr>
          <w:rFonts w:asciiTheme="minorHAnsi" w:hAnsiTheme="minorHAnsi"/>
          <w:noProof/>
        </w:rPr>
        <w:t>)</w:t>
      </w:r>
      <w:r w:rsidR="00677AF5">
        <w:rPr>
          <w:rFonts w:asciiTheme="minorHAnsi" w:hAnsiTheme="minorHAnsi"/>
        </w:rPr>
        <w:fldChar w:fldCharType="end"/>
      </w:r>
      <w:r w:rsidRPr="006B3E53">
        <w:rPr>
          <w:rFonts w:asciiTheme="minorHAnsi" w:hAnsiTheme="minorHAnsi"/>
        </w:rPr>
        <w:t>.</w:t>
      </w:r>
    </w:p>
    <w:p w14:paraId="0178E890" w14:textId="71695945" w:rsidR="00AE4FA3" w:rsidRPr="00BA368C" w:rsidRDefault="00AE4FA3" w:rsidP="00AE4FA3">
      <w:r w:rsidRPr="00BA368C">
        <w:t xml:space="preserve">Worldwide, the most common mutation in the </w:t>
      </w:r>
      <w:r w:rsidR="00A21FD9" w:rsidRPr="00A21FD9">
        <w:rPr>
          <w:i/>
        </w:rPr>
        <w:t>CFTR</w:t>
      </w:r>
      <w:r w:rsidR="00AB0041">
        <w:t xml:space="preserve"> gene</w:t>
      </w:r>
      <w:r w:rsidRPr="00BA368C">
        <w:t xml:space="preserve"> is a Class </w:t>
      </w:r>
      <w:r w:rsidR="00466F70">
        <w:t>II</w:t>
      </w:r>
      <w:r w:rsidRPr="00BA368C">
        <w:t xml:space="preserve"> mutation, caused by a three</w:t>
      </w:r>
      <w:r w:rsidR="00904AD3">
        <w:t>-</w:t>
      </w:r>
      <w:r w:rsidRPr="00BA368C">
        <w:t xml:space="preserve">base-pair deletion </w:t>
      </w:r>
      <w:r w:rsidR="00720E10">
        <w:t>that</w:t>
      </w:r>
      <w:r w:rsidR="00720E10" w:rsidRPr="00BA368C">
        <w:t xml:space="preserve"> </w:t>
      </w:r>
      <w:r w:rsidRPr="00BA368C">
        <w:t>results in the loss of phenylalanine at position 508 (F508del). It accounts for approximately 70</w:t>
      </w:r>
      <w:r>
        <w:t>%</w:t>
      </w:r>
      <w:r w:rsidRPr="00BA368C">
        <w:t xml:space="preserve"> of </w:t>
      </w:r>
      <w:r w:rsidR="00FD37D3" w:rsidRPr="00FD37D3">
        <w:t>CFTR</w:t>
      </w:r>
      <w:r w:rsidRPr="00BA368C">
        <w:t xml:space="preserve"> mutations </w:t>
      </w:r>
      <w:r w:rsidR="00E539B4">
        <w:t>globally</w:t>
      </w:r>
      <w:r w:rsidRPr="00BA368C">
        <w:t xml:space="preserve"> but its frequency varies between different ethnic groups. For </w:t>
      </w:r>
      <w:r w:rsidR="00E539B4">
        <w:t>example</w:t>
      </w:r>
      <w:r w:rsidRPr="00BA368C">
        <w:t xml:space="preserve">, F508del accounts for 82% of mutations in CF patients in Denmark but only 32% in Turkey </w:t>
      </w:r>
      <w:r w:rsidRPr="00BA368C">
        <w:fldChar w:fldCharType="begin"/>
      </w:r>
      <w:r w:rsidRPr="00BA368C">
        <w:instrText xml:space="preserve"> ADDIN EN.CITE &lt;EndNote&gt;&lt;Cite&gt;&lt;Author&gt;Ratjen&lt;/Author&gt;&lt;Year&gt;2003&lt;/Year&gt;&lt;RecNum&gt;2&lt;/RecNum&gt;&lt;IDText&gt;681-9&lt;/IDText&gt;&lt;DisplayText&gt;(Ratjen, F. &amp;amp; Doring 2003)&lt;/DisplayText&gt;&lt;record&gt;&lt;rec-number&gt;2&lt;/rec-number&gt;&lt;foreign-keys&gt;&lt;key app="EN" db-id="prapatttj2ed0oezfzjxzpwrp5xt20pztewe"&gt;2&lt;/key&gt;&lt;/foreign-keys&gt;&lt;ref-type name="Journal Article"&gt;17&lt;/ref-type&gt;&lt;contributors&gt;&lt;authors&gt;&lt;author&gt;Ratjen, F.&lt;/author&gt;&lt;author&gt;Doring, G.&lt;/author&gt;&lt;/authors&gt;&lt;/contributors&gt;&lt;auth-address&gt;Department of Paediatrics, University of Essen, Essen, Germany. f.ratjen@uni-essen.de&lt;/auth-address&gt;&lt;titles&gt;&lt;title&gt;Cystic fibrosis&lt;/title&gt;&lt;secondary-title&gt;Lancet&lt;/secondary-title&gt;&lt;alt-title&gt;Lancet&lt;/alt-title&gt;&lt;/titles&gt;&lt;periodical&gt;&lt;full-title&gt;Lancet&lt;/full-title&gt;&lt;abbr-1&gt;Lancet&lt;/abbr-1&gt;&lt;/periodical&gt;&lt;alt-periodical&gt;&lt;full-title&gt;Lancet&lt;/full-title&gt;&lt;abbr-1&gt;Lancet&lt;/abbr-1&gt;&lt;/alt-periodical&gt;&lt;pages&gt;681-9&lt;/pages&gt;&lt;volume&gt;361&lt;/volume&gt;&lt;number&gt;9358&lt;/number&gt;&lt;keywords&gt;&lt;keyword&gt;Adolescent&lt;/keyword&gt;&lt;keyword&gt;Animals&lt;/keyword&gt;&lt;keyword&gt;Child&lt;/keyword&gt;&lt;keyword&gt;*Cystic Fibrosis/diagnosis/genetics/physiopathology&lt;/keyword&gt;&lt;keyword&gt;Cystic Fibrosis Transmembrane Conductance Regulator/*genetics&lt;/keyword&gt;&lt;keyword&gt;Genetic Therapy&lt;/keyword&gt;&lt;keyword&gt;Humans&lt;/keyword&gt;&lt;keyword&gt;Infant&lt;/keyword&gt;&lt;keyword&gt;Lung Transplantation&lt;/keyword&gt;&lt;keyword&gt;Mice&lt;/keyword&gt;&lt;keyword&gt;Prognosis&lt;/keyword&gt;&lt;/keywords&gt;&lt;dates&gt;&lt;year&gt;2003&lt;/year&gt;&lt;pub-dates&gt;&lt;date&gt;Feb 22&lt;/date&gt;&lt;/pub-dates&gt;&lt;/dates&gt;&lt;isbn&gt;0140-6736 (Print)&amp;#xD;0140-6736 (Linking)&lt;/isbn&gt;&lt;accession-num&gt;12606185&lt;/accession-num&gt;&lt;urls&gt;&lt;related-urls&gt;&lt;url&gt;http://www.ncbi.nlm.nih.gov/pubmed/12606185&lt;/url&gt;&lt;url&gt;http://ac.els-cdn.com/S0140673603125676/1-s2.0-S0140673603125676-main.pdf?_tid=d6d649f2-0612-11e3-b5ad-00000aab0f6c&amp;amp;acdnat=1376616553_3dfddc8e1eed9170064e3257122377f8&lt;/url&gt;&lt;/related-urls&gt;&lt;/urls&gt;&lt;electronic-resource-num&gt;10.1016/S0140-6736(03)12567-6&lt;/electronic-resource-num&gt;&lt;/record&gt;&lt;/Cite&gt;&lt;/EndNote&gt;</w:instrText>
      </w:r>
      <w:r w:rsidRPr="00BA368C">
        <w:fldChar w:fldCharType="separate"/>
      </w:r>
      <w:r w:rsidRPr="00BA368C">
        <w:rPr>
          <w:noProof/>
        </w:rPr>
        <w:t>(</w:t>
      </w:r>
      <w:hyperlink w:anchor="_ENREF_98" w:tooltip="Ratjen, 2003 #2" w:history="1">
        <w:r w:rsidR="00B46ABF" w:rsidRPr="00BA368C">
          <w:rPr>
            <w:noProof/>
          </w:rPr>
          <w:t>Ratjen &amp; Doring 2003</w:t>
        </w:r>
      </w:hyperlink>
      <w:r w:rsidRPr="00BA368C">
        <w:rPr>
          <w:noProof/>
        </w:rPr>
        <w:t>)</w:t>
      </w:r>
      <w:r w:rsidRPr="00BA368C">
        <w:fldChar w:fldCharType="end"/>
      </w:r>
      <w:r w:rsidRPr="00BA368C">
        <w:t xml:space="preserve">. With this mutation, </w:t>
      </w:r>
      <w:r w:rsidR="00FD37D3" w:rsidRPr="00FD37D3">
        <w:t>CFTR</w:t>
      </w:r>
      <w:r w:rsidRPr="00BA368C">
        <w:t xml:space="preserve"> is misfolded and stays trapped in the endoplasmic reticulum, where it eventually gets degraded. The most common mutations in the </w:t>
      </w:r>
      <w:r w:rsidR="00A21FD9" w:rsidRPr="00A21FD9">
        <w:rPr>
          <w:i/>
        </w:rPr>
        <w:t>CFTR</w:t>
      </w:r>
      <w:r w:rsidRPr="00BA368C">
        <w:t xml:space="preserve"> gene in Australia are shown in </w:t>
      </w:r>
      <w:r w:rsidR="00C11212" w:rsidRPr="005175FA">
        <w:fldChar w:fldCharType="begin"/>
      </w:r>
      <w:r w:rsidR="00C11212" w:rsidRPr="005175FA">
        <w:instrText xml:space="preserve"> REF _Ref412550298 \h </w:instrText>
      </w:r>
      <w:r w:rsidR="00C11212" w:rsidRPr="005175FA">
        <w:fldChar w:fldCharType="separate"/>
      </w:r>
      <w:r w:rsidR="00BB0E3E" w:rsidRPr="005175FA">
        <w:t xml:space="preserve">Figure </w:t>
      </w:r>
      <w:r w:rsidR="00BB0E3E">
        <w:rPr>
          <w:noProof/>
        </w:rPr>
        <w:t>1</w:t>
      </w:r>
      <w:r w:rsidR="00C11212" w:rsidRPr="005175FA">
        <w:fldChar w:fldCharType="end"/>
      </w:r>
      <w:r w:rsidR="00C11212">
        <w:t xml:space="preserve"> (</w:t>
      </w:r>
      <w:r w:rsidR="00C11212" w:rsidRPr="00C07180">
        <w:t xml:space="preserve">page </w:t>
      </w:r>
      <w:r w:rsidR="00C11212" w:rsidRPr="00C07180">
        <w:fldChar w:fldCharType="begin"/>
      </w:r>
      <w:r w:rsidR="00C11212" w:rsidRPr="00C07180">
        <w:instrText xml:space="preserve"> PAGEREF _Ref412550306 \h </w:instrText>
      </w:r>
      <w:r w:rsidR="00C11212" w:rsidRPr="00C07180">
        <w:fldChar w:fldCharType="separate"/>
      </w:r>
      <w:r w:rsidR="00BB0E3E">
        <w:rPr>
          <w:noProof/>
        </w:rPr>
        <w:t>35</w:t>
      </w:r>
      <w:r w:rsidR="00C11212" w:rsidRPr="00C07180">
        <w:fldChar w:fldCharType="end"/>
      </w:r>
      <w:r w:rsidR="00C11212">
        <w:t>)</w:t>
      </w:r>
      <w:r w:rsidRPr="00BA368C">
        <w:t>. Approximately 85</w:t>
      </w:r>
      <w:r>
        <w:t>%</w:t>
      </w:r>
      <w:r w:rsidRPr="00BA368C">
        <w:t xml:space="preserve"> of CF patients have at least one copy of the F508del mutation</w:t>
      </w:r>
      <w:r w:rsidR="00E539B4">
        <w:t>,</w:t>
      </w:r>
      <w:r w:rsidRPr="00BA368C">
        <w:t xml:space="preserve"> </w:t>
      </w:r>
      <w:r w:rsidR="00E539B4">
        <w:t>and</w:t>
      </w:r>
      <w:r w:rsidR="00E539B4" w:rsidRPr="00BA368C">
        <w:t xml:space="preserve"> </w:t>
      </w:r>
      <w:r w:rsidRPr="00BA368C">
        <w:t>52</w:t>
      </w:r>
      <w:r>
        <w:t>%</w:t>
      </w:r>
      <w:r w:rsidRPr="00BA368C">
        <w:t xml:space="preserve"> hav</w:t>
      </w:r>
      <w:r w:rsidR="00E539B4">
        <w:t>e</w:t>
      </w:r>
      <w:r w:rsidR="00E00522">
        <w:t xml:space="preserve"> two copies</w:t>
      </w:r>
      <w:r w:rsidRPr="00BA368C">
        <w:t>.</w:t>
      </w:r>
    </w:p>
    <w:p w14:paraId="167E9855" w14:textId="2FF07D8A" w:rsidR="00AE4FA3" w:rsidRDefault="00AE4FA3" w:rsidP="00AE4FA3">
      <w:r w:rsidRPr="00BA368C">
        <w:lastRenderedPageBreak/>
        <w:t xml:space="preserve">The pathogenicity of some mutations may be influenced by other variants within the </w:t>
      </w:r>
      <w:r w:rsidR="00A21FD9" w:rsidRPr="00A21FD9">
        <w:rPr>
          <w:i/>
        </w:rPr>
        <w:t>CFTR</w:t>
      </w:r>
      <w:r w:rsidRPr="00BA368C">
        <w:t xml:space="preserve"> gene. For example, the </w:t>
      </w:r>
      <w:r w:rsidRPr="00F94D01">
        <w:t>poly</w:t>
      </w:r>
      <w:r w:rsidR="008C2810">
        <w:t>-</w:t>
      </w:r>
      <w:r w:rsidRPr="00F94D01">
        <w:t>T</w:t>
      </w:r>
      <w:r w:rsidRPr="00BA368C">
        <w:t xml:space="preserve"> mutations are abbreviated tracts of a number of thymidines in intron 8</w:t>
      </w:r>
      <w:r>
        <w:t xml:space="preserve"> (IVS8)</w:t>
      </w:r>
      <w:r w:rsidRPr="00BA368C">
        <w:t xml:space="preserve">, </w:t>
      </w:r>
      <w:r w:rsidRPr="006B3E53">
        <w:rPr>
          <w:rFonts w:asciiTheme="minorHAnsi" w:hAnsiTheme="minorHAnsi"/>
        </w:rPr>
        <w:t>a splicing mutation that confers a mild phenotype</w:t>
      </w:r>
      <w:r>
        <w:rPr>
          <w:rFonts w:asciiTheme="minorHAnsi" w:hAnsiTheme="minorHAnsi"/>
        </w:rPr>
        <w:t xml:space="preserve"> </w:t>
      </w:r>
      <w:r w:rsidRPr="00BA368C">
        <w:t>by reduc</w:t>
      </w:r>
      <w:r>
        <w:t>ing the</w:t>
      </w:r>
      <w:r w:rsidRPr="00BA368C">
        <w:t xml:space="preserve"> levels of functional </w:t>
      </w:r>
      <w:r w:rsidR="00FD37D3" w:rsidRPr="00FD37D3">
        <w:t>CFTR</w:t>
      </w:r>
      <w:r w:rsidRPr="00BA368C">
        <w:t xml:space="preserve"> protein </w:t>
      </w:r>
      <w:r w:rsidRPr="00BA368C">
        <w:fldChar w:fldCharType="begin">
          <w:fldData xml:space="preserve">PEVuZE5vdGU+PENpdGU+PEF1dGhvcj5Hcm9tYW48L0F1dGhvcj48WWVhcj4yMDA0PC9ZZWFyPjxS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</w:fldData>
        </w:fldChar>
      </w:r>
      <w:r w:rsidRPr="00BA368C">
        <w:instrText xml:space="preserve"> ADDIN EN.CITE </w:instrText>
      </w:r>
      <w:r w:rsidRPr="00BA368C">
        <w:fldChar w:fldCharType="begin">
          <w:fldData xml:space="preserve">PEVuZE5vdGU+PENpdGU+PEF1dGhvcj5Hcm9tYW48L0F1dGhvcj48WWVhcj4yMDA0PC9ZZWFyPjxS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</w:fldData>
        </w:fldChar>
      </w:r>
      <w:r w:rsidRPr="00BA368C">
        <w:instrText xml:space="preserve"> ADDIN EN.CITE.DATA </w:instrText>
      </w:r>
      <w:r w:rsidRPr="00BA368C">
        <w:fldChar w:fldCharType="end"/>
      </w:r>
      <w:r w:rsidRPr="00BA368C">
        <w:fldChar w:fldCharType="separate"/>
      </w:r>
      <w:r w:rsidRPr="00BA368C">
        <w:rPr>
          <w:noProof/>
        </w:rPr>
        <w:t>(</w:t>
      </w:r>
      <w:hyperlink w:anchor="_ENREF_47" w:tooltip="Groman, 2004 #13" w:history="1">
        <w:r w:rsidR="00B46ABF" w:rsidRPr="00BA368C">
          <w:rPr>
            <w:noProof/>
          </w:rPr>
          <w:t>Groman et al. 2004</w:t>
        </w:r>
      </w:hyperlink>
      <w:r w:rsidRPr="00BA368C">
        <w:rPr>
          <w:noProof/>
        </w:rPr>
        <w:t>)</w:t>
      </w:r>
      <w:r w:rsidRPr="00BA368C">
        <w:fldChar w:fldCharType="end"/>
      </w:r>
      <w:r w:rsidRPr="00BA368C">
        <w:t xml:space="preserve">. </w:t>
      </w:r>
      <w:r w:rsidR="00904AD3">
        <w:t>T</w:t>
      </w:r>
      <w:r w:rsidRPr="00E76C2D">
        <w:t xml:space="preserve">he R117H mutation can result in </w:t>
      </w:r>
      <w:r w:rsidR="0067369D" w:rsidRPr="00E76C2D">
        <w:t xml:space="preserve">either </w:t>
      </w:r>
      <w:r w:rsidRPr="00E76C2D">
        <w:t>CF or CBAVD</w:t>
      </w:r>
      <w:r>
        <w:t xml:space="preserve"> and is</w:t>
      </w:r>
      <w:r w:rsidRPr="00E76C2D">
        <w:t xml:space="preserve"> associated</w:t>
      </w:r>
      <w:r>
        <w:t xml:space="preserve"> </w:t>
      </w:r>
      <w:r w:rsidRPr="00E76C2D">
        <w:t>wi</w:t>
      </w:r>
      <w:r w:rsidR="00D83823">
        <w:t>th either a T5 or T7 allele.</w:t>
      </w:r>
      <w:r w:rsidRPr="00E76C2D">
        <w:t xml:space="preserve"> </w:t>
      </w:r>
      <w:r>
        <w:t>T</w:t>
      </w:r>
      <w:r w:rsidRPr="00E76C2D">
        <w:t>he more severe R117H</w:t>
      </w:r>
      <w:r>
        <w:t>/</w:t>
      </w:r>
      <w:r w:rsidRPr="00E76C2D">
        <w:t>T5</w:t>
      </w:r>
      <w:r>
        <w:t xml:space="preserve"> </w:t>
      </w:r>
      <w:r w:rsidRPr="00E76C2D">
        <w:t xml:space="preserve">haplotype is </w:t>
      </w:r>
      <w:r>
        <w:t xml:space="preserve">only </w:t>
      </w:r>
      <w:r w:rsidR="00D83823">
        <w:t>found i</w:t>
      </w:r>
      <w:r w:rsidRPr="00E76C2D">
        <w:t>n CF patients,</w:t>
      </w:r>
      <w:r w:rsidR="00DF5916">
        <w:t xml:space="preserve"> </w:t>
      </w:r>
      <w:r>
        <w:t>although</w:t>
      </w:r>
      <w:r w:rsidRPr="00E76C2D">
        <w:t xml:space="preserve"> the</w:t>
      </w:r>
      <w:r w:rsidR="00D83823">
        <w:t xml:space="preserve"> milder</w:t>
      </w:r>
      <w:r>
        <w:t xml:space="preserve"> </w:t>
      </w:r>
      <w:r w:rsidRPr="00E76C2D">
        <w:t>R117</w:t>
      </w:r>
      <w:r>
        <w:t>H/</w:t>
      </w:r>
      <w:r w:rsidRPr="00E76C2D">
        <w:t xml:space="preserve">T7 haplotype </w:t>
      </w:r>
      <w:r w:rsidR="00D83823">
        <w:t>can</w:t>
      </w:r>
      <w:r>
        <w:t xml:space="preserve"> be</w:t>
      </w:r>
      <w:r w:rsidRPr="00E76C2D">
        <w:t xml:space="preserve"> found in</w:t>
      </w:r>
      <w:r w:rsidR="00D83823">
        <w:t xml:space="preserve"> both</w:t>
      </w:r>
      <w:r w:rsidRPr="00E76C2D">
        <w:t xml:space="preserve"> CF</w:t>
      </w:r>
      <w:r w:rsidR="00D83823">
        <w:t xml:space="preserve"> and CBAVD</w:t>
      </w:r>
      <w:r w:rsidRPr="00E76C2D">
        <w:t xml:space="preserve"> patients</w:t>
      </w:r>
      <w:r>
        <w:t xml:space="preserve"> </w:t>
      </w:r>
      <w:r w:rsidR="006C24BB">
        <w:rPr>
          <w:rFonts w:asciiTheme="minorHAnsi" w:hAnsiTheme="minorHAnsi"/>
        </w:rPr>
        <w:fldChar w:fldCharType="begin"/>
      </w:r>
      <w:r w:rsidR="009A054F">
        <w:rPr>
          <w:rFonts w:asciiTheme="minorHAnsi" w:hAnsiTheme="minorHAnsi"/>
        </w:rPr>
        <w:instrText xml:space="preserve"> ADDIN EN.CITE &lt;EndNote&gt;&lt;Cite&gt;&lt;Author&gt;Cuppens&lt;/Author&gt;&lt;Year&gt;2004&lt;/Year&gt;&lt;RecNum&gt;811&lt;/RecNum&gt;&lt;IDText&gt;251-256&lt;/IDText&gt;&lt;DisplayText&gt;(Cuppens &amp;amp; Cassiman 2004)&lt;/DisplayText&gt;&lt;record&gt;&lt;rec-number&gt;811&lt;/rec-number&gt;&lt;foreign-keys&gt;&lt;key app="EN" db-id="parffa0acae2voep5w3vv9rypas2tr522eef" timestamp="1430369592"&gt;811&lt;/key&gt;&lt;/foreign-keys&gt;&lt;ref-type name="Journal Article"&gt;17&lt;/ref-type&gt;&lt;contributors&gt;&lt;authors&gt;&lt;author&gt;Cuppens, H.&lt;/author&gt;&lt;author&gt;Cassiman, J. J.&lt;/author&gt;&lt;/authors&gt;&lt;/contributors&gt;&lt;auth-address&gt;Department for Human Genetics, KULeuven, O and N6, Herestraat 49, 3000 Leuven, Belgium&lt;/auth-address&gt;&lt;titles&gt;&lt;title&gt;CFTR mutations and polymorphisms in male infertility&lt;/title&gt;&lt;secondary-title&gt;International Journal of Andrology&lt;/secondary-title&gt;&lt;/titles&gt;&lt;periodical&gt;&lt;full-title&gt;International Journal of Andrology&lt;/full-title&gt;&lt;/periodical&gt;&lt;pages&gt;251-256&lt;/pages&gt;&lt;volume&gt;27&lt;/volume&gt;&lt;number&gt;5&lt;/number&gt;&lt;keywords&gt;&lt;keyword&gt;CBAVD&lt;/keyword&gt;&lt;keyword&gt;Mutation&lt;/keyword&gt;&lt;keyword&gt;Polymorphism&lt;/keyword&gt;&lt;keyword&gt;Polyvariant&lt;/keyword&gt;&lt;/keywords&gt;&lt;dates&gt;&lt;year&gt;2004&lt;/year&gt;&lt;/dates&gt;&lt;urls&gt;&lt;related-urls&gt;&lt;url&gt;http://www.scopus.com/inward/record.url?eid=2-s2.0-5644250620&amp;amp;partnerID=40&amp;amp;md5=d66c1bc220b32cd6ff495861a7c98aed&lt;/url&gt;&lt;url&gt;http://onlinelibrary.wiley.com/store/10.1111/j.1365-2605.2004.00485.x/asset/j.1365-2605.2004.00485.x.pdf?v=1&amp;amp;t=i2fc0k0r&amp;amp;s=2e6546b2a6269bb33e07b464926fc07caa2c67da&lt;/url&gt;&lt;/related-urls&gt;&lt;/urls&gt;&lt;remote-database-name&gt;Scopus&lt;/remote-database-name&gt;&lt;/record&gt;&lt;/Cite&gt;&lt;/EndNote&gt;</w:instrText>
      </w:r>
      <w:r w:rsidR="006C24BB">
        <w:rPr>
          <w:rFonts w:asciiTheme="minorHAnsi" w:hAnsiTheme="minorHAnsi"/>
        </w:rPr>
        <w:fldChar w:fldCharType="separate"/>
      </w:r>
      <w:r w:rsidR="006C24BB">
        <w:rPr>
          <w:rFonts w:asciiTheme="minorHAnsi" w:hAnsiTheme="minorHAnsi"/>
          <w:noProof/>
        </w:rPr>
        <w:t>(</w:t>
      </w:r>
      <w:hyperlink w:anchor="_ENREF_25" w:tooltip="Cuppens, 2004 #811" w:history="1">
        <w:r w:rsidR="00B46ABF">
          <w:rPr>
            <w:rFonts w:asciiTheme="minorHAnsi" w:hAnsiTheme="minorHAnsi"/>
            <w:noProof/>
          </w:rPr>
          <w:t>Cuppens &amp; Cassiman 2004</w:t>
        </w:r>
      </w:hyperlink>
      <w:r w:rsidR="006C24BB">
        <w:rPr>
          <w:rFonts w:asciiTheme="minorHAnsi" w:hAnsiTheme="minorHAnsi"/>
          <w:noProof/>
        </w:rPr>
        <w:t>)</w:t>
      </w:r>
      <w:r w:rsidR="006C24BB">
        <w:rPr>
          <w:rFonts w:asciiTheme="minorHAnsi" w:hAnsiTheme="minorHAnsi"/>
        </w:rPr>
        <w:fldChar w:fldCharType="end"/>
      </w:r>
      <w:r w:rsidRPr="00E76C2D">
        <w:t>.</w:t>
      </w:r>
    </w:p>
    <w:p w14:paraId="11A6BB51" w14:textId="2646F4F4" w:rsidR="00AE4FA3" w:rsidRDefault="00AE4FA3" w:rsidP="000F0088">
      <w:pPr>
        <w:spacing w:after="360"/>
        <w:rPr>
          <w:rFonts w:asciiTheme="minorHAnsi" w:hAnsiTheme="minorHAnsi"/>
        </w:rPr>
      </w:pPr>
      <w:r>
        <w:rPr>
          <w:rFonts w:asciiTheme="minorHAnsi" w:hAnsiTheme="minorHAnsi"/>
        </w:rPr>
        <w:t>In fact, t</w:t>
      </w:r>
      <w:r w:rsidRPr="006B3E53">
        <w:rPr>
          <w:rFonts w:asciiTheme="minorHAnsi" w:hAnsiTheme="minorHAnsi"/>
        </w:rPr>
        <w:t xml:space="preserve">he mutation profiles of </w:t>
      </w:r>
      <w:r>
        <w:rPr>
          <w:rFonts w:asciiTheme="minorHAnsi" w:hAnsiTheme="minorHAnsi"/>
        </w:rPr>
        <w:t xml:space="preserve">patients with </w:t>
      </w:r>
      <w:r w:rsidRPr="006B3E53">
        <w:rPr>
          <w:rFonts w:asciiTheme="minorHAnsi" w:hAnsiTheme="minorHAnsi"/>
        </w:rPr>
        <w:t>CF and</w:t>
      </w:r>
      <w:r>
        <w:rPr>
          <w:rFonts w:asciiTheme="minorHAnsi" w:hAnsiTheme="minorHAnsi"/>
        </w:rPr>
        <w:t xml:space="preserve"> men with</w:t>
      </w:r>
      <w:r w:rsidRPr="006B3E53">
        <w:rPr>
          <w:rFonts w:asciiTheme="minorHAnsi" w:hAnsiTheme="minorHAnsi"/>
        </w:rPr>
        <w:t xml:space="preserve"> CBAVD differ significantly. </w:t>
      </w:r>
      <w:r>
        <w:rPr>
          <w:rFonts w:asciiTheme="minorHAnsi" w:hAnsiTheme="minorHAnsi"/>
        </w:rPr>
        <w:t>A</w:t>
      </w:r>
      <w:r w:rsidRPr="006B3E53">
        <w:rPr>
          <w:rFonts w:asciiTheme="minorHAnsi" w:hAnsiTheme="minorHAnsi"/>
        </w:rPr>
        <w:t xml:space="preserve"> mutation on both </w:t>
      </w:r>
      <w:r w:rsidR="00A21FD9" w:rsidRPr="00A21FD9">
        <w:rPr>
          <w:rFonts w:asciiTheme="minorHAnsi" w:hAnsiTheme="minorHAnsi"/>
          <w:i/>
        </w:rPr>
        <w:t>CFTR</w:t>
      </w:r>
      <w:r w:rsidRPr="006B3E53">
        <w:rPr>
          <w:rFonts w:asciiTheme="minorHAnsi" w:hAnsiTheme="minorHAnsi"/>
        </w:rPr>
        <w:t xml:space="preserve"> genes can only be</w:t>
      </w:r>
      <w:r w:rsidR="009C1DCC">
        <w:rPr>
          <w:rFonts w:asciiTheme="minorHAnsi" w:hAnsiTheme="minorHAnsi"/>
        </w:rPr>
        <w:t xml:space="preserve"> detected in approximately 70% o</w:t>
      </w:r>
      <w:r w:rsidRPr="006B3E53">
        <w:rPr>
          <w:rFonts w:asciiTheme="minorHAnsi" w:hAnsiTheme="minorHAnsi"/>
        </w:rPr>
        <w:t>f CBAVD patients</w:t>
      </w:r>
      <w:r w:rsidR="00762C1C">
        <w:rPr>
          <w:rFonts w:asciiTheme="minorHAnsi" w:hAnsiTheme="minorHAnsi"/>
        </w:rPr>
        <w:t>,</w:t>
      </w:r>
      <w:r w:rsidRPr="006B3E53">
        <w:rPr>
          <w:rFonts w:asciiTheme="minorHAnsi" w:hAnsiTheme="minorHAnsi"/>
        </w:rPr>
        <w:t xml:space="preserve"> and about 15% of patients have </w:t>
      </w:r>
      <w:r>
        <w:rPr>
          <w:rFonts w:asciiTheme="minorHAnsi" w:hAnsiTheme="minorHAnsi"/>
        </w:rPr>
        <w:t xml:space="preserve">only </w:t>
      </w:r>
      <w:r w:rsidRPr="006B3E53">
        <w:rPr>
          <w:rFonts w:asciiTheme="minorHAnsi" w:hAnsiTheme="minorHAnsi"/>
        </w:rPr>
        <w:t xml:space="preserve">one detectable </w:t>
      </w:r>
      <w:r w:rsidR="00FD37D3" w:rsidRPr="00FD37D3">
        <w:rPr>
          <w:rFonts w:asciiTheme="minorHAnsi" w:hAnsiTheme="minorHAnsi"/>
        </w:rPr>
        <w:t>CFTR</w:t>
      </w:r>
      <w:r w:rsidRPr="006B3E53">
        <w:rPr>
          <w:rFonts w:asciiTheme="minorHAnsi" w:hAnsiTheme="minorHAnsi"/>
        </w:rPr>
        <w:t xml:space="preserve"> mutation </w:t>
      </w:r>
      <w:r w:rsidR="006C24BB">
        <w:rPr>
          <w:rFonts w:asciiTheme="minorHAnsi" w:hAnsiTheme="minorHAnsi"/>
        </w:rPr>
        <w:fldChar w:fldCharType="begin"/>
      </w:r>
      <w:r w:rsidR="009A054F">
        <w:rPr>
          <w:rFonts w:asciiTheme="minorHAnsi" w:hAnsiTheme="minorHAnsi"/>
        </w:rPr>
        <w:instrText xml:space="preserve"> ADDIN EN.CITE &lt;EndNote&gt;&lt;Cite&gt;&lt;Author&gt;Cuppens&lt;/Author&gt;&lt;Year&gt;2004&lt;/Year&gt;&lt;RecNum&gt;811&lt;/RecNum&gt;&lt;IDText&gt;251-256&lt;/IDText&gt;&lt;DisplayText&gt;(Cuppens &amp;amp; Cassiman 2004)&lt;/DisplayText&gt;&lt;record&gt;&lt;rec-number&gt;811&lt;/rec-number&gt;&lt;foreign-keys&gt;&lt;key app="EN" db-id="parffa0acae2voep5w3vv9rypas2tr522eef" timestamp="1430369592"&gt;811&lt;/key&gt;&lt;/foreign-keys&gt;&lt;ref-type name="Journal Article"&gt;17&lt;/ref-type&gt;&lt;contributors&gt;&lt;authors&gt;&lt;author&gt;Cuppens, H.&lt;/author&gt;&lt;author&gt;Cassiman, J. J.&lt;/author&gt;&lt;/authors&gt;&lt;/contributors&gt;&lt;auth-address&gt;Department for Human Genetics, KULeuven, O and N6, Herestraat 49, 3000 Leuven, Belgium&lt;/auth-address&gt;&lt;titles&gt;&lt;title&gt;CFTR mutations and polymorphisms in male infertility&lt;/title&gt;&lt;secondary-title&gt;International Journal of Andrology&lt;/secondary-title&gt;&lt;/titles&gt;&lt;periodical&gt;&lt;full-title&gt;International Journal of Andrology&lt;/full-title&gt;&lt;/periodical&gt;&lt;pages&gt;251-256&lt;/pages&gt;&lt;volume&gt;27&lt;/volume&gt;&lt;number&gt;5&lt;/number&gt;&lt;keywords&gt;&lt;keyword&gt;CBAVD&lt;/keyword&gt;&lt;keyword&gt;Mutation&lt;/keyword&gt;&lt;keyword&gt;Polymorphism&lt;/keyword&gt;&lt;keyword&gt;Polyvariant&lt;/keyword&gt;&lt;/keywords&gt;&lt;dates&gt;&lt;year&gt;2004&lt;/year&gt;&lt;/dates&gt;&lt;urls&gt;&lt;related-urls&gt;&lt;url&gt;http://www.scopus.com/inward/record.url?eid=2-s2.0-5644250620&amp;amp;partnerID=40&amp;amp;md5=d66c1bc220b32cd6ff495861a7c98aed&lt;/url&gt;&lt;url&gt;http://onlinelibrary.wiley.com/store/10.1111/j.1365-2605.2004.00485.x/asset/j.1365-2605.2004.00485.x.pdf?v=1&amp;amp;t=i2fc0k0r&amp;amp;s=2e6546b2a6269bb33e07b464926fc07caa2c67da&lt;/url&gt;&lt;/related-urls&gt;&lt;/urls&gt;&lt;remote-database-name&gt;Scopus&lt;/remote-database-name&gt;&lt;/record&gt;&lt;/Cite&gt;&lt;/EndNote&gt;</w:instrText>
      </w:r>
      <w:r w:rsidR="006C24BB">
        <w:rPr>
          <w:rFonts w:asciiTheme="minorHAnsi" w:hAnsiTheme="minorHAnsi"/>
        </w:rPr>
        <w:fldChar w:fldCharType="separate"/>
      </w:r>
      <w:r w:rsidR="006C24BB">
        <w:rPr>
          <w:rFonts w:asciiTheme="minorHAnsi" w:hAnsiTheme="minorHAnsi"/>
          <w:noProof/>
        </w:rPr>
        <w:t>(</w:t>
      </w:r>
      <w:hyperlink w:anchor="_ENREF_25" w:tooltip="Cuppens, 2004 #811" w:history="1">
        <w:r w:rsidR="00B46ABF">
          <w:rPr>
            <w:rFonts w:asciiTheme="minorHAnsi" w:hAnsiTheme="minorHAnsi"/>
            <w:noProof/>
          </w:rPr>
          <w:t>Cuppens &amp; Cassiman 2004</w:t>
        </w:r>
      </w:hyperlink>
      <w:r w:rsidR="006C24BB">
        <w:rPr>
          <w:rFonts w:asciiTheme="minorHAnsi" w:hAnsiTheme="minorHAnsi"/>
          <w:noProof/>
        </w:rPr>
        <w:t>)</w:t>
      </w:r>
      <w:r w:rsidR="006C24BB">
        <w:rPr>
          <w:rFonts w:asciiTheme="minorHAnsi" w:hAnsiTheme="minorHAnsi"/>
        </w:rPr>
        <w:fldChar w:fldCharType="end"/>
      </w:r>
      <w:r w:rsidRPr="006B3E53">
        <w:rPr>
          <w:rFonts w:asciiTheme="minorHAnsi" w:hAnsiTheme="minorHAnsi"/>
        </w:rPr>
        <w:t xml:space="preserve">. The most frequent </w:t>
      </w:r>
      <w:r w:rsidR="00FD37D3" w:rsidRPr="00FD37D3">
        <w:rPr>
          <w:rFonts w:asciiTheme="minorHAnsi" w:hAnsiTheme="minorHAnsi"/>
        </w:rPr>
        <w:t>CFTR</w:t>
      </w:r>
      <w:r w:rsidRPr="006B3E53">
        <w:rPr>
          <w:rFonts w:asciiTheme="minorHAnsi" w:hAnsiTheme="minorHAnsi"/>
        </w:rPr>
        <w:t xml:space="preserve"> mutation found in CBAVD patients is the IVS8-T5 polymorphism</w:t>
      </w:r>
      <w:r>
        <w:rPr>
          <w:rFonts w:asciiTheme="minorHAnsi" w:hAnsiTheme="minorHAnsi"/>
        </w:rPr>
        <w:t xml:space="preserve">, which </w:t>
      </w:r>
      <w:r w:rsidRPr="006B3E53">
        <w:rPr>
          <w:rFonts w:asciiTheme="minorHAnsi" w:hAnsiTheme="minorHAnsi"/>
        </w:rPr>
        <w:t xml:space="preserve">is found on about 30% of the </w:t>
      </w:r>
      <w:r w:rsidR="00A21FD9" w:rsidRPr="00A21FD9">
        <w:rPr>
          <w:rFonts w:asciiTheme="minorHAnsi" w:hAnsiTheme="minorHAnsi"/>
          <w:i/>
        </w:rPr>
        <w:t>CFTR</w:t>
      </w:r>
      <w:r w:rsidRPr="006B3E53">
        <w:rPr>
          <w:rFonts w:asciiTheme="minorHAnsi" w:hAnsiTheme="minorHAnsi"/>
        </w:rPr>
        <w:t xml:space="preserve"> genes derived from CBAVD patients. The frequency of </w:t>
      </w:r>
      <w:r w:rsidR="00762C1C" w:rsidRPr="006B3E53">
        <w:rPr>
          <w:rFonts w:asciiTheme="minorHAnsi" w:hAnsiTheme="minorHAnsi"/>
        </w:rPr>
        <w:t>F508del</w:t>
      </w:r>
      <w:r w:rsidR="00762C1C">
        <w:rPr>
          <w:rFonts w:asciiTheme="minorHAnsi" w:hAnsiTheme="minorHAnsi"/>
        </w:rPr>
        <w:t>,</w:t>
      </w:r>
      <w:r w:rsidR="00762C1C" w:rsidRPr="006B3E53">
        <w:rPr>
          <w:rFonts w:asciiTheme="minorHAnsi" w:hAnsiTheme="minorHAnsi"/>
        </w:rPr>
        <w:t xml:space="preserve"> </w:t>
      </w:r>
      <w:r w:rsidRPr="006B3E53">
        <w:rPr>
          <w:rFonts w:asciiTheme="minorHAnsi" w:hAnsiTheme="minorHAnsi"/>
        </w:rPr>
        <w:t xml:space="preserve">the most common </w:t>
      </w:r>
      <w:r w:rsidR="00FD37D3" w:rsidRPr="00FD37D3">
        <w:rPr>
          <w:rFonts w:asciiTheme="minorHAnsi" w:hAnsiTheme="minorHAnsi"/>
        </w:rPr>
        <w:t>CFTR</w:t>
      </w:r>
      <w:r w:rsidRPr="006B3E53">
        <w:rPr>
          <w:rFonts w:asciiTheme="minorHAnsi" w:hAnsiTheme="minorHAnsi"/>
        </w:rPr>
        <w:t xml:space="preserve"> mutation found in CF patients,</w:t>
      </w:r>
      <w:r w:rsidR="00DF5916">
        <w:rPr>
          <w:rFonts w:asciiTheme="minorHAnsi" w:hAnsiTheme="minorHAnsi"/>
        </w:rPr>
        <w:t xml:space="preserve"> </w:t>
      </w:r>
      <w:r w:rsidRPr="006B3E53">
        <w:rPr>
          <w:rFonts w:asciiTheme="minorHAnsi" w:hAnsiTheme="minorHAnsi"/>
        </w:rPr>
        <w:t>decrease</w:t>
      </w:r>
      <w:r>
        <w:rPr>
          <w:rFonts w:asciiTheme="minorHAnsi" w:hAnsiTheme="minorHAnsi"/>
        </w:rPr>
        <w:t>s</w:t>
      </w:r>
      <w:r w:rsidRPr="006B3E53">
        <w:rPr>
          <w:rFonts w:asciiTheme="minorHAnsi" w:hAnsiTheme="minorHAnsi"/>
        </w:rPr>
        <w:t xml:space="preserve"> from approximately 70% to 20% in CBAVD</w:t>
      </w:r>
      <w:r w:rsidR="00762C1C">
        <w:rPr>
          <w:rFonts w:asciiTheme="minorHAnsi" w:hAnsiTheme="minorHAnsi"/>
        </w:rPr>
        <w:t xml:space="preserve"> patients</w:t>
      </w:r>
      <w:r w:rsidRPr="006B3E53">
        <w:rPr>
          <w:rFonts w:asciiTheme="minorHAnsi" w:hAnsiTheme="minorHAnsi"/>
        </w:rPr>
        <w:t>. Conversely</w:t>
      </w:r>
      <w:r w:rsidR="00762C1C">
        <w:rPr>
          <w:rFonts w:asciiTheme="minorHAnsi" w:hAnsiTheme="minorHAnsi"/>
        </w:rPr>
        <w:t>,</w:t>
      </w:r>
      <w:r w:rsidRPr="006B3E53">
        <w:rPr>
          <w:rFonts w:asciiTheme="minorHAnsi" w:hAnsiTheme="minorHAnsi"/>
        </w:rPr>
        <w:t xml:space="preserve"> the frequency of the rare R117H mutation increases to approximately 8% in CBAVD patients </w:t>
      </w:r>
      <w:r w:rsidR="006C24BB">
        <w:rPr>
          <w:rFonts w:asciiTheme="minorHAnsi" w:hAnsiTheme="minorHAnsi"/>
        </w:rPr>
        <w:fldChar w:fldCharType="begin"/>
      </w:r>
      <w:r w:rsidR="009A054F">
        <w:rPr>
          <w:rFonts w:asciiTheme="minorHAnsi" w:hAnsiTheme="minorHAnsi"/>
        </w:rPr>
        <w:instrText xml:space="preserve"> ADDIN EN.CITE &lt;EndNote&gt;&lt;Cite&gt;&lt;Author&gt;Cuppens&lt;/Author&gt;&lt;Year&gt;2004&lt;/Year&gt;&lt;RecNum&gt;811&lt;/RecNum&gt;&lt;IDText&gt;251-256&lt;/IDText&gt;&lt;DisplayText&gt;(Cuppens &amp;amp; Cassiman 2004)&lt;/DisplayText&gt;&lt;record&gt;&lt;rec-number&gt;811&lt;/rec-number&gt;&lt;foreign-keys&gt;&lt;key app="EN" db-id="parffa0acae2voep5w3vv9rypas2tr522eef" timestamp="1430369592"&gt;811&lt;/key&gt;&lt;/foreign-keys&gt;&lt;ref-type name="Journal Article"&gt;17&lt;/ref-type&gt;&lt;contributors&gt;&lt;authors&gt;&lt;author&gt;Cuppens, H.&lt;/author&gt;&lt;author&gt;Cassiman, J. J.&lt;/author&gt;&lt;/authors&gt;&lt;/contributors&gt;&lt;auth-address&gt;Department for Human Genetics, KULeuven, O and N6, Herestraat 49, 3000 Leuven, Belgium&lt;/auth-address&gt;&lt;titles&gt;&lt;title&gt;CFTR mutations and polymorphisms in male infertility&lt;/title&gt;&lt;secondary-title&gt;International Journal of Andrology&lt;/secondary-title&gt;&lt;/titles&gt;&lt;periodical&gt;&lt;full-title&gt;International Journal of Andrology&lt;/full-title&gt;&lt;/periodical&gt;&lt;pages&gt;251-256&lt;/pages&gt;&lt;volume&gt;27&lt;/volume&gt;&lt;number&gt;5&lt;/number&gt;&lt;keywords&gt;&lt;keyword&gt;CBAVD&lt;/keyword&gt;&lt;keyword&gt;Mutation&lt;/keyword&gt;&lt;keyword&gt;Polymorphism&lt;/keyword&gt;&lt;keyword&gt;Polyvariant&lt;/keyword&gt;&lt;/keywords&gt;&lt;dates&gt;&lt;year&gt;2004&lt;/year&gt;&lt;/dates&gt;&lt;urls&gt;&lt;related-urls&gt;&lt;url&gt;http://www.scopus.com/inward/record.url?eid=2-s2.0-5644250620&amp;amp;partnerID=40&amp;amp;md5=d66c1bc220b32cd6ff495861a7c98aed&lt;/url&gt;&lt;url&gt;http://onlinelibrary.wiley.com/store/10.1111/j.1365-2605.2004.00485.x/asset/j.1365-2605.2004.00485.x.pdf?v=1&amp;amp;t=i2fc0k0r&amp;amp;s=2e6546b2a6269bb33e07b464926fc07caa2c67da&lt;/url&gt;&lt;/related-urls&gt;&lt;/urls&gt;&lt;remote-database-name&gt;Scopus&lt;/remote-database-name&gt;&lt;/record&gt;&lt;/Cite&gt;&lt;/EndNote&gt;</w:instrText>
      </w:r>
      <w:r w:rsidR="006C24BB">
        <w:rPr>
          <w:rFonts w:asciiTheme="minorHAnsi" w:hAnsiTheme="minorHAnsi"/>
        </w:rPr>
        <w:fldChar w:fldCharType="separate"/>
      </w:r>
      <w:r w:rsidR="006C24BB">
        <w:rPr>
          <w:rFonts w:asciiTheme="minorHAnsi" w:hAnsiTheme="minorHAnsi"/>
          <w:noProof/>
        </w:rPr>
        <w:t>(</w:t>
      </w:r>
      <w:hyperlink w:anchor="_ENREF_25" w:tooltip="Cuppens, 2004 #811" w:history="1">
        <w:r w:rsidR="00B46ABF">
          <w:rPr>
            <w:rFonts w:asciiTheme="minorHAnsi" w:hAnsiTheme="minorHAnsi"/>
            <w:noProof/>
          </w:rPr>
          <w:t>Cuppens &amp; Cassiman 2004</w:t>
        </w:r>
      </w:hyperlink>
      <w:r w:rsidR="006C24BB">
        <w:rPr>
          <w:rFonts w:asciiTheme="minorHAnsi" w:hAnsiTheme="minorHAnsi"/>
          <w:noProof/>
        </w:rPr>
        <w:t>)</w:t>
      </w:r>
      <w:r w:rsidR="006C24BB">
        <w:rPr>
          <w:rFonts w:asciiTheme="minorHAnsi" w:hAnsiTheme="minorHAnsi"/>
        </w:rPr>
        <w:fldChar w:fldCharType="end"/>
      </w:r>
      <w:r w:rsidRPr="006B3E53">
        <w:rPr>
          <w:rFonts w:asciiTheme="minorHAnsi" w:hAnsiTheme="minorHAnsi"/>
        </w:rPr>
        <w:t xml:space="preserve">. </w:t>
      </w:r>
      <w:r>
        <w:rPr>
          <w:rFonts w:asciiTheme="minorHAnsi" w:hAnsiTheme="minorHAnsi"/>
        </w:rPr>
        <w:t xml:space="preserve">Among </w:t>
      </w:r>
      <w:r w:rsidRPr="006B3E53">
        <w:rPr>
          <w:rFonts w:asciiTheme="minorHAnsi" w:hAnsiTheme="minorHAnsi"/>
        </w:rPr>
        <w:t xml:space="preserve">CBAVD patients </w:t>
      </w:r>
      <w:r>
        <w:rPr>
          <w:rFonts w:asciiTheme="minorHAnsi" w:hAnsiTheme="minorHAnsi"/>
        </w:rPr>
        <w:t>with</w:t>
      </w:r>
      <w:r w:rsidR="009C1DCC">
        <w:rPr>
          <w:rFonts w:asciiTheme="minorHAnsi" w:hAnsiTheme="minorHAnsi"/>
        </w:rPr>
        <w:t xml:space="preserve"> two</w:t>
      </w:r>
      <w:r w:rsidRPr="006B3E53">
        <w:rPr>
          <w:rFonts w:asciiTheme="minorHAnsi" w:hAnsiTheme="minorHAnsi"/>
        </w:rPr>
        <w:t xml:space="preserve"> </w:t>
      </w:r>
      <w:r w:rsidR="00FD37D3" w:rsidRPr="00FD37D3">
        <w:rPr>
          <w:rFonts w:asciiTheme="minorHAnsi" w:hAnsiTheme="minorHAnsi"/>
        </w:rPr>
        <w:t>CFTR</w:t>
      </w:r>
      <w:r w:rsidRPr="006B3E53">
        <w:rPr>
          <w:rFonts w:asciiTheme="minorHAnsi" w:hAnsiTheme="minorHAnsi"/>
        </w:rPr>
        <w:t xml:space="preserve"> mutations, 88% have one classic and </w:t>
      </w:r>
      <w:r w:rsidR="00762C1C">
        <w:rPr>
          <w:rFonts w:asciiTheme="minorHAnsi" w:hAnsiTheme="minorHAnsi"/>
        </w:rPr>
        <w:t>one</w:t>
      </w:r>
      <w:r w:rsidR="00762C1C" w:rsidRPr="006B3E53">
        <w:rPr>
          <w:rFonts w:asciiTheme="minorHAnsi" w:hAnsiTheme="minorHAnsi"/>
        </w:rPr>
        <w:t xml:space="preserve"> </w:t>
      </w:r>
      <w:r w:rsidRPr="006B3E53">
        <w:rPr>
          <w:rFonts w:asciiTheme="minorHAnsi" w:hAnsiTheme="minorHAnsi"/>
        </w:rPr>
        <w:t xml:space="preserve">mild </w:t>
      </w:r>
      <w:r w:rsidR="00FD37D3" w:rsidRPr="00FD37D3">
        <w:rPr>
          <w:rFonts w:asciiTheme="minorHAnsi" w:hAnsiTheme="minorHAnsi"/>
        </w:rPr>
        <w:t>CFTR</w:t>
      </w:r>
      <w:r w:rsidRPr="006B3E53">
        <w:rPr>
          <w:rFonts w:asciiTheme="minorHAnsi" w:hAnsiTheme="minorHAnsi"/>
        </w:rPr>
        <w:t xml:space="preserve"> mutation, with the most common genotypes being F508del/5T and F508del/R117H/7T. The remaining 12% have mild mutations on both </w:t>
      </w:r>
      <w:r w:rsidR="00A21FD9" w:rsidRPr="00A21FD9">
        <w:rPr>
          <w:rFonts w:asciiTheme="minorHAnsi" w:hAnsiTheme="minorHAnsi"/>
          <w:i/>
        </w:rPr>
        <w:t>CFTR</w:t>
      </w:r>
      <w:r w:rsidRPr="006B3E53">
        <w:rPr>
          <w:rFonts w:asciiTheme="minorHAnsi" w:hAnsiTheme="minorHAnsi"/>
        </w:rPr>
        <w:t xml:space="preserve"> genes </w:t>
      </w:r>
      <w:r w:rsidR="006C24BB">
        <w:rPr>
          <w:rFonts w:asciiTheme="minorHAnsi" w:hAnsiTheme="minorHAnsi"/>
        </w:rPr>
        <w:fldChar w:fldCharType="begin">
          <w:fldData xml:space="preserve">PEVuZE5vdGU+PENpdGU+PEF1dGhvcj5DbGF1c3RyZXM8L0F1dGhvcj48WWVhcj4yMDAwPC9ZZWFy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SHVtYW4gTXV0YXRpb248L2Z1bGwtdGl0bGU+PC9hbHQtcGVyaW9kaWNhbD48cGFnZXM+MTQzLTU2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</w:fldData>
        </w:fldChar>
      </w:r>
      <w:r w:rsidR="006C24BB">
        <w:rPr>
          <w:rFonts w:asciiTheme="minorHAnsi" w:hAnsiTheme="minorHAnsi"/>
        </w:rPr>
        <w:instrText xml:space="preserve"> ADDIN EN.CITE </w:instrText>
      </w:r>
      <w:r w:rsidR="006C24BB">
        <w:rPr>
          <w:rFonts w:asciiTheme="minorHAnsi" w:hAnsiTheme="minorHAnsi"/>
        </w:rPr>
        <w:fldChar w:fldCharType="begin">
          <w:fldData xml:space="preserve">PEVuZE5vdGU+PENpdGU+PEF1dGhvcj5DbGF1c3RyZXM8L0F1dGhvcj48WWVhcj4yMDAwPC9ZZWFy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SHVtYW4gTXV0YXRpb248L2Z1bGwtdGl0bGU+PC9hbHQtcGVyaW9kaWNhbD48cGFnZXM+MTQzLTU2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</w:fldData>
        </w:fldChar>
      </w:r>
      <w:r w:rsidR="006C24BB">
        <w:rPr>
          <w:rFonts w:asciiTheme="minorHAnsi" w:hAnsiTheme="minorHAnsi"/>
        </w:rPr>
        <w:instrText xml:space="preserve"> ADDIN EN.CITE.DATA </w:instrText>
      </w:r>
      <w:r w:rsidR="006C24BB">
        <w:rPr>
          <w:rFonts w:asciiTheme="minorHAnsi" w:hAnsiTheme="minorHAnsi"/>
        </w:rPr>
      </w:r>
      <w:r w:rsidR="006C24BB">
        <w:rPr>
          <w:rFonts w:asciiTheme="minorHAnsi" w:hAnsiTheme="minorHAnsi"/>
        </w:rPr>
        <w:fldChar w:fldCharType="end"/>
      </w:r>
      <w:r w:rsidR="006C24BB">
        <w:rPr>
          <w:rFonts w:asciiTheme="minorHAnsi" w:hAnsiTheme="minorHAnsi"/>
        </w:rPr>
      </w:r>
      <w:r w:rsidR="006C24BB">
        <w:rPr>
          <w:rFonts w:asciiTheme="minorHAnsi" w:hAnsiTheme="minorHAnsi"/>
        </w:rPr>
        <w:fldChar w:fldCharType="separate"/>
      </w:r>
      <w:r w:rsidR="006C24BB">
        <w:rPr>
          <w:rFonts w:asciiTheme="minorHAnsi" w:hAnsiTheme="minorHAnsi"/>
          <w:noProof/>
        </w:rPr>
        <w:t>(</w:t>
      </w:r>
      <w:hyperlink w:anchor="_ENREF_23" w:tooltip="Claustres, 2000 #55" w:history="1">
        <w:r w:rsidR="00B46ABF">
          <w:rPr>
            <w:rFonts w:asciiTheme="minorHAnsi" w:hAnsiTheme="minorHAnsi"/>
            <w:noProof/>
          </w:rPr>
          <w:t>Claustres et al. 2000</w:t>
        </w:r>
      </w:hyperlink>
      <w:r w:rsidR="006C24BB">
        <w:rPr>
          <w:rFonts w:asciiTheme="minorHAnsi" w:hAnsiTheme="minorHAnsi"/>
          <w:noProof/>
        </w:rPr>
        <w:t>)</w:t>
      </w:r>
      <w:r w:rsidR="006C24BB">
        <w:rPr>
          <w:rFonts w:asciiTheme="minorHAnsi" w:hAnsiTheme="minorHAnsi"/>
        </w:rPr>
        <w:fldChar w:fldCharType="end"/>
      </w:r>
      <w:r w:rsidRPr="006B3E53">
        <w:rPr>
          <w:rFonts w:asciiTheme="minorHAnsi" w:hAnsiTheme="minorHAnsi"/>
        </w:rPr>
        <w:t xml:space="preserve">. This is in contrast to CF patients, where about 88% have classic mutations on both </w:t>
      </w:r>
      <w:r w:rsidR="00A21FD9" w:rsidRPr="00A21FD9">
        <w:rPr>
          <w:rFonts w:asciiTheme="minorHAnsi" w:hAnsiTheme="minorHAnsi"/>
          <w:i/>
        </w:rPr>
        <w:t>CFTR</w:t>
      </w:r>
      <w:r w:rsidRPr="006B3E53">
        <w:rPr>
          <w:rFonts w:asciiTheme="minorHAnsi" w:hAnsiTheme="minorHAnsi"/>
        </w:rPr>
        <w:t xml:space="preserve"> genes, and 12% have one classic and one mild </w:t>
      </w:r>
      <w:r w:rsidR="00FD37D3" w:rsidRPr="00FD37D3">
        <w:rPr>
          <w:rFonts w:asciiTheme="minorHAnsi" w:hAnsiTheme="minorHAnsi"/>
        </w:rPr>
        <w:t>CFTR</w:t>
      </w:r>
      <w:r w:rsidRPr="006B3E53">
        <w:rPr>
          <w:rFonts w:asciiTheme="minorHAnsi" w:hAnsiTheme="minorHAnsi"/>
        </w:rPr>
        <w:t xml:space="preserve"> mutation </w:t>
      </w:r>
      <w:r w:rsidR="006C24BB">
        <w:rPr>
          <w:rFonts w:asciiTheme="minorHAnsi" w:hAnsiTheme="minorHAnsi"/>
        </w:rPr>
        <w:fldChar w:fldCharType="begin"/>
      </w:r>
      <w:r w:rsidR="009A054F">
        <w:rPr>
          <w:rFonts w:asciiTheme="minorHAnsi" w:hAnsiTheme="minorHAnsi"/>
        </w:rPr>
        <w:instrText xml:space="preserve"> ADDIN EN.CITE &lt;EndNote&gt;&lt;Cite&gt;&lt;Author&gt;Cuppens&lt;/Author&gt;&lt;Year&gt;2004&lt;/Year&gt;&lt;RecNum&gt;811&lt;/RecNum&gt;&lt;IDText&gt;251-256&lt;/IDText&gt;&lt;DisplayText&gt;(Cuppens &amp;amp; Cassiman 2004)&lt;/DisplayText&gt;&lt;record&gt;&lt;rec-number&gt;811&lt;/rec-number&gt;&lt;foreign-keys&gt;&lt;key app="EN" db-id="parffa0acae2voep5w3vv9rypas2tr522eef" timestamp="1430369592"&gt;811&lt;/key&gt;&lt;/foreign-keys&gt;&lt;ref-type name="Journal Article"&gt;17&lt;/ref-type&gt;&lt;contributors&gt;&lt;authors&gt;&lt;author&gt;Cuppens, H.&lt;/author&gt;&lt;author&gt;Cassiman, J. J.&lt;/author&gt;&lt;/authors&gt;&lt;/contributors&gt;&lt;auth-address&gt;Department for Human Genetics, KULeuven, O and N6, Herestraat 49, 3000 Leuven, Belgium&lt;/auth-address&gt;&lt;titles&gt;&lt;title&gt;CFTR mutations and polymorphisms in male infertility&lt;/title&gt;&lt;secondary-title&gt;International Journal of Andrology&lt;/secondary-title&gt;&lt;/titles&gt;&lt;periodical&gt;&lt;full-title&gt;International Journal of Andrology&lt;/full-title&gt;&lt;/periodical&gt;&lt;pages&gt;251-256&lt;/pages&gt;&lt;volume&gt;27&lt;/volume&gt;&lt;number&gt;5&lt;/number&gt;&lt;keywords&gt;&lt;keyword&gt;CBAVD&lt;/keyword&gt;&lt;keyword&gt;Mutation&lt;/keyword&gt;&lt;keyword&gt;Polymorphism&lt;/keyword&gt;&lt;keyword&gt;Polyvariant&lt;/keyword&gt;&lt;/keywords&gt;&lt;dates&gt;&lt;year&gt;2004&lt;/year&gt;&lt;/dates&gt;&lt;urls&gt;&lt;related-urls&gt;&lt;url&gt;http://www.scopus.com/inward/record.url?eid=2-s2.0-5644250620&amp;amp;partnerID=40&amp;amp;md5=d66c1bc220b32cd6ff495861a7c98aed&lt;/url&gt;&lt;url&gt;http://onlinelibrary.wiley.com/store/10.1111/j.1365-2605.2004.00485.x/asset/j.1365-2605.2004.00485.x.pdf?v=1&amp;amp;t=i2fc0k0r&amp;amp;s=2e6546b2a6269bb33e07b464926fc07caa2c67da&lt;/url&gt;&lt;/related-urls&gt;&lt;/urls&gt;&lt;remote-database-name&gt;Scopus&lt;/remote-database-name&gt;&lt;/record&gt;&lt;/Cite&gt;&lt;/EndNote&gt;</w:instrText>
      </w:r>
      <w:r w:rsidR="006C24BB">
        <w:rPr>
          <w:rFonts w:asciiTheme="minorHAnsi" w:hAnsiTheme="minorHAnsi"/>
        </w:rPr>
        <w:fldChar w:fldCharType="separate"/>
      </w:r>
      <w:r w:rsidR="006C24BB">
        <w:rPr>
          <w:rFonts w:asciiTheme="minorHAnsi" w:hAnsiTheme="minorHAnsi"/>
          <w:noProof/>
        </w:rPr>
        <w:t>(</w:t>
      </w:r>
      <w:hyperlink w:anchor="_ENREF_25" w:tooltip="Cuppens, 2004 #811" w:history="1">
        <w:r w:rsidR="00B46ABF">
          <w:rPr>
            <w:rFonts w:asciiTheme="minorHAnsi" w:hAnsiTheme="minorHAnsi"/>
            <w:noProof/>
          </w:rPr>
          <w:t>Cuppens &amp; Cassiman 2004</w:t>
        </w:r>
      </w:hyperlink>
      <w:r w:rsidR="006C24BB">
        <w:rPr>
          <w:rFonts w:asciiTheme="minorHAnsi" w:hAnsiTheme="minorHAnsi"/>
          <w:noProof/>
        </w:rPr>
        <w:t>)</w:t>
      </w:r>
      <w:r w:rsidR="006C24BB">
        <w:rPr>
          <w:rFonts w:asciiTheme="minorHAnsi" w:hAnsiTheme="minorHAnsi"/>
        </w:rPr>
        <w:fldChar w:fldCharType="end"/>
      </w:r>
      <w:r w:rsidRPr="006B3E53">
        <w:rPr>
          <w:rFonts w:asciiTheme="minorHAnsi" w:hAnsiTheme="minorHAnsi"/>
        </w:rPr>
        <w:t>.</w:t>
      </w:r>
    </w:p>
    <w:p w14:paraId="656EC134" w14:textId="3213B342" w:rsidR="0011739B" w:rsidRDefault="008A304C" w:rsidP="00AE4FA3">
      <w:pPr>
        <w:rPr>
          <w:rFonts w:asciiTheme="minorHAnsi" w:hAnsiTheme="minorHAnsi"/>
        </w:rPr>
      </w:pPr>
      <w:r>
        <w:rPr>
          <w:rFonts w:asciiTheme="minorHAnsi" w:hAnsiTheme="minorHAnsi"/>
          <w:noProof/>
        </w:rPr>
        <w:drawing>
          <wp:inline distT="0" distB="0" distL="0" distR="0" wp14:anchorId="38D0AEE6" wp14:editId="3D345F38">
            <wp:extent cx="5733415" cy="2392680"/>
            <wp:effectExtent l="0" t="0" r="635" b="0"/>
            <wp:docPr id="1" name="Picture 1" descr="Genotypes of CFTR mutations in Australia, 2012 " title="Genotypes of CFTR mutations in Australia,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otypes CFTR final.png"/>
                    <pic:cNvPicPr/>
                  </pic:nvPicPr>
                  <pic:blipFill>
                    <a:blip r:embed="rId26">
                      <a:extLst>
                        <a:ext uri="{28A0092B-C50C-407E-A947-70E740481C1C}">
                          <a14:useLocalDpi xmlns:a14="http://schemas.microsoft.com/office/drawing/2010/main" val="0"/>
                        </a:ext>
                      </a:extLst>
                    </a:blip>
                    <a:stretch>
                      <a:fillRect/>
                    </a:stretch>
                  </pic:blipFill>
                  <pic:spPr>
                    <a:xfrm>
                      <a:off x="0" y="0"/>
                      <a:ext cx="5733415" cy="2392680"/>
                    </a:xfrm>
                    <a:prstGeom prst="rect">
                      <a:avLst/>
                    </a:prstGeom>
                  </pic:spPr>
                </pic:pic>
              </a:graphicData>
            </a:graphic>
          </wp:inline>
        </w:drawing>
      </w:r>
    </w:p>
    <w:p w14:paraId="446CC783" w14:textId="61E193D9" w:rsidR="00C11212" w:rsidRPr="00C11212" w:rsidRDefault="00C11212" w:rsidP="00C11212">
      <w:pPr>
        <w:pStyle w:val="Caption"/>
      </w:pPr>
      <w:bookmarkStart w:id="107" w:name="_Ref412550298"/>
      <w:bookmarkStart w:id="108" w:name="_Ref412550306"/>
      <w:bookmarkStart w:id="109" w:name="_Toc423525556"/>
      <w:bookmarkStart w:id="110" w:name="_Ref364683582"/>
      <w:r w:rsidRPr="005175FA">
        <w:t xml:space="preserve">Figure </w:t>
      </w:r>
      <w:fldSimple w:instr=" SEQ Figure \* ARABIC ">
        <w:r w:rsidR="00BB0E3E">
          <w:rPr>
            <w:noProof/>
          </w:rPr>
          <w:t>1</w:t>
        </w:r>
      </w:fldSimple>
      <w:bookmarkEnd w:id="107"/>
      <w:r>
        <w:t xml:space="preserve"> </w:t>
      </w:r>
      <w:r>
        <w:tab/>
      </w:r>
      <w:r w:rsidRPr="00AF33C1">
        <w:t xml:space="preserve">Genotypes </w:t>
      </w:r>
      <w:r w:rsidR="00AD2954">
        <w:t xml:space="preserve">of </w:t>
      </w:r>
      <w:r w:rsidR="00FD37D3" w:rsidRPr="00FD37D3">
        <w:t>CFTR</w:t>
      </w:r>
      <w:r w:rsidRPr="00AF33C1">
        <w:t xml:space="preserve"> m</w:t>
      </w:r>
      <w:r>
        <w:t>utations in Australia, 2012</w:t>
      </w:r>
      <w:r w:rsidR="0081018B">
        <w:t xml:space="preserve"> </w:t>
      </w:r>
      <w:r>
        <w:rPr>
          <w:vertAlign w:val="superscript"/>
        </w:rPr>
        <w:t>a</w:t>
      </w:r>
      <w:bookmarkEnd w:id="108"/>
      <w:bookmarkEnd w:id="109"/>
      <w:r>
        <w:rPr>
          <w:vertAlign w:val="superscript"/>
        </w:rPr>
        <w:t xml:space="preserve"> </w:t>
      </w:r>
    </w:p>
    <w:p w14:paraId="1C2ECDD0" w14:textId="65059121" w:rsidR="00C11212" w:rsidRPr="00BA368C" w:rsidRDefault="00C11212" w:rsidP="00C11212">
      <w:pPr>
        <w:pStyle w:val="Tablenotes0"/>
      </w:pPr>
      <w:r>
        <w:t xml:space="preserve">Source: </w:t>
      </w:r>
      <w:r w:rsidRPr="00BA368C">
        <w:fldChar w:fldCharType="begin"/>
      </w:r>
      <w:r w:rsidRPr="00BA368C">
        <w:instrText xml:space="preserve"> ADDIN EN.CITE &lt;EndNote&gt;&lt;Cite&gt;&lt;Author&gt;Cystic Fibrosis Australia&lt;/Author&gt;&lt;Year&gt;2013&lt;/Year&gt;&lt;RecNum&gt;7&lt;/RecNum&gt;&lt;DisplayText&gt;(Cystic Fibrosis Australia 2013)&lt;/DisplayText&gt;&lt;record&gt;&lt;rec-number&gt;7&lt;/rec-number&gt;&lt;foreign-keys&gt;&lt;key app="EN" db-id="prapatttj2ed0oezfzjxzpwrp5xt20pztewe"&gt;7&lt;/key&gt;&lt;/foreign-keys&gt;&lt;ref-type name="Report"&gt;27&lt;/ref-type&gt;&lt;contributors&gt;&lt;authors&gt;&lt;author&gt;Cystic Fibrosis Australia,&lt;/author&gt;&lt;/authors&gt;&lt;tertiary-authors&gt;&lt;author&gt;Cystic Fibrosis Australia&lt;/author&gt;&lt;/tertiary-authors&gt;&lt;/contributors&gt;&lt;titles&gt;&lt;title&gt;Cystic Fibrosis in Australia 2012. 15th Annual Report Australian Cystic Fibrosis Data Registry&lt;/title&gt;&lt;/titles&gt;&lt;dates&gt;&lt;year&gt;2013&lt;/year&gt;&lt;/dates&gt;&lt;pub-location&gt;Baulkham Hills NSW 2153&lt;/pub-location&gt;&lt;publisher&gt;Cystic Fibrosis Australia&lt;/publisher&gt;&lt;urls&gt;&lt;related-urls&gt;&lt;url&gt;http://www.cysticfibrosis.org.au/media/wysiwyg/CF-Australia/medical-documents/ACFDR_2012/ACFDR_Annual_Report_2012r.pdf&lt;/url&gt;&lt;/related-urls&gt;&lt;/urls&gt;&lt;access-date&gt;29/10/2013&lt;/access-date&gt;&lt;/record&gt;&lt;/Cite&gt;&lt;/EndNote&gt;</w:instrText>
      </w:r>
      <w:r w:rsidRPr="00BA368C">
        <w:fldChar w:fldCharType="separate"/>
      </w:r>
      <w:hyperlink w:anchor="_ENREF_26" w:tooltip="Cystic Fibrosis Australia, 2013 #7" w:history="1">
        <w:r w:rsidR="00B46ABF" w:rsidRPr="00BA368C">
          <w:t xml:space="preserve">Cystic Fibrosis Australia </w:t>
        </w:r>
        <w:r w:rsidR="00AA07F0">
          <w:t>(</w:t>
        </w:r>
        <w:r w:rsidR="00B46ABF" w:rsidRPr="00BA368C">
          <w:t>2013</w:t>
        </w:r>
      </w:hyperlink>
      <w:r w:rsidRPr="00BA368C">
        <w:t>)</w:t>
      </w:r>
      <w:r w:rsidRPr="00BA368C">
        <w:fldChar w:fldCharType="end"/>
      </w:r>
    </w:p>
    <w:p w14:paraId="4A9A5EDB" w14:textId="77777777" w:rsidR="00C11212" w:rsidRDefault="00C11212" w:rsidP="006B7478">
      <w:bookmarkStart w:id="111" w:name="_Ref369093542"/>
      <w:bookmarkStart w:id="112" w:name="_Ref412534594"/>
    </w:p>
    <w:p w14:paraId="1F35DD8A" w14:textId="01B35DCF" w:rsidR="00AE4FA3" w:rsidRPr="008210FE" w:rsidRDefault="00AE4FA3" w:rsidP="008E5954">
      <w:pPr>
        <w:pStyle w:val="Caption"/>
      </w:pPr>
      <w:bookmarkStart w:id="113" w:name="_Ref413227284"/>
      <w:bookmarkStart w:id="114" w:name="_Toc418179403"/>
      <w:r w:rsidRPr="008210FE">
        <w:lastRenderedPageBreak/>
        <w:t xml:space="preserve">Table </w:t>
      </w:r>
      <w:fldSimple w:instr=" SEQ Table \* ARABIC ">
        <w:r w:rsidR="00BB0E3E">
          <w:rPr>
            <w:noProof/>
          </w:rPr>
          <w:t>6</w:t>
        </w:r>
      </w:fldSimple>
      <w:bookmarkEnd w:id="111"/>
      <w:bookmarkEnd w:id="113"/>
      <w:r w:rsidRPr="008210FE">
        <w:t xml:space="preserve"> </w:t>
      </w:r>
      <w:r w:rsidR="009D7CE5">
        <w:tab/>
      </w:r>
      <w:r w:rsidR="00A21FD9" w:rsidRPr="00FD37D3">
        <w:t>CFTR</w:t>
      </w:r>
      <w:r w:rsidRPr="008210FE">
        <w:t xml:space="preserve"> genotype</w:t>
      </w:r>
      <w:r w:rsidR="00AD17CD">
        <w:t>–</w:t>
      </w:r>
      <w:r w:rsidRPr="008210FE">
        <w:t>phenotype correlations</w:t>
      </w:r>
      <w:bookmarkEnd w:id="112"/>
      <w:bookmarkEnd w:id="114"/>
    </w:p>
    <w:tbl>
      <w:tblPr>
        <w:tblStyle w:val="TableGrid"/>
        <w:tblW w:w="0" w:type="auto"/>
        <w:tblLook w:val="04A0" w:firstRow="1" w:lastRow="0" w:firstColumn="1" w:lastColumn="0" w:noHBand="0" w:noVBand="1"/>
        <w:tblCaption w:val="CFTR genotype–phenotype  correlations "/>
        <w:tblDescription w:val="CFTR genotype–phenotype  correlations "/>
      </w:tblPr>
      <w:tblGrid>
        <w:gridCol w:w="2535"/>
        <w:gridCol w:w="2535"/>
        <w:gridCol w:w="4172"/>
      </w:tblGrid>
      <w:tr w:rsidR="00AE4FA3" w:rsidRPr="008210FE" w14:paraId="640F769E" w14:textId="77777777" w:rsidTr="00AE4FA3">
        <w:trPr>
          <w:tblHeader/>
        </w:trPr>
        <w:tc>
          <w:tcPr>
            <w:tcW w:w="2535" w:type="dxa"/>
          </w:tcPr>
          <w:p w14:paraId="7080B2C6" w14:textId="77777777" w:rsidR="00AE4FA3" w:rsidRPr="008210FE" w:rsidRDefault="00AE4FA3" w:rsidP="009F0AF5">
            <w:pPr>
              <w:pStyle w:val="TableHeading"/>
              <w:ind w:left="0"/>
            </w:pPr>
            <w:r w:rsidRPr="008210FE">
              <w:t>Allele 1</w:t>
            </w:r>
          </w:p>
        </w:tc>
        <w:tc>
          <w:tcPr>
            <w:tcW w:w="2535" w:type="dxa"/>
          </w:tcPr>
          <w:p w14:paraId="14574640" w14:textId="77777777" w:rsidR="00AE4FA3" w:rsidRPr="008210FE" w:rsidRDefault="00AE4FA3" w:rsidP="009F0AF5">
            <w:pPr>
              <w:pStyle w:val="TableHeading"/>
              <w:ind w:left="0"/>
            </w:pPr>
            <w:r w:rsidRPr="008210FE">
              <w:t>Allele 2</w:t>
            </w:r>
          </w:p>
        </w:tc>
        <w:tc>
          <w:tcPr>
            <w:tcW w:w="4172" w:type="dxa"/>
          </w:tcPr>
          <w:p w14:paraId="732EC383" w14:textId="77777777" w:rsidR="00AE4FA3" w:rsidRPr="008210FE" w:rsidRDefault="00AE4FA3" w:rsidP="009F0AF5">
            <w:pPr>
              <w:pStyle w:val="TableHeading"/>
              <w:ind w:left="0"/>
            </w:pPr>
            <w:r w:rsidRPr="008210FE">
              <w:t>Range of phenotypes</w:t>
            </w:r>
          </w:p>
        </w:tc>
      </w:tr>
      <w:tr w:rsidR="00AE4FA3" w:rsidRPr="008210FE" w14:paraId="57CFD422" w14:textId="77777777" w:rsidTr="00AE4FA3">
        <w:tc>
          <w:tcPr>
            <w:tcW w:w="2535" w:type="dxa"/>
          </w:tcPr>
          <w:p w14:paraId="40467952" w14:textId="5361FC56" w:rsidR="00AE4FA3" w:rsidRPr="008210FE" w:rsidRDefault="00AE4FA3" w:rsidP="009F0AF5">
            <w:pPr>
              <w:pStyle w:val="Tabletext1"/>
              <w:keepNext/>
              <w:ind w:left="0"/>
              <w:rPr>
                <w:vertAlign w:val="superscript"/>
              </w:rPr>
            </w:pPr>
            <w:r w:rsidRPr="008210FE">
              <w:t>Classic</w:t>
            </w:r>
            <w:r w:rsidR="00802524">
              <w:t xml:space="preserve"> </w:t>
            </w:r>
            <w:r w:rsidRPr="008210FE">
              <w:rPr>
                <w:vertAlign w:val="superscript"/>
              </w:rPr>
              <w:t>a</w:t>
            </w:r>
          </w:p>
        </w:tc>
        <w:tc>
          <w:tcPr>
            <w:tcW w:w="2535" w:type="dxa"/>
          </w:tcPr>
          <w:p w14:paraId="6AA9042C" w14:textId="77777777" w:rsidR="00AE4FA3" w:rsidRPr="008210FE" w:rsidRDefault="00AE4FA3" w:rsidP="009F0AF5">
            <w:pPr>
              <w:pStyle w:val="Tabletext1"/>
              <w:keepNext/>
              <w:ind w:left="0"/>
            </w:pPr>
            <w:r w:rsidRPr="008210FE">
              <w:t>Classic</w:t>
            </w:r>
          </w:p>
        </w:tc>
        <w:tc>
          <w:tcPr>
            <w:tcW w:w="4172" w:type="dxa"/>
          </w:tcPr>
          <w:p w14:paraId="7111ED77" w14:textId="59227DC7" w:rsidR="00AE4FA3" w:rsidRPr="008210FE" w:rsidRDefault="00AE4FA3" w:rsidP="009F0AF5">
            <w:pPr>
              <w:pStyle w:val="Tabletext1"/>
              <w:keepNext/>
              <w:ind w:left="0"/>
            </w:pPr>
            <w:r w:rsidRPr="008210FE">
              <w:t>Classic &gt;&gt; non</w:t>
            </w:r>
            <w:r w:rsidR="005367B4">
              <w:t>-</w:t>
            </w:r>
            <w:r w:rsidRPr="008210FE">
              <w:t>classic</w:t>
            </w:r>
          </w:p>
        </w:tc>
      </w:tr>
      <w:tr w:rsidR="00AE4FA3" w:rsidRPr="008210FE" w14:paraId="50DD55CD" w14:textId="77777777" w:rsidTr="00AE4FA3">
        <w:tc>
          <w:tcPr>
            <w:tcW w:w="2535" w:type="dxa"/>
          </w:tcPr>
          <w:p w14:paraId="5B09F763" w14:textId="4EA0A990" w:rsidR="00AE4FA3" w:rsidRPr="008210FE" w:rsidRDefault="00AE4FA3" w:rsidP="009F0AF5">
            <w:pPr>
              <w:pStyle w:val="Tabletext1"/>
              <w:keepNext/>
              <w:ind w:left="0"/>
              <w:rPr>
                <w:vertAlign w:val="superscript"/>
              </w:rPr>
            </w:pPr>
            <w:r w:rsidRPr="008210FE">
              <w:t>Mild</w:t>
            </w:r>
            <w:r w:rsidR="00802524">
              <w:t xml:space="preserve"> </w:t>
            </w:r>
            <w:r w:rsidRPr="008210FE">
              <w:rPr>
                <w:vertAlign w:val="superscript"/>
              </w:rPr>
              <w:t>b</w:t>
            </w:r>
          </w:p>
        </w:tc>
        <w:tc>
          <w:tcPr>
            <w:tcW w:w="2535" w:type="dxa"/>
          </w:tcPr>
          <w:p w14:paraId="28648568" w14:textId="77777777" w:rsidR="00AE4FA3" w:rsidRPr="008210FE" w:rsidRDefault="00AE4FA3" w:rsidP="009F0AF5">
            <w:pPr>
              <w:pStyle w:val="Tabletext1"/>
              <w:keepNext/>
              <w:ind w:left="0"/>
            </w:pPr>
            <w:r w:rsidRPr="008210FE">
              <w:t>Classic or mild</w:t>
            </w:r>
          </w:p>
        </w:tc>
        <w:tc>
          <w:tcPr>
            <w:tcW w:w="4172" w:type="dxa"/>
          </w:tcPr>
          <w:p w14:paraId="335EA499" w14:textId="1B402240" w:rsidR="00AE4FA3" w:rsidRPr="008210FE" w:rsidRDefault="00AE4FA3" w:rsidP="009F0AF5">
            <w:pPr>
              <w:pStyle w:val="Tabletext1"/>
              <w:keepNext/>
              <w:ind w:left="0"/>
            </w:pPr>
            <w:r w:rsidRPr="008210FE">
              <w:t>Non</w:t>
            </w:r>
            <w:r w:rsidR="005367B4">
              <w:t>-</w:t>
            </w:r>
            <w:r w:rsidRPr="008210FE">
              <w:t>classic &gt; classic</w:t>
            </w:r>
          </w:p>
        </w:tc>
      </w:tr>
      <w:tr w:rsidR="00AE4FA3" w:rsidRPr="008210FE" w14:paraId="07354D33" w14:textId="77777777" w:rsidTr="00AE4FA3">
        <w:tc>
          <w:tcPr>
            <w:tcW w:w="2535" w:type="dxa"/>
          </w:tcPr>
          <w:p w14:paraId="5631799B" w14:textId="77777777" w:rsidR="00AE4FA3" w:rsidRPr="008210FE" w:rsidRDefault="00AE4FA3" w:rsidP="009F0AF5">
            <w:pPr>
              <w:pStyle w:val="Tabletext1"/>
              <w:keepNext/>
              <w:ind w:left="0"/>
            </w:pPr>
            <w:r w:rsidRPr="008210FE">
              <w:t>R117H/5T</w:t>
            </w:r>
          </w:p>
        </w:tc>
        <w:tc>
          <w:tcPr>
            <w:tcW w:w="2535" w:type="dxa"/>
          </w:tcPr>
          <w:p w14:paraId="43130ADF" w14:textId="77777777" w:rsidR="00AE4FA3" w:rsidRPr="008210FE" w:rsidRDefault="00AE4FA3" w:rsidP="009F0AF5">
            <w:pPr>
              <w:pStyle w:val="Tabletext1"/>
              <w:keepNext/>
              <w:ind w:left="0"/>
            </w:pPr>
            <w:r w:rsidRPr="008210FE">
              <w:t>Classic or mild</w:t>
            </w:r>
          </w:p>
        </w:tc>
        <w:tc>
          <w:tcPr>
            <w:tcW w:w="4172" w:type="dxa"/>
          </w:tcPr>
          <w:p w14:paraId="4C94E580" w14:textId="066EAB66" w:rsidR="00AE4FA3" w:rsidRPr="008210FE" w:rsidRDefault="00AE4FA3" w:rsidP="009F0AF5">
            <w:pPr>
              <w:pStyle w:val="Tabletext1"/>
              <w:keepNext/>
              <w:ind w:left="0"/>
            </w:pPr>
            <w:r w:rsidRPr="008210FE">
              <w:t>Non</w:t>
            </w:r>
            <w:r w:rsidR="005367B4">
              <w:t>-</w:t>
            </w:r>
            <w:r w:rsidRPr="008210FE">
              <w:t>classic &gt; classic</w:t>
            </w:r>
          </w:p>
        </w:tc>
      </w:tr>
      <w:tr w:rsidR="00AE4FA3" w:rsidRPr="008210FE" w14:paraId="47B91095" w14:textId="77777777" w:rsidTr="00AE4FA3">
        <w:tc>
          <w:tcPr>
            <w:tcW w:w="2535" w:type="dxa"/>
          </w:tcPr>
          <w:p w14:paraId="22DF4E02" w14:textId="77777777" w:rsidR="00AE4FA3" w:rsidRPr="008210FE" w:rsidRDefault="00AE4FA3" w:rsidP="009F0AF5">
            <w:pPr>
              <w:pStyle w:val="Tabletext1"/>
              <w:keepNext/>
              <w:ind w:left="0"/>
            </w:pPr>
            <w:r w:rsidRPr="008210FE">
              <w:t>R117H/7T</w:t>
            </w:r>
          </w:p>
        </w:tc>
        <w:tc>
          <w:tcPr>
            <w:tcW w:w="2535" w:type="dxa"/>
          </w:tcPr>
          <w:p w14:paraId="6BC06A35" w14:textId="77777777" w:rsidR="00AE4FA3" w:rsidRPr="008210FE" w:rsidRDefault="00AE4FA3" w:rsidP="009F0AF5">
            <w:pPr>
              <w:pStyle w:val="Tabletext1"/>
              <w:keepNext/>
              <w:ind w:left="0"/>
            </w:pPr>
            <w:r w:rsidRPr="008210FE">
              <w:t>Classic or mild</w:t>
            </w:r>
          </w:p>
        </w:tc>
        <w:tc>
          <w:tcPr>
            <w:tcW w:w="4172" w:type="dxa"/>
          </w:tcPr>
          <w:p w14:paraId="4FB75808" w14:textId="09DDA548" w:rsidR="00AE4FA3" w:rsidRPr="008210FE" w:rsidRDefault="00AE4FA3" w:rsidP="009F0AF5">
            <w:pPr>
              <w:pStyle w:val="Tabletext1"/>
              <w:keepNext/>
              <w:ind w:left="0"/>
            </w:pPr>
            <w:r w:rsidRPr="008210FE">
              <w:t>Asymptomatic female or</w:t>
            </w:r>
            <w:r>
              <w:t xml:space="preserve"> </w:t>
            </w:r>
            <w:r w:rsidRPr="008210FE">
              <w:t>CBAVD</w:t>
            </w:r>
            <w:r w:rsidR="00DF5916">
              <w:t xml:space="preserve"> </w:t>
            </w:r>
            <w:r w:rsidRPr="008210FE">
              <w:t>&gt;</w:t>
            </w:r>
            <w:r w:rsidR="00DF5916">
              <w:t xml:space="preserve"> </w:t>
            </w:r>
            <w:r w:rsidRPr="008210FE">
              <w:t>non</w:t>
            </w:r>
            <w:r w:rsidR="005367B4">
              <w:t>-</w:t>
            </w:r>
            <w:r w:rsidRPr="008210FE">
              <w:t>classic CF</w:t>
            </w:r>
          </w:p>
        </w:tc>
      </w:tr>
      <w:tr w:rsidR="00AE4FA3" w:rsidRPr="008210FE" w14:paraId="15EEF3F0" w14:textId="77777777" w:rsidTr="00AE4FA3">
        <w:tc>
          <w:tcPr>
            <w:tcW w:w="2535" w:type="dxa"/>
          </w:tcPr>
          <w:p w14:paraId="21BE10A1" w14:textId="77777777" w:rsidR="00AE4FA3" w:rsidRPr="008210FE" w:rsidRDefault="00AE4FA3" w:rsidP="009F0AF5">
            <w:pPr>
              <w:pStyle w:val="Tabletext1"/>
              <w:keepNext/>
              <w:ind w:left="0"/>
            </w:pPr>
            <w:r w:rsidRPr="008210FE">
              <w:t>5T/TG11</w:t>
            </w:r>
          </w:p>
        </w:tc>
        <w:tc>
          <w:tcPr>
            <w:tcW w:w="2535" w:type="dxa"/>
          </w:tcPr>
          <w:p w14:paraId="1390A491" w14:textId="77777777" w:rsidR="00AE4FA3" w:rsidRPr="008210FE" w:rsidRDefault="00AE4FA3" w:rsidP="009F0AF5">
            <w:pPr>
              <w:pStyle w:val="Tabletext1"/>
              <w:keepNext/>
              <w:ind w:left="0"/>
            </w:pPr>
            <w:r w:rsidRPr="008210FE">
              <w:t>Classic or mild</w:t>
            </w:r>
          </w:p>
        </w:tc>
        <w:tc>
          <w:tcPr>
            <w:tcW w:w="4172" w:type="dxa"/>
          </w:tcPr>
          <w:p w14:paraId="2F060B5E" w14:textId="77777777" w:rsidR="00AE4FA3" w:rsidRPr="008210FE" w:rsidRDefault="00AE4FA3" w:rsidP="009F0AF5">
            <w:pPr>
              <w:pStyle w:val="Tabletext1"/>
              <w:keepNext/>
              <w:ind w:left="0"/>
            </w:pPr>
            <w:r w:rsidRPr="008210FE">
              <w:t>Asymptomatic &gt; CBAVD</w:t>
            </w:r>
          </w:p>
        </w:tc>
      </w:tr>
      <w:tr w:rsidR="00AE4FA3" w:rsidRPr="008210FE" w14:paraId="7624BC99" w14:textId="77777777" w:rsidTr="00AE4FA3">
        <w:tc>
          <w:tcPr>
            <w:tcW w:w="2535" w:type="dxa"/>
          </w:tcPr>
          <w:p w14:paraId="0B10E90D" w14:textId="77777777" w:rsidR="00AE4FA3" w:rsidRPr="008210FE" w:rsidRDefault="00AE4FA3" w:rsidP="009F0AF5">
            <w:pPr>
              <w:pStyle w:val="Tabletext1"/>
              <w:keepNext/>
              <w:ind w:left="0"/>
            </w:pPr>
            <w:r w:rsidRPr="008210FE">
              <w:t>7T or 9T</w:t>
            </w:r>
          </w:p>
        </w:tc>
        <w:tc>
          <w:tcPr>
            <w:tcW w:w="2535" w:type="dxa"/>
          </w:tcPr>
          <w:p w14:paraId="22C9474E" w14:textId="77777777" w:rsidR="00AE4FA3" w:rsidRPr="008210FE" w:rsidRDefault="00AE4FA3" w:rsidP="009F0AF5">
            <w:pPr>
              <w:pStyle w:val="Tabletext1"/>
              <w:keepNext/>
              <w:ind w:left="0"/>
            </w:pPr>
            <w:r w:rsidRPr="008210FE">
              <w:t>Classic or mild</w:t>
            </w:r>
          </w:p>
        </w:tc>
        <w:tc>
          <w:tcPr>
            <w:tcW w:w="4172" w:type="dxa"/>
          </w:tcPr>
          <w:p w14:paraId="1EC13BED" w14:textId="77777777" w:rsidR="00AE4FA3" w:rsidRPr="008210FE" w:rsidRDefault="00AE4FA3" w:rsidP="009F0AF5">
            <w:pPr>
              <w:pStyle w:val="Tabletext1"/>
              <w:keepNext/>
              <w:ind w:left="0"/>
            </w:pPr>
            <w:r w:rsidRPr="008210FE">
              <w:t>Asymptomatic</w:t>
            </w:r>
          </w:p>
        </w:tc>
      </w:tr>
      <w:tr w:rsidR="00AE4FA3" w:rsidRPr="008210FE" w14:paraId="53DFA824" w14:textId="77777777" w:rsidTr="00AE4FA3">
        <w:tc>
          <w:tcPr>
            <w:tcW w:w="2535" w:type="dxa"/>
          </w:tcPr>
          <w:p w14:paraId="7A64410D" w14:textId="77777777" w:rsidR="00AE4FA3" w:rsidRPr="008210FE" w:rsidRDefault="00AE4FA3" w:rsidP="009F0AF5">
            <w:pPr>
              <w:pStyle w:val="Tabletext1"/>
              <w:keepNext/>
              <w:ind w:left="0"/>
            </w:pPr>
            <w:r w:rsidRPr="008210FE">
              <w:t>7T or 9T</w:t>
            </w:r>
          </w:p>
        </w:tc>
        <w:tc>
          <w:tcPr>
            <w:tcW w:w="2535" w:type="dxa"/>
          </w:tcPr>
          <w:p w14:paraId="73207925" w14:textId="77777777" w:rsidR="00AE4FA3" w:rsidRPr="008210FE" w:rsidRDefault="00AE4FA3" w:rsidP="009F0AF5">
            <w:pPr>
              <w:pStyle w:val="Tabletext1"/>
              <w:keepNext/>
              <w:ind w:left="0"/>
            </w:pPr>
            <w:r w:rsidRPr="008210FE">
              <w:t>7T or 9T</w:t>
            </w:r>
          </w:p>
        </w:tc>
        <w:tc>
          <w:tcPr>
            <w:tcW w:w="4172" w:type="dxa"/>
          </w:tcPr>
          <w:p w14:paraId="3FD47029" w14:textId="77777777" w:rsidR="00AE4FA3" w:rsidRPr="008210FE" w:rsidRDefault="00AE4FA3" w:rsidP="009F0AF5">
            <w:pPr>
              <w:pStyle w:val="Tabletext1"/>
              <w:keepNext/>
              <w:ind w:left="0"/>
            </w:pPr>
            <w:r w:rsidRPr="008210FE">
              <w:t>Asymptomatic</w:t>
            </w:r>
          </w:p>
        </w:tc>
      </w:tr>
    </w:tbl>
    <w:p w14:paraId="4BF02C03" w14:textId="171A8078" w:rsidR="00AD17CD" w:rsidRPr="00FD17B9" w:rsidRDefault="00AD17CD" w:rsidP="008E5954">
      <w:pPr>
        <w:pStyle w:val="NoSpacing"/>
        <w:keepNext/>
        <w:rPr>
          <w:rFonts w:ascii="Arial Narrow" w:hAnsi="Arial Narrow"/>
          <w:sz w:val="18"/>
          <w:szCs w:val="18"/>
          <w:lang w:val="en-AU"/>
        </w:rPr>
      </w:pPr>
      <w:r w:rsidRPr="00FD17B9">
        <w:rPr>
          <w:rFonts w:ascii="Arial Narrow" w:hAnsi="Arial Narrow"/>
          <w:sz w:val="18"/>
          <w:szCs w:val="18"/>
          <w:lang w:val="en-AU"/>
        </w:rPr>
        <w:t xml:space="preserve">Source: </w:t>
      </w:r>
      <w:r w:rsidRPr="00FD17B9">
        <w:rPr>
          <w:rFonts w:ascii="Arial Narrow" w:hAnsi="Arial Narrow"/>
          <w:sz w:val="18"/>
          <w:szCs w:val="18"/>
        </w:rPr>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Pr="00FD17B9">
        <w:rPr>
          <w:rFonts w:ascii="Arial Narrow" w:hAnsi="Arial Narrow"/>
          <w:sz w:val="18"/>
          <w:szCs w:val="18"/>
        </w:rPr>
        <w:instrText xml:space="preserve"> ADDIN EN.CITE </w:instrText>
      </w:r>
      <w:r w:rsidRPr="00FD17B9">
        <w:rPr>
          <w:rFonts w:ascii="Arial Narrow" w:hAnsi="Arial Narrow"/>
          <w:sz w:val="18"/>
          <w:szCs w:val="18"/>
        </w:rPr>
        <w:fldChar w:fldCharType="begin">
          <w:fldData xml:space="preserve">PEVuZE5vdGU+PENpdGU+PEF1dGhvcj5Nb3Nrb3dpdHo8L0F1dGhvcj48WWVhcj4yMDA4PC9ZZWFy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</w:fldData>
        </w:fldChar>
      </w:r>
      <w:r w:rsidRPr="00FD17B9">
        <w:rPr>
          <w:rFonts w:ascii="Arial Narrow" w:hAnsi="Arial Narrow"/>
          <w:sz w:val="18"/>
          <w:szCs w:val="18"/>
        </w:rPr>
        <w:instrText xml:space="preserve"> ADDIN EN.CITE.DATA </w:instrText>
      </w:r>
      <w:r w:rsidRPr="00FD17B9">
        <w:rPr>
          <w:rFonts w:ascii="Arial Narrow" w:hAnsi="Arial Narrow"/>
          <w:sz w:val="18"/>
          <w:szCs w:val="18"/>
        </w:rPr>
      </w:r>
      <w:r w:rsidRPr="00FD17B9">
        <w:rPr>
          <w:rFonts w:ascii="Arial Narrow" w:hAnsi="Arial Narrow"/>
          <w:sz w:val="18"/>
          <w:szCs w:val="18"/>
        </w:rPr>
        <w:fldChar w:fldCharType="end"/>
      </w:r>
      <w:r w:rsidRPr="00FD17B9">
        <w:rPr>
          <w:rFonts w:ascii="Arial Narrow" w:hAnsi="Arial Narrow"/>
          <w:sz w:val="18"/>
          <w:szCs w:val="18"/>
        </w:rPr>
      </w:r>
      <w:r w:rsidRPr="00FD17B9">
        <w:rPr>
          <w:rFonts w:ascii="Arial Narrow" w:hAnsi="Arial Narrow"/>
          <w:sz w:val="18"/>
          <w:szCs w:val="18"/>
        </w:rPr>
        <w:fldChar w:fldCharType="separate"/>
      </w:r>
      <w:hyperlink w:anchor="_ENREF_81" w:tooltip="Moskowitz, 2008 #848" w:history="1">
        <w:r w:rsidRPr="00FD17B9">
          <w:rPr>
            <w:rFonts w:ascii="Arial Narrow" w:hAnsi="Arial Narrow"/>
            <w:noProof/>
            <w:sz w:val="18"/>
            <w:szCs w:val="18"/>
          </w:rPr>
          <w:t>Moskowitz et al. (2008</w:t>
        </w:r>
      </w:hyperlink>
      <w:r w:rsidRPr="00FD17B9">
        <w:rPr>
          <w:rFonts w:ascii="Arial Narrow" w:hAnsi="Arial Narrow"/>
          <w:noProof/>
          <w:sz w:val="18"/>
          <w:szCs w:val="18"/>
        </w:rPr>
        <w:t>)</w:t>
      </w:r>
      <w:r w:rsidRPr="00FD17B9">
        <w:rPr>
          <w:rFonts w:ascii="Arial Narrow" w:hAnsi="Arial Narrow"/>
          <w:sz w:val="18"/>
          <w:szCs w:val="18"/>
        </w:rPr>
        <w:fldChar w:fldCharType="end"/>
      </w:r>
    </w:p>
    <w:p w14:paraId="46423F59" w14:textId="25F1D4A9" w:rsidR="00AE4FA3" w:rsidRPr="00FD17B9" w:rsidRDefault="00AE4FA3" w:rsidP="008E5954">
      <w:pPr>
        <w:pStyle w:val="NoSpacing"/>
        <w:keepNext/>
        <w:rPr>
          <w:rFonts w:ascii="Arial Narrow" w:hAnsi="Arial Narrow"/>
          <w:sz w:val="18"/>
          <w:szCs w:val="18"/>
          <w:lang w:val="en-AU"/>
        </w:rPr>
      </w:pPr>
      <w:r w:rsidRPr="00FD17B9">
        <w:rPr>
          <w:rFonts w:ascii="Arial Narrow" w:hAnsi="Arial Narrow"/>
          <w:sz w:val="18"/>
          <w:szCs w:val="18"/>
          <w:vertAlign w:val="superscript"/>
          <w:lang w:val="en-AU"/>
        </w:rPr>
        <w:t xml:space="preserve">a </w:t>
      </w:r>
      <w:r w:rsidRPr="00FD17B9">
        <w:rPr>
          <w:rFonts w:ascii="Arial Narrow" w:hAnsi="Arial Narrow"/>
          <w:sz w:val="18"/>
          <w:szCs w:val="18"/>
          <w:lang w:val="en-AU"/>
        </w:rPr>
        <w:t>Classic refers to Class I, II and III mutations</w:t>
      </w:r>
      <w:r w:rsidR="0081018B">
        <w:rPr>
          <w:rFonts w:ascii="Arial Narrow" w:hAnsi="Arial Narrow"/>
          <w:sz w:val="18"/>
          <w:szCs w:val="18"/>
          <w:lang w:val="en-AU"/>
        </w:rPr>
        <w:t>.</w:t>
      </w:r>
    </w:p>
    <w:p w14:paraId="7685241A" w14:textId="49781AC1" w:rsidR="00AE4FA3" w:rsidRPr="00FD17B9" w:rsidRDefault="00AE4FA3" w:rsidP="008E5954">
      <w:pPr>
        <w:pStyle w:val="NoSpacing"/>
        <w:keepNext/>
        <w:rPr>
          <w:rFonts w:ascii="Arial Narrow" w:hAnsi="Arial Narrow"/>
          <w:sz w:val="18"/>
          <w:szCs w:val="18"/>
          <w:lang w:val="en-AU"/>
        </w:rPr>
      </w:pPr>
      <w:r w:rsidRPr="00FD17B9">
        <w:rPr>
          <w:rFonts w:ascii="Arial Narrow" w:hAnsi="Arial Narrow"/>
          <w:sz w:val="18"/>
          <w:szCs w:val="18"/>
          <w:vertAlign w:val="superscript"/>
          <w:lang w:val="en-AU"/>
        </w:rPr>
        <w:t>b</w:t>
      </w:r>
      <w:r w:rsidRPr="00FD17B9">
        <w:rPr>
          <w:rFonts w:ascii="Arial Narrow" w:hAnsi="Arial Narrow"/>
          <w:sz w:val="18"/>
          <w:szCs w:val="18"/>
          <w:lang w:val="en-AU"/>
        </w:rPr>
        <w:t xml:space="preserve"> Mild refers to Class IV, V and VI mutations, exclusive of R117H and 5T alleles</w:t>
      </w:r>
      <w:r w:rsidR="0081018B">
        <w:rPr>
          <w:rFonts w:ascii="Arial Narrow" w:hAnsi="Arial Narrow"/>
          <w:sz w:val="18"/>
          <w:szCs w:val="18"/>
          <w:lang w:val="en-AU"/>
        </w:rPr>
        <w:t>.</w:t>
      </w:r>
    </w:p>
    <w:p w14:paraId="6CC6F36D" w14:textId="3B87F69B" w:rsidR="00AE4FA3" w:rsidRPr="00FD17B9" w:rsidRDefault="00AE4FA3" w:rsidP="008E5954">
      <w:pPr>
        <w:pStyle w:val="NoSpacing"/>
        <w:keepNext/>
        <w:rPr>
          <w:rFonts w:ascii="Arial Narrow" w:hAnsi="Arial Narrow"/>
          <w:sz w:val="18"/>
          <w:szCs w:val="18"/>
          <w:lang w:val="en-AU"/>
        </w:rPr>
      </w:pPr>
      <w:r w:rsidRPr="00FD17B9">
        <w:rPr>
          <w:rFonts w:ascii="Arial Narrow" w:hAnsi="Arial Narrow"/>
          <w:sz w:val="18"/>
          <w:szCs w:val="18"/>
          <w:lang w:val="en-AU"/>
        </w:rPr>
        <w:t xml:space="preserve">CBAVD = </w:t>
      </w:r>
      <w:r w:rsidR="00A20CED" w:rsidRPr="00FD17B9">
        <w:rPr>
          <w:rFonts w:ascii="Arial Narrow" w:hAnsi="Arial Narrow"/>
          <w:sz w:val="18"/>
          <w:szCs w:val="18"/>
          <w:lang w:val="en-AU"/>
        </w:rPr>
        <w:t>c</w:t>
      </w:r>
      <w:r w:rsidRPr="00FD17B9">
        <w:rPr>
          <w:rFonts w:ascii="Arial Narrow" w:hAnsi="Arial Narrow"/>
          <w:sz w:val="18"/>
          <w:szCs w:val="18"/>
          <w:lang w:val="en-AU"/>
        </w:rPr>
        <w:t xml:space="preserve">ongenital </w:t>
      </w:r>
      <w:r w:rsidR="00A20CED" w:rsidRPr="00FD17B9">
        <w:rPr>
          <w:rFonts w:ascii="Arial Narrow" w:hAnsi="Arial Narrow"/>
          <w:sz w:val="18"/>
          <w:szCs w:val="18"/>
          <w:lang w:val="en-AU"/>
        </w:rPr>
        <w:t>b</w:t>
      </w:r>
      <w:r w:rsidRPr="00FD17B9">
        <w:rPr>
          <w:rFonts w:ascii="Arial Narrow" w:hAnsi="Arial Narrow"/>
          <w:sz w:val="18"/>
          <w:szCs w:val="18"/>
          <w:lang w:val="en-AU"/>
        </w:rPr>
        <w:t xml:space="preserve">ilateral </w:t>
      </w:r>
      <w:r w:rsidR="00A20CED" w:rsidRPr="00FD17B9">
        <w:rPr>
          <w:rFonts w:ascii="Arial Narrow" w:hAnsi="Arial Narrow"/>
          <w:sz w:val="18"/>
          <w:szCs w:val="18"/>
          <w:lang w:val="en-AU"/>
        </w:rPr>
        <w:t>a</w:t>
      </w:r>
      <w:r w:rsidRPr="00FD17B9">
        <w:rPr>
          <w:rFonts w:ascii="Arial Narrow" w:hAnsi="Arial Narrow"/>
          <w:sz w:val="18"/>
          <w:szCs w:val="18"/>
          <w:lang w:val="en-AU"/>
        </w:rPr>
        <w:t xml:space="preserve">bsence of the </w:t>
      </w:r>
      <w:r w:rsidR="00A20CED" w:rsidRPr="00FD17B9">
        <w:rPr>
          <w:rFonts w:ascii="Arial Narrow" w:hAnsi="Arial Narrow"/>
          <w:sz w:val="18"/>
          <w:szCs w:val="18"/>
          <w:lang w:val="en-AU"/>
        </w:rPr>
        <w:t>v</w:t>
      </w:r>
      <w:r w:rsidRPr="00FD17B9">
        <w:rPr>
          <w:rFonts w:ascii="Arial Narrow" w:hAnsi="Arial Narrow"/>
          <w:sz w:val="18"/>
          <w:szCs w:val="18"/>
          <w:lang w:val="en-AU"/>
        </w:rPr>
        <w:t xml:space="preserve">as </w:t>
      </w:r>
      <w:r w:rsidR="00A20CED" w:rsidRPr="00FD17B9">
        <w:rPr>
          <w:rFonts w:ascii="Arial Narrow" w:hAnsi="Arial Narrow"/>
          <w:sz w:val="18"/>
          <w:szCs w:val="18"/>
          <w:lang w:val="en-AU"/>
        </w:rPr>
        <w:t>d</w:t>
      </w:r>
      <w:r w:rsidRPr="00FD17B9">
        <w:rPr>
          <w:rFonts w:ascii="Arial Narrow" w:hAnsi="Arial Narrow"/>
          <w:sz w:val="18"/>
          <w:szCs w:val="18"/>
          <w:lang w:val="en-AU"/>
        </w:rPr>
        <w:t>eferens</w:t>
      </w:r>
      <w:r w:rsidR="00F94E25" w:rsidRPr="00FD17B9">
        <w:rPr>
          <w:rFonts w:ascii="Arial Narrow" w:hAnsi="Arial Narrow"/>
          <w:sz w:val="18"/>
          <w:szCs w:val="18"/>
          <w:lang w:val="en-AU"/>
        </w:rPr>
        <w:t>; CF = cystic fibrosis</w:t>
      </w:r>
    </w:p>
    <w:p w14:paraId="277591B6" w14:textId="287ADDAB" w:rsidR="00AE4FA3" w:rsidRPr="008210FE" w:rsidRDefault="00AE4FA3" w:rsidP="00FD17B9"/>
    <w:p w14:paraId="6463C95C" w14:textId="2F0B6857" w:rsidR="00AE4FA3" w:rsidRPr="00183E4D" w:rsidRDefault="00E7704D" w:rsidP="0085355F">
      <w:pPr>
        <w:pStyle w:val="Heading2"/>
        <w:tabs>
          <w:tab w:val="left" w:pos="1134"/>
        </w:tabs>
      </w:pPr>
      <w:bookmarkStart w:id="115" w:name="_Toc418179879"/>
      <w:bookmarkEnd w:id="110"/>
      <w:r>
        <w:t>A.1</w:t>
      </w:r>
      <w:r w:rsidR="00291B13">
        <w:t xml:space="preserve">. </w:t>
      </w:r>
      <w:r w:rsidR="008F57E8">
        <w:tab/>
      </w:r>
      <w:r w:rsidR="00AE4FA3" w:rsidRPr="00183E4D">
        <w:t>Rationale for Assessment</w:t>
      </w:r>
      <w:bookmarkEnd w:id="115"/>
    </w:p>
    <w:p w14:paraId="6330AAE2" w14:textId="22A96E73" w:rsidR="00AE4FA3" w:rsidRPr="00873ADA" w:rsidRDefault="00AE4FA3" w:rsidP="00AE4FA3">
      <w:r w:rsidRPr="00873ADA">
        <w:t>This contracted assessment examines the evidence to support</w:t>
      </w:r>
      <w:r w:rsidR="00DA4EEB">
        <w:t xml:space="preserve"> the</w:t>
      </w:r>
      <w:r w:rsidRPr="00873ADA">
        <w:t xml:space="preserve"> listing </w:t>
      </w:r>
      <w:r>
        <w:t xml:space="preserve">of diagnostic testing for hereditary mutations on the </w:t>
      </w:r>
      <w:r w:rsidR="00A21FD9" w:rsidRPr="00A21FD9">
        <w:rPr>
          <w:i/>
        </w:rPr>
        <w:t>CFTR</w:t>
      </w:r>
      <w:r>
        <w:t xml:space="preserve"> gene</w:t>
      </w:r>
      <w:r w:rsidRPr="00873ADA">
        <w:t xml:space="preserve"> on the MBS. The service would be used</w:t>
      </w:r>
      <w:r>
        <w:t xml:space="preserve"> for prenatal </w:t>
      </w:r>
      <w:r w:rsidR="008B04F6">
        <w:t xml:space="preserve">CF </w:t>
      </w:r>
      <w:r>
        <w:t xml:space="preserve">diagnosis in </w:t>
      </w:r>
      <w:r w:rsidR="00DA4EEB">
        <w:t xml:space="preserve">patients </w:t>
      </w:r>
      <w:r>
        <w:t xml:space="preserve">suspected of CF or </w:t>
      </w:r>
      <w:r w:rsidR="00FD37D3" w:rsidRPr="00FD37D3">
        <w:t>CFTR</w:t>
      </w:r>
      <w:r w:rsidR="00CB18B6">
        <w:t>-</w:t>
      </w:r>
      <w:r>
        <w:t xml:space="preserve">related disorders, and in partners of people with known </w:t>
      </w:r>
      <w:r w:rsidR="00FD37D3" w:rsidRPr="00FD37D3">
        <w:t>CFTR</w:t>
      </w:r>
      <w:r>
        <w:t xml:space="preserve"> mutations for the purpose of reproductive planning.</w:t>
      </w:r>
      <w:r w:rsidRPr="00873ADA">
        <w:t xml:space="preserve"> </w:t>
      </w:r>
      <w:r>
        <w:t>It is</w:t>
      </w:r>
      <w:r w:rsidRPr="00873ADA">
        <w:t xml:space="preserve"> claimed that successful listing of the technology in the target population will lead to </w:t>
      </w:r>
      <w:r>
        <w:t>additional diagnostic surety for a lifelong, expensive and complex condition, changed family planning options, and more treatment options</w:t>
      </w:r>
      <w:r w:rsidR="00CB18B6">
        <w:t>—</w:t>
      </w:r>
      <w:r>
        <w:t>there are therapies available that are tailored to a spe</w:t>
      </w:r>
      <w:r w:rsidR="00973B5A">
        <w:t xml:space="preserve">cific </w:t>
      </w:r>
      <w:r w:rsidR="00A21FD9" w:rsidRPr="00A21FD9">
        <w:rPr>
          <w:i/>
        </w:rPr>
        <w:t>CFTR</w:t>
      </w:r>
      <w:r w:rsidR="00973B5A">
        <w:t xml:space="preserve"> gene mutation, </w:t>
      </w:r>
      <w:r w:rsidR="00CB18B6">
        <w:t>for example</w:t>
      </w:r>
      <w:r w:rsidR="00973B5A">
        <w:t xml:space="preserve"> i</w:t>
      </w:r>
      <w:r>
        <w:t>vacaftor for the G551D mutation</w:t>
      </w:r>
      <w:r w:rsidRPr="00873ADA">
        <w:t>.</w:t>
      </w:r>
      <w:r>
        <w:t xml:space="preserve"> </w:t>
      </w:r>
    </w:p>
    <w:p w14:paraId="5D187F7C" w14:textId="58FEEC4C" w:rsidR="00AE4FA3" w:rsidRPr="00183E4D" w:rsidRDefault="00E7704D" w:rsidP="0085355F">
      <w:pPr>
        <w:pStyle w:val="Heading2"/>
        <w:tabs>
          <w:tab w:val="left" w:pos="1134"/>
        </w:tabs>
      </w:pPr>
      <w:bookmarkStart w:id="116" w:name="_Toc418179880"/>
      <w:r>
        <w:t>A.2</w:t>
      </w:r>
      <w:r w:rsidR="00291B13">
        <w:t>.</w:t>
      </w:r>
      <w:r w:rsidR="008F57E8">
        <w:tab/>
      </w:r>
      <w:r w:rsidR="00AE4FA3" w:rsidRPr="00183E4D">
        <w:t>Proposed Medical Service</w:t>
      </w:r>
      <w:bookmarkEnd w:id="116"/>
    </w:p>
    <w:p w14:paraId="0FDF9AA8" w14:textId="46BBF421" w:rsidR="00616F43" w:rsidRDefault="00291B13" w:rsidP="0085355F">
      <w:pPr>
        <w:pStyle w:val="Heading3"/>
        <w:tabs>
          <w:tab w:val="left" w:pos="1134"/>
        </w:tabs>
      </w:pPr>
      <w:bookmarkStart w:id="117" w:name="_Toc418179881"/>
      <w:r>
        <w:t>A.</w:t>
      </w:r>
      <w:r w:rsidR="00E7704D">
        <w:t>2</w:t>
      </w:r>
      <w:r>
        <w:t>.1.</w:t>
      </w:r>
      <w:r w:rsidR="008F57E8">
        <w:tab/>
      </w:r>
      <w:r w:rsidR="00616F43" w:rsidRPr="00183E4D">
        <w:t>Intended purpose</w:t>
      </w:r>
      <w:bookmarkEnd w:id="117"/>
      <w:r w:rsidR="00616F43" w:rsidRPr="00183E4D">
        <w:t xml:space="preserve"> </w:t>
      </w:r>
    </w:p>
    <w:p w14:paraId="103CD402" w14:textId="3AA6B4AB" w:rsidR="00616F43" w:rsidRPr="008210FE" w:rsidRDefault="00616F43" w:rsidP="00616F43">
      <w:r w:rsidRPr="008210FE">
        <w:t>CF is</w:t>
      </w:r>
      <w:r>
        <w:t xml:space="preserve"> usually</w:t>
      </w:r>
      <w:r w:rsidRPr="008210FE">
        <w:t xml:space="preserve"> clinically diagnosed with supporting evidence of </w:t>
      </w:r>
      <w:r>
        <w:t xml:space="preserve">a </w:t>
      </w:r>
      <w:r w:rsidR="00FD37D3" w:rsidRPr="00FD37D3">
        <w:t>CFTR</w:t>
      </w:r>
      <w:r w:rsidRPr="008210FE">
        <w:t xml:space="preserve"> abnormality, either by sweat chloride measurement or</w:t>
      </w:r>
      <w:r w:rsidR="008B04F6">
        <w:t xml:space="preserve"> identification of</w:t>
      </w:r>
      <w:r w:rsidRPr="008210FE">
        <w:t xml:space="preserve"> mutations in the </w:t>
      </w:r>
      <w:r w:rsidR="00A21FD9" w:rsidRPr="00A21FD9">
        <w:rPr>
          <w:i/>
        </w:rPr>
        <w:t>CFTR</w:t>
      </w:r>
      <w:r w:rsidRPr="008210FE">
        <w:rPr>
          <w:i/>
        </w:rPr>
        <w:t xml:space="preserve"> </w:t>
      </w:r>
      <w:r w:rsidRPr="008210FE">
        <w:t xml:space="preserve">gene known to cause CF. An elevated </w:t>
      </w:r>
      <w:r w:rsidR="00C57626">
        <w:t>immun</w:t>
      </w:r>
      <w:r w:rsidR="00021847">
        <w:t>o</w:t>
      </w:r>
      <w:r w:rsidRPr="008210FE">
        <w:t>reactive tr</w:t>
      </w:r>
      <w:r>
        <w:t>ypsinogen (IRT) level during</w:t>
      </w:r>
      <w:r w:rsidRPr="008210FE">
        <w:t xml:space="preserve"> screening can replace clinical features as a diagnostic criterion in newborns</w:t>
      </w:r>
      <w:r w:rsidR="009119BB">
        <w:t xml:space="preserve"> (</w:t>
      </w:r>
      <w:r w:rsidR="00F95F50">
        <w:t>s</w:t>
      </w:r>
      <w:r w:rsidR="009119BB">
        <w:t xml:space="preserve">ee </w:t>
      </w:r>
      <w:r w:rsidR="009119BB" w:rsidRPr="00BD2FD7">
        <w:t xml:space="preserve">page </w:t>
      </w:r>
      <w:r w:rsidR="009119BB" w:rsidRPr="00BD2FD7">
        <w:fldChar w:fldCharType="begin"/>
      </w:r>
      <w:r w:rsidR="009119BB" w:rsidRPr="00BD2FD7">
        <w:instrText xml:space="preserve"> PAGEREF _Ref411251485 \h </w:instrText>
      </w:r>
      <w:r w:rsidR="009119BB" w:rsidRPr="00BD2FD7">
        <w:fldChar w:fldCharType="separate"/>
      </w:r>
      <w:r w:rsidR="00BB0E3E">
        <w:rPr>
          <w:noProof/>
        </w:rPr>
        <w:t>38</w:t>
      </w:r>
      <w:r w:rsidR="009119BB" w:rsidRPr="00BD2FD7">
        <w:fldChar w:fldCharType="end"/>
      </w:r>
      <w:r w:rsidR="009119BB">
        <w:t>)</w:t>
      </w:r>
      <w:r w:rsidRPr="008210FE">
        <w:t>.</w:t>
      </w:r>
      <w:r>
        <w:t xml:space="preserve"> Diagnosis is usually simple</w:t>
      </w:r>
      <w:r w:rsidRPr="008210FE">
        <w:t xml:space="preserve"> following </w:t>
      </w:r>
      <w:r w:rsidR="0067459F">
        <w:t>NBS</w:t>
      </w:r>
      <w:r w:rsidRPr="008210FE">
        <w:t xml:space="preserve"> or clinical presentation with an elevated sweat chloride level, but in</w:t>
      </w:r>
      <w:r>
        <w:t xml:space="preserve"> some situations the combined</w:t>
      </w:r>
      <w:r w:rsidRPr="008210FE">
        <w:t xml:space="preserve"> information makes the diagnosis</w:t>
      </w:r>
      <w:r>
        <w:t xml:space="preserve"> difficult</w:t>
      </w:r>
      <w:r w:rsidR="00681FB3">
        <w:t>, for examp</w:t>
      </w:r>
      <w:r w:rsidR="001442D6">
        <w:t>le</w:t>
      </w:r>
      <w:r w:rsidRPr="008210FE">
        <w:t xml:space="preserve"> mild symptoms</w:t>
      </w:r>
      <w:r w:rsidR="00780216">
        <w:t>,</w:t>
      </w:r>
      <w:r w:rsidRPr="008210FE">
        <w:t xml:space="preserve"> a (borderline) positive sweat test</w:t>
      </w:r>
      <w:r w:rsidR="00780216">
        <w:t>,</w:t>
      </w:r>
      <w:r w:rsidRPr="008210FE">
        <w:t xml:space="preserve"> </w:t>
      </w:r>
      <w:r w:rsidR="00780216">
        <w:t>or</w:t>
      </w:r>
      <w:r w:rsidR="00780216" w:rsidRPr="008210FE">
        <w:t xml:space="preserve"> </w:t>
      </w:r>
      <w:r w:rsidRPr="008210FE">
        <w:t xml:space="preserve">a new </w:t>
      </w:r>
      <w:r w:rsidR="00FD37D3" w:rsidRPr="00FD37D3">
        <w:t>CFTR</w:t>
      </w:r>
      <w:r w:rsidRPr="008210FE">
        <w:t xml:space="preserve"> sequence variation of unknown significance </w:t>
      </w:r>
      <w:r w:rsidRPr="008210FE">
        <w:fldChar w:fldCharType="begin">
          <w:fldData xml:space="preserve">PEVuZE5vdGU+PENpdGU+PEF1dGhvcj5GYXJyZWxsPC9BdXRob3I+PFllYXI+MjAwODwvWWVhcj48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</w:fldData>
        </w:fldChar>
      </w:r>
      <w:r w:rsidRPr="008210FE">
        <w:instrText xml:space="preserve"> ADDIN EN.CITE </w:instrText>
      </w:r>
      <w:r w:rsidRPr="008210FE">
        <w:fldChar w:fldCharType="begin">
          <w:fldData xml:space="preserve">PEVuZE5vdGU+PENpdGU+PEF1dGhvcj5GYXJyZWxsPC9BdXRob3I+PFllYXI+MjAwODwvWWVhcj48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</w:fldData>
        </w:fldChar>
      </w:r>
      <w:r w:rsidRPr="008210FE">
        <w:instrText xml:space="preserve"> ADDIN EN.CITE.DATA </w:instrText>
      </w:r>
      <w:r w:rsidRPr="008210FE">
        <w:fldChar w:fldCharType="end"/>
      </w:r>
      <w:r w:rsidRPr="008210FE">
        <w:fldChar w:fldCharType="separate"/>
      </w:r>
      <w:r w:rsidRPr="008210FE">
        <w:rPr>
          <w:noProof/>
        </w:rPr>
        <w:t>(</w:t>
      </w:r>
      <w:hyperlink w:anchor="_ENREF_38" w:tooltip="Farrell, 2008 #25" w:history="1">
        <w:r w:rsidR="00B46ABF" w:rsidRPr="008210FE">
          <w:rPr>
            <w:noProof/>
          </w:rPr>
          <w:t>Farrell et al. 2008</w:t>
        </w:r>
      </w:hyperlink>
      <w:r w:rsidRPr="008210FE">
        <w:rPr>
          <w:noProof/>
        </w:rPr>
        <w:t>)</w:t>
      </w:r>
      <w:r w:rsidRPr="008210FE">
        <w:fldChar w:fldCharType="end"/>
      </w:r>
      <w:r w:rsidRPr="008210FE">
        <w:t>.</w:t>
      </w:r>
      <w:r w:rsidR="00DF5916">
        <w:t xml:space="preserve"> </w:t>
      </w:r>
    </w:p>
    <w:p w14:paraId="089E1451" w14:textId="64BDC914" w:rsidR="00616F43" w:rsidRPr="008210FE" w:rsidRDefault="00616F43" w:rsidP="0085355F">
      <w:pPr>
        <w:spacing w:after="120"/>
      </w:pPr>
      <w:r w:rsidRPr="008210FE">
        <w:t xml:space="preserve">As </w:t>
      </w:r>
      <w:r>
        <w:t>stated previously</w:t>
      </w:r>
      <w:r w:rsidRPr="008210FE">
        <w:t xml:space="preserve">, diagnostic testing for hereditary mutations in the </w:t>
      </w:r>
      <w:r w:rsidR="00A21FD9" w:rsidRPr="00A21FD9">
        <w:rPr>
          <w:i/>
        </w:rPr>
        <w:t>CFTR</w:t>
      </w:r>
      <w:r w:rsidRPr="008210FE">
        <w:t xml:space="preserve"> gene </w:t>
      </w:r>
      <w:r>
        <w:t xml:space="preserve">occurs </w:t>
      </w:r>
      <w:r w:rsidRPr="008210FE">
        <w:t xml:space="preserve">in </w:t>
      </w:r>
      <w:r>
        <w:t>three</w:t>
      </w:r>
      <w:r w:rsidRPr="008210FE">
        <w:t xml:space="preserve"> distinct groups</w:t>
      </w:r>
      <w:r>
        <w:t>/indications</w:t>
      </w:r>
      <w:r w:rsidRPr="008210FE">
        <w:t xml:space="preserve">: </w:t>
      </w:r>
    </w:p>
    <w:p w14:paraId="337E14C2" w14:textId="1AAF4F1E" w:rsidR="00616F43" w:rsidRPr="00EF3D42" w:rsidRDefault="000E295E" w:rsidP="002A491C">
      <w:pPr>
        <w:pStyle w:val="ListParagraph"/>
        <w:numPr>
          <w:ilvl w:val="0"/>
          <w:numId w:val="18"/>
        </w:numPr>
        <w:contextualSpacing/>
      </w:pPr>
      <w:r>
        <w:t>i</w:t>
      </w:r>
      <w:r w:rsidR="00616F43" w:rsidRPr="00EF3D42">
        <w:t xml:space="preserve">n people with a high clinical suspicion of CF </w:t>
      </w:r>
    </w:p>
    <w:p w14:paraId="06EF2C33" w14:textId="530E5F65" w:rsidR="00616F43" w:rsidRPr="00EF3D42" w:rsidRDefault="000E295E" w:rsidP="002A491C">
      <w:pPr>
        <w:pStyle w:val="ListParagraph"/>
        <w:numPr>
          <w:ilvl w:val="0"/>
          <w:numId w:val="18"/>
        </w:numPr>
        <w:contextualSpacing/>
      </w:pPr>
      <w:r>
        <w:t>f</w:t>
      </w:r>
      <w:r w:rsidR="00616F43" w:rsidRPr="00EF3D42">
        <w:t xml:space="preserve">or prenatal CF diagnosis </w:t>
      </w:r>
    </w:p>
    <w:p w14:paraId="207F4C36" w14:textId="696E8AFE" w:rsidR="00616F43" w:rsidRPr="00EF3D42" w:rsidRDefault="000E295E" w:rsidP="002A491C">
      <w:pPr>
        <w:pStyle w:val="ListParagraph"/>
        <w:numPr>
          <w:ilvl w:val="0"/>
          <w:numId w:val="18"/>
        </w:numPr>
        <w:contextualSpacing/>
      </w:pPr>
      <w:r>
        <w:t>i</w:t>
      </w:r>
      <w:r w:rsidR="00616F43">
        <w:t xml:space="preserve">n partners of people with known </w:t>
      </w:r>
      <w:r w:rsidR="00FD37D3" w:rsidRPr="00FD37D3">
        <w:t>CFTR</w:t>
      </w:r>
      <w:r w:rsidR="00616F43">
        <w:t xml:space="preserve"> mutations for the purpose of</w:t>
      </w:r>
      <w:r w:rsidR="00616F43" w:rsidRPr="00617471">
        <w:t xml:space="preserve"> reproductive planning</w:t>
      </w:r>
      <w:r w:rsidR="00616F43">
        <w:t>.</w:t>
      </w:r>
      <w:r w:rsidR="00616F43" w:rsidRPr="00EF3D42">
        <w:t xml:space="preserve"> </w:t>
      </w:r>
    </w:p>
    <w:p w14:paraId="4E9B897C" w14:textId="55F11019" w:rsidR="00616F43" w:rsidRPr="004A5782" w:rsidRDefault="00616F43" w:rsidP="00616F43">
      <w:r w:rsidRPr="004A5782">
        <w:lastRenderedPageBreak/>
        <w:t>The first group includes individuals presenting with classic or non-classic CF symptoms</w:t>
      </w:r>
      <w:r>
        <w:t xml:space="preserve"> (including men with CBAVD)</w:t>
      </w:r>
      <w:r w:rsidRPr="004A5782">
        <w:t xml:space="preserve">. Prenatal diagnosis would be indicated for </w:t>
      </w:r>
      <w:r w:rsidRPr="00C72B02">
        <w:t xml:space="preserve">couples who have had a previous child with CF or a </w:t>
      </w:r>
      <w:r w:rsidR="00FD37D3" w:rsidRPr="00FD37D3">
        <w:t>CFTR</w:t>
      </w:r>
      <w:r w:rsidR="00FD048D">
        <w:t>-</w:t>
      </w:r>
      <w:r w:rsidRPr="00C72B02">
        <w:t>related disorder</w:t>
      </w:r>
      <w:r w:rsidR="00FD048D">
        <w:t>,</w:t>
      </w:r>
      <w:r w:rsidRPr="00C72B02">
        <w:t xml:space="preserve"> or who have been identified by other means to both be carriers of a </w:t>
      </w:r>
      <w:r w:rsidR="00FD37D3" w:rsidRPr="00FD37D3">
        <w:t>CFTR</w:t>
      </w:r>
      <w:r w:rsidRPr="00C72B02">
        <w:t xml:space="preserve"> mutation. It could also be used in </w:t>
      </w:r>
      <w:r>
        <w:t>cases where the fetus is</w:t>
      </w:r>
      <w:r w:rsidRPr="00C72B02">
        <w:t xml:space="preserve"> found to have an ‘echogenic gut’.</w:t>
      </w:r>
      <w:r w:rsidRPr="004A5782">
        <w:t xml:space="preserve"> </w:t>
      </w:r>
      <w:r w:rsidRPr="00EF3D42">
        <w:t xml:space="preserve">In this scenario the </w:t>
      </w:r>
      <w:r>
        <w:t>fetus</w:t>
      </w:r>
      <w:r w:rsidRPr="00EF3D42">
        <w:t>’</w:t>
      </w:r>
      <w:r w:rsidR="00FD048D">
        <w:t>s</w:t>
      </w:r>
      <w:r w:rsidRPr="00EF3D42">
        <w:t xml:space="preserve"> parents would undergo </w:t>
      </w:r>
      <w:r w:rsidR="00FD37D3" w:rsidRPr="00FD37D3">
        <w:t>CFTR</w:t>
      </w:r>
      <w:r w:rsidRPr="00EF3D42">
        <w:t xml:space="preserve"> mutation testing to determine if they are carriers, prior to the </w:t>
      </w:r>
      <w:r>
        <w:t>fetus</w:t>
      </w:r>
      <w:r w:rsidRPr="00EF3D42">
        <w:t xml:space="preserve"> being tested (if both parents are </w:t>
      </w:r>
      <w:r>
        <w:t xml:space="preserve">found to be </w:t>
      </w:r>
      <w:r w:rsidRPr="00EF3D42">
        <w:t>carriers). The third group includes the testing of a partner of someone with</w:t>
      </w:r>
      <w:r w:rsidR="00B43A96">
        <w:t xml:space="preserve"> at least one</w:t>
      </w:r>
      <w:r w:rsidRPr="00EF3D42">
        <w:t xml:space="preserve"> known </w:t>
      </w:r>
      <w:r w:rsidR="00FD37D3" w:rsidRPr="00FD37D3">
        <w:t>CFTR</w:t>
      </w:r>
      <w:r w:rsidRPr="00EF3D42">
        <w:t xml:space="preserve"> mutation, which would influence their reproductive planning </w:t>
      </w:r>
      <w:r w:rsidR="003C4F66">
        <w:t xml:space="preserve">to </w:t>
      </w:r>
      <w:r w:rsidRPr="00EF3D42">
        <w:t xml:space="preserve">allow an additional option of </w:t>
      </w:r>
      <w:r w:rsidR="00FD048D">
        <w:t>p</w:t>
      </w:r>
      <w:r w:rsidRPr="00EF3D42">
        <w:t>re</w:t>
      </w:r>
      <w:r w:rsidR="00FD048D">
        <w:t>-</w:t>
      </w:r>
      <w:r w:rsidRPr="00EF3D42">
        <w:t xml:space="preserve">implantation </w:t>
      </w:r>
      <w:r w:rsidR="00FD048D">
        <w:t>g</w:t>
      </w:r>
      <w:r w:rsidRPr="00EF3D42">
        <w:t xml:space="preserve">enetic </w:t>
      </w:r>
      <w:r w:rsidR="00FD048D">
        <w:t>d</w:t>
      </w:r>
      <w:r w:rsidRPr="00EF3D42">
        <w:t xml:space="preserve">iagnosis (PGD) if both partners have at least one </w:t>
      </w:r>
      <w:r w:rsidR="00FD37D3" w:rsidRPr="00FD37D3">
        <w:t>CFTR</w:t>
      </w:r>
      <w:r w:rsidRPr="00EF3D42">
        <w:t xml:space="preserve"> mutation.</w:t>
      </w:r>
      <w:r w:rsidRPr="004A5782">
        <w:t xml:space="preserve"> </w:t>
      </w:r>
    </w:p>
    <w:p w14:paraId="3FF63A08" w14:textId="04B8E109" w:rsidR="00616F43" w:rsidRPr="008210FE" w:rsidRDefault="00616F43" w:rsidP="00616F43">
      <w:r w:rsidRPr="008210FE">
        <w:t xml:space="preserve">Each person or </w:t>
      </w:r>
      <w:r>
        <w:t>fetus</w:t>
      </w:r>
      <w:r w:rsidRPr="008210FE">
        <w:t xml:space="preserve"> being tested for hereditary mutations in the </w:t>
      </w:r>
      <w:r w:rsidR="00A21FD9" w:rsidRPr="00A21FD9">
        <w:rPr>
          <w:i/>
        </w:rPr>
        <w:t>CFTR</w:t>
      </w:r>
      <w:r w:rsidRPr="008210FE">
        <w:t xml:space="preserve"> gene would only need to be tested once in their lifetime.</w:t>
      </w:r>
      <w:r>
        <w:t xml:space="preserve"> </w:t>
      </w:r>
      <w:r w:rsidRPr="008210FE">
        <w:t xml:space="preserve">Most CF patients would be diagnosed through </w:t>
      </w:r>
      <w:r w:rsidR="0067459F">
        <w:t>NBS</w:t>
      </w:r>
      <w:r w:rsidR="00DA4EEB">
        <w:t xml:space="preserve"> (s</w:t>
      </w:r>
      <w:r w:rsidR="00B05018">
        <w:t xml:space="preserve">ee </w:t>
      </w:r>
      <w:r w:rsidR="00B05018" w:rsidRPr="00BD2FD7">
        <w:t xml:space="preserve">page </w:t>
      </w:r>
      <w:r w:rsidR="00B05018" w:rsidRPr="00BD2FD7">
        <w:fldChar w:fldCharType="begin"/>
      </w:r>
      <w:r w:rsidR="00B05018" w:rsidRPr="00BD2FD7">
        <w:instrText xml:space="preserve"> PAGEREF _Ref411251485 \h </w:instrText>
      </w:r>
      <w:r w:rsidR="00B05018" w:rsidRPr="00BD2FD7">
        <w:fldChar w:fldCharType="separate"/>
      </w:r>
      <w:r w:rsidR="00BB0E3E">
        <w:rPr>
          <w:noProof/>
        </w:rPr>
        <w:t>38</w:t>
      </w:r>
      <w:r w:rsidR="00B05018" w:rsidRPr="00BD2FD7">
        <w:fldChar w:fldCharType="end"/>
      </w:r>
      <w:r w:rsidR="00B05018" w:rsidRPr="00BD2FD7">
        <w:t>)</w:t>
      </w:r>
      <w:r w:rsidRPr="00BD2FD7">
        <w:t>,</w:t>
      </w:r>
      <w:r w:rsidRPr="008210FE">
        <w:t xml:space="preserve"> </w:t>
      </w:r>
      <w:r w:rsidR="005774C8">
        <w:t>and</w:t>
      </w:r>
      <w:r w:rsidR="005774C8" w:rsidRPr="008210FE">
        <w:t xml:space="preserve"> </w:t>
      </w:r>
      <w:r w:rsidRPr="008210FE">
        <w:t>the ultrasound exam</w:t>
      </w:r>
      <w:r>
        <w:t>ination showing ‘echogenic gut</w:t>
      </w:r>
      <w:r w:rsidRPr="008210FE">
        <w:t xml:space="preserve">’ leads to approximately 11% of CF diagnoses </w:t>
      </w:r>
      <w:r w:rsidRPr="008210FE">
        <w:fldChar w:fldCharType="begin">
          <w:fldData xml:space="preserve">PEVuZE5vdGU+PENpdGU+PEF1dGhvcj5TY290ZXQ8L0F1dGhvcj48WWVhcj4yMDAyPC9ZZWFyPjxS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</w:fldData>
        </w:fldChar>
      </w:r>
      <w:r w:rsidRPr="008210FE">
        <w:instrText xml:space="preserve"> ADDIN EN.CITE </w:instrText>
      </w:r>
      <w:r w:rsidRPr="008210FE">
        <w:fldChar w:fldCharType="begin">
          <w:fldData xml:space="preserve">PEVuZE5vdGU+PENpdGU+PEF1dGhvcj5TY290ZXQ8L0F1dGhvcj48WWVhcj4yMDAyPC9ZZWFyPjxS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</w:fldData>
        </w:fldChar>
      </w:r>
      <w:r w:rsidRPr="008210FE">
        <w:instrText xml:space="preserve"> ADDIN EN.CITE.DATA </w:instrText>
      </w:r>
      <w:r w:rsidRPr="008210FE">
        <w:fldChar w:fldCharType="end"/>
      </w:r>
      <w:r w:rsidRPr="008210FE">
        <w:fldChar w:fldCharType="separate"/>
      </w:r>
      <w:r w:rsidRPr="008210FE">
        <w:rPr>
          <w:noProof/>
        </w:rPr>
        <w:t>(</w:t>
      </w:r>
      <w:hyperlink w:anchor="_ENREF_111" w:tooltip="Scotet, 2002 #15" w:history="1">
        <w:r w:rsidR="00B46ABF" w:rsidRPr="008210FE">
          <w:rPr>
            <w:noProof/>
          </w:rPr>
          <w:t>Scotet et al. 2002</w:t>
        </w:r>
      </w:hyperlink>
      <w:r w:rsidRPr="008210FE">
        <w:rPr>
          <w:noProof/>
        </w:rPr>
        <w:t>)</w:t>
      </w:r>
      <w:r w:rsidRPr="008210FE">
        <w:fldChar w:fldCharType="end"/>
      </w:r>
      <w:r w:rsidRPr="008210FE">
        <w:t>. A small percentage</w:t>
      </w:r>
      <w:r>
        <w:t xml:space="preserve"> of patients</w:t>
      </w:r>
      <w:r w:rsidRPr="008210FE">
        <w:t xml:space="preserve"> </w:t>
      </w:r>
      <w:r w:rsidR="003C4F66">
        <w:t>are</w:t>
      </w:r>
      <w:r w:rsidR="003C4F66" w:rsidRPr="008210FE">
        <w:t xml:space="preserve"> </w:t>
      </w:r>
      <w:r w:rsidRPr="008210FE">
        <w:t xml:space="preserve">diagnosed </w:t>
      </w:r>
      <w:r>
        <w:t>when older</w:t>
      </w:r>
      <w:r w:rsidRPr="008210FE">
        <w:t xml:space="preserve">, </w:t>
      </w:r>
      <w:r>
        <w:t xml:space="preserve">as </w:t>
      </w:r>
      <w:r w:rsidRPr="008210FE">
        <w:t>the</w:t>
      </w:r>
      <w:r w:rsidR="003C4F66">
        <w:t>y</w:t>
      </w:r>
      <w:r w:rsidRPr="008210FE">
        <w:t xml:space="preserve"> often have a milder form of the disease</w:t>
      </w:r>
      <w:r>
        <w:t xml:space="preserve"> (such as men with CBAVD)</w:t>
      </w:r>
      <w:r w:rsidRPr="008210FE">
        <w:t>.</w:t>
      </w:r>
    </w:p>
    <w:p w14:paraId="641D1288" w14:textId="77777777" w:rsidR="00616F43" w:rsidRPr="008210FE" w:rsidRDefault="00616F43" w:rsidP="00616F43">
      <w:pPr>
        <w:pStyle w:val="Heading4"/>
      </w:pPr>
      <w:r w:rsidRPr="008210FE">
        <w:t>Different gene tests</w:t>
      </w:r>
    </w:p>
    <w:p w14:paraId="4A5CCC23" w14:textId="16FF60CB" w:rsidR="00616F43" w:rsidRPr="008210FE" w:rsidRDefault="00616F43" w:rsidP="0085355F">
      <w:pPr>
        <w:spacing w:after="120"/>
      </w:pPr>
      <w:r w:rsidRPr="008210FE">
        <w:t>The</w:t>
      </w:r>
      <w:r>
        <w:t xml:space="preserve"> common</w:t>
      </w:r>
      <w:r w:rsidRPr="008210FE">
        <w:t xml:space="preserve"> </w:t>
      </w:r>
      <w:r w:rsidR="00FD37D3" w:rsidRPr="00FD37D3">
        <w:t>CFTR</w:t>
      </w:r>
      <w:r w:rsidRPr="008210FE">
        <w:t xml:space="preserve"> tests are: </w:t>
      </w:r>
    </w:p>
    <w:p w14:paraId="651047A9" w14:textId="439DCD91" w:rsidR="00616F43" w:rsidRPr="008210FE" w:rsidRDefault="00616F43" w:rsidP="002A491C">
      <w:pPr>
        <w:pStyle w:val="ListParagraph"/>
        <w:numPr>
          <w:ilvl w:val="0"/>
          <w:numId w:val="19"/>
        </w:numPr>
        <w:contextualSpacing/>
      </w:pPr>
      <w:r>
        <w:t xml:space="preserve">F508del mutation </w:t>
      </w:r>
    </w:p>
    <w:p w14:paraId="3C99FC48" w14:textId="23320F44" w:rsidR="00616F43" w:rsidRPr="008210FE" w:rsidRDefault="008A0A8E" w:rsidP="002A491C">
      <w:pPr>
        <w:pStyle w:val="ListParagraph"/>
        <w:numPr>
          <w:ilvl w:val="0"/>
          <w:numId w:val="19"/>
        </w:numPr>
        <w:contextualSpacing/>
      </w:pPr>
      <w:r>
        <w:t>s</w:t>
      </w:r>
      <w:r w:rsidR="00616F43">
        <w:t xml:space="preserve">ingle mutation </w:t>
      </w:r>
    </w:p>
    <w:p w14:paraId="7A70207B" w14:textId="21BCC474" w:rsidR="00616F43" w:rsidRPr="008210FE" w:rsidRDefault="008A0A8E" w:rsidP="002A491C">
      <w:pPr>
        <w:pStyle w:val="ListParagraph"/>
        <w:numPr>
          <w:ilvl w:val="0"/>
          <w:numId w:val="19"/>
        </w:numPr>
        <w:contextualSpacing/>
      </w:pPr>
      <w:r>
        <w:t>c</w:t>
      </w:r>
      <w:r w:rsidR="00616F43" w:rsidRPr="008210FE">
        <w:t xml:space="preserve">ommon mutation </w:t>
      </w:r>
    </w:p>
    <w:p w14:paraId="3A9B1614" w14:textId="01C31E28" w:rsidR="00616F43" w:rsidRPr="008210FE" w:rsidRDefault="008A0A8E" w:rsidP="002A491C">
      <w:pPr>
        <w:pStyle w:val="ListParagraph"/>
        <w:numPr>
          <w:ilvl w:val="0"/>
          <w:numId w:val="19"/>
        </w:numPr>
        <w:contextualSpacing/>
      </w:pPr>
      <w:r>
        <w:t>p</w:t>
      </w:r>
      <w:r w:rsidR="00616F43">
        <w:t xml:space="preserve">oly-T </w:t>
      </w:r>
      <w:r w:rsidR="00616F43" w:rsidRPr="008210FE">
        <w:t>(for mild disease and infertility)</w:t>
      </w:r>
    </w:p>
    <w:p w14:paraId="6AAADFCB" w14:textId="0831FB31" w:rsidR="00616F43" w:rsidRPr="008210FE" w:rsidRDefault="008A0A8E" w:rsidP="002A491C">
      <w:pPr>
        <w:pStyle w:val="ListParagraph"/>
        <w:numPr>
          <w:ilvl w:val="0"/>
          <w:numId w:val="19"/>
        </w:numPr>
        <w:contextualSpacing/>
      </w:pPr>
      <w:r>
        <w:t>t</w:t>
      </w:r>
      <w:r w:rsidR="00616F43" w:rsidRPr="008210FE">
        <w:t>ota</w:t>
      </w:r>
      <w:r w:rsidR="00616F43">
        <w:t xml:space="preserve">l gene and rare mutation </w:t>
      </w:r>
    </w:p>
    <w:p w14:paraId="3858697B" w14:textId="4A53121D" w:rsidR="00616F43" w:rsidRPr="008210FE" w:rsidRDefault="008A0A8E" w:rsidP="002A491C">
      <w:pPr>
        <w:pStyle w:val="ListParagraph"/>
        <w:numPr>
          <w:ilvl w:val="0"/>
          <w:numId w:val="19"/>
        </w:numPr>
        <w:contextualSpacing/>
      </w:pPr>
      <w:r>
        <w:t>p</w:t>
      </w:r>
      <w:r w:rsidR="00616F43">
        <w:t>renatal</w:t>
      </w:r>
      <w:r w:rsidR="00AB0CEF">
        <w:t>.</w:t>
      </w:r>
    </w:p>
    <w:p w14:paraId="32D35B64" w14:textId="5E30F6AE" w:rsidR="00616F43" w:rsidRDefault="00616F43" w:rsidP="0085355F">
      <w:pPr>
        <w:spacing w:after="120"/>
      </w:pPr>
      <w:r w:rsidRPr="008210FE">
        <w:t xml:space="preserve">Different </w:t>
      </w:r>
      <w:r w:rsidR="00FD37D3" w:rsidRPr="00E60C81">
        <w:rPr>
          <w:i/>
        </w:rPr>
        <w:t>CFTR</w:t>
      </w:r>
      <w:r w:rsidRPr="00E60C81">
        <w:rPr>
          <w:i/>
        </w:rPr>
        <w:t xml:space="preserve"> </w:t>
      </w:r>
      <w:r w:rsidRPr="008210FE">
        <w:t>gene tests would be co</w:t>
      </w:r>
      <w:r>
        <w:t>nducted according to the</w:t>
      </w:r>
      <w:r w:rsidRPr="008210FE">
        <w:t xml:space="preserve"> </w:t>
      </w:r>
      <w:r>
        <w:t>different groups:</w:t>
      </w:r>
    </w:p>
    <w:p w14:paraId="7165DEA5" w14:textId="06322BBD" w:rsidR="00616F43" w:rsidRPr="0082495F" w:rsidRDefault="00616F43" w:rsidP="0085355F">
      <w:r w:rsidRPr="00C03064">
        <w:rPr>
          <w:u w:val="single"/>
        </w:rPr>
        <w:t>Group 1 (</w:t>
      </w:r>
      <w:r>
        <w:rPr>
          <w:u w:val="single"/>
        </w:rPr>
        <w:t>H</w:t>
      </w:r>
      <w:r w:rsidRPr="00C03064">
        <w:rPr>
          <w:u w:val="single"/>
        </w:rPr>
        <w:t>igh clinical suspicion of CF):</w:t>
      </w:r>
      <w:r w:rsidR="00B43A96">
        <w:t xml:space="preserve"> </w:t>
      </w:r>
      <w:r w:rsidR="001D011E">
        <w:t>C</w:t>
      </w:r>
      <w:r w:rsidR="00B43A96">
        <w:t>ommon mutation analyses are</w:t>
      </w:r>
      <w:r w:rsidRPr="0082495F">
        <w:t xml:space="preserve"> conducted in symptomatic patients, followed by an expanded mutation panel and then total gene sequencing if the clinical situation demands and</w:t>
      </w:r>
      <w:r w:rsidR="001663B4">
        <w:t xml:space="preserve"> the</w:t>
      </w:r>
      <w:r w:rsidRPr="0082495F">
        <w:t xml:space="preserve"> common mutation analysis is unable to identify both mutations. In men with CBAVD</w:t>
      </w:r>
      <w:r w:rsidR="001460B0">
        <w:t xml:space="preserve"> </w:t>
      </w:r>
      <w:r w:rsidR="001460B0" w:rsidRPr="00141059">
        <w:t>(group 1d)</w:t>
      </w:r>
      <w:r w:rsidRPr="00141059">
        <w:t>,</w:t>
      </w:r>
      <w:r w:rsidRPr="0082495F">
        <w:t xml:space="preserve"> common mutation analysis is done with the addition of R117H and intron 8 plus possibly poly</w:t>
      </w:r>
      <w:r w:rsidR="008C2810">
        <w:t>-</w:t>
      </w:r>
      <w:r w:rsidRPr="0082495F">
        <w:t xml:space="preserve">T testing. Neonates with a positive sweat test after having one mutation identified through </w:t>
      </w:r>
      <w:r w:rsidR="0067459F">
        <w:t>NBS</w:t>
      </w:r>
      <w:r w:rsidRPr="0082495F">
        <w:t xml:space="preserve"> would </w:t>
      </w:r>
      <w:r w:rsidR="002449B1">
        <w:t>have</w:t>
      </w:r>
      <w:r w:rsidR="002449B1" w:rsidRPr="0082495F">
        <w:t xml:space="preserve"> </w:t>
      </w:r>
      <w:r w:rsidR="001663B4">
        <w:t xml:space="preserve">total gene sequencing, as they have </w:t>
      </w:r>
      <w:r w:rsidRPr="0082495F">
        <w:t>already</w:t>
      </w:r>
      <w:r w:rsidR="001663B4">
        <w:t xml:space="preserve"> been</w:t>
      </w:r>
      <w:r w:rsidRPr="0082495F">
        <w:t xml:space="preserve"> teste</w:t>
      </w:r>
      <w:r w:rsidR="00973B5A">
        <w:t>d for the most common mutations (</w:t>
      </w:r>
      <w:r w:rsidR="00040635" w:rsidRPr="00BC6A77">
        <w:fldChar w:fldCharType="begin"/>
      </w:r>
      <w:r w:rsidR="00040635" w:rsidRPr="00BC6A77">
        <w:instrText xml:space="preserve"> REF _Ref422323338 \h </w:instrText>
      </w:r>
      <w:r w:rsidR="00BC6A77">
        <w:instrText xml:space="preserve"> \* MERGEFORMAT </w:instrText>
      </w:r>
      <w:r w:rsidR="00040635" w:rsidRPr="00BC6A77">
        <w:fldChar w:fldCharType="separate"/>
      </w:r>
      <w:r w:rsidR="00BB0E3E" w:rsidRPr="00025847">
        <w:t xml:space="preserve">Figure </w:t>
      </w:r>
      <w:r w:rsidR="00BB0E3E">
        <w:rPr>
          <w:noProof/>
        </w:rPr>
        <w:t>2</w:t>
      </w:r>
      <w:r w:rsidR="00040635" w:rsidRPr="00BC6A77">
        <w:fldChar w:fldCharType="end"/>
      </w:r>
      <w:r w:rsidR="00040635">
        <w:t xml:space="preserve"> </w:t>
      </w:r>
      <w:r w:rsidR="00973B5A">
        <w:t xml:space="preserve">on </w:t>
      </w:r>
      <w:r w:rsidR="00973B5A" w:rsidRPr="001912B4">
        <w:t>page</w:t>
      </w:r>
      <w:r w:rsidR="00040635">
        <w:t xml:space="preserve"> </w:t>
      </w:r>
      <w:r w:rsidR="00040635">
        <w:fldChar w:fldCharType="begin"/>
      </w:r>
      <w:r w:rsidR="00040635">
        <w:instrText xml:space="preserve"> PAGEREF _Ref422323359 \h </w:instrText>
      </w:r>
      <w:r w:rsidR="00040635">
        <w:fldChar w:fldCharType="separate"/>
      </w:r>
      <w:r w:rsidR="00BB0E3E">
        <w:rPr>
          <w:noProof/>
        </w:rPr>
        <w:t>44</w:t>
      </w:r>
      <w:r w:rsidR="00040635">
        <w:fldChar w:fldCharType="end"/>
      </w:r>
      <w:r w:rsidR="00973B5A">
        <w:t>).</w:t>
      </w:r>
    </w:p>
    <w:p w14:paraId="6C1B5F8B" w14:textId="2F9E1769" w:rsidR="00616F43" w:rsidRPr="0082495F" w:rsidRDefault="00616F43" w:rsidP="0085355F">
      <w:r w:rsidRPr="00C03064">
        <w:rPr>
          <w:u w:val="single"/>
        </w:rPr>
        <w:t>Group 2 (Prenatal diagnosis):</w:t>
      </w:r>
      <w:r w:rsidRPr="0082495F">
        <w:t xml:space="preserve"> In the parents of </w:t>
      </w:r>
      <w:r>
        <w:t>a</w:t>
      </w:r>
      <w:r w:rsidRPr="0082495F">
        <w:t xml:space="preserve"> </w:t>
      </w:r>
      <w:r>
        <w:t>fetus</w:t>
      </w:r>
      <w:r w:rsidRPr="0082495F">
        <w:t xml:space="preserve"> </w:t>
      </w:r>
      <w:r>
        <w:t>where no familial mutations are known,</w:t>
      </w:r>
      <w:r w:rsidRPr="0082495F">
        <w:t xml:space="preserve"> common mutation analysis would be done. If a mutation is found</w:t>
      </w:r>
      <w:r>
        <w:t xml:space="preserve"> or known</w:t>
      </w:r>
      <w:r w:rsidRPr="0082495F">
        <w:t xml:space="preserve"> in both parents, a single mutation analysis</w:t>
      </w:r>
      <w:r>
        <w:t xml:space="preserve"> in the fetus</w:t>
      </w:r>
      <w:r w:rsidRPr="0082495F">
        <w:t xml:space="preserve"> would be performed, as the test would specifically target the previously identified parents’ </w:t>
      </w:r>
      <w:r>
        <w:t xml:space="preserve">known </w:t>
      </w:r>
      <w:r w:rsidRPr="0082495F">
        <w:t>mutations.</w:t>
      </w:r>
      <w:r>
        <w:t xml:space="preserve"> In some cases, if the parents have been tested for common mutations and none have been identified, it may be warranted for a whole gene screen to be done in the fetus </w:t>
      </w:r>
      <w:r w:rsidR="00973B5A">
        <w:t>(</w:t>
      </w:r>
      <w:r w:rsidR="00040635">
        <w:fldChar w:fldCharType="begin"/>
      </w:r>
      <w:r w:rsidR="00040635">
        <w:instrText xml:space="preserve"> REF _Ref422323388 \h </w:instrText>
      </w:r>
      <w:r w:rsidR="00040635">
        <w:fldChar w:fldCharType="separate"/>
      </w:r>
      <w:r w:rsidR="00BB0E3E" w:rsidRPr="006B3D51">
        <w:t xml:space="preserve">Figure </w:t>
      </w:r>
      <w:r w:rsidR="00BB0E3E">
        <w:rPr>
          <w:noProof/>
        </w:rPr>
        <w:t>3</w:t>
      </w:r>
      <w:r w:rsidR="00040635">
        <w:fldChar w:fldCharType="end"/>
      </w:r>
      <w:r w:rsidR="00040635">
        <w:t xml:space="preserve"> </w:t>
      </w:r>
      <w:r w:rsidR="00973B5A" w:rsidRPr="001912B4">
        <w:t>on page</w:t>
      </w:r>
      <w:r w:rsidR="00040635">
        <w:t xml:space="preserve"> </w:t>
      </w:r>
      <w:r w:rsidR="00040635">
        <w:fldChar w:fldCharType="begin"/>
      </w:r>
      <w:r w:rsidR="00040635">
        <w:instrText xml:space="preserve"> PAGEREF _Ref422323372 \h </w:instrText>
      </w:r>
      <w:r w:rsidR="00040635">
        <w:fldChar w:fldCharType="separate"/>
      </w:r>
      <w:r w:rsidR="00BB0E3E">
        <w:rPr>
          <w:noProof/>
        </w:rPr>
        <w:t>45</w:t>
      </w:r>
      <w:r w:rsidR="00040635">
        <w:fldChar w:fldCharType="end"/>
      </w:r>
      <w:r w:rsidR="00973B5A">
        <w:t>).</w:t>
      </w:r>
    </w:p>
    <w:p w14:paraId="712D3E38" w14:textId="4A7EFDE3" w:rsidR="00616F43" w:rsidRPr="00EF3D42" w:rsidRDefault="00616F43" w:rsidP="0085355F">
      <w:r w:rsidRPr="00C03064">
        <w:rPr>
          <w:u w:val="single"/>
        </w:rPr>
        <w:lastRenderedPageBreak/>
        <w:t>Group 3 (Reproductive planning):</w:t>
      </w:r>
      <w:r w:rsidRPr="0082495F">
        <w:t xml:space="preserve"> If a person has</w:t>
      </w:r>
      <w:r w:rsidR="001663B4">
        <w:t xml:space="preserve"> at least one</w:t>
      </w:r>
      <w:r w:rsidRPr="0082495F">
        <w:t xml:space="preserve"> </w:t>
      </w:r>
      <w:r w:rsidR="00FD37D3" w:rsidRPr="00FD37D3">
        <w:t>CFTR</w:t>
      </w:r>
      <w:r w:rsidRPr="0082495F">
        <w:t xml:space="preserve"> mutation identified and is planning on having children, their partner would undergo common mutation analysis for carrier screening. No additional testing would be done in this group if the initial tests are negative</w:t>
      </w:r>
      <w:r w:rsidR="00973B5A">
        <w:t xml:space="preserve"> </w:t>
      </w:r>
      <w:r w:rsidR="00973B5A" w:rsidRPr="005175FA">
        <w:t>(</w:t>
      </w:r>
      <w:r w:rsidR="00040635">
        <w:fldChar w:fldCharType="begin"/>
      </w:r>
      <w:r w:rsidR="00040635">
        <w:instrText xml:space="preserve"> REF _Ref422323431 \h </w:instrText>
      </w:r>
      <w:r w:rsidR="00040635">
        <w:fldChar w:fldCharType="separate"/>
      </w:r>
      <w:r w:rsidR="00BB0E3E" w:rsidRPr="005175FA">
        <w:t xml:space="preserve">Figure </w:t>
      </w:r>
      <w:r w:rsidR="00BB0E3E">
        <w:rPr>
          <w:noProof/>
        </w:rPr>
        <w:t>4</w:t>
      </w:r>
      <w:r w:rsidR="00040635">
        <w:fldChar w:fldCharType="end"/>
      </w:r>
      <w:r w:rsidR="00040635">
        <w:t xml:space="preserve"> </w:t>
      </w:r>
      <w:r w:rsidR="00973B5A">
        <w:t xml:space="preserve">on </w:t>
      </w:r>
      <w:r w:rsidR="00973B5A" w:rsidRPr="00BD2FD7">
        <w:t>page</w:t>
      </w:r>
      <w:r w:rsidR="00040635">
        <w:fldChar w:fldCharType="begin"/>
      </w:r>
      <w:r w:rsidR="00040635">
        <w:instrText xml:space="preserve"> PAGEREF _Ref422323423 \h </w:instrText>
      </w:r>
      <w:r w:rsidR="00040635">
        <w:fldChar w:fldCharType="separate"/>
      </w:r>
      <w:r w:rsidR="00BB0E3E">
        <w:rPr>
          <w:noProof/>
        </w:rPr>
        <w:t>46</w:t>
      </w:r>
      <w:r w:rsidR="00040635">
        <w:fldChar w:fldCharType="end"/>
      </w:r>
      <w:r w:rsidR="00973B5A">
        <w:t>)</w:t>
      </w:r>
      <w:r w:rsidRPr="0082495F">
        <w:t>.</w:t>
      </w:r>
    </w:p>
    <w:p w14:paraId="6FB8EBBE" w14:textId="42BE83E8" w:rsidR="00616F43" w:rsidRDefault="00E7704D">
      <w:pPr>
        <w:pStyle w:val="Heading3"/>
        <w:tabs>
          <w:tab w:val="left" w:pos="1134"/>
        </w:tabs>
      </w:pPr>
      <w:bookmarkStart w:id="118" w:name="_Toc418179882"/>
      <w:r>
        <w:t>A.2</w:t>
      </w:r>
      <w:r w:rsidR="00291B13">
        <w:t>.2.</w:t>
      </w:r>
      <w:r w:rsidR="008F57E8">
        <w:tab/>
      </w:r>
      <w:r w:rsidR="00616F43" w:rsidRPr="00183E4D">
        <w:t>Other Indications</w:t>
      </w:r>
      <w:bookmarkEnd w:id="118"/>
      <w:r w:rsidR="00DC5BC3">
        <w:t xml:space="preserve"> </w:t>
      </w:r>
    </w:p>
    <w:p w14:paraId="2438CC8A" w14:textId="77777777" w:rsidR="00DC5BC3" w:rsidRDefault="00DC5BC3" w:rsidP="00DC5BC3">
      <w:pPr>
        <w:pStyle w:val="Heading4"/>
      </w:pPr>
      <w:bookmarkStart w:id="119" w:name="_Ref411251485"/>
      <w:r>
        <w:t>Newborn screening</w:t>
      </w:r>
      <w:bookmarkEnd w:id="119"/>
    </w:p>
    <w:p w14:paraId="320B8EFE" w14:textId="509827CA" w:rsidR="00ED34D6" w:rsidRDefault="00DC5BC3" w:rsidP="00ED34D6">
      <w:r>
        <w:t>As stated in section A.2, most CF patients are currently diagnosed through</w:t>
      </w:r>
      <w:r w:rsidR="00A44846">
        <w:t xml:space="preserve"> Australia</w:t>
      </w:r>
      <w:r w:rsidR="00D4051A">
        <w:t>-</w:t>
      </w:r>
      <w:r w:rsidR="00A44846">
        <w:t>wide</w:t>
      </w:r>
      <w:r>
        <w:t xml:space="preserve"> </w:t>
      </w:r>
      <w:r w:rsidR="0067459F">
        <w:t>NBS</w:t>
      </w:r>
      <w:r>
        <w:t xml:space="preserve">. </w:t>
      </w:r>
      <w:r w:rsidR="00E8701C">
        <w:t>The first step in screening of neonates for CF is the test for IRT, which is an indirect measure of pancreatic injury that is present at birth in most newborns who have CF. If elevated IRT levels are found in the</w:t>
      </w:r>
      <w:r w:rsidR="00781590">
        <w:t xml:space="preserve"> 48</w:t>
      </w:r>
      <w:r w:rsidR="00D4051A">
        <w:t>–</w:t>
      </w:r>
      <w:r w:rsidR="00781590">
        <w:t>72</w:t>
      </w:r>
      <w:r w:rsidR="00D4051A">
        <w:t>-</w:t>
      </w:r>
      <w:r w:rsidR="00781590">
        <w:t>hour</w:t>
      </w:r>
      <w:r w:rsidR="00E8701C">
        <w:t xml:space="preserve"> dried blood sample</w:t>
      </w:r>
      <w:r w:rsidR="00781590">
        <w:t xml:space="preserve"> (taken through</w:t>
      </w:r>
      <w:r w:rsidR="008F0F08">
        <w:t xml:space="preserve"> a</w:t>
      </w:r>
      <w:r w:rsidR="00781590">
        <w:t xml:space="preserve"> heel prick)</w:t>
      </w:r>
      <w:r w:rsidR="00E8701C">
        <w:t xml:space="preserve">, the second step is to do a common mutation analysis to test for common </w:t>
      </w:r>
      <w:r w:rsidR="00FD37D3" w:rsidRPr="00FD37D3">
        <w:t>CFTR</w:t>
      </w:r>
      <w:r w:rsidR="00E8701C">
        <w:t xml:space="preserve"> mutations</w:t>
      </w:r>
      <w:r w:rsidR="004C1F11">
        <w:t xml:space="preserve"> </w:t>
      </w:r>
      <w:r w:rsidR="00973B5A">
        <w:fldChar w:fldCharType="begin"/>
      </w:r>
      <w:r w:rsidR="009A054F">
        <w:instrText xml:space="preserve"> ADDIN EN.CITE &lt;EndNote&gt;&lt;Cite&gt;&lt;Author&gt;NHMRC&lt;/Author&gt;&lt;Year&gt;2007&lt;/Year&gt;&lt;RecNum&gt;988&lt;/RecNum&gt;&lt;DisplayText&gt;(NHMRC 2007)&lt;/DisplayText&gt;&lt;record&gt;&lt;rec-number&gt;988&lt;/rec-number&gt;&lt;foreign-keys&gt;&lt;key app="EN" db-id="parffa0acae2voep5w3vv9rypas2tr522eef" timestamp="1430369645"&gt;988&lt;/key&gt;&lt;/foreign-keys&gt;&lt;ref-type name="Report"&gt;27&lt;/ref-type&gt;&lt;contributors&gt;&lt;authors&gt;&lt;author&gt;NHMRC&lt;/author&gt;&lt;/authors&gt;&lt;/contributors&gt;&lt;titles&gt;&lt;title&gt;Newborn Screening&lt;/title&gt;&lt;secondary-title&gt;Genetics in Family Medicine: The Australian Handbook for General Practitioners&lt;/secondary-title&gt;&lt;/titles&gt;&lt;dates&gt;&lt;year&gt;2007&lt;/year&gt;&lt;/dates&gt;&lt;pub-location&gt;Canberra&lt;/pub-location&gt;&lt;publisher&gt;Australian Government. National Health and Medical Research Council.&lt;/publisher&gt;&lt;urls&gt;&lt;/urls&gt;&lt;/record&gt;&lt;/Cite&gt;&lt;/EndNote&gt;</w:instrText>
      </w:r>
      <w:r w:rsidR="00973B5A">
        <w:fldChar w:fldCharType="separate"/>
      </w:r>
      <w:r w:rsidR="00973B5A">
        <w:rPr>
          <w:noProof/>
        </w:rPr>
        <w:t>(</w:t>
      </w:r>
      <w:hyperlink w:anchor="_ENREF_90" w:tooltip="NHMRC, 2007 #988" w:history="1">
        <w:r w:rsidR="00B46ABF">
          <w:rPr>
            <w:noProof/>
          </w:rPr>
          <w:t>NHMRC 2007</w:t>
        </w:r>
      </w:hyperlink>
      <w:r w:rsidR="00973B5A">
        <w:rPr>
          <w:noProof/>
        </w:rPr>
        <w:t>)</w:t>
      </w:r>
      <w:r w:rsidR="00973B5A">
        <w:fldChar w:fldCharType="end"/>
      </w:r>
      <w:r w:rsidR="00E8701C">
        <w:t xml:space="preserve">. </w:t>
      </w:r>
      <w:r w:rsidR="00781590">
        <w:t xml:space="preserve">As </w:t>
      </w:r>
      <w:r w:rsidR="0067459F">
        <w:t>NBS</w:t>
      </w:r>
      <w:r w:rsidR="00781590">
        <w:t xml:space="preserve"> is </w:t>
      </w:r>
      <w:r w:rsidR="00D4051A">
        <w:t>s</w:t>
      </w:r>
      <w:r w:rsidR="00781590">
        <w:t>tate</w:t>
      </w:r>
      <w:r w:rsidR="00693CFC">
        <w:t>/</w:t>
      </w:r>
      <w:r w:rsidR="00DB7FD6">
        <w:t>t</w:t>
      </w:r>
      <w:r w:rsidR="00693CFC">
        <w:t>erritory</w:t>
      </w:r>
      <w:r w:rsidR="00781590">
        <w:t xml:space="preserve"> regulated and funded, the</w:t>
      </w:r>
      <w:r w:rsidR="00602CCF">
        <w:t xml:space="preserve"> panel of mutations </w:t>
      </w:r>
      <w:r w:rsidR="00693CFC">
        <w:t xml:space="preserve">included </w:t>
      </w:r>
      <w:r w:rsidR="00602CCF">
        <w:t>in the common mutation test varies</w:t>
      </w:r>
      <w:r w:rsidR="00693CFC">
        <w:t xml:space="preserve"> across </w:t>
      </w:r>
      <w:r w:rsidR="00D4051A">
        <w:t>s</w:t>
      </w:r>
      <w:r w:rsidR="00693CFC">
        <w:t>tates</w:t>
      </w:r>
      <w:r w:rsidR="00DB7FD6">
        <w:t xml:space="preserve"> and </w:t>
      </w:r>
      <w:r w:rsidR="00D4051A">
        <w:t>t</w:t>
      </w:r>
      <w:r w:rsidR="00693CFC">
        <w:t xml:space="preserve">erritories. If no mutations are found, CF is not indicated and no further tests would be done. </w:t>
      </w:r>
      <w:r w:rsidR="00ED34D6">
        <w:t>T</w:t>
      </w:r>
      <w:r w:rsidR="00693CFC">
        <w:t>hose with heterozygous DNA results (e.g. one identified mutation) would</w:t>
      </w:r>
      <w:r w:rsidR="00ED34D6">
        <w:t xml:space="preserve"> be referred to a sweat test. If this test is positive, the neonate would be diagnosed and referred to a CF clinic.</w:t>
      </w:r>
      <w:r w:rsidR="00693CFC">
        <w:t xml:space="preserve"> </w:t>
      </w:r>
      <w:r w:rsidR="00ED34D6">
        <w:t>If</w:t>
      </w:r>
      <w:r w:rsidR="00693CFC">
        <w:t xml:space="preserve"> two mutations are detected</w:t>
      </w:r>
      <w:r w:rsidR="00ED34D6">
        <w:t xml:space="preserve"> in the common mutation test, the newborn would be</w:t>
      </w:r>
      <w:r w:rsidR="00693CFC">
        <w:t xml:space="preserve"> diagnosed and</w:t>
      </w:r>
      <w:r w:rsidR="00ED34D6">
        <w:t xml:space="preserve"> directly</w:t>
      </w:r>
      <w:r w:rsidR="00693CFC">
        <w:t xml:space="preserve"> referred to a CF clinic (</w:t>
      </w:r>
      <w:r w:rsidR="00ED34D6">
        <w:t>and in some cases a sweat test</w:t>
      </w:r>
      <w:r w:rsidR="00602CCF">
        <w:t xml:space="preserve"> would be done</w:t>
      </w:r>
      <w:r w:rsidR="00693CFC">
        <w:t xml:space="preserve">). </w:t>
      </w:r>
    </w:p>
    <w:p w14:paraId="00797D58" w14:textId="5F75B742" w:rsidR="009008BF" w:rsidRDefault="00B05018" w:rsidP="00602CCF">
      <w:r>
        <w:t>Within the current public health system, all neonates identified as</w:t>
      </w:r>
      <w:r w:rsidR="00602CCF">
        <w:t xml:space="preserve"> being at risk for CF </w:t>
      </w:r>
      <w:r w:rsidR="00470C34">
        <w:t>due to</w:t>
      </w:r>
      <w:r>
        <w:t xml:space="preserve"> having one </w:t>
      </w:r>
      <w:r w:rsidR="00FD37D3" w:rsidRPr="00FD37D3">
        <w:t>CFTR</w:t>
      </w:r>
      <w:r>
        <w:t xml:space="preserve"> mutation </w:t>
      </w:r>
      <w:r w:rsidR="001D011E">
        <w:t xml:space="preserve">detected at </w:t>
      </w:r>
      <w:r w:rsidR="0067459F">
        <w:t>NBS</w:t>
      </w:r>
      <w:r>
        <w:t xml:space="preserve"> would be further investigated through additional </w:t>
      </w:r>
      <w:r w:rsidR="00602CCF">
        <w:t xml:space="preserve">genetic tests. This is currently funded by the </w:t>
      </w:r>
      <w:r w:rsidR="00D4051A">
        <w:t>s</w:t>
      </w:r>
      <w:r w:rsidR="00602CCF">
        <w:t>tates</w:t>
      </w:r>
      <w:r w:rsidR="00D4051A">
        <w:t>/t</w:t>
      </w:r>
      <w:r w:rsidR="00602CCF">
        <w:t>erritories. As this testing is already considered standard practice, and parents would not be funding the tests themselves, it was considered by PASC that this indication would not need to be examined further in this assessment (MSAC 1216).</w:t>
      </w:r>
      <w:r w:rsidR="009008BF">
        <w:t xml:space="preserve"> </w:t>
      </w:r>
    </w:p>
    <w:p w14:paraId="4FCA4EFE" w14:textId="15DFB38A" w:rsidR="00602CCF" w:rsidRDefault="009008BF" w:rsidP="00602CCF">
      <w:r>
        <w:t xml:space="preserve">Mutation-specific drugs for CF are currently under development, and the first one has been approved for listing on the Pharmaceutical Benefits Scheme (PBS) since the application for </w:t>
      </w:r>
      <w:r w:rsidR="00FD37D3" w:rsidRPr="00FD37D3">
        <w:t>CFTR</w:t>
      </w:r>
      <w:r>
        <w:t xml:space="preserve"> testing was received. When newborns are diagnosed with at least one G551D mutation, they have to wait until they turn </w:t>
      </w:r>
      <w:r w:rsidR="00DA19D2">
        <w:t xml:space="preserve">6 years of age </w:t>
      </w:r>
      <w:r>
        <w:t xml:space="preserve">to </w:t>
      </w:r>
      <w:r w:rsidR="00DA19D2">
        <w:t xml:space="preserve">be eligible to </w:t>
      </w:r>
      <w:r>
        <w:t>access this drug</w:t>
      </w:r>
      <w:r w:rsidR="00DA19D2">
        <w:t>,</w:t>
      </w:r>
      <w:r>
        <w:t xml:space="preserve"> Kalydeco</w:t>
      </w:r>
      <w:r>
        <w:rPr>
          <w:vertAlign w:val="superscript"/>
        </w:rPr>
        <w:t>®</w:t>
      </w:r>
      <w:r>
        <w:t xml:space="preserve"> (containing ivacaftor), through the PBS.</w:t>
      </w:r>
    </w:p>
    <w:p w14:paraId="1F453EB1" w14:textId="41F76982" w:rsidR="00602CCF" w:rsidRDefault="00A23C70" w:rsidP="00A23C70">
      <w:pPr>
        <w:pStyle w:val="Heading3"/>
      </w:pPr>
      <w:bookmarkStart w:id="120" w:name="_Toc418179883"/>
      <w:r>
        <w:t>A.2.3.</w:t>
      </w:r>
      <w:r w:rsidR="008F57E8">
        <w:tab/>
      </w:r>
      <w:r w:rsidR="00AE4FA3" w:rsidRPr="00BC645A">
        <w:t xml:space="preserve">Current </w:t>
      </w:r>
      <w:r w:rsidR="00FD37D3" w:rsidRPr="00FD37D3">
        <w:t>CFTR</w:t>
      </w:r>
      <w:r w:rsidR="00AE4FA3">
        <w:t xml:space="preserve"> mutation testing in Australia</w:t>
      </w:r>
      <w:bookmarkEnd w:id="120"/>
    </w:p>
    <w:p w14:paraId="3E82D821" w14:textId="117DF41C" w:rsidR="00602CCF" w:rsidRDefault="00602CCF" w:rsidP="00602CCF">
      <w:pPr>
        <w:rPr>
          <w:b/>
          <w:smallCaps/>
          <w:sz w:val="24"/>
          <w:szCs w:val="24"/>
        </w:rPr>
      </w:pPr>
      <w:r>
        <w:t>T</w:t>
      </w:r>
      <w:r w:rsidR="00AE4FA3">
        <w:t>he</w:t>
      </w:r>
      <w:r w:rsidR="002E2B1C" w:rsidRPr="002E2B1C">
        <w:t xml:space="preserve"> </w:t>
      </w:r>
      <w:r w:rsidR="002E2B1C">
        <w:t>Royal College of Pathologists of Australasia</w:t>
      </w:r>
      <w:r w:rsidR="00AE4FA3">
        <w:t xml:space="preserve"> </w:t>
      </w:r>
      <w:r w:rsidR="002E2B1C">
        <w:t>(</w:t>
      </w:r>
      <w:r w:rsidR="00AE4FA3">
        <w:t>RCPA</w:t>
      </w:r>
      <w:r w:rsidR="002E2B1C">
        <w:t>)</w:t>
      </w:r>
      <w:r w:rsidR="007F0661">
        <w:t xml:space="preserve"> Genetic Testing Survey 2011</w:t>
      </w:r>
      <w:r w:rsidR="00AE4FA3">
        <w:t xml:space="preserve"> identified </w:t>
      </w:r>
      <w:r w:rsidR="00DA19D2">
        <w:t>11</w:t>
      </w:r>
      <w:r w:rsidR="00DA19D2" w:rsidRPr="00BC645A">
        <w:t xml:space="preserve"> </w:t>
      </w:r>
      <w:r w:rsidR="00AE4FA3" w:rsidRPr="002E651E">
        <w:t xml:space="preserve">National Association of Testing Authorities </w:t>
      </w:r>
      <w:r w:rsidR="00AE4FA3">
        <w:t>(NATA)</w:t>
      </w:r>
      <w:r w:rsidR="00DA19D2">
        <w:t>-</w:t>
      </w:r>
      <w:r w:rsidR="00AE4FA3">
        <w:t xml:space="preserve">accredited Australian </w:t>
      </w:r>
      <w:r w:rsidR="00AE4FA3" w:rsidRPr="00BC645A">
        <w:t xml:space="preserve">diagnostic laboratories that </w:t>
      </w:r>
      <w:r w:rsidR="00AE4FA3">
        <w:t xml:space="preserve">performed more than 100 </w:t>
      </w:r>
      <w:r w:rsidR="00FD37D3" w:rsidRPr="00FD37D3">
        <w:t>CFTR</w:t>
      </w:r>
      <w:r w:rsidR="00AE4FA3">
        <w:t xml:space="preserve"> mutation tests in 2011</w:t>
      </w:r>
      <w:r w:rsidR="007F0661">
        <w:rPr>
          <w:rStyle w:val="FootnoteReference"/>
        </w:rPr>
        <w:footnoteReference w:id="3"/>
      </w:r>
      <w:r w:rsidR="00AE4FA3">
        <w:t xml:space="preserve">. Most </w:t>
      </w:r>
      <w:r w:rsidR="00DA19D2">
        <w:t xml:space="preserve">(66%) </w:t>
      </w:r>
      <w:r w:rsidR="00AE4FA3">
        <w:t>of the tests</w:t>
      </w:r>
      <w:r w:rsidR="00DF5916">
        <w:t xml:space="preserve"> </w:t>
      </w:r>
      <w:r w:rsidR="00AE4FA3">
        <w:t>we</w:t>
      </w:r>
      <w:r w:rsidR="00B05018">
        <w:t xml:space="preserve">re conducted as </w:t>
      </w:r>
      <w:r w:rsidR="00B05018">
        <w:lastRenderedPageBreak/>
        <w:t xml:space="preserve">part of the </w:t>
      </w:r>
      <w:r w:rsidR="0067459F">
        <w:t>NBS</w:t>
      </w:r>
      <w:r w:rsidR="00AE4FA3">
        <w:t xml:space="preserve"> program, 20% were diagnostic (</w:t>
      </w:r>
      <w:r w:rsidR="00AE4FA3" w:rsidRPr="002E651E">
        <w:t>to determine the genetic basis</w:t>
      </w:r>
      <w:r w:rsidR="00AE4FA3">
        <w:t xml:space="preserve"> of an affected patient), 8% were to determine carrier status and 5% were prenatal testing of a fetus.</w:t>
      </w:r>
    </w:p>
    <w:p w14:paraId="3CAA3CEF" w14:textId="344804A2" w:rsidR="008A2BAB" w:rsidRDefault="00AE4FA3" w:rsidP="008A2BAB">
      <w:r>
        <w:t xml:space="preserve">Only eight of these laboratories are listed on the RCPA ‘Catalogue of </w:t>
      </w:r>
      <w:r w:rsidR="004C3336">
        <w:t>g</w:t>
      </w:r>
      <w:r>
        <w:t xml:space="preserve">enetic </w:t>
      </w:r>
      <w:r w:rsidR="004C3336">
        <w:t>t</w:t>
      </w:r>
      <w:r>
        <w:t xml:space="preserve">ests and </w:t>
      </w:r>
      <w:r w:rsidR="004C3336">
        <w:t>l</w:t>
      </w:r>
      <w:r>
        <w:t>aboratories’ website</w:t>
      </w:r>
      <w:r>
        <w:rPr>
          <w:rStyle w:val="FootnoteReference"/>
        </w:rPr>
        <w:footnoteReference w:id="4"/>
      </w:r>
      <w:r>
        <w:t xml:space="preserve"> and all offer panel-based </w:t>
      </w:r>
      <w:r w:rsidR="00FD37D3" w:rsidRPr="00FD37D3">
        <w:t>CFTR</w:t>
      </w:r>
      <w:r>
        <w:t xml:space="preserve"> mutation testing for 10</w:t>
      </w:r>
      <w:r w:rsidR="004C3336">
        <w:t>–</w:t>
      </w:r>
      <w:r>
        <w:t xml:space="preserve">32 of the most common mutations, which detect up to 85% of </w:t>
      </w:r>
      <w:r w:rsidRPr="00B01B93">
        <w:t xml:space="preserve">mutations in the </w:t>
      </w:r>
      <w:r>
        <w:t xml:space="preserve">Australian </w:t>
      </w:r>
      <w:r w:rsidRPr="00B01B93">
        <w:t>C</w:t>
      </w:r>
      <w:r>
        <w:t>aucasian population. Only two of these laboratories offer comprehensive mutation scanning</w:t>
      </w:r>
      <w:r w:rsidR="004C3336">
        <w:t>—b</w:t>
      </w:r>
      <w:r>
        <w:t xml:space="preserve">oth offer DNA sequencing of the entire coding region of </w:t>
      </w:r>
      <w:r w:rsidR="00FD37D3" w:rsidRPr="00FD37D3">
        <w:t>CFTR</w:t>
      </w:r>
      <w:r>
        <w:t xml:space="preserve"> plus the splice sites, but only one offers </w:t>
      </w:r>
      <w:r w:rsidRPr="00663550">
        <w:t xml:space="preserve">multiple </w:t>
      </w:r>
      <w:r>
        <w:t>MLPA to detect large deletion or insertion mutations that cannot be detected by DNA sequencing.</w:t>
      </w:r>
    </w:p>
    <w:p w14:paraId="69F07995" w14:textId="2491F203" w:rsidR="008A2BAB" w:rsidRDefault="00AE4FA3" w:rsidP="0085355F">
      <w:pPr>
        <w:spacing w:after="120"/>
      </w:pPr>
      <w:r w:rsidRPr="00BC645A">
        <w:t xml:space="preserve">In Australia there are no mandates on how many mutations should be included in a </w:t>
      </w:r>
      <w:r w:rsidR="004C3336">
        <w:t>‘</w:t>
      </w:r>
      <w:r w:rsidRPr="00BC645A">
        <w:t>common</w:t>
      </w:r>
      <w:r w:rsidR="004C3336">
        <w:t>’</w:t>
      </w:r>
      <w:r w:rsidRPr="00BC645A">
        <w:t xml:space="preserve"> mutation </w:t>
      </w:r>
      <w:r>
        <w:t>panel</w:t>
      </w:r>
      <w:r w:rsidRPr="00BC645A">
        <w:t xml:space="preserve">. The best guideline on what should be </w:t>
      </w:r>
      <w:r>
        <w:t>included</w:t>
      </w:r>
      <w:r w:rsidRPr="00BC645A">
        <w:t xml:space="preserve"> as a minimum comes from the </w:t>
      </w:r>
      <w:r w:rsidR="004C3336">
        <w:t>Human Genetics Society of Australia</w:t>
      </w:r>
      <w:r w:rsidR="004C3336" w:rsidRPr="00BC645A">
        <w:t xml:space="preserve"> </w:t>
      </w:r>
      <w:r w:rsidR="004C3336">
        <w:t>(</w:t>
      </w:r>
      <w:r w:rsidRPr="00BC645A">
        <w:t>HGSA</w:t>
      </w:r>
      <w:r w:rsidR="004C3336">
        <w:t>)</w:t>
      </w:r>
      <w:r w:rsidRPr="00BC645A">
        <w:t xml:space="preserve"> position statement (October 2013)</w:t>
      </w:r>
      <w:r w:rsidR="001D011E">
        <w:t>,</w:t>
      </w:r>
      <w:r w:rsidRPr="00BC645A">
        <w:t xml:space="preserve"> recommending that all mutations with a frequency greater than 0.1% in individuals with clinically diagnosed </w:t>
      </w:r>
      <w:r w:rsidR="001D011E">
        <w:t>CF</w:t>
      </w:r>
      <w:r w:rsidRPr="00BC645A">
        <w:t xml:space="preserve"> in Australasia be included. This would identify a minimum of 80% of carriers in Australasia and equates to about 650,000 individuals. Th</w:t>
      </w:r>
      <w:r w:rsidR="008A2BAB">
        <w:t>ese mutations (17 in total) are:</w:t>
      </w:r>
    </w:p>
    <w:p w14:paraId="49754463" w14:textId="0DFE1344" w:rsidR="008A2BAB" w:rsidRDefault="008A2BAB" w:rsidP="002A491C">
      <w:pPr>
        <w:pStyle w:val="ListParagraph"/>
        <w:numPr>
          <w:ilvl w:val="0"/>
          <w:numId w:val="20"/>
        </w:numPr>
        <w:ind w:left="714" w:hanging="357"/>
        <w:contextualSpacing/>
      </w:pPr>
      <w:r w:rsidRPr="00BC645A">
        <w:t>p.Phe508del</w:t>
      </w:r>
    </w:p>
    <w:p w14:paraId="32CD5C16" w14:textId="6735D7B1" w:rsidR="008A2BAB" w:rsidRDefault="008A2BAB" w:rsidP="002A491C">
      <w:pPr>
        <w:pStyle w:val="ListParagraph"/>
        <w:numPr>
          <w:ilvl w:val="0"/>
          <w:numId w:val="20"/>
        </w:numPr>
        <w:ind w:left="714" w:hanging="357"/>
        <w:contextualSpacing/>
      </w:pPr>
      <w:r w:rsidRPr="00BC645A">
        <w:t xml:space="preserve">p.Gly551Asp </w:t>
      </w:r>
    </w:p>
    <w:p w14:paraId="0B5294D5" w14:textId="17A07FCA" w:rsidR="008A2BAB" w:rsidRDefault="008A2BAB" w:rsidP="002A491C">
      <w:pPr>
        <w:pStyle w:val="ListParagraph"/>
        <w:numPr>
          <w:ilvl w:val="0"/>
          <w:numId w:val="20"/>
        </w:numPr>
        <w:ind w:left="714" w:hanging="357"/>
        <w:contextualSpacing/>
      </w:pPr>
      <w:r w:rsidRPr="00BC645A">
        <w:t xml:space="preserve">p.Gly542X </w:t>
      </w:r>
    </w:p>
    <w:p w14:paraId="7A2464E0" w14:textId="03531DBC" w:rsidR="008A2BAB" w:rsidRDefault="008A2BAB" w:rsidP="002A491C">
      <w:pPr>
        <w:pStyle w:val="ListParagraph"/>
        <w:numPr>
          <w:ilvl w:val="0"/>
          <w:numId w:val="20"/>
        </w:numPr>
        <w:ind w:left="714" w:hanging="357"/>
        <w:contextualSpacing/>
      </w:pPr>
      <w:r w:rsidRPr="00BC645A">
        <w:t xml:space="preserve">p.Asn1303Lys </w:t>
      </w:r>
    </w:p>
    <w:p w14:paraId="613ED9BD" w14:textId="26A8755D" w:rsidR="008A2BAB" w:rsidRDefault="008A2BAB" w:rsidP="002A491C">
      <w:pPr>
        <w:pStyle w:val="ListParagraph"/>
        <w:numPr>
          <w:ilvl w:val="0"/>
          <w:numId w:val="20"/>
        </w:numPr>
        <w:ind w:left="714" w:hanging="357"/>
        <w:contextualSpacing/>
      </w:pPr>
      <w:r w:rsidRPr="00BC645A">
        <w:t xml:space="preserve">c.489+1G&gt;T </w:t>
      </w:r>
    </w:p>
    <w:p w14:paraId="433404F2" w14:textId="27AB2FE1" w:rsidR="008A2BAB" w:rsidRDefault="008A2BAB" w:rsidP="002A491C">
      <w:pPr>
        <w:pStyle w:val="ListParagraph"/>
        <w:numPr>
          <w:ilvl w:val="0"/>
          <w:numId w:val="20"/>
        </w:numPr>
        <w:ind w:left="714" w:hanging="357"/>
        <w:contextualSpacing/>
      </w:pPr>
      <w:r w:rsidRPr="00BC645A">
        <w:t xml:space="preserve">c.1585-1G&gt;A </w:t>
      </w:r>
    </w:p>
    <w:p w14:paraId="3DAE9739" w14:textId="6D5892F7" w:rsidR="008A2BAB" w:rsidRDefault="008A2BAB" w:rsidP="002A491C">
      <w:pPr>
        <w:pStyle w:val="ListParagraph"/>
        <w:numPr>
          <w:ilvl w:val="0"/>
          <w:numId w:val="20"/>
        </w:numPr>
        <w:ind w:left="714" w:hanging="357"/>
        <w:contextualSpacing/>
      </w:pPr>
      <w:r w:rsidRPr="00BC645A">
        <w:t xml:space="preserve">p.Trp1282X </w:t>
      </w:r>
    </w:p>
    <w:p w14:paraId="6DEC4158" w14:textId="7A0B11D3" w:rsidR="008A2BAB" w:rsidRDefault="008A2BAB" w:rsidP="002A491C">
      <w:pPr>
        <w:pStyle w:val="ListParagraph"/>
        <w:numPr>
          <w:ilvl w:val="0"/>
          <w:numId w:val="20"/>
        </w:numPr>
        <w:ind w:left="714" w:hanging="357"/>
        <w:contextualSpacing/>
      </w:pPr>
      <w:r w:rsidRPr="00BC645A">
        <w:t xml:space="preserve">p.Arg553X </w:t>
      </w:r>
    </w:p>
    <w:p w14:paraId="1B93AC6E" w14:textId="15B7D4D9" w:rsidR="008A2BAB" w:rsidRDefault="008A2BAB" w:rsidP="002A491C">
      <w:pPr>
        <w:pStyle w:val="ListParagraph"/>
        <w:numPr>
          <w:ilvl w:val="0"/>
          <w:numId w:val="20"/>
        </w:numPr>
        <w:ind w:left="714" w:hanging="357"/>
        <w:contextualSpacing/>
      </w:pPr>
      <w:r w:rsidRPr="00BC645A">
        <w:t xml:space="preserve">p.Ile507del </w:t>
      </w:r>
    </w:p>
    <w:p w14:paraId="0B4ABB53" w14:textId="486D52C9" w:rsidR="008A2BAB" w:rsidRDefault="008A2BAB" w:rsidP="002A491C">
      <w:pPr>
        <w:pStyle w:val="ListParagraph"/>
        <w:numPr>
          <w:ilvl w:val="0"/>
          <w:numId w:val="20"/>
        </w:numPr>
        <w:ind w:left="714" w:hanging="357"/>
        <w:contextualSpacing/>
      </w:pPr>
      <w:r w:rsidRPr="00BC645A">
        <w:t xml:space="preserve">c.3717+12191C&gt;T (3849+10kb) </w:t>
      </w:r>
    </w:p>
    <w:p w14:paraId="4D011DF1" w14:textId="250DCD93" w:rsidR="008A2BAB" w:rsidRDefault="008A2BAB" w:rsidP="002A491C">
      <w:pPr>
        <w:pStyle w:val="ListParagraph"/>
        <w:numPr>
          <w:ilvl w:val="0"/>
          <w:numId w:val="20"/>
        </w:numPr>
        <w:ind w:left="714" w:hanging="357"/>
        <w:contextualSpacing/>
      </w:pPr>
      <w:r w:rsidRPr="00BC645A">
        <w:t xml:space="preserve">p.Arg560Thr </w:t>
      </w:r>
    </w:p>
    <w:p w14:paraId="3EE688A2" w14:textId="1D94511A" w:rsidR="008A2BAB" w:rsidRDefault="008A2BAB" w:rsidP="002A491C">
      <w:pPr>
        <w:pStyle w:val="ListParagraph"/>
        <w:numPr>
          <w:ilvl w:val="0"/>
          <w:numId w:val="20"/>
        </w:numPr>
        <w:ind w:left="714" w:hanging="357"/>
        <w:contextualSpacing/>
      </w:pPr>
      <w:r w:rsidRPr="00BC645A">
        <w:t xml:space="preserve">p.Val520Phe </w:t>
      </w:r>
    </w:p>
    <w:p w14:paraId="2D147FC7" w14:textId="5DF81DF9" w:rsidR="008A2BAB" w:rsidRDefault="008A2BAB" w:rsidP="002A491C">
      <w:pPr>
        <w:pStyle w:val="ListParagraph"/>
        <w:numPr>
          <w:ilvl w:val="0"/>
          <w:numId w:val="20"/>
        </w:numPr>
        <w:ind w:left="714" w:hanging="357"/>
        <w:contextualSpacing/>
      </w:pPr>
      <w:r w:rsidRPr="00BC645A">
        <w:t xml:space="preserve">p.Arg1162X </w:t>
      </w:r>
    </w:p>
    <w:p w14:paraId="0676AF5E" w14:textId="12A2B6E5" w:rsidR="008A2BAB" w:rsidRDefault="008A2BAB" w:rsidP="002A491C">
      <w:pPr>
        <w:pStyle w:val="ListParagraph"/>
        <w:numPr>
          <w:ilvl w:val="0"/>
          <w:numId w:val="20"/>
        </w:numPr>
        <w:ind w:left="714" w:hanging="357"/>
        <w:contextualSpacing/>
      </w:pPr>
      <w:r w:rsidRPr="00BC645A">
        <w:t xml:space="preserve">c.3528delC </w:t>
      </w:r>
    </w:p>
    <w:p w14:paraId="123253DC" w14:textId="074F3614" w:rsidR="008A2BAB" w:rsidRDefault="008A2BAB" w:rsidP="002A491C">
      <w:pPr>
        <w:pStyle w:val="ListParagraph"/>
        <w:numPr>
          <w:ilvl w:val="0"/>
          <w:numId w:val="20"/>
        </w:numPr>
        <w:ind w:left="714" w:hanging="357"/>
        <w:contextualSpacing/>
      </w:pPr>
      <w:r w:rsidRPr="00BC645A">
        <w:t xml:space="preserve">p.Asp1152His </w:t>
      </w:r>
    </w:p>
    <w:p w14:paraId="2FC7E6EE" w14:textId="567C4DDF" w:rsidR="008A2BAB" w:rsidRDefault="008A2BAB" w:rsidP="002A491C">
      <w:pPr>
        <w:pStyle w:val="ListParagraph"/>
        <w:numPr>
          <w:ilvl w:val="0"/>
          <w:numId w:val="20"/>
        </w:numPr>
        <w:ind w:left="714" w:hanging="357"/>
        <w:contextualSpacing/>
      </w:pPr>
      <w:r w:rsidRPr="00BC645A">
        <w:t>c.1766+1G&gt;A</w:t>
      </w:r>
      <w:r w:rsidR="00DF5916">
        <w:t xml:space="preserve"> </w:t>
      </w:r>
    </w:p>
    <w:p w14:paraId="22F3014B" w14:textId="77777777" w:rsidR="008A2BAB" w:rsidRDefault="008A2BAB" w:rsidP="002A491C">
      <w:pPr>
        <w:pStyle w:val="ListParagraph"/>
        <w:numPr>
          <w:ilvl w:val="0"/>
          <w:numId w:val="20"/>
        </w:numPr>
        <w:ind w:left="714" w:hanging="357"/>
        <w:contextualSpacing/>
      </w:pPr>
      <w:r w:rsidRPr="00BC645A">
        <w:t xml:space="preserve">p.Gln493X. </w:t>
      </w:r>
    </w:p>
    <w:p w14:paraId="5F856300" w14:textId="77D03AD8" w:rsidR="00AE4FA3" w:rsidRDefault="00AE4FA3" w:rsidP="008A2BAB">
      <w:r>
        <w:lastRenderedPageBreak/>
        <w:t xml:space="preserve">All </w:t>
      </w:r>
      <w:r w:rsidR="004742B8">
        <w:t xml:space="preserve">11 </w:t>
      </w:r>
      <w:r>
        <w:t>Australian laboratories participated in an external European quality assurance program (QAP) for CF in 2014</w:t>
      </w:r>
      <w:r w:rsidR="00F03D95">
        <w:rPr>
          <w:rStyle w:val="FootnoteReference"/>
        </w:rPr>
        <w:footnoteReference w:id="5"/>
      </w:r>
      <w:r>
        <w:t xml:space="preserve">. The QAP involved testing of DNA samples from three individuals, a CF patient with the common F508del mutation and a rare </w:t>
      </w:r>
      <w:r w:rsidR="00FD37D3" w:rsidRPr="00FD37D3">
        <w:t>CFTR</w:t>
      </w:r>
      <w:r w:rsidRPr="00DA4CD3">
        <w:t xml:space="preserve">dele2,3 </w:t>
      </w:r>
      <w:r>
        <w:t xml:space="preserve">mutation, a CF carrier with a </w:t>
      </w:r>
      <w:r w:rsidR="00D876C9">
        <w:t>D</w:t>
      </w:r>
      <w:r w:rsidRPr="00DA4CD3">
        <w:t>507del</w:t>
      </w:r>
      <w:r>
        <w:t xml:space="preserve"> mutation, and a normal patient with no </w:t>
      </w:r>
      <w:r w:rsidR="00FD37D3" w:rsidRPr="00FD37D3">
        <w:t>CFTR</w:t>
      </w:r>
      <w:r>
        <w:t xml:space="preserve"> mutations. All laboratories correctly identified the three chromosomes without mutations</w:t>
      </w:r>
      <w:r w:rsidR="00ED66A6">
        <w:t>,</w:t>
      </w:r>
      <w:r>
        <w:t xml:space="preserve"> and the two mutations included in the mutation panels used for testing. However, the rare </w:t>
      </w:r>
      <w:r w:rsidR="00FD37D3" w:rsidRPr="00FD37D3">
        <w:t>CFTR</w:t>
      </w:r>
      <w:r w:rsidRPr="00DA4CD3">
        <w:t>dele2,3 mutation</w:t>
      </w:r>
      <w:r>
        <w:t xml:space="preserve"> (worldwide frequency is 0.4%)</w:t>
      </w:r>
      <w:r>
        <w:rPr>
          <w:rStyle w:val="FootnoteReference"/>
        </w:rPr>
        <w:footnoteReference w:id="6"/>
      </w:r>
      <w:r>
        <w:rPr>
          <w:vertAlign w:val="superscript"/>
        </w:rPr>
        <w:t xml:space="preserve"> </w:t>
      </w:r>
      <w:r w:rsidRPr="00AC247A">
        <w:t xml:space="preserve">was not tested for by </w:t>
      </w:r>
      <w:r w:rsidR="00452038" w:rsidRPr="00AC247A">
        <w:t xml:space="preserve">10 of the </w:t>
      </w:r>
      <w:r w:rsidRPr="00AC247A">
        <w:t>laboratories</w:t>
      </w:r>
      <w:r w:rsidR="00452038" w:rsidRPr="00AC247A">
        <w:t>—t</w:t>
      </w:r>
      <w:r w:rsidRPr="00AC247A">
        <w:t>wo provided wrong or insufficient interpretation of this result and one made an error in risk calculation.</w:t>
      </w:r>
      <w:r>
        <w:t xml:space="preserve"> </w:t>
      </w:r>
    </w:p>
    <w:p w14:paraId="1B33DF27" w14:textId="6C9B2D75" w:rsidR="00AE4FA3" w:rsidRDefault="00AE4FA3" w:rsidP="008A2BAB">
      <w:pPr>
        <w:rPr>
          <w:rFonts w:asciiTheme="minorHAnsi" w:hAnsiTheme="minorHAnsi"/>
        </w:rPr>
      </w:pPr>
      <w:r>
        <w:rPr>
          <w:rFonts w:asciiTheme="minorHAnsi" w:hAnsiTheme="minorHAnsi"/>
        </w:rPr>
        <w:t xml:space="preserve">The results of the QAP suggest that the 85% of </w:t>
      </w:r>
      <w:r w:rsidR="00FD37D3" w:rsidRPr="00FD37D3">
        <w:rPr>
          <w:rFonts w:asciiTheme="minorHAnsi" w:hAnsiTheme="minorHAnsi"/>
        </w:rPr>
        <w:t>CFTR</w:t>
      </w:r>
      <w:r>
        <w:rPr>
          <w:rFonts w:asciiTheme="minorHAnsi" w:hAnsiTheme="minorHAnsi"/>
        </w:rPr>
        <w:t xml:space="preserve"> mutations detectable by panel-based testing in Australian laboratories would be correctly identified. However, 15% of people with a </w:t>
      </w:r>
      <w:r w:rsidR="00FD37D3" w:rsidRPr="00FD37D3">
        <w:rPr>
          <w:rFonts w:asciiTheme="minorHAnsi" w:hAnsiTheme="minorHAnsi"/>
        </w:rPr>
        <w:t>CFTR</w:t>
      </w:r>
      <w:r>
        <w:rPr>
          <w:rFonts w:asciiTheme="minorHAnsi" w:hAnsiTheme="minorHAnsi"/>
        </w:rPr>
        <w:t xml:space="preserve"> mutation would </w:t>
      </w:r>
      <w:r w:rsidR="008A2BAB">
        <w:rPr>
          <w:rFonts w:asciiTheme="minorHAnsi" w:hAnsiTheme="minorHAnsi"/>
        </w:rPr>
        <w:t>receive a false negative diagnosis</w:t>
      </w:r>
      <w:r>
        <w:rPr>
          <w:rFonts w:asciiTheme="minorHAnsi" w:hAnsiTheme="minorHAnsi"/>
        </w:rPr>
        <w:t xml:space="preserve">, requiring further testing to determine their true status. </w:t>
      </w:r>
      <w:r w:rsidR="005C7457">
        <w:rPr>
          <w:rFonts w:asciiTheme="minorHAnsi" w:hAnsiTheme="minorHAnsi"/>
        </w:rPr>
        <w:t>I</w:t>
      </w:r>
      <w:r>
        <w:rPr>
          <w:rFonts w:asciiTheme="minorHAnsi" w:hAnsiTheme="minorHAnsi"/>
        </w:rPr>
        <w:t>t is important that the requesting clinician receives</w:t>
      </w:r>
      <w:r w:rsidR="008A2BAB">
        <w:rPr>
          <w:rFonts w:asciiTheme="minorHAnsi" w:hAnsiTheme="minorHAnsi"/>
        </w:rPr>
        <w:t xml:space="preserve"> a</w:t>
      </w:r>
      <w:r>
        <w:rPr>
          <w:rFonts w:asciiTheme="minorHAnsi" w:hAnsiTheme="minorHAnsi"/>
        </w:rPr>
        <w:t xml:space="preserve"> correct interpretation </w:t>
      </w:r>
      <w:r w:rsidR="005C7457">
        <w:rPr>
          <w:rFonts w:asciiTheme="minorHAnsi" w:hAnsiTheme="minorHAnsi"/>
        </w:rPr>
        <w:t xml:space="preserve">from the laboratory </w:t>
      </w:r>
      <w:r>
        <w:rPr>
          <w:rFonts w:asciiTheme="minorHAnsi" w:hAnsiTheme="minorHAnsi"/>
        </w:rPr>
        <w:t xml:space="preserve">of the risk of their patient having an unidentified </w:t>
      </w:r>
      <w:r w:rsidR="00FD37D3" w:rsidRPr="00FD37D3">
        <w:rPr>
          <w:rFonts w:asciiTheme="minorHAnsi" w:hAnsiTheme="minorHAnsi"/>
        </w:rPr>
        <w:t>CFTR</w:t>
      </w:r>
      <w:r>
        <w:rPr>
          <w:rFonts w:asciiTheme="minorHAnsi" w:hAnsiTheme="minorHAnsi"/>
        </w:rPr>
        <w:t xml:space="preserve"> mutation. </w:t>
      </w:r>
    </w:p>
    <w:p w14:paraId="3004A114" w14:textId="653B2A26" w:rsidR="00835007" w:rsidRPr="00CF24C9" w:rsidRDefault="00E7704D">
      <w:pPr>
        <w:pStyle w:val="Heading2"/>
        <w:tabs>
          <w:tab w:val="left" w:pos="1134"/>
        </w:tabs>
      </w:pPr>
      <w:bookmarkStart w:id="121" w:name="_Toc381796450"/>
      <w:bookmarkStart w:id="122" w:name="_Toc418179884"/>
      <w:bookmarkStart w:id="123" w:name="_Toc327540865"/>
      <w:bookmarkStart w:id="124" w:name="_Toc379118069"/>
      <w:bookmarkStart w:id="125" w:name="_Toc381796447"/>
      <w:bookmarkEnd w:id="105"/>
      <w:bookmarkEnd w:id="106"/>
      <w:r>
        <w:t>A.3</w:t>
      </w:r>
      <w:r w:rsidR="00291B13">
        <w:t>.</w:t>
      </w:r>
      <w:r w:rsidR="008F57E8">
        <w:tab/>
      </w:r>
      <w:r w:rsidR="00AB3CB2" w:rsidRPr="00CF24C9">
        <w:t>Proposal for Public F</w:t>
      </w:r>
      <w:r w:rsidR="00835007" w:rsidRPr="00CF24C9">
        <w:t>unding</w:t>
      </w:r>
      <w:bookmarkEnd w:id="121"/>
      <w:bookmarkEnd w:id="122"/>
    </w:p>
    <w:p w14:paraId="3CA441CD" w14:textId="1B4933FF" w:rsidR="00EF7A0F" w:rsidRDefault="00835007" w:rsidP="00AB0041">
      <w:r w:rsidRPr="00183E4D">
        <w:t xml:space="preserve">The proposed MBS item </w:t>
      </w:r>
      <w:r w:rsidR="00106705" w:rsidRPr="00183E4D">
        <w:t>descriptor</w:t>
      </w:r>
      <w:r w:rsidR="004D1BB0">
        <w:t>s</w:t>
      </w:r>
      <w:r w:rsidR="00106705" w:rsidRPr="00183E4D">
        <w:t xml:space="preserve"> </w:t>
      </w:r>
      <w:r w:rsidR="004D1BB0">
        <w:t>are</w:t>
      </w:r>
      <w:r w:rsidRPr="00183E4D">
        <w:t xml:space="preserve"> </w:t>
      </w:r>
      <w:r w:rsidRPr="000F4655">
        <w:t>summarised in</w:t>
      </w:r>
      <w:bookmarkStart w:id="126" w:name="_Ref373485347"/>
      <w:bookmarkStart w:id="127" w:name="_Ref373485342"/>
      <w:r w:rsidR="000F4655" w:rsidRPr="000F4655">
        <w:t xml:space="preserve"> </w:t>
      </w:r>
      <w:r w:rsidR="000F4655" w:rsidRPr="000F4655">
        <w:fldChar w:fldCharType="begin"/>
      </w:r>
      <w:r w:rsidR="000F4655" w:rsidRPr="000F4655">
        <w:instrText xml:space="preserve"> REF _Ref394849669 \h </w:instrText>
      </w:r>
      <w:r w:rsidR="000F4655">
        <w:instrText xml:space="preserve"> \* MERGEFORMAT </w:instrText>
      </w:r>
      <w:r w:rsidR="000F4655" w:rsidRPr="000F4655">
        <w:fldChar w:fldCharType="separate"/>
      </w:r>
      <w:r w:rsidR="00BB0E3E" w:rsidRPr="000F4655">
        <w:t xml:space="preserve">Table </w:t>
      </w:r>
      <w:r w:rsidR="00BB0E3E">
        <w:t>7</w:t>
      </w:r>
      <w:r w:rsidR="000F4655" w:rsidRPr="000F4655">
        <w:fldChar w:fldCharType="end"/>
      </w:r>
      <w:r w:rsidRPr="000F4655">
        <w:t>.</w:t>
      </w:r>
      <w:r w:rsidR="004A30EF">
        <w:t xml:space="preserve"> Fees were not proposed by the applicants</w:t>
      </w:r>
      <w:r w:rsidR="008F1201">
        <w:t>.</w:t>
      </w:r>
      <w:r w:rsidR="004A30EF">
        <w:t xml:space="preserve"> </w:t>
      </w:r>
      <w:r w:rsidR="000716D7">
        <w:t xml:space="preserve">Costs associated with </w:t>
      </w:r>
      <w:r w:rsidR="00FD37D3" w:rsidRPr="00FD37D3">
        <w:t>CFTR</w:t>
      </w:r>
      <w:r w:rsidR="000716D7">
        <w:t xml:space="preserve"> mutation testing in Australia can be found in </w:t>
      </w:r>
      <w:r w:rsidR="00EF7A0F">
        <w:fldChar w:fldCharType="begin"/>
      </w:r>
      <w:r w:rsidR="00EF7A0F">
        <w:instrText xml:space="preserve"> REF _Ref414949288 \h </w:instrText>
      </w:r>
      <w:r w:rsidR="00EF7A0F">
        <w:fldChar w:fldCharType="separate"/>
      </w:r>
      <w:r w:rsidR="00BB0E3E" w:rsidRPr="00393243">
        <w:t xml:space="preserve">Table </w:t>
      </w:r>
      <w:r w:rsidR="00BB0E3E">
        <w:rPr>
          <w:noProof/>
        </w:rPr>
        <w:t>102</w:t>
      </w:r>
      <w:r w:rsidR="00EF7A0F">
        <w:fldChar w:fldCharType="end"/>
      </w:r>
      <w:r w:rsidR="00EF7A0F">
        <w:t xml:space="preserve"> </w:t>
      </w:r>
      <w:r w:rsidR="00632932">
        <w:t>(</w:t>
      </w:r>
      <w:r w:rsidR="00EF7A0F">
        <w:t>Appendix I</w:t>
      </w:r>
      <w:r w:rsidR="00632932">
        <w:t>)</w:t>
      </w:r>
      <w:r w:rsidR="001E050E">
        <w:t>, and</w:t>
      </w:r>
      <w:r w:rsidR="00E57143">
        <w:t xml:space="preserve"> vary between $1</w:t>
      </w:r>
      <w:r w:rsidR="001E050E">
        <w:t>35</w:t>
      </w:r>
      <w:r w:rsidR="00E24200">
        <w:t xml:space="preserve"> and $</w:t>
      </w:r>
      <w:r w:rsidR="001E050E">
        <w:t>500 for a mutation panel</w:t>
      </w:r>
      <w:r w:rsidR="00632932">
        <w:t>-based test</w:t>
      </w:r>
      <w:r w:rsidR="001E050E">
        <w:t xml:space="preserve"> (10</w:t>
      </w:r>
      <w:r w:rsidR="00E57143">
        <w:t xml:space="preserve">–145 </w:t>
      </w:r>
      <w:r w:rsidR="00536BB1">
        <w:t>mutations), between $50 and $16</w:t>
      </w:r>
      <w:r w:rsidR="001C7741">
        <w:t xml:space="preserve">0 for </w:t>
      </w:r>
      <w:r w:rsidR="001E050E">
        <w:t xml:space="preserve">a </w:t>
      </w:r>
      <w:r w:rsidR="001C7741">
        <w:t xml:space="preserve">single mutation </w:t>
      </w:r>
      <w:r w:rsidR="001E050E">
        <w:t>test</w:t>
      </w:r>
      <w:r w:rsidR="00632932">
        <w:t>,</w:t>
      </w:r>
      <w:r w:rsidR="001C7741">
        <w:t xml:space="preserve"> </w:t>
      </w:r>
      <w:r w:rsidR="001C7741" w:rsidRPr="00737F64">
        <w:t xml:space="preserve">and </w:t>
      </w:r>
      <w:r w:rsidR="009E7EBA" w:rsidRPr="00737F64">
        <w:t>around $1</w:t>
      </w:r>
      <w:r w:rsidR="00632932">
        <w:t>,</w:t>
      </w:r>
      <w:r w:rsidR="009E7EBA" w:rsidRPr="00737F64">
        <w:t>000</w:t>
      </w:r>
      <w:r w:rsidR="009E7EBA">
        <w:t xml:space="preserve"> for </w:t>
      </w:r>
      <w:r w:rsidR="001C7741" w:rsidRPr="00737F64">
        <w:t>whole gene sequencing</w:t>
      </w:r>
      <w:r w:rsidR="00632932">
        <w:t>,</w:t>
      </w:r>
      <w:r w:rsidR="00536BB1">
        <w:t xml:space="preserve"> depending on the laboratory</w:t>
      </w:r>
      <w:r w:rsidR="001C7741">
        <w:t xml:space="preserve">, </w:t>
      </w:r>
      <w:r w:rsidR="00632932">
        <w:t xml:space="preserve">the </w:t>
      </w:r>
      <w:r w:rsidR="001C7741">
        <w:t>testing method used</w:t>
      </w:r>
      <w:r w:rsidR="001E050E">
        <w:t xml:space="preserve"> and </w:t>
      </w:r>
      <w:r w:rsidR="00632932">
        <w:t xml:space="preserve">the </w:t>
      </w:r>
      <w:r w:rsidR="003E79FA">
        <w:t>number of mutations tested.</w:t>
      </w:r>
      <w:r w:rsidR="00EF7A0F">
        <w:t xml:space="preserve"> </w:t>
      </w:r>
      <w:r w:rsidR="00536BB1">
        <w:t>These costs are laboratory costs and do</w:t>
      </w:r>
      <w:r w:rsidR="00632932">
        <w:t xml:space="preserve"> </w:t>
      </w:r>
      <w:r w:rsidR="00536BB1">
        <w:t>n</w:t>
      </w:r>
      <w:r w:rsidR="00632932">
        <w:t>o</w:t>
      </w:r>
      <w:r w:rsidR="00536BB1">
        <w:t xml:space="preserve">t include </w:t>
      </w:r>
      <w:r w:rsidR="00CC1B04">
        <w:t xml:space="preserve">counselling and other fees. </w:t>
      </w:r>
      <w:r w:rsidR="007A04FB">
        <w:t>Counselling is a requirement for tier 2 genetic testing</w:t>
      </w:r>
      <w:r w:rsidR="000A20BD">
        <w:t xml:space="preserve"> </w:t>
      </w:r>
      <w:r w:rsidR="006D5318">
        <w:fldChar w:fldCharType="begin"/>
      </w:r>
      <w:r w:rsidR="009A054F">
        <w:instrText xml:space="preserve"> ADDIN EN.CITE &lt;EndNote&gt;&lt;Cite&gt;&lt;Author&gt;NPAAC&lt;/Author&gt;&lt;Year&gt;2013&lt;/Year&gt;&lt;RecNum&gt;990&lt;/RecNum&gt;&lt;DisplayText&gt;(NPAAC 2013)&lt;/DisplayText&gt;&lt;record&gt;&lt;rec-number&gt;990&lt;/rec-number&gt;&lt;foreign-keys&gt;&lt;key app="EN" db-id="parffa0acae2voep5w3vv9rypas2tr522eef" timestamp="1430369646"&gt;990&lt;/key&gt;&lt;/foreign-keys&gt;&lt;ref-type name="Report"&gt;27&lt;/ref-type&gt;&lt;contributors&gt;&lt;authors&gt;&lt;author&gt;NPAAC&lt;/author&gt;&lt;/authors&gt;&lt;/contributors&gt;&lt;titles&gt;&lt;title&gt;Requirements for medical testing of human nucleic acids&lt;/title&gt;&lt;/titles&gt;&lt;dates&gt;&lt;year&gt;2013&lt;/year&gt;&lt;/dates&gt;&lt;publisher&gt;National Pathology Accreditation Advisory Council&lt;/publisher&gt;&lt;urls&gt;&lt;related-urls&gt;&lt;url&gt;http://www.health.gov.au/internet/main/publishing.nsf/Content/E688964F88F4FD20CA257BF0001B739D/$File/V0.25%20NAD%20Human%20Genetics.pdf&lt;/url&gt;&lt;/related-urls&gt;&lt;/urls&gt;&lt;/record&gt;&lt;/Cite&gt;&lt;/EndNote&gt;</w:instrText>
      </w:r>
      <w:r w:rsidR="006D5318">
        <w:fldChar w:fldCharType="separate"/>
      </w:r>
      <w:r w:rsidR="00B32459">
        <w:rPr>
          <w:noProof/>
        </w:rPr>
        <w:t>(</w:t>
      </w:r>
      <w:hyperlink w:anchor="_ENREF_93" w:tooltip="NPAAC, 2013 #990" w:history="1">
        <w:r w:rsidR="00B46ABF">
          <w:rPr>
            <w:noProof/>
          </w:rPr>
          <w:t>NPAAC 2013</w:t>
        </w:r>
      </w:hyperlink>
      <w:r w:rsidR="00B32459">
        <w:rPr>
          <w:noProof/>
        </w:rPr>
        <w:t>)</w:t>
      </w:r>
      <w:r w:rsidR="006D5318">
        <w:fldChar w:fldCharType="end"/>
      </w:r>
      <w:r w:rsidR="000A20BD">
        <w:t>.</w:t>
      </w:r>
      <w:r w:rsidR="007A04FB">
        <w:t xml:space="preserve"> </w:t>
      </w:r>
    </w:p>
    <w:p w14:paraId="047D1E88" w14:textId="77777777" w:rsidR="00315C77" w:rsidRPr="000F4655" w:rsidRDefault="00106705" w:rsidP="000F4655">
      <w:pPr>
        <w:pStyle w:val="Caption"/>
      </w:pPr>
      <w:bookmarkStart w:id="128" w:name="_Ref394849669"/>
      <w:bookmarkStart w:id="129" w:name="_Ref412620859"/>
      <w:bookmarkStart w:id="130" w:name="_Toc418179404"/>
      <w:bookmarkEnd w:id="126"/>
      <w:bookmarkEnd w:id="127"/>
      <w:r w:rsidRPr="000F4655">
        <w:t xml:space="preserve">Table </w:t>
      </w:r>
      <w:fldSimple w:instr=" SEQ Table \* ARABIC ">
        <w:r w:rsidR="00BB0E3E">
          <w:rPr>
            <w:noProof/>
          </w:rPr>
          <w:t>7</w:t>
        </w:r>
      </w:fldSimple>
      <w:bookmarkEnd w:id="128"/>
      <w:r w:rsidR="001E050E">
        <w:rPr>
          <w:noProof/>
        </w:rPr>
        <w:tab/>
      </w:r>
      <w:r w:rsidRPr="000F4655">
        <w:tab/>
      </w:r>
      <w:r w:rsidR="00315C77" w:rsidRPr="000F4655">
        <w:t>Proposed MBS item descriptor</w:t>
      </w:r>
      <w:r w:rsidR="004D1BB0" w:rsidRPr="000F4655">
        <w:t>s</w:t>
      </w:r>
      <w:bookmarkEnd w:id="129"/>
      <w:bookmarkEnd w:id="130"/>
    </w:p>
    <w:tbl>
      <w:tblPr>
        <w:tblStyle w:val="TableGrid1"/>
        <w:tblW w:w="0" w:type="auto"/>
        <w:tblLook w:val="00A0" w:firstRow="1" w:lastRow="0" w:firstColumn="1" w:lastColumn="0" w:noHBand="0" w:noVBand="0"/>
        <w:tblCaption w:val="Proposed MBS item descriptors"/>
        <w:tblDescription w:val="Proposed MBS item descriptors"/>
      </w:tblPr>
      <w:tblGrid>
        <w:gridCol w:w="9134"/>
      </w:tblGrid>
      <w:tr w:rsidR="004D1BB0" w:rsidRPr="008210FE" w14:paraId="27201B2E"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9134" w:type="dxa"/>
          </w:tcPr>
          <w:p w14:paraId="4F08FEB4" w14:textId="77777777" w:rsidR="004D1BB0" w:rsidRPr="008210FE" w:rsidRDefault="004D1BB0" w:rsidP="000956B1">
            <w:pPr>
              <w:spacing w:after="120" w:line="240" w:lineRule="auto"/>
              <w:jc w:val="right"/>
              <w:rPr>
                <w:rFonts w:ascii="Arial Narrow" w:hAnsi="Arial Narrow"/>
                <w:lang w:eastAsia="ja-JP"/>
              </w:rPr>
            </w:pPr>
            <w:r w:rsidRPr="008210FE">
              <w:rPr>
                <w:rFonts w:ascii="Arial Narrow" w:hAnsi="Arial Narrow"/>
                <w:lang w:eastAsia="ja-JP"/>
              </w:rPr>
              <w:t>Category 6 – Pathology services</w:t>
            </w:r>
          </w:p>
        </w:tc>
      </w:tr>
      <w:tr w:rsidR="004D1BB0" w:rsidRPr="008210FE" w14:paraId="0EC4C6F5" w14:textId="77777777" w:rsidTr="004245A0">
        <w:tc>
          <w:tcPr>
            <w:tcW w:w="9134" w:type="dxa"/>
          </w:tcPr>
          <w:p w14:paraId="15BF7ABF"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MBS </w:t>
            </w:r>
            <w:r w:rsidRPr="008210FE">
              <w:rPr>
                <w:rFonts w:ascii="Arial Narrow" w:hAnsi="Arial Narrow"/>
                <w:highlight w:val="yellow"/>
                <w:lang w:eastAsia="ja-JP"/>
              </w:rPr>
              <w:t>[proposed MBS item number 1]</w:t>
            </w:r>
          </w:p>
          <w:p w14:paraId="6DD4AC5A" w14:textId="66BF69F3"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Detection of</w:t>
            </w:r>
            <w:r>
              <w:rPr>
                <w:rFonts w:ascii="Arial Narrow" w:hAnsi="Arial Narrow"/>
                <w:lang w:eastAsia="ja-JP"/>
              </w:rPr>
              <w:t xml:space="preserve"> the maternal and paternal</w:t>
            </w:r>
            <w:r w:rsidRPr="008210FE">
              <w:rPr>
                <w:rFonts w:ascii="Arial Narrow" w:hAnsi="Arial Narrow"/>
                <w:lang w:eastAsia="ja-JP"/>
              </w:rPr>
              <w:t xml:space="preserve"> known genetic mutation(s) of the </w:t>
            </w:r>
            <w:r w:rsidR="00FD37D3" w:rsidRPr="00E60C81">
              <w:rPr>
                <w:rFonts w:ascii="Arial Narrow" w:hAnsi="Arial Narrow"/>
                <w:i/>
                <w:lang w:eastAsia="ja-JP"/>
              </w:rPr>
              <w:t>CFTR</w:t>
            </w:r>
            <w:r w:rsidRPr="008210FE">
              <w:rPr>
                <w:rFonts w:ascii="Arial Narrow" w:hAnsi="Arial Narrow"/>
                <w:lang w:eastAsia="ja-JP"/>
              </w:rPr>
              <w:t xml:space="preserve"> gene in sample of blood or other fluid or tissue, in the following situation:</w:t>
            </w:r>
          </w:p>
          <w:p w14:paraId="12E4F707" w14:textId="77777777" w:rsidR="004D1BB0" w:rsidRPr="008210FE" w:rsidRDefault="004D1BB0" w:rsidP="004D1BB0">
            <w:pPr>
              <w:pStyle w:val="ListParagraph"/>
              <w:spacing w:after="120" w:line="240" w:lineRule="auto"/>
              <w:contextualSpacing/>
              <w:rPr>
                <w:rFonts w:ascii="Arial Narrow" w:hAnsi="Arial Narrow"/>
                <w:lang w:eastAsia="ja-JP"/>
              </w:rPr>
            </w:pPr>
            <w:r w:rsidRPr="008210FE">
              <w:rPr>
                <w:rFonts w:ascii="Arial Narrow" w:hAnsi="Arial Narrow"/>
                <w:lang w:eastAsia="ja-JP"/>
              </w:rPr>
              <w:t xml:space="preserve">Pregnant woman whose </w:t>
            </w:r>
            <w:r>
              <w:rPr>
                <w:rFonts w:ascii="Arial Narrow" w:hAnsi="Arial Narrow"/>
                <w:lang w:eastAsia="ja-JP"/>
              </w:rPr>
              <w:t>fetus</w:t>
            </w:r>
            <w:r w:rsidRPr="008210FE">
              <w:rPr>
                <w:rFonts w:ascii="Arial Narrow" w:hAnsi="Arial Narrow"/>
                <w:lang w:eastAsia="ja-JP"/>
              </w:rPr>
              <w:t xml:space="preserve"> is at 25% or more risk of CF</w:t>
            </w:r>
          </w:p>
          <w:p w14:paraId="74E5849B"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Fee: </w:t>
            </w:r>
            <w:r w:rsidR="00091A85" w:rsidRPr="00091A85">
              <w:rPr>
                <w:rFonts w:ascii="Arial Narrow" w:hAnsi="Arial Narrow"/>
                <w:highlight w:val="yellow"/>
                <w:lang w:eastAsia="ja-JP"/>
              </w:rPr>
              <w:t>To be advised</w:t>
            </w:r>
            <w:r w:rsidR="00546B4D">
              <w:rPr>
                <w:rFonts w:ascii="Arial Narrow" w:hAnsi="Arial Narrow"/>
                <w:lang w:eastAsia="ja-JP"/>
              </w:rPr>
              <w:t xml:space="preserve"> </w:t>
            </w:r>
          </w:p>
          <w:p w14:paraId="241D2FF0" w14:textId="77777777" w:rsidR="004D1BB0" w:rsidRPr="0085355F" w:rsidRDefault="004D1BB0" w:rsidP="000956B1">
            <w:pPr>
              <w:pStyle w:val="Default"/>
              <w:spacing w:after="240" w:line="312" w:lineRule="auto"/>
              <w:jc w:val="both"/>
              <w:rPr>
                <w:sz w:val="22"/>
                <w:szCs w:val="22"/>
              </w:rPr>
            </w:pPr>
            <w:r w:rsidRPr="0085355F">
              <w:rPr>
                <w:sz w:val="22"/>
                <w:szCs w:val="22"/>
              </w:rPr>
              <w:t xml:space="preserve">Prior to ordering these tests the ordering practitioner should ensure the patient has given informed consent. Testing can only be performed after genetic counselling. Appropriate genetic counselling should be provided to the patient either by the treating practitioner, a genetic counselling service or by a clinical geneticist on referral. </w:t>
            </w:r>
            <w:r w:rsidRPr="0085355F">
              <w:rPr>
                <w:sz w:val="22"/>
                <w:szCs w:val="22"/>
              </w:rPr>
              <w:lastRenderedPageBreak/>
              <w:t xml:space="preserve">Further counselling may be necessary upon receipt of the test results. </w:t>
            </w:r>
          </w:p>
        </w:tc>
      </w:tr>
      <w:tr w:rsidR="004D1BB0" w:rsidRPr="008210FE" w14:paraId="3132F4D1" w14:textId="77777777" w:rsidTr="004245A0">
        <w:tc>
          <w:tcPr>
            <w:tcW w:w="9134" w:type="dxa"/>
          </w:tcPr>
          <w:p w14:paraId="2E116465"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lastRenderedPageBreak/>
              <w:t xml:space="preserve">MBS </w:t>
            </w:r>
            <w:r w:rsidRPr="008210FE">
              <w:rPr>
                <w:rFonts w:ascii="Arial Narrow" w:hAnsi="Arial Narrow"/>
                <w:highlight w:val="yellow"/>
                <w:lang w:eastAsia="ja-JP"/>
              </w:rPr>
              <w:t>[proposed MBS item number 2]</w:t>
            </w:r>
          </w:p>
          <w:p w14:paraId="6C4543CA" w14:textId="3CA0B312"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Simultaneous de</w:t>
            </w:r>
            <w:r>
              <w:rPr>
                <w:rFonts w:ascii="Arial Narrow" w:hAnsi="Arial Narrow"/>
                <w:lang w:eastAsia="ja-JP"/>
              </w:rPr>
              <w:t xml:space="preserve">tection of multiple common mutations (Level 1 testing, </w:t>
            </w:r>
            <w:r w:rsidRPr="008210FE">
              <w:rPr>
                <w:rFonts w:ascii="Arial Narrow" w:hAnsi="Arial Narrow"/>
                <w:lang w:eastAsia="ja-JP"/>
              </w:rPr>
              <w:t xml:space="preserve">minimum of 10 mutations) in the </w:t>
            </w:r>
            <w:r w:rsidR="00A21FD9" w:rsidRPr="00A21FD9">
              <w:rPr>
                <w:rFonts w:ascii="Arial Narrow" w:hAnsi="Arial Narrow"/>
                <w:i/>
                <w:lang w:eastAsia="ja-JP"/>
              </w:rPr>
              <w:t>CFTR</w:t>
            </w:r>
            <w:r w:rsidRPr="008210FE">
              <w:rPr>
                <w:rFonts w:ascii="Arial Narrow" w:hAnsi="Arial Narrow"/>
                <w:lang w:eastAsia="ja-JP"/>
              </w:rPr>
              <w:t xml:space="preserve"> gene in blood or </w:t>
            </w:r>
            <w:r>
              <w:rPr>
                <w:rFonts w:ascii="Arial Narrow" w:hAnsi="Arial Narrow"/>
                <w:lang w:eastAsia="ja-JP"/>
              </w:rPr>
              <w:t>other fluid / tissue sample in a</w:t>
            </w:r>
            <w:r w:rsidRPr="008210FE">
              <w:rPr>
                <w:rFonts w:ascii="Arial Narrow" w:hAnsi="Arial Narrow"/>
                <w:lang w:eastAsia="ja-JP"/>
              </w:rPr>
              <w:t>:</w:t>
            </w:r>
          </w:p>
          <w:p w14:paraId="38469910" w14:textId="76B448F0" w:rsidR="004D1BB0" w:rsidRPr="008210FE" w:rsidRDefault="004D1BB0" w:rsidP="001E0FEF">
            <w:pPr>
              <w:pStyle w:val="ListParagraph"/>
              <w:numPr>
                <w:ilvl w:val="0"/>
                <w:numId w:val="76"/>
              </w:numPr>
              <w:spacing w:after="120" w:line="240" w:lineRule="auto"/>
              <w:contextualSpacing/>
              <w:rPr>
                <w:rFonts w:ascii="Arial Narrow" w:hAnsi="Arial Narrow"/>
                <w:lang w:eastAsia="ja-JP"/>
              </w:rPr>
            </w:pPr>
            <w:r w:rsidRPr="008210FE">
              <w:rPr>
                <w:rFonts w:ascii="Arial Narrow" w:hAnsi="Arial Narrow"/>
                <w:lang w:eastAsia="ja-JP"/>
              </w:rPr>
              <w:t xml:space="preserve">Patient suspected of cystic fibrosis or a </w:t>
            </w:r>
            <w:r w:rsidR="00FD37D3" w:rsidRPr="00FD37D3">
              <w:rPr>
                <w:rFonts w:ascii="Arial Narrow" w:hAnsi="Arial Narrow"/>
                <w:lang w:eastAsia="ja-JP"/>
              </w:rPr>
              <w:t>CFTR</w:t>
            </w:r>
            <w:r w:rsidRPr="008210FE">
              <w:rPr>
                <w:rFonts w:ascii="Arial Narrow" w:hAnsi="Arial Narrow"/>
                <w:lang w:eastAsia="ja-JP"/>
              </w:rPr>
              <w:t xml:space="preserve"> related disorder</w:t>
            </w:r>
            <w:r>
              <w:rPr>
                <w:rFonts w:ascii="Arial Narrow" w:hAnsi="Arial Narrow"/>
                <w:lang w:eastAsia="ja-JP"/>
              </w:rPr>
              <w:t xml:space="preserve"> (with the exception of newborns suspected of cystic fibrosis through newborn screening); </w:t>
            </w:r>
          </w:p>
          <w:p w14:paraId="076ADE3F" w14:textId="1F3BCF5B" w:rsidR="004D1BB0" w:rsidRDefault="004D1BB0" w:rsidP="001E0FEF">
            <w:pPr>
              <w:pStyle w:val="ListParagraph"/>
              <w:numPr>
                <w:ilvl w:val="0"/>
                <w:numId w:val="76"/>
              </w:numPr>
              <w:spacing w:after="120" w:line="240" w:lineRule="auto"/>
              <w:contextualSpacing/>
              <w:rPr>
                <w:rFonts w:ascii="Arial Narrow" w:hAnsi="Arial Narrow"/>
                <w:lang w:eastAsia="ja-JP"/>
              </w:rPr>
            </w:pPr>
            <w:r w:rsidRPr="008210FE">
              <w:rPr>
                <w:rFonts w:ascii="Arial Narrow" w:hAnsi="Arial Narrow"/>
                <w:lang w:eastAsia="ja-JP"/>
              </w:rPr>
              <w:t>Man with congenital bilateral absence of the vas deferens (CBAVD)</w:t>
            </w:r>
            <w:r>
              <w:rPr>
                <w:rFonts w:ascii="Arial Narrow" w:hAnsi="Arial Narrow"/>
                <w:lang w:eastAsia="ja-JP"/>
              </w:rPr>
              <w:t xml:space="preserve"> </w:t>
            </w:r>
          </w:p>
          <w:p w14:paraId="29DCCBCA"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Fee: </w:t>
            </w:r>
            <w:r w:rsidR="00091A85" w:rsidRPr="001E050E">
              <w:rPr>
                <w:rFonts w:ascii="Arial Narrow" w:hAnsi="Arial Narrow"/>
                <w:highlight w:val="yellow"/>
                <w:lang w:eastAsia="ja-JP"/>
              </w:rPr>
              <w:t>To be advised</w:t>
            </w:r>
          </w:p>
          <w:p w14:paraId="1682C101" w14:textId="77777777" w:rsidR="004D1BB0" w:rsidRPr="008210FE" w:rsidRDefault="004D1BB0" w:rsidP="000956B1">
            <w:pPr>
              <w:spacing w:after="120" w:line="240" w:lineRule="auto"/>
              <w:rPr>
                <w:rFonts w:ascii="Arial Narrow" w:hAnsi="Arial Narrow"/>
                <w:lang w:eastAsia="ja-JP"/>
              </w:rPr>
            </w:pPr>
            <w:r w:rsidRPr="0095120D">
              <w:rPr>
                <w:rFonts w:ascii="Arial Narrow" w:hAnsi="Arial Narrow"/>
              </w:rPr>
              <w:t xml:space="preserve">Prior to ordering these tests the ordering practitioner should ensure the patient (or their parent/guardian in the case of children) has given informed consent. </w:t>
            </w:r>
            <w:r w:rsidRPr="001E0FEF">
              <w:rPr>
                <w:rFonts w:ascii="Arial Narrow" w:hAnsi="Arial Narrow"/>
              </w:rPr>
              <w:t>For b:</w:t>
            </w:r>
            <w:r>
              <w:rPr>
                <w:rFonts w:ascii="Arial Narrow" w:hAnsi="Arial Narrow"/>
              </w:rPr>
              <w:t xml:space="preserve"> t</w:t>
            </w:r>
            <w:r w:rsidRPr="0095120D">
              <w:rPr>
                <w:rFonts w:ascii="Arial Narrow" w:hAnsi="Arial Narrow"/>
              </w:rPr>
              <w:t>esting can only be performed after genetic counselling. Appropriate genetic counselling should be provided to the patient either by the treating practitioner, a genetic counselling service or by a clinical geneticist on referral. Further counselling may be necessary upon receipt of the test results.</w:t>
            </w:r>
          </w:p>
        </w:tc>
      </w:tr>
      <w:tr w:rsidR="004D1BB0" w:rsidRPr="008210FE" w14:paraId="0D23891F" w14:textId="77777777" w:rsidTr="004245A0">
        <w:tc>
          <w:tcPr>
            <w:tcW w:w="9134" w:type="dxa"/>
          </w:tcPr>
          <w:p w14:paraId="0AE6CB46"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MBS </w:t>
            </w:r>
            <w:r>
              <w:rPr>
                <w:rFonts w:ascii="Arial Narrow" w:hAnsi="Arial Narrow"/>
                <w:highlight w:val="yellow"/>
                <w:lang w:eastAsia="ja-JP"/>
              </w:rPr>
              <w:t>[proposed MBS item number 3</w:t>
            </w:r>
            <w:r w:rsidRPr="008210FE">
              <w:rPr>
                <w:rFonts w:ascii="Arial Narrow" w:hAnsi="Arial Narrow"/>
                <w:highlight w:val="yellow"/>
                <w:lang w:eastAsia="ja-JP"/>
              </w:rPr>
              <w:t>]</w:t>
            </w:r>
          </w:p>
          <w:p w14:paraId="5310EBA2" w14:textId="128DD8B6"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Simultaneous de</w:t>
            </w:r>
            <w:r>
              <w:rPr>
                <w:rFonts w:ascii="Arial Narrow" w:hAnsi="Arial Narrow"/>
                <w:lang w:eastAsia="ja-JP"/>
              </w:rPr>
              <w:t xml:space="preserve">tection of multiple common mutations (Level 2 testing, </w:t>
            </w:r>
            <w:r w:rsidRPr="008210FE">
              <w:rPr>
                <w:rFonts w:ascii="Arial Narrow" w:hAnsi="Arial Narrow"/>
                <w:lang w:eastAsia="ja-JP"/>
              </w:rPr>
              <w:t xml:space="preserve">minimum of 10 mutations) in the </w:t>
            </w:r>
            <w:r w:rsidR="00A21FD9" w:rsidRPr="00A21FD9">
              <w:rPr>
                <w:rFonts w:ascii="Arial Narrow" w:hAnsi="Arial Narrow"/>
                <w:i/>
                <w:lang w:eastAsia="ja-JP"/>
              </w:rPr>
              <w:t>CFTR</w:t>
            </w:r>
            <w:r w:rsidRPr="008210FE">
              <w:rPr>
                <w:rFonts w:ascii="Arial Narrow" w:hAnsi="Arial Narrow"/>
                <w:lang w:eastAsia="ja-JP"/>
              </w:rPr>
              <w:t xml:space="preserve"> gene in blood or </w:t>
            </w:r>
            <w:r>
              <w:rPr>
                <w:rFonts w:ascii="Arial Narrow" w:hAnsi="Arial Narrow"/>
                <w:lang w:eastAsia="ja-JP"/>
              </w:rPr>
              <w:t>other fluid / tissue sample in a</w:t>
            </w:r>
            <w:r w:rsidRPr="008210FE">
              <w:rPr>
                <w:rFonts w:ascii="Arial Narrow" w:hAnsi="Arial Narrow"/>
                <w:lang w:eastAsia="ja-JP"/>
              </w:rPr>
              <w:t>:</w:t>
            </w:r>
          </w:p>
          <w:p w14:paraId="4B2C9053" w14:textId="73689817" w:rsidR="004D1BB0" w:rsidRPr="008210FE" w:rsidRDefault="004D1BB0" w:rsidP="004D1BB0">
            <w:pPr>
              <w:pStyle w:val="ListParagraph"/>
              <w:spacing w:after="120" w:line="240" w:lineRule="auto"/>
              <w:contextualSpacing/>
              <w:rPr>
                <w:rFonts w:ascii="Arial Narrow" w:hAnsi="Arial Narrow"/>
                <w:lang w:eastAsia="ja-JP"/>
              </w:rPr>
            </w:pPr>
            <w:r w:rsidRPr="0082495F">
              <w:rPr>
                <w:rFonts w:ascii="Arial Narrow" w:hAnsi="Arial Narrow"/>
                <w:lang w:eastAsia="ja-JP"/>
              </w:rPr>
              <w:t>Prospective parent</w:t>
            </w:r>
            <w:r w:rsidRPr="008210FE">
              <w:rPr>
                <w:rFonts w:ascii="Arial Narrow" w:hAnsi="Arial Narrow"/>
                <w:lang w:eastAsia="ja-JP"/>
              </w:rPr>
              <w:t xml:space="preserve"> whose </w:t>
            </w:r>
            <w:r>
              <w:rPr>
                <w:rFonts w:ascii="Arial Narrow" w:hAnsi="Arial Narrow"/>
                <w:lang w:eastAsia="ja-JP"/>
              </w:rPr>
              <w:t>fetus</w:t>
            </w:r>
            <w:r w:rsidRPr="008210FE">
              <w:rPr>
                <w:rFonts w:ascii="Arial Narrow" w:hAnsi="Arial Narrow"/>
                <w:lang w:eastAsia="ja-JP"/>
              </w:rPr>
              <w:t xml:space="preserve"> is suspected of having a </w:t>
            </w:r>
            <w:r w:rsidR="00FD37D3" w:rsidRPr="00FD37D3">
              <w:rPr>
                <w:rFonts w:ascii="Arial Narrow" w:hAnsi="Arial Narrow"/>
                <w:lang w:eastAsia="ja-JP"/>
              </w:rPr>
              <w:t>CFTR</w:t>
            </w:r>
            <w:r w:rsidRPr="008210FE">
              <w:rPr>
                <w:rFonts w:ascii="Arial Narrow" w:hAnsi="Arial Narrow"/>
                <w:lang w:eastAsia="ja-JP"/>
              </w:rPr>
              <w:t xml:space="preserve"> related disorder</w:t>
            </w:r>
          </w:p>
          <w:p w14:paraId="07A99E44" w14:textId="58893EE3" w:rsidR="004D1BB0" w:rsidRPr="0082495F" w:rsidRDefault="004D1BB0" w:rsidP="004D1BB0">
            <w:pPr>
              <w:pStyle w:val="ListParagraph"/>
              <w:spacing w:after="120" w:line="240" w:lineRule="auto"/>
              <w:contextualSpacing/>
              <w:rPr>
                <w:rFonts w:ascii="Arial Narrow" w:hAnsi="Arial Narrow"/>
                <w:lang w:eastAsia="ja-JP"/>
              </w:rPr>
            </w:pPr>
            <w:r w:rsidRPr="0082495F">
              <w:rPr>
                <w:rFonts w:ascii="Arial Narrow" w:hAnsi="Arial Narrow"/>
                <w:lang w:eastAsia="ja-JP"/>
              </w:rPr>
              <w:t xml:space="preserve">Partner of someone with a known </w:t>
            </w:r>
            <w:r w:rsidR="00FD37D3" w:rsidRPr="00FD37D3">
              <w:rPr>
                <w:rFonts w:ascii="Arial Narrow" w:hAnsi="Arial Narrow"/>
                <w:lang w:eastAsia="ja-JP"/>
              </w:rPr>
              <w:t>CFTR</w:t>
            </w:r>
            <w:r w:rsidRPr="0082495F">
              <w:rPr>
                <w:rFonts w:ascii="Arial Narrow" w:hAnsi="Arial Narrow"/>
                <w:lang w:eastAsia="ja-JP"/>
              </w:rPr>
              <w:t xml:space="preserve"> mutation, for reproductive planning purposes</w:t>
            </w:r>
          </w:p>
          <w:p w14:paraId="11294F94"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Fee: </w:t>
            </w:r>
            <w:r w:rsidR="00546B4D">
              <w:rPr>
                <w:rFonts w:ascii="Arial Narrow" w:hAnsi="Arial Narrow"/>
                <w:lang w:eastAsia="ja-JP"/>
              </w:rPr>
              <w:t xml:space="preserve">$ </w:t>
            </w:r>
            <w:r w:rsidR="00546B4D" w:rsidRPr="00546B4D">
              <w:rPr>
                <w:rFonts w:ascii="Arial Narrow" w:hAnsi="Arial Narrow"/>
                <w:highlight w:val="yellow"/>
                <w:lang w:eastAsia="ja-JP"/>
              </w:rPr>
              <w:t>SAME AS PROPOSED MBS ITEM NUMBER 2</w:t>
            </w:r>
          </w:p>
          <w:p w14:paraId="78DE8F11" w14:textId="77777777" w:rsidR="004D1BB0" w:rsidRPr="008210FE" w:rsidRDefault="004D1BB0" w:rsidP="000956B1">
            <w:pPr>
              <w:spacing w:after="120" w:line="240" w:lineRule="auto"/>
              <w:rPr>
                <w:rFonts w:ascii="Arial Narrow" w:hAnsi="Arial Narrow"/>
                <w:lang w:eastAsia="ja-JP"/>
              </w:rPr>
            </w:pPr>
            <w:r w:rsidRPr="0095120D">
              <w:rPr>
                <w:rFonts w:ascii="Arial Narrow" w:hAnsi="Arial Narrow"/>
              </w:rPr>
              <w:t xml:space="preserve">Prior to ordering these tests the ordering practitioner should ensure the patient (or their parent/guardian in the case of children) has given informed consent. </w:t>
            </w:r>
            <w:r>
              <w:rPr>
                <w:rFonts w:ascii="Arial Narrow" w:hAnsi="Arial Narrow"/>
              </w:rPr>
              <w:t>T</w:t>
            </w:r>
            <w:r w:rsidRPr="0095120D">
              <w:rPr>
                <w:rFonts w:ascii="Arial Narrow" w:hAnsi="Arial Narrow"/>
              </w:rPr>
              <w:t>esting can only be performed after genetic counselling. Appropriate genetic counselling should be provided to the patient either by the treating practitioner, a genetic counselling service or by a clinical geneticist on referral. Further counselling may be necessary upon receipt of the test results.</w:t>
            </w:r>
          </w:p>
        </w:tc>
      </w:tr>
      <w:tr w:rsidR="004D1BB0" w:rsidRPr="008210FE" w14:paraId="113FF34E" w14:textId="77777777" w:rsidTr="004245A0">
        <w:tc>
          <w:tcPr>
            <w:tcW w:w="9134" w:type="dxa"/>
          </w:tcPr>
          <w:p w14:paraId="27502D2D"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MBS </w:t>
            </w:r>
            <w:r w:rsidRPr="008210FE">
              <w:rPr>
                <w:rFonts w:ascii="Arial Narrow" w:hAnsi="Arial Narrow"/>
                <w:highlight w:val="yellow"/>
                <w:lang w:eastAsia="ja-JP"/>
              </w:rPr>
              <w:t xml:space="preserve">[proposed MBS item number </w:t>
            </w:r>
            <w:r>
              <w:rPr>
                <w:rFonts w:ascii="Arial Narrow" w:hAnsi="Arial Narrow"/>
                <w:highlight w:val="yellow"/>
                <w:lang w:eastAsia="ja-JP"/>
              </w:rPr>
              <w:t>4</w:t>
            </w:r>
            <w:r w:rsidRPr="008210FE">
              <w:rPr>
                <w:rFonts w:ascii="Arial Narrow" w:hAnsi="Arial Narrow"/>
                <w:highlight w:val="yellow"/>
                <w:lang w:eastAsia="ja-JP"/>
              </w:rPr>
              <w:t>]</w:t>
            </w:r>
          </w:p>
          <w:p w14:paraId="49E1D2B1" w14:textId="7DF0D8C9"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Sequencing analysis of the entire </w:t>
            </w:r>
            <w:r w:rsidR="00A21FD9" w:rsidRPr="00A21FD9">
              <w:rPr>
                <w:rFonts w:ascii="Arial Narrow" w:hAnsi="Arial Narrow"/>
                <w:i/>
                <w:lang w:eastAsia="ja-JP"/>
              </w:rPr>
              <w:t>CFTR</w:t>
            </w:r>
            <w:r w:rsidRPr="008210FE">
              <w:rPr>
                <w:rFonts w:ascii="Arial Narrow" w:hAnsi="Arial Narrow"/>
                <w:lang w:eastAsia="ja-JP"/>
              </w:rPr>
              <w:t xml:space="preserve"> gene</w:t>
            </w:r>
            <w:r>
              <w:rPr>
                <w:rFonts w:ascii="Arial Narrow" w:hAnsi="Arial Narrow"/>
                <w:lang w:eastAsia="ja-JP"/>
              </w:rPr>
              <w:t xml:space="preserve"> (Level 1 testing)</w:t>
            </w:r>
            <w:r w:rsidRPr="008210FE">
              <w:rPr>
                <w:rFonts w:ascii="Arial Narrow" w:hAnsi="Arial Narrow"/>
                <w:lang w:eastAsia="ja-JP"/>
              </w:rPr>
              <w:t xml:space="preserve"> for constitutional genetic abnormalities causing </w:t>
            </w:r>
            <w:r w:rsidR="00FD37D3" w:rsidRPr="00FD37D3">
              <w:rPr>
                <w:rFonts w:ascii="Arial Narrow" w:hAnsi="Arial Narrow"/>
                <w:lang w:eastAsia="ja-JP"/>
              </w:rPr>
              <w:t>CFTR</w:t>
            </w:r>
            <w:r w:rsidR="00DB2CA2">
              <w:rPr>
                <w:rFonts w:ascii="Arial Narrow" w:hAnsi="Arial Narrow"/>
                <w:lang w:eastAsia="ja-JP"/>
              </w:rPr>
              <w:t>-</w:t>
            </w:r>
            <w:r w:rsidRPr="008210FE">
              <w:rPr>
                <w:rFonts w:ascii="Arial Narrow" w:hAnsi="Arial Narrow"/>
                <w:lang w:eastAsia="ja-JP"/>
              </w:rPr>
              <w:t>related disorders, where the results in item [proposed MBS item number 2 or newborn screening common mutation analysis</w:t>
            </w:r>
            <w:r>
              <w:rPr>
                <w:rFonts w:ascii="Arial Narrow" w:hAnsi="Arial Narrow"/>
                <w:lang w:eastAsia="ja-JP"/>
              </w:rPr>
              <w:t xml:space="preserve"> (funded by the State / Territory)</w:t>
            </w:r>
            <w:r w:rsidRPr="008210FE">
              <w:rPr>
                <w:rFonts w:ascii="Arial Narrow" w:hAnsi="Arial Narrow"/>
                <w:lang w:eastAsia="ja-JP"/>
              </w:rPr>
              <w:t xml:space="preserve"> are inconclusive, either as:</w:t>
            </w:r>
          </w:p>
          <w:p w14:paraId="775CA4BE" w14:textId="77777777" w:rsidR="004D1BB0" w:rsidRPr="008210FE" w:rsidRDefault="004D1BB0" w:rsidP="004D1BB0">
            <w:pPr>
              <w:pStyle w:val="ListParagraph"/>
              <w:spacing w:after="120" w:line="240" w:lineRule="auto"/>
              <w:contextualSpacing/>
              <w:rPr>
                <w:rFonts w:ascii="Arial Narrow" w:hAnsi="Arial Narrow"/>
                <w:lang w:eastAsia="ja-JP"/>
              </w:rPr>
            </w:pPr>
            <w:r w:rsidRPr="008210FE">
              <w:rPr>
                <w:rFonts w:ascii="Arial Narrow" w:hAnsi="Arial Narrow"/>
                <w:lang w:eastAsia="ja-JP"/>
              </w:rPr>
              <w:t>Diagnostic studies of a CF affected person; or</w:t>
            </w:r>
          </w:p>
          <w:p w14:paraId="38290210" w14:textId="77777777" w:rsidR="004D1BB0" w:rsidRPr="008210FE" w:rsidRDefault="004D1BB0" w:rsidP="004D1BB0">
            <w:pPr>
              <w:pStyle w:val="ListParagraph"/>
              <w:spacing w:after="120" w:line="240" w:lineRule="auto"/>
              <w:contextualSpacing/>
              <w:rPr>
                <w:rFonts w:ascii="Arial Narrow" w:hAnsi="Arial Narrow"/>
                <w:lang w:eastAsia="ja-JP"/>
              </w:rPr>
            </w:pPr>
            <w:r w:rsidRPr="008210FE">
              <w:rPr>
                <w:rFonts w:ascii="Arial Narrow" w:hAnsi="Arial Narrow"/>
                <w:lang w:eastAsia="ja-JP"/>
              </w:rPr>
              <w:t>Identification of the second mutation in</w:t>
            </w:r>
            <w:r>
              <w:rPr>
                <w:rFonts w:ascii="Arial Narrow" w:hAnsi="Arial Narrow"/>
                <w:lang w:eastAsia="ja-JP"/>
              </w:rPr>
              <w:t xml:space="preserve"> a</w:t>
            </w:r>
            <w:r w:rsidRPr="008210FE">
              <w:rPr>
                <w:rFonts w:ascii="Arial Narrow" w:hAnsi="Arial Narrow"/>
                <w:lang w:eastAsia="ja-JP"/>
              </w:rPr>
              <w:t xml:space="preserve"> newborn with one identified mutation and a positive</w:t>
            </w:r>
            <w:r>
              <w:rPr>
                <w:rFonts w:ascii="Arial Narrow" w:hAnsi="Arial Narrow"/>
                <w:lang w:eastAsia="ja-JP"/>
              </w:rPr>
              <w:t xml:space="preserve"> or indeterminate</w:t>
            </w:r>
            <w:r w:rsidRPr="008210FE">
              <w:rPr>
                <w:rFonts w:ascii="Arial Narrow" w:hAnsi="Arial Narrow"/>
                <w:lang w:eastAsia="ja-JP"/>
              </w:rPr>
              <w:t xml:space="preserve"> result from item 66686 (sweat test)</w:t>
            </w:r>
          </w:p>
          <w:p w14:paraId="1840EF2A"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Fee: </w:t>
            </w:r>
            <w:r w:rsidR="001E050E" w:rsidRPr="001E050E">
              <w:rPr>
                <w:rFonts w:ascii="Arial Narrow" w:hAnsi="Arial Narrow"/>
                <w:highlight w:val="yellow"/>
                <w:lang w:eastAsia="ja-JP"/>
              </w:rPr>
              <w:t>To be advised</w:t>
            </w:r>
          </w:p>
          <w:p w14:paraId="0E23DF73" w14:textId="77777777" w:rsidR="004D1BB0" w:rsidRPr="008210FE" w:rsidDel="006A11EF" w:rsidRDefault="004D1BB0" w:rsidP="000956B1">
            <w:pPr>
              <w:spacing w:after="120" w:line="240" w:lineRule="auto"/>
              <w:rPr>
                <w:rFonts w:ascii="Arial Narrow" w:hAnsi="Arial Narrow"/>
                <w:lang w:eastAsia="ja-JP"/>
              </w:rPr>
            </w:pPr>
            <w:r w:rsidRPr="008210FE">
              <w:rPr>
                <w:rFonts w:ascii="Arial Narrow" w:eastAsia="Calibri" w:hAnsi="Arial Narrow" w:cs="Arial Narrow"/>
                <w:color w:val="000000"/>
              </w:rPr>
              <w:t xml:space="preserve">Prior to ordering these tests the ordering practitioner should ensure the patient (or their parent/guardian in the case of children) has given informed consent. </w:t>
            </w:r>
          </w:p>
        </w:tc>
      </w:tr>
      <w:tr w:rsidR="004D1BB0" w:rsidRPr="008210FE" w14:paraId="244C90AA" w14:textId="77777777" w:rsidTr="004245A0">
        <w:tc>
          <w:tcPr>
            <w:tcW w:w="9134" w:type="dxa"/>
          </w:tcPr>
          <w:p w14:paraId="5D65B779"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MBS </w:t>
            </w:r>
            <w:r w:rsidRPr="008210FE">
              <w:rPr>
                <w:rFonts w:ascii="Arial Narrow" w:hAnsi="Arial Narrow"/>
                <w:highlight w:val="yellow"/>
                <w:lang w:eastAsia="ja-JP"/>
              </w:rPr>
              <w:t xml:space="preserve">[proposed MBS item number </w:t>
            </w:r>
            <w:r>
              <w:rPr>
                <w:rFonts w:ascii="Arial Narrow" w:hAnsi="Arial Narrow"/>
                <w:highlight w:val="yellow"/>
                <w:lang w:eastAsia="ja-JP"/>
              </w:rPr>
              <w:t>5</w:t>
            </w:r>
            <w:r w:rsidRPr="008210FE">
              <w:rPr>
                <w:rFonts w:ascii="Arial Narrow" w:hAnsi="Arial Narrow"/>
                <w:highlight w:val="yellow"/>
                <w:lang w:eastAsia="ja-JP"/>
              </w:rPr>
              <w:t>]</w:t>
            </w:r>
          </w:p>
          <w:p w14:paraId="223C8961" w14:textId="1BB9980C"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Sequencing analysis of the entire </w:t>
            </w:r>
            <w:r w:rsidR="00A21FD9" w:rsidRPr="00A21FD9">
              <w:rPr>
                <w:rFonts w:ascii="Arial Narrow" w:hAnsi="Arial Narrow"/>
                <w:i/>
                <w:lang w:eastAsia="ja-JP"/>
              </w:rPr>
              <w:t>CFTR</w:t>
            </w:r>
            <w:r w:rsidRPr="008210FE">
              <w:rPr>
                <w:rFonts w:ascii="Arial Narrow" w:hAnsi="Arial Narrow"/>
                <w:lang w:eastAsia="ja-JP"/>
              </w:rPr>
              <w:t xml:space="preserve"> gene</w:t>
            </w:r>
            <w:r>
              <w:rPr>
                <w:rFonts w:ascii="Arial Narrow" w:hAnsi="Arial Narrow"/>
                <w:lang w:eastAsia="ja-JP"/>
              </w:rPr>
              <w:t xml:space="preserve"> (Level 2 testing)</w:t>
            </w:r>
            <w:r w:rsidRPr="008210FE">
              <w:rPr>
                <w:rFonts w:ascii="Arial Narrow" w:hAnsi="Arial Narrow"/>
                <w:lang w:eastAsia="ja-JP"/>
              </w:rPr>
              <w:t xml:space="preserve"> for constitutional genetic abnormalities</w:t>
            </w:r>
            <w:r>
              <w:rPr>
                <w:rFonts w:ascii="Arial Narrow" w:hAnsi="Arial Narrow"/>
                <w:lang w:eastAsia="ja-JP"/>
              </w:rPr>
              <w:t xml:space="preserve"> causing </w:t>
            </w:r>
            <w:r w:rsidR="00FD37D3" w:rsidRPr="00FD37D3">
              <w:rPr>
                <w:rFonts w:ascii="Arial Narrow" w:hAnsi="Arial Narrow"/>
                <w:lang w:eastAsia="ja-JP"/>
              </w:rPr>
              <w:t>CFTR</w:t>
            </w:r>
            <w:r>
              <w:rPr>
                <w:rFonts w:ascii="Arial Narrow" w:hAnsi="Arial Narrow"/>
                <w:lang w:eastAsia="ja-JP"/>
              </w:rPr>
              <w:t xml:space="preserve"> related disorders</w:t>
            </w:r>
            <w:r w:rsidR="00DF5916">
              <w:rPr>
                <w:rFonts w:ascii="Arial Narrow" w:hAnsi="Arial Narrow"/>
                <w:lang w:eastAsia="ja-JP"/>
              </w:rPr>
              <w:t xml:space="preserve"> </w:t>
            </w:r>
            <w:r>
              <w:rPr>
                <w:rFonts w:ascii="Arial Narrow" w:hAnsi="Arial Narrow"/>
                <w:lang w:eastAsia="ja-JP"/>
              </w:rPr>
              <w:t>in the following situations</w:t>
            </w:r>
            <w:r w:rsidRPr="008210FE">
              <w:rPr>
                <w:rFonts w:ascii="Arial Narrow" w:hAnsi="Arial Narrow"/>
                <w:lang w:eastAsia="ja-JP"/>
              </w:rPr>
              <w:t>:</w:t>
            </w:r>
          </w:p>
          <w:p w14:paraId="076F21B6" w14:textId="63009C2B" w:rsidR="004D1BB0" w:rsidRDefault="004D1BB0" w:rsidP="004D1BB0">
            <w:pPr>
              <w:pStyle w:val="ListParagraph"/>
              <w:spacing w:after="120" w:line="240" w:lineRule="auto"/>
              <w:contextualSpacing/>
              <w:rPr>
                <w:rFonts w:ascii="Arial Narrow" w:hAnsi="Arial Narrow"/>
                <w:lang w:eastAsia="ja-JP"/>
              </w:rPr>
            </w:pPr>
            <w:r>
              <w:rPr>
                <w:rFonts w:ascii="Arial Narrow" w:hAnsi="Arial Narrow"/>
                <w:lang w:eastAsia="ja-JP"/>
              </w:rPr>
              <w:t xml:space="preserve">A negative common mutation test [proposed MBS item number 3] in a parent who previously had a child diagnosed with a </w:t>
            </w:r>
            <w:r w:rsidR="00FD37D3" w:rsidRPr="00FD37D3">
              <w:rPr>
                <w:rFonts w:ascii="Arial Narrow" w:hAnsi="Arial Narrow"/>
                <w:lang w:eastAsia="ja-JP"/>
              </w:rPr>
              <w:t>CFTR</w:t>
            </w:r>
            <w:r>
              <w:rPr>
                <w:rFonts w:ascii="Arial Narrow" w:hAnsi="Arial Narrow"/>
                <w:lang w:eastAsia="ja-JP"/>
              </w:rPr>
              <w:t xml:space="preserve"> related disorder</w:t>
            </w:r>
          </w:p>
          <w:p w14:paraId="4D6D03EE" w14:textId="2973F9B6" w:rsidR="004D1BB0" w:rsidRPr="008210FE" w:rsidRDefault="004D1BB0" w:rsidP="004D1BB0">
            <w:pPr>
              <w:pStyle w:val="ListParagraph"/>
              <w:spacing w:after="120" w:line="240" w:lineRule="auto"/>
              <w:contextualSpacing/>
              <w:rPr>
                <w:rFonts w:ascii="Arial Narrow" w:hAnsi="Arial Narrow"/>
                <w:lang w:eastAsia="ja-JP"/>
              </w:rPr>
            </w:pPr>
            <w:r>
              <w:rPr>
                <w:rFonts w:ascii="Arial Narrow" w:hAnsi="Arial Narrow"/>
                <w:lang w:eastAsia="ja-JP"/>
              </w:rPr>
              <w:t xml:space="preserve">A negative common mutation test [proposed MBS item number 3] in a prospective parent whose fetus is suspected of having a </w:t>
            </w:r>
            <w:r w:rsidR="00FD37D3" w:rsidRPr="00FD37D3">
              <w:rPr>
                <w:rFonts w:ascii="Arial Narrow" w:hAnsi="Arial Narrow"/>
                <w:lang w:eastAsia="ja-JP"/>
              </w:rPr>
              <w:t>CFTR</w:t>
            </w:r>
            <w:r>
              <w:rPr>
                <w:rFonts w:ascii="Arial Narrow" w:hAnsi="Arial Narrow"/>
                <w:lang w:eastAsia="ja-JP"/>
              </w:rPr>
              <w:t xml:space="preserve"> related disorder </w:t>
            </w:r>
          </w:p>
          <w:p w14:paraId="6A3C9FDE" w14:textId="77777777" w:rsidR="004D1BB0" w:rsidRPr="008210FE" w:rsidRDefault="004D1BB0" w:rsidP="000956B1">
            <w:pPr>
              <w:spacing w:after="120" w:line="240" w:lineRule="auto"/>
              <w:rPr>
                <w:rFonts w:ascii="Arial Narrow" w:hAnsi="Arial Narrow"/>
                <w:lang w:eastAsia="ja-JP"/>
              </w:rPr>
            </w:pPr>
            <w:r w:rsidRPr="008210FE">
              <w:rPr>
                <w:rFonts w:ascii="Arial Narrow" w:hAnsi="Arial Narrow"/>
                <w:lang w:eastAsia="ja-JP"/>
              </w:rPr>
              <w:t xml:space="preserve">Fee: </w:t>
            </w:r>
            <w:r w:rsidR="001E050E" w:rsidRPr="001E050E">
              <w:rPr>
                <w:rFonts w:ascii="Arial Narrow" w:hAnsi="Arial Narrow"/>
                <w:highlight w:val="yellow"/>
                <w:lang w:eastAsia="ja-JP"/>
              </w:rPr>
              <w:t>To be advised</w:t>
            </w:r>
          </w:p>
          <w:p w14:paraId="32CE02C2" w14:textId="77777777" w:rsidR="004D1BB0" w:rsidRPr="008210FE" w:rsidRDefault="004D1BB0" w:rsidP="000956B1">
            <w:pPr>
              <w:spacing w:after="120" w:line="240" w:lineRule="auto"/>
              <w:rPr>
                <w:rFonts w:ascii="Arial Narrow" w:hAnsi="Arial Narrow"/>
                <w:lang w:eastAsia="ja-JP"/>
              </w:rPr>
            </w:pPr>
            <w:r w:rsidRPr="008210FE">
              <w:rPr>
                <w:rFonts w:ascii="Arial Narrow" w:eastAsia="Calibri" w:hAnsi="Arial Narrow" w:cs="Arial Narrow"/>
                <w:color w:val="000000"/>
              </w:rPr>
              <w:lastRenderedPageBreak/>
              <w:t>Prior to ordering these tests the ordering practitioner should ensure the patient (or their parent/guardian in the case of children) has given informed consent. Testing can only be performed after genetic counselling. Appropriate genetic counselling should be provided to the patient either by the treating practitioner, a genetic counselling service or by a clinical geneticist on referral. Further counselling may be necessary upon receipt of the test results.</w:t>
            </w:r>
          </w:p>
        </w:tc>
      </w:tr>
    </w:tbl>
    <w:p w14:paraId="28568879" w14:textId="52E2196D" w:rsidR="008F1201" w:rsidRPr="00BC645A" w:rsidRDefault="003D7CC8" w:rsidP="008F1201">
      <w:pPr>
        <w:pStyle w:val="Heading3"/>
        <w:keepNext w:val="0"/>
      </w:pPr>
      <w:bookmarkStart w:id="131" w:name="_Toc418179885"/>
      <w:bookmarkStart w:id="132" w:name="_Toc379118076"/>
      <w:bookmarkStart w:id="133" w:name="_Toc381796455"/>
      <w:bookmarkStart w:id="134" w:name="_Toc379118072"/>
      <w:bookmarkStart w:id="135" w:name="_Toc355274709"/>
      <w:bookmarkEnd w:id="123"/>
      <w:bookmarkEnd w:id="124"/>
      <w:bookmarkEnd w:id="125"/>
      <w:r>
        <w:lastRenderedPageBreak/>
        <w:t>A.3.1.</w:t>
      </w:r>
      <w:r w:rsidR="008F57E8">
        <w:tab/>
      </w:r>
      <w:r w:rsidR="008F1201" w:rsidRPr="00BC645A">
        <w:t>Current funding arrangements</w:t>
      </w:r>
      <w:bookmarkEnd w:id="131"/>
    </w:p>
    <w:p w14:paraId="1ABE6513" w14:textId="5EC4E8E3" w:rsidR="008F1201" w:rsidRPr="000F4655" w:rsidRDefault="00FD37D3" w:rsidP="008F1201">
      <w:r w:rsidRPr="00FD37D3">
        <w:t>CFTR</w:t>
      </w:r>
      <w:r w:rsidR="008F1201" w:rsidRPr="00BC645A">
        <w:t xml:space="preserve"> mutation testing is already current practice in all </w:t>
      </w:r>
      <w:r w:rsidR="00DB2CA2">
        <w:t>s</w:t>
      </w:r>
      <w:r w:rsidR="008F1201" w:rsidRPr="00BC645A">
        <w:t xml:space="preserve">tates and </w:t>
      </w:r>
      <w:r w:rsidR="00DB2CA2">
        <w:t>t</w:t>
      </w:r>
      <w:r w:rsidR="008F1201" w:rsidRPr="00BC645A">
        <w:t>erritories</w:t>
      </w:r>
      <w:r w:rsidR="00DB7FD6">
        <w:t>;</w:t>
      </w:r>
      <w:r w:rsidR="008F1201">
        <w:t xml:space="preserve"> t</w:t>
      </w:r>
      <w:r w:rsidR="008F1201" w:rsidRPr="00BC645A">
        <w:t xml:space="preserve">he funding sources for </w:t>
      </w:r>
      <w:r w:rsidRPr="00FD37D3">
        <w:t>CFTR</w:t>
      </w:r>
      <w:r w:rsidR="008F1201" w:rsidRPr="00BC645A">
        <w:t xml:space="preserve"> </w:t>
      </w:r>
      <w:r w:rsidR="008F1201">
        <w:t>mutation</w:t>
      </w:r>
      <w:r w:rsidR="008F1201" w:rsidRPr="00BC645A">
        <w:t xml:space="preserve"> tests</w:t>
      </w:r>
      <w:r w:rsidR="008F1201">
        <w:t xml:space="preserve"> performed in 2011</w:t>
      </w:r>
      <w:r w:rsidR="008F1201" w:rsidRPr="00BC645A">
        <w:t xml:space="preserve"> in Australia are shown in</w:t>
      </w:r>
      <w:r w:rsidR="004F14F9">
        <w:t xml:space="preserve"> </w:t>
      </w:r>
      <w:r w:rsidR="004F14F9">
        <w:fldChar w:fldCharType="begin"/>
      </w:r>
      <w:r w:rsidR="004F14F9">
        <w:instrText xml:space="preserve"> REF _Ref412621284 \h </w:instrText>
      </w:r>
      <w:r w:rsidR="004F14F9">
        <w:fldChar w:fldCharType="separate"/>
      </w:r>
      <w:r w:rsidR="00BB0E3E" w:rsidRPr="00BC645A">
        <w:t xml:space="preserve">Table </w:t>
      </w:r>
      <w:r w:rsidR="00BB0E3E">
        <w:rPr>
          <w:noProof/>
        </w:rPr>
        <w:t>8</w:t>
      </w:r>
      <w:r w:rsidR="004F14F9">
        <w:fldChar w:fldCharType="end"/>
      </w:r>
      <w:r w:rsidR="008F1201" w:rsidRPr="005216F9">
        <w:rPr>
          <w:rStyle w:val="FootnoteReference"/>
        </w:rPr>
        <w:footnoteReference w:id="7"/>
      </w:r>
      <w:r w:rsidR="008F1201" w:rsidRPr="005216F9">
        <w:t>.</w:t>
      </w:r>
    </w:p>
    <w:p w14:paraId="15383896" w14:textId="2FB55CFE" w:rsidR="008F1201" w:rsidRPr="00BC645A" w:rsidRDefault="008F1201" w:rsidP="008F1201">
      <w:pPr>
        <w:pStyle w:val="Caption"/>
        <w:keepNext w:val="0"/>
      </w:pPr>
      <w:bookmarkStart w:id="136" w:name="_Ref412621284"/>
      <w:bookmarkStart w:id="137" w:name="_Ref412621859"/>
      <w:bookmarkStart w:id="138" w:name="_Toc418179405"/>
      <w:r w:rsidRPr="00BC645A">
        <w:t xml:space="preserve">Table </w:t>
      </w:r>
      <w:fldSimple w:instr=" SEQ Table \* ARABIC ">
        <w:r w:rsidR="00BB0E3E">
          <w:rPr>
            <w:noProof/>
          </w:rPr>
          <w:t>8</w:t>
        </w:r>
      </w:fldSimple>
      <w:bookmarkEnd w:id="136"/>
      <w:r w:rsidRPr="00BC645A">
        <w:t xml:space="preserve"> </w:t>
      </w:r>
      <w:r>
        <w:tab/>
      </w:r>
      <w:r w:rsidRPr="00BC645A">
        <w:t xml:space="preserve">Funding sources of </w:t>
      </w:r>
      <w:r w:rsidR="00FD37D3" w:rsidRPr="00FD37D3">
        <w:t>CFTR</w:t>
      </w:r>
      <w:r w:rsidRPr="00BC645A">
        <w:t xml:space="preserve"> </w:t>
      </w:r>
      <w:r>
        <w:t xml:space="preserve">mutation </w:t>
      </w:r>
      <w:r w:rsidRPr="00BC645A">
        <w:t>tests performed in 2011</w:t>
      </w:r>
      <w:bookmarkEnd w:id="137"/>
      <w:bookmarkEnd w:id="138"/>
    </w:p>
    <w:tbl>
      <w:tblPr>
        <w:tblStyle w:val="TableGrid1"/>
        <w:tblW w:w="5420" w:type="dxa"/>
        <w:tblLook w:val="04A0" w:firstRow="1" w:lastRow="0" w:firstColumn="1" w:lastColumn="0" w:noHBand="0" w:noVBand="1"/>
        <w:tblCaption w:val="Funding sources of CFTR mutation tests performed in 2011"/>
        <w:tblDescription w:val="Funding sources of CFTR mutation tests performed in 2011"/>
      </w:tblPr>
      <w:tblGrid>
        <w:gridCol w:w="2330"/>
        <w:gridCol w:w="1670"/>
        <w:gridCol w:w="1420"/>
      </w:tblGrid>
      <w:tr w:rsidR="008F1201" w:rsidRPr="00310AD1" w14:paraId="605A9A46" w14:textId="77777777" w:rsidTr="00123935">
        <w:trPr>
          <w:cnfStyle w:val="100000000000" w:firstRow="1" w:lastRow="0" w:firstColumn="0" w:lastColumn="0" w:oddVBand="0" w:evenVBand="0" w:oddHBand="0" w:evenHBand="0" w:firstRowFirstColumn="0" w:firstRowLastColumn="0" w:lastRowFirstColumn="0" w:lastRowLastColumn="0"/>
          <w:trHeight w:val="289"/>
          <w:tblHeader/>
        </w:trPr>
        <w:tc>
          <w:tcPr>
            <w:tcW w:w="2330" w:type="dxa"/>
            <w:noWrap/>
            <w:hideMark/>
          </w:tcPr>
          <w:p w14:paraId="28DF8C30" w14:textId="77777777" w:rsidR="008F1201" w:rsidRPr="00310AD1" w:rsidRDefault="008F1201" w:rsidP="00123935">
            <w:pPr>
              <w:pStyle w:val="Caption"/>
              <w:keepNext w:val="0"/>
            </w:pPr>
            <w:r w:rsidRPr="00310AD1">
              <w:t>FUNDING SOURCES</w:t>
            </w:r>
          </w:p>
        </w:tc>
        <w:tc>
          <w:tcPr>
            <w:tcW w:w="1670" w:type="dxa"/>
            <w:noWrap/>
            <w:hideMark/>
          </w:tcPr>
          <w:p w14:paraId="2311E209" w14:textId="77777777" w:rsidR="008F1201" w:rsidRPr="00310AD1" w:rsidRDefault="008F1201" w:rsidP="0085355F">
            <w:pPr>
              <w:pStyle w:val="Caption"/>
              <w:keepNext w:val="0"/>
              <w:jc w:val="center"/>
            </w:pPr>
            <w:r w:rsidRPr="00310AD1">
              <w:t>Number of tests</w:t>
            </w:r>
          </w:p>
        </w:tc>
        <w:tc>
          <w:tcPr>
            <w:tcW w:w="1420" w:type="dxa"/>
            <w:noWrap/>
            <w:hideMark/>
          </w:tcPr>
          <w:p w14:paraId="00192986" w14:textId="77777777" w:rsidR="008F1201" w:rsidRPr="00310AD1" w:rsidRDefault="008F1201" w:rsidP="0085355F">
            <w:pPr>
              <w:pStyle w:val="Caption"/>
              <w:keepNext w:val="0"/>
              <w:jc w:val="center"/>
            </w:pPr>
            <w:r w:rsidRPr="00310AD1">
              <w:t>% breakdown</w:t>
            </w:r>
          </w:p>
        </w:tc>
      </w:tr>
      <w:tr w:rsidR="008F1201" w:rsidRPr="00310AD1" w14:paraId="1EC20B78" w14:textId="77777777" w:rsidTr="00123935">
        <w:trPr>
          <w:trHeight w:val="289"/>
        </w:trPr>
        <w:tc>
          <w:tcPr>
            <w:tcW w:w="2330" w:type="dxa"/>
            <w:noWrap/>
            <w:hideMark/>
          </w:tcPr>
          <w:p w14:paraId="0EDD49CC" w14:textId="77777777" w:rsidR="008F1201" w:rsidRPr="00310AD1" w:rsidRDefault="008F1201" w:rsidP="00123935">
            <w:pPr>
              <w:pStyle w:val="Tabletext1"/>
            </w:pPr>
            <w:r w:rsidRPr="00310AD1">
              <w:t>Federal</w:t>
            </w:r>
          </w:p>
        </w:tc>
        <w:tc>
          <w:tcPr>
            <w:tcW w:w="1670" w:type="dxa"/>
            <w:noWrap/>
            <w:hideMark/>
          </w:tcPr>
          <w:p w14:paraId="5A64DA78" w14:textId="77777777" w:rsidR="008F1201" w:rsidRPr="00310AD1" w:rsidRDefault="008F1201" w:rsidP="0085355F">
            <w:pPr>
              <w:pStyle w:val="Tabletext1"/>
              <w:ind w:right="523"/>
              <w:jc w:val="right"/>
            </w:pPr>
            <w:r w:rsidRPr="00310AD1">
              <w:t>0</w:t>
            </w:r>
          </w:p>
        </w:tc>
        <w:tc>
          <w:tcPr>
            <w:tcW w:w="1420" w:type="dxa"/>
            <w:noWrap/>
            <w:hideMark/>
          </w:tcPr>
          <w:p w14:paraId="6A1E12BF" w14:textId="77777777" w:rsidR="008F1201" w:rsidRPr="00310AD1" w:rsidRDefault="008F1201" w:rsidP="0085355F">
            <w:pPr>
              <w:pStyle w:val="Tabletext1"/>
              <w:ind w:right="523"/>
              <w:jc w:val="right"/>
            </w:pPr>
            <w:r w:rsidRPr="00310AD1">
              <w:t>0%</w:t>
            </w:r>
          </w:p>
        </w:tc>
      </w:tr>
      <w:tr w:rsidR="008F1201" w:rsidRPr="00310AD1" w14:paraId="1961D1A4" w14:textId="77777777" w:rsidTr="00123935">
        <w:trPr>
          <w:trHeight w:val="289"/>
        </w:trPr>
        <w:tc>
          <w:tcPr>
            <w:tcW w:w="2330" w:type="dxa"/>
            <w:noWrap/>
            <w:hideMark/>
          </w:tcPr>
          <w:p w14:paraId="153ECB85" w14:textId="06F196E2" w:rsidR="008F1201" w:rsidRPr="00310AD1" w:rsidRDefault="008F1201" w:rsidP="00123935">
            <w:pPr>
              <w:pStyle w:val="Tabletext1"/>
            </w:pPr>
            <w:r w:rsidRPr="00310AD1">
              <w:t>State</w:t>
            </w:r>
            <w:r w:rsidR="00DB7FD6">
              <w:t>/territory</w:t>
            </w:r>
          </w:p>
        </w:tc>
        <w:tc>
          <w:tcPr>
            <w:tcW w:w="1670" w:type="dxa"/>
            <w:noWrap/>
            <w:hideMark/>
          </w:tcPr>
          <w:p w14:paraId="25126763" w14:textId="6508BFA0" w:rsidR="008F1201" w:rsidRPr="00310AD1" w:rsidRDefault="008F1201" w:rsidP="0085355F">
            <w:pPr>
              <w:pStyle w:val="Tabletext1"/>
              <w:ind w:right="523"/>
              <w:jc w:val="right"/>
            </w:pPr>
            <w:r w:rsidRPr="00310AD1">
              <w:t>6</w:t>
            </w:r>
            <w:r w:rsidR="00BB7E06">
              <w:t>,</w:t>
            </w:r>
            <w:r w:rsidRPr="00310AD1">
              <w:t>609</w:t>
            </w:r>
          </w:p>
        </w:tc>
        <w:tc>
          <w:tcPr>
            <w:tcW w:w="1420" w:type="dxa"/>
            <w:noWrap/>
            <w:hideMark/>
          </w:tcPr>
          <w:p w14:paraId="4E151209" w14:textId="77777777" w:rsidR="008F1201" w:rsidRPr="00310AD1" w:rsidRDefault="008F1201" w:rsidP="0085355F">
            <w:pPr>
              <w:pStyle w:val="Tabletext1"/>
              <w:ind w:right="523"/>
              <w:jc w:val="right"/>
            </w:pPr>
            <w:r w:rsidRPr="00310AD1">
              <w:t>43%</w:t>
            </w:r>
          </w:p>
        </w:tc>
      </w:tr>
      <w:tr w:rsidR="008F1201" w:rsidRPr="00310AD1" w14:paraId="15DC79AA" w14:textId="77777777" w:rsidTr="00123935">
        <w:trPr>
          <w:trHeight w:val="289"/>
        </w:trPr>
        <w:tc>
          <w:tcPr>
            <w:tcW w:w="2330" w:type="dxa"/>
            <w:noWrap/>
            <w:hideMark/>
          </w:tcPr>
          <w:p w14:paraId="58B44968" w14:textId="43274819" w:rsidR="008F1201" w:rsidRPr="00310AD1" w:rsidRDefault="008F1201" w:rsidP="00123935">
            <w:pPr>
              <w:pStyle w:val="Tabletext1"/>
            </w:pPr>
            <w:r w:rsidRPr="00310AD1">
              <w:t>Grant/</w:t>
            </w:r>
            <w:r w:rsidR="00DB7FD6">
              <w:t>r</w:t>
            </w:r>
            <w:r w:rsidRPr="00310AD1">
              <w:t>esearch</w:t>
            </w:r>
          </w:p>
        </w:tc>
        <w:tc>
          <w:tcPr>
            <w:tcW w:w="1670" w:type="dxa"/>
            <w:noWrap/>
            <w:hideMark/>
          </w:tcPr>
          <w:p w14:paraId="177109E7" w14:textId="77777777" w:rsidR="008F1201" w:rsidRPr="00310AD1" w:rsidRDefault="008F1201" w:rsidP="0085355F">
            <w:pPr>
              <w:pStyle w:val="Tabletext1"/>
              <w:ind w:right="523"/>
              <w:jc w:val="right"/>
            </w:pPr>
            <w:r w:rsidRPr="00310AD1">
              <w:t>0</w:t>
            </w:r>
          </w:p>
        </w:tc>
        <w:tc>
          <w:tcPr>
            <w:tcW w:w="1420" w:type="dxa"/>
            <w:noWrap/>
            <w:hideMark/>
          </w:tcPr>
          <w:p w14:paraId="6695A4B4" w14:textId="77777777" w:rsidR="008F1201" w:rsidRPr="00310AD1" w:rsidRDefault="008F1201" w:rsidP="0085355F">
            <w:pPr>
              <w:pStyle w:val="Tabletext1"/>
              <w:ind w:right="523"/>
              <w:jc w:val="right"/>
            </w:pPr>
            <w:r w:rsidRPr="00310AD1">
              <w:t>0%</w:t>
            </w:r>
          </w:p>
        </w:tc>
      </w:tr>
      <w:tr w:rsidR="008F1201" w:rsidRPr="00310AD1" w14:paraId="123C47A4" w14:textId="77777777" w:rsidTr="00123935">
        <w:trPr>
          <w:trHeight w:val="289"/>
        </w:trPr>
        <w:tc>
          <w:tcPr>
            <w:tcW w:w="2330" w:type="dxa"/>
            <w:noWrap/>
            <w:hideMark/>
          </w:tcPr>
          <w:p w14:paraId="4634344B" w14:textId="77777777" w:rsidR="008F1201" w:rsidRPr="00310AD1" w:rsidRDefault="008F1201" w:rsidP="00123935">
            <w:pPr>
              <w:pStyle w:val="Tabletext1"/>
            </w:pPr>
            <w:r w:rsidRPr="00310AD1">
              <w:t>Patient</w:t>
            </w:r>
          </w:p>
        </w:tc>
        <w:tc>
          <w:tcPr>
            <w:tcW w:w="1670" w:type="dxa"/>
            <w:noWrap/>
            <w:hideMark/>
          </w:tcPr>
          <w:p w14:paraId="5BC6EA4D" w14:textId="1972CA16" w:rsidR="008F1201" w:rsidRPr="00310AD1" w:rsidRDefault="008F1201" w:rsidP="0085355F">
            <w:pPr>
              <w:pStyle w:val="Tabletext1"/>
              <w:ind w:right="523"/>
              <w:jc w:val="right"/>
            </w:pPr>
            <w:r w:rsidRPr="00310AD1">
              <w:t>7</w:t>
            </w:r>
            <w:r w:rsidR="00BB7E06">
              <w:t>,</w:t>
            </w:r>
            <w:r w:rsidRPr="00310AD1">
              <w:t>879</w:t>
            </w:r>
          </w:p>
        </w:tc>
        <w:tc>
          <w:tcPr>
            <w:tcW w:w="1420" w:type="dxa"/>
            <w:noWrap/>
            <w:hideMark/>
          </w:tcPr>
          <w:p w14:paraId="791769A1" w14:textId="77777777" w:rsidR="008F1201" w:rsidRPr="00310AD1" w:rsidRDefault="008F1201" w:rsidP="0085355F">
            <w:pPr>
              <w:pStyle w:val="Tabletext1"/>
              <w:ind w:right="523"/>
              <w:jc w:val="right"/>
            </w:pPr>
            <w:r w:rsidRPr="00310AD1">
              <w:t>51%</w:t>
            </w:r>
          </w:p>
        </w:tc>
      </w:tr>
      <w:tr w:rsidR="008F1201" w:rsidRPr="00310AD1" w14:paraId="19D59B00" w14:textId="77777777" w:rsidTr="00123935">
        <w:trPr>
          <w:trHeight w:val="289"/>
        </w:trPr>
        <w:tc>
          <w:tcPr>
            <w:tcW w:w="2330" w:type="dxa"/>
            <w:noWrap/>
            <w:hideMark/>
          </w:tcPr>
          <w:p w14:paraId="2D9525B0" w14:textId="77777777" w:rsidR="008F1201" w:rsidRPr="00310AD1" w:rsidRDefault="008F1201" w:rsidP="00123935">
            <w:pPr>
              <w:pStyle w:val="Tabletext1"/>
            </w:pPr>
            <w:r w:rsidRPr="00310AD1">
              <w:t>Not provided</w:t>
            </w:r>
          </w:p>
        </w:tc>
        <w:tc>
          <w:tcPr>
            <w:tcW w:w="1670" w:type="dxa"/>
            <w:noWrap/>
            <w:hideMark/>
          </w:tcPr>
          <w:p w14:paraId="4DD392E0" w14:textId="77777777" w:rsidR="008F1201" w:rsidRPr="00310AD1" w:rsidRDefault="008F1201" w:rsidP="0085355F">
            <w:pPr>
              <w:pStyle w:val="Tabletext1"/>
              <w:ind w:right="523"/>
              <w:jc w:val="right"/>
            </w:pPr>
            <w:r w:rsidRPr="00310AD1">
              <w:t>874</w:t>
            </w:r>
          </w:p>
        </w:tc>
        <w:tc>
          <w:tcPr>
            <w:tcW w:w="1420" w:type="dxa"/>
            <w:noWrap/>
            <w:hideMark/>
          </w:tcPr>
          <w:p w14:paraId="48B66F38" w14:textId="77777777" w:rsidR="008F1201" w:rsidRPr="00310AD1" w:rsidRDefault="008F1201" w:rsidP="0085355F">
            <w:pPr>
              <w:pStyle w:val="Tabletext1"/>
              <w:ind w:right="523"/>
              <w:jc w:val="right"/>
            </w:pPr>
            <w:r w:rsidRPr="00310AD1">
              <w:t>6%</w:t>
            </w:r>
          </w:p>
        </w:tc>
      </w:tr>
      <w:tr w:rsidR="008F1201" w:rsidRPr="00310AD1" w14:paraId="2EC7F47C" w14:textId="77777777" w:rsidTr="00123935">
        <w:trPr>
          <w:trHeight w:val="300"/>
        </w:trPr>
        <w:tc>
          <w:tcPr>
            <w:tcW w:w="2330" w:type="dxa"/>
            <w:noWrap/>
            <w:hideMark/>
          </w:tcPr>
          <w:p w14:paraId="32A818CE" w14:textId="77777777" w:rsidR="008F1201" w:rsidRPr="00310AD1" w:rsidRDefault="008F1201" w:rsidP="00123935">
            <w:pPr>
              <w:pStyle w:val="Tabletext1"/>
            </w:pPr>
            <w:r w:rsidRPr="00310AD1">
              <w:t>TOTAL tests performed</w:t>
            </w:r>
          </w:p>
        </w:tc>
        <w:tc>
          <w:tcPr>
            <w:tcW w:w="1670" w:type="dxa"/>
            <w:noWrap/>
            <w:hideMark/>
          </w:tcPr>
          <w:p w14:paraId="75CC6D73" w14:textId="5EEE0210" w:rsidR="008F1201" w:rsidRPr="00310AD1" w:rsidRDefault="008F1201" w:rsidP="0085355F">
            <w:pPr>
              <w:pStyle w:val="Tabletext1"/>
              <w:ind w:right="523"/>
              <w:jc w:val="right"/>
            </w:pPr>
            <w:r w:rsidRPr="00310AD1">
              <w:t>15</w:t>
            </w:r>
            <w:r w:rsidR="00BB7E06">
              <w:t>,</w:t>
            </w:r>
            <w:r w:rsidRPr="00310AD1">
              <w:t>362</w:t>
            </w:r>
          </w:p>
        </w:tc>
        <w:tc>
          <w:tcPr>
            <w:tcW w:w="1420" w:type="dxa"/>
            <w:noWrap/>
            <w:hideMark/>
          </w:tcPr>
          <w:p w14:paraId="3E8FD415" w14:textId="77777777" w:rsidR="008F1201" w:rsidRPr="00310AD1" w:rsidRDefault="008F1201" w:rsidP="0085355F">
            <w:pPr>
              <w:pStyle w:val="Tabletext1"/>
              <w:ind w:right="523"/>
              <w:jc w:val="right"/>
            </w:pPr>
            <w:r w:rsidRPr="00310AD1">
              <w:t>100%</w:t>
            </w:r>
          </w:p>
        </w:tc>
      </w:tr>
    </w:tbl>
    <w:p w14:paraId="3DBA13FE" w14:textId="0401ED32" w:rsidR="009B7377" w:rsidRDefault="009B7377" w:rsidP="0085355F">
      <w:pPr>
        <w:pStyle w:val="Tablenotes0"/>
      </w:pPr>
      <w:bookmarkStart w:id="139" w:name="_Toc418179886"/>
      <w:r>
        <w:t xml:space="preserve">CFTR = </w:t>
      </w:r>
      <w:r w:rsidRPr="00C32F92">
        <w:t>cystic fibrosis transmembrane conductance regulator</w:t>
      </w:r>
    </w:p>
    <w:p w14:paraId="47FAFE21" w14:textId="56D2DE14" w:rsidR="00BD7C21" w:rsidRDefault="00E7704D" w:rsidP="0085355F">
      <w:pPr>
        <w:pStyle w:val="Heading2"/>
        <w:tabs>
          <w:tab w:val="left" w:pos="1134"/>
        </w:tabs>
      </w:pPr>
      <w:r>
        <w:t>A.4</w:t>
      </w:r>
      <w:r w:rsidR="00291B13">
        <w:t>.</w:t>
      </w:r>
      <w:r w:rsidR="008F57E8">
        <w:tab/>
      </w:r>
      <w:r w:rsidR="005602D3" w:rsidRPr="00183E4D">
        <w:t>Comparator</w:t>
      </w:r>
      <w:bookmarkEnd w:id="132"/>
      <w:bookmarkEnd w:id="133"/>
      <w:r w:rsidR="00106705" w:rsidRPr="00183E4D">
        <w:t xml:space="preserve"> D</w:t>
      </w:r>
      <w:r w:rsidR="005602D3" w:rsidRPr="00183E4D">
        <w:t>etails</w:t>
      </w:r>
      <w:bookmarkEnd w:id="139"/>
    </w:p>
    <w:p w14:paraId="02F423F7" w14:textId="4BFEE4C4" w:rsidR="001A4444" w:rsidRDefault="00BD7C21" w:rsidP="001A4444">
      <w:r>
        <w:t xml:space="preserve">A full assessment of the safety and effectiveness of </w:t>
      </w:r>
      <w:r w:rsidR="00FD37D3" w:rsidRPr="00FD37D3">
        <w:t>CFTR</w:t>
      </w:r>
      <w:r>
        <w:t xml:space="preserve"> mutation testing was only conducted for </w:t>
      </w:r>
      <w:r w:rsidR="001A4444">
        <w:t>one population group (</w:t>
      </w:r>
      <w:r w:rsidR="00213DB2">
        <w:t>g</w:t>
      </w:r>
      <w:r w:rsidR="001A4444">
        <w:t>roup 2: prenatal diagnosis)</w:t>
      </w:r>
      <w:r w:rsidR="00213DB2">
        <w:t>;</w:t>
      </w:r>
      <w:r w:rsidR="001A4444">
        <w:t xml:space="preserve"> see section</w:t>
      </w:r>
      <w:r w:rsidR="008A5233">
        <w:t xml:space="preserve"> </w:t>
      </w:r>
      <w:r w:rsidR="0060206B">
        <w:t>A.8</w:t>
      </w:r>
      <w:r w:rsidR="00DF5916">
        <w:t xml:space="preserve"> </w:t>
      </w:r>
      <w:r w:rsidR="001A4444">
        <w:t xml:space="preserve">for the approach taken for the different populations. </w:t>
      </w:r>
    </w:p>
    <w:p w14:paraId="6B146463" w14:textId="0D50F928" w:rsidR="001A4444" w:rsidRDefault="001A4444" w:rsidP="001A4444">
      <w:r w:rsidRPr="008210FE">
        <w:t xml:space="preserve">Comparators are normally chosen based on what the proposed technology is likely to replace. </w:t>
      </w:r>
      <w:r w:rsidR="00FD37D3" w:rsidRPr="00FD37D3">
        <w:t>CFTR</w:t>
      </w:r>
      <w:r>
        <w:t xml:space="preserve"> mutation testing in the parents of a fetus at risk of having CF would be self-funded, and testing in fetuses where the parents are both carriers is currently standard practice and would be funded by (some) </w:t>
      </w:r>
      <w:r w:rsidR="00D920F3">
        <w:t>s</w:t>
      </w:r>
      <w:r>
        <w:t xml:space="preserve">tates and/or </w:t>
      </w:r>
      <w:r w:rsidR="00D920F3">
        <w:t>t</w:t>
      </w:r>
      <w:r>
        <w:t xml:space="preserve">erritories. However, there is a sizeable proportion of the population who would be receiving their prenatal care in the private health system, and would currently be paying for the fetal </w:t>
      </w:r>
      <w:r w:rsidR="00FD37D3" w:rsidRPr="00FD37D3">
        <w:t>CFTR</w:t>
      </w:r>
      <w:r>
        <w:t xml:space="preserve"> mutation tests themselves. Even though most parents would decide to pay for (parental) </w:t>
      </w:r>
      <w:r w:rsidR="00FD37D3" w:rsidRPr="00FD37D3">
        <w:t>CFTR</w:t>
      </w:r>
      <w:r>
        <w:t xml:space="preserve"> mutation</w:t>
      </w:r>
      <w:r w:rsidR="000169F7">
        <w:t xml:space="preserve"> testing</w:t>
      </w:r>
      <w:r>
        <w:t xml:space="preserve">, the comparator would be ‘no prenatal genetic testing’ and diagnosis of the child after birth. </w:t>
      </w:r>
    </w:p>
    <w:p w14:paraId="085C29E0" w14:textId="76732A00" w:rsidR="005602D3" w:rsidRDefault="00E7704D" w:rsidP="0085355F">
      <w:pPr>
        <w:pStyle w:val="Heading2"/>
        <w:tabs>
          <w:tab w:val="left" w:pos="1134"/>
        </w:tabs>
      </w:pPr>
      <w:bookmarkStart w:id="140" w:name="_Toc381796446"/>
      <w:bookmarkStart w:id="141" w:name="_Toc418179887"/>
      <w:r>
        <w:lastRenderedPageBreak/>
        <w:t>A.5</w:t>
      </w:r>
      <w:r w:rsidR="00291B13">
        <w:t>.</w:t>
      </w:r>
      <w:r w:rsidR="0051730B">
        <w:tab/>
      </w:r>
      <w:r w:rsidR="005602D3" w:rsidRPr="00183E4D">
        <w:t xml:space="preserve">Clinical </w:t>
      </w:r>
      <w:bookmarkEnd w:id="140"/>
      <w:r w:rsidR="0083477B" w:rsidRPr="00183E4D">
        <w:t xml:space="preserve">Use of the </w:t>
      </w:r>
      <w:r w:rsidR="0071212A">
        <w:t>Test</w:t>
      </w:r>
      <w:bookmarkEnd w:id="141"/>
      <w:r w:rsidR="005602D3" w:rsidRPr="00183E4D">
        <w:t xml:space="preserve"> </w:t>
      </w:r>
    </w:p>
    <w:p w14:paraId="52BF1CD0" w14:textId="5711FB74" w:rsidR="00F934B9" w:rsidRPr="00F934B9" w:rsidRDefault="00F934B9" w:rsidP="00F94D01">
      <w:r>
        <w:t xml:space="preserve">How the tests are used in the three different population groups </w:t>
      </w:r>
      <w:r w:rsidR="00410B4E">
        <w:t xml:space="preserve">is </w:t>
      </w:r>
      <w:r>
        <w:t xml:space="preserve">shown in the clinical management </w:t>
      </w:r>
      <w:r w:rsidRPr="000F4655">
        <w:t>algorithms in</w:t>
      </w:r>
      <w:r w:rsidR="00175788">
        <w:t xml:space="preserve"> </w:t>
      </w:r>
      <w:r w:rsidR="004E44EC">
        <w:fldChar w:fldCharType="begin"/>
      </w:r>
      <w:r w:rsidR="004E44EC">
        <w:instrText xml:space="preserve"> REF _Ref422323338 \h </w:instrText>
      </w:r>
      <w:r w:rsidR="004E44EC">
        <w:fldChar w:fldCharType="separate"/>
      </w:r>
      <w:r w:rsidR="00BB0E3E" w:rsidRPr="00025847">
        <w:t xml:space="preserve">Figure </w:t>
      </w:r>
      <w:r w:rsidR="00BB0E3E">
        <w:rPr>
          <w:noProof/>
        </w:rPr>
        <w:t>2</w:t>
      </w:r>
      <w:r w:rsidR="004E44EC">
        <w:fldChar w:fldCharType="end"/>
      </w:r>
      <w:r w:rsidR="00175788">
        <w:t xml:space="preserve">, </w:t>
      </w:r>
      <w:r w:rsidR="004E44EC">
        <w:fldChar w:fldCharType="begin"/>
      </w:r>
      <w:r w:rsidR="004E44EC">
        <w:instrText xml:space="preserve"> REF _Ref422323388 \h </w:instrText>
      </w:r>
      <w:r w:rsidR="004E44EC">
        <w:fldChar w:fldCharType="separate"/>
      </w:r>
      <w:r w:rsidR="00BB0E3E" w:rsidRPr="006B3D51">
        <w:t xml:space="preserve">Figure </w:t>
      </w:r>
      <w:r w:rsidR="00BB0E3E">
        <w:rPr>
          <w:noProof/>
        </w:rPr>
        <w:t>3</w:t>
      </w:r>
      <w:r w:rsidR="004E44EC">
        <w:fldChar w:fldCharType="end"/>
      </w:r>
      <w:r w:rsidR="00175788">
        <w:t xml:space="preserve"> and </w:t>
      </w:r>
      <w:r w:rsidR="004E44EC">
        <w:fldChar w:fldCharType="begin"/>
      </w:r>
      <w:r w:rsidR="004E44EC">
        <w:instrText xml:space="preserve"> REF _Ref422323431 \h </w:instrText>
      </w:r>
      <w:r w:rsidR="004E44EC">
        <w:fldChar w:fldCharType="separate"/>
      </w:r>
      <w:r w:rsidR="00BB0E3E" w:rsidRPr="005175FA">
        <w:t xml:space="preserve">Figure </w:t>
      </w:r>
      <w:r w:rsidR="00BB0E3E">
        <w:rPr>
          <w:noProof/>
        </w:rPr>
        <w:t>4</w:t>
      </w:r>
      <w:r w:rsidR="004E44EC">
        <w:fldChar w:fldCharType="end"/>
      </w:r>
      <w:r w:rsidRPr="000F4655">
        <w:t>. The</w:t>
      </w:r>
      <w:r>
        <w:t xml:space="preserve"> blue boxes show the pathway related to intervention (which is current clinical practice), </w:t>
      </w:r>
      <w:r w:rsidR="00085716">
        <w:t>and</w:t>
      </w:r>
      <w:r>
        <w:t xml:space="preserve"> the grey boxes show clinical practice in the absence of the intervention, which is the comparator pathway or the historical clinical pathway.</w:t>
      </w:r>
    </w:p>
    <w:p w14:paraId="08C13860" w14:textId="2A69D9F7" w:rsidR="002E5149" w:rsidRDefault="00E7704D" w:rsidP="005354F8">
      <w:pPr>
        <w:pStyle w:val="Heading3"/>
      </w:pPr>
      <w:bookmarkStart w:id="142" w:name="_Toc381796454"/>
      <w:bookmarkStart w:id="143" w:name="_Toc395200766"/>
      <w:bookmarkStart w:id="144" w:name="_Toc418179888"/>
      <w:r>
        <w:lastRenderedPageBreak/>
        <w:t>A.5</w:t>
      </w:r>
      <w:r w:rsidR="00291B13">
        <w:t>.1.</w:t>
      </w:r>
      <w:r w:rsidR="0051730B">
        <w:tab/>
      </w:r>
      <w:r w:rsidR="002E5149" w:rsidRPr="00183E4D">
        <w:t xml:space="preserve">Clinical </w:t>
      </w:r>
      <w:bookmarkEnd w:id="142"/>
      <w:r w:rsidR="000E3D82" w:rsidRPr="00183E4D">
        <w:t>management algorithm</w:t>
      </w:r>
      <w:bookmarkEnd w:id="143"/>
      <w:r w:rsidR="0040509F">
        <w:t>s</w:t>
      </w:r>
      <w:bookmarkEnd w:id="144"/>
    </w:p>
    <w:p w14:paraId="5F002B7C" w14:textId="77777777" w:rsidR="001912B4" w:rsidRDefault="005B5815" w:rsidP="00A5437B">
      <w:r>
        <w:rPr>
          <w:noProof/>
        </w:rPr>
        <w:drawing>
          <wp:inline distT="0" distB="0" distL="0" distR="0" wp14:anchorId="5122C87C" wp14:editId="051E47B8">
            <wp:extent cx="5734050" cy="7953375"/>
            <wp:effectExtent l="0" t="0" r="0" b="9525"/>
            <wp:docPr id="9" name="Picture 9" descr="Clinical pathway for use of a genetic CFTR test to identify mutations in people with a high clinical suspicion of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management algorithms 1216-15June_Edits-RM-Figure2_Page_1.tiff"/>
                    <pic:cNvPicPr/>
                  </pic:nvPicPr>
                  <pic:blipFill rotWithShape="1">
                    <a:blip r:embed="rId27">
                      <a:extLst>
                        <a:ext uri="{28A0092B-C50C-407E-A947-70E740481C1C}">
                          <a14:useLocalDpi xmlns:a14="http://schemas.microsoft.com/office/drawing/2010/main" val="0"/>
                        </a:ext>
                      </a:extLst>
                    </a:blip>
                    <a:srcRect l="3069" r="2720" b="3107"/>
                    <a:stretch/>
                  </pic:blipFill>
                  <pic:spPr bwMode="auto">
                    <a:xfrm>
                      <a:off x="0" y="0"/>
                      <a:ext cx="5740369" cy="7962140"/>
                    </a:xfrm>
                    <a:prstGeom prst="rect">
                      <a:avLst/>
                    </a:prstGeom>
                    <a:ln>
                      <a:noFill/>
                    </a:ln>
                    <a:extLst>
                      <a:ext uri="{53640926-AAD7-44D8-BBD7-CCE9431645EC}">
                        <a14:shadowObscured xmlns:a14="http://schemas.microsoft.com/office/drawing/2010/main"/>
                      </a:ext>
                    </a:extLst>
                  </pic:spPr>
                </pic:pic>
              </a:graphicData>
            </a:graphic>
          </wp:inline>
        </w:drawing>
      </w:r>
    </w:p>
    <w:p w14:paraId="60B0F40E" w14:textId="24910CB0" w:rsidR="009C0695" w:rsidRPr="00025847" w:rsidRDefault="009C0695" w:rsidP="00A5437B">
      <w:pPr>
        <w:pStyle w:val="Caption"/>
        <w:keepNext w:val="0"/>
        <w:rPr>
          <w:rFonts w:asciiTheme="minorHAnsi" w:hAnsiTheme="minorHAnsi"/>
          <w:highlight w:val="yellow"/>
        </w:rPr>
      </w:pPr>
      <w:bookmarkStart w:id="145" w:name="_Ref422323338"/>
      <w:bookmarkStart w:id="146" w:name="_Ref422323359"/>
      <w:bookmarkStart w:id="147" w:name="_Toc423525557"/>
      <w:r w:rsidRPr="00025847">
        <w:t xml:space="preserve">Figure </w:t>
      </w:r>
      <w:fldSimple w:instr=" SEQ Figure \* ARABIC ">
        <w:r w:rsidR="00BB0E3E">
          <w:rPr>
            <w:noProof/>
          </w:rPr>
          <w:t>2</w:t>
        </w:r>
      </w:fldSimple>
      <w:bookmarkEnd w:id="145"/>
      <w:r>
        <w:tab/>
      </w:r>
      <w:r w:rsidRPr="00EF1751">
        <w:t xml:space="preserve">Clinical pathway for use of a genetic </w:t>
      </w:r>
      <w:r w:rsidRPr="00FD37D3">
        <w:t>CFTR</w:t>
      </w:r>
      <w:r w:rsidRPr="00EF1751">
        <w:t xml:space="preserve"> test to identify mutations </w:t>
      </w:r>
      <w:r>
        <w:t xml:space="preserve">in </w:t>
      </w:r>
      <w:r w:rsidRPr="00EF1751">
        <w:t>people with a high clinical suspicion of CF</w:t>
      </w:r>
      <w:bookmarkEnd w:id="146"/>
      <w:bookmarkEnd w:id="147"/>
    </w:p>
    <w:p w14:paraId="6BA09134" w14:textId="77777777" w:rsidR="001912B4" w:rsidRDefault="00756DF9" w:rsidP="00A5437B">
      <w:bookmarkStart w:id="148" w:name="_Ref410976398"/>
      <w:bookmarkStart w:id="149" w:name="_Ref412548467"/>
      <w:r>
        <w:rPr>
          <w:noProof/>
        </w:rPr>
        <w:lastRenderedPageBreak/>
        <w:drawing>
          <wp:inline distT="0" distB="0" distL="0" distR="0" wp14:anchorId="443C3617" wp14:editId="2599B727">
            <wp:extent cx="5733415" cy="7644765"/>
            <wp:effectExtent l="0" t="0" r="635" b="0"/>
            <wp:docPr id="10" name="Picture 10" descr="Clinical pathway for use of a genetic CFTR test in pregnant couples to determine the CF status of the f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management algorithms 1216-15June_Edits-RM_Figure3.tiff"/>
                    <pic:cNvPicPr/>
                  </pic:nvPicPr>
                  <pic:blipFill>
                    <a:blip r:embed="rId28">
                      <a:extLst>
                        <a:ext uri="{28A0092B-C50C-407E-A947-70E740481C1C}">
                          <a14:useLocalDpi xmlns:a14="http://schemas.microsoft.com/office/drawing/2010/main" val="0"/>
                        </a:ext>
                      </a:extLst>
                    </a:blip>
                    <a:stretch>
                      <a:fillRect/>
                    </a:stretch>
                  </pic:blipFill>
                  <pic:spPr>
                    <a:xfrm>
                      <a:off x="0" y="0"/>
                      <a:ext cx="5733415" cy="7644765"/>
                    </a:xfrm>
                    <a:prstGeom prst="rect">
                      <a:avLst/>
                    </a:prstGeom>
                  </pic:spPr>
                </pic:pic>
              </a:graphicData>
            </a:graphic>
          </wp:inline>
        </w:drawing>
      </w:r>
    </w:p>
    <w:p w14:paraId="28A358B6" w14:textId="09EF6CDB" w:rsidR="00C66D39" w:rsidRDefault="00C66D39" w:rsidP="00A5437B">
      <w:pPr>
        <w:pStyle w:val="Caption"/>
        <w:keepNext w:val="0"/>
      </w:pPr>
      <w:bookmarkStart w:id="150" w:name="_Ref422323388"/>
      <w:bookmarkStart w:id="151" w:name="_Ref422323372"/>
      <w:bookmarkStart w:id="152" w:name="_Toc423525558"/>
      <w:r w:rsidRPr="006B3D51">
        <w:t xml:space="preserve">Figure </w:t>
      </w:r>
      <w:fldSimple w:instr=" SEQ Figure \* ARABIC ">
        <w:r w:rsidR="00BB0E3E">
          <w:rPr>
            <w:noProof/>
          </w:rPr>
          <w:t>3</w:t>
        </w:r>
      </w:fldSimple>
      <w:bookmarkEnd w:id="148"/>
      <w:bookmarkEnd w:id="150"/>
      <w:r>
        <w:tab/>
        <w:t xml:space="preserve">Clinical pathway for use of a genetic </w:t>
      </w:r>
      <w:r w:rsidRPr="00FD37D3">
        <w:t>CFTR</w:t>
      </w:r>
      <w:r>
        <w:t xml:space="preserve"> test in pregnant couples to determine the CF status of the fetus</w:t>
      </w:r>
      <w:bookmarkEnd w:id="149"/>
      <w:bookmarkEnd w:id="151"/>
      <w:bookmarkEnd w:id="152"/>
    </w:p>
    <w:p w14:paraId="3D337771" w14:textId="7614BF31" w:rsidR="0026280F" w:rsidRDefault="0026280F" w:rsidP="00A5437B">
      <w:pPr>
        <w:pStyle w:val="Caption"/>
        <w:keepNext w:val="0"/>
        <w:rPr>
          <w:rFonts w:ascii="Times New Roman" w:hAnsi="Times New Roman"/>
          <w:lang w:val="en-US"/>
        </w:rPr>
        <w:sectPr w:rsidR="0026280F" w:rsidSect="000D04B6">
          <w:headerReference w:type="even" r:id="rId29"/>
          <w:headerReference w:type="default" r:id="rId30"/>
          <w:footerReference w:type="default" r:id="rId31"/>
          <w:headerReference w:type="first" r:id="rId32"/>
          <w:pgSz w:w="11909" w:h="16834" w:code="9"/>
          <w:pgMar w:top="1440" w:right="1440" w:bottom="1440" w:left="1440" w:header="709" w:footer="709" w:gutter="0"/>
          <w:cols w:space="720"/>
          <w:docGrid w:linePitch="326"/>
        </w:sectPr>
      </w:pPr>
    </w:p>
    <w:p w14:paraId="506527D5" w14:textId="04AB1315" w:rsidR="00296EEA" w:rsidRPr="007660DF" w:rsidRDefault="00296EEA" w:rsidP="007660DF">
      <w:bookmarkStart w:id="153" w:name="_Ref401915482"/>
      <w:bookmarkStart w:id="154" w:name="_Ref412548502"/>
      <w:r>
        <w:rPr>
          <w:noProof/>
        </w:rPr>
        <w:lastRenderedPageBreak/>
        <w:drawing>
          <wp:inline distT="0" distB="0" distL="0" distR="0" wp14:anchorId="3207B9E3" wp14:editId="230F544A">
            <wp:extent cx="8860790" cy="4789805"/>
            <wp:effectExtent l="0" t="0" r="0" b="0"/>
            <wp:docPr id="96" name="Picture 96" descr="Clinical pathway for use of a genetic CFTR test to inform reproductive planning, prior to conception (plus PGD or pre-natal CFTR testing), versus pre-natal CFT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r figure4.png"/>
                    <pic:cNvPicPr/>
                  </pic:nvPicPr>
                  <pic:blipFill>
                    <a:blip r:embed="rId33">
                      <a:extLst>
                        <a:ext uri="{28A0092B-C50C-407E-A947-70E740481C1C}">
                          <a14:useLocalDpi xmlns:a14="http://schemas.microsoft.com/office/drawing/2010/main" val="0"/>
                        </a:ext>
                      </a:extLst>
                    </a:blip>
                    <a:stretch>
                      <a:fillRect/>
                    </a:stretch>
                  </pic:blipFill>
                  <pic:spPr>
                    <a:xfrm>
                      <a:off x="0" y="0"/>
                      <a:ext cx="8860790" cy="4789805"/>
                    </a:xfrm>
                    <a:prstGeom prst="rect">
                      <a:avLst/>
                    </a:prstGeom>
                  </pic:spPr>
                </pic:pic>
              </a:graphicData>
            </a:graphic>
          </wp:inline>
        </w:drawing>
      </w:r>
    </w:p>
    <w:p w14:paraId="3FE713EB" w14:textId="4C06B09F" w:rsidR="00C66D39" w:rsidRDefault="00C66D39" w:rsidP="00C66D39">
      <w:pPr>
        <w:pStyle w:val="Caption"/>
        <w:tabs>
          <w:tab w:val="left" w:pos="1134"/>
        </w:tabs>
        <w:ind w:left="1134" w:hanging="1134"/>
      </w:pPr>
      <w:bookmarkStart w:id="155" w:name="_Ref422323431"/>
      <w:bookmarkStart w:id="156" w:name="_Ref422323423"/>
      <w:bookmarkStart w:id="157" w:name="_Toc423525559"/>
      <w:r w:rsidRPr="005175FA">
        <w:t xml:space="preserve">Figure </w:t>
      </w:r>
      <w:fldSimple w:instr=" SEQ Figure \* ARABIC ">
        <w:r w:rsidR="00BB0E3E">
          <w:rPr>
            <w:noProof/>
          </w:rPr>
          <w:t>4</w:t>
        </w:r>
      </w:fldSimple>
      <w:bookmarkEnd w:id="155"/>
      <w:r>
        <w:tab/>
      </w:r>
      <w:r w:rsidRPr="00477973">
        <w:t xml:space="preserve">Clinical pathway for use of a genetic </w:t>
      </w:r>
      <w:r w:rsidRPr="00FD37D3">
        <w:t>CFTR</w:t>
      </w:r>
      <w:r w:rsidRPr="00477973">
        <w:t xml:space="preserve"> test </w:t>
      </w:r>
      <w:r>
        <w:t>to inform</w:t>
      </w:r>
      <w:r w:rsidRPr="00477973">
        <w:t xml:space="preserve"> reproductive planning, prior to conception (plus PGD or prenatal </w:t>
      </w:r>
      <w:r w:rsidRPr="00FD37D3">
        <w:t>CFTR</w:t>
      </w:r>
      <w:r w:rsidRPr="00477973">
        <w:t xml:space="preserve"> testin</w:t>
      </w:r>
      <w:r>
        <w:t xml:space="preserve">g), versus prenatal </w:t>
      </w:r>
      <w:r w:rsidRPr="00FD37D3">
        <w:t>CFTR</w:t>
      </w:r>
      <w:r>
        <w:t xml:space="preserve"> testing</w:t>
      </w:r>
      <w:bookmarkEnd w:id="156"/>
      <w:bookmarkEnd w:id="157"/>
    </w:p>
    <w:bookmarkEnd w:id="153"/>
    <w:bookmarkEnd w:id="154"/>
    <w:p w14:paraId="7A79FA25" w14:textId="14F7BF6D" w:rsidR="0026280F" w:rsidRDefault="0026280F" w:rsidP="0026280F">
      <w:pPr>
        <w:pStyle w:val="Caption"/>
        <w:sectPr w:rsidR="0026280F" w:rsidSect="000D04B6">
          <w:headerReference w:type="even" r:id="rId34"/>
          <w:headerReference w:type="default" r:id="rId35"/>
          <w:footerReference w:type="default" r:id="rId36"/>
          <w:headerReference w:type="first" r:id="rId37"/>
          <w:pgSz w:w="16834" w:h="11909" w:orient="landscape" w:code="9"/>
          <w:pgMar w:top="1440" w:right="1440" w:bottom="1440" w:left="1440" w:header="709" w:footer="709" w:gutter="0"/>
          <w:cols w:space="720"/>
        </w:sectPr>
      </w:pPr>
    </w:p>
    <w:p w14:paraId="347E6450" w14:textId="652E43FC" w:rsidR="005354F8" w:rsidRPr="00183E4D" w:rsidRDefault="00E7704D" w:rsidP="008429B9">
      <w:pPr>
        <w:pStyle w:val="Heading2"/>
        <w:tabs>
          <w:tab w:val="left" w:pos="1134"/>
        </w:tabs>
        <w:ind w:left="1134" w:hanging="1134"/>
      </w:pPr>
      <w:bookmarkStart w:id="158" w:name="_Toc418179889"/>
      <w:r>
        <w:lastRenderedPageBreak/>
        <w:t>A.6</w:t>
      </w:r>
      <w:r w:rsidR="00291B13">
        <w:t>.</w:t>
      </w:r>
      <w:r w:rsidR="0051730B">
        <w:tab/>
      </w:r>
      <w:r w:rsidR="005354F8" w:rsidRPr="00183E4D">
        <w:t>Key Differences in the Delivery of the Proposed Medical Service and the Main Comparator</w:t>
      </w:r>
      <w:bookmarkEnd w:id="158"/>
      <w:r w:rsidR="005354F8" w:rsidRPr="00183E4D">
        <w:t xml:space="preserve"> </w:t>
      </w:r>
    </w:p>
    <w:p w14:paraId="6FDB291A" w14:textId="1B1C8C03" w:rsidR="00F22E78" w:rsidRDefault="00F22E78" w:rsidP="00F22E78">
      <w:r>
        <w:t xml:space="preserve">In patients with a high clinical suspicion of having CF, the key difference </w:t>
      </w:r>
      <w:r w:rsidR="00DA1EE9">
        <w:t xml:space="preserve">that </w:t>
      </w:r>
      <w:r>
        <w:t xml:space="preserve">may occur through the use of genetic testing is the ability for those with at least one G551D mutation to potentially receive treatment with ivacaftor. </w:t>
      </w:r>
    </w:p>
    <w:p w14:paraId="45C4B4B2" w14:textId="35A6053A" w:rsidR="00F22E78" w:rsidRDefault="00F22E78" w:rsidP="00F22E78">
      <w:r>
        <w:t xml:space="preserve">In couples with a fetus at risk of CF, mutation testing of the </w:t>
      </w:r>
      <w:r w:rsidR="00A21FD9" w:rsidRPr="00A21FD9">
        <w:rPr>
          <w:i/>
        </w:rPr>
        <w:t>CFTR</w:t>
      </w:r>
      <w:r>
        <w:t xml:space="preserve"> gene provides, with reasonable certainty, knowledge regarding whether the potential child would have CF, and give</w:t>
      </w:r>
      <w:r w:rsidR="00DA1EE9">
        <w:t>s</w:t>
      </w:r>
      <w:r>
        <w:t xml:space="preserve"> the option to terminate the pregnancy if the fetus is affected. </w:t>
      </w:r>
    </w:p>
    <w:p w14:paraId="2654DA05" w14:textId="313407D0" w:rsidR="00F22E78" w:rsidRPr="00E637D5" w:rsidRDefault="00F22E78" w:rsidP="00F22E78">
      <w:r>
        <w:t xml:space="preserve">In couples planning to have a child, mutation testing of the </w:t>
      </w:r>
      <w:r w:rsidR="00A21FD9" w:rsidRPr="00A21FD9">
        <w:rPr>
          <w:i/>
        </w:rPr>
        <w:t>CFTR</w:t>
      </w:r>
      <w:r>
        <w:t xml:space="preserve"> gene</w:t>
      </w:r>
      <w:r w:rsidR="008B32BD">
        <w:t xml:space="preserve"> prior to conception</w:t>
      </w:r>
      <w:r>
        <w:t xml:space="preserve"> allows </w:t>
      </w:r>
      <w:r w:rsidR="00A615D1">
        <w:t xml:space="preserve">them </w:t>
      </w:r>
      <w:r>
        <w:t>the option of conceiving through the use of IVF and PGD, and sele</w:t>
      </w:r>
      <w:r w:rsidR="008B32BD">
        <w:t>ction of</w:t>
      </w:r>
      <w:r>
        <w:t xml:space="preserve"> an unaffected embryo. </w:t>
      </w:r>
    </w:p>
    <w:p w14:paraId="203CC4FD" w14:textId="341C7D4C" w:rsidR="005354F8" w:rsidRDefault="00E7704D">
      <w:pPr>
        <w:pStyle w:val="Heading2"/>
        <w:tabs>
          <w:tab w:val="left" w:pos="1134"/>
        </w:tabs>
      </w:pPr>
      <w:bookmarkStart w:id="159" w:name="_Toc418179890"/>
      <w:r>
        <w:t>A.7</w:t>
      </w:r>
      <w:r w:rsidR="00291B13">
        <w:t>.</w:t>
      </w:r>
      <w:r w:rsidR="0051730B">
        <w:tab/>
      </w:r>
      <w:r w:rsidR="005354F8" w:rsidRPr="00183E4D">
        <w:t>Clinical Claim</w:t>
      </w:r>
      <w:bookmarkEnd w:id="159"/>
    </w:p>
    <w:p w14:paraId="565DE936" w14:textId="5EBD6F55" w:rsidR="00642223" w:rsidRDefault="008151F0" w:rsidP="008151F0">
      <w:r>
        <w:t>T</w:t>
      </w:r>
      <w:r w:rsidRPr="008210FE">
        <w:t xml:space="preserve">he applicant claims that identification of </w:t>
      </w:r>
      <w:r w:rsidR="00FD37D3" w:rsidRPr="00FD37D3">
        <w:t>CFTR</w:t>
      </w:r>
      <w:r w:rsidRPr="008210FE">
        <w:t xml:space="preserve"> mutations is important for providing information</w:t>
      </w:r>
      <w:r>
        <w:t xml:space="preserve"> at a molecular level</w:t>
      </w:r>
      <w:r w:rsidRPr="008210FE">
        <w:t xml:space="preserve"> about prognosis as a result of genotype</w:t>
      </w:r>
      <w:r w:rsidR="00DA1EE9">
        <w:t>–</w:t>
      </w:r>
      <w:r w:rsidRPr="008210FE">
        <w:t xml:space="preserve">phenotype correlation. Furthermore, identification of </w:t>
      </w:r>
      <w:r w:rsidR="00FD37D3" w:rsidRPr="00FD37D3">
        <w:t>CFTR</w:t>
      </w:r>
      <w:r w:rsidRPr="008210FE">
        <w:t xml:space="preserve"> mutations in an individual with CF or another </w:t>
      </w:r>
      <w:r w:rsidR="00FD37D3" w:rsidRPr="00FD37D3">
        <w:t>CFTR</w:t>
      </w:r>
      <w:r w:rsidR="00DA1EE9">
        <w:t>-</w:t>
      </w:r>
      <w:r w:rsidRPr="008210FE">
        <w:t>related disorder is essential if prenatal diagnosis</w:t>
      </w:r>
      <w:r>
        <w:t xml:space="preserve"> or PGD</w:t>
      </w:r>
      <w:r w:rsidRPr="008210FE">
        <w:t xml:space="preserve"> is to be offered </w:t>
      </w:r>
      <w:r>
        <w:t>to prospective</w:t>
      </w:r>
      <w:r w:rsidRPr="008210FE">
        <w:t xml:space="preserve"> parents </w:t>
      </w:r>
      <w:r>
        <w:t>within</w:t>
      </w:r>
      <w:r w:rsidRPr="008210FE">
        <w:t xml:space="preserve"> </w:t>
      </w:r>
      <w:r w:rsidR="00DA1EE9">
        <w:t xml:space="preserve">their </w:t>
      </w:r>
      <w:r w:rsidRPr="008210FE">
        <w:t>extended family.</w:t>
      </w:r>
      <w:r w:rsidR="00642223">
        <w:t xml:space="preserve"> Knowledge of </w:t>
      </w:r>
      <w:r w:rsidR="00FD37D3" w:rsidRPr="00FD37D3">
        <w:t>CFTR</w:t>
      </w:r>
      <w:r w:rsidR="00642223">
        <w:t xml:space="preserve"> mutations in a fetus could aid the decision regarding whether to terminate the pregnancy.</w:t>
      </w:r>
    </w:p>
    <w:p w14:paraId="6BC8AB82" w14:textId="51D6A1F1" w:rsidR="00490037" w:rsidRDefault="00642223" w:rsidP="008151F0">
      <w:r>
        <w:t xml:space="preserve">No clinical claim regarding </w:t>
      </w:r>
      <w:r w:rsidR="00FD37D3" w:rsidRPr="00FD37D3">
        <w:t>CFTR</w:t>
      </w:r>
      <w:r>
        <w:t xml:space="preserve"> testing for reproductive planning was made by the applicant. However, a</w:t>
      </w:r>
      <w:r w:rsidRPr="00C4765F">
        <w:t>ccording to HGSA, p</w:t>
      </w:r>
      <w:r w:rsidRPr="00410061">
        <w:t>re</w:t>
      </w:r>
      <w:r>
        <w:t>-</w:t>
      </w:r>
      <w:r w:rsidRPr="00C4765F">
        <w:t>pregnancy testing is preferable because it allows more options for carrier couples, including PGD, donor gamete/embryo and prenatal diagnosis with the option of terminating the pregnancy, leading to a decreased incidence of CF.</w:t>
      </w:r>
      <w:r w:rsidR="008151F0" w:rsidRPr="008210FE">
        <w:t xml:space="preserve"> </w:t>
      </w:r>
    </w:p>
    <w:p w14:paraId="0C6893D7" w14:textId="300194D5" w:rsidR="00490037" w:rsidRDefault="00490037" w:rsidP="008151F0">
      <w:r>
        <w:t xml:space="preserve">Since the application for </w:t>
      </w:r>
      <w:r w:rsidR="00FD37D3" w:rsidRPr="00FD37D3">
        <w:t>CFTR</w:t>
      </w:r>
      <w:r>
        <w:t xml:space="preserve"> testing was received</w:t>
      </w:r>
      <w:r w:rsidR="00642223">
        <w:t xml:space="preserve">, there has also been a change in accessible CF drugs. </w:t>
      </w:r>
      <w:r w:rsidR="008151F0">
        <w:t>Patients aged 6</w:t>
      </w:r>
      <w:r w:rsidR="00DA1EE9">
        <w:t> </w:t>
      </w:r>
      <w:r w:rsidR="008151F0">
        <w:t xml:space="preserve">years or older who are identified as having the G551D mutation </w:t>
      </w:r>
      <w:r>
        <w:t>can now access the drug Kalydeco</w:t>
      </w:r>
      <w:r>
        <w:rPr>
          <w:vertAlign w:val="superscript"/>
        </w:rPr>
        <w:t>®</w:t>
      </w:r>
      <w:r>
        <w:t xml:space="preserve"> (containing ivacaftor) through the PBS</w:t>
      </w:r>
      <w:r w:rsidR="00102713">
        <w:rPr>
          <w:rStyle w:val="FootnoteReference"/>
        </w:rPr>
        <w:footnoteReference w:id="8"/>
      </w:r>
      <w:r>
        <w:t xml:space="preserve">. </w:t>
      </w:r>
    </w:p>
    <w:p w14:paraId="22FC4B17" w14:textId="4B09F45D" w:rsidR="00903492" w:rsidRPr="00183E4D" w:rsidRDefault="00E7704D">
      <w:pPr>
        <w:pStyle w:val="Heading2"/>
        <w:tabs>
          <w:tab w:val="left" w:pos="1134"/>
        </w:tabs>
      </w:pPr>
      <w:bookmarkStart w:id="160" w:name="_Ref407181262"/>
      <w:bookmarkStart w:id="161" w:name="_Toc418179891"/>
      <w:bookmarkEnd w:id="134"/>
      <w:bookmarkEnd w:id="135"/>
      <w:r>
        <w:lastRenderedPageBreak/>
        <w:t>A.8</w:t>
      </w:r>
      <w:r w:rsidR="00291B13">
        <w:t>.</w:t>
      </w:r>
      <w:r w:rsidR="0051730B">
        <w:tab/>
      </w:r>
      <w:r w:rsidR="006C5B34" w:rsidRPr="00183E4D">
        <w:t xml:space="preserve">Scope of </w:t>
      </w:r>
      <w:r w:rsidR="00EA39D2" w:rsidRPr="00183E4D">
        <w:t xml:space="preserve">the </w:t>
      </w:r>
      <w:r w:rsidR="006C5B34" w:rsidRPr="00183E4D">
        <w:t>Clinical Evaluation</w:t>
      </w:r>
      <w:bookmarkEnd w:id="160"/>
      <w:bookmarkEnd w:id="161"/>
    </w:p>
    <w:p w14:paraId="43D97CBC" w14:textId="1614E912" w:rsidR="00CC5307" w:rsidRDefault="006C5B34" w:rsidP="004F36F1">
      <w:pPr>
        <w:spacing w:before="240"/>
      </w:pPr>
      <w:r w:rsidRPr="00183E4D">
        <w:t xml:space="preserve">The guiding framework of </w:t>
      </w:r>
      <w:r w:rsidR="00783C0F">
        <w:t>a</w:t>
      </w:r>
      <w:r w:rsidRPr="00183E4D">
        <w:t xml:space="preserve"> </w:t>
      </w:r>
      <w:r w:rsidR="00A615D1">
        <w:t>p</w:t>
      </w:r>
      <w:r w:rsidR="00D52A25">
        <w:t>rotocol</w:t>
      </w:r>
      <w:r w:rsidRPr="00183E4D">
        <w:t xml:space="preserve"> </w:t>
      </w:r>
      <w:r w:rsidR="00783C0F">
        <w:t>i</w:t>
      </w:r>
      <w:r w:rsidRPr="00183E4D">
        <w:t xml:space="preserve">s </w:t>
      </w:r>
      <w:r w:rsidR="007822AD" w:rsidRPr="00183E4D">
        <w:t xml:space="preserve">recommended </w:t>
      </w:r>
      <w:r w:rsidR="00783C0F">
        <w:t xml:space="preserve">by MSAC </w:t>
      </w:r>
      <w:r w:rsidR="007822AD" w:rsidRPr="00183E4D">
        <w:t>for</w:t>
      </w:r>
      <w:r w:rsidRPr="00183E4D">
        <w:t xml:space="preserve"> </w:t>
      </w:r>
      <w:r w:rsidR="00783C0F">
        <w:t>each</w:t>
      </w:r>
      <w:r w:rsidRPr="00183E4D">
        <w:t xml:space="preserve"> assessment. </w:t>
      </w:r>
      <w:r w:rsidR="00E511FF" w:rsidRPr="00183E4D">
        <w:t>The</w:t>
      </w:r>
      <w:r w:rsidR="00D52A25">
        <w:t xml:space="preserve"> </w:t>
      </w:r>
      <w:r w:rsidR="00A615D1">
        <w:t>p</w:t>
      </w:r>
      <w:r w:rsidR="00D52A25">
        <w:t>rotocol</w:t>
      </w:r>
      <w:r w:rsidRPr="00183E4D">
        <w:t xml:space="preserve"> </w:t>
      </w:r>
      <w:r w:rsidR="00E511FF" w:rsidRPr="00183E4D">
        <w:t>describ</w:t>
      </w:r>
      <w:r w:rsidRPr="00183E4D">
        <w:t>es current clinical practice and reflects likely future practice with the proposed</w:t>
      </w:r>
      <w:r w:rsidR="000E0042">
        <w:t xml:space="preserve"> </w:t>
      </w:r>
      <w:r w:rsidRPr="00183E4D">
        <w:t>medical service.</w:t>
      </w:r>
      <w:r w:rsidR="00EA39D2" w:rsidRPr="00183E4D">
        <w:t xml:space="preserve"> </w:t>
      </w:r>
    </w:p>
    <w:p w14:paraId="099307CD" w14:textId="77777777" w:rsidR="00CC5307" w:rsidRDefault="00CC5307" w:rsidP="008429B9">
      <w:pPr>
        <w:spacing w:after="120"/>
      </w:pPr>
      <w:r>
        <w:t>Determination of the clinical effectiveness of an investigative test requires either:</w:t>
      </w:r>
    </w:p>
    <w:p w14:paraId="689EEC3B" w14:textId="16DE1906" w:rsidR="00CC5307" w:rsidRDefault="00CC5307" w:rsidP="008429B9">
      <w:pPr>
        <w:pStyle w:val="ListParagraph"/>
        <w:numPr>
          <w:ilvl w:val="0"/>
          <w:numId w:val="21"/>
        </w:numPr>
        <w:spacing w:after="120"/>
      </w:pPr>
      <w:r>
        <w:t xml:space="preserve">evidence of the effectiveness of </w:t>
      </w:r>
      <w:r w:rsidR="00FD37D3" w:rsidRPr="00FD37D3">
        <w:t>CFTR</w:t>
      </w:r>
      <w:r w:rsidR="00A352B4">
        <w:t xml:space="preserve"> mutation testing</w:t>
      </w:r>
      <w:r>
        <w:t xml:space="preserve"> from high-quality comparative studies evaluating the use of </w:t>
      </w:r>
      <w:r w:rsidR="00A615D1">
        <w:t>the</w:t>
      </w:r>
      <w:r w:rsidR="00A352B4">
        <w:t xml:space="preserve"> testing</w:t>
      </w:r>
      <w:r>
        <w:t xml:space="preserve"> and subsequent treatment compared </w:t>
      </w:r>
      <w:r w:rsidR="000E0042">
        <w:t xml:space="preserve">with </w:t>
      </w:r>
      <w:r w:rsidR="00A352B4">
        <w:t>no genetic testing</w:t>
      </w:r>
      <w:r>
        <w:t xml:space="preserve"> and treatment (direct evidence). Randomised controlled trials </w:t>
      </w:r>
      <w:r w:rsidR="006A0CE7">
        <w:t xml:space="preserve">(RCTs) </w:t>
      </w:r>
      <w:r>
        <w:t xml:space="preserve">provide the highest quality evidence for this comparison. Or, if this is not available: </w:t>
      </w:r>
    </w:p>
    <w:p w14:paraId="33D98C72" w14:textId="07559833" w:rsidR="00CC5307" w:rsidRPr="00183E4D" w:rsidRDefault="00CC5307" w:rsidP="008429B9">
      <w:pPr>
        <w:pStyle w:val="ListParagraph"/>
        <w:numPr>
          <w:ilvl w:val="0"/>
          <w:numId w:val="21"/>
        </w:numPr>
        <w:spacing w:after="120"/>
      </w:pPr>
      <w:r>
        <w:t xml:space="preserve">evidence of treatment effectiveness from high-quality comparative studies evaluating the treatment for </w:t>
      </w:r>
      <w:r w:rsidR="00A352B4">
        <w:t>CF</w:t>
      </w:r>
      <w:r>
        <w:t xml:space="preserve">, linked with applicable and high-quality evidence of the analytical validity of </w:t>
      </w:r>
      <w:r w:rsidR="00FD37D3" w:rsidRPr="00FD37D3">
        <w:t>CFTR</w:t>
      </w:r>
      <w:r w:rsidR="007F7AF8">
        <w:t xml:space="preserve"> mutation testing</w:t>
      </w:r>
      <w:r>
        <w:t xml:space="preserve"> to </w:t>
      </w:r>
      <w:r w:rsidR="007F7AF8">
        <w:t>diagnose</w:t>
      </w:r>
      <w:r>
        <w:t xml:space="preserve"> </w:t>
      </w:r>
      <w:r w:rsidR="007F7AF8">
        <w:t>CF</w:t>
      </w:r>
      <w:r>
        <w:t xml:space="preserve"> compared </w:t>
      </w:r>
      <w:r w:rsidR="000E0042">
        <w:t xml:space="preserve">with </w:t>
      </w:r>
      <w:r w:rsidR="007F7AF8">
        <w:t>no genetic testing</w:t>
      </w:r>
      <w:r>
        <w:t xml:space="preserve">. This is called ‘linked evidence’. </w:t>
      </w:r>
    </w:p>
    <w:p w14:paraId="3BEDB24D" w14:textId="42410EC7" w:rsidR="00743A2C" w:rsidRDefault="00743A2C" w:rsidP="00743A2C">
      <w:r w:rsidRPr="00743A2C">
        <w:rPr>
          <w:lang w:val="en-US"/>
        </w:rPr>
        <w:t>Outlined below is the approach formulated according to the information provided in the application from RCPA</w:t>
      </w:r>
      <w:r w:rsidR="00C32078">
        <w:rPr>
          <w:lang w:val="en-US"/>
        </w:rPr>
        <w:t>;</w:t>
      </w:r>
      <w:r w:rsidRPr="00743A2C">
        <w:rPr>
          <w:lang w:val="en-US"/>
        </w:rPr>
        <w:t xml:space="preserve"> discussions of </w:t>
      </w:r>
      <w:r>
        <w:t>PASC</w:t>
      </w:r>
      <w:r w:rsidR="00D81A05">
        <w:t>;</w:t>
      </w:r>
      <w:r>
        <w:t xml:space="preserve"> and communication between the contracted assessment group, the MSAC Secretariat and the relevant policy area from the Department of Health (</w:t>
      </w:r>
      <w:r>
        <w:fldChar w:fldCharType="begin"/>
      </w:r>
      <w:r>
        <w:instrText xml:space="preserve"> REF _Ref401920123 \h </w:instrText>
      </w:r>
      <w:r>
        <w:fldChar w:fldCharType="separate"/>
      </w:r>
      <w:r w:rsidR="00BB0E3E">
        <w:t xml:space="preserve">Table </w:t>
      </w:r>
      <w:r w:rsidR="00BB0E3E">
        <w:rPr>
          <w:noProof/>
        </w:rPr>
        <w:t>9</w:t>
      </w:r>
      <w:r>
        <w:fldChar w:fldCharType="end"/>
      </w:r>
      <w:r>
        <w:t>).</w:t>
      </w:r>
      <w:r w:rsidR="00A70610">
        <w:t xml:space="preserve"> </w:t>
      </w:r>
    </w:p>
    <w:p w14:paraId="28DE195A" w14:textId="54E0C2BB" w:rsidR="00743A2C" w:rsidRDefault="00743A2C" w:rsidP="00743A2C">
      <w:pPr>
        <w:pStyle w:val="Caption"/>
      </w:pPr>
      <w:bookmarkStart w:id="162" w:name="_Ref401920123"/>
      <w:bookmarkStart w:id="163" w:name="_Toc402338807"/>
      <w:bookmarkStart w:id="164" w:name="_Ref417470648"/>
      <w:bookmarkStart w:id="165" w:name="_Toc418179406"/>
      <w:r>
        <w:t xml:space="preserve">Table </w:t>
      </w:r>
      <w:fldSimple w:instr=" SEQ Table \* ARABIC ">
        <w:r w:rsidR="00BB0E3E">
          <w:rPr>
            <w:noProof/>
          </w:rPr>
          <w:t>9</w:t>
        </w:r>
      </w:fldSimple>
      <w:bookmarkEnd w:id="162"/>
      <w:r w:rsidR="001A4444">
        <w:tab/>
      </w:r>
      <w:r w:rsidR="008B32BD">
        <w:tab/>
      </w:r>
      <w:r w:rsidR="001A4444">
        <w:t>Overview of approach</w:t>
      </w:r>
      <w:r>
        <w:t xml:space="preserve"> taken </w:t>
      </w:r>
      <w:r w:rsidR="001D5D4F">
        <w:t>in</w:t>
      </w:r>
      <w:r>
        <w:t xml:space="preserve"> assessing the benefit of </w:t>
      </w:r>
      <w:r w:rsidR="00FD37D3" w:rsidRPr="00FD37D3">
        <w:t>CFTR</w:t>
      </w:r>
      <w:r>
        <w:t xml:space="preserve"> testing for the different populations</w:t>
      </w:r>
      <w:bookmarkEnd w:id="163"/>
      <w:bookmarkEnd w:id="164"/>
      <w:bookmarkEnd w:id="165"/>
      <w:r>
        <w:t xml:space="preserve"> </w:t>
      </w:r>
    </w:p>
    <w:tbl>
      <w:tblPr>
        <w:tblStyle w:val="TableGrid1"/>
        <w:tblW w:w="0" w:type="auto"/>
        <w:tblLook w:val="04A0" w:firstRow="1" w:lastRow="0" w:firstColumn="1" w:lastColumn="0" w:noHBand="0" w:noVBand="1"/>
        <w:tblCaption w:val="Overview of approach taken to assessing the benefit of CFTR testing for the different populations "/>
        <w:tblDescription w:val="Overview of approach taken to assessing the benefit of CFTR testing for the different populations "/>
      </w:tblPr>
      <w:tblGrid>
        <w:gridCol w:w="2175"/>
        <w:gridCol w:w="1296"/>
        <w:gridCol w:w="4092"/>
        <w:gridCol w:w="1682"/>
      </w:tblGrid>
      <w:tr w:rsidR="00743A2C" w:rsidRPr="008C2030" w14:paraId="743E280C"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2175" w:type="dxa"/>
          </w:tcPr>
          <w:p w14:paraId="6B7F6251" w14:textId="77777777" w:rsidR="00743A2C" w:rsidRPr="008C2030" w:rsidRDefault="00743A2C" w:rsidP="008429B9">
            <w:pPr>
              <w:pStyle w:val="Tabletext1"/>
              <w:jc w:val="left"/>
              <w:rPr>
                <w:b/>
              </w:rPr>
            </w:pPr>
            <w:r w:rsidRPr="008C2030">
              <w:rPr>
                <w:b/>
              </w:rPr>
              <w:t>Population requested to be assessed in application</w:t>
            </w:r>
          </w:p>
        </w:tc>
        <w:tc>
          <w:tcPr>
            <w:tcW w:w="1296" w:type="dxa"/>
          </w:tcPr>
          <w:p w14:paraId="10EBA85A" w14:textId="77777777" w:rsidR="00743A2C" w:rsidRPr="008C2030" w:rsidRDefault="00743A2C" w:rsidP="008429B9">
            <w:pPr>
              <w:pStyle w:val="Tabletext1"/>
              <w:jc w:val="left"/>
              <w:rPr>
                <w:b/>
              </w:rPr>
            </w:pPr>
            <w:r w:rsidRPr="008C2030">
              <w:rPr>
                <w:b/>
              </w:rPr>
              <w:t xml:space="preserve">Clinical pathway </w:t>
            </w:r>
          </w:p>
        </w:tc>
        <w:tc>
          <w:tcPr>
            <w:tcW w:w="4092" w:type="dxa"/>
          </w:tcPr>
          <w:p w14:paraId="3BA63FF7" w14:textId="77777777" w:rsidR="00743A2C" w:rsidRPr="008C2030" w:rsidRDefault="00743A2C" w:rsidP="008429B9">
            <w:pPr>
              <w:pStyle w:val="Tabletext1"/>
              <w:jc w:val="left"/>
              <w:rPr>
                <w:b/>
              </w:rPr>
            </w:pPr>
            <w:r w:rsidRPr="008C2030">
              <w:rPr>
                <w:b/>
              </w:rPr>
              <w:t>How this has been assessed</w:t>
            </w:r>
          </w:p>
        </w:tc>
        <w:tc>
          <w:tcPr>
            <w:tcW w:w="1682" w:type="dxa"/>
          </w:tcPr>
          <w:p w14:paraId="73F0B434" w14:textId="77777777" w:rsidR="00743A2C" w:rsidRPr="008C2030" w:rsidRDefault="00743A2C" w:rsidP="008429B9">
            <w:pPr>
              <w:pStyle w:val="Tabletext1"/>
              <w:jc w:val="left"/>
              <w:rPr>
                <w:b/>
              </w:rPr>
            </w:pPr>
            <w:r w:rsidRPr="008C2030">
              <w:rPr>
                <w:b/>
              </w:rPr>
              <w:t>Summary of approach</w:t>
            </w:r>
            <w:r w:rsidR="00CC2D81">
              <w:rPr>
                <w:b/>
              </w:rPr>
              <w:t xml:space="preserve"> </w:t>
            </w:r>
            <w:r w:rsidR="00C41C8F">
              <w:rPr>
                <w:b/>
              </w:rPr>
              <w:t>(PICO boxes)</w:t>
            </w:r>
          </w:p>
        </w:tc>
      </w:tr>
      <w:tr w:rsidR="00743A2C" w:rsidRPr="008C2030" w14:paraId="4109AD59" w14:textId="77777777" w:rsidTr="004245A0">
        <w:tc>
          <w:tcPr>
            <w:tcW w:w="2175" w:type="dxa"/>
          </w:tcPr>
          <w:p w14:paraId="0F9349A0" w14:textId="4D9B62FD" w:rsidR="00743A2C" w:rsidRDefault="00743A2C" w:rsidP="008429B9">
            <w:pPr>
              <w:pStyle w:val="Tabletext1"/>
              <w:jc w:val="left"/>
            </w:pPr>
            <w:r w:rsidRPr="008C2030">
              <w:rPr>
                <w:iCs/>
              </w:rPr>
              <w:t>1</w:t>
            </w:r>
            <w:r w:rsidR="00A70610">
              <w:rPr>
                <w:iCs/>
              </w:rPr>
              <w:t>a</w:t>
            </w:r>
            <w:r w:rsidRPr="008C2030">
              <w:rPr>
                <w:iCs/>
              </w:rPr>
              <w:t xml:space="preserve">. Newborns found to have one </w:t>
            </w:r>
            <w:r w:rsidR="00FD37D3" w:rsidRPr="00FD37D3">
              <w:rPr>
                <w:iCs/>
              </w:rPr>
              <w:t>CFTR</w:t>
            </w:r>
            <w:r w:rsidRPr="008C2030">
              <w:rPr>
                <w:iCs/>
              </w:rPr>
              <w:t xml:space="preserve"> mutation on </w:t>
            </w:r>
            <w:r w:rsidR="0067459F">
              <w:rPr>
                <w:iCs/>
              </w:rPr>
              <w:t>NBS</w:t>
            </w:r>
            <w:r w:rsidRPr="008C2030">
              <w:rPr>
                <w:iCs/>
              </w:rPr>
              <w:t xml:space="preserve"> and </w:t>
            </w:r>
            <w:r w:rsidR="00F7252B">
              <w:rPr>
                <w:iCs/>
              </w:rPr>
              <w:t xml:space="preserve">who </w:t>
            </w:r>
            <w:r w:rsidRPr="008C2030">
              <w:rPr>
                <w:iCs/>
              </w:rPr>
              <w:t xml:space="preserve">had </w:t>
            </w:r>
            <w:r w:rsidR="00F7252B">
              <w:rPr>
                <w:iCs/>
              </w:rPr>
              <w:t xml:space="preserve">a </w:t>
            </w:r>
            <w:r w:rsidRPr="008C2030">
              <w:rPr>
                <w:iCs/>
              </w:rPr>
              <w:t>positive sweat test</w:t>
            </w:r>
          </w:p>
        </w:tc>
        <w:tc>
          <w:tcPr>
            <w:tcW w:w="1296" w:type="dxa"/>
          </w:tcPr>
          <w:p w14:paraId="207C3CF1" w14:textId="77777777" w:rsidR="00743A2C" w:rsidRPr="006B7363" w:rsidRDefault="00743A2C" w:rsidP="008429B9">
            <w:pPr>
              <w:pStyle w:val="Tabletext1"/>
              <w:jc w:val="left"/>
            </w:pPr>
            <w:r w:rsidRPr="006B7363">
              <w:t>-</w:t>
            </w:r>
          </w:p>
        </w:tc>
        <w:tc>
          <w:tcPr>
            <w:tcW w:w="4092" w:type="dxa"/>
          </w:tcPr>
          <w:p w14:paraId="593ABDC5" w14:textId="584EBDBB" w:rsidR="00743A2C" w:rsidRDefault="00743A2C" w:rsidP="008429B9">
            <w:pPr>
              <w:pStyle w:val="Tabletext1"/>
              <w:jc w:val="left"/>
            </w:pPr>
            <w:r>
              <w:t xml:space="preserve">PASC suggested that all neonates currently identified as having one </w:t>
            </w:r>
            <w:r w:rsidR="00FD37D3" w:rsidRPr="00FD37D3">
              <w:t>CFTR</w:t>
            </w:r>
            <w:r>
              <w:t xml:space="preserve"> mutation from </w:t>
            </w:r>
            <w:r w:rsidR="0067459F">
              <w:t>NBS</w:t>
            </w:r>
            <w:r>
              <w:t xml:space="preserve"> would be further investigated (</w:t>
            </w:r>
            <w:r w:rsidR="00F7252B">
              <w:t xml:space="preserve">i.e. </w:t>
            </w:r>
            <w:r>
              <w:t xml:space="preserve">receive additional genetic tests) within the public health system, funded by the </w:t>
            </w:r>
            <w:r w:rsidR="00F7252B">
              <w:t>s</w:t>
            </w:r>
            <w:r>
              <w:t xml:space="preserve">tates and </w:t>
            </w:r>
            <w:r w:rsidR="00F7252B">
              <w:t>t</w:t>
            </w:r>
            <w:r>
              <w:t xml:space="preserve">erritories. As this testing is already considered standard practice, and parents would currently not be funding the testing themselves, it was considered that this indication would not need to be examined. </w:t>
            </w:r>
          </w:p>
          <w:p w14:paraId="3D8F0EB3" w14:textId="7D458807" w:rsidR="00743A2C" w:rsidRDefault="00743A2C" w:rsidP="008429B9">
            <w:pPr>
              <w:pStyle w:val="Tabletext1"/>
              <w:jc w:val="left"/>
            </w:pPr>
            <w:r>
              <w:t xml:space="preserve">A discussion </w:t>
            </w:r>
            <w:r w:rsidR="00CC2D81">
              <w:t>was</w:t>
            </w:r>
            <w:r>
              <w:t xml:space="preserve"> provided on </w:t>
            </w:r>
            <w:r w:rsidR="00FD37D3" w:rsidRPr="00FD37D3">
              <w:t>CFTR</w:t>
            </w:r>
            <w:r>
              <w:t xml:space="preserve"> testing within this population, but a systematic review </w:t>
            </w:r>
            <w:r w:rsidR="00CC2D81">
              <w:t>was</w:t>
            </w:r>
            <w:r>
              <w:t xml:space="preserve"> not performed. </w:t>
            </w:r>
          </w:p>
        </w:tc>
        <w:tc>
          <w:tcPr>
            <w:tcW w:w="1682" w:type="dxa"/>
          </w:tcPr>
          <w:p w14:paraId="3433C497" w14:textId="77777777" w:rsidR="00743A2C" w:rsidRDefault="00743A2C" w:rsidP="008429B9">
            <w:pPr>
              <w:pStyle w:val="Tabletext1"/>
              <w:jc w:val="left"/>
            </w:pPr>
            <w:r>
              <w:t xml:space="preserve">Discussion </w:t>
            </w:r>
          </w:p>
        </w:tc>
      </w:tr>
      <w:tr w:rsidR="00743A2C" w:rsidRPr="008C2030" w14:paraId="5343F108" w14:textId="77777777" w:rsidTr="004245A0">
        <w:tc>
          <w:tcPr>
            <w:tcW w:w="2175" w:type="dxa"/>
          </w:tcPr>
          <w:p w14:paraId="2B4BF6AA" w14:textId="5FD19ECD" w:rsidR="00743A2C" w:rsidRDefault="00A70610" w:rsidP="008429B9">
            <w:pPr>
              <w:pStyle w:val="Tabletext1"/>
              <w:jc w:val="left"/>
            </w:pPr>
            <w:r>
              <w:t>1b</w:t>
            </w:r>
            <w:r w:rsidR="00743A2C">
              <w:t xml:space="preserve">. Patients with symptoms of classic </w:t>
            </w:r>
            <w:r w:rsidR="00F7252B">
              <w:t>CF</w:t>
            </w:r>
          </w:p>
        </w:tc>
        <w:tc>
          <w:tcPr>
            <w:tcW w:w="1296" w:type="dxa"/>
          </w:tcPr>
          <w:p w14:paraId="1C42AE9A" w14:textId="646D4B4D" w:rsidR="00743A2C" w:rsidRPr="006B7363" w:rsidRDefault="002F607E" w:rsidP="008429B9">
            <w:pPr>
              <w:pStyle w:val="Caption"/>
              <w:jc w:val="left"/>
            </w:pPr>
            <w:r>
              <w:rPr>
                <w:b w:val="0"/>
              </w:rPr>
              <w:t xml:space="preserve">Figure 2 </w:t>
            </w:r>
            <w:r w:rsidR="00743A2C" w:rsidRPr="006B7363">
              <w:rPr>
                <w:b w:val="0"/>
              </w:rPr>
              <w:t xml:space="preserve">and, if using the information for reproductive planning, </w:t>
            </w:r>
            <w:r>
              <w:rPr>
                <w:b w:val="0"/>
              </w:rPr>
              <w:t>Figure 4</w:t>
            </w:r>
          </w:p>
        </w:tc>
        <w:tc>
          <w:tcPr>
            <w:tcW w:w="4092" w:type="dxa"/>
          </w:tcPr>
          <w:p w14:paraId="4531116D" w14:textId="51EABA30" w:rsidR="00743A2C" w:rsidRDefault="00743A2C" w:rsidP="008429B9">
            <w:pPr>
              <w:pStyle w:val="Tabletext1"/>
              <w:jc w:val="left"/>
            </w:pPr>
            <w:r>
              <w:t xml:space="preserve">Within this population, information on </w:t>
            </w:r>
            <w:r w:rsidR="00FD37D3" w:rsidRPr="00FD37D3">
              <w:t>CFTR</w:t>
            </w:r>
            <w:r>
              <w:t xml:space="preserve"> mutations may assist: (1) in determining eligibility for ivacaftor</w:t>
            </w:r>
            <w:r w:rsidR="00A615D1">
              <w:t xml:space="preserve"> </w:t>
            </w:r>
            <w:r>
              <w:t xml:space="preserve">or (2) for reproductive planning. </w:t>
            </w:r>
          </w:p>
          <w:p w14:paraId="06766761" w14:textId="3483BE7C" w:rsidR="00743A2C" w:rsidRDefault="00743A2C" w:rsidP="008429B9">
            <w:pPr>
              <w:pStyle w:val="Tabletext1"/>
              <w:jc w:val="left"/>
            </w:pPr>
            <w:r>
              <w:t xml:space="preserve">The health benefit of testing for (1) above has already been examined in the submission to the </w:t>
            </w:r>
            <w:r w:rsidR="00F7252B" w:rsidRPr="008429B9">
              <w:rPr>
                <w:rStyle w:val="TableTextChar0"/>
                <w:rFonts w:eastAsiaTheme="minorEastAsia"/>
              </w:rPr>
              <w:t>Pharmaceutical Benefits Advisory Committee (</w:t>
            </w:r>
            <w:r>
              <w:t>PBAC</w:t>
            </w:r>
            <w:r w:rsidR="00F7252B">
              <w:t>)</w:t>
            </w:r>
            <w:r>
              <w:t xml:space="preserve"> for ivacaftor. Therefore, only the accuracy of </w:t>
            </w:r>
            <w:r w:rsidR="00FD37D3" w:rsidRPr="00FD37D3">
              <w:t>CFTR</w:t>
            </w:r>
            <w:r>
              <w:t xml:space="preserve"> testing for this indication </w:t>
            </w:r>
            <w:r w:rsidR="00CC2D81">
              <w:t>was</w:t>
            </w:r>
            <w:r>
              <w:t xml:space="preserve"> examined in the MSAC assessment. </w:t>
            </w:r>
          </w:p>
          <w:p w14:paraId="0768B37B" w14:textId="34F5B315" w:rsidR="00743A2C" w:rsidRDefault="00743A2C" w:rsidP="008429B9">
            <w:pPr>
              <w:pStyle w:val="Tabletext1"/>
              <w:jc w:val="left"/>
            </w:pPr>
            <w:r>
              <w:t xml:space="preserve">The benefit of testing this population for reproductive planning will be examined in the contracted assessment of </w:t>
            </w:r>
            <w:r w:rsidR="006857F3">
              <w:t>p</w:t>
            </w:r>
            <w:r>
              <w:t>re-implantation genetic diagnosis (MSAC 1165). PASC agreed that it need not be re-</w:t>
            </w:r>
            <w:r>
              <w:lastRenderedPageBreak/>
              <w:t xml:space="preserve">examined specifically for </w:t>
            </w:r>
            <w:r w:rsidR="00FD37D3" w:rsidRPr="00FD37D3">
              <w:t>CFTR</w:t>
            </w:r>
            <w:r>
              <w:t xml:space="preserve">. Therefore, only the accuracy of </w:t>
            </w:r>
            <w:r w:rsidR="00FD37D3" w:rsidRPr="00FD37D3">
              <w:t>CFTR</w:t>
            </w:r>
            <w:r>
              <w:t xml:space="preserve"> testing for this indication </w:t>
            </w:r>
            <w:r w:rsidR="00CC2D81">
              <w:t>was</w:t>
            </w:r>
            <w:r>
              <w:t xml:space="preserve"> assessed. </w:t>
            </w:r>
          </w:p>
          <w:p w14:paraId="56BA34D9" w14:textId="50E3F8D5" w:rsidR="00743A2C" w:rsidRDefault="00743A2C" w:rsidP="008429B9">
            <w:pPr>
              <w:pStyle w:val="Tabletext1"/>
              <w:jc w:val="left"/>
            </w:pPr>
            <w:r>
              <w:t xml:space="preserve">The financial implications associated with the genetic testing of patients with symptoms of classic </w:t>
            </w:r>
            <w:r w:rsidR="006857F3">
              <w:t>CF</w:t>
            </w:r>
            <w:r>
              <w:t xml:space="preserve"> </w:t>
            </w:r>
            <w:r w:rsidR="00CC2D81">
              <w:t>were</w:t>
            </w:r>
            <w:r>
              <w:t xml:space="preserve"> evaluated.</w:t>
            </w:r>
          </w:p>
        </w:tc>
        <w:tc>
          <w:tcPr>
            <w:tcW w:w="1682" w:type="dxa"/>
          </w:tcPr>
          <w:p w14:paraId="408A4764" w14:textId="7C00D947" w:rsidR="008863E8" w:rsidRDefault="00743A2C" w:rsidP="00B93727">
            <w:pPr>
              <w:pStyle w:val="Tabletext1"/>
              <w:jc w:val="left"/>
            </w:pPr>
            <w:r>
              <w:lastRenderedPageBreak/>
              <w:t xml:space="preserve">Accuracy </w:t>
            </w:r>
            <w:r w:rsidR="008863E8">
              <w:t>(</w:t>
            </w:r>
            <w:r w:rsidR="00F7252B">
              <w:t xml:space="preserve">see </w:t>
            </w:r>
            <w:r w:rsidR="008863E8">
              <w:fldChar w:fldCharType="begin"/>
            </w:r>
            <w:r w:rsidR="008863E8">
              <w:instrText xml:space="preserve"> REF _Ref401918684 \h </w:instrText>
            </w:r>
            <w:r w:rsidR="004245A0">
              <w:instrText xml:space="preserve"> \* MERGEFORMAT </w:instrText>
            </w:r>
            <w:r w:rsidR="008863E8">
              <w:fldChar w:fldCharType="separate"/>
            </w:r>
            <w:r w:rsidR="00BB0E3E">
              <w:t xml:space="preserve">Table </w:t>
            </w:r>
            <w:r w:rsidR="00BB0E3E">
              <w:rPr>
                <w:noProof/>
              </w:rPr>
              <w:t>10</w:t>
            </w:r>
            <w:r w:rsidR="008863E8">
              <w:fldChar w:fldCharType="end"/>
            </w:r>
            <w:r w:rsidR="008863E8">
              <w:t>)</w:t>
            </w:r>
          </w:p>
          <w:p w14:paraId="13E1AA03" w14:textId="77777777" w:rsidR="00743A2C" w:rsidRDefault="00743A2C" w:rsidP="008429B9">
            <w:pPr>
              <w:pStyle w:val="Tabletext1"/>
              <w:jc w:val="left"/>
            </w:pPr>
            <w:r>
              <w:t>Financial impact</w:t>
            </w:r>
          </w:p>
        </w:tc>
      </w:tr>
      <w:tr w:rsidR="002F607E" w:rsidRPr="008C2030" w14:paraId="3486C002" w14:textId="77777777" w:rsidTr="004245A0">
        <w:tc>
          <w:tcPr>
            <w:tcW w:w="2175" w:type="dxa"/>
          </w:tcPr>
          <w:p w14:paraId="7082A5BB" w14:textId="2F3E4013" w:rsidR="002F607E" w:rsidRDefault="002F607E" w:rsidP="00557DBD">
            <w:pPr>
              <w:pStyle w:val="Tabletext1"/>
              <w:jc w:val="left"/>
            </w:pPr>
            <w:r>
              <w:lastRenderedPageBreak/>
              <w:t>1c. Patients with chronic symptoms of non-classic CF</w:t>
            </w:r>
          </w:p>
        </w:tc>
        <w:tc>
          <w:tcPr>
            <w:tcW w:w="1296" w:type="dxa"/>
          </w:tcPr>
          <w:p w14:paraId="5F1CF15D" w14:textId="33F3812B" w:rsidR="002F607E" w:rsidRPr="00D94E88" w:rsidRDefault="002F607E" w:rsidP="00557DBD">
            <w:pPr>
              <w:pStyle w:val="Caption"/>
              <w:jc w:val="left"/>
            </w:pPr>
            <w:r>
              <w:rPr>
                <w:b w:val="0"/>
              </w:rPr>
              <w:t xml:space="preserve">Figure 2 </w:t>
            </w:r>
            <w:r w:rsidRPr="006B7363">
              <w:rPr>
                <w:b w:val="0"/>
              </w:rPr>
              <w:t xml:space="preserve">and, if using the information for reproductive planning, </w:t>
            </w:r>
            <w:r>
              <w:rPr>
                <w:b w:val="0"/>
              </w:rPr>
              <w:t>Figure 4</w:t>
            </w:r>
          </w:p>
        </w:tc>
        <w:tc>
          <w:tcPr>
            <w:tcW w:w="4092" w:type="dxa"/>
          </w:tcPr>
          <w:p w14:paraId="7464757E" w14:textId="77777777" w:rsidR="002F607E" w:rsidRDefault="002F607E" w:rsidP="00557DBD">
            <w:pPr>
              <w:pStyle w:val="Tabletext1"/>
              <w:jc w:val="left"/>
            </w:pPr>
            <w:r>
              <w:t>As per population 2 above.</w:t>
            </w:r>
          </w:p>
        </w:tc>
        <w:tc>
          <w:tcPr>
            <w:tcW w:w="1682" w:type="dxa"/>
          </w:tcPr>
          <w:p w14:paraId="4CFC5484" w14:textId="479C84AF" w:rsidR="002F607E" w:rsidRDefault="002F607E" w:rsidP="00B93727">
            <w:pPr>
              <w:pStyle w:val="Tabletext1"/>
              <w:jc w:val="left"/>
            </w:pPr>
            <w:r>
              <w:t xml:space="preserve">Accuracy (see </w:t>
            </w:r>
            <w:r>
              <w:fldChar w:fldCharType="begin"/>
            </w:r>
            <w:r>
              <w:instrText xml:space="preserve"> REF _Ref401918684 \h </w:instrText>
            </w:r>
            <w:r w:rsidR="004245A0">
              <w:instrText xml:space="preserve"> \* MERGEFORMAT </w:instrText>
            </w:r>
            <w:r>
              <w:fldChar w:fldCharType="separate"/>
            </w:r>
            <w:r w:rsidR="00BB0E3E">
              <w:t xml:space="preserve">Table </w:t>
            </w:r>
            <w:r w:rsidR="00BB0E3E">
              <w:rPr>
                <w:noProof/>
              </w:rPr>
              <w:t>10</w:t>
            </w:r>
            <w:r>
              <w:fldChar w:fldCharType="end"/>
            </w:r>
            <w:r>
              <w:t>)</w:t>
            </w:r>
          </w:p>
          <w:p w14:paraId="07431B9B" w14:textId="77777777" w:rsidR="002F607E" w:rsidRDefault="002F607E" w:rsidP="00557DBD">
            <w:pPr>
              <w:pStyle w:val="Tabletext1"/>
              <w:jc w:val="left"/>
            </w:pPr>
            <w:r>
              <w:t>Financial impact</w:t>
            </w:r>
          </w:p>
        </w:tc>
      </w:tr>
      <w:tr w:rsidR="002F607E" w:rsidRPr="008C2030" w14:paraId="6E61BC96" w14:textId="77777777" w:rsidTr="004245A0">
        <w:tc>
          <w:tcPr>
            <w:tcW w:w="2175" w:type="dxa"/>
          </w:tcPr>
          <w:p w14:paraId="3080D722" w14:textId="2BA33026" w:rsidR="002F607E" w:rsidRDefault="002F607E" w:rsidP="00557DBD">
            <w:pPr>
              <w:pStyle w:val="Tabletext1"/>
              <w:jc w:val="left"/>
            </w:pPr>
            <w:r>
              <w:t>1d. Men with CAVD</w:t>
            </w:r>
          </w:p>
        </w:tc>
        <w:tc>
          <w:tcPr>
            <w:tcW w:w="1296" w:type="dxa"/>
          </w:tcPr>
          <w:p w14:paraId="59C9F4FD" w14:textId="741FE417" w:rsidR="002F607E" w:rsidRPr="00E15116" w:rsidRDefault="002F607E" w:rsidP="00557DBD">
            <w:pPr>
              <w:pStyle w:val="Caption"/>
              <w:jc w:val="left"/>
            </w:pPr>
            <w:r>
              <w:rPr>
                <w:b w:val="0"/>
              </w:rPr>
              <w:t>Figure 2 and</w:t>
            </w:r>
            <w:r w:rsidRPr="006B7363">
              <w:rPr>
                <w:b w:val="0"/>
              </w:rPr>
              <w:t xml:space="preserve"> </w:t>
            </w:r>
            <w:r>
              <w:rPr>
                <w:b w:val="0"/>
              </w:rPr>
              <w:t>Figure 4</w:t>
            </w:r>
          </w:p>
        </w:tc>
        <w:tc>
          <w:tcPr>
            <w:tcW w:w="4092" w:type="dxa"/>
          </w:tcPr>
          <w:p w14:paraId="33C86C3F" w14:textId="77777777" w:rsidR="002F607E" w:rsidRDefault="002F607E" w:rsidP="00557DBD">
            <w:pPr>
              <w:pStyle w:val="Tabletext1"/>
              <w:jc w:val="left"/>
            </w:pPr>
            <w:r>
              <w:t xml:space="preserve">Considered to have symptoms of non-classic CF. The key benefit of testing within this population would be to inform reproductive planning. </w:t>
            </w:r>
          </w:p>
          <w:p w14:paraId="2AED7AAA" w14:textId="28C81E76" w:rsidR="002F607E" w:rsidRDefault="002F607E" w:rsidP="00557DBD">
            <w:pPr>
              <w:pStyle w:val="Tabletext1"/>
              <w:jc w:val="left"/>
            </w:pPr>
            <w:r>
              <w:t xml:space="preserve">The benefit of testing for this purpose will be examined in the contracted assessment of pre-implantation genetic diagnosis (MSAC 1165). PASC agreed that this need not be re-examined specifically for </w:t>
            </w:r>
            <w:r w:rsidRPr="00FD37D3">
              <w:t>CFTR</w:t>
            </w:r>
            <w:r>
              <w:t>. Therefore, only the accuracy of testing for this indication was assessed and the financial implications of providing this testing were estimated.</w:t>
            </w:r>
          </w:p>
        </w:tc>
        <w:tc>
          <w:tcPr>
            <w:tcW w:w="1682" w:type="dxa"/>
          </w:tcPr>
          <w:p w14:paraId="73879410" w14:textId="5A9B0C35" w:rsidR="002F607E" w:rsidRDefault="002F607E" w:rsidP="00B93727">
            <w:pPr>
              <w:pStyle w:val="Tabletext1"/>
              <w:jc w:val="left"/>
            </w:pPr>
            <w:r>
              <w:t xml:space="preserve">Accuracy (see </w:t>
            </w:r>
            <w:r>
              <w:fldChar w:fldCharType="begin"/>
            </w:r>
            <w:r>
              <w:instrText xml:space="preserve"> REF _Ref401918684 \h </w:instrText>
            </w:r>
            <w:r w:rsidR="004245A0">
              <w:instrText xml:space="preserve"> \* MERGEFORMAT </w:instrText>
            </w:r>
            <w:r>
              <w:fldChar w:fldCharType="separate"/>
            </w:r>
            <w:r w:rsidR="00BB0E3E">
              <w:t xml:space="preserve">Table </w:t>
            </w:r>
            <w:r w:rsidR="00BB0E3E">
              <w:rPr>
                <w:noProof/>
              </w:rPr>
              <w:t>10</w:t>
            </w:r>
            <w:r>
              <w:fldChar w:fldCharType="end"/>
            </w:r>
            <w:r>
              <w:t>)</w:t>
            </w:r>
          </w:p>
          <w:p w14:paraId="33480E84" w14:textId="77777777" w:rsidR="002F607E" w:rsidRDefault="002F607E" w:rsidP="00557DBD">
            <w:pPr>
              <w:pStyle w:val="Tabletext1"/>
              <w:jc w:val="left"/>
            </w:pPr>
            <w:r>
              <w:t>Financial impact</w:t>
            </w:r>
          </w:p>
        </w:tc>
      </w:tr>
      <w:tr w:rsidR="00743A2C" w:rsidRPr="008C2030" w14:paraId="5174F12A" w14:textId="77777777" w:rsidTr="004245A0">
        <w:tc>
          <w:tcPr>
            <w:tcW w:w="2175" w:type="dxa"/>
          </w:tcPr>
          <w:p w14:paraId="368CB024" w14:textId="474450B5" w:rsidR="00743A2C" w:rsidRPr="005175FA" w:rsidRDefault="00A70610" w:rsidP="00557DBD">
            <w:pPr>
              <w:pStyle w:val="Tabletext1"/>
              <w:jc w:val="left"/>
            </w:pPr>
            <w:r w:rsidRPr="005175FA">
              <w:t>2a</w:t>
            </w:r>
            <w:r w:rsidR="00743A2C" w:rsidRPr="005175FA">
              <w:t xml:space="preserve">. Prenatal diagnosis of couples who have a previous child with CF or </w:t>
            </w:r>
            <w:r w:rsidR="00FD37D3" w:rsidRPr="005175FA">
              <w:t>CFTR</w:t>
            </w:r>
            <w:r w:rsidR="00743A2C" w:rsidRPr="005175FA">
              <w:t xml:space="preserve">-related disorder, or who are found to be carriers of a </w:t>
            </w:r>
            <w:r w:rsidR="00FD37D3" w:rsidRPr="005175FA">
              <w:t>CFTR</w:t>
            </w:r>
            <w:r w:rsidR="00743A2C" w:rsidRPr="005175FA">
              <w:t xml:space="preserve"> mutation</w:t>
            </w:r>
          </w:p>
        </w:tc>
        <w:tc>
          <w:tcPr>
            <w:tcW w:w="1296" w:type="dxa"/>
          </w:tcPr>
          <w:p w14:paraId="4E4E336A" w14:textId="3682B021" w:rsidR="00743A2C" w:rsidRPr="00A5437B" w:rsidRDefault="00A5437B" w:rsidP="00A5437B">
            <w:pPr>
              <w:pStyle w:val="Caption"/>
              <w:rPr>
                <w:b w:val="0"/>
              </w:rPr>
            </w:pPr>
            <w:r w:rsidRPr="00A5437B">
              <w:rPr>
                <w:b w:val="0"/>
              </w:rPr>
              <w:fldChar w:fldCharType="begin"/>
            </w:r>
            <w:r w:rsidRPr="00A5437B">
              <w:rPr>
                <w:b w:val="0"/>
              </w:rPr>
              <w:instrText xml:space="preserve"> REF _Ref422323388 \h  \* MERGEFORMAT </w:instrText>
            </w:r>
            <w:r w:rsidRPr="00A5437B">
              <w:rPr>
                <w:b w:val="0"/>
              </w:rPr>
            </w:r>
            <w:r w:rsidRPr="00A5437B">
              <w:rPr>
                <w:b w:val="0"/>
              </w:rPr>
              <w:fldChar w:fldCharType="separate"/>
            </w:r>
            <w:r w:rsidR="00BB0E3E" w:rsidRPr="00BB0E3E">
              <w:rPr>
                <w:b w:val="0"/>
              </w:rPr>
              <w:t xml:space="preserve">Figure </w:t>
            </w:r>
            <w:r w:rsidR="00BB0E3E" w:rsidRPr="00BB0E3E">
              <w:rPr>
                <w:b w:val="0"/>
                <w:noProof/>
              </w:rPr>
              <w:t>3</w:t>
            </w:r>
            <w:r w:rsidRPr="00A5437B">
              <w:rPr>
                <w:b w:val="0"/>
              </w:rPr>
              <w:fldChar w:fldCharType="end"/>
            </w:r>
          </w:p>
        </w:tc>
        <w:tc>
          <w:tcPr>
            <w:tcW w:w="4092" w:type="dxa"/>
          </w:tcPr>
          <w:p w14:paraId="29173749" w14:textId="1E3FBAC5" w:rsidR="00743A2C" w:rsidRDefault="00743A2C" w:rsidP="00557DBD">
            <w:pPr>
              <w:pStyle w:val="Tabletext1"/>
              <w:jc w:val="left"/>
            </w:pPr>
            <w:r>
              <w:t xml:space="preserve">This population has not been assessed elsewhere. Therefore, a systematic review </w:t>
            </w:r>
            <w:r w:rsidR="00C41C8F">
              <w:t>was</w:t>
            </w:r>
            <w:r>
              <w:t xml:space="preserve"> performed assessing the safety and effectiveness of prenatal test</w:t>
            </w:r>
            <w:r w:rsidR="00C41C8F">
              <w:t>ing of couples, and, if they are</w:t>
            </w:r>
            <w:r>
              <w:t xml:space="preserve"> found to be carriers, genetic testing of the fetus and possible </w:t>
            </w:r>
            <w:r w:rsidR="0089104B">
              <w:t>TOP</w:t>
            </w:r>
            <w:r>
              <w:t xml:space="preserve">. </w:t>
            </w:r>
          </w:p>
          <w:p w14:paraId="7AB0B3D2" w14:textId="28609CB7" w:rsidR="00743A2C" w:rsidRDefault="00C41C8F" w:rsidP="00557DBD">
            <w:pPr>
              <w:pStyle w:val="Tabletext1"/>
              <w:jc w:val="left"/>
            </w:pPr>
            <w:r>
              <w:t>A discussion was</w:t>
            </w:r>
            <w:r w:rsidR="00743A2C">
              <w:t xml:space="preserve"> provided on the psychological impact of </w:t>
            </w:r>
            <w:r w:rsidR="0089104B">
              <w:t>TOP</w:t>
            </w:r>
            <w:r w:rsidR="00743A2C">
              <w:t xml:space="preserve"> and of caring for a child with CF.</w:t>
            </w:r>
          </w:p>
          <w:p w14:paraId="67EF8A5B" w14:textId="77777777" w:rsidR="00743A2C" w:rsidRDefault="00743A2C" w:rsidP="00557DBD">
            <w:pPr>
              <w:pStyle w:val="Tabletext1"/>
              <w:jc w:val="left"/>
            </w:pPr>
            <w:r>
              <w:t xml:space="preserve">Cost-effectiveness </w:t>
            </w:r>
            <w:r w:rsidR="00C41C8F">
              <w:t xml:space="preserve">was </w:t>
            </w:r>
            <w:r>
              <w:t>determined by cost per case avoided, with a discussion on the lifetime cost of treating a person with CF.</w:t>
            </w:r>
          </w:p>
        </w:tc>
        <w:tc>
          <w:tcPr>
            <w:tcW w:w="1682" w:type="dxa"/>
          </w:tcPr>
          <w:p w14:paraId="79BEBBE7" w14:textId="77777777" w:rsidR="00BB0E3E" w:rsidRPr="00A17C17" w:rsidRDefault="00743A2C" w:rsidP="00BB0E3E">
            <w:pPr>
              <w:pStyle w:val="Tabletext1"/>
              <w:jc w:val="left"/>
              <w:rPr>
                <w:sz w:val="18"/>
                <w:szCs w:val="18"/>
              </w:rPr>
            </w:pPr>
            <w:r>
              <w:t>S</w:t>
            </w:r>
            <w:r w:rsidRPr="003B6F2D">
              <w:t xml:space="preserve">afety, effectiveness and cost-effectiveness </w:t>
            </w:r>
            <w:r w:rsidR="00B570A9" w:rsidRPr="003B6F2D">
              <w:t>(</w:t>
            </w:r>
            <w:r w:rsidR="00CA55F9" w:rsidRPr="00B278B4">
              <w:t>see</w:t>
            </w:r>
            <w:r w:rsidR="00B570A9" w:rsidRPr="00B278B4">
              <w:fldChar w:fldCharType="begin"/>
            </w:r>
            <w:r w:rsidR="00B570A9" w:rsidRPr="00B278B4">
              <w:instrText xml:space="preserve"> REF _Ref401919676 \h  \* MERGEFORMAT </w:instrText>
            </w:r>
            <w:r w:rsidR="00B570A9" w:rsidRPr="00B278B4">
              <w:fldChar w:fldCharType="separate"/>
            </w:r>
            <w:r w:rsidR="00BB0E3E" w:rsidRPr="00A17C17">
              <w:rPr>
                <w:sz w:val="18"/>
                <w:szCs w:val="18"/>
              </w:rPr>
              <w:t>CF</w:t>
            </w:r>
            <w:r w:rsidR="00BB0E3E" w:rsidRPr="00BB0E3E">
              <w:t xml:space="preserve"> =</w:t>
            </w:r>
            <w:r w:rsidR="00BB0E3E" w:rsidRPr="00BB0E3E">
              <w:rPr>
                <w:noProof/>
              </w:rPr>
              <w:t xml:space="preserve"> </w:t>
            </w:r>
            <w:r w:rsidR="00BB0E3E" w:rsidRPr="00A17C17">
              <w:rPr>
                <w:sz w:val="18"/>
                <w:szCs w:val="18"/>
              </w:rPr>
              <w:t xml:space="preserve">cystic fibrosis; CFTR = cystic fibrosis transmembrane conductance regulator </w:t>
            </w:r>
          </w:p>
          <w:p w14:paraId="6B9BA3B1" w14:textId="1EA27C2F" w:rsidR="00743A2C" w:rsidRPr="00557DBD" w:rsidRDefault="00BB0E3E" w:rsidP="00245852">
            <w:pPr>
              <w:pStyle w:val="Tabletext1"/>
              <w:jc w:val="left"/>
              <w:rPr>
                <w:sz w:val="18"/>
                <w:szCs w:val="18"/>
              </w:rPr>
            </w:pPr>
            <w:r>
              <w:t xml:space="preserve">Table </w:t>
            </w:r>
            <w:r>
              <w:rPr>
                <w:noProof/>
              </w:rPr>
              <w:t>11</w:t>
            </w:r>
            <w:r w:rsidR="00B570A9" w:rsidRPr="00B278B4">
              <w:fldChar w:fldCharType="end"/>
            </w:r>
            <w:r w:rsidR="00B570A9" w:rsidRPr="00B278B4">
              <w:t xml:space="preserve"> and </w:t>
            </w:r>
            <w:r w:rsidR="00B570A9" w:rsidRPr="00B278B4">
              <w:fldChar w:fldCharType="begin"/>
            </w:r>
            <w:r w:rsidR="00B570A9" w:rsidRPr="00B278B4">
              <w:instrText xml:space="preserve"> REF _Ref401919679 \h  \* MERGEFORMAT </w:instrText>
            </w:r>
            <w:r w:rsidR="00B570A9" w:rsidRPr="00B278B4">
              <w:fldChar w:fldCharType="separate"/>
            </w:r>
            <w:r>
              <w:t xml:space="preserve">Table </w:t>
            </w:r>
            <w:r>
              <w:rPr>
                <w:noProof/>
              </w:rPr>
              <w:t>12</w:t>
            </w:r>
            <w:r w:rsidR="00B570A9" w:rsidRPr="00B278B4">
              <w:fldChar w:fldCharType="end"/>
            </w:r>
            <w:r w:rsidR="00B570A9" w:rsidRPr="00B278B4">
              <w:t>)</w:t>
            </w:r>
          </w:p>
          <w:p w14:paraId="4CE3A6F3" w14:textId="77777777" w:rsidR="00743A2C" w:rsidRPr="00B278B4" w:rsidRDefault="00743A2C" w:rsidP="00557DBD">
            <w:pPr>
              <w:pStyle w:val="Tabletext1"/>
              <w:jc w:val="left"/>
            </w:pPr>
            <w:r w:rsidRPr="00B278B4">
              <w:t xml:space="preserve">Linked evidence analysis: </w:t>
            </w:r>
          </w:p>
          <w:p w14:paraId="5488969C" w14:textId="093036E8" w:rsidR="00743A2C" w:rsidRPr="00245852" w:rsidRDefault="00743A2C" w:rsidP="00245852">
            <w:pPr>
              <w:spacing w:after="0" w:line="240" w:lineRule="auto"/>
              <w:jc w:val="left"/>
              <w:rPr>
                <w:rFonts w:ascii="Arial Narrow" w:hAnsi="Arial Narrow"/>
                <w:sz w:val="20"/>
                <w:szCs w:val="20"/>
              </w:rPr>
            </w:pPr>
            <w:r w:rsidRPr="00245852">
              <w:rPr>
                <w:rFonts w:ascii="Arial Narrow" w:hAnsi="Arial Narrow"/>
                <w:sz w:val="20"/>
                <w:szCs w:val="20"/>
              </w:rPr>
              <w:t xml:space="preserve">Accuracy </w:t>
            </w:r>
            <w:r w:rsidR="003D7EBA" w:rsidRPr="00245852">
              <w:rPr>
                <w:rFonts w:ascii="Arial Narrow" w:hAnsi="Arial Narrow"/>
                <w:sz w:val="20"/>
                <w:szCs w:val="20"/>
              </w:rPr>
              <w:t>(</w:t>
            </w:r>
            <w:r w:rsidR="003B6F2D" w:rsidRPr="00557DBD">
              <w:rPr>
                <w:rFonts w:ascii="Arial Narrow" w:hAnsi="Arial Narrow"/>
                <w:sz w:val="20"/>
                <w:szCs w:val="20"/>
              </w:rPr>
              <w:t xml:space="preserve">see </w:t>
            </w:r>
            <w:r w:rsidR="003D7EBA" w:rsidRPr="00557DBD">
              <w:rPr>
                <w:rFonts w:ascii="Arial Narrow" w:hAnsi="Arial Narrow"/>
                <w:sz w:val="20"/>
                <w:szCs w:val="20"/>
              </w:rPr>
              <w:fldChar w:fldCharType="begin"/>
            </w:r>
            <w:r w:rsidR="003D7EBA" w:rsidRPr="00245852">
              <w:rPr>
                <w:rFonts w:ascii="Arial Narrow" w:hAnsi="Arial Narrow"/>
                <w:sz w:val="20"/>
                <w:szCs w:val="20"/>
              </w:rPr>
              <w:instrText xml:space="preserve"> REF _Ref401919759 \h </w:instrText>
            </w:r>
            <w:r w:rsidR="004245A0">
              <w:rPr>
                <w:rFonts w:ascii="Arial Narrow" w:hAnsi="Arial Narrow"/>
                <w:sz w:val="20"/>
                <w:szCs w:val="20"/>
              </w:rPr>
              <w:instrText xml:space="preserve"> \* MERGEFORMAT </w:instrText>
            </w:r>
            <w:r w:rsidR="003D7EBA" w:rsidRPr="00557DBD">
              <w:rPr>
                <w:rFonts w:ascii="Arial Narrow" w:hAnsi="Arial Narrow"/>
                <w:sz w:val="20"/>
                <w:szCs w:val="20"/>
              </w:rPr>
            </w:r>
            <w:r w:rsidR="003D7EBA" w:rsidRPr="00557DBD">
              <w:rPr>
                <w:rFonts w:ascii="Arial Narrow" w:hAnsi="Arial Narrow"/>
                <w:sz w:val="20"/>
                <w:szCs w:val="20"/>
              </w:rPr>
              <w:fldChar w:fldCharType="separate"/>
            </w:r>
            <w:r w:rsidR="00BB0E3E">
              <w:t xml:space="preserve">Table </w:t>
            </w:r>
            <w:r w:rsidR="00BB0E3E">
              <w:rPr>
                <w:noProof/>
              </w:rPr>
              <w:t>13</w:t>
            </w:r>
            <w:r w:rsidR="003D7EBA" w:rsidRPr="00557DBD">
              <w:rPr>
                <w:rFonts w:ascii="Arial Narrow" w:hAnsi="Arial Narrow"/>
                <w:sz w:val="20"/>
                <w:szCs w:val="20"/>
              </w:rPr>
              <w:fldChar w:fldCharType="end"/>
            </w:r>
            <w:r w:rsidR="003D7EBA" w:rsidRPr="00245852">
              <w:rPr>
                <w:rFonts w:ascii="Arial Narrow" w:hAnsi="Arial Narrow"/>
                <w:sz w:val="20"/>
                <w:szCs w:val="20"/>
              </w:rPr>
              <w:t xml:space="preserve"> and</w:t>
            </w:r>
            <w:r w:rsidR="00245852">
              <w:rPr>
                <w:rFonts w:ascii="Arial Narrow" w:hAnsi="Arial Narrow"/>
                <w:sz w:val="20"/>
                <w:szCs w:val="20"/>
              </w:rPr>
              <w:t xml:space="preserve"> Table 14)</w:t>
            </w:r>
          </w:p>
          <w:p w14:paraId="7BD23DDD" w14:textId="20713DA6" w:rsidR="003D7EBA" w:rsidRPr="00B278B4" w:rsidRDefault="00743A2C" w:rsidP="00245852">
            <w:pPr>
              <w:pStyle w:val="Tabletext1"/>
              <w:jc w:val="left"/>
            </w:pPr>
            <w:r w:rsidRPr="00245852">
              <w:t xml:space="preserve">Change in </w:t>
            </w:r>
            <w:r w:rsidRPr="00B278B4">
              <w:t xml:space="preserve">management </w:t>
            </w:r>
            <w:r w:rsidR="003D7EBA" w:rsidRPr="00B278B4">
              <w:t>(</w:t>
            </w:r>
            <w:r w:rsidR="00CA55F9" w:rsidRPr="00B278B4">
              <w:t xml:space="preserve">see </w:t>
            </w:r>
            <w:r w:rsidR="003D7EBA" w:rsidRPr="00B278B4">
              <w:fldChar w:fldCharType="begin"/>
            </w:r>
            <w:r w:rsidR="003D7EBA" w:rsidRPr="00B278B4">
              <w:instrText xml:space="preserve"> REF _Ref401919805 \h </w:instrText>
            </w:r>
            <w:r w:rsidR="004245A0">
              <w:instrText xml:space="preserve"> \* MERGEFORMAT </w:instrText>
            </w:r>
            <w:r w:rsidR="003D7EBA" w:rsidRPr="00B278B4">
              <w:fldChar w:fldCharType="separate"/>
            </w:r>
            <w:r w:rsidR="00BB0E3E">
              <w:t xml:space="preserve">Table </w:t>
            </w:r>
            <w:r w:rsidR="00BB0E3E">
              <w:rPr>
                <w:noProof/>
              </w:rPr>
              <w:t>15</w:t>
            </w:r>
            <w:r w:rsidR="003D7EBA" w:rsidRPr="00B278B4">
              <w:fldChar w:fldCharType="end"/>
            </w:r>
            <w:r w:rsidR="003D7EBA" w:rsidRPr="00B278B4">
              <w:t xml:space="preserve"> and </w:t>
            </w:r>
            <w:r w:rsidR="003D7EBA" w:rsidRPr="00B278B4">
              <w:fldChar w:fldCharType="begin"/>
            </w:r>
            <w:r w:rsidR="003D7EBA" w:rsidRPr="00B278B4">
              <w:instrText xml:space="preserve"> REF _Ref410916060 \h </w:instrText>
            </w:r>
            <w:r w:rsidR="004245A0">
              <w:instrText xml:space="preserve"> \* MERGEFORMAT </w:instrText>
            </w:r>
            <w:r w:rsidR="003D7EBA" w:rsidRPr="00B278B4">
              <w:fldChar w:fldCharType="separate"/>
            </w:r>
            <w:r w:rsidR="00BB0E3E">
              <w:t xml:space="preserve">Table </w:t>
            </w:r>
            <w:r w:rsidR="00BB0E3E">
              <w:rPr>
                <w:noProof/>
              </w:rPr>
              <w:t>16</w:t>
            </w:r>
            <w:r w:rsidR="003D7EBA" w:rsidRPr="00B278B4">
              <w:fldChar w:fldCharType="end"/>
            </w:r>
            <w:r w:rsidR="003D7EBA" w:rsidRPr="00B278B4">
              <w:t>)</w:t>
            </w:r>
          </w:p>
          <w:p w14:paraId="4B9C525A" w14:textId="3356D9DB" w:rsidR="00743A2C" w:rsidRPr="003B6F2D" w:rsidRDefault="00743A2C" w:rsidP="00245852">
            <w:pPr>
              <w:pStyle w:val="Tabletext1"/>
              <w:jc w:val="left"/>
            </w:pPr>
            <w:r w:rsidRPr="003B6F2D">
              <w:t xml:space="preserve">Impact of change in management </w:t>
            </w:r>
            <w:r w:rsidR="003D7EBA" w:rsidRPr="003B6F2D">
              <w:t>(</w:t>
            </w:r>
            <w:r w:rsidR="00CA55F9" w:rsidRPr="003B6F2D">
              <w:t xml:space="preserve">see </w:t>
            </w:r>
            <w:r w:rsidR="003D7EBA" w:rsidRPr="003B6F2D">
              <w:fldChar w:fldCharType="begin"/>
            </w:r>
            <w:r w:rsidR="003D7EBA" w:rsidRPr="003B6F2D">
              <w:instrText xml:space="preserve"> REF _Ref401919817 \h </w:instrText>
            </w:r>
            <w:r w:rsidR="004245A0">
              <w:instrText xml:space="preserve"> \* MERGEFORMAT </w:instrText>
            </w:r>
            <w:r w:rsidR="003D7EBA" w:rsidRPr="003B6F2D">
              <w:fldChar w:fldCharType="separate"/>
            </w:r>
            <w:r w:rsidR="00BB0E3E">
              <w:t xml:space="preserve">Table </w:t>
            </w:r>
            <w:r w:rsidR="00BB0E3E">
              <w:rPr>
                <w:noProof/>
              </w:rPr>
              <w:t>17</w:t>
            </w:r>
            <w:r w:rsidR="003D7EBA" w:rsidRPr="003B6F2D">
              <w:fldChar w:fldCharType="end"/>
            </w:r>
            <w:r w:rsidR="003D7EBA" w:rsidRPr="003B6F2D">
              <w:t>)</w:t>
            </w:r>
          </w:p>
          <w:p w14:paraId="47102554" w14:textId="77777777" w:rsidR="00743A2C" w:rsidRDefault="00743A2C" w:rsidP="00557DBD">
            <w:pPr>
              <w:pStyle w:val="Tabletext1"/>
              <w:jc w:val="left"/>
            </w:pPr>
            <w:r w:rsidRPr="003B6F2D">
              <w:t xml:space="preserve">Financial </w:t>
            </w:r>
            <w:r>
              <w:t>impact</w:t>
            </w:r>
          </w:p>
        </w:tc>
      </w:tr>
      <w:tr w:rsidR="00743A2C" w:rsidRPr="008C2030" w14:paraId="0F328FAA" w14:textId="77777777" w:rsidTr="004245A0">
        <w:tc>
          <w:tcPr>
            <w:tcW w:w="2175" w:type="dxa"/>
          </w:tcPr>
          <w:p w14:paraId="0E54B672" w14:textId="38B80004" w:rsidR="00743A2C" w:rsidRDefault="00A70610" w:rsidP="00557DBD">
            <w:pPr>
              <w:pStyle w:val="Tabletext1"/>
              <w:jc w:val="left"/>
            </w:pPr>
            <w:r>
              <w:t>2b</w:t>
            </w:r>
            <w:r w:rsidR="00743A2C">
              <w:t>. Fetuses with an echogenic gut</w:t>
            </w:r>
          </w:p>
        </w:tc>
        <w:tc>
          <w:tcPr>
            <w:tcW w:w="1296" w:type="dxa"/>
          </w:tcPr>
          <w:p w14:paraId="62E7F340" w14:textId="643B046C" w:rsidR="00743A2C" w:rsidRPr="00F306E2" w:rsidRDefault="00755EB7" w:rsidP="00A5437B">
            <w:pPr>
              <w:pStyle w:val="Caption"/>
              <w:rPr>
                <w:b w:val="0"/>
              </w:rPr>
            </w:pPr>
            <w:r>
              <w:rPr>
                <w:b w:val="0"/>
              </w:rPr>
              <w:t>Figure 3</w:t>
            </w:r>
          </w:p>
        </w:tc>
        <w:tc>
          <w:tcPr>
            <w:tcW w:w="4092" w:type="dxa"/>
          </w:tcPr>
          <w:p w14:paraId="776BD528" w14:textId="77777777" w:rsidR="00743A2C" w:rsidRDefault="00743A2C" w:rsidP="00557DBD">
            <w:pPr>
              <w:pStyle w:val="Tabletext1"/>
              <w:jc w:val="left"/>
            </w:pPr>
            <w:r>
              <w:t>As per population 5 above.</w:t>
            </w:r>
          </w:p>
        </w:tc>
        <w:tc>
          <w:tcPr>
            <w:tcW w:w="1682" w:type="dxa"/>
          </w:tcPr>
          <w:p w14:paraId="7EDD69D8" w14:textId="5CFCF2C8" w:rsidR="00743A2C" w:rsidRDefault="00743A2C" w:rsidP="00557DBD">
            <w:pPr>
              <w:pStyle w:val="Tabletext1"/>
              <w:jc w:val="left"/>
            </w:pPr>
            <w:r>
              <w:t>As above</w:t>
            </w:r>
          </w:p>
        </w:tc>
      </w:tr>
      <w:tr w:rsidR="00743A2C" w14:paraId="7944D3A3" w14:textId="77777777" w:rsidTr="004245A0">
        <w:tc>
          <w:tcPr>
            <w:tcW w:w="2175" w:type="dxa"/>
          </w:tcPr>
          <w:p w14:paraId="21BE1A8B" w14:textId="77777777" w:rsidR="00743A2C" w:rsidRPr="008C2030" w:rsidRDefault="00743A2C" w:rsidP="00557DBD">
            <w:pPr>
              <w:pStyle w:val="Tabletext1"/>
              <w:jc w:val="left"/>
              <w:rPr>
                <w:b/>
              </w:rPr>
            </w:pPr>
            <w:r w:rsidRPr="008C2030">
              <w:rPr>
                <w:b/>
              </w:rPr>
              <w:t>Additional population accepted by PASC</w:t>
            </w:r>
          </w:p>
        </w:tc>
        <w:tc>
          <w:tcPr>
            <w:tcW w:w="1296" w:type="dxa"/>
          </w:tcPr>
          <w:p w14:paraId="150CF94D" w14:textId="77777777" w:rsidR="00743A2C" w:rsidRPr="00557DBD" w:rsidRDefault="00743A2C" w:rsidP="00557DBD">
            <w:pPr>
              <w:pStyle w:val="Tabletext1"/>
              <w:jc w:val="left"/>
              <w:rPr>
                <w:b/>
              </w:rPr>
            </w:pPr>
            <w:r w:rsidRPr="00557DBD">
              <w:rPr>
                <w:b/>
              </w:rPr>
              <w:t xml:space="preserve">Clinical pathway </w:t>
            </w:r>
          </w:p>
        </w:tc>
        <w:tc>
          <w:tcPr>
            <w:tcW w:w="4092" w:type="dxa"/>
          </w:tcPr>
          <w:p w14:paraId="2DC4B84B" w14:textId="77777777" w:rsidR="00743A2C" w:rsidRPr="008C2030" w:rsidRDefault="00743A2C" w:rsidP="00557DBD">
            <w:pPr>
              <w:pStyle w:val="Tabletext1"/>
              <w:jc w:val="left"/>
              <w:rPr>
                <w:b/>
              </w:rPr>
            </w:pPr>
            <w:r w:rsidRPr="008C2030">
              <w:rPr>
                <w:b/>
              </w:rPr>
              <w:t>How this has been assessed</w:t>
            </w:r>
          </w:p>
        </w:tc>
        <w:tc>
          <w:tcPr>
            <w:tcW w:w="1682" w:type="dxa"/>
          </w:tcPr>
          <w:p w14:paraId="6EDEED5C" w14:textId="77777777" w:rsidR="00743A2C" w:rsidRPr="008C2030" w:rsidRDefault="00743A2C" w:rsidP="00557DBD">
            <w:pPr>
              <w:pStyle w:val="Tabletext1"/>
              <w:jc w:val="left"/>
              <w:rPr>
                <w:b/>
              </w:rPr>
            </w:pPr>
            <w:r w:rsidRPr="008C2030">
              <w:rPr>
                <w:b/>
              </w:rPr>
              <w:t>Summary of approach</w:t>
            </w:r>
          </w:p>
        </w:tc>
      </w:tr>
      <w:tr w:rsidR="00E21243" w14:paraId="3C2CF909" w14:textId="77777777" w:rsidTr="004245A0">
        <w:tc>
          <w:tcPr>
            <w:tcW w:w="2175" w:type="dxa"/>
          </w:tcPr>
          <w:p w14:paraId="6077FFBC" w14:textId="3FAD2D4E" w:rsidR="00E21243" w:rsidRPr="00D94E88" w:rsidRDefault="00E21243" w:rsidP="00557DBD">
            <w:pPr>
              <w:pStyle w:val="Tabletext1"/>
              <w:jc w:val="left"/>
            </w:pPr>
            <w:r w:rsidRPr="00D94E88">
              <w:t>3. Partners of someone who is known to have CF or be a carrier of a CFTR mutation</w:t>
            </w:r>
          </w:p>
        </w:tc>
        <w:tc>
          <w:tcPr>
            <w:tcW w:w="1296" w:type="dxa"/>
          </w:tcPr>
          <w:p w14:paraId="769AC24F" w14:textId="4C10F24F" w:rsidR="00E21243" w:rsidRPr="005175FA" w:rsidRDefault="00E21243" w:rsidP="00557DBD">
            <w:pPr>
              <w:pStyle w:val="Caption"/>
              <w:jc w:val="left"/>
            </w:pPr>
            <w:r>
              <w:rPr>
                <w:b w:val="0"/>
              </w:rPr>
              <w:t>Figure 4</w:t>
            </w:r>
          </w:p>
        </w:tc>
        <w:tc>
          <w:tcPr>
            <w:tcW w:w="4092" w:type="dxa"/>
          </w:tcPr>
          <w:p w14:paraId="2A1D49EF" w14:textId="6EFABE84" w:rsidR="00E21243" w:rsidRDefault="00E21243" w:rsidP="00557DBD">
            <w:pPr>
              <w:pStyle w:val="Tabletext1"/>
              <w:jc w:val="left"/>
            </w:pPr>
            <w:r>
              <w:t xml:space="preserve">The benefit of testing to inform reproductive planning will be examined in the contracted assessment of pre-implantation genetic diagnosis (MSAC 1165), and PASC agreed it need not be re-examined </w:t>
            </w:r>
            <w:r>
              <w:lastRenderedPageBreak/>
              <w:t xml:space="preserve">specifically for </w:t>
            </w:r>
            <w:r w:rsidRPr="00FD37D3">
              <w:t>CFTR</w:t>
            </w:r>
            <w:r>
              <w:t>. Therefore, only the accuracy of testing for this indication was assessed and the financial implications of providing this testing were estimated.</w:t>
            </w:r>
          </w:p>
        </w:tc>
        <w:tc>
          <w:tcPr>
            <w:tcW w:w="1682" w:type="dxa"/>
          </w:tcPr>
          <w:p w14:paraId="40AA2BC4" w14:textId="25F06427" w:rsidR="00E21243" w:rsidRDefault="00E21243" w:rsidP="00B93727">
            <w:pPr>
              <w:pStyle w:val="Tabletext1"/>
              <w:jc w:val="left"/>
            </w:pPr>
            <w:r>
              <w:lastRenderedPageBreak/>
              <w:t xml:space="preserve">Accuracy (see </w:t>
            </w:r>
            <w:r>
              <w:fldChar w:fldCharType="begin"/>
            </w:r>
            <w:r>
              <w:instrText xml:space="preserve"> REF _Ref401918684 \h </w:instrText>
            </w:r>
            <w:r w:rsidR="004245A0">
              <w:instrText xml:space="preserve"> \* MERGEFORMAT </w:instrText>
            </w:r>
            <w:r>
              <w:fldChar w:fldCharType="separate"/>
            </w:r>
            <w:r w:rsidR="00BB0E3E">
              <w:t xml:space="preserve">Table </w:t>
            </w:r>
            <w:r w:rsidR="00BB0E3E">
              <w:rPr>
                <w:noProof/>
              </w:rPr>
              <w:t>10</w:t>
            </w:r>
            <w:r>
              <w:fldChar w:fldCharType="end"/>
            </w:r>
            <w:r>
              <w:t>)</w:t>
            </w:r>
          </w:p>
          <w:p w14:paraId="5B5DE527" w14:textId="77777777" w:rsidR="00E21243" w:rsidRDefault="00E21243" w:rsidP="00557DBD">
            <w:pPr>
              <w:pStyle w:val="Tabletext1"/>
              <w:jc w:val="left"/>
            </w:pPr>
            <w:r>
              <w:t>Financial impact</w:t>
            </w:r>
          </w:p>
        </w:tc>
      </w:tr>
    </w:tbl>
    <w:p w14:paraId="109911CB" w14:textId="20E2CD26" w:rsidR="000354AC" w:rsidRPr="00557DBD" w:rsidRDefault="000354AC" w:rsidP="00557DBD">
      <w:pPr>
        <w:spacing w:after="0" w:line="240" w:lineRule="auto"/>
        <w:rPr>
          <w:rFonts w:ascii="Arial Narrow" w:hAnsi="Arial Narrow"/>
          <w:sz w:val="18"/>
          <w:szCs w:val="18"/>
        </w:rPr>
      </w:pPr>
      <w:r w:rsidRPr="00557DBD">
        <w:rPr>
          <w:rFonts w:ascii="Arial Narrow" w:hAnsi="Arial Narrow"/>
          <w:sz w:val="18"/>
          <w:szCs w:val="18"/>
        </w:rPr>
        <w:lastRenderedPageBreak/>
        <w:t xml:space="preserve">CF = cystic fibrosis; CFTR = cystic fibrosis transmembrane conductance regulator; MSAC = </w:t>
      </w:r>
      <w:r w:rsidR="00124F76" w:rsidRPr="00557DBD">
        <w:rPr>
          <w:rFonts w:ascii="Arial Narrow" w:hAnsi="Arial Narrow"/>
          <w:sz w:val="18"/>
          <w:szCs w:val="18"/>
        </w:rPr>
        <w:t>Medical Services Advisory Committee</w:t>
      </w:r>
      <w:r w:rsidRPr="00557DBD">
        <w:rPr>
          <w:rFonts w:ascii="Arial Narrow" w:hAnsi="Arial Narrow"/>
          <w:sz w:val="18"/>
          <w:szCs w:val="18"/>
        </w:rPr>
        <w:t>; NBS =</w:t>
      </w:r>
      <w:r w:rsidR="00124F76" w:rsidRPr="00557DBD">
        <w:rPr>
          <w:rFonts w:ascii="Arial Narrow" w:hAnsi="Arial Narrow"/>
          <w:sz w:val="18"/>
          <w:szCs w:val="18"/>
        </w:rPr>
        <w:t xml:space="preserve"> newborn screening</w:t>
      </w:r>
      <w:r w:rsidRPr="00557DBD">
        <w:rPr>
          <w:rFonts w:ascii="Arial Narrow" w:hAnsi="Arial Narrow"/>
          <w:sz w:val="18"/>
          <w:szCs w:val="18"/>
        </w:rPr>
        <w:t xml:space="preserve">; PASC = </w:t>
      </w:r>
      <w:r w:rsidR="00124F76" w:rsidRPr="00557DBD">
        <w:rPr>
          <w:rFonts w:ascii="Arial Narrow" w:hAnsi="Arial Narrow"/>
          <w:sz w:val="18"/>
          <w:szCs w:val="18"/>
        </w:rPr>
        <w:t>Protocol Advisory Sub-Committee</w:t>
      </w:r>
      <w:r w:rsidRPr="00557DBD">
        <w:rPr>
          <w:rFonts w:ascii="Arial Narrow" w:hAnsi="Arial Narrow"/>
          <w:sz w:val="18"/>
          <w:szCs w:val="18"/>
        </w:rPr>
        <w:t xml:space="preserve">; PICO = </w:t>
      </w:r>
      <w:r w:rsidR="00124F76" w:rsidRPr="00557DBD">
        <w:rPr>
          <w:rFonts w:ascii="Arial Narrow" w:hAnsi="Arial Narrow"/>
          <w:sz w:val="18"/>
          <w:szCs w:val="18"/>
        </w:rPr>
        <w:t>population, intervention</w:t>
      </w:r>
      <w:r w:rsidR="00CB57C7" w:rsidRPr="008C2810">
        <w:rPr>
          <w:rFonts w:ascii="Arial Narrow" w:hAnsi="Arial Narrow"/>
          <w:sz w:val="18"/>
          <w:szCs w:val="18"/>
        </w:rPr>
        <w:t xml:space="preserve"> </w:t>
      </w:r>
      <w:r w:rsidR="00CB57C7" w:rsidRPr="00557DBD">
        <w:rPr>
          <w:rFonts w:ascii="Arial Narrow" w:hAnsi="Arial Narrow"/>
          <w:color w:val="000000" w:themeColor="text1"/>
          <w:sz w:val="18"/>
          <w:szCs w:val="18"/>
        </w:rPr>
        <w:t>(investigation/index test)</w:t>
      </w:r>
      <w:r w:rsidR="00124F76" w:rsidRPr="00557DBD">
        <w:rPr>
          <w:rFonts w:ascii="Arial Narrow" w:hAnsi="Arial Narrow"/>
          <w:color w:val="000000" w:themeColor="text1"/>
          <w:sz w:val="18"/>
          <w:szCs w:val="18"/>
        </w:rPr>
        <w:t xml:space="preserve">, </w:t>
      </w:r>
      <w:r w:rsidR="00124F76" w:rsidRPr="00557DBD">
        <w:rPr>
          <w:rFonts w:ascii="Arial Narrow" w:hAnsi="Arial Narrow"/>
          <w:sz w:val="18"/>
          <w:szCs w:val="18"/>
        </w:rPr>
        <w:t xml:space="preserve">comparator, outcomes; </w:t>
      </w:r>
      <w:r w:rsidRPr="00557DBD">
        <w:rPr>
          <w:rFonts w:ascii="Arial Narrow" w:hAnsi="Arial Narrow"/>
          <w:sz w:val="18"/>
          <w:szCs w:val="18"/>
        </w:rPr>
        <w:t xml:space="preserve">TOP = </w:t>
      </w:r>
      <w:r w:rsidR="00124F76" w:rsidRPr="00557DBD">
        <w:rPr>
          <w:rFonts w:ascii="Arial Narrow" w:hAnsi="Arial Narrow"/>
          <w:sz w:val="18"/>
          <w:szCs w:val="18"/>
        </w:rPr>
        <w:t>termination of pregnancy</w:t>
      </w:r>
    </w:p>
    <w:p w14:paraId="245AAF61" w14:textId="0D2CF0CB" w:rsidR="004F36F1" w:rsidRDefault="004F36F1" w:rsidP="004F36F1">
      <w:pPr>
        <w:spacing w:before="240"/>
      </w:pPr>
      <w:r w:rsidRPr="00183E4D">
        <w:t xml:space="preserve">The </w:t>
      </w:r>
      <w:r w:rsidR="00492B80">
        <w:t>p</w:t>
      </w:r>
      <w:r w:rsidRPr="00183E4D">
        <w:t xml:space="preserve">opulation, </w:t>
      </w:r>
      <w:r w:rsidR="00F31FCD">
        <w:t xml:space="preserve">intervention </w:t>
      </w:r>
      <w:r w:rsidR="00F31FCD" w:rsidRPr="008C2810">
        <w:t>(</w:t>
      </w:r>
      <w:r w:rsidR="00492B80" w:rsidRPr="008C2810">
        <w:t>i</w:t>
      </w:r>
      <w:r w:rsidRPr="008C2810">
        <w:t>n</w:t>
      </w:r>
      <w:r w:rsidR="003652F1" w:rsidRPr="008C2810">
        <w:t>vestigation/</w:t>
      </w:r>
      <w:r w:rsidR="00492B80" w:rsidRPr="008C2810">
        <w:t>i</w:t>
      </w:r>
      <w:r w:rsidR="003652F1" w:rsidRPr="008C2810">
        <w:t>ndex test</w:t>
      </w:r>
      <w:r w:rsidR="00F31FCD" w:rsidRPr="008C2810">
        <w:t>)</w:t>
      </w:r>
      <w:r w:rsidRPr="008C2810">
        <w:t>,</w:t>
      </w:r>
      <w:r w:rsidRPr="00183E4D">
        <w:t xml:space="preserve"> </w:t>
      </w:r>
      <w:r w:rsidR="00492B80">
        <w:t>c</w:t>
      </w:r>
      <w:r w:rsidRPr="00183E4D">
        <w:t xml:space="preserve">omparator and </w:t>
      </w:r>
      <w:r w:rsidR="00492B80">
        <w:t>o</w:t>
      </w:r>
      <w:r w:rsidRPr="00183E4D">
        <w:t>utcomes (</w:t>
      </w:r>
      <w:r w:rsidR="00D249F7">
        <w:t>PICO</w:t>
      </w:r>
      <w:r w:rsidRPr="00183E4D">
        <w:t xml:space="preserve">) </w:t>
      </w:r>
      <w:r w:rsidR="00BB381C" w:rsidRPr="00183E4D">
        <w:t xml:space="preserve">that were pre-specified to guide the </w:t>
      </w:r>
      <w:r w:rsidR="001A5EF8" w:rsidRPr="00183E4D">
        <w:t>systematic literature review</w:t>
      </w:r>
      <w:r w:rsidR="000956B1">
        <w:t xml:space="preserve"> for a direct </w:t>
      </w:r>
      <w:r w:rsidR="000956B1" w:rsidRPr="00DD17C1">
        <w:t>evidence approach,</w:t>
      </w:r>
      <w:r w:rsidR="00CC5307" w:rsidRPr="00DD17C1">
        <w:t xml:space="preserve"> </w:t>
      </w:r>
      <w:r w:rsidR="001A5EF8" w:rsidRPr="00DD17C1">
        <w:t>along with additional</w:t>
      </w:r>
      <w:r w:rsidR="00BB381C" w:rsidRPr="00DD17C1">
        <w:t xml:space="preserve"> </w:t>
      </w:r>
      <w:r w:rsidR="001A5EF8" w:rsidRPr="00DD17C1">
        <w:t>criteria for selecting studies for the evidence</w:t>
      </w:r>
      <w:r w:rsidR="008B123D">
        <w:t>-</w:t>
      </w:r>
      <w:r w:rsidR="001A5EF8" w:rsidRPr="00DD17C1">
        <w:t xml:space="preserve">base, </w:t>
      </w:r>
      <w:r w:rsidR="00BB381C" w:rsidRPr="00DD17C1">
        <w:t xml:space="preserve">are presented </w:t>
      </w:r>
      <w:r w:rsidRPr="00DD17C1">
        <w:rPr>
          <w:sz w:val="24"/>
        </w:rPr>
        <w:t>in</w:t>
      </w:r>
      <w:r w:rsidR="00DC6DF1" w:rsidRPr="00DD17C1">
        <w:rPr>
          <w:sz w:val="24"/>
        </w:rPr>
        <w:t xml:space="preserve"> </w:t>
      </w:r>
      <w:r w:rsidR="00DD17C1" w:rsidRPr="00DD17C1">
        <w:rPr>
          <w:sz w:val="24"/>
        </w:rPr>
        <w:fldChar w:fldCharType="begin"/>
      </w:r>
      <w:r w:rsidR="00DD17C1" w:rsidRPr="00DD17C1">
        <w:rPr>
          <w:sz w:val="24"/>
        </w:rPr>
        <w:instrText xml:space="preserve"> REF _Ref401918684 \h </w:instrText>
      </w:r>
      <w:r w:rsidR="00DD17C1">
        <w:rPr>
          <w:sz w:val="24"/>
        </w:rPr>
        <w:instrText xml:space="preserve"> \* MERGEFORMAT </w:instrText>
      </w:r>
      <w:r w:rsidR="00DD17C1" w:rsidRPr="00DD17C1">
        <w:rPr>
          <w:sz w:val="24"/>
        </w:rPr>
      </w:r>
      <w:r w:rsidR="00DD17C1" w:rsidRPr="00DD17C1">
        <w:rPr>
          <w:sz w:val="24"/>
        </w:rPr>
        <w:fldChar w:fldCharType="separate"/>
      </w:r>
      <w:r w:rsidR="00BB0E3E">
        <w:t xml:space="preserve">Table </w:t>
      </w:r>
      <w:r w:rsidR="00BB0E3E">
        <w:rPr>
          <w:noProof/>
        </w:rPr>
        <w:t>10</w:t>
      </w:r>
      <w:r w:rsidR="00DD17C1" w:rsidRPr="00DD17C1">
        <w:rPr>
          <w:sz w:val="24"/>
        </w:rPr>
        <w:fldChar w:fldCharType="end"/>
      </w:r>
      <w:r w:rsidR="00DD17C1" w:rsidRPr="00DD17C1">
        <w:rPr>
          <w:sz w:val="24"/>
        </w:rPr>
        <w:t xml:space="preserve"> to </w:t>
      </w:r>
      <w:r w:rsidR="00DD17C1">
        <w:rPr>
          <w:sz w:val="24"/>
        </w:rPr>
        <w:fldChar w:fldCharType="begin"/>
      </w:r>
      <w:r w:rsidR="00DD17C1">
        <w:rPr>
          <w:sz w:val="24"/>
        </w:rPr>
        <w:instrText xml:space="preserve"> REF _Ref401919679 \h </w:instrText>
      </w:r>
      <w:r w:rsidR="00DD17C1">
        <w:rPr>
          <w:sz w:val="24"/>
        </w:rPr>
      </w:r>
      <w:r w:rsidR="00DD17C1">
        <w:rPr>
          <w:sz w:val="24"/>
        </w:rPr>
        <w:fldChar w:fldCharType="separate"/>
      </w:r>
      <w:r w:rsidR="00BB0E3E">
        <w:t xml:space="preserve">Table </w:t>
      </w:r>
      <w:r w:rsidR="00BB0E3E">
        <w:rPr>
          <w:noProof/>
        </w:rPr>
        <w:t>12</w:t>
      </w:r>
      <w:r w:rsidR="00DD17C1">
        <w:rPr>
          <w:sz w:val="24"/>
        </w:rPr>
        <w:fldChar w:fldCharType="end"/>
      </w:r>
      <w:r w:rsidRPr="00DD17C1">
        <w:t>.</w:t>
      </w:r>
      <w:r w:rsidR="000956B1">
        <w:t xml:space="preserve"> These criteria were defined </w:t>
      </w:r>
      <w:r w:rsidR="000956B1" w:rsidRPr="00A17C17">
        <w:rPr>
          <w:i/>
        </w:rPr>
        <w:t>a priori</w:t>
      </w:r>
      <w:r w:rsidR="000956B1">
        <w:t xml:space="preserve"> to minimise any bias associated with study selection in the systematic literature review.</w:t>
      </w:r>
    </w:p>
    <w:p w14:paraId="4606DF4D" w14:textId="101E4410" w:rsidR="000956B1" w:rsidRDefault="000956B1" w:rsidP="00022486">
      <w:pPr>
        <w:pStyle w:val="Caption"/>
        <w:tabs>
          <w:tab w:val="left" w:pos="1134"/>
        </w:tabs>
        <w:ind w:left="1134" w:hanging="1134"/>
      </w:pPr>
      <w:bookmarkStart w:id="166" w:name="_Ref401918684"/>
      <w:bookmarkStart w:id="167" w:name="_Toc402338809"/>
      <w:bookmarkStart w:id="168" w:name="_Ref410976584"/>
      <w:bookmarkStart w:id="169" w:name="_Toc418179407"/>
      <w:r>
        <w:t xml:space="preserve">Table </w:t>
      </w:r>
      <w:fldSimple w:instr=" SEQ Table \* ARABIC ">
        <w:r w:rsidR="00BB0E3E">
          <w:rPr>
            <w:noProof/>
          </w:rPr>
          <w:t>10</w:t>
        </w:r>
      </w:fldSimple>
      <w:bookmarkEnd w:id="166"/>
      <w:r>
        <w:tab/>
        <w:t>Selection criteria for the diagnostic accuracy</w:t>
      </w:r>
      <w:r w:rsidRPr="003565FF">
        <w:t xml:space="preserve"> of </w:t>
      </w:r>
      <w:r w:rsidR="00FD37D3" w:rsidRPr="00FD37D3">
        <w:t>CFTR</w:t>
      </w:r>
      <w:r w:rsidRPr="0076301D">
        <w:t xml:space="preserve"> mutation testing in patients with a high clinical suspicion of CF</w:t>
      </w:r>
      <w:r>
        <w:t xml:space="preserve"> and partners of CF carriers (diagnostic accuracy only)</w:t>
      </w:r>
      <w:bookmarkEnd w:id="167"/>
      <w:bookmarkEnd w:id="168"/>
      <w:bookmarkEnd w:id="169"/>
    </w:p>
    <w:tbl>
      <w:tblPr>
        <w:tblStyle w:val="TableGrid1"/>
        <w:tblW w:w="0" w:type="auto"/>
        <w:tblLook w:val="04A0" w:firstRow="1" w:lastRow="0" w:firstColumn="1" w:lastColumn="0" w:noHBand="0" w:noVBand="1"/>
        <w:tblCaption w:val="Research questions What is the diagnostic accuracy of CFTR mutation testing in patients with a high clinical suspicion of CF? What is the diagnostic accuracy of CFTR mutation testing in partners of CF carriers?"/>
        <w:tblDescription w:val="What is the diagnostic accuracy of CFTR mutation testing in patients with a high clinical suspicion of CF? What is the diagnostic accuracy of CFTR mutation testing in partners of CF carriers?"/>
      </w:tblPr>
      <w:tblGrid>
        <w:gridCol w:w="1894"/>
        <w:gridCol w:w="7351"/>
      </w:tblGrid>
      <w:tr w:rsidR="000956B1" w:rsidRPr="006D6DA4" w14:paraId="2AAD020A"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894" w:type="dxa"/>
          </w:tcPr>
          <w:p w14:paraId="10B15641" w14:textId="77777777" w:rsidR="000956B1" w:rsidRPr="006D6DA4" w:rsidRDefault="000956B1" w:rsidP="0056470B">
            <w:pPr>
              <w:pStyle w:val="Tabletext1"/>
            </w:pPr>
            <w:r w:rsidRPr="006D6DA4">
              <w:t>Population</w:t>
            </w:r>
          </w:p>
        </w:tc>
        <w:tc>
          <w:tcPr>
            <w:tcW w:w="7351" w:type="dxa"/>
          </w:tcPr>
          <w:p w14:paraId="7E46C7D0" w14:textId="77777777" w:rsidR="000956B1" w:rsidRPr="008919F6" w:rsidRDefault="000956B1" w:rsidP="00A17C17">
            <w:pPr>
              <w:pStyle w:val="Tabletext1"/>
              <w:jc w:val="left"/>
            </w:pPr>
            <w:r w:rsidRPr="008919F6">
              <w:t>Patients with classical CF symptoms</w:t>
            </w:r>
          </w:p>
          <w:p w14:paraId="7C6C6C59" w14:textId="7AF59140" w:rsidR="000956B1" w:rsidRDefault="000956B1" w:rsidP="00A17C17">
            <w:pPr>
              <w:pStyle w:val="Tabletext1"/>
              <w:jc w:val="left"/>
            </w:pPr>
            <w:r w:rsidRPr="008919F6">
              <w:t>Patients with non-classic CF symptoms (CBAVD, bronchitis bronchiectasis, chronic pancreatitis, salt-losing syndromes etc.)</w:t>
            </w:r>
          </w:p>
          <w:p w14:paraId="668580D9" w14:textId="77777777" w:rsidR="000956B1" w:rsidRPr="006D6DA4" w:rsidRDefault="000956B1" w:rsidP="00A17C17">
            <w:pPr>
              <w:pStyle w:val="Tabletext1"/>
              <w:jc w:val="left"/>
            </w:pPr>
            <w:r>
              <w:t>Partners of CF carriers</w:t>
            </w:r>
          </w:p>
        </w:tc>
      </w:tr>
      <w:tr w:rsidR="000956B1" w:rsidRPr="006D6DA4" w14:paraId="65FBD4AA" w14:textId="77777777" w:rsidTr="004245A0">
        <w:tc>
          <w:tcPr>
            <w:tcW w:w="1894" w:type="dxa"/>
          </w:tcPr>
          <w:p w14:paraId="4A34011D" w14:textId="77777777" w:rsidR="000956B1" w:rsidRPr="006D6DA4" w:rsidRDefault="000956B1" w:rsidP="0056470B">
            <w:pPr>
              <w:pStyle w:val="Tabletext1"/>
            </w:pPr>
            <w:r w:rsidRPr="006D6DA4">
              <w:t>Intervention</w:t>
            </w:r>
          </w:p>
        </w:tc>
        <w:tc>
          <w:tcPr>
            <w:tcW w:w="7351" w:type="dxa"/>
          </w:tcPr>
          <w:p w14:paraId="481B9A50" w14:textId="39D237B7" w:rsidR="000956B1" w:rsidRPr="006D6DA4" w:rsidRDefault="000956B1" w:rsidP="00A17C17">
            <w:pPr>
              <w:pStyle w:val="Tabletext1"/>
              <w:jc w:val="left"/>
            </w:pPr>
            <w:r w:rsidRPr="008919F6">
              <w:t xml:space="preserve">Diagnostic </w:t>
            </w:r>
            <w:r w:rsidR="00FD37D3" w:rsidRPr="00FD37D3">
              <w:t>CFTR</w:t>
            </w:r>
            <w:r w:rsidRPr="008919F6">
              <w:t xml:space="preserve"> mutation testing (common mutation analysis, if necessary followed by whole</w:t>
            </w:r>
            <w:r w:rsidR="00FE5B91">
              <w:t xml:space="preserve"> </w:t>
            </w:r>
            <w:r w:rsidRPr="008919F6">
              <w:t>gene screen)</w:t>
            </w:r>
          </w:p>
        </w:tc>
      </w:tr>
      <w:tr w:rsidR="000956B1" w:rsidRPr="006D6DA4" w14:paraId="793ECFF1" w14:textId="77777777" w:rsidTr="004245A0">
        <w:tc>
          <w:tcPr>
            <w:tcW w:w="1894" w:type="dxa"/>
          </w:tcPr>
          <w:p w14:paraId="091A634A" w14:textId="50B03DDF" w:rsidR="000956B1" w:rsidRPr="006D6DA4" w:rsidRDefault="000956B1" w:rsidP="0056470B">
            <w:pPr>
              <w:pStyle w:val="Tabletext1"/>
            </w:pPr>
            <w:r w:rsidRPr="006D6DA4">
              <w:t xml:space="preserve">Evidentiary </w:t>
            </w:r>
            <w:r w:rsidR="00E37AC6">
              <w:t>s</w:t>
            </w:r>
            <w:r w:rsidRPr="006D6DA4">
              <w:t>tandard</w:t>
            </w:r>
            <w:r>
              <w:t xml:space="preserve"> </w:t>
            </w:r>
          </w:p>
        </w:tc>
        <w:tc>
          <w:tcPr>
            <w:tcW w:w="7351" w:type="dxa"/>
          </w:tcPr>
          <w:p w14:paraId="545FC614" w14:textId="55F85949" w:rsidR="000956B1" w:rsidRPr="006D6DA4" w:rsidRDefault="000956B1" w:rsidP="00A17C17">
            <w:pPr>
              <w:pStyle w:val="Tabletext1"/>
              <w:jc w:val="left"/>
            </w:pPr>
            <w:r w:rsidRPr="0076301D">
              <w:t>Whole gene sequencing</w:t>
            </w:r>
            <w:r w:rsidR="00FE5B91">
              <w:t xml:space="preserve"> </w:t>
            </w:r>
            <w:r w:rsidRPr="0076301D">
              <w:t>(in association with copy number analysis to include whole gene deletions or partial gene deletions and duplications</w:t>
            </w:r>
          </w:p>
        </w:tc>
      </w:tr>
      <w:tr w:rsidR="000956B1" w:rsidRPr="006D6DA4" w14:paraId="65B6DE27" w14:textId="77777777" w:rsidTr="004245A0">
        <w:tc>
          <w:tcPr>
            <w:tcW w:w="1894" w:type="dxa"/>
          </w:tcPr>
          <w:p w14:paraId="79BC5937" w14:textId="77777777" w:rsidR="000956B1" w:rsidRPr="006D6DA4" w:rsidRDefault="000956B1" w:rsidP="0056470B">
            <w:pPr>
              <w:pStyle w:val="Tabletext1"/>
            </w:pPr>
            <w:r w:rsidRPr="006D6DA4">
              <w:t>Outcomes</w:t>
            </w:r>
          </w:p>
        </w:tc>
        <w:tc>
          <w:tcPr>
            <w:tcW w:w="7351" w:type="dxa"/>
          </w:tcPr>
          <w:p w14:paraId="49B79F2C" w14:textId="338628E0" w:rsidR="000956B1" w:rsidRDefault="000956B1" w:rsidP="00A17C17">
            <w:pPr>
              <w:pStyle w:val="Tabletext1"/>
              <w:jc w:val="left"/>
            </w:pPr>
            <w:r>
              <w:t>Analytic validity: test</w:t>
            </w:r>
            <w:r w:rsidR="007B7B4A">
              <w:t>–</w:t>
            </w:r>
            <w:r>
              <w:t xml:space="preserve">retest reliability, invalid/uninterpretable test results </w:t>
            </w:r>
          </w:p>
          <w:p w14:paraId="24622F21" w14:textId="77777777" w:rsidR="000956B1" w:rsidRPr="006D6DA4" w:rsidRDefault="000956B1" w:rsidP="00A17C17">
            <w:pPr>
              <w:pStyle w:val="Tabletext1"/>
              <w:jc w:val="left"/>
            </w:pPr>
            <w:r>
              <w:t>Clinical validity: sensitivity, specificity, false positive rate, false negative rate, negative predictive value, positive predictive value (by reference to the evidentiary standard)</w:t>
            </w:r>
          </w:p>
        </w:tc>
      </w:tr>
      <w:tr w:rsidR="000956B1" w:rsidRPr="006D6DA4" w14:paraId="2BE263EB" w14:textId="77777777" w:rsidTr="004245A0">
        <w:tc>
          <w:tcPr>
            <w:tcW w:w="1894" w:type="dxa"/>
          </w:tcPr>
          <w:p w14:paraId="33755DDA" w14:textId="77777777" w:rsidR="000956B1" w:rsidRPr="006D6DA4" w:rsidRDefault="000956B1" w:rsidP="0056470B">
            <w:pPr>
              <w:pStyle w:val="Tabletext1"/>
            </w:pPr>
            <w:r w:rsidRPr="006D6DA4">
              <w:t>Study design</w:t>
            </w:r>
          </w:p>
        </w:tc>
        <w:tc>
          <w:tcPr>
            <w:tcW w:w="7351" w:type="dxa"/>
          </w:tcPr>
          <w:p w14:paraId="389E4C50" w14:textId="77777777" w:rsidR="000956B1" w:rsidRPr="006D6DA4" w:rsidRDefault="000956B1" w:rsidP="00A17C17">
            <w:pPr>
              <w:pStyle w:val="Tabletext1"/>
              <w:jc w:val="left"/>
            </w:pPr>
            <w:r>
              <w:t xml:space="preserve">Level I to level III-3 diagnostic study designs in </w:t>
            </w:r>
            <w:r>
              <w:fldChar w:fldCharType="begin"/>
            </w:r>
            <w:r>
              <w:instrText xml:space="preserve"> REF _Ref206478826 \h  \* MERGEFORMAT </w:instrText>
            </w:r>
            <w:r>
              <w:fldChar w:fldCharType="separate"/>
            </w:r>
            <w:r w:rsidR="00BB0E3E" w:rsidRPr="005613FD">
              <w:t xml:space="preserve">Table </w:t>
            </w:r>
            <w:r w:rsidR="00BB0E3E">
              <w:t>20</w:t>
            </w:r>
            <w:r>
              <w:fldChar w:fldCharType="end"/>
            </w:r>
          </w:p>
        </w:tc>
      </w:tr>
      <w:tr w:rsidR="000956B1" w:rsidRPr="006D6DA4" w14:paraId="10244990" w14:textId="77777777" w:rsidTr="004245A0">
        <w:tc>
          <w:tcPr>
            <w:tcW w:w="1894" w:type="dxa"/>
          </w:tcPr>
          <w:p w14:paraId="271FF375" w14:textId="77777777" w:rsidR="000956B1" w:rsidRPr="006D6DA4" w:rsidRDefault="000956B1" w:rsidP="0056470B">
            <w:pPr>
              <w:pStyle w:val="Tabletext1"/>
            </w:pPr>
            <w:r w:rsidRPr="006D6DA4">
              <w:t>Search period</w:t>
            </w:r>
          </w:p>
        </w:tc>
        <w:tc>
          <w:tcPr>
            <w:tcW w:w="7351" w:type="dxa"/>
          </w:tcPr>
          <w:p w14:paraId="0FCB951E" w14:textId="3CDAEDAB"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rsidRPr="006D6DA4" w14:paraId="1018D1EA" w14:textId="77777777" w:rsidTr="004245A0">
        <w:tc>
          <w:tcPr>
            <w:tcW w:w="1894" w:type="dxa"/>
          </w:tcPr>
          <w:p w14:paraId="5B26CC7D" w14:textId="77777777" w:rsidR="000956B1" w:rsidRPr="006D6DA4" w:rsidRDefault="000956B1" w:rsidP="0056470B">
            <w:pPr>
              <w:pStyle w:val="Tabletext1"/>
            </w:pPr>
            <w:r w:rsidRPr="006D6DA4">
              <w:t>Language</w:t>
            </w:r>
          </w:p>
        </w:tc>
        <w:tc>
          <w:tcPr>
            <w:tcW w:w="7351" w:type="dxa"/>
          </w:tcPr>
          <w:p w14:paraId="7A7FB392"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B075A6" w:rsidRPr="006D6DA4" w14:paraId="06A54248" w14:textId="77777777" w:rsidTr="004245A0">
        <w:tc>
          <w:tcPr>
            <w:tcW w:w="1894" w:type="dxa"/>
          </w:tcPr>
          <w:p w14:paraId="2339CAD0" w14:textId="77777777" w:rsidR="00B075A6" w:rsidRPr="00B075A6" w:rsidRDefault="00B075A6" w:rsidP="0056470B">
            <w:pPr>
              <w:pStyle w:val="Tabletext1"/>
              <w:rPr>
                <w:b/>
              </w:rPr>
            </w:pPr>
            <w:r w:rsidRPr="00B075A6">
              <w:rPr>
                <w:b/>
              </w:rPr>
              <w:t>Research questions</w:t>
            </w:r>
          </w:p>
        </w:tc>
        <w:tc>
          <w:tcPr>
            <w:tcW w:w="7351" w:type="dxa"/>
          </w:tcPr>
          <w:p w14:paraId="7B264801" w14:textId="60DB9D2E" w:rsidR="00B075A6" w:rsidRPr="006D6DA4" w:rsidRDefault="00B075A6" w:rsidP="00A17C17">
            <w:pPr>
              <w:pStyle w:val="Tabletext1"/>
              <w:jc w:val="left"/>
            </w:pPr>
            <w:r w:rsidRPr="00DA4147">
              <w:rPr>
                <w:b/>
              </w:rPr>
              <w:t xml:space="preserve">What is the </w:t>
            </w:r>
            <w:r>
              <w:rPr>
                <w:b/>
              </w:rPr>
              <w:t xml:space="preserve">diagnostic accuracy of </w:t>
            </w:r>
            <w:r w:rsidR="00FD37D3" w:rsidRPr="00FD37D3">
              <w:rPr>
                <w:b/>
              </w:rPr>
              <w:t>CFTR</w:t>
            </w:r>
            <w:r>
              <w:rPr>
                <w:b/>
              </w:rPr>
              <w:t xml:space="preserve"> mutation testing in patients with a high clinical suspicion of CF? </w:t>
            </w:r>
            <w:r w:rsidRPr="00CA7E39">
              <w:rPr>
                <w:b/>
              </w:rPr>
              <w:t>What is the</w:t>
            </w:r>
            <w:r>
              <w:rPr>
                <w:b/>
              </w:rPr>
              <w:t xml:space="preserve"> diagnostic accuracy</w:t>
            </w:r>
            <w:r w:rsidRPr="00CA7E39">
              <w:rPr>
                <w:b/>
              </w:rPr>
              <w:t xml:space="preserve"> of </w:t>
            </w:r>
            <w:r w:rsidR="00FD37D3" w:rsidRPr="00FD37D3">
              <w:rPr>
                <w:b/>
              </w:rPr>
              <w:t>CFTR</w:t>
            </w:r>
            <w:r w:rsidRPr="00CA7E39">
              <w:rPr>
                <w:b/>
              </w:rPr>
              <w:t xml:space="preserve"> mutation</w:t>
            </w:r>
            <w:r>
              <w:rPr>
                <w:b/>
              </w:rPr>
              <w:t xml:space="preserve"> test</w:t>
            </w:r>
            <w:r w:rsidRPr="00CA7E39">
              <w:rPr>
                <w:b/>
              </w:rPr>
              <w:t>ing in partners of CF carriers?</w:t>
            </w:r>
          </w:p>
        </w:tc>
      </w:tr>
    </w:tbl>
    <w:p w14:paraId="71644175" w14:textId="77777777" w:rsidR="00251804" w:rsidRPr="00A17C17" w:rsidRDefault="00251804" w:rsidP="00A17C17">
      <w:pPr>
        <w:rPr>
          <w:sz w:val="18"/>
          <w:szCs w:val="18"/>
        </w:rPr>
      </w:pPr>
      <w:bookmarkStart w:id="170" w:name="_Ref401919676"/>
      <w:bookmarkStart w:id="171" w:name="_Ref402272524"/>
      <w:bookmarkStart w:id="172" w:name="_Toc402338810"/>
      <w:bookmarkStart w:id="173" w:name="_Toc418179408"/>
      <w:r w:rsidRPr="00A17C17">
        <w:rPr>
          <w:rFonts w:ascii="Arial Narrow" w:hAnsi="Arial Narrow"/>
          <w:sz w:val="18"/>
          <w:szCs w:val="18"/>
        </w:rPr>
        <w:t xml:space="preserve">CF = cystic fibrosis; CFTR = cystic fibrosis transmembrane conductance regulator </w:t>
      </w:r>
    </w:p>
    <w:p w14:paraId="0CEC77A3" w14:textId="35DCA039" w:rsidR="000956B1" w:rsidRDefault="000956B1" w:rsidP="00022486">
      <w:pPr>
        <w:pStyle w:val="Caption"/>
        <w:ind w:left="1134" w:hanging="1134"/>
      </w:pPr>
      <w:r>
        <w:lastRenderedPageBreak/>
        <w:t xml:space="preserve">Table </w:t>
      </w:r>
      <w:fldSimple w:instr=" SEQ Table \* ARABIC ">
        <w:r w:rsidR="00BB0E3E">
          <w:rPr>
            <w:noProof/>
          </w:rPr>
          <w:t>11</w:t>
        </w:r>
      </w:fldSimple>
      <w:bookmarkEnd w:id="170"/>
      <w:bookmarkEnd w:id="171"/>
      <w:r>
        <w:tab/>
        <w:t xml:space="preserve">Selection criteria for evidence assessing the safety and effectiveness of </w:t>
      </w:r>
      <w:r w:rsidR="00FD37D3" w:rsidRPr="00FD37D3">
        <w:t>CFTR</w:t>
      </w:r>
      <w:r>
        <w:t xml:space="preserve"> mutation testing</w:t>
      </w:r>
      <w:r w:rsidRPr="00097EA8">
        <w:t xml:space="preserve"> </w:t>
      </w:r>
      <w:r>
        <w:t>in parents with a fetus suspected of CF</w:t>
      </w:r>
      <w:bookmarkEnd w:id="172"/>
      <w:bookmarkEnd w:id="173"/>
    </w:p>
    <w:tbl>
      <w:tblPr>
        <w:tblStyle w:val="TableGrid1"/>
        <w:tblW w:w="0" w:type="auto"/>
        <w:tblLook w:val="04A0" w:firstRow="1" w:lastRow="0" w:firstColumn="1" w:lastColumn="0" w:noHBand="0" w:noVBand="1"/>
        <w:tblCaption w:val="Research question: What is the safety, effectiveness and cost-effectiveness of prenatal CFTR mutation testing of couples carrying a fetus with a high clinical suspicion of CF, compared with determining the diagnosis of the child after the birth?"/>
        <w:tblDescription w:val="Research question: What is the safety, effectiveness and cost-effectiveness of prenatal CFTR mutation testing of couples carrying a fetus with a high clinical suspicion of CF, compared with determining the diagnosis of the child after the birth?"/>
      </w:tblPr>
      <w:tblGrid>
        <w:gridCol w:w="1900"/>
        <w:gridCol w:w="7345"/>
      </w:tblGrid>
      <w:tr w:rsidR="000956B1" w:rsidRPr="006D6DA4" w14:paraId="46C427F5"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900" w:type="dxa"/>
          </w:tcPr>
          <w:p w14:paraId="66B65385" w14:textId="77777777" w:rsidR="000956B1" w:rsidRPr="006D6DA4" w:rsidRDefault="000956B1" w:rsidP="00A25EBB">
            <w:pPr>
              <w:pStyle w:val="Tabletext1"/>
              <w:keepNext/>
            </w:pPr>
            <w:r w:rsidRPr="006D6DA4">
              <w:t>Population</w:t>
            </w:r>
          </w:p>
        </w:tc>
        <w:tc>
          <w:tcPr>
            <w:tcW w:w="7345" w:type="dxa"/>
          </w:tcPr>
          <w:p w14:paraId="7BAF1511" w14:textId="577E2BD8" w:rsidR="000956B1" w:rsidRPr="00404FA1" w:rsidRDefault="000956B1" w:rsidP="00A17C17">
            <w:pPr>
              <w:pStyle w:val="Tabletext1"/>
              <w:keepNext/>
              <w:jc w:val="left"/>
            </w:pPr>
            <w:r w:rsidRPr="00404FA1">
              <w:t>Parent with a fetus showing echogenic gut on second</w:t>
            </w:r>
            <w:r w:rsidR="00CA6661">
              <w:t>-</w:t>
            </w:r>
            <w:r w:rsidRPr="00404FA1">
              <w:t>trimester ultrasound</w:t>
            </w:r>
          </w:p>
          <w:p w14:paraId="06C821C5" w14:textId="77777777" w:rsidR="000956B1" w:rsidRPr="006D6DA4" w:rsidRDefault="000956B1" w:rsidP="00A17C17">
            <w:pPr>
              <w:pStyle w:val="Tabletext1"/>
              <w:keepNext/>
              <w:jc w:val="left"/>
            </w:pPr>
            <w:r w:rsidRPr="00404FA1">
              <w:t>Parent with a fetus at risk of CF due to a previous child being clinically diagnosed with CF (unknown mutations)</w:t>
            </w:r>
          </w:p>
        </w:tc>
      </w:tr>
      <w:tr w:rsidR="000956B1" w:rsidRPr="006D6DA4" w14:paraId="2540FBC6" w14:textId="77777777" w:rsidTr="004245A0">
        <w:tc>
          <w:tcPr>
            <w:tcW w:w="1900" w:type="dxa"/>
          </w:tcPr>
          <w:p w14:paraId="6E3DADFB" w14:textId="77777777" w:rsidR="000956B1" w:rsidRPr="006D6DA4" w:rsidRDefault="000956B1" w:rsidP="00A25EBB">
            <w:pPr>
              <w:pStyle w:val="Tabletext1"/>
              <w:keepNext/>
            </w:pPr>
            <w:r w:rsidRPr="006D6DA4">
              <w:t>Intervention</w:t>
            </w:r>
          </w:p>
        </w:tc>
        <w:tc>
          <w:tcPr>
            <w:tcW w:w="7345" w:type="dxa"/>
          </w:tcPr>
          <w:p w14:paraId="4F485711" w14:textId="18AAD9E6" w:rsidR="000956B1" w:rsidRPr="008919F6" w:rsidRDefault="00FD37D3" w:rsidP="00A17C17">
            <w:pPr>
              <w:pStyle w:val="Tabletext1"/>
              <w:keepNext/>
              <w:jc w:val="left"/>
            </w:pPr>
            <w:r w:rsidRPr="00FD37D3">
              <w:t>CFTR</w:t>
            </w:r>
            <w:r w:rsidR="000956B1" w:rsidRPr="00404FA1">
              <w:t xml:space="preserve"> mutation testing (common mutation an</w:t>
            </w:r>
            <w:r w:rsidR="000956B1">
              <w:t>alysis) in the parents</w:t>
            </w:r>
            <w:r w:rsidR="002429AB">
              <w:t>,</w:t>
            </w:r>
            <w:r w:rsidR="000956B1">
              <w:t xml:space="preserve"> and </w:t>
            </w:r>
            <w:r w:rsidR="00BD2F0F">
              <w:t>in some cases prenatal diagnosis (PND)</w:t>
            </w:r>
            <w:r w:rsidR="000956B1" w:rsidRPr="00404FA1">
              <w:t xml:space="preserve"> + </w:t>
            </w:r>
            <w:r w:rsidRPr="00FD37D3">
              <w:t>CFTR</w:t>
            </w:r>
            <w:r w:rsidR="000956B1" w:rsidRPr="00404FA1">
              <w:t xml:space="preserve"> mutation testing (known mutation analysis or whole gene screen) in the fetus</w:t>
            </w:r>
          </w:p>
        </w:tc>
      </w:tr>
      <w:tr w:rsidR="000956B1" w:rsidRPr="006D6DA4" w14:paraId="78AB727B" w14:textId="77777777" w:rsidTr="004245A0">
        <w:tc>
          <w:tcPr>
            <w:tcW w:w="1900" w:type="dxa"/>
          </w:tcPr>
          <w:p w14:paraId="4907912D" w14:textId="77777777" w:rsidR="000956B1" w:rsidRPr="006D6DA4" w:rsidRDefault="000956B1" w:rsidP="00A25EBB">
            <w:pPr>
              <w:pStyle w:val="Tabletext1"/>
              <w:keepNext/>
            </w:pPr>
            <w:r w:rsidRPr="006D6DA4">
              <w:t>Comparators</w:t>
            </w:r>
          </w:p>
        </w:tc>
        <w:tc>
          <w:tcPr>
            <w:tcW w:w="7345" w:type="dxa"/>
          </w:tcPr>
          <w:p w14:paraId="425958AB" w14:textId="3B100ED4" w:rsidR="000956B1" w:rsidRPr="008919F6" w:rsidRDefault="000956B1" w:rsidP="00A17C17">
            <w:pPr>
              <w:pStyle w:val="Tabletext1"/>
              <w:keepNext/>
              <w:jc w:val="left"/>
            </w:pPr>
            <w:r w:rsidRPr="00404FA1">
              <w:t>No</w:t>
            </w:r>
            <w:r>
              <w:t xml:space="preserve"> prenatal</w:t>
            </w:r>
            <w:r w:rsidRPr="00404FA1">
              <w:t xml:space="preserve"> </w:t>
            </w:r>
            <w:r w:rsidR="00FD37D3" w:rsidRPr="00FD37D3">
              <w:t>CFTR</w:t>
            </w:r>
            <w:r w:rsidRPr="00404FA1">
              <w:t xml:space="preserve"> mutation testing</w:t>
            </w:r>
            <w:r w:rsidR="002429AB">
              <w:t>,</w:t>
            </w:r>
            <w:r>
              <w:t xml:space="preserve"> and diagnosis of the child after the birth</w:t>
            </w:r>
          </w:p>
        </w:tc>
      </w:tr>
      <w:tr w:rsidR="000956B1" w:rsidRPr="006D6DA4" w14:paraId="0592A003" w14:textId="77777777" w:rsidTr="004245A0">
        <w:tc>
          <w:tcPr>
            <w:tcW w:w="1900" w:type="dxa"/>
          </w:tcPr>
          <w:p w14:paraId="6453DB22" w14:textId="77777777" w:rsidR="000956B1" w:rsidRPr="006D6DA4" w:rsidRDefault="000956B1" w:rsidP="00A25EBB">
            <w:pPr>
              <w:pStyle w:val="Tabletext1"/>
              <w:keepNext/>
            </w:pPr>
            <w:r w:rsidRPr="006D6DA4">
              <w:t>Outcomes</w:t>
            </w:r>
          </w:p>
        </w:tc>
        <w:tc>
          <w:tcPr>
            <w:tcW w:w="7345" w:type="dxa"/>
          </w:tcPr>
          <w:p w14:paraId="000A8A56" w14:textId="2383A35A" w:rsidR="000956B1" w:rsidRDefault="000956B1" w:rsidP="00A17C17">
            <w:pPr>
              <w:pStyle w:val="Tabletext1"/>
              <w:keepNext/>
              <w:jc w:val="left"/>
            </w:pPr>
            <w:r>
              <w:t xml:space="preserve">Miscarriage rate, rate of </w:t>
            </w:r>
            <w:r w:rsidR="002429AB">
              <w:t>TOP</w:t>
            </w:r>
            <w:r>
              <w:t xml:space="preserve">, reason for </w:t>
            </w:r>
            <w:r w:rsidR="002429AB">
              <w:t>TOP</w:t>
            </w:r>
            <w:r>
              <w:t xml:space="preserve"> </w:t>
            </w:r>
            <w:r w:rsidRPr="003101E0">
              <w:rPr>
                <w:i/>
              </w:rPr>
              <w:t>(if applicable)</w:t>
            </w:r>
            <w:r>
              <w:t>, rate of stillbirth</w:t>
            </w:r>
            <w:r w:rsidR="00D919A4">
              <w:t>s</w:t>
            </w:r>
            <w:r>
              <w:t>, rate of live birth</w:t>
            </w:r>
            <w:r w:rsidR="00D919A4">
              <w:t>s</w:t>
            </w:r>
            <w:r>
              <w:t>, % change in patients proceeding to PND</w:t>
            </w:r>
          </w:p>
          <w:p w14:paraId="2F69B6B2" w14:textId="77777777" w:rsidR="000956B1" w:rsidRPr="006D6DA4" w:rsidRDefault="000956B1" w:rsidP="00A17C17">
            <w:pPr>
              <w:pStyle w:val="Tabletext1"/>
              <w:keepNext/>
              <w:jc w:val="left"/>
            </w:pPr>
            <w:r>
              <w:t>% change in method of CF diagnosis in child/fetus, parental psychological health, parental quality of life</w:t>
            </w:r>
          </w:p>
        </w:tc>
      </w:tr>
      <w:tr w:rsidR="000956B1" w:rsidRPr="006D6DA4" w14:paraId="450EB60E" w14:textId="77777777" w:rsidTr="004245A0">
        <w:tc>
          <w:tcPr>
            <w:tcW w:w="1900" w:type="dxa"/>
          </w:tcPr>
          <w:p w14:paraId="65114FEE" w14:textId="77777777" w:rsidR="000956B1" w:rsidRPr="006D6DA4" w:rsidRDefault="000956B1" w:rsidP="00A25EBB">
            <w:pPr>
              <w:pStyle w:val="Tabletext1"/>
              <w:keepNext/>
            </w:pPr>
            <w:r w:rsidRPr="006D6DA4">
              <w:t>Study design</w:t>
            </w:r>
          </w:p>
        </w:tc>
        <w:tc>
          <w:tcPr>
            <w:tcW w:w="7345" w:type="dxa"/>
          </w:tcPr>
          <w:p w14:paraId="64344A2E" w14:textId="77777777" w:rsidR="000956B1" w:rsidRPr="006D6DA4" w:rsidRDefault="000956B1" w:rsidP="00A17C17">
            <w:pPr>
              <w:pStyle w:val="Tabletext1"/>
              <w:keepNext/>
              <w:jc w:val="left"/>
            </w:pPr>
            <w:r w:rsidRPr="006D6DA4">
              <w:t>Randomised or non-randomised controlled trials, cohort studies, case series, or systematic reviews of these study designs</w:t>
            </w:r>
          </w:p>
        </w:tc>
      </w:tr>
      <w:tr w:rsidR="000956B1" w:rsidRPr="006D6DA4" w14:paraId="3FA9708C" w14:textId="77777777" w:rsidTr="004245A0">
        <w:tc>
          <w:tcPr>
            <w:tcW w:w="1900" w:type="dxa"/>
          </w:tcPr>
          <w:p w14:paraId="606B0DC7" w14:textId="77777777" w:rsidR="000956B1" w:rsidRPr="006D6DA4" w:rsidRDefault="000956B1" w:rsidP="00A25EBB">
            <w:pPr>
              <w:pStyle w:val="Tabletext1"/>
              <w:keepNext/>
            </w:pPr>
            <w:r w:rsidRPr="006D6DA4">
              <w:t>Search period</w:t>
            </w:r>
          </w:p>
        </w:tc>
        <w:tc>
          <w:tcPr>
            <w:tcW w:w="7345" w:type="dxa"/>
          </w:tcPr>
          <w:p w14:paraId="05FC6B34" w14:textId="0C1E86F2" w:rsidR="000956B1" w:rsidRPr="006D6DA4" w:rsidRDefault="000956B1" w:rsidP="00A17C17">
            <w:pPr>
              <w:pStyle w:val="Tabletext1"/>
              <w:keepNext/>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rsidRPr="006D6DA4" w14:paraId="0E37B259" w14:textId="77777777" w:rsidTr="004245A0">
        <w:tc>
          <w:tcPr>
            <w:tcW w:w="1900" w:type="dxa"/>
          </w:tcPr>
          <w:p w14:paraId="624F8FB6" w14:textId="77777777" w:rsidR="000956B1" w:rsidRPr="006D6DA4" w:rsidRDefault="000956B1" w:rsidP="00A25EBB">
            <w:pPr>
              <w:pStyle w:val="Tabletext1"/>
              <w:keepNext/>
            </w:pPr>
            <w:r w:rsidRPr="006D6DA4">
              <w:t>Language</w:t>
            </w:r>
          </w:p>
        </w:tc>
        <w:tc>
          <w:tcPr>
            <w:tcW w:w="7345" w:type="dxa"/>
          </w:tcPr>
          <w:p w14:paraId="214925B1" w14:textId="77777777" w:rsidR="000956B1" w:rsidRPr="006D6DA4" w:rsidRDefault="000956B1" w:rsidP="00A17C17">
            <w:pPr>
              <w:pStyle w:val="Tabletext1"/>
              <w:keepNext/>
              <w:jc w:val="left"/>
            </w:pPr>
            <w:r w:rsidRPr="006D6DA4">
              <w:t>Studies in languages other than English will only be translated if they represent a higher level of evidence than that available in the English language evidence-base</w:t>
            </w:r>
          </w:p>
        </w:tc>
      </w:tr>
      <w:tr w:rsidR="00B075A6" w:rsidRPr="006D6DA4" w14:paraId="7DCFADF6" w14:textId="77777777" w:rsidTr="004245A0">
        <w:tc>
          <w:tcPr>
            <w:tcW w:w="1900" w:type="dxa"/>
          </w:tcPr>
          <w:p w14:paraId="09C1B8E8" w14:textId="77777777" w:rsidR="00B075A6" w:rsidRPr="00C46307" w:rsidRDefault="00B075A6" w:rsidP="00A25EBB">
            <w:pPr>
              <w:pStyle w:val="Tabletext1"/>
              <w:keepNext/>
              <w:rPr>
                <w:b/>
              </w:rPr>
            </w:pPr>
            <w:r w:rsidRPr="00C46307">
              <w:rPr>
                <w:b/>
              </w:rPr>
              <w:t>Research question</w:t>
            </w:r>
          </w:p>
        </w:tc>
        <w:tc>
          <w:tcPr>
            <w:tcW w:w="7345" w:type="dxa"/>
          </w:tcPr>
          <w:p w14:paraId="67DF5513" w14:textId="6308756E" w:rsidR="00B075A6" w:rsidRPr="006D6DA4" w:rsidRDefault="00B075A6" w:rsidP="00A17C17">
            <w:pPr>
              <w:pStyle w:val="Tabletext1"/>
              <w:keepNext/>
              <w:jc w:val="left"/>
            </w:pPr>
            <w:r w:rsidRPr="00CA7E39">
              <w:rPr>
                <w:b/>
              </w:rPr>
              <w:t xml:space="preserve">What is the safety, effectiveness and cost-effectiveness of </w:t>
            </w:r>
            <w:r>
              <w:rPr>
                <w:b/>
              </w:rPr>
              <w:t>prenatal</w:t>
            </w:r>
            <w:r w:rsidRPr="00CA7E39">
              <w:rPr>
                <w:b/>
              </w:rPr>
              <w:t xml:space="preserve"> </w:t>
            </w:r>
            <w:r w:rsidR="00FD37D3" w:rsidRPr="00FD37D3">
              <w:rPr>
                <w:b/>
              </w:rPr>
              <w:t>CFTR</w:t>
            </w:r>
            <w:r w:rsidRPr="00CA7E39">
              <w:rPr>
                <w:b/>
              </w:rPr>
              <w:t xml:space="preserve"> </w:t>
            </w:r>
            <w:r>
              <w:rPr>
                <w:b/>
              </w:rPr>
              <w:t xml:space="preserve">mutation </w:t>
            </w:r>
            <w:r w:rsidRPr="00CA7E39">
              <w:rPr>
                <w:b/>
              </w:rPr>
              <w:t>testing o</w:t>
            </w:r>
            <w:r>
              <w:rPr>
                <w:b/>
              </w:rPr>
              <w:t xml:space="preserve">f couples carrying a </w:t>
            </w:r>
            <w:r w:rsidRPr="00CA7E39">
              <w:rPr>
                <w:b/>
              </w:rPr>
              <w:t>fetus with a high clinical suspicion of CF, compar</w:t>
            </w:r>
            <w:r w:rsidR="00C86C5A">
              <w:rPr>
                <w:b/>
              </w:rPr>
              <w:t>ed</w:t>
            </w:r>
            <w:r>
              <w:rPr>
                <w:b/>
              </w:rPr>
              <w:t xml:space="preserve"> </w:t>
            </w:r>
            <w:r w:rsidR="00C86C5A">
              <w:rPr>
                <w:b/>
              </w:rPr>
              <w:t>with</w:t>
            </w:r>
            <w:r w:rsidR="00C86C5A" w:rsidRPr="00CA7E39">
              <w:rPr>
                <w:b/>
              </w:rPr>
              <w:t xml:space="preserve"> </w:t>
            </w:r>
            <w:r>
              <w:rPr>
                <w:b/>
              </w:rPr>
              <w:t xml:space="preserve">determining the </w:t>
            </w:r>
            <w:r w:rsidRPr="00CA7E39">
              <w:rPr>
                <w:b/>
              </w:rPr>
              <w:t xml:space="preserve">diagnosis of the child after </w:t>
            </w:r>
            <w:r>
              <w:rPr>
                <w:b/>
              </w:rPr>
              <w:t xml:space="preserve">the </w:t>
            </w:r>
            <w:r w:rsidRPr="00CA7E39">
              <w:rPr>
                <w:b/>
              </w:rPr>
              <w:t>birth?</w:t>
            </w:r>
          </w:p>
        </w:tc>
      </w:tr>
    </w:tbl>
    <w:p w14:paraId="31107876" w14:textId="3E5EE365" w:rsidR="00251804" w:rsidRPr="000371EA" w:rsidRDefault="00251804" w:rsidP="00A17C17">
      <w:pPr>
        <w:spacing w:after="0" w:line="240" w:lineRule="auto"/>
        <w:rPr>
          <w:rFonts w:ascii="Arial Narrow" w:hAnsi="Arial Narrow"/>
          <w:sz w:val="18"/>
          <w:szCs w:val="18"/>
        </w:rPr>
      </w:pPr>
      <w:r w:rsidRPr="000371EA">
        <w:rPr>
          <w:rFonts w:ascii="Arial Narrow" w:hAnsi="Arial Narrow"/>
          <w:sz w:val="18"/>
          <w:szCs w:val="18"/>
        </w:rPr>
        <w:t>CF = cystic fibrosis; CFTR = cystic fibrosis transmembrane conductance regulator</w:t>
      </w:r>
      <w:r>
        <w:rPr>
          <w:rFonts w:ascii="Arial Narrow" w:hAnsi="Arial Narrow"/>
          <w:sz w:val="18"/>
          <w:szCs w:val="18"/>
        </w:rPr>
        <w:t xml:space="preserve">; PND = prenatal diagnosis; TOP = </w:t>
      </w:r>
      <w:r w:rsidRPr="000371EA">
        <w:rPr>
          <w:rFonts w:ascii="Arial Narrow" w:hAnsi="Arial Narrow"/>
          <w:sz w:val="18"/>
          <w:szCs w:val="18"/>
        </w:rPr>
        <w:t xml:space="preserve">termination of pregnancy </w:t>
      </w:r>
    </w:p>
    <w:p w14:paraId="2351C46F" w14:textId="77777777" w:rsidR="003D6B39" w:rsidRDefault="003D6B39" w:rsidP="000956B1">
      <w:pPr>
        <w:spacing w:after="0"/>
        <w:rPr>
          <w:b/>
          <w:lang w:val="en-US"/>
        </w:rPr>
      </w:pPr>
    </w:p>
    <w:p w14:paraId="12E998CA" w14:textId="1E8C9912" w:rsidR="000956B1" w:rsidRDefault="000956B1" w:rsidP="00022486">
      <w:pPr>
        <w:pStyle w:val="Caption"/>
        <w:tabs>
          <w:tab w:val="left" w:pos="1134"/>
        </w:tabs>
        <w:ind w:left="1134" w:hanging="1134"/>
      </w:pPr>
      <w:bookmarkStart w:id="174" w:name="_Ref401919679"/>
      <w:bookmarkStart w:id="175" w:name="_Toc402338811"/>
      <w:bookmarkStart w:id="176" w:name="_Toc418179409"/>
      <w:r>
        <w:t xml:space="preserve">Table </w:t>
      </w:r>
      <w:fldSimple w:instr=" SEQ Table \* ARABIC ">
        <w:r w:rsidR="00BB0E3E">
          <w:rPr>
            <w:noProof/>
          </w:rPr>
          <w:t>12</w:t>
        </w:r>
      </w:fldSimple>
      <w:bookmarkEnd w:id="174"/>
      <w:r>
        <w:tab/>
        <w:t xml:space="preserve">Selection criteria for evidence assessing the safety and effectiveness of </w:t>
      </w:r>
      <w:r w:rsidR="00FD37D3" w:rsidRPr="00FD37D3">
        <w:t>CFTR</w:t>
      </w:r>
      <w:r>
        <w:t xml:space="preserve"> mutation testing of a fetus conceived by parents that are both CF carriers</w:t>
      </w:r>
      <w:bookmarkEnd w:id="175"/>
      <w:bookmarkEnd w:id="176"/>
    </w:p>
    <w:tbl>
      <w:tblPr>
        <w:tblStyle w:val="TableGrid1"/>
        <w:tblW w:w="0" w:type="auto"/>
        <w:tblLook w:val="04A0" w:firstRow="1" w:lastRow="0" w:firstColumn="1" w:lastColumn="0" w:noHBand="0" w:noVBand="1"/>
        <w:tblCaption w:val="Research question: What is the safety, effectiveness and cost-effectiveness of CFTR mutation testing of a fetus conceived by parents that are both CF carriers, compared with determining the diagnosis of the child after the birth?"/>
        <w:tblDescription w:val="Research question: What is the safety, effectiveness and cost-effectiveness of CFTR mutation testing of a fetus conceived by parents that are both CF carriers, compared with determining the diagnosis of the child after the birth?"/>
      </w:tblPr>
      <w:tblGrid>
        <w:gridCol w:w="1902"/>
        <w:gridCol w:w="7343"/>
      </w:tblGrid>
      <w:tr w:rsidR="000956B1" w:rsidRPr="006D6DA4" w14:paraId="6BFABD28"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902" w:type="dxa"/>
          </w:tcPr>
          <w:p w14:paraId="26973548" w14:textId="77777777" w:rsidR="000956B1" w:rsidRPr="006D6DA4" w:rsidRDefault="000956B1" w:rsidP="0056470B">
            <w:pPr>
              <w:pStyle w:val="Tabletext1"/>
            </w:pPr>
            <w:r w:rsidRPr="006D6DA4">
              <w:t>Population</w:t>
            </w:r>
          </w:p>
        </w:tc>
        <w:tc>
          <w:tcPr>
            <w:tcW w:w="7343" w:type="dxa"/>
          </w:tcPr>
          <w:p w14:paraId="11E3D1F7" w14:textId="77777777" w:rsidR="000956B1" w:rsidRPr="00AD3CB6" w:rsidRDefault="000956B1" w:rsidP="00A17C17">
            <w:pPr>
              <w:pStyle w:val="Tabletext1"/>
              <w:jc w:val="left"/>
            </w:pPr>
            <w:r w:rsidRPr="00031EA0">
              <w:t>Fetuses where both parents have been identified</w:t>
            </w:r>
            <w:r>
              <w:t xml:space="preserve"> </w:t>
            </w:r>
            <w:r w:rsidRPr="00031EA0">
              <w:t>as</w:t>
            </w:r>
            <w:r>
              <w:t xml:space="preserve"> </w:t>
            </w:r>
            <w:r w:rsidRPr="00031EA0">
              <w:t>CF carriers (parents identified due to: signs/symptoms of CF in themselves, a previous child with CF, or due to investigations following an echogenic gut in the fetus)</w:t>
            </w:r>
          </w:p>
        </w:tc>
      </w:tr>
      <w:tr w:rsidR="000956B1" w:rsidRPr="006D6DA4" w14:paraId="60520C07" w14:textId="77777777" w:rsidTr="004245A0">
        <w:tc>
          <w:tcPr>
            <w:tcW w:w="1902" w:type="dxa"/>
          </w:tcPr>
          <w:p w14:paraId="0D378BDD" w14:textId="77777777" w:rsidR="000956B1" w:rsidRPr="006D6DA4" w:rsidRDefault="000956B1" w:rsidP="0056470B">
            <w:pPr>
              <w:pStyle w:val="Tabletext1"/>
            </w:pPr>
            <w:r w:rsidRPr="006D6DA4">
              <w:t>Intervention</w:t>
            </w:r>
          </w:p>
        </w:tc>
        <w:tc>
          <w:tcPr>
            <w:tcW w:w="7343" w:type="dxa"/>
          </w:tcPr>
          <w:p w14:paraId="26FD5928" w14:textId="2E3B9F6A" w:rsidR="000956B1" w:rsidRPr="008919F6" w:rsidRDefault="000956B1" w:rsidP="00A17C17">
            <w:pPr>
              <w:pStyle w:val="Tabletext1"/>
              <w:jc w:val="left"/>
            </w:pPr>
            <w:r w:rsidRPr="00ED1E7B">
              <w:t xml:space="preserve">PND followed by </w:t>
            </w:r>
            <w:r w:rsidR="00FD37D3" w:rsidRPr="00FD37D3">
              <w:t>CFTR</w:t>
            </w:r>
            <w:r w:rsidRPr="00ED1E7B">
              <w:t xml:space="preserve"> mutation testing (whole gene screen in fetuses with echogenic gut where common mutations</w:t>
            </w:r>
            <w:r>
              <w:t xml:space="preserve"> are</w:t>
            </w:r>
            <w:r w:rsidRPr="00ED1E7B">
              <w:t xml:space="preserve"> not identified in parents</w:t>
            </w:r>
            <w:r w:rsidR="00C86EAE">
              <w:t>,</w:t>
            </w:r>
            <w:r w:rsidRPr="00ED1E7B">
              <w:t xml:space="preserve"> and known mutation analysis and possible whole gene screen</w:t>
            </w:r>
            <w:r>
              <w:t xml:space="preserve"> for f</w:t>
            </w:r>
            <w:r w:rsidRPr="00ED1E7B">
              <w:t xml:space="preserve">etuses whose parents are carriers) </w:t>
            </w:r>
            <w:r w:rsidR="00730F86">
              <w:t>with the option of TOP</w:t>
            </w:r>
            <w:r>
              <w:t xml:space="preserve"> if the f</w:t>
            </w:r>
            <w:r w:rsidRPr="00ED1E7B">
              <w:t>etus is affected</w:t>
            </w:r>
          </w:p>
        </w:tc>
      </w:tr>
      <w:tr w:rsidR="000956B1" w:rsidRPr="006D6DA4" w14:paraId="08DFEC3A" w14:textId="77777777" w:rsidTr="004245A0">
        <w:tc>
          <w:tcPr>
            <w:tcW w:w="1902" w:type="dxa"/>
          </w:tcPr>
          <w:p w14:paraId="46A440BC" w14:textId="77777777" w:rsidR="000956B1" w:rsidRPr="006D6DA4" w:rsidRDefault="000956B1" w:rsidP="0056470B">
            <w:pPr>
              <w:pStyle w:val="Tabletext1"/>
            </w:pPr>
            <w:r w:rsidRPr="006D6DA4">
              <w:t>Comparators</w:t>
            </w:r>
          </w:p>
        </w:tc>
        <w:tc>
          <w:tcPr>
            <w:tcW w:w="7343" w:type="dxa"/>
          </w:tcPr>
          <w:p w14:paraId="26543E1F" w14:textId="39FAB059" w:rsidR="000956B1" w:rsidRPr="008919F6" w:rsidRDefault="000956B1" w:rsidP="00A17C17">
            <w:pPr>
              <w:pStyle w:val="Tabletext1"/>
              <w:jc w:val="left"/>
            </w:pPr>
            <w:r w:rsidRPr="00031EA0">
              <w:t xml:space="preserve">No prenatal </w:t>
            </w:r>
            <w:r w:rsidR="00FD37D3" w:rsidRPr="00FD37D3">
              <w:t>CFTR</w:t>
            </w:r>
            <w:r w:rsidRPr="00031EA0">
              <w:t xml:space="preserve"> mutation testing</w:t>
            </w:r>
            <w:r w:rsidR="00D7492C">
              <w:t>,</w:t>
            </w:r>
            <w:r w:rsidRPr="00031EA0">
              <w:t xml:space="preserve"> </w:t>
            </w:r>
            <w:r>
              <w:t>and diagnosis of the child after the birth</w:t>
            </w:r>
          </w:p>
        </w:tc>
      </w:tr>
      <w:tr w:rsidR="000956B1" w:rsidRPr="006D6DA4" w14:paraId="08EEA06C" w14:textId="77777777" w:rsidTr="004245A0">
        <w:tc>
          <w:tcPr>
            <w:tcW w:w="1902" w:type="dxa"/>
          </w:tcPr>
          <w:p w14:paraId="1176330E" w14:textId="0AE54B00" w:rsidR="000956B1" w:rsidRPr="006D6DA4" w:rsidRDefault="000956B1" w:rsidP="0056470B">
            <w:pPr>
              <w:pStyle w:val="Tabletext1"/>
            </w:pPr>
            <w:r w:rsidRPr="006D6DA4">
              <w:t>Outcomes</w:t>
            </w:r>
            <w:r w:rsidR="00802524">
              <w:t xml:space="preserve"> </w:t>
            </w:r>
            <w:r>
              <w:rPr>
                <w:vertAlign w:val="superscript"/>
              </w:rPr>
              <w:t>a</w:t>
            </w:r>
          </w:p>
        </w:tc>
        <w:tc>
          <w:tcPr>
            <w:tcW w:w="7343" w:type="dxa"/>
          </w:tcPr>
          <w:p w14:paraId="7E916C96" w14:textId="71973429" w:rsidR="000956B1" w:rsidRDefault="000956B1" w:rsidP="00A17C17">
            <w:pPr>
              <w:pStyle w:val="Tabletext1"/>
              <w:jc w:val="left"/>
            </w:pPr>
            <w:r>
              <w:t>Physical harms directly associated with testing procedure</w:t>
            </w:r>
            <w:r w:rsidR="00D7492C">
              <w:t>:</w:t>
            </w:r>
          </w:p>
          <w:p w14:paraId="2BFFA1CB" w14:textId="77777777" w:rsidR="000956B1" w:rsidRPr="00DE2EFB" w:rsidRDefault="000956B1" w:rsidP="00A17C17">
            <w:pPr>
              <w:pStyle w:val="Tabletext1"/>
              <w:jc w:val="left"/>
              <w:rPr>
                <w:vertAlign w:val="superscript"/>
              </w:rPr>
            </w:pPr>
            <w:r>
              <w:t>% with CF, % without CF, % CF carrier</w:t>
            </w:r>
          </w:p>
        </w:tc>
      </w:tr>
      <w:tr w:rsidR="000956B1" w:rsidRPr="006D6DA4" w14:paraId="148F5C12" w14:textId="77777777" w:rsidTr="004245A0">
        <w:tc>
          <w:tcPr>
            <w:tcW w:w="1902" w:type="dxa"/>
          </w:tcPr>
          <w:p w14:paraId="458D0123" w14:textId="77777777" w:rsidR="000956B1" w:rsidRPr="006D6DA4" w:rsidRDefault="000956B1" w:rsidP="0056470B">
            <w:pPr>
              <w:pStyle w:val="Tabletext1"/>
            </w:pPr>
            <w:r w:rsidRPr="006D6DA4">
              <w:t>Study design</w:t>
            </w:r>
          </w:p>
        </w:tc>
        <w:tc>
          <w:tcPr>
            <w:tcW w:w="7343" w:type="dxa"/>
          </w:tcPr>
          <w:p w14:paraId="4D717481" w14:textId="77777777" w:rsidR="000956B1" w:rsidRPr="006D6DA4" w:rsidRDefault="000956B1" w:rsidP="00A17C17">
            <w:pPr>
              <w:pStyle w:val="Tabletext1"/>
              <w:jc w:val="left"/>
            </w:pPr>
            <w:r w:rsidRPr="006D6DA4">
              <w:t>Randomised or non-randomised controlled trials, cohort studies, case series or systematic reviews of these study designs</w:t>
            </w:r>
          </w:p>
        </w:tc>
      </w:tr>
      <w:tr w:rsidR="000956B1" w:rsidRPr="006D6DA4" w14:paraId="6C35A276" w14:textId="77777777" w:rsidTr="004245A0">
        <w:tc>
          <w:tcPr>
            <w:tcW w:w="1902" w:type="dxa"/>
          </w:tcPr>
          <w:p w14:paraId="5ACBE4E5" w14:textId="77777777" w:rsidR="000956B1" w:rsidRPr="006D6DA4" w:rsidRDefault="000956B1" w:rsidP="0056470B">
            <w:pPr>
              <w:pStyle w:val="Tabletext1"/>
            </w:pPr>
            <w:r w:rsidRPr="006D6DA4">
              <w:t>Search period</w:t>
            </w:r>
          </w:p>
        </w:tc>
        <w:tc>
          <w:tcPr>
            <w:tcW w:w="7343" w:type="dxa"/>
          </w:tcPr>
          <w:p w14:paraId="5B191489" w14:textId="405F6160"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rsidRPr="006D6DA4" w14:paraId="21AA2F22" w14:textId="77777777" w:rsidTr="004245A0">
        <w:tc>
          <w:tcPr>
            <w:tcW w:w="1902" w:type="dxa"/>
          </w:tcPr>
          <w:p w14:paraId="60A668C6" w14:textId="77777777" w:rsidR="000956B1" w:rsidRPr="006D6DA4" w:rsidRDefault="000956B1" w:rsidP="0056470B">
            <w:pPr>
              <w:pStyle w:val="Tabletext1"/>
            </w:pPr>
            <w:r w:rsidRPr="006D6DA4">
              <w:t>Language</w:t>
            </w:r>
          </w:p>
        </w:tc>
        <w:tc>
          <w:tcPr>
            <w:tcW w:w="7343" w:type="dxa"/>
          </w:tcPr>
          <w:p w14:paraId="6B0E60F3"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C46307" w:rsidRPr="006D6DA4" w14:paraId="58D041C6" w14:textId="77777777" w:rsidTr="004245A0">
        <w:tc>
          <w:tcPr>
            <w:tcW w:w="1902" w:type="dxa"/>
          </w:tcPr>
          <w:p w14:paraId="18DEF1B6" w14:textId="77777777" w:rsidR="00C46307" w:rsidRPr="00C46307" w:rsidRDefault="00C46307" w:rsidP="0056470B">
            <w:pPr>
              <w:pStyle w:val="Tabletext1"/>
              <w:rPr>
                <w:b/>
              </w:rPr>
            </w:pPr>
            <w:r w:rsidRPr="00C46307">
              <w:rPr>
                <w:b/>
              </w:rPr>
              <w:t>Research question</w:t>
            </w:r>
          </w:p>
        </w:tc>
        <w:tc>
          <w:tcPr>
            <w:tcW w:w="7343" w:type="dxa"/>
          </w:tcPr>
          <w:p w14:paraId="3BEB9C19" w14:textId="2EA5EF3C" w:rsidR="00C46307" w:rsidRPr="006D6DA4" w:rsidRDefault="00C46307" w:rsidP="00A17C17">
            <w:pPr>
              <w:pStyle w:val="Tabletext1"/>
              <w:jc w:val="left"/>
            </w:pPr>
            <w:r>
              <w:rPr>
                <w:b/>
              </w:rPr>
              <w:t>W</w:t>
            </w:r>
            <w:r w:rsidRPr="00CA7E39">
              <w:rPr>
                <w:b/>
              </w:rPr>
              <w:t xml:space="preserve">hat is the safety, effectiveness and cost-effectiveness of </w:t>
            </w:r>
            <w:r w:rsidR="00FD37D3" w:rsidRPr="00FD37D3">
              <w:rPr>
                <w:b/>
              </w:rPr>
              <w:t>CFTR</w:t>
            </w:r>
            <w:r w:rsidRPr="00CA7E39">
              <w:rPr>
                <w:b/>
              </w:rPr>
              <w:t xml:space="preserve"> </w:t>
            </w:r>
            <w:r>
              <w:rPr>
                <w:b/>
              </w:rPr>
              <w:t xml:space="preserve">mutation </w:t>
            </w:r>
            <w:r w:rsidRPr="00CA7E39">
              <w:rPr>
                <w:b/>
              </w:rPr>
              <w:t>testing o</w:t>
            </w:r>
            <w:r>
              <w:rPr>
                <w:b/>
              </w:rPr>
              <w:t>f a</w:t>
            </w:r>
            <w:r w:rsidRPr="00CA7E39">
              <w:rPr>
                <w:b/>
              </w:rPr>
              <w:t xml:space="preserve"> fetus</w:t>
            </w:r>
            <w:r>
              <w:rPr>
                <w:b/>
              </w:rPr>
              <w:t xml:space="preserve"> conceived by parents that are</w:t>
            </w:r>
            <w:r w:rsidRPr="00CA7E39">
              <w:rPr>
                <w:b/>
              </w:rPr>
              <w:t xml:space="preserve"> both CF carriers, </w:t>
            </w:r>
            <w:r>
              <w:rPr>
                <w:b/>
              </w:rPr>
              <w:t>compar</w:t>
            </w:r>
            <w:r w:rsidR="00D7492C">
              <w:rPr>
                <w:b/>
              </w:rPr>
              <w:t>ed</w:t>
            </w:r>
            <w:r>
              <w:rPr>
                <w:b/>
              </w:rPr>
              <w:t xml:space="preserve"> </w:t>
            </w:r>
            <w:r w:rsidR="00D7492C">
              <w:rPr>
                <w:b/>
              </w:rPr>
              <w:t xml:space="preserve">with </w:t>
            </w:r>
            <w:r>
              <w:rPr>
                <w:b/>
              </w:rPr>
              <w:t>determining the diagnosis of the child after the birth</w:t>
            </w:r>
            <w:r w:rsidRPr="00CA7E39">
              <w:rPr>
                <w:b/>
              </w:rPr>
              <w:t>?</w:t>
            </w:r>
          </w:p>
        </w:tc>
      </w:tr>
    </w:tbl>
    <w:p w14:paraId="7A569C59" w14:textId="77777777" w:rsidR="00BB0E3E" w:rsidRPr="00A17C17" w:rsidRDefault="000956B1" w:rsidP="00BB0E3E">
      <w:pPr>
        <w:spacing w:after="0" w:line="240" w:lineRule="auto"/>
        <w:rPr>
          <w:sz w:val="18"/>
          <w:szCs w:val="18"/>
        </w:rPr>
      </w:pPr>
      <w:r w:rsidRPr="00A17C17">
        <w:rPr>
          <w:rFonts w:ascii="Arial Narrow" w:hAnsi="Arial Narrow"/>
          <w:sz w:val="18"/>
          <w:szCs w:val="18"/>
          <w:vertAlign w:val="superscript"/>
          <w:lang w:val="en-US"/>
        </w:rPr>
        <w:t>a</w:t>
      </w:r>
      <w:r w:rsidRPr="00A17C17">
        <w:rPr>
          <w:rFonts w:ascii="Arial Narrow" w:hAnsi="Arial Narrow"/>
          <w:sz w:val="18"/>
          <w:szCs w:val="18"/>
          <w:lang w:val="en-US"/>
        </w:rPr>
        <w:t xml:space="preserve"> Note: </w:t>
      </w:r>
      <w:r w:rsidR="00F54ACE">
        <w:rPr>
          <w:rFonts w:ascii="Arial Narrow" w:hAnsi="Arial Narrow"/>
          <w:sz w:val="18"/>
          <w:szCs w:val="18"/>
          <w:lang w:val="en-US"/>
        </w:rPr>
        <w:t>T</w:t>
      </w:r>
      <w:r w:rsidRPr="00A17C17">
        <w:rPr>
          <w:rFonts w:ascii="Arial Narrow" w:hAnsi="Arial Narrow"/>
          <w:sz w:val="18"/>
          <w:szCs w:val="18"/>
          <w:lang w:val="en-US"/>
        </w:rPr>
        <w:t xml:space="preserve">his assessment will not be formally assessing the impact of </w:t>
      </w:r>
      <w:r w:rsidR="00FD37D3" w:rsidRPr="00A17C17">
        <w:rPr>
          <w:rFonts w:ascii="Arial Narrow" w:hAnsi="Arial Narrow"/>
          <w:sz w:val="18"/>
          <w:szCs w:val="18"/>
          <w:lang w:val="en-US"/>
        </w:rPr>
        <w:t>CFTR</w:t>
      </w:r>
      <w:r w:rsidRPr="00A17C17">
        <w:rPr>
          <w:rFonts w:ascii="Arial Narrow" w:hAnsi="Arial Narrow"/>
          <w:sz w:val="18"/>
          <w:szCs w:val="18"/>
          <w:lang w:val="en-US"/>
        </w:rPr>
        <w:t xml:space="preserve"> testing on the</w:t>
      </w:r>
      <w:r w:rsidRPr="00A17C17">
        <w:rPr>
          <w:rFonts w:ascii="Arial Narrow" w:hAnsi="Arial Narrow" w:cs="Arial Narrow"/>
          <w:bCs/>
          <w:sz w:val="18"/>
          <w:szCs w:val="18"/>
        </w:rPr>
        <w:t xml:space="preserve"> life expectancy, morbidity, quality of life or functional status of children with CF</w:t>
      </w:r>
      <w:r w:rsidR="00B25F2A">
        <w:rPr>
          <w:rFonts w:ascii="Arial Narrow" w:hAnsi="Arial Narrow" w:cs="Arial Narrow"/>
          <w:bCs/>
          <w:sz w:val="18"/>
          <w:szCs w:val="18"/>
        </w:rPr>
        <w:t>,</w:t>
      </w:r>
      <w:r w:rsidRPr="00A17C17">
        <w:rPr>
          <w:rFonts w:ascii="Arial Narrow" w:hAnsi="Arial Narrow" w:cs="Arial Narrow"/>
          <w:bCs/>
          <w:sz w:val="18"/>
          <w:szCs w:val="18"/>
        </w:rPr>
        <w:t xml:space="preserve"> as the expected disease course is known and the test is unable to affect the course of the disease (except with regard to a parental decision of </w:t>
      </w:r>
      <w:r w:rsidR="00F54ACE" w:rsidRPr="000A1A2C">
        <w:rPr>
          <w:rFonts w:ascii="Arial Narrow" w:hAnsi="Arial Narrow" w:cs="Arial Narrow"/>
          <w:bCs/>
          <w:sz w:val="18"/>
          <w:szCs w:val="18"/>
        </w:rPr>
        <w:t>TOP</w:t>
      </w:r>
      <w:r w:rsidR="00046C45" w:rsidRPr="000A1A2C">
        <w:rPr>
          <w:rFonts w:ascii="Arial Narrow" w:hAnsi="Arial Narrow" w:cs="Arial Narrow"/>
          <w:bCs/>
          <w:sz w:val="18"/>
          <w:szCs w:val="18"/>
        </w:rPr>
        <w:t>—</w:t>
      </w:r>
      <w:r w:rsidRPr="00A17C17">
        <w:rPr>
          <w:rFonts w:ascii="Arial Narrow" w:hAnsi="Arial Narrow" w:cs="Arial Narrow"/>
          <w:bCs/>
          <w:sz w:val="18"/>
          <w:szCs w:val="18"/>
        </w:rPr>
        <w:t>addressed in</w:t>
      </w:r>
      <w:r w:rsidRPr="00A17C17">
        <w:rPr>
          <w:rFonts w:ascii="Arial Narrow" w:hAnsi="Arial Narrow" w:cs="Arial Narrow"/>
          <w:bCs/>
          <w:i/>
          <w:sz w:val="18"/>
          <w:szCs w:val="18"/>
        </w:rPr>
        <w:t xml:space="preserve"> </w:t>
      </w:r>
      <w:r w:rsidRPr="00A17C17">
        <w:rPr>
          <w:rFonts w:ascii="Arial Narrow" w:hAnsi="Arial Narrow" w:cs="Arial Narrow"/>
          <w:bCs/>
          <w:i/>
          <w:sz w:val="18"/>
          <w:szCs w:val="18"/>
        </w:rPr>
        <w:fldChar w:fldCharType="begin"/>
      </w:r>
      <w:r w:rsidRPr="00A17C17">
        <w:rPr>
          <w:rFonts w:ascii="Arial Narrow" w:hAnsi="Arial Narrow" w:cs="Arial Narrow"/>
          <w:bCs/>
          <w:i/>
          <w:sz w:val="18"/>
          <w:szCs w:val="18"/>
        </w:rPr>
        <w:instrText xml:space="preserve"> REF _Ref402272524 \h  \* MERGEFORMAT </w:instrText>
      </w:r>
      <w:r w:rsidRPr="00A17C17">
        <w:rPr>
          <w:rFonts w:ascii="Arial Narrow" w:hAnsi="Arial Narrow" w:cs="Arial Narrow"/>
          <w:bCs/>
          <w:i/>
          <w:sz w:val="18"/>
          <w:szCs w:val="18"/>
        </w:rPr>
      </w:r>
      <w:r w:rsidRPr="00A17C17">
        <w:rPr>
          <w:rFonts w:ascii="Arial Narrow" w:hAnsi="Arial Narrow" w:cs="Arial Narrow"/>
          <w:bCs/>
          <w:i/>
          <w:sz w:val="18"/>
          <w:szCs w:val="18"/>
        </w:rPr>
        <w:fldChar w:fldCharType="separate"/>
      </w:r>
      <w:r w:rsidR="00BB0E3E" w:rsidRPr="00A17C17">
        <w:rPr>
          <w:rFonts w:ascii="Arial Narrow" w:hAnsi="Arial Narrow"/>
          <w:sz w:val="18"/>
          <w:szCs w:val="18"/>
        </w:rPr>
        <w:t xml:space="preserve">CF </w:t>
      </w:r>
      <w:r w:rsidR="00BB0E3E" w:rsidRPr="00A17C17">
        <w:rPr>
          <w:rFonts w:ascii="Arial Narrow" w:hAnsi="Arial Narrow"/>
          <w:noProof/>
          <w:sz w:val="18"/>
          <w:szCs w:val="18"/>
        </w:rPr>
        <w:t>=</w:t>
      </w:r>
      <w:r w:rsidR="00BB0E3E" w:rsidRPr="00A17C17">
        <w:rPr>
          <w:rFonts w:ascii="Arial Narrow" w:hAnsi="Arial Narrow"/>
          <w:sz w:val="18"/>
          <w:szCs w:val="18"/>
        </w:rPr>
        <w:t xml:space="preserve"> cystic fibrosis; CFTR = cystic fibrosis transmembrane conductance regulator </w:t>
      </w:r>
    </w:p>
    <w:p w14:paraId="487828D6" w14:textId="7956E443" w:rsidR="000956B1" w:rsidRPr="00A17C17" w:rsidRDefault="00BB0E3E" w:rsidP="00A17C17">
      <w:pPr>
        <w:spacing w:after="0" w:line="240" w:lineRule="auto"/>
        <w:rPr>
          <w:rFonts w:ascii="Arial Narrow" w:hAnsi="Arial Narrow"/>
          <w:sz w:val="18"/>
          <w:szCs w:val="18"/>
        </w:rPr>
      </w:pPr>
      <w:r>
        <w:t xml:space="preserve">Table </w:t>
      </w:r>
      <w:r>
        <w:rPr>
          <w:noProof/>
        </w:rPr>
        <w:t>11</w:t>
      </w:r>
      <w:r w:rsidR="000956B1" w:rsidRPr="00A17C17">
        <w:rPr>
          <w:rFonts w:ascii="Arial Narrow" w:hAnsi="Arial Narrow" w:cs="Arial Narrow"/>
          <w:bCs/>
          <w:i/>
          <w:sz w:val="18"/>
          <w:szCs w:val="18"/>
        </w:rPr>
        <w:fldChar w:fldCharType="end"/>
      </w:r>
      <w:r w:rsidR="000956B1" w:rsidRPr="00A17C17">
        <w:rPr>
          <w:rFonts w:ascii="Arial Narrow" w:hAnsi="Arial Narrow" w:cs="Arial Narrow"/>
          <w:bCs/>
          <w:sz w:val="18"/>
          <w:szCs w:val="18"/>
        </w:rPr>
        <w:t>).</w:t>
      </w:r>
    </w:p>
    <w:p w14:paraId="44C386C3" w14:textId="6945F450" w:rsidR="000956B1" w:rsidRPr="00DE2EFB" w:rsidRDefault="00251804" w:rsidP="001377AF">
      <w:pPr>
        <w:spacing w:after="0" w:line="240" w:lineRule="auto"/>
        <w:rPr>
          <w:sz w:val="20"/>
          <w:lang w:val="en-US"/>
        </w:rPr>
      </w:pPr>
      <w:r w:rsidRPr="000371EA">
        <w:rPr>
          <w:rFonts w:ascii="Arial Narrow" w:hAnsi="Arial Narrow"/>
          <w:sz w:val="18"/>
          <w:szCs w:val="18"/>
        </w:rPr>
        <w:t>CF = cystic fibrosis; CFTR = cystic fibrosis transmembrane conductance regulator</w:t>
      </w:r>
      <w:r>
        <w:rPr>
          <w:rFonts w:ascii="Arial Narrow" w:hAnsi="Arial Narrow"/>
          <w:sz w:val="18"/>
          <w:szCs w:val="18"/>
        </w:rPr>
        <w:t xml:space="preserve">; PND = prenatal diagnosis; TOP = </w:t>
      </w:r>
      <w:r w:rsidRPr="000371EA">
        <w:rPr>
          <w:rFonts w:ascii="Arial Narrow" w:hAnsi="Arial Narrow"/>
          <w:sz w:val="18"/>
          <w:szCs w:val="18"/>
        </w:rPr>
        <w:t>termination of pregnancy</w:t>
      </w:r>
    </w:p>
    <w:p w14:paraId="1C15CBB2" w14:textId="77777777" w:rsidR="000956B1" w:rsidRDefault="000956B1" w:rsidP="00C873D2">
      <w:pPr>
        <w:rPr>
          <w:rFonts w:cs="Arial Narrow"/>
          <w:b/>
          <w:bCs/>
        </w:rPr>
      </w:pPr>
      <w:r w:rsidRPr="0010146E">
        <w:rPr>
          <w:lang w:val="en-US"/>
        </w:rPr>
        <w:lastRenderedPageBreak/>
        <w:t xml:space="preserve">A full </w:t>
      </w:r>
      <w:r>
        <w:rPr>
          <w:lang w:val="en-US"/>
        </w:rPr>
        <w:t xml:space="preserve">linked evidence approach was necessary to answer the research questions, and the PICO that were pre-specified to guide the systematic literature review for a linked evidence approach are presented in </w:t>
      </w:r>
      <w:r w:rsidR="00DD17C1" w:rsidRPr="00DD17C1">
        <w:rPr>
          <w:lang w:val="en-US"/>
        </w:rPr>
        <w:fldChar w:fldCharType="begin"/>
      </w:r>
      <w:r w:rsidR="00DD17C1" w:rsidRPr="00DD17C1">
        <w:rPr>
          <w:lang w:val="en-US"/>
        </w:rPr>
        <w:instrText xml:space="preserve"> REF _Ref401919759 \h </w:instrText>
      </w:r>
      <w:r w:rsidR="00DD17C1">
        <w:rPr>
          <w:lang w:val="en-US"/>
        </w:rPr>
        <w:instrText xml:space="preserve"> \* MERGEFORMAT </w:instrText>
      </w:r>
      <w:r w:rsidR="00DD17C1" w:rsidRPr="00DD17C1">
        <w:rPr>
          <w:lang w:val="en-US"/>
        </w:rPr>
      </w:r>
      <w:r w:rsidR="00DD17C1" w:rsidRPr="00DD17C1">
        <w:rPr>
          <w:lang w:val="en-US"/>
        </w:rPr>
        <w:fldChar w:fldCharType="separate"/>
      </w:r>
      <w:r w:rsidR="00BB0E3E">
        <w:t xml:space="preserve">Table </w:t>
      </w:r>
      <w:r w:rsidR="00BB0E3E">
        <w:rPr>
          <w:noProof/>
        </w:rPr>
        <w:t>13</w:t>
      </w:r>
      <w:r w:rsidR="00DD17C1" w:rsidRPr="00DD17C1">
        <w:rPr>
          <w:lang w:val="en-US"/>
        </w:rPr>
        <w:fldChar w:fldCharType="end"/>
      </w:r>
      <w:r w:rsidR="00DD17C1" w:rsidRPr="00DD17C1">
        <w:rPr>
          <w:lang w:val="en-US"/>
        </w:rPr>
        <w:t xml:space="preserve"> to </w:t>
      </w:r>
      <w:r w:rsidR="00DD17C1" w:rsidRPr="00DD17C1">
        <w:rPr>
          <w:lang w:val="en-US"/>
        </w:rPr>
        <w:fldChar w:fldCharType="begin"/>
      </w:r>
      <w:r w:rsidR="00DD17C1" w:rsidRPr="00DD17C1">
        <w:rPr>
          <w:lang w:val="en-US"/>
        </w:rPr>
        <w:instrText xml:space="preserve"> REF _Ref401919817 \h </w:instrText>
      </w:r>
      <w:r w:rsidR="00DD17C1">
        <w:rPr>
          <w:lang w:val="en-US"/>
        </w:rPr>
        <w:instrText xml:space="preserve"> \* MERGEFORMAT </w:instrText>
      </w:r>
      <w:r w:rsidR="00DD17C1" w:rsidRPr="00DD17C1">
        <w:rPr>
          <w:lang w:val="en-US"/>
        </w:rPr>
      </w:r>
      <w:r w:rsidR="00DD17C1" w:rsidRPr="00DD17C1">
        <w:rPr>
          <w:lang w:val="en-US"/>
        </w:rPr>
        <w:fldChar w:fldCharType="separate"/>
      </w:r>
      <w:r w:rsidR="00BB0E3E">
        <w:t xml:space="preserve">Table </w:t>
      </w:r>
      <w:r w:rsidR="00BB0E3E">
        <w:rPr>
          <w:noProof/>
        </w:rPr>
        <w:t>17</w:t>
      </w:r>
      <w:r w:rsidR="00DD17C1" w:rsidRPr="00DD17C1">
        <w:rPr>
          <w:lang w:val="en-US"/>
        </w:rPr>
        <w:fldChar w:fldCharType="end"/>
      </w:r>
      <w:r w:rsidR="00DD17C1" w:rsidRPr="00DD17C1">
        <w:rPr>
          <w:lang w:val="en-US"/>
        </w:rPr>
        <w:t>.</w:t>
      </w:r>
    </w:p>
    <w:p w14:paraId="0B3431E0" w14:textId="157FDCF9" w:rsidR="000956B1" w:rsidRDefault="00DD6DB1" w:rsidP="00A17C17">
      <w:pPr>
        <w:pStyle w:val="Heading3"/>
        <w:tabs>
          <w:tab w:val="left" w:pos="1134"/>
        </w:tabs>
      </w:pPr>
      <w:r>
        <w:t>A.8.1</w:t>
      </w:r>
      <w:r>
        <w:tab/>
        <w:t>Diagnostic accuracy</w:t>
      </w:r>
    </w:p>
    <w:p w14:paraId="6C6A196B" w14:textId="1FC8A41A" w:rsidR="000956B1" w:rsidRDefault="000956B1" w:rsidP="000956B1">
      <w:pPr>
        <w:pStyle w:val="Caption"/>
      </w:pPr>
      <w:bookmarkStart w:id="177" w:name="_Ref401919759"/>
      <w:bookmarkStart w:id="178" w:name="_Toc418179410"/>
      <w:bookmarkStart w:id="179" w:name="_Toc402338812"/>
      <w:r>
        <w:t xml:space="preserve">Table </w:t>
      </w:r>
      <w:fldSimple w:instr=" SEQ Table \* ARABIC ">
        <w:r w:rsidR="00BB0E3E">
          <w:rPr>
            <w:noProof/>
          </w:rPr>
          <w:t>13</w:t>
        </w:r>
      </w:fldSimple>
      <w:bookmarkEnd w:id="177"/>
      <w:r>
        <w:t xml:space="preserve"> </w:t>
      </w:r>
      <w:r w:rsidR="00C11212">
        <w:tab/>
      </w:r>
      <w:r>
        <w:t>Selection criteria for the accuracy</w:t>
      </w:r>
      <w:r w:rsidRPr="003565FF">
        <w:t xml:space="preserve"> of </w:t>
      </w:r>
      <w:r w:rsidR="00FD37D3" w:rsidRPr="00FD37D3">
        <w:t>CFTR</w:t>
      </w:r>
      <w:r w:rsidRPr="0076301D">
        <w:t xml:space="preserve"> mutation testing </w:t>
      </w:r>
      <w:r>
        <w:t>in parents with a fetus suspected of CF</w:t>
      </w:r>
      <w:bookmarkEnd w:id="178"/>
      <w:r>
        <w:t xml:space="preserve"> </w:t>
      </w:r>
      <w:bookmarkEnd w:id="179"/>
    </w:p>
    <w:tbl>
      <w:tblPr>
        <w:tblStyle w:val="TableGrid1"/>
        <w:tblW w:w="0" w:type="auto"/>
        <w:tblLook w:val="04A0" w:firstRow="1" w:lastRow="0" w:firstColumn="1" w:lastColumn="0" w:noHBand="0" w:noVBand="1"/>
        <w:tblCaption w:val="Research question: What is the diagnostic accuracy of CFTR mutation testing in parents of a fetus suspected of CF?"/>
        <w:tblDescription w:val="Research question: What is the diagnostic accuracy of CFTR mutation testing in parents of a fetus suspected of CF?"/>
      </w:tblPr>
      <w:tblGrid>
        <w:gridCol w:w="1894"/>
        <w:gridCol w:w="7351"/>
      </w:tblGrid>
      <w:tr w:rsidR="000956B1" w:rsidRPr="006D6DA4" w14:paraId="7416F9D5"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894" w:type="dxa"/>
          </w:tcPr>
          <w:p w14:paraId="3D5DFCCE" w14:textId="77777777" w:rsidR="000956B1" w:rsidRPr="006D6DA4" w:rsidRDefault="000956B1" w:rsidP="0056470B">
            <w:pPr>
              <w:pStyle w:val="Tabletext1"/>
            </w:pPr>
            <w:r w:rsidRPr="006D6DA4">
              <w:t>Population</w:t>
            </w:r>
          </w:p>
        </w:tc>
        <w:tc>
          <w:tcPr>
            <w:tcW w:w="7351" w:type="dxa"/>
          </w:tcPr>
          <w:p w14:paraId="59B84A12" w14:textId="654CEEE2" w:rsidR="000956B1" w:rsidRDefault="000956B1" w:rsidP="00A17C17">
            <w:pPr>
              <w:pStyle w:val="Tabletext1"/>
              <w:jc w:val="left"/>
            </w:pPr>
            <w:r w:rsidRPr="00404FA1">
              <w:t>Parent with a fetus showing echogenic gut on second</w:t>
            </w:r>
            <w:r w:rsidR="00CA6661">
              <w:t>-</w:t>
            </w:r>
            <w:r w:rsidRPr="00404FA1">
              <w:t>trimester ultrasound</w:t>
            </w:r>
          </w:p>
          <w:p w14:paraId="0DFE6936" w14:textId="77777777" w:rsidR="000956B1" w:rsidRPr="006D6DA4" w:rsidRDefault="000956B1" w:rsidP="00A17C17">
            <w:pPr>
              <w:pStyle w:val="Tabletext1"/>
              <w:jc w:val="left"/>
            </w:pPr>
            <w:r w:rsidRPr="00404FA1">
              <w:t>Parent with a fetus at risk of CF due to a previous child being clinically diagnosed with CF (unknown mutations)</w:t>
            </w:r>
          </w:p>
        </w:tc>
      </w:tr>
      <w:tr w:rsidR="000956B1" w:rsidRPr="006D6DA4" w14:paraId="36BB666E" w14:textId="77777777" w:rsidTr="004245A0">
        <w:tc>
          <w:tcPr>
            <w:tcW w:w="1894" w:type="dxa"/>
          </w:tcPr>
          <w:p w14:paraId="307B4994" w14:textId="77777777" w:rsidR="000956B1" w:rsidRPr="006D6DA4" w:rsidRDefault="000956B1" w:rsidP="0056470B">
            <w:pPr>
              <w:pStyle w:val="Tabletext1"/>
            </w:pPr>
            <w:r w:rsidRPr="006D6DA4">
              <w:t>Intervention</w:t>
            </w:r>
          </w:p>
        </w:tc>
        <w:tc>
          <w:tcPr>
            <w:tcW w:w="7351" w:type="dxa"/>
          </w:tcPr>
          <w:p w14:paraId="04C28D82" w14:textId="43B08395" w:rsidR="000956B1" w:rsidRPr="006D6DA4" w:rsidRDefault="00FD37D3" w:rsidP="00A17C17">
            <w:pPr>
              <w:pStyle w:val="Tabletext1"/>
              <w:jc w:val="left"/>
            </w:pPr>
            <w:r w:rsidRPr="00FD37D3">
              <w:t>CFTR</w:t>
            </w:r>
            <w:r w:rsidR="000956B1" w:rsidRPr="00404FA1">
              <w:t xml:space="preserve"> mutation testing (common mutation a</w:t>
            </w:r>
            <w:r w:rsidR="000956B1">
              <w:t>nalysis) in the parents</w:t>
            </w:r>
            <w:r w:rsidR="00B25F2A">
              <w:t>,</w:t>
            </w:r>
            <w:r w:rsidR="000956B1">
              <w:t xml:space="preserve"> and</w:t>
            </w:r>
            <w:r w:rsidR="000956B1" w:rsidRPr="00404FA1">
              <w:t xml:space="preserve"> in some cases PND + </w:t>
            </w:r>
            <w:r w:rsidRPr="00FD37D3">
              <w:t>CFTR</w:t>
            </w:r>
            <w:r w:rsidR="000956B1" w:rsidRPr="00404FA1">
              <w:t xml:space="preserve"> mutation testing (known mutation analysis or whole gene screen) in the fetus</w:t>
            </w:r>
          </w:p>
        </w:tc>
      </w:tr>
      <w:tr w:rsidR="000956B1" w:rsidRPr="006D6DA4" w14:paraId="75DF1760" w14:textId="77777777" w:rsidTr="004245A0">
        <w:tc>
          <w:tcPr>
            <w:tcW w:w="1894" w:type="dxa"/>
          </w:tcPr>
          <w:p w14:paraId="4E555843" w14:textId="5375374E" w:rsidR="000956B1" w:rsidRPr="006D6DA4" w:rsidRDefault="000956B1" w:rsidP="0056470B">
            <w:pPr>
              <w:pStyle w:val="Tabletext1"/>
            </w:pPr>
            <w:r w:rsidRPr="006D6DA4">
              <w:t xml:space="preserve">Evidentiary </w:t>
            </w:r>
            <w:r w:rsidR="00E37AC6">
              <w:t>s</w:t>
            </w:r>
            <w:r w:rsidRPr="006D6DA4">
              <w:t>tandard</w:t>
            </w:r>
            <w:r>
              <w:t xml:space="preserve"> </w:t>
            </w:r>
          </w:p>
        </w:tc>
        <w:tc>
          <w:tcPr>
            <w:tcW w:w="7351" w:type="dxa"/>
          </w:tcPr>
          <w:p w14:paraId="02258EAC" w14:textId="33F1406E" w:rsidR="000956B1" w:rsidRPr="006D6DA4" w:rsidRDefault="000956B1" w:rsidP="00A17C17">
            <w:pPr>
              <w:pStyle w:val="Tabletext1"/>
              <w:jc w:val="left"/>
            </w:pPr>
            <w:r w:rsidRPr="0004311F">
              <w:t>Clinical diagnosis (</w:t>
            </w:r>
            <w:r w:rsidR="0067459F">
              <w:t>NBS</w:t>
            </w:r>
            <w:r w:rsidRPr="0004311F">
              <w:t xml:space="preserve"> + symptoms) a</w:t>
            </w:r>
            <w:r>
              <w:t>fter the</w:t>
            </w:r>
            <w:r w:rsidRPr="0004311F">
              <w:t xml:space="preserve"> birth</w:t>
            </w:r>
          </w:p>
        </w:tc>
      </w:tr>
      <w:tr w:rsidR="000956B1" w:rsidRPr="006D6DA4" w14:paraId="734096A5" w14:textId="77777777" w:rsidTr="004245A0">
        <w:tc>
          <w:tcPr>
            <w:tcW w:w="1894" w:type="dxa"/>
          </w:tcPr>
          <w:p w14:paraId="0A90B53E" w14:textId="77777777" w:rsidR="000956B1" w:rsidRPr="006D6DA4" w:rsidRDefault="000956B1" w:rsidP="0056470B">
            <w:pPr>
              <w:pStyle w:val="Tabletext1"/>
            </w:pPr>
            <w:r w:rsidRPr="006D6DA4">
              <w:t>Outcomes</w:t>
            </w:r>
          </w:p>
        </w:tc>
        <w:tc>
          <w:tcPr>
            <w:tcW w:w="7351" w:type="dxa"/>
          </w:tcPr>
          <w:p w14:paraId="6C85BD33" w14:textId="494192A7" w:rsidR="000956B1" w:rsidRDefault="000956B1" w:rsidP="00A17C17">
            <w:pPr>
              <w:pStyle w:val="Tabletext1"/>
              <w:jc w:val="left"/>
            </w:pPr>
            <w:r>
              <w:t>Analytic validity: test</w:t>
            </w:r>
            <w:r w:rsidR="00B25F2A">
              <w:t>–</w:t>
            </w:r>
            <w:r>
              <w:t xml:space="preserve">retest reliability, invalid/uninterpretable test results </w:t>
            </w:r>
          </w:p>
          <w:p w14:paraId="61B837C6" w14:textId="77777777" w:rsidR="000956B1" w:rsidRPr="006D6DA4" w:rsidRDefault="000956B1" w:rsidP="00A17C17">
            <w:pPr>
              <w:pStyle w:val="Tabletext1"/>
              <w:jc w:val="left"/>
            </w:pPr>
            <w:r>
              <w:t>Clinical validity: sensitivity, specificity, false positive rate, false negative rate, negative predictive value, positive predictive value (by reference to the evidentiary standard)</w:t>
            </w:r>
          </w:p>
        </w:tc>
      </w:tr>
      <w:tr w:rsidR="000956B1" w:rsidRPr="006D6DA4" w14:paraId="1C79E266" w14:textId="77777777" w:rsidTr="004245A0">
        <w:tc>
          <w:tcPr>
            <w:tcW w:w="1894" w:type="dxa"/>
          </w:tcPr>
          <w:p w14:paraId="0FE0317A" w14:textId="77777777" w:rsidR="000956B1" w:rsidRPr="006D6DA4" w:rsidRDefault="000956B1" w:rsidP="0056470B">
            <w:pPr>
              <w:pStyle w:val="Tabletext1"/>
            </w:pPr>
            <w:r w:rsidRPr="006D6DA4">
              <w:t>Study design</w:t>
            </w:r>
          </w:p>
        </w:tc>
        <w:tc>
          <w:tcPr>
            <w:tcW w:w="7351" w:type="dxa"/>
          </w:tcPr>
          <w:p w14:paraId="26D6E0C6" w14:textId="77777777" w:rsidR="000956B1" w:rsidRPr="006D6DA4" w:rsidRDefault="000956B1" w:rsidP="00A17C17">
            <w:pPr>
              <w:pStyle w:val="Tabletext1"/>
              <w:jc w:val="left"/>
            </w:pPr>
            <w:r>
              <w:t xml:space="preserve">Level I to level III-3 diagnostic study designs in </w:t>
            </w:r>
            <w:r>
              <w:fldChar w:fldCharType="begin"/>
            </w:r>
            <w:r>
              <w:instrText xml:space="preserve"> REF _Ref206478826 \h  \* MERGEFORMAT </w:instrText>
            </w:r>
            <w:r>
              <w:fldChar w:fldCharType="separate"/>
            </w:r>
            <w:r w:rsidR="00BB0E3E" w:rsidRPr="005613FD">
              <w:t xml:space="preserve">Table </w:t>
            </w:r>
            <w:r w:rsidR="00BB0E3E">
              <w:t>20</w:t>
            </w:r>
            <w:r>
              <w:fldChar w:fldCharType="end"/>
            </w:r>
          </w:p>
        </w:tc>
      </w:tr>
      <w:tr w:rsidR="000956B1" w:rsidRPr="006D6DA4" w14:paraId="29058753" w14:textId="77777777" w:rsidTr="004245A0">
        <w:tc>
          <w:tcPr>
            <w:tcW w:w="1894" w:type="dxa"/>
          </w:tcPr>
          <w:p w14:paraId="0AEF2E10" w14:textId="77777777" w:rsidR="000956B1" w:rsidRPr="006D6DA4" w:rsidRDefault="000956B1" w:rsidP="0056470B">
            <w:pPr>
              <w:pStyle w:val="Tabletext1"/>
            </w:pPr>
            <w:r w:rsidRPr="006D6DA4">
              <w:t>Search period</w:t>
            </w:r>
          </w:p>
        </w:tc>
        <w:tc>
          <w:tcPr>
            <w:tcW w:w="7351" w:type="dxa"/>
          </w:tcPr>
          <w:p w14:paraId="14C6C879" w14:textId="73A3F093"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rsidRPr="006D6DA4" w14:paraId="371DC189" w14:textId="77777777" w:rsidTr="004245A0">
        <w:tc>
          <w:tcPr>
            <w:tcW w:w="1894" w:type="dxa"/>
          </w:tcPr>
          <w:p w14:paraId="54254BED" w14:textId="77777777" w:rsidR="000956B1" w:rsidRPr="006D6DA4" w:rsidRDefault="000956B1" w:rsidP="0056470B">
            <w:pPr>
              <w:pStyle w:val="Tabletext1"/>
            </w:pPr>
            <w:r w:rsidRPr="006D6DA4">
              <w:t>Language</w:t>
            </w:r>
          </w:p>
        </w:tc>
        <w:tc>
          <w:tcPr>
            <w:tcW w:w="7351" w:type="dxa"/>
          </w:tcPr>
          <w:p w14:paraId="35DE9598"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C46307" w:rsidRPr="006D6DA4" w14:paraId="38A48C79" w14:textId="77777777" w:rsidTr="004245A0">
        <w:tc>
          <w:tcPr>
            <w:tcW w:w="1894" w:type="dxa"/>
          </w:tcPr>
          <w:p w14:paraId="0B966C08" w14:textId="77777777" w:rsidR="00C46307" w:rsidRPr="00C46307" w:rsidRDefault="00C46307" w:rsidP="0056470B">
            <w:pPr>
              <w:pStyle w:val="Tabletext1"/>
              <w:rPr>
                <w:b/>
              </w:rPr>
            </w:pPr>
            <w:r w:rsidRPr="00C46307">
              <w:rPr>
                <w:b/>
              </w:rPr>
              <w:t>Research question</w:t>
            </w:r>
          </w:p>
        </w:tc>
        <w:tc>
          <w:tcPr>
            <w:tcW w:w="7351" w:type="dxa"/>
          </w:tcPr>
          <w:p w14:paraId="24BB186B" w14:textId="280C148B" w:rsidR="00C46307" w:rsidRPr="006D6DA4" w:rsidRDefault="00C46307" w:rsidP="00A17C17">
            <w:pPr>
              <w:pStyle w:val="Tabletext1"/>
              <w:jc w:val="left"/>
            </w:pPr>
            <w:r w:rsidRPr="00DA4147">
              <w:rPr>
                <w:b/>
              </w:rPr>
              <w:t xml:space="preserve">What is the </w:t>
            </w:r>
            <w:r>
              <w:rPr>
                <w:b/>
              </w:rPr>
              <w:t xml:space="preserve">diagnostic accuracy of </w:t>
            </w:r>
            <w:r w:rsidR="00FD37D3" w:rsidRPr="00FD37D3">
              <w:rPr>
                <w:b/>
              </w:rPr>
              <w:t>CFTR</w:t>
            </w:r>
            <w:r>
              <w:rPr>
                <w:b/>
              </w:rPr>
              <w:t xml:space="preserve"> mutation testing in </w:t>
            </w:r>
            <w:r w:rsidRPr="001F5BDC">
              <w:rPr>
                <w:b/>
              </w:rPr>
              <w:t xml:space="preserve">parents </w:t>
            </w:r>
            <w:r>
              <w:rPr>
                <w:b/>
              </w:rPr>
              <w:t>of</w:t>
            </w:r>
            <w:r w:rsidRPr="001F5BDC">
              <w:rPr>
                <w:b/>
              </w:rPr>
              <w:t xml:space="preserve"> a fetus suspected of CF</w:t>
            </w:r>
            <w:r>
              <w:rPr>
                <w:b/>
              </w:rPr>
              <w:t>?</w:t>
            </w:r>
          </w:p>
        </w:tc>
      </w:tr>
    </w:tbl>
    <w:p w14:paraId="3EF9BDDD" w14:textId="05CB399E" w:rsidR="00251804" w:rsidRPr="000371EA" w:rsidRDefault="00251804" w:rsidP="00251804">
      <w:pPr>
        <w:spacing w:after="0" w:line="240" w:lineRule="auto"/>
        <w:rPr>
          <w:rFonts w:ascii="Arial Narrow" w:hAnsi="Arial Narrow"/>
          <w:sz w:val="18"/>
          <w:szCs w:val="18"/>
        </w:rPr>
      </w:pPr>
      <w:bookmarkStart w:id="180" w:name="_Ref401919761"/>
      <w:bookmarkStart w:id="181" w:name="_Toc418179411"/>
      <w:bookmarkStart w:id="182" w:name="_Toc402338813"/>
      <w:r w:rsidRPr="000371EA">
        <w:rPr>
          <w:rFonts w:ascii="Arial Narrow" w:hAnsi="Arial Narrow"/>
          <w:sz w:val="18"/>
          <w:szCs w:val="18"/>
        </w:rPr>
        <w:t>CF = cystic fibrosis; CFTR = cystic fibrosis transmembrane conductance regulator</w:t>
      </w:r>
      <w:r>
        <w:rPr>
          <w:rFonts w:ascii="Arial Narrow" w:hAnsi="Arial Narrow"/>
          <w:sz w:val="18"/>
          <w:szCs w:val="18"/>
        </w:rPr>
        <w:t>; PND = prenatal diagnosis</w:t>
      </w:r>
      <w:r w:rsidRPr="000371EA">
        <w:rPr>
          <w:rFonts w:ascii="Arial Narrow" w:hAnsi="Arial Narrow"/>
          <w:sz w:val="18"/>
          <w:szCs w:val="18"/>
        </w:rPr>
        <w:t xml:space="preserve"> </w:t>
      </w:r>
    </w:p>
    <w:p w14:paraId="3771162F" w14:textId="77777777" w:rsidR="00C2216C" w:rsidRDefault="00C2216C" w:rsidP="000956B1">
      <w:pPr>
        <w:pStyle w:val="Caption"/>
      </w:pPr>
    </w:p>
    <w:p w14:paraId="1BADE25D" w14:textId="7351246C" w:rsidR="000956B1" w:rsidRDefault="000956B1" w:rsidP="00022486">
      <w:pPr>
        <w:pStyle w:val="Caption"/>
        <w:ind w:left="1134" w:hanging="1134"/>
      </w:pPr>
      <w:r>
        <w:t xml:space="preserve">Table </w:t>
      </w:r>
      <w:fldSimple w:instr=" SEQ Table \* ARABIC ">
        <w:r w:rsidR="00BB0E3E">
          <w:rPr>
            <w:noProof/>
          </w:rPr>
          <w:t>14</w:t>
        </w:r>
      </w:fldSimple>
      <w:bookmarkEnd w:id="180"/>
      <w:r>
        <w:tab/>
        <w:t>Selection criteria for the accuracy</w:t>
      </w:r>
      <w:r w:rsidRPr="003565FF">
        <w:t xml:space="preserve"> of </w:t>
      </w:r>
      <w:r w:rsidR="00FD37D3" w:rsidRPr="00FD37D3">
        <w:t>CFTR</w:t>
      </w:r>
      <w:r w:rsidRPr="0076301D">
        <w:t xml:space="preserve"> mutation testing</w:t>
      </w:r>
      <w:r>
        <w:t xml:space="preserve"> in</w:t>
      </w:r>
      <w:r w:rsidRPr="0076301D">
        <w:t xml:space="preserve"> </w:t>
      </w:r>
      <w:r>
        <w:t>fetuses w</w:t>
      </w:r>
      <w:r w:rsidR="00C2216C">
        <w:t>h</w:t>
      </w:r>
      <w:r>
        <w:t>ere both parents are CF carriers</w:t>
      </w:r>
      <w:bookmarkEnd w:id="181"/>
      <w:r>
        <w:t xml:space="preserve"> </w:t>
      </w:r>
      <w:bookmarkEnd w:id="182"/>
    </w:p>
    <w:tbl>
      <w:tblPr>
        <w:tblStyle w:val="TableGrid1"/>
        <w:tblW w:w="0" w:type="auto"/>
        <w:tblLook w:val="04A0" w:firstRow="1" w:lastRow="0" w:firstColumn="1" w:lastColumn="0" w:noHBand="0" w:noVBand="1"/>
        <w:tblCaption w:val="Research question: What is the diagnostic accuracy of CFTR mutation testing in fetuses where both parents are CF carriers?"/>
        <w:tblDescription w:val="Research question: What is the diagnostic accuracy of CFTR mutation testing in fetuses where both parents are CF carriers?"/>
      </w:tblPr>
      <w:tblGrid>
        <w:gridCol w:w="1894"/>
        <w:gridCol w:w="7351"/>
      </w:tblGrid>
      <w:tr w:rsidR="000956B1" w:rsidRPr="006D6DA4" w14:paraId="6F55FF52"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894" w:type="dxa"/>
          </w:tcPr>
          <w:p w14:paraId="78D1CC8B" w14:textId="77777777" w:rsidR="000956B1" w:rsidRPr="006D6DA4" w:rsidRDefault="000956B1" w:rsidP="0056470B">
            <w:pPr>
              <w:pStyle w:val="Tabletext1"/>
            </w:pPr>
            <w:r w:rsidRPr="006D6DA4">
              <w:t>Population</w:t>
            </w:r>
          </w:p>
        </w:tc>
        <w:tc>
          <w:tcPr>
            <w:tcW w:w="7351" w:type="dxa"/>
          </w:tcPr>
          <w:p w14:paraId="23A0EAA2" w14:textId="77777777" w:rsidR="000956B1" w:rsidRPr="006D6DA4" w:rsidRDefault="000956B1" w:rsidP="00A17C17">
            <w:pPr>
              <w:pStyle w:val="Tabletext1"/>
              <w:jc w:val="left"/>
            </w:pPr>
            <w:r w:rsidRPr="00031EA0">
              <w:t>Fetuses where both parents have been identified</w:t>
            </w:r>
            <w:r>
              <w:t xml:space="preserve"> </w:t>
            </w:r>
            <w:r w:rsidRPr="00031EA0">
              <w:t>as</w:t>
            </w:r>
            <w:r>
              <w:t xml:space="preserve"> </w:t>
            </w:r>
            <w:r w:rsidRPr="00031EA0">
              <w:t>CF carriers (parents identified due to: signs/symptoms of CF in themselves, a previous child with CF, or due to investigations following an echogenic gut in the fetus)</w:t>
            </w:r>
          </w:p>
        </w:tc>
      </w:tr>
      <w:tr w:rsidR="000956B1" w:rsidRPr="006D6DA4" w14:paraId="1D2B1118" w14:textId="77777777" w:rsidTr="004245A0">
        <w:tc>
          <w:tcPr>
            <w:tcW w:w="1894" w:type="dxa"/>
          </w:tcPr>
          <w:p w14:paraId="5130EF04" w14:textId="77777777" w:rsidR="000956B1" w:rsidRPr="006D6DA4" w:rsidRDefault="000956B1" w:rsidP="0056470B">
            <w:pPr>
              <w:pStyle w:val="Tabletext1"/>
            </w:pPr>
            <w:r w:rsidRPr="006D6DA4">
              <w:t>Intervention</w:t>
            </w:r>
          </w:p>
        </w:tc>
        <w:tc>
          <w:tcPr>
            <w:tcW w:w="7351" w:type="dxa"/>
          </w:tcPr>
          <w:p w14:paraId="5D4E3A9A" w14:textId="3534E264" w:rsidR="000956B1" w:rsidRPr="006D6DA4" w:rsidRDefault="000956B1" w:rsidP="00A17C17">
            <w:pPr>
              <w:pStyle w:val="Tabletext1"/>
              <w:jc w:val="left"/>
            </w:pPr>
            <w:r w:rsidRPr="00ED1E7B">
              <w:t xml:space="preserve">PND followed by </w:t>
            </w:r>
            <w:r w:rsidR="00FD37D3" w:rsidRPr="00FD37D3">
              <w:t>CFTR</w:t>
            </w:r>
            <w:r w:rsidRPr="00ED1E7B">
              <w:t xml:space="preserve"> mutation testing (whole gene screen in fetuses with echogenic gut where common mutations</w:t>
            </w:r>
            <w:r>
              <w:t xml:space="preserve"> are</w:t>
            </w:r>
            <w:r w:rsidRPr="00ED1E7B">
              <w:t xml:space="preserve"> not identified in parents</w:t>
            </w:r>
            <w:r w:rsidR="00B25F2A">
              <w:t>,</w:t>
            </w:r>
            <w:r w:rsidRPr="00ED1E7B">
              <w:t xml:space="preserve"> and known mutation analysis and possible whole gene screen</w:t>
            </w:r>
            <w:r>
              <w:t xml:space="preserve"> for f</w:t>
            </w:r>
            <w:r w:rsidRPr="00ED1E7B">
              <w:t>etuses whose parents are carriers)</w:t>
            </w:r>
            <w:r w:rsidR="00B25F2A">
              <w:t>,</w:t>
            </w:r>
            <w:r w:rsidRPr="00ED1E7B">
              <w:t xml:space="preserve"> </w:t>
            </w:r>
            <w:r>
              <w:t>with the option of TOP if the f</w:t>
            </w:r>
            <w:r w:rsidRPr="00ED1E7B">
              <w:t>etus is affected</w:t>
            </w:r>
          </w:p>
        </w:tc>
      </w:tr>
      <w:tr w:rsidR="000956B1" w:rsidRPr="006D6DA4" w14:paraId="6E1B5708" w14:textId="77777777" w:rsidTr="004245A0">
        <w:tc>
          <w:tcPr>
            <w:tcW w:w="1894" w:type="dxa"/>
          </w:tcPr>
          <w:p w14:paraId="183B95D2" w14:textId="0AEF282B" w:rsidR="000956B1" w:rsidRPr="006D6DA4" w:rsidRDefault="000956B1" w:rsidP="0056470B">
            <w:pPr>
              <w:pStyle w:val="Tabletext1"/>
            </w:pPr>
            <w:r w:rsidRPr="006D6DA4">
              <w:t xml:space="preserve">Evidentiary </w:t>
            </w:r>
            <w:r w:rsidR="00E37AC6">
              <w:t>s</w:t>
            </w:r>
            <w:r w:rsidRPr="006D6DA4">
              <w:t>tandard</w:t>
            </w:r>
            <w:r>
              <w:t xml:space="preserve"> </w:t>
            </w:r>
          </w:p>
        </w:tc>
        <w:tc>
          <w:tcPr>
            <w:tcW w:w="7351" w:type="dxa"/>
          </w:tcPr>
          <w:p w14:paraId="3860A15E" w14:textId="44EE7F7B" w:rsidR="000956B1" w:rsidRPr="006D6DA4" w:rsidRDefault="000956B1" w:rsidP="00A17C17">
            <w:pPr>
              <w:pStyle w:val="Tabletext1"/>
              <w:jc w:val="left"/>
            </w:pPr>
            <w:r w:rsidRPr="0004311F">
              <w:t>Clinical diagnosis (</w:t>
            </w:r>
            <w:r w:rsidR="0067459F">
              <w:t>NBS</w:t>
            </w:r>
            <w:r w:rsidRPr="0004311F">
              <w:t>+ symptoms) a</w:t>
            </w:r>
            <w:r>
              <w:t>f</w:t>
            </w:r>
            <w:r w:rsidRPr="0004311F">
              <w:t>t</w:t>
            </w:r>
            <w:r>
              <w:t>er the</w:t>
            </w:r>
            <w:r w:rsidRPr="0004311F">
              <w:t xml:space="preserve"> birth</w:t>
            </w:r>
          </w:p>
        </w:tc>
      </w:tr>
      <w:tr w:rsidR="000956B1" w:rsidRPr="006D6DA4" w14:paraId="3BE1FF06" w14:textId="77777777" w:rsidTr="004245A0">
        <w:tc>
          <w:tcPr>
            <w:tcW w:w="1894" w:type="dxa"/>
          </w:tcPr>
          <w:p w14:paraId="29E6BD7A" w14:textId="77777777" w:rsidR="000956B1" w:rsidRPr="006D6DA4" w:rsidRDefault="000956B1" w:rsidP="0056470B">
            <w:pPr>
              <w:pStyle w:val="Tabletext1"/>
            </w:pPr>
            <w:r w:rsidRPr="006D6DA4">
              <w:t>Outcomes</w:t>
            </w:r>
          </w:p>
        </w:tc>
        <w:tc>
          <w:tcPr>
            <w:tcW w:w="7351" w:type="dxa"/>
          </w:tcPr>
          <w:p w14:paraId="13FFB6A2" w14:textId="0C9D6CE0" w:rsidR="000956B1" w:rsidRDefault="000956B1" w:rsidP="00A17C17">
            <w:pPr>
              <w:pStyle w:val="Tabletext1"/>
              <w:jc w:val="left"/>
            </w:pPr>
            <w:r>
              <w:t>Analytic validity: test</w:t>
            </w:r>
            <w:r w:rsidR="00B25F2A">
              <w:t>–</w:t>
            </w:r>
            <w:r>
              <w:t xml:space="preserve">retest reliability, invalid/uninterpretable test results </w:t>
            </w:r>
          </w:p>
          <w:p w14:paraId="540E1900" w14:textId="77777777" w:rsidR="000956B1" w:rsidRPr="006D6DA4" w:rsidRDefault="000956B1" w:rsidP="00A17C17">
            <w:pPr>
              <w:pStyle w:val="Tabletext1"/>
              <w:jc w:val="left"/>
            </w:pPr>
            <w:r>
              <w:t>Clinical validity: sensitivity, specificity, false positive rate, false negative rate, negative predictive value, positive predictive value (by reference to the evidentiary standard)</w:t>
            </w:r>
          </w:p>
        </w:tc>
      </w:tr>
      <w:tr w:rsidR="000956B1" w:rsidRPr="006D6DA4" w14:paraId="3BC78999" w14:textId="77777777" w:rsidTr="004245A0">
        <w:tc>
          <w:tcPr>
            <w:tcW w:w="1894" w:type="dxa"/>
          </w:tcPr>
          <w:p w14:paraId="680163D7" w14:textId="77777777" w:rsidR="000956B1" w:rsidRPr="006D6DA4" w:rsidRDefault="000956B1" w:rsidP="0056470B">
            <w:pPr>
              <w:pStyle w:val="Tabletext1"/>
            </w:pPr>
            <w:r w:rsidRPr="006D6DA4">
              <w:t>Study design</w:t>
            </w:r>
          </w:p>
        </w:tc>
        <w:tc>
          <w:tcPr>
            <w:tcW w:w="7351" w:type="dxa"/>
          </w:tcPr>
          <w:p w14:paraId="18602712" w14:textId="77777777" w:rsidR="000956B1" w:rsidRPr="006D6DA4" w:rsidRDefault="000956B1" w:rsidP="00A17C17">
            <w:pPr>
              <w:pStyle w:val="Tabletext1"/>
              <w:jc w:val="left"/>
            </w:pPr>
            <w:r>
              <w:t xml:space="preserve">Level I to level III-3 diagnostic study designs in </w:t>
            </w:r>
            <w:r>
              <w:fldChar w:fldCharType="begin"/>
            </w:r>
            <w:r>
              <w:instrText xml:space="preserve"> REF _Ref206478826 \h  \* MERGEFORMAT </w:instrText>
            </w:r>
            <w:r>
              <w:fldChar w:fldCharType="separate"/>
            </w:r>
            <w:r w:rsidR="00BB0E3E" w:rsidRPr="005613FD">
              <w:t xml:space="preserve">Table </w:t>
            </w:r>
            <w:r w:rsidR="00BB0E3E">
              <w:t>20</w:t>
            </w:r>
            <w:r>
              <w:fldChar w:fldCharType="end"/>
            </w:r>
          </w:p>
        </w:tc>
      </w:tr>
      <w:tr w:rsidR="000956B1" w:rsidRPr="006D6DA4" w14:paraId="5A272CC1" w14:textId="77777777" w:rsidTr="004245A0">
        <w:tc>
          <w:tcPr>
            <w:tcW w:w="1894" w:type="dxa"/>
          </w:tcPr>
          <w:p w14:paraId="70F684ED" w14:textId="77777777" w:rsidR="000956B1" w:rsidRPr="006D6DA4" w:rsidRDefault="000956B1" w:rsidP="0056470B">
            <w:pPr>
              <w:pStyle w:val="Tabletext1"/>
            </w:pPr>
            <w:r w:rsidRPr="006D6DA4">
              <w:t>Search period</w:t>
            </w:r>
          </w:p>
        </w:tc>
        <w:tc>
          <w:tcPr>
            <w:tcW w:w="7351" w:type="dxa"/>
          </w:tcPr>
          <w:p w14:paraId="3C5669D7" w14:textId="0E668307"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rsidRPr="006D6DA4" w14:paraId="1CC9C2C1" w14:textId="77777777" w:rsidTr="004245A0">
        <w:tc>
          <w:tcPr>
            <w:tcW w:w="1894" w:type="dxa"/>
          </w:tcPr>
          <w:p w14:paraId="2BECC52D" w14:textId="77777777" w:rsidR="000956B1" w:rsidRPr="006D6DA4" w:rsidRDefault="000956B1" w:rsidP="0056470B">
            <w:pPr>
              <w:pStyle w:val="Tabletext1"/>
            </w:pPr>
            <w:r w:rsidRPr="006D6DA4">
              <w:t>Language</w:t>
            </w:r>
          </w:p>
        </w:tc>
        <w:tc>
          <w:tcPr>
            <w:tcW w:w="7351" w:type="dxa"/>
          </w:tcPr>
          <w:p w14:paraId="355519C1"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C46307" w:rsidRPr="006D6DA4" w14:paraId="56FFF0E0" w14:textId="77777777" w:rsidTr="004245A0">
        <w:tc>
          <w:tcPr>
            <w:tcW w:w="1894" w:type="dxa"/>
          </w:tcPr>
          <w:p w14:paraId="03411E17" w14:textId="77777777" w:rsidR="00C46307" w:rsidRPr="00C46307" w:rsidRDefault="00C46307" w:rsidP="0056470B">
            <w:pPr>
              <w:pStyle w:val="Tabletext1"/>
              <w:rPr>
                <w:b/>
              </w:rPr>
            </w:pPr>
            <w:r w:rsidRPr="00C46307">
              <w:rPr>
                <w:b/>
              </w:rPr>
              <w:t>Research question</w:t>
            </w:r>
          </w:p>
        </w:tc>
        <w:tc>
          <w:tcPr>
            <w:tcW w:w="7351" w:type="dxa"/>
          </w:tcPr>
          <w:p w14:paraId="742BFFC4" w14:textId="6E65BF89" w:rsidR="00C46307" w:rsidRPr="006D6DA4" w:rsidRDefault="00C46307" w:rsidP="00A17C17">
            <w:pPr>
              <w:pStyle w:val="Tabletext1"/>
              <w:jc w:val="left"/>
            </w:pPr>
            <w:r w:rsidRPr="0056470B">
              <w:rPr>
                <w:b/>
              </w:rPr>
              <w:t xml:space="preserve">What is the diagnostic accuracy of </w:t>
            </w:r>
            <w:r w:rsidR="00FD37D3" w:rsidRPr="00FD37D3">
              <w:rPr>
                <w:b/>
              </w:rPr>
              <w:t>CFTR</w:t>
            </w:r>
            <w:r w:rsidRPr="0056470B">
              <w:rPr>
                <w:b/>
              </w:rPr>
              <w:t xml:space="preserve"> mutation testing in fetuses where both parents are CF carriers?</w:t>
            </w:r>
          </w:p>
        </w:tc>
      </w:tr>
    </w:tbl>
    <w:p w14:paraId="3FCA393C" w14:textId="77777777" w:rsidR="00251804" w:rsidRPr="000371EA" w:rsidRDefault="00251804" w:rsidP="00251804">
      <w:pPr>
        <w:spacing w:after="0" w:line="240" w:lineRule="auto"/>
        <w:rPr>
          <w:rFonts w:ascii="Arial Narrow" w:hAnsi="Arial Narrow"/>
          <w:sz w:val="18"/>
          <w:szCs w:val="18"/>
        </w:rPr>
      </w:pPr>
      <w:r w:rsidRPr="000371EA">
        <w:rPr>
          <w:rFonts w:ascii="Arial Narrow" w:hAnsi="Arial Narrow"/>
          <w:sz w:val="18"/>
          <w:szCs w:val="18"/>
        </w:rPr>
        <w:t>CF = cystic fibrosis; CFTR = cystic fibrosis transmembrane conductance regulator</w:t>
      </w:r>
      <w:r>
        <w:rPr>
          <w:rFonts w:ascii="Arial Narrow" w:hAnsi="Arial Narrow"/>
          <w:sz w:val="18"/>
          <w:szCs w:val="18"/>
        </w:rPr>
        <w:t xml:space="preserve">; PND = prenatal diagnosis; TOP = </w:t>
      </w:r>
      <w:r w:rsidRPr="000371EA">
        <w:rPr>
          <w:rFonts w:ascii="Arial Narrow" w:hAnsi="Arial Narrow"/>
          <w:sz w:val="18"/>
          <w:szCs w:val="18"/>
        </w:rPr>
        <w:t xml:space="preserve">termination of pregnancy </w:t>
      </w:r>
    </w:p>
    <w:p w14:paraId="33C896B8" w14:textId="77777777" w:rsidR="0087657B" w:rsidRDefault="0087657B" w:rsidP="000956B1">
      <w:pPr>
        <w:pStyle w:val="Caption"/>
      </w:pPr>
    </w:p>
    <w:p w14:paraId="314AE66A" w14:textId="3410A8DE" w:rsidR="000956B1" w:rsidRDefault="00DD6DB1" w:rsidP="00A17C17">
      <w:pPr>
        <w:pStyle w:val="Heading3"/>
        <w:tabs>
          <w:tab w:val="left" w:pos="1134"/>
        </w:tabs>
      </w:pPr>
      <w:r>
        <w:t>A.8.2</w:t>
      </w:r>
      <w:r>
        <w:tab/>
      </w:r>
      <w:r w:rsidRPr="00FE49CD">
        <w:t xml:space="preserve">Change </w:t>
      </w:r>
      <w:r>
        <w:t>i</w:t>
      </w:r>
      <w:r w:rsidRPr="00FE49CD">
        <w:t xml:space="preserve">n </w:t>
      </w:r>
      <w:r>
        <w:t>m</w:t>
      </w:r>
      <w:r w:rsidRPr="00FE49CD">
        <w:t>anagement</w:t>
      </w:r>
    </w:p>
    <w:p w14:paraId="2176349F" w14:textId="7E2B25BC" w:rsidR="000956B1" w:rsidRDefault="000956B1" w:rsidP="00ED6F57">
      <w:pPr>
        <w:pStyle w:val="Caption"/>
        <w:ind w:left="1134" w:hanging="1134"/>
      </w:pPr>
      <w:bookmarkStart w:id="183" w:name="_Ref401919805"/>
      <w:bookmarkStart w:id="184" w:name="_Toc418179412"/>
      <w:bookmarkStart w:id="185" w:name="_Toc402338814"/>
      <w:r>
        <w:t xml:space="preserve">Table </w:t>
      </w:r>
      <w:fldSimple w:instr=" SEQ Table \* ARABIC ">
        <w:r w:rsidR="00BB0E3E">
          <w:rPr>
            <w:noProof/>
          </w:rPr>
          <w:t>15</w:t>
        </w:r>
      </w:fldSimple>
      <w:bookmarkEnd w:id="183"/>
      <w:r>
        <w:tab/>
        <w:t>Selection criteria to determine the impact of testing on the clinical management</w:t>
      </w:r>
      <w:r w:rsidRPr="0022078A">
        <w:t xml:space="preserve"> </w:t>
      </w:r>
      <w:r>
        <w:t>of pregnancies where the fetus has suspected CF</w:t>
      </w:r>
      <w:bookmarkEnd w:id="184"/>
      <w:r>
        <w:t xml:space="preserve"> </w:t>
      </w:r>
      <w:bookmarkEnd w:id="185"/>
    </w:p>
    <w:tbl>
      <w:tblPr>
        <w:tblStyle w:val="TableGrid1"/>
        <w:tblW w:w="0" w:type="auto"/>
        <w:tblLook w:val="04A0" w:firstRow="1" w:lastRow="0" w:firstColumn="1" w:lastColumn="0" w:noHBand="0" w:noVBand="1"/>
        <w:tblCaption w:val="Research question: Does prenatal CFTR mutation testing (common mutation analysis) affect the clinical management of a pregnancy where the fetus is suspected of having CF, compared with determining the diagnosis of the child after the birth?"/>
        <w:tblDescription w:val="Research question: Does prenatal CFTR mutation testing (common mutation analysis) affect the clinical management of a pregnancy where the fetus is suspected of having CF, compared with determining the diagnosis of the child after the birth?"/>
      </w:tblPr>
      <w:tblGrid>
        <w:gridCol w:w="1769"/>
        <w:gridCol w:w="7476"/>
      </w:tblGrid>
      <w:tr w:rsidR="000956B1" w14:paraId="573CD759"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769" w:type="dxa"/>
          </w:tcPr>
          <w:p w14:paraId="4ECD6F82" w14:textId="77777777" w:rsidR="000956B1" w:rsidRPr="006D6DA4" w:rsidRDefault="000956B1" w:rsidP="0056470B">
            <w:pPr>
              <w:pStyle w:val="Tabletext1"/>
            </w:pPr>
            <w:r w:rsidRPr="006D6DA4">
              <w:t>Population</w:t>
            </w:r>
          </w:p>
        </w:tc>
        <w:tc>
          <w:tcPr>
            <w:tcW w:w="7476" w:type="dxa"/>
          </w:tcPr>
          <w:p w14:paraId="3A3BAD76" w14:textId="58539C60" w:rsidR="000956B1" w:rsidRDefault="000956B1" w:rsidP="00A17C17">
            <w:pPr>
              <w:pStyle w:val="Tabletext1"/>
              <w:jc w:val="left"/>
            </w:pPr>
            <w:r w:rsidRPr="00404FA1">
              <w:t>Parent with a fetus showing echogenic gut on second</w:t>
            </w:r>
            <w:r w:rsidR="00CA6661">
              <w:t>-</w:t>
            </w:r>
            <w:r w:rsidRPr="00404FA1">
              <w:t>trimester ultrasound</w:t>
            </w:r>
          </w:p>
          <w:p w14:paraId="1E7A5C8A" w14:textId="77777777" w:rsidR="000956B1" w:rsidRPr="006D6DA4" w:rsidRDefault="000956B1" w:rsidP="00A17C17">
            <w:pPr>
              <w:pStyle w:val="Tabletext1"/>
              <w:jc w:val="left"/>
            </w:pPr>
            <w:r w:rsidRPr="00404FA1">
              <w:t>Parent with a fetus at risk of CF due to a previous child being clinically diagnosed with CF (unknown mutations)</w:t>
            </w:r>
          </w:p>
        </w:tc>
      </w:tr>
      <w:tr w:rsidR="000956B1" w14:paraId="7F53DA01" w14:textId="77777777" w:rsidTr="004245A0">
        <w:tc>
          <w:tcPr>
            <w:tcW w:w="1769" w:type="dxa"/>
          </w:tcPr>
          <w:p w14:paraId="541E5A88" w14:textId="77777777" w:rsidR="000956B1" w:rsidRPr="006D6DA4" w:rsidRDefault="000956B1" w:rsidP="0056470B">
            <w:pPr>
              <w:pStyle w:val="Tabletext1"/>
            </w:pPr>
            <w:r w:rsidRPr="006D6DA4">
              <w:t>Intervention</w:t>
            </w:r>
          </w:p>
        </w:tc>
        <w:tc>
          <w:tcPr>
            <w:tcW w:w="7476" w:type="dxa"/>
          </w:tcPr>
          <w:p w14:paraId="2B83EE25" w14:textId="7B85C8B9" w:rsidR="000956B1" w:rsidRPr="006D6DA4" w:rsidRDefault="00FD37D3" w:rsidP="00A17C17">
            <w:pPr>
              <w:pStyle w:val="Tabletext1"/>
              <w:jc w:val="left"/>
            </w:pPr>
            <w:r w:rsidRPr="00FD37D3">
              <w:t>CFTR</w:t>
            </w:r>
            <w:r w:rsidR="000956B1" w:rsidRPr="00404FA1">
              <w:t xml:space="preserve"> mutation testing (common mutation a</w:t>
            </w:r>
            <w:r w:rsidR="000956B1">
              <w:t>nalysis) in the parents</w:t>
            </w:r>
            <w:r w:rsidR="00B25F2A">
              <w:t>,</w:t>
            </w:r>
            <w:r w:rsidR="000956B1">
              <w:t xml:space="preserve"> and</w:t>
            </w:r>
            <w:r w:rsidR="000956B1" w:rsidRPr="00404FA1">
              <w:t xml:space="preserve"> in some cases PND + </w:t>
            </w:r>
            <w:r w:rsidRPr="00FD37D3">
              <w:t>CFTR</w:t>
            </w:r>
            <w:r w:rsidR="000956B1" w:rsidRPr="00404FA1">
              <w:t xml:space="preserve"> mutation testing (known mutation analysis or whole gene screen) in the fetus</w:t>
            </w:r>
          </w:p>
        </w:tc>
      </w:tr>
      <w:tr w:rsidR="000956B1" w14:paraId="3A6A506E" w14:textId="77777777" w:rsidTr="004245A0">
        <w:tc>
          <w:tcPr>
            <w:tcW w:w="1769" w:type="dxa"/>
          </w:tcPr>
          <w:p w14:paraId="4EDF4D07" w14:textId="77777777" w:rsidR="000956B1" w:rsidRPr="006D6DA4" w:rsidRDefault="000956B1" w:rsidP="0056470B">
            <w:pPr>
              <w:pStyle w:val="Tabletext1"/>
            </w:pPr>
            <w:r w:rsidRPr="006D6DA4">
              <w:t>Comparators</w:t>
            </w:r>
          </w:p>
        </w:tc>
        <w:tc>
          <w:tcPr>
            <w:tcW w:w="7476" w:type="dxa"/>
          </w:tcPr>
          <w:p w14:paraId="679AD856" w14:textId="4C080E62" w:rsidR="000956B1" w:rsidRPr="006D6DA4" w:rsidRDefault="000956B1" w:rsidP="00A17C17">
            <w:pPr>
              <w:pStyle w:val="Tabletext1"/>
              <w:jc w:val="left"/>
            </w:pPr>
            <w:r w:rsidRPr="00734641">
              <w:t xml:space="preserve">No prenatal </w:t>
            </w:r>
            <w:r w:rsidR="00FD37D3" w:rsidRPr="00FD37D3">
              <w:t>CFTR</w:t>
            </w:r>
            <w:r w:rsidRPr="00734641">
              <w:t xml:space="preserve"> mutation testing</w:t>
            </w:r>
            <w:r w:rsidR="00B25F2A">
              <w:t>,</w:t>
            </w:r>
            <w:r w:rsidRPr="00734641">
              <w:t xml:space="preserve"> and diagnosis of the child after the birth</w:t>
            </w:r>
          </w:p>
        </w:tc>
      </w:tr>
      <w:tr w:rsidR="000956B1" w14:paraId="24D82987" w14:textId="77777777" w:rsidTr="004245A0">
        <w:tc>
          <w:tcPr>
            <w:tcW w:w="1769" w:type="dxa"/>
          </w:tcPr>
          <w:p w14:paraId="1B9C6919" w14:textId="77777777" w:rsidR="000956B1" w:rsidRPr="006D6DA4" w:rsidRDefault="000956B1" w:rsidP="0056470B">
            <w:pPr>
              <w:pStyle w:val="Tabletext1"/>
            </w:pPr>
            <w:r w:rsidRPr="006D6DA4">
              <w:t>Outcomes</w:t>
            </w:r>
          </w:p>
        </w:tc>
        <w:tc>
          <w:tcPr>
            <w:tcW w:w="7476" w:type="dxa"/>
          </w:tcPr>
          <w:p w14:paraId="5A78B574" w14:textId="77777777" w:rsidR="000956B1" w:rsidRDefault="000956B1" w:rsidP="00A17C17">
            <w:pPr>
              <w:pStyle w:val="Tabletext1"/>
              <w:jc w:val="left"/>
            </w:pPr>
            <w:r>
              <w:t>% change in patients proceeding to PND</w:t>
            </w:r>
          </w:p>
          <w:p w14:paraId="63D60705" w14:textId="77777777" w:rsidR="000956B1" w:rsidRPr="006D6DA4" w:rsidRDefault="000956B1" w:rsidP="00A17C17">
            <w:pPr>
              <w:pStyle w:val="Tabletext1"/>
              <w:jc w:val="left"/>
            </w:pPr>
            <w:r>
              <w:t>% change in method of CF diagnosis in child/fetus</w:t>
            </w:r>
          </w:p>
        </w:tc>
      </w:tr>
      <w:tr w:rsidR="000956B1" w14:paraId="57E1900F" w14:textId="77777777" w:rsidTr="004245A0">
        <w:tc>
          <w:tcPr>
            <w:tcW w:w="1769" w:type="dxa"/>
          </w:tcPr>
          <w:p w14:paraId="13BDEA4D" w14:textId="77777777" w:rsidR="000956B1" w:rsidRPr="006D6DA4" w:rsidRDefault="000956B1" w:rsidP="0056470B">
            <w:pPr>
              <w:pStyle w:val="Tabletext1"/>
            </w:pPr>
            <w:r w:rsidRPr="006D6DA4">
              <w:t>Study design</w:t>
            </w:r>
          </w:p>
        </w:tc>
        <w:tc>
          <w:tcPr>
            <w:tcW w:w="7476" w:type="dxa"/>
          </w:tcPr>
          <w:p w14:paraId="77D23FAC" w14:textId="77777777" w:rsidR="000956B1" w:rsidRPr="006D6DA4" w:rsidRDefault="000956B1" w:rsidP="00A17C17">
            <w:pPr>
              <w:pStyle w:val="Tabletext1"/>
              <w:jc w:val="left"/>
            </w:pPr>
            <w:r>
              <w:t>Randomised trials, cohort studies, case series or systematic reviews of these study designs</w:t>
            </w:r>
          </w:p>
        </w:tc>
      </w:tr>
      <w:tr w:rsidR="000956B1" w14:paraId="7C8A5094" w14:textId="77777777" w:rsidTr="004245A0">
        <w:tc>
          <w:tcPr>
            <w:tcW w:w="1769" w:type="dxa"/>
          </w:tcPr>
          <w:p w14:paraId="036082EB" w14:textId="77777777" w:rsidR="000956B1" w:rsidRPr="006D6DA4" w:rsidRDefault="000956B1" w:rsidP="0056470B">
            <w:pPr>
              <w:pStyle w:val="Tabletext1"/>
            </w:pPr>
            <w:r w:rsidRPr="006D6DA4">
              <w:t>Search period</w:t>
            </w:r>
          </w:p>
        </w:tc>
        <w:tc>
          <w:tcPr>
            <w:tcW w:w="7476" w:type="dxa"/>
          </w:tcPr>
          <w:p w14:paraId="288B2154" w14:textId="1AA2EB1D"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14:paraId="5DDEE841" w14:textId="77777777" w:rsidTr="004245A0">
        <w:tc>
          <w:tcPr>
            <w:tcW w:w="1769" w:type="dxa"/>
          </w:tcPr>
          <w:p w14:paraId="61423F64" w14:textId="77777777" w:rsidR="000956B1" w:rsidRPr="006D6DA4" w:rsidRDefault="000956B1" w:rsidP="0056470B">
            <w:pPr>
              <w:pStyle w:val="Tabletext1"/>
            </w:pPr>
            <w:r w:rsidRPr="006D6DA4">
              <w:t>Language</w:t>
            </w:r>
          </w:p>
        </w:tc>
        <w:tc>
          <w:tcPr>
            <w:tcW w:w="7476" w:type="dxa"/>
          </w:tcPr>
          <w:p w14:paraId="4586C275"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C46307" w14:paraId="109A1990" w14:textId="77777777" w:rsidTr="004245A0">
        <w:tc>
          <w:tcPr>
            <w:tcW w:w="1769" w:type="dxa"/>
          </w:tcPr>
          <w:p w14:paraId="4B80F914" w14:textId="77777777" w:rsidR="00C46307" w:rsidRPr="00C46307" w:rsidRDefault="00C46307" w:rsidP="0056470B">
            <w:pPr>
              <w:pStyle w:val="Tabletext1"/>
              <w:rPr>
                <w:b/>
              </w:rPr>
            </w:pPr>
            <w:r w:rsidRPr="00C46307">
              <w:rPr>
                <w:b/>
              </w:rPr>
              <w:t>Research question</w:t>
            </w:r>
          </w:p>
        </w:tc>
        <w:tc>
          <w:tcPr>
            <w:tcW w:w="7476" w:type="dxa"/>
          </w:tcPr>
          <w:p w14:paraId="2DE04A96" w14:textId="6D89C5BC" w:rsidR="00C46307" w:rsidRPr="006D6DA4" w:rsidRDefault="00C46307" w:rsidP="00A17C17">
            <w:pPr>
              <w:pStyle w:val="Tabletext1"/>
              <w:jc w:val="left"/>
            </w:pPr>
            <w:r w:rsidRPr="0056470B">
              <w:rPr>
                <w:b/>
              </w:rPr>
              <w:t xml:space="preserve">Does prenatal </w:t>
            </w:r>
            <w:r w:rsidR="00FD37D3" w:rsidRPr="00FD37D3">
              <w:rPr>
                <w:b/>
              </w:rPr>
              <w:t>CFTR</w:t>
            </w:r>
            <w:r w:rsidRPr="0056470B">
              <w:rPr>
                <w:b/>
              </w:rPr>
              <w:t xml:space="preserve"> mutation testing (common mutation analysis) affect the clinical management of a pregnancy where the fetus is suspected of having CF, compar</w:t>
            </w:r>
            <w:r w:rsidR="00B25F2A">
              <w:rPr>
                <w:b/>
              </w:rPr>
              <w:t>ed</w:t>
            </w:r>
            <w:r w:rsidRPr="0056470B">
              <w:rPr>
                <w:b/>
              </w:rPr>
              <w:t xml:space="preserve"> </w:t>
            </w:r>
            <w:r w:rsidR="00B25F2A">
              <w:rPr>
                <w:b/>
              </w:rPr>
              <w:t>with</w:t>
            </w:r>
            <w:r w:rsidR="00B25F2A" w:rsidRPr="0056470B">
              <w:rPr>
                <w:b/>
              </w:rPr>
              <w:t xml:space="preserve"> </w:t>
            </w:r>
            <w:r w:rsidRPr="0056470B">
              <w:rPr>
                <w:b/>
              </w:rPr>
              <w:t>determining the diagnosis of the child after the birth?</w:t>
            </w:r>
          </w:p>
        </w:tc>
      </w:tr>
    </w:tbl>
    <w:p w14:paraId="4C028BBD" w14:textId="5A0D324F" w:rsidR="00251804" w:rsidRPr="000371EA" w:rsidRDefault="00251804" w:rsidP="00251804">
      <w:pPr>
        <w:spacing w:after="0" w:line="240" w:lineRule="auto"/>
        <w:rPr>
          <w:rFonts w:ascii="Arial Narrow" w:hAnsi="Arial Narrow"/>
          <w:sz w:val="18"/>
          <w:szCs w:val="18"/>
        </w:rPr>
      </w:pPr>
      <w:bookmarkStart w:id="186" w:name="_Ref401919807"/>
      <w:r w:rsidRPr="000371EA">
        <w:rPr>
          <w:rFonts w:ascii="Arial Narrow" w:hAnsi="Arial Narrow"/>
          <w:sz w:val="18"/>
          <w:szCs w:val="18"/>
        </w:rPr>
        <w:t>CF = cystic fibrosis; CFTR = cystic fibrosis transmembrane conductance regulator</w:t>
      </w:r>
      <w:r>
        <w:rPr>
          <w:rFonts w:ascii="Arial Narrow" w:hAnsi="Arial Narrow"/>
          <w:sz w:val="18"/>
          <w:szCs w:val="18"/>
        </w:rPr>
        <w:t>; PND = prenatal diagnosis</w:t>
      </w:r>
      <w:r w:rsidRPr="000371EA">
        <w:rPr>
          <w:rFonts w:ascii="Arial Narrow" w:hAnsi="Arial Narrow"/>
          <w:sz w:val="18"/>
          <w:szCs w:val="18"/>
        </w:rPr>
        <w:t xml:space="preserve"> </w:t>
      </w:r>
    </w:p>
    <w:p w14:paraId="02D35E37" w14:textId="77777777" w:rsidR="00623EED" w:rsidRDefault="00623EED" w:rsidP="00623EED">
      <w:pPr>
        <w:rPr>
          <w:lang w:val="en-US"/>
        </w:rPr>
      </w:pPr>
    </w:p>
    <w:p w14:paraId="01D2209A" w14:textId="77777777" w:rsidR="000956B1" w:rsidRDefault="000956B1" w:rsidP="00022486">
      <w:pPr>
        <w:pStyle w:val="Caption"/>
        <w:ind w:left="1134" w:hanging="1134"/>
      </w:pPr>
      <w:bookmarkStart w:id="187" w:name="_Ref410916060"/>
      <w:bookmarkStart w:id="188" w:name="_Toc418179413"/>
      <w:bookmarkStart w:id="189" w:name="_Toc402338815"/>
      <w:r>
        <w:t xml:space="preserve">Table </w:t>
      </w:r>
      <w:fldSimple w:instr=" SEQ Table \* ARABIC ">
        <w:r w:rsidR="00BB0E3E">
          <w:rPr>
            <w:noProof/>
          </w:rPr>
          <w:t>16</w:t>
        </w:r>
      </w:fldSimple>
      <w:bookmarkEnd w:id="186"/>
      <w:bookmarkEnd w:id="187"/>
      <w:r>
        <w:t xml:space="preserve"> </w:t>
      </w:r>
      <w:r w:rsidR="00C11212">
        <w:tab/>
      </w:r>
      <w:r>
        <w:t>Selection criteria to determine the impact of testing on the clinical management</w:t>
      </w:r>
      <w:r w:rsidRPr="0022078A">
        <w:t xml:space="preserve"> </w:t>
      </w:r>
      <w:r>
        <w:t>of pregnancies where both parents are CF carriers</w:t>
      </w:r>
      <w:bookmarkEnd w:id="188"/>
      <w:r>
        <w:t xml:space="preserve"> </w:t>
      </w:r>
      <w:bookmarkEnd w:id="189"/>
    </w:p>
    <w:tbl>
      <w:tblPr>
        <w:tblStyle w:val="TableGrid1"/>
        <w:tblW w:w="0" w:type="auto"/>
        <w:tblLook w:val="04A0" w:firstRow="1" w:lastRow="0" w:firstColumn="1" w:lastColumn="0" w:noHBand="0" w:noVBand="1"/>
        <w:tblCaption w:val="Research question: Does CFTR mutation testing of a fetus conceived by parents that are both CF carriers affect the clinical management of the pregnancy, compared with determining the diagnosis of the child after the birth?"/>
        <w:tblDescription w:val="Research question: Does CFTR mutation testing of a fetus conceived by parents that are both CF carriers affect the clinical management of the pregnancy, compared with determining the diagnosis of the child after the birth?"/>
      </w:tblPr>
      <w:tblGrid>
        <w:gridCol w:w="1770"/>
        <w:gridCol w:w="7475"/>
      </w:tblGrid>
      <w:tr w:rsidR="000956B1" w14:paraId="68DA9C10"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770" w:type="dxa"/>
          </w:tcPr>
          <w:p w14:paraId="75396566" w14:textId="77777777" w:rsidR="000956B1" w:rsidRPr="006D6DA4" w:rsidRDefault="000956B1" w:rsidP="0056470B">
            <w:pPr>
              <w:pStyle w:val="Tabletext1"/>
            </w:pPr>
            <w:r w:rsidRPr="006D6DA4">
              <w:t>Population</w:t>
            </w:r>
          </w:p>
        </w:tc>
        <w:tc>
          <w:tcPr>
            <w:tcW w:w="7475" w:type="dxa"/>
          </w:tcPr>
          <w:p w14:paraId="35F3E666" w14:textId="77777777" w:rsidR="000956B1" w:rsidRPr="006D6DA4" w:rsidRDefault="000956B1" w:rsidP="00A17C17">
            <w:pPr>
              <w:pStyle w:val="Tabletext1"/>
              <w:jc w:val="left"/>
            </w:pPr>
            <w:r w:rsidRPr="00031EA0">
              <w:t>Fetuses where both parents have been identified</w:t>
            </w:r>
            <w:r>
              <w:t xml:space="preserve"> </w:t>
            </w:r>
            <w:r w:rsidRPr="00031EA0">
              <w:t>as</w:t>
            </w:r>
            <w:r>
              <w:t xml:space="preserve"> </w:t>
            </w:r>
            <w:r w:rsidRPr="00031EA0">
              <w:t>CF carriers (parents identified due to: signs/symptoms of CF in themselves, a previous child with CF, or due to investigations following an echogenic gut in the fetus)</w:t>
            </w:r>
          </w:p>
        </w:tc>
      </w:tr>
      <w:tr w:rsidR="000956B1" w14:paraId="30857FB4" w14:textId="77777777" w:rsidTr="004245A0">
        <w:tc>
          <w:tcPr>
            <w:tcW w:w="1770" w:type="dxa"/>
          </w:tcPr>
          <w:p w14:paraId="25A1F6D1" w14:textId="77777777" w:rsidR="000956B1" w:rsidRPr="006D6DA4" w:rsidRDefault="000956B1" w:rsidP="0056470B">
            <w:pPr>
              <w:pStyle w:val="Tabletext1"/>
            </w:pPr>
            <w:r w:rsidRPr="006D6DA4">
              <w:t>Intervention</w:t>
            </w:r>
          </w:p>
        </w:tc>
        <w:tc>
          <w:tcPr>
            <w:tcW w:w="7475" w:type="dxa"/>
          </w:tcPr>
          <w:p w14:paraId="51868412" w14:textId="7FF399C1" w:rsidR="000956B1" w:rsidRPr="006D6DA4" w:rsidRDefault="000956B1" w:rsidP="00A17C17">
            <w:pPr>
              <w:pStyle w:val="Tabletext1"/>
              <w:jc w:val="left"/>
            </w:pPr>
            <w:r w:rsidRPr="00ED1E7B">
              <w:t xml:space="preserve">PND followed by </w:t>
            </w:r>
            <w:r w:rsidR="00FD37D3" w:rsidRPr="00FD37D3">
              <w:t>CFTR</w:t>
            </w:r>
            <w:r w:rsidRPr="00ED1E7B">
              <w:t xml:space="preserve"> mutation testing (whole gene screen in fetuses with echogenic gut where common mutations</w:t>
            </w:r>
            <w:r>
              <w:t xml:space="preserve"> are</w:t>
            </w:r>
            <w:r w:rsidRPr="00ED1E7B">
              <w:t xml:space="preserve"> not identified in parents</w:t>
            </w:r>
            <w:r w:rsidR="00050628">
              <w:t>,</w:t>
            </w:r>
            <w:r w:rsidRPr="00ED1E7B">
              <w:t xml:space="preserve"> and known mutation analysis and possible whole gene screen</w:t>
            </w:r>
            <w:r>
              <w:t xml:space="preserve"> for f</w:t>
            </w:r>
            <w:r w:rsidRPr="00ED1E7B">
              <w:t>etuses whose parents are carriers)</w:t>
            </w:r>
            <w:r w:rsidR="00050628">
              <w:t>,</w:t>
            </w:r>
            <w:r w:rsidRPr="00ED1E7B">
              <w:t xml:space="preserve"> </w:t>
            </w:r>
            <w:r>
              <w:t>with the option of TOP if the f</w:t>
            </w:r>
            <w:r w:rsidRPr="00ED1E7B">
              <w:t>etus is affected</w:t>
            </w:r>
          </w:p>
        </w:tc>
      </w:tr>
      <w:tr w:rsidR="000956B1" w14:paraId="5358B3AB" w14:textId="77777777" w:rsidTr="004245A0">
        <w:tc>
          <w:tcPr>
            <w:tcW w:w="1770" w:type="dxa"/>
          </w:tcPr>
          <w:p w14:paraId="0C80FC14" w14:textId="77777777" w:rsidR="000956B1" w:rsidRPr="006D6DA4" w:rsidRDefault="000956B1" w:rsidP="0056470B">
            <w:pPr>
              <w:pStyle w:val="Tabletext1"/>
            </w:pPr>
            <w:r w:rsidRPr="006D6DA4">
              <w:t>Comparators</w:t>
            </w:r>
          </w:p>
        </w:tc>
        <w:tc>
          <w:tcPr>
            <w:tcW w:w="7475" w:type="dxa"/>
          </w:tcPr>
          <w:p w14:paraId="4B533D05" w14:textId="0E106FD1" w:rsidR="000956B1" w:rsidRPr="006D6DA4" w:rsidRDefault="000956B1" w:rsidP="00A17C17">
            <w:pPr>
              <w:pStyle w:val="Tabletext1"/>
              <w:jc w:val="left"/>
            </w:pPr>
            <w:r w:rsidRPr="00031EA0">
              <w:t xml:space="preserve">No prenatal </w:t>
            </w:r>
            <w:r w:rsidR="00FD37D3" w:rsidRPr="00FD37D3">
              <w:t>CFTR</w:t>
            </w:r>
            <w:r w:rsidRPr="00031EA0">
              <w:t xml:space="preserve"> mutation testing </w:t>
            </w:r>
            <w:r>
              <w:t>(</w:t>
            </w:r>
            <w:r w:rsidRPr="00734641">
              <w:t xml:space="preserve">and diagnosis of the child after the birth, </w:t>
            </w:r>
            <w:r w:rsidRPr="00734641">
              <w:rPr>
                <w:i/>
              </w:rPr>
              <w:t>where relevant</w:t>
            </w:r>
            <w:r w:rsidRPr="00734641">
              <w:t>)</w:t>
            </w:r>
          </w:p>
        </w:tc>
      </w:tr>
      <w:tr w:rsidR="000956B1" w14:paraId="0BD5A055" w14:textId="77777777" w:rsidTr="004245A0">
        <w:tc>
          <w:tcPr>
            <w:tcW w:w="1770" w:type="dxa"/>
          </w:tcPr>
          <w:p w14:paraId="0CF19292" w14:textId="77777777" w:rsidR="000956B1" w:rsidRPr="006D6DA4" w:rsidRDefault="000956B1" w:rsidP="0056470B">
            <w:pPr>
              <w:pStyle w:val="Tabletext1"/>
            </w:pPr>
            <w:r w:rsidRPr="006D6DA4">
              <w:t>Outcomes</w:t>
            </w:r>
          </w:p>
        </w:tc>
        <w:tc>
          <w:tcPr>
            <w:tcW w:w="7475" w:type="dxa"/>
          </w:tcPr>
          <w:p w14:paraId="2A90B0A6" w14:textId="5973B8C8" w:rsidR="000956B1" w:rsidRPr="006D6DA4" w:rsidRDefault="000956B1" w:rsidP="00A17C17">
            <w:pPr>
              <w:pStyle w:val="Tabletext1"/>
              <w:jc w:val="left"/>
            </w:pPr>
            <w:r>
              <w:t>% change in termination of pregnancy rate; live births</w:t>
            </w:r>
            <w:r w:rsidR="00BD637E">
              <w:t>:</w:t>
            </w:r>
            <w:r>
              <w:t xml:space="preserve"> % with CF, % without CF, % CF carrier</w:t>
            </w:r>
          </w:p>
        </w:tc>
      </w:tr>
      <w:tr w:rsidR="000956B1" w14:paraId="46B86BC3" w14:textId="77777777" w:rsidTr="004245A0">
        <w:tc>
          <w:tcPr>
            <w:tcW w:w="1770" w:type="dxa"/>
          </w:tcPr>
          <w:p w14:paraId="1D74900F" w14:textId="77777777" w:rsidR="000956B1" w:rsidRPr="006D6DA4" w:rsidRDefault="000956B1" w:rsidP="0056470B">
            <w:pPr>
              <w:pStyle w:val="Tabletext1"/>
            </w:pPr>
            <w:r w:rsidRPr="006D6DA4">
              <w:t>Study design</w:t>
            </w:r>
          </w:p>
        </w:tc>
        <w:tc>
          <w:tcPr>
            <w:tcW w:w="7475" w:type="dxa"/>
          </w:tcPr>
          <w:p w14:paraId="1BC74540" w14:textId="77777777" w:rsidR="000956B1" w:rsidRPr="006D6DA4" w:rsidRDefault="000956B1" w:rsidP="00A17C17">
            <w:pPr>
              <w:pStyle w:val="Tabletext1"/>
              <w:jc w:val="left"/>
            </w:pPr>
            <w:r>
              <w:t>Randomised trials, cohort studies, case series or systematic reviews of these study designs</w:t>
            </w:r>
          </w:p>
        </w:tc>
      </w:tr>
      <w:tr w:rsidR="000956B1" w14:paraId="538961A0" w14:textId="77777777" w:rsidTr="004245A0">
        <w:tc>
          <w:tcPr>
            <w:tcW w:w="1770" w:type="dxa"/>
          </w:tcPr>
          <w:p w14:paraId="2C0AE491" w14:textId="77777777" w:rsidR="000956B1" w:rsidRPr="006D6DA4" w:rsidRDefault="000956B1" w:rsidP="0056470B">
            <w:pPr>
              <w:pStyle w:val="Tabletext1"/>
            </w:pPr>
            <w:r w:rsidRPr="006D6DA4">
              <w:t>Search period</w:t>
            </w:r>
          </w:p>
        </w:tc>
        <w:tc>
          <w:tcPr>
            <w:tcW w:w="7475" w:type="dxa"/>
          </w:tcPr>
          <w:p w14:paraId="38EF6884" w14:textId="4784A83F" w:rsidR="000956B1" w:rsidRPr="006D6DA4" w:rsidRDefault="000956B1" w:rsidP="00A17C17">
            <w:pPr>
              <w:pStyle w:val="Tabletext1"/>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14:paraId="2155BE77" w14:textId="77777777" w:rsidTr="004245A0">
        <w:tc>
          <w:tcPr>
            <w:tcW w:w="1770" w:type="dxa"/>
          </w:tcPr>
          <w:p w14:paraId="58731083" w14:textId="77777777" w:rsidR="000956B1" w:rsidRPr="006D6DA4" w:rsidRDefault="000956B1" w:rsidP="0056470B">
            <w:pPr>
              <w:pStyle w:val="Tabletext1"/>
            </w:pPr>
            <w:r w:rsidRPr="006D6DA4">
              <w:t>Language</w:t>
            </w:r>
          </w:p>
        </w:tc>
        <w:tc>
          <w:tcPr>
            <w:tcW w:w="7475" w:type="dxa"/>
          </w:tcPr>
          <w:p w14:paraId="514D662D" w14:textId="77777777" w:rsidR="000956B1" w:rsidRPr="006D6DA4" w:rsidRDefault="000956B1" w:rsidP="00A17C17">
            <w:pPr>
              <w:pStyle w:val="Tabletext1"/>
              <w:jc w:val="left"/>
            </w:pPr>
            <w:r w:rsidRPr="006D6DA4">
              <w:t>Studies in languages other than English will only be translated if they represent a higher level of evidence than that available in the English language evidence-base</w:t>
            </w:r>
          </w:p>
        </w:tc>
      </w:tr>
      <w:tr w:rsidR="00C46307" w14:paraId="4CD47C4F" w14:textId="77777777" w:rsidTr="004245A0">
        <w:tc>
          <w:tcPr>
            <w:tcW w:w="1770" w:type="dxa"/>
          </w:tcPr>
          <w:p w14:paraId="7178A734" w14:textId="77777777" w:rsidR="00C46307" w:rsidRPr="00C46307" w:rsidRDefault="00C46307" w:rsidP="0056470B">
            <w:pPr>
              <w:pStyle w:val="Tabletext1"/>
              <w:rPr>
                <w:b/>
              </w:rPr>
            </w:pPr>
            <w:r w:rsidRPr="00C46307">
              <w:rPr>
                <w:b/>
              </w:rPr>
              <w:t>Research question</w:t>
            </w:r>
          </w:p>
        </w:tc>
        <w:tc>
          <w:tcPr>
            <w:tcW w:w="7475" w:type="dxa"/>
          </w:tcPr>
          <w:p w14:paraId="3CB37D23" w14:textId="78B361FF" w:rsidR="00C46307" w:rsidRPr="006D6DA4" w:rsidRDefault="00C46307" w:rsidP="00A17C17">
            <w:pPr>
              <w:pStyle w:val="Tabletext1"/>
              <w:jc w:val="left"/>
            </w:pPr>
            <w:r w:rsidRPr="00DA4147">
              <w:rPr>
                <w:b/>
              </w:rPr>
              <w:t xml:space="preserve">Does </w:t>
            </w:r>
            <w:r w:rsidR="00FD37D3" w:rsidRPr="00FD37D3">
              <w:rPr>
                <w:b/>
              </w:rPr>
              <w:t>CFTR</w:t>
            </w:r>
            <w:r>
              <w:rPr>
                <w:b/>
              </w:rPr>
              <w:t xml:space="preserve"> mutation testing of a fetus conceived by parents that are both CF carriers affect the clinical management of the pregnancy</w:t>
            </w:r>
            <w:r w:rsidRPr="00DA4147">
              <w:rPr>
                <w:b/>
              </w:rPr>
              <w:t>, compar</w:t>
            </w:r>
            <w:r w:rsidR="00BD637E">
              <w:rPr>
                <w:b/>
              </w:rPr>
              <w:t>ed</w:t>
            </w:r>
            <w:r w:rsidRPr="00DA4147">
              <w:rPr>
                <w:b/>
              </w:rPr>
              <w:t xml:space="preserve"> </w:t>
            </w:r>
            <w:r w:rsidR="00BD637E">
              <w:rPr>
                <w:b/>
              </w:rPr>
              <w:t xml:space="preserve">with </w:t>
            </w:r>
            <w:r>
              <w:rPr>
                <w:b/>
              </w:rPr>
              <w:t>determining the diagnosis of the child after the birth</w:t>
            </w:r>
            <w:r w:rsidRPr="00DA4147">
              <w:rPr>
                <w:b/>
              </w:rPr>
              <w:t>?</w:t>
            </w:r>
          </w:p>
        </w:tc>
      </w:tr>
    </w:tbl>
    <w:p w14:paraId="248D869F" w14:textId="77777777" w:rsidR="00251804" w:rsidRPr="000371EA" w:rsidRDefault="00251804" w:rsidP="00251804">
      <w:pPr>
        <w:spacing w:after="0" w:line="240" w:lineRule="auto"/>
        <w:rPr>
          <w:rFonts w:ascii="Arial Narrow" w:hAnsi="Arial Narrow"/>
          <w:sz w:val="18"/>
          <w:szCs w:val="18"/>
        </w:rPr>
      </w:pPr>
      <w:r w:rsidRPr="000371EA">
        <w:rPr>
          <w:rFonts w:ascii="Arial Narrow" w:hAnsi="Arial Narrow"/>
          <w:sz w:val="18"/>
          <w:szCs w:val="18"/>
        </w:rPr>
        <w:t>CF = cystic fibrosis; CFTR = cystic fibrosis transmembrane conductance regulator</w:t>
      </w:r>
      <w:r>
        <w:rPr>
          <w:rFonts w:ascii="Arial Narrow" w:hAnsi="Arial Narrow"/>
          <w:sz w:val="18"/>
          <w:szCs w:val="18"/>
        </w:rPr>
        <w:t xml:space="preserve">; PND = prenatal diagnosis; TOP = </w:t>
      </w:r>
      <w:r w:rsidRPr="000371EA">
        <w:rPr>
          <w:rFonts w:ascii="Arial Narrow" w:hAnsi="Arial Narrow"/>
          <w:sz w:val="18"/>
          <w:szCs w:val="18"/>
        </w:rPr>
        <w:t xml:space="preserve">termination of pregnancy </w:t>
      </w:r>
    </w:p>
    <w:p w14:paraId="0EB1BF50" w14:textId="77777777" w:rsidR="0087657B" w:rsidRPr="0087657B" w:rsidRDefault="0087657B" w:rsidP="0087657B"/>
    <w:p w14:paraId="54052705" w14:textId="2ED8578E" w:rsidR="000956B1" w:rsidRDefault="00F079F1" w:rsidP="00A17C17">
      <w:pPr>
        <w:pStyle w:val="Heading3"/>
      </w:pPr>
      <w:r>
        <w:lastRenderedPageBreak/>
        <w:t>A.8.3.</w:t>
      </w:r>
      <w:r>
        <w:tab/>
        <w:t>Effectiveness</w:t>
      </w:r>
      <w:r w:rsidRPr="00FE49CD">
        <w:t xml:space="preserve"> of change in management</w:t>
      </w:r>
    </w:p>
    <w:p w14:paraId="64B6C52E" w14:textId="77777777" w:rsidR="000956B1" w:rsidRDefault="000956B1" w:rsidP="00022486">
      <w:pPr>
        <w:pStyle w:val="Caption"/>
        <w:ind w:left="1134" w:hanging="1134"/>
      </w:pPr>
      <w:bookmarkStart w:id="190" w:name="_Ref401919817"/>
      <w:bookmarkStart w:id="191" w:name="_Toc402338816"/>
      <w:bookmarkStart w:id="192" w:name="_Toc418179414"/>
      <w:r>
        <w:t xml:space="preserve">Table </w:t>
      </w:r>
      <w:fldSimple w:instr=" SEQ Table \* ARABIC ">
        <w:r w:rsidR="00BB0E3E">
          <w:rPr>
            <w:noProof/>
          </w:rPr>
          <w:t>17</w:t>
        </w:r>
      </w:fldSimple>
      <w:bookmarkEnd w:id="190"/>
      <w:r>
        <w:t xml:space="preserve"> </w:t>
      </w:r>
      <w:r w:rsidR="00C11212">
        <w:tab/>
      </w:r>
      <w:r>
        <w:t>Selection</w:t>
      </w:r>
      <w:r w:rsidRPr="00251003">
        <w:t xml:space="preserve"> criteria to determine the </w:t>
      </w:r>
      <w:r>
        <w:t>impact</w:t>
      </w:r>
      <w:r w:rsidRPr="00251003">
        <w:t xml:space="preserve"> of </w:t>
      </w:r>
      <w:r>
        <w:t>change in management in parents with a fetus suspected of CF</w:t>
      </w:r>
      <w:bookmarkEnd w:id="191"/>
      <w:bookmarkEnd w:id="192"/>
      <w:r>
        <w:t xml:space="preserve"> </w:t>
      </w:r>
    </w:p>
    <w:tbl>
      <w:tblPr>
        <w:tblStyle w:val="TableGrid1"/>
        <w:tblW w:w="0" w:type="auto"/>
        <w:tblLook w:val="04A0" w:firstRow="1" w:lastRow="0" w:firstColumn="1" w:lastColumn="0" w:noHBand="0" w:noVBand="1"/>
        <w:tblCaption w:val="Research question: If there are alterations in clinical management (e.g. termination of pregnancy) and treatment options available to parents of a fetus suspected of CF, does this have an impact on the health outcomes of the parents?"/>
        <w:tblDescription w:val="Research question: If there are alterations in clinical management (e.g. termination of pregnancy) and treatment options available to parents of a fetus suspected of CF, does this have an impact on the health outcomes of the parents?"/>
      </w:tblPr>
      <w:tblGrid>
        <w:gridCol w:w="1406"/>
        <w:gridCol w:w="7839"/>
      </w:tblGrid>
      <w:tr w:rsidR="000956B1" w14:paraId="3A105770"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1406" w:type="dxa"/>
          </w:tcPr>
          <w:p w14:paraId="52B751CC" w14:textId="77777777" w:rsidR="000956B1" w:rsidRPr="006D6DA4" w:rsidRDefault="000956B1" w:rsidP="00A25EBB">
            <w:pPr>
              <w:pStyle w:val="Tabletext1"/>
              <w:keepNext/>
            </w:pPr>
            <w:r w:rsidRPr="006D6DA4">
              <w:t>Population</w:t>
            </w:r>
          </w:p>
        </w:tc>
        <w:tc>
          <w:tcPr>
            <w:tcW w:w="7839" w:type="dxa"/>
          </w:tcPr>
          <w:p w14:paraId="5DC9E203" w14:textId="14C35C51" w:rsidR="000956B1" w:rsidRDefault="000956B1" w:rsidP="00A17C17">
            <w:pPr>
              <w:pStyle w:val="Tabletext1"/>
              <w:keepNext/>
              <w:jc w:val="left"/>
            </w:pPr>
            <w:r w:rsidRPr="00404FA1">
              <w:t>Parent with a fetus showing echogenic gut on second</w:t>
            </w:r>
            <w:r w:rsidR="00CA6661">
              <w:t>-</w:t>
            </w:r>
            <w:r w:rsidRPr="00404FA1">
              <w:t>trimester ultrasound</w:t>
            </w:r>
          </w:p>
          <w:p w14:paraId="24F0844D" w14:textId="77777777" w:rsidR="000956B1" w:rsidRDefault="000956B1" w:rsidP="00A17C17">
            <w:pPr>
              <w:pStyle w:val="Tabletext1"/>
              <w:keepNext/>
              <w:jc w:val="left"/>
            </w:pPr>
            <w:r w:rsidRPr="00404FA1">
              <w:t>Parent with a fetus at risk of CF due to a previous child being clinically diagnosed with CF (unknown mutations)</w:t>
            </w:r>
          </w:p>
        </w:tc>
      </w:tr>
      <w:tr w:rsidR="000956B1" w14:paraId="4D0BE1A6" w14:textId="77777777" w:rsidTr="004245A0">
        <w:tc>
          <w:tcPr>
            <w:tcW w:w="1406" w:type="dxa"/>
          </w:tcPr>
          <w:p w14:paraId="1FF738E2" w14:textId="77777777" w:rsidR="000956B1" w:rsidRPr="006D6DA4" w:rsidRDefault="000956B1" w:rsidP="00A25EBB">
            <w:pPr>
              <w:pStyle w:val="Tabletext1"/>
              <w:keepNext/>
            </w:pPr>
            <w:r w:rsidRPr="006D6DA4">
              <w:t>Intervention</w:t>
            </w:r>
          </w:p>
        </w:tc>
        <w:tc>
          <w:tcPr>
            <w:tcW w:w="7839" w:type="dxa"/>
          </w:tcPr>
          <w:p w14:paraId="6A4DFDBB" w14:textId="25B93976" w:rsidR="000956B1" w:rsidRPr="006D6DA4" w:rsidRDefault="000956B1" w:rsidP="00A17C17">
            <w:pPr>
              <w:pStyle w:val="Tabletext1"/>
              <w:keepNext/>
              <w:jc w:val="left"/>
            </w:pPr>
            <w:r>
              <w:t>T</w:t>
            </w:r>
            <w:r w:rsidR="00BD637E">
              <w:t>OP</w:t>
            </w:r>
          </w:p>
        </w:tc>
      </w:tr>
      <w:tr w:rsidR="000956B1" w14:paraId="166CDACA" w14:textId="77777777" w:rsidTr="004245A0">
        <w:tc>
          <w:tcPr>
            <w:tcW w:w="1406" w:type="dxa"/>
          </w:tcPr>
          <w:p w14:paraId="5BDC7AAA" w14:textId="77777777" w:rsidR="000956B1" w:rsidRPr="006D6DA4" w:rsidRDefault="000956B1" w:rsidP="00A25EBB">
            <w:pPr>
              <w:pStyle w:val="Tabletext1"/>
              <w:keepNext/>
            </w:pPr>
            <w:r w:rsidRPr="006D6DA4">
              <w:t>Comparators</w:t>
            </w:r>
          </w:p>
        </w:tc>
        <w:tc>
          <w:tcPr>
            <w:tcW w:w="7839" w:type="dxa"/>
          </w:tcPr>
          <w:p w14:paraId="345AB209" w14:textId="27E58891" w:rsidR="000956B1" w:rsidRPr="006D6DA4" w:rsidRDefault="000956B1" w:rsidP="00A17C17">
            <w:pPr>
              <w:pStyle w:val="Tabletext1"/>
              <w:keepNext/>
              <w:jc w:val="left"/>
            </w:pPr>
            <w:r>
              <w:t xml:space="preserve">No </w:t>
            </w:r>
            <w:r w:rsidR="00BD637E">
              <w:t>TOP;</w:t>
            </w:r>
            <w:r>
              <w:t xml:space="preserve"> caring for a child with CF</w:t>
            </w:r>
          </w:p>
        </w:tc>
      </w:tr>
      <w:tr w:rsidR="000956B1" w14:paraId="7AE1B6DC" w14:textId="77777777" w:rsidTr="004245A0">
        <w:tc>
          <w:tcPr>
            <w:tcW w:w="1406" w:type="dxa"/>
          </w:tcPr>
          <w:p w14:paraId="691230DA" w14:textId="77777777" w:rsidR="000956B1" w:rsidRPr="006D6DA4" w:rsidRDefault="000956B1" w:rsidP="00A25EBB">
            <w:pPr>
              <w:pStyle w:val="Tabletext1"/>
              <w:keepNext/>
            </w:pPr>
            <w:r w:rsidRPr="006D6DA4">
              <w:t>Outcomes</w:t>
            </w:r>
          </w:p>
        </w:tc>
        <w:tc>
          <w:tcPr>
            <w:tcW w:w="7839" w:type="dxa"/>
          </w:tcPr>
          <w:p w14:paraId="79E9013F" w14:textId="77777777" w:rsidR="000956B1" w:rsidRPr="006D6DA4" w:rsidRDefault="000956B1" w:rsidP="00A17C17">
            <w:pPr>
              <w:pStyle w:val="Tabletext1"/>
              <w:keepNext/>
              <w:jc w:val="left"/>
            </w:pPr>
            <w:r>
              <w:t>Parental psychological health, parental quality of life</w:t>
            </w:r>
          </w:p>
        </w:tc>
      </w:tr>
      <w:tr w:rsidR="000956B1" w14:paraId="066D64F5" w14:textId="77777777" w:rsidTr="004245A0">
        <w:tc>
          <w:tcPr>
            <w:tcW w:w="1406" w:type="dxa"/>
          </w:tcPr>
          <w:p w14:paraId="40310232" w14:textId="77777777" w:rsidR="000956B1" w:rsidRPr="006D6DA4" w:rsidRDefault="000956B1" w:rsidP="00A25EBB">
            <w:pPr>
              <w:pStyle w:val="Tabletext1"/>
              <w:keepNext/>
            </w:pPr>
            <w:r w:rsidRPr="006D6DA4">
              <w:t>Study design</w:t>
            </w:r>
          </w:p>
        </w:tc>
        <w:tc>
          <w:tcPr>
            <w:tcW w:w="7839" w:type="dxa"/>
          </w:tcPr>
          <w:p w14:paraId="332DFDC6" w14:textId="77777777" w:rsidR="000956B1" w:rsidRDefault="000956B1" w:rsidP="00A17C17">
            <w:pPr>
              <w:pStyle w:val="Tabletext1"/>
              <w:keepNext/>
              <w:jc w:val="left"/>
            </w:pPr>
            <w:r>
              <w:t>Randomised trials, cohort studies, case series or systematic reviews of these study designs</w:t>
            </w:r>
          </w:p>
        </w:tc>
      </w:tr>
      <w:tr w:rsidR="000956B1" w14:paraId="4D2C42E3" w14:textId="77777777" w:rsidTr="004245A0">
        <w:tc>
          <w:tcPr>
            <w:tcW w:w="1406" w:type="dxa"/>
          </w:tcPr>
          <w:p w14:paraId="2DC6BE2E" w14:textId="77777777" w:rsidR="000956B1" w:rsidRPr="006D6DA4" w:rsidRDefault="000956B1" w:rsidP="00A25EBB">
            <w:pPr>
              <w:pStyle w:val="Tabletext1"/>
              <w:keepNext/>
            </w:pPr>
            <w:r w:rsidRPr="006D6DA4">
              <w:t>Search period</w:t>
            </w:r>
          </w:p>
        </w:tc>
        <w:tc>
          <w:tcPr>
            <w:tcW w:w="7839" w:type="dxa"/>
          </w:tcPr>
          <w:p w14:paraId="3C7AC6E0" w14:textId="2BB4DDCC" w:rsidR="000956B1" w:rsidRDefault="000956B1" w:rsidP="00A17C17">
            <w:pPr>
              <w:pStyle w:val="Tabletext1"/>
              <w:keepNext/>
              <w:jc w:val="left"/>
            </w:pPr>
            <w:r>
              <w:t xml:space="preserve">As the first </w:t>
            </w:r>
            <w:r w:rsidR="00FD37D3" w:rsidRPr="00FD37D3">
              <w:t>CFTR</w:t>
            </w:r>
            <w:r>
              <w:t xml:space="preserve"> mutations were identified around 1989, the search period </w:t>
            </w:r>
            <w:r w:rsidR="004048A4">
              <w:t>was</w:t>
            </w:r>
            <w:r>
              <w:t xml:space="preserve"> 1/1989 – 10/2014</w:t>
            </w:r>
          </w:p>
        </w:tc>
      </w:tr>
      <w:tr w:rsidR="000956B1" w14:paraId="433D9540" w14:textId="77777777" w:rsidTr="004245A0">
        <w:tc>
          <w:tcPr>
            <w:tcW w:w="1406" w:type="dxa"/>
          </w:tcPr>
          <w:p w14:paraId="360ECB31" w14:textId="77777777" w:rsidR="000956B1" w:rsidRPr="006D6DA4" w:rsidRDefault="000956B1" w:rsidP="00A25EBB">
            <w:pPr>
              <w:pStyle w:val="Tabletext1"/>
              <w:keepNext/>
            </w:pPr>
            <w:r w:rsidRPr="006D6DA4">
              <w:t>Language</w:t>
            </w:r>
          </w:p>
        </w:tc>
        <w:tc>
          <w:tcPr>
            <w:tcW w:w="7839" w:type="dxa"/>
          </w:tcPr>
          <w:p w14:paraId="7095F0A3" w14:textId="77777777" w:rsidR="000956B1" w:rsidRPr="006D6DA4" w:rsidRDefault="000956B1" w:rsidP="00A17C17">
            <w:pPr>
              <w:pStyle w:val="Tabletext1"/>
              <w:keepNext/>
              <w:jc w:val="left"/>
            </w:pPr>
            <w:r w:rsidRPr="006D6DA4">
              <w:t>Studies in languages other than English will only be translated if they represent a higher level of evidence than that available in the English language evidence-base</w:t>
            </w:r>
          </w:p>
        </w:tc>
      </w:tr>
      <w:tr w:rsidR="00C46307" w14:paraId="019C9460" w14:textId="77777777" w:rsidTr="004245A0">
        <w:tc>
          <w:tcPr>
            <w:tcW w:w="1406" w:type="dxa"/>
          </w:tcPr>
          <w:p w14:paraId="2C9391CA" w14:textId="77777777" w:rsidR="00C46307" w:rsidRPr="00C46307" w:rsidRDefault="00C46307" w:rsidP="00A25EBB">
            <w:pPr>
              <w:pStyle w:val="Tabletext1"/>
              <w:keepNext/>
              <w:rPr>
                <w:b/>
              </w:rPr>
            </w:pPr>
            <w:r w:rsidRPr="00C46307">
              <w:rPr>
                <w:b/>
              </w:rPr>
              <w:t>Research question</w:t>
            </w:r>
          </w:p>
        </w:tc>
        <w:tc>
          <w:tcPr>
            <w:tcW w:w="7839" w:type="dxa"/>
          </w:tcPr>
          <w:p w14:paraId="344CCE8C" w14:textId="54AD9AA6" w:rsidR="00C46307" w:rsidRPr="006D6DA4" w:rsidRDefault="00C46307" w:rsidP="00A17C17">
            <w:pPr>
              <w:pStyle w:val="Tabletext1"/>
              <w:keepNext/>
              <w:jc w:val="left"/>
            </w:pPr>
            <w:r>
              <w:rPr>
                <w:b/>
              </w:rPr>
              <w:t>If there are</w:t>
            </w:r>
            <w:r w:rsidRPr="00DA4147">
              <w:rPr>
                <w:b/>
              </w:rPr>
              <w:t xml:space="preserve"> alterations in clinical </w:t>
            </w:r>
            <w:r>
              <w:rPr>
                <w:b/>
              </w:rPr>
              <w:t xml:space="preserve">management (e.g. </w:t>
            </w:r>
            <w:r w:rsidR="00BD637E">
              <w:rPr>
                <w:b/>
              </w:rPr>
              <w:t>TOP</w:t>
            </w:r>
            <w:r>
              <w:rPr>
                <w:b/>
              </w:rPr>
              <w:t>)</w:t>
            </w:r>
            <w:r w:rsidRPr="00DA4147">
              <w:rPr>
                <w:b/>
              </w:rPr>
              <w:t xml:space="preserve"> </w:t>
            </w:r>
            <w:r>
              <w:rPr>
                <w:b/>
              </w:rPr>
              <w:t xml:space="preserve">and treatment options available to parents of a fetus suspected of CF, does this </w:t>
            </w:r>
            <w:r w:rsidRPr="00DA4147">
              <w:rPr>
                <w:b/>
              </w:rPr>
              <w:t xml:space="preserve">have an impact on the health outcomes of </w:t>
            </w:r>
            <w:r>
              <w:rPr>
                <w:b/>
              </w:rPr>
              <w:t>the parents?</w:t>
            </w:r>
          </w:p>
        </w:tc>
      </w:tr>
    </w:tbl>
    <w:p w14:paraId="6472402D" w14:textId="082CFD30" w:rsidR="00251804" w:rsidRPr="000371EA" w:rsidRDefault="00251804" w:rsidP="00251804">
      <w:pPr>
        <w:spacing w:after="0" w:line="240" w:lineRule="auto"/>
        <w:rPr>
          <w:rFonts w:ascii="Arial Narrow" w:hAnsi="Arial Narrow"/>
          <w:sz w:val="18"/>
          <w:szCs w:val="18"/>
        </w:rPr>
      </w:pPr>
      <w:r w:rsidRPr="000371EA">
        <w:rPr>
          <w:rFonts w:ascii="Arial Narrow" w:hAnsi="Arial Narrow"/>
          <w:sz w:val="18"/>
          <w:szCs w:val="18"/>
        </w:rPr>
        <w:t>CF = cystic fibrosis; CFTR = cystic fibrosis transmembrane conductance regulator</w:t>
      </w:r>
      <w:r>
        <w:rPr>
          <w:rFonts w:ascii="Arial Narrow" w:hAnsi="Arial Narrow"/>
          <w:sz w:val="18"/>
          <w:szCs w:val="18"/>
        </w:rPr>
        <w:t xml:space="preserve">; TOP = </w:t>
      </w:r>
      <w:r w:rsidRPr="000371EA">
        <w:rPr>
          <w:rFonts w:ascii="Arial Narrow" w:hAnsi="Arial Narrow"/>
          <w:sz w:val="18"/>
          <w:szCs w:val="18"/>
        </w:rPr>
        <w:t xml:space="preserve">termination of pregnancy </w:t>
      </w:r>
    </w:p>
    <w:p w14:paraId="6EF4CD3C" w14:textId="77777777" w:rsidR="0087657B" w:rsidRDefault="0087657B" w:rsidP="00A17C17">
      <w:pPr>
        <w:spacing w:after="120"/>
      </w:pPr>
    </w:p>
    <w:p w14:paraId="40727700" w14:textId="2312AD58" w:rsidR="00C9014F" w:rsidRPr="00183E4D" w:rsidRDefault="00881224" w:rsidP="00DF343F">
      <w:r>
        <w:t>This contracted</w:t>
      </w:r>
      <w:r w:rsidR="00CD24D9" w:rsidRPr="00183E4D">
        <w:t xml:space="preserve"> assessment of </w:t>
      </w:r>
      <w:r w:rsidR="00FD37D3" w:rsidRPr="00FD37D3">
        <w:t>CFTR</w:t>
      </w:r>
      <w:r>
        <w:t xml:space="preserve"> mutation testing</w:t>
      </w:r>
      <w:r w:rsidR="009D7CE5">
        <w:t xml:space="preserve"> addresses</w:t>
      </w:r>
      <w:r w:rsidR="00CD24D9" w:rsidRPr="00183E4D">
        <w:t xml:space="preserve"> the PICO elements that were </w:t>
      </w:r>
      <w:r w:rsidR="00D52A25">
        <w:t>pre-</w:t>
      </w:r>
      <w:r w:rsidR="00CD24D9" w:rsidRPr="00183E4D">
        <w:t xml:space="preserve">specified in the </w:t>
      </w:r>
      <w:r w:rsidR="00243F70">
        <w:t>p</w:t>
      </w:r>
      <w:r w:rsidR="009D7CE5">
        <w:t>rotocol.</w:t>
      </w:r>
    </w:p>
    <w:p w14:paraId="024C184A" w14:textId="77777777" w:rsidR="00C9014F" w:rsidRPr="00183E4D" w:rsidRDefault="00C9014F" w:rsidP="00DF343F">
      <w:pPr>
        <w:sectPr w:rsidR="00C9014F" w:rsidRPr="00183E4D" w:rsidSect="000D04B6">
          <w:pgSz w:w="11909" w:h="16834" w:code="9"/>
          <w:pgMar w:top="1440" w:right="1440" w:bottom="1440" w:left="1440" w:header="709" w:footer="709" w:gutter="0"/>
          <w:cols w:space="720"/>
        </w:sectPr>
      </w:pPr>
      <w:bookmarkStart w:id="193" w:name="_Ref124760357"/>
    </w:p>
    <w:p w14:paraId="3C4C87D4" w14:textId="77777777" w:rsidR="008F59A8" w:rsidRPr="00183E4D" w:rsidRDefault="00AA708D">
      <w:pPr>
        <w:pStyle w:val="Heading1"/>
        <w:tabs>
          <w:tab w:val="left" w:pos="2268"/>
        </w:tabs>
        <w:ind w:left="0" w:firstLine="0"/>
      </w:pPr>
      <w:bookmarkStart w:id="194" w:name="_Toc418179892"/>
      <w:bookmarkEnd w:id="193"/>
      <w:r w:rsidRPr="00183E4D">
        <w:lastRenderedPageBreak/>
        <w:t>Section B</w:t>
      </w:r>
      <w:r w:rsidRPr="00183E4D">
        <w:tab/>
        <w:t>Clinical Evaluation</w:t>
      </w:r>
      <w:bookmarkEnd w:id="194"/>
      <w:r w:rsidR="008F59A8" w:rsidRPr="00183E4D">
        <w:t xml:space="preserve"> </w:t>
      </w:r>
    </w:p>
    <w:p w14:paraId="5F03ABA7" w14:textId="42E98AC0" w:rsidR="00AA708D" w:rsidRPr="00183E4D" w:rsidRDefault="00114E6B">
      <w:pPr>
        <w:pStyle w:val="Heading2"/>
        <w:tabs>
          <w:tab w:val="left" w:pos="1134"/>
        </w:tabs>
      </w:pPr>
      <w:bookmarkStart w:id="195" w:name="_Toc381796460"/>
      <w:bookmarkStart w:id="196" w:name="_Toc418179893"/>
      <w:bookmarkStart w:id="197" w:name="_Toc381796462"/>
      <w:bookmarkStart w:id="198" w:name="_Toc381796467"/>
      <w:bookmarkStart w:id="199" w:name="_Toc379118083"/>
      <w:r>
        <w:t xml:space="preserve">B.1. </w:t>
      </w:r>
      <w:r w:rsidR="00FB4FE8">
        <w:tab/>
      </w:r>
      <w:r w:rsidR="00AA708D" w:rsidRPr="00183E4D">
        <w:t>Literature</w:t>
      </w:r>
      <w:r w:rsidR="00D5489B" w:rsidRPr="00183E4D">
        <w:t xml:space="preserve"> Sources and Search S</w:t>
      </w:r>
      <w:r w:rsidR="00AA708D" w:rsidRPr="00183E4D">
        <w:t>trategies</w:t>
      </w:r>
      <w:bookmarkEnd w:id="195"/>
      <w:bookmarkEnd w:id="196"/>
    </w:p>
    <w:p w14:paraId="2ADD1C22" w14:textId="6726F9B7" w:rsidR="00730B1B" w:rsidRDefault="00AA708D" w:rsidP="00C873D2">
      <w:r w:rsidRPr="00183E4D">
        <w:t xml:space="preserve">The medical literature was searched </w:t>
      </w:r>
      <w:r w:rsidR="000E68DF">
        <w:t>on 13</w:t>
      </w:r>
      <w:r w:rsidR="00E15116">
        <w:t xml:space="preserve"> October </w:t>
      </w:r>
      <w:r w:rsidR="000E68DF">
        <w:t>2014</w:t>
      </w:r>
      <w:r w:rsidR="00D5489B" w:rsidRPr="00183E4D">
        <w:t xml:space="preserve"> </w:t>
      </w:r>
      <w:r w:rsidRPr="00183E4D">
        <w:t xml:space="preserve">to identify relevant studies and </w:t>
      </w:r>
      <w:r w:rsidR="003E1B16" w:rsidRPr="00183E4D">
        <w:t xml:space="preserve">systematic </w:t>
      </w:r>
      <w:r w:rsidRPr="00183E4D">
        <w:t xml:space="preserve">reviews </w:t>
      </w:r>
      <w:r w:rsidR="00D5489B" w:rsidRPr="00183E4D">
        <w:t>published during</w:t>
      </w:r>
      <w:r w:rsidRPr="00183E4D">
        <w:t xml:space="preserve"> the period</w:t>
      </w:r>
      <w:r w:rsidR="000E68DF">
        <w:t xml:space="preserve"> </w:t>
      </w:r>
      <w:r w:rsidR="00E15116">
        <w:t xml:space="preserve">1 January </w:t>
      </w:r>
      <w:r w:rsidR="000E68DF">
        <w:t>1989</w:t>
      </w:r>
      <w:r w:rsidRPr="00183E4D">
        <w:t xml:space="preserve"> </w:t>
      </w:r>
      <w:r w:rsidR="000E68DF">
        <w:t>t</w:t>
      </w:r>
      <w:r w:rsidR="00D5489B" w:rsidRPr="00183E4D">
        <w:t>o</w:t>
      </w:r>
      <w:r w:rsidRPr="00183E4D">
        <w:t xml:space="preserve"> </w:t>
      </w:r>
      <w:r w:rsidR="000E68DF">
        <w:t>13</w:t>
      </w:r>
      <w:r w:rsidR="00E15116">
        <w:t xml:space="preserve"> October </w:t>
      </w:r>
      <w:r w:rsidR="000E68DF">
        <w:t>2014</w:t>
      </w:r>
      <w:r w:rsidRPr="00183E4D">
        <w:t xml:space="preserve">. Searches were conducted </w:t>
      </w:r>
      <w:r w:rsidR="00987BD8">
        <w:t>using</w:t>
      </w:r>
      <w:r w:rsidRPr="00183E4D">
        <w:t xml:space="preserve"> the databases</w:t>
      </w:r>
      <w:r w:rsidR="00D5489B" w:rsidRPr="00183E4D">
        <w:t xml:space="preserve"> and sources</w:t>
      </w:r>
      <w:r w:rsidRPr="00183E4D">
        <w:t xml:space="preserve"> described in </w:t>
      </w:r>
      <w:r w:rsidR="00102B6C">
        <w:rPr>
          <w:highlight w:val="cyan"/>
        </w:rPr>
        <w:fldChar w:fldCharType="begin"/>
      </w:r>
      <w:r w:rsidR="00102B6C">
        <w:instrText xml:space="preserve"> REF _Ref412209642 \h </w:instrText>
      </w:r>
      <w:r w:rsidR="00C873D2">
        <w:rPr>
          <w:highlight w:val="cyan"/>
        </w:rPr>
        <w:instrText xml:space="preserve"> \* MERGEFORMAT </w:instrText>
      </w:r>
      <w:r w:rsidR="00102B6C">
        <w:rPr>
          <w:highlight w:val="cyan"/>
        </w:rPr>
      </w:r>
      <w:r w:rsidR="00102B6C">
        <w:rPr>
          <w:highlight w:val="cyan"/>
        </w:rPr>
        <w:fldChar w:fldCharType="separate"/>
      </w:r>
      <w:r w:rsidR="00BB0E3E" w:rsidRPr="001A4A46">
        <w:t xml:space="preserve">Appendix </w:t>
      </w:r>
      <w:r w:rsidR="00BB0E3E">
        <w:rPr>
          <w:noProof/>
        </w:rPr>
        <w:t>B</w:t>
      </w:r>
      <w:r w:rsidR="00102B6C">
        <w:rPr>
          <w:highlight w:val="cyan"/>
        </w:rPr>
        <w:fldChar w:fldCharType="end"/>
      </w:r>
      <w:r w:rsidR="000E68DF">
        <w:t xml:space="preserve">. </w:t>
      </w:r>
      <w:r w:rsidRPr="00183E4D">
        <w:t xml:space="preserve">Search terms are described in </w:t>
      </w:r>
      <w:r w:rsidRPr="00DE5D1A">
        <w:fldChar w:fldCharType="begin"/>
      </w:r>
      <w:r w:rsidRPr="00DE5D1A">
        <w:instrText xml:space="preserve"> REF _Ref379483486 \h  \* MERGEFORMAT </w:instrText>
      </w:r>
      <w:r w:rsidRPr="00DE5D1A">
        <w:fldChar w:fldCharType="separate"/>
      </w:r>
      <w:r w:rsidR="00BB0E3E" w:rsidRPr="00DE5D1A">
        <w:t xml:space="preserve">Table </w:t>
      </w:r>
      <w:r w:rsidR="00BB0E3E">
        <w:rPr>
          <w:noProof/>
        </w:rPr>
        <w:t>18</w:t>
      </w:r>
      <w:r w:rsidRPr="00DE5D1A">
        <w:fldChar w:fldCharType="end"/>
      </w:r>
      <w:r w:rsidR="000E68DF" w:rsidRPr="00DE5D1A">
        <w:t>.</w:t>
      </w:r>
      <w:r w:rsidRPr="00183E4D">
        <w:t xml:space="preserve"> </w:t>
      </w:r>
    </w:p>
    <w:p w14:paraId="7F8CFE7E" w14:textId="01D9F8EF" w:rsidR="00730B1B" w:rsidRDefault="00987BD8" w:rsidP="00C873D2">
      <w:r>
        <w:t>A</w:t>
      </w:r>
      <w:r w:rsidR="00730B1B" w:rsidRPr="006C0946">
        <w:t>dditional</w:t>
      </w:r>
      <w:r w:rsidR="00FE45C8" w:rsidRPr="006C0946">
        <w:t xml:space="preserve"> non-systematic</w:t>
      </w:r>
      <w:r w:rsidR="00730B1B" w:rsidRPr="006C0946">
        <w:t xml:space="preserve"> search</w:t>
      </w:r>
      <w:r w:rsidR="00AA562E">
        <w:t>es</w:t>
      </w:r>
      <w:r w:rsidR="00730B1B" w:rsidRPr="006C0946">
        <w:t xml:space="preserve"> </w:t>
      </w:r>
      <w:r w:rsidR="00AA562E">
        <w:t>were undertaken</w:t>
      </w:r>
      <w:r w:rsidR="00730B1B" w:rsidRPr="006C0946">
        <w:t xml:space="preserve"> to assess</w:t>
      </w:r>
      <w:r w:rsidR="00AA562E">
        <w:t xml:space="preserve"> the safety of amniocentesis and CVS and</w:t>
      </w:r>
      <w:r w:rsidR="00730B1B" w:rsidRPr="006C0946">
        <w:t xml:space="preserve"> </w:t>
      </w:r>
      <w:r w:rsidR="00E15116">
        <w:t xml:space="preserve">the </w:t>
      </w:r>
      <w:r w:rsidR="00730B1B" w:rsidRPr="006C0946">
        <w:t>health implications of management changes (last step of the linked analysis)</w:t>
      </w:r>
      <w:r w:rsidR="00FE45C8" w:rsidRPr="006C0946">
        <w:t>,</w:t>
      </w:r>
      <w:r w:rsidR="006C0946" w:rsidRPr="006C0946">
        <w:t xml:space="preserve"> as no studies specific to CF</w:t>
      </w:r>
      <w:r w:rsidR="00AA562E">
        <w:t xml:space="preserve"> and prenatal </w:t>
      </w:r>
      <w:r w:rsidR="00FD37D3" w:rsidRPr="00FD37D3">
        <w:t>CFTR</w:t>
      </w:r>
      <w:r w:rsidR="00AA562E">
        <w:t xml:space="preserve"> testing</w:t>
      </w:r>
      <w:r w:rsidR="006C0946" w:rsidRPr="006C0946">
        <w:t xml:space="preserve"> were identified.</w:t>
      </w:r>
    </w:p>
    <w:p w14:paraId="5F0C262D" w14:textId="77777777" w:rsidR="00AA708D" w:rsidRPr="00183E4D" w:rsidRDefault="00AA708D" w:rsidP="00AA708D">
      <w:pPr>
        <w:pStyle w:val="Caption"/>
        <w:tabs>
          <w:tab w:val="left" w:pos="851"/>
        </w:tabs>
      </w:pPr>
      <w:bookmarkStart w:id="200" w:name="_Ref363722464"/>
      <w:bookmarkStart w:id="201" w:name="_Ref379483486"/>
      <w:bookmarkStart w:id="202" w:name="_Toc381969863"/>
      <w:bookmarkStart w:id="203" w:name="_Toc418179415"/>
      <w:r w:rsidRPr="00DE5D1A">
        <w:t xml:space="preserve">Table </w:t>
      </w:r>
      <w:fldSimple w:instr=" SEQ Table \* ARABIC ">
        <w:r w:rsidR="00BB0E3E">
          <w:rPr>
            <w:noProof/>
          </w:rPr>
          <w:t>18</w:t>
        </w:r>
      </w:fldSimple>
      <w:bookmarkEnd w:id="200"/>
      <w:bookmarkEnd w:id="201"/>
      <w:r w:rsidRPr="00DE5D1A">
        <w:tab/>
        <w:t>Search terms used</w:t>
      </w:r>
      <w:bookmarkEnd w:id="202"/>
      <w:r w:rsidRPr="00DE5D1A">
        <w:t xml:space="preserve"> (</w:t>
      </w:r>
      <w:r w:rsidR="00987BD8">
        <w:t>PubMed/Medline</w:t>
      </w:r>
      <w:r w:rsidRPr="00DE5D1A">
        <w:t xml:space="preserve"> search platform)</w:t>
      </w:r>
      <w:bookmarkEnd w:id="203"/>
    </w:p>
    <w:tbl>
      <w:tblPr>
        <w:tblStyle w:val="TableGrid1"/>
        <w:tblW w:w="0" w:type="auto"/>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10"/>
        <w:gridCol w:w="6521"/>
      </w:tblGrid>
      <w:tr w:rsidR="00AA708D" w:rsidRPr="00183E4D" w14:paraId="7AD238A7"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2410" w:type="dxa"/>
          </w:tcPr>
          <w:p w14:paraId="702176AB" w14:textId="77777777" w:rsidR="00AA708D" w:rsidRPr="00183E4D" w:rsidRDefault="00AA708D" w:rsidP="00FC79BA">
            <w:pPr>
              <w:pStyle w:val="TableHeading"/>
            </w:pPr>
            <w:r w:rsidRPr="00183E4D">
              <w:t>Element of clinical question</w:t>
            </w:r>
          </w:p>
        </w:tc>
        <w:tc>
          <w:tcPr>
            <w:tcW w:w="6521" w:type="dxa"/>
          </w:tcPr>
          <w:p w14:paraId="4ED274A8" w14:textId="77777777" w:rsidR="00AA708D" w:rsidRPr="00183E4D" w:rsidRDefault="00AA708D" w:rsidP="00903596">
            <w:pPr>
              <w:pStyle w:val="TableHeading"/>
              <w:jc w:val="left"/>
            </w:pPr>
            <w:r w:rsidRPr="00183E4D">
              <w:t>Search terms</w:t>
            </w:r>
          </w:p>
        </w:tc>
      </w:tr>
      <w:tr w:rsidR="00AA708D" w:rsidRPr="00183E4D" w14:paraId="2A5A8A89" w14:textId="77777777" w:rsidTr="004245A0">
        <w:trPr>
          <w:trHeight w:val="479"/>
        </w:trPr>
        <w:tc>
          <w:tcPr>
            <w:tcW w:w="2410" w:type="dxa"/>
          </w:tcPr>
          <w:p w14:paraId="6DD466E3" w14:textId="77777777" w:rsidR="00AA708D" w:rsidRPr="00183E4D" w:rsidRDefault="00AA708D" w:rsidP="0056470B">
            <w:pPr>
              <w:pStyle w:val="Tabletext1"/>
            </w:pPr>
            <w:r w:rsidRPr="00183E4D">
              <w:t>Population</w:t>
            </w:r>
            <w:r w:rsidR="000E68DF">
              <w:t xml:space="preserve"> &amp; Intervention</w:t>
            </w:r>
          </w:p>
        </w:tc>
        <w:tc>
          <w:tcPr>
            <w:tcW w:w="6521" w:type="dxa"/>
          </w:tcPr>
          <w:p w14:paraId="087BF500" w14:textId="29CB60DD" w:rsidR="000E68DF" w:rsidRPr="000E68DF" w:rsidRDefault="000E68DF" w:rsidP="00903596">
            <w:pPr>
              <w:pStyle w:val="Tabletext1"/>
              <w:jc w:val="left"/>
            </w:pPr>
            <w:r w:rsidRPr="000E68DF">
              <w:t>((</w:t>
            </w:r>
            <w:r w:rsidR="00FD37D3" w:rsidRPr="00FD37D3">
              <w:t>CFTR</w:t>
            </w:r>
            <w:r w:rsidRPr="000E68DF">
              <w:t xml:space="preserve"> OR cystic fibrosis conductance transmembrane regulator) OR ((cystic fibrosis OR cystic fibrosis [MeSH]) AND (gene OR gene* OR carrier* OR prenatal OR antenatal OR fetus* OR foetus* OR fetal OR foetal))) AND ((screen* OR test* OR diagnos*) OR ("Cystic Fibrosis Transmembrane Conductance Regulator/diagnostic use"[Mesh] OR "Cystic Fibrosis/prevention and control"[Mesh] OR ("Cystic Fibrosis/diagnosis"[Mesh] AND "Cystic Fibrosis/genetics"[Mesh])))</w:t>
            </w:r>
          </w:p>
          <w:p w14:paraId="1672AF15" w14:textId="77777777" w:rsidR="000E68DF" w:rsidRPr="000E68DF" w:rsidRDefault="000E68DF" w:rsidP="00903596">
            <w:pPr>
              <w:pStyle w:val="Tabletext1"/>
              <w:jc w:val="left"/>
            </w:pPr>
            <w:r w:rsidRPr="000E68DF">
              <w:t>OR</w:t>
            </w:r>
          </w:p>
          <w:p w14:paraId="48B3874E" w14:textId="77777777" w:rsidR="00AA708D" w:rsidRPr="000E68DF" w:rsidRDefault="000E68DF" w:rsidP="00903596">
            <w:pPr>
              <w:pStyle w:val="Tabletext1"/>
              <w:jc w:val="left"/>
              <w:rPr>
                <w:sz w:val="18"/>
                <w:szCs w:val="18"/>
              </w:rPr>
            </w:pPr>
            <w:r w:rsidRPr="000E68DF">
              <w:t>(“cystic fibrosis”[Text Word] AND ("genetic testing"[MeSH Terms] OR genetic screening[Text Word])</w:t>
            </w:r>
          </w:p>
        </w:tc>
      </w:tr>
      <w:tr w:rsidR="00AA708D" w:rsidRPr="00183E4D" w14:paraId="2A3FD0C3" w14:textId="77777777" w:rsidTr="004245A0">
        <w:tc>
          <w:tcPr>
            <w:tcW w:w="2410" w:type="dxa"/>
          </w:tcPr>
          <w:p w14:paraId="6E818362" w14:textId="77777777" w:rsidR="00AA708D" w:rsidRPr="00183E4D" w:rsidRDefault="00AA708D" w:rsidP="0056470B">
            <w:pPr>
              <w:pStyle w:val="Tabletext1"/>
            </w:pPr>
            <w:r w:rsidRPr="00183E4D">
              <w:t>Comparator (if applicable)</w:t>
            </w:r>
          </w:p>
        </w:tc>
        <w:tc>
          <w:tcPr>
            <w:tcW w:w="6521" w:type="dxa"/>
          </w:tcPr>
          <w:p w14:paraId="799A29BA" w14:textId="77777777" w:rsidR="00AA708D" w:rsidRPr="00183E4D" w:rsidRDefault="000E68DF" w:rsidP="00903596">
            <w:pPr>
              <w:pStyle w:val="Tabletext1"/>
              <w:jc w:val="left"/>
            </w:pPr>
            <w:r>
              <w:t>-</w:t>
            </w:r>
          </w:p>
        </w:tc>
      </w:tr>
      <w:tr w:rsidR="00AA708D" w:rsidRPr="00183E4D" w14:paraId="70514DF3" w14:textId="77777777" w:rsidTr="004245A0">
        <w:tc>
          <w:tcPr>
            <w:tcW w:w="2410" w:type="dxa"/>
          </w:tcPr>
          <w:p w14:paraId="6D389CFB" w14:textId="77777777" w:rsidR="00AA708D" w:rsidRPr="00183E4D" w:rsidRDefault="00AA708D" w:rsidP="0056470B">
            <w:pPr>
              <w:pStyle w:val="Tabletext1"/>
            </w:pPr>
            <w:r w:rsidRPr="00183E4D">
              <w:t>Outcomes (if applicable)</w:t>
            </w:r>
          </w:p>
        </w:tc>
        <w:tc>
          <w:tcPr>
            <w:tcW w:w="6521" w:type="dxa"/>
          </w:tcPr>
          <w:p w14:paraId="2FEB48B6" w14:textId="77777777" w:rsidR="00AA708D" w:rsidRPr="00183E4D" w:rsidRDefault="000E68DF" w:rsidP="00903596">
            <w:pPr>
              <w:pStyle w:val="Tabletext1"/>
              <w:jc w:val="left"/>
            </w:pPr>
            <w:r>
              <w:t>-</w:t>
            </w:r>
          </w:p>
        </w:tc>
      </w:tr>
      <w:tr w:rsidR="00AA708D" w:rsidRPr="00183E4D" w14:paraId="5AC8DB6C" w14:textId="77777777" w:rsidTr="004245A0">
        <w:tc>
          <w:tcPr>
            <w:tcW w:w="2410" w:type="dxa"/>
          </w:tcPr>
          <w:p w14:paraId="7A284954" w14:textId="77777777" w:rsidR="00AA708D" w:rsidRPr="00183E4D" w:rsidRDefault="00AA708D" w:rsidP="0056470B">
            <w:pPr>
              <w:pStyle w:val="Tabletext1"/>
            </w:pPr>
            <w:r w:rsidRPr="00183E4D">
              <w:t>Limits</w:t>
            </w:r>
          </w:p>
        </w:tc>
        <w:tc>
          <w:tcPr>
            <w:tcW w:w="6521" w:type="dxa"/>
          </w:tcPr>
          <w:p w14:paraId="769204A3" w14:textId="77777777" w:rsidR="00AA708D" w:rsidRPr="00183E4D" w:rsidRDefault="000E68DF" w:rsidP="00903596">
            <w:pPr>
              <w:pStyle w:val="Tabletext1"/>
              <w:jc w:val="left"/>
            </w:pPr>
            <w:r w:rsidRPr="000E68DF">
              <w:t>Publication date from 01/01/1989 to 10/2014, NOT (Animals NOT (Animals + humans))</w:t>
            </w:r>
          </w:p>
        </w:tc>
      </w:tr>
    </w:tbl>
    <w:p w14:paraId="6696A1F6" w14:textId="77777777" w:rsidR="000E68DF" w:rsidRDefault="000E68DF" w:rsidP="000E68DF">
      <w:pPr>
        <w:pStyle w:val="TableNotes"/>
        <w:ind w:left="0"/>
        <w:rPr>
          <w:sz w:val="18"/>
          <w:szCs w:val="18"/>
        </w:rPr>
      </w:pPr>
      <w:r w:rsidRPr="007A37F3">
        <w:rPr>
          <w:sz w:val="18"/>
          <w:szCs w:val="18"/>
        </w:rPr>
        <w:t>MeSH = Medical Subject Heading, based on a Medline/PubMed platform</w:t>
      </w:r>
    </w:p>
    <w:p w14:paraId="3BD05181" w14:textId="222F9662" w:rsidR="00D5489B" w:rsidRDefault="00114E6B">
      <w:pPr>
        <w:pStyle w:val="Heading2"/>
        <w:tabs>
          <w:tab w:val="left" w:pos="1134"/>
        </w:tabs>
      </w:pPr>
      <w:bookmarkStart w:id="204" w:name="_Toc418179894"/>
      <w:r>
        <w:t>B.2.</w:t>
      </w:r>
      <w:r w:rsidR="00BA5B10">
        <w:tab/>
      </w:r>
      <w:r w:rsidR="00D5489B" w:rsidRPr="00183E4D">
        <w:t>Results of Literature Search</w:t>
      </w:r>
      <w:bookmarkEnd w:id="204"/>
    </w:p>
    <w:p w14:paraId="41D3945C" w14:textId="6A5387F8" w:rsidR="00730B1B" w:rsidRDefault="00730B1B" w:rsidP="00730B1B">
      <w:pPr>
        <w:rPr>
          <w:color w:val="000000"/>
        </w:rPr>
      </w:pPr>
      <w:r>
        <w:t xml:space="preserve">The </w:t>
      </w:r>
      <w:r w:rsidRPr="003E5A96">
        <w:t xml:space="preserve">PRISMA flowchart </w:t>
      </w:r>
      <w:r>
        <w:t xml:space="preserve">shown in </w:t>
      </w:r>
      <w:r w:rsidR="00DE5D1A" w:rsidRPr="00903596">
        <w:fldChar w:fldCharType="begin"/>
      </w:r>
      <w:r w:rsidR="00DE5D1A" w:rsidRPr="002D6C47">
        <w:instrText xml:space="preserve"> REF _Ref412037734 \h </w:instrText>
      </w:r>
      <w:r w:rsidR="00DE5D1A" w:rsidRPr="00903596">
        <w:fldChar w:fldCharType="separate"/>
      </w:r>
      <w:r w:rsidR="00BB0E3E" w:rsidRPr="002D6C47">
        <w:t xml:space="preserve">Figure </w:t>
      </w:r>
      <w:r w:rsidR="00BB0E3E">
        <w:rPr>
          <w:noProof/>
        </w:rPr>
        <w:t>5</w:t>
      </w:r>
      <w:r w:rsidR="00DE5D1A" w:rsidRPr="00903596">
        <w:fldChar w:fldCharType="end"/>
      </w:r>
      <w:r w:rsidRPr="003E5A96">
        <w:t xml:space="preserve"> provide</w:t>
      </w:r>
      <w:r>
        <w:t>s</w:t>
      </w:r>
      <w:r w:rsidRPr="003E5A96">
        <w:t xml:space="preserve"> a graphic depiction of the results of the literature search and the application of the study selection </w:t>
      </w:r>
      <w:r w:rsidRPr="00025EE3">
        <w:t>(Liberati et al. 2009).</w:t>
      </w:r>
      <w:r>
        <w:t xml:space="preserve"> </w:t>
      </w:r>
      <w:r w:rsidRPr="003E5A96">
        <w:t>Studies were selected by a single reviewer. Studies that could not be retrieved or that met the inclusion criteria but contained insufficient or inadequate data for inclusion are listed as Excluded Studies in Appendix D. All other studies that met the inclusion criteria are listed in Appendix C</w:t>
      </w:r>
      <w:r>
        <w:t>, where a profile of each included study is given</w:t>
      </w:r>
      <w:r w:rsidRPr="003E5A96">
        <w:t>.</w:t>
      </w:r>
      <w:r>
        <w:t xml:space="preserve"> </w:t>
      </w:r>
      <w:r w:rsidR="00987BD8">
        <w:rPr>
          <w:color w:val="000000"/>
        </w:rPr>
        <w:t>Study profiles</w:t>
      </w:r>
      <w:r w:rsidRPr="00183E4D">
        <w:rPr>
          <w:color w:val="000000"/>
        </w:rPr>
        <w:t xml:space="preserve"> describe the authors, study ID, </w:t>
      </w:r>
      <w:r w:rsidR="00DE5D1A">
        <w:rPr>
          <w:color w:val="000000"/>
        </w:rPr>
        <w:t xml:space="preserve">publication year, study design </w:t>
      </w:r>
      <w:r w:rsidRPr="00183E4D">
        <w:rPr>
          <w:color w:val="000000"/>
        </w:rPr>
        <w:t>and quality (</w:t>
      </w:r>
      <w:r w:rsidR="00243F70">
        <w:rPr>
          <w:color w:val="000000"/>
        </w:rPr>
        <w:t xml:space="preserve">i.e. </w:t>
      </w:r>
      <w:r w:rsidRPr="00183E4D">
        <w:rPr>
          <w:color w:val="000000"/>
        </w:rPr>
        <w:t>leve</w:t>
      </w:r>
      <w:r w:rsidR="00DE5D1A">
        <w:rPr>
          <w:color w:val="000000"/>
        </w:rPr>
        <w:t>l of evidence and risk of bias)</w:t>
      </w:r>
      <w:r w:rsidRPr="00183E4D">
        <w:rPr>
          <w:color w:val="000000"/>
        </w:rPr>
        <w:t xml:space="preserve">, study location, setting, length of follow-up of patients, study population characteristics, description of the </w:t>
      </w:r>
      <w:r>
        <w:rPr>
          <w:color w:val="000000"/>
        </w:rPr>
        <w:t>test and associated interventions,</w:t>
      </w:r>
      <w:r w:rsidRPr="00183E4D">
        <w:rPr>
          <w:color w:val="000000"/>
        </w:rPr>
        <w:t xml:space="preserve"> description of the comparator and relevant outcomes assessed. </w:t>
      </w:r>
    </w:p>
    <w:p w14:paraId="6CEF66BC" w14:textId="55FD751E" w:rsidR="00182C18" w:rsidRPr="00183E4D" w:rsidRDefault="006576F7" w:rsidP="00AA708D">
      <w:r>
        <w:rPr>
          <w:noProof/>
        </w:rPr>
        <w:lastRenderedPageBreak/>
        <w:drawing>
          <wp:inline distT="0" distB="0" distL="0" distR="0" wp14:anchorId="24CD777E" wp14:editId="452EE053">
            <wp:extent cx="5255260" cy="5309870"/>
            <wp:effectExtent l="0" t="0" r="2540" b="5080"/>
            <wp:docPr id="75" name="Picture 75" descr="Summary of the process used to identify and select studies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5260" cy="5309870"/>
                    </a:xfrm>
                    <a:prstGeom prst="rect">
                      <a:avLst/>
                    </a:prstGeom>
                    <a:noFill/>
                  </pic:spPr>
                </pic:pic>
              </a:graphicData>
            </a:graphic>
          </wp:inline>
        </w:drawing>
      </w:r>
    </w:p>
    <w:p w14:paraId="374527EB" w14:textId="77777777" w:rsidR="00182C18" w:rsidRPr="00183E4D" w:rsidRDefault="00182C18" w:rsidP="00962983">
      <w:pPr>
        <w:pStyle w:val="Caption"/>
      </w:pPr>
      <w:bookmarkStart w:id="205" w:name="_Ref412037734"/>
      <w:bookmarkStart w:id="206" w:name="_Toc381969892"/>
      <w:bookmarkStart w:id="207" w:name="_Toc423525560"/>
      <w:r w:rsidRPr="002D6C47">
        <w:t xml:space="preserve">Figure </w:t>
      </w:r>
      <w:fldSimple w:instr=" SEQ Figure \* ARABIC ">
        <w:r w:rsidR="00BB0E3E">
          <w:rPr>
            <w:noProof/>
          </w:rPr>
          <w:t>5</w:t>
        </w:r>
      </w:fldSimple>
      <w:bookmarkEnd w:id="205"/>
      <w:r w:rsidRPr="00183E4D">
        <w:t xml:space="preserve"> </w:t>
      </w:r>
      <w:r w:rsidR="00962983" w:rsidRPr="00183E4D">
        <w:tab/>
      </w:r>
      <w:r w:rsidRPr="00183E4D">
        <w:t xml:space="preserve">Summary of the process used to identify and select studies for the </w:t>
      </w:r>
      <w:bookmarkEnd w:id="206"/>
      <w:r w:rsidR="00E40529" w:rsidRPr="00183E4D">
        <w:t>assessment</w:t>
      </w:r>
      <w:bookmarkEnd w:id="207"/>
      <w:r w:rsidRPr="00183E4D">
        <w:t xml:space="preserve"> </w:t>
      </w:r>
    </w:p>
    <w:p w14:paraId="73193251" w14:textId="77777777" w:rsidR="00C547D2" w:rsidRDefault="00C547D2" w:rsidP="00784F85"/>
    <w:p w14:paraId="28AC465D" w14:textId="63621935" w:rsidR="00AF6DFD" w:rsidRDefault="00AF6DFD">
      <w:pPr>
        <w:pStyle w:val="Heading3"/>
        <w:tabs>
          <w:tab w:val="left" w:pos="1134"/>
        </w:tabs>
      </w:pPr>
      <w:bookmarkStart w:id="208" w:name="_Toc418179895"/>
      <w:r>
        <w:t>B.2.1.</w:t>
      </w:r>
      <w:r w:rsidR="00BA5B10">
        <w:tab/>
      </w:r>
      <w:r>
        <w:t>Direct effectiveness</w:t>
      </w:r>
      <w:bookmarkEnd w:id="208"/>
    </w:p>
    <w:p w14:paraId="741417DA" w14:textId="456DE7A9" w:rsidR="0033422A" w:rsidRDefault="00E9463A" w:rsidP="00B45FA8">
      <w:pPr>
        <w:pStyle w:val="Heading4"/>
      </w:pPr>
      <w:r>
        <w:t>B.2</w:t>
      </w:r>
      <w:r w:rsidR="0033422A">
        <w:t>.1</w:t>
      </w:r>
      <w:r w:rsidR="00825509">
        <w:t>.</w:t>
      </w:r>
      <w:r w:rsidR="00AF6DFD">
        <w:t>1.</w:t>
      </w:r>
      <w:r w:rsidR="00BA5B10">
        <w:tab/>
      </w:r>
      <w:r w:rsidR="0033422A">
        <w:t>Safety and direct effectiveness</w:t>
      </w:r>
    </w:p>
    <w:p w14:paraId="41E3FDA2" w14:textId="6234AB8A" w:rsidR="00987BD8" w:rsidRDefault="00A41889" w:rsidP="008E6D7B">
      <w:r>
        <w:t>No studies</w:t>
      </w:r>
      <w:r w:rsidR="00DD17C1">
        <w:t xml:space="preserve"> that met the PICO criteria</w:t>
      </w:r>
      <w:r w:rsidR="00987BD8">
        <w:t xml:space="preserve"> defined </w:t>
      </w:r>
      <w:r w:rsidR="00987BD8">
        <w:rPr>
          <w:i/>
        </w:rPr>
        <w:t>a priori</w:t>
      </w:r>
      <w:r>
        <w:t xml:space="preserve"> </w:t>
      </w:r>
      <w:r w:rsidR="00DD17C1">
        <w:t>for</w:t>
      </w:r>
      <w:r>
        <w:t xml:space="preserve"> the direct effectiveness of </w:t>
      </w:r>
      <w:r w:rsidR="00FD37D3" w:rsidRPr="00FD37D3">
        <w:t>CFTR</w:t>
      </w:r>
      <w:r>
        <w:t xml:space="preserve"> testing or the safety of prenatal </w:t>
      </w:r>
      <w:r w:rsidR="00FD37D3" w:rsidRPr="00FD37D3">
        <w:t>CFTR</w:t>
      </w:r>
      <w:r>
        <w:t xml:space="preserve"> testing</w:t>
      </w:r>
      <w:r w:rsidR="00987BD8">
        <w:t xml:space="preserve"> or downstream consequences</w:t>
      </w:r>
      <w:r>
        <w:t xml:space="preserve"> were identified. </w:t>
      </w:r>
    </w:p>
    <w:p w14:paraId="6285F801" w14:textId="70A6E28F" w:rsidR="00A41889" w:rsidRPr="00A41889" w:rsidRDefault="00A41889" w:rsidP="008E6D7B">
      <w:r>
        <w:t>Due to the lack of evidence,</w:t>
      </w:r>
      <w:r w:rsidR="00C4211E">
        <w:t xml:space="preserve"> </w:t>
      </w:r>
      <w:r w:rsidR="002D5206">
        <w:t xml:space="preserve">a separate search </w:t>
      </w:r>
      <w:r>
        <w:t>on the safety of amniocentesis</w:t>
      </w:r>
      <w:r w:rsidR="00D7377C">
        <w:t xml:space="preserve"> and CVS</w:t>
      </w:r>
      <w:r w:rsidR="00C4211E">
        <w:t xml:space="preserve"> was done</w:t>
      </w:r>
      <w:r w:rsidR="002D5206">
        <w:t>,</w:t>
      </w:r>
      <w:r w:rsidR="00C4211E">
        <w:t xml:space="preserve"> </w:t>
      </w:r>
      <w:r w:rsidR="002D5206">
        <w:t xml:space="preserve">as </w:t>
      </w:r>
      <w:r w:rsidR="00C4211E">
        <w:t>discussed in section B.8.1</w:t>
      </w:r>
      <w:r>
        <w:t xml:space="preserve">. </w:t>
      </w:r>
    </w:p>
    <w:p w14:paraId="48883B7E" w14:textId="258443AF" w:rsidR="00AF6DFD" w:rsidRDefault="00AF6DFD" w:rsidP="00B45FA8">
      <w:pPr>
        <w:pStyle w:val="Heading3"/>
      </w:pPr>
      <w:bookmarkStart w:id="209" w:name="_Toc418179896"/>
      <w:r>
        <w:lastRenderedPageBreak/>
        <w:t>B.2.2.</w:t>
      </w:r>
      <w:r w:rsidR="00BA5B10">
        <w:tab/>
      </w:r>
      <w:r>
        <w:t>Linked evidence approach</w:t>
      </w:r>
      <w:bookmarkEnd w:id="209"/>
    </w:p>
    <w:p w14:paraId="2D5F37A7" w14:textId="6377EFED" w:rsidR="008F0174" w:rsidRPr="00A62465" w:rsidRDefault="008F0174" w:rsidP="00B45FA8">
      <w:pPr>
        <w:pStyle w:val="Heading4"/>
      </w:pPr>
      <w:r w:rsidRPr="00A62465">
        <w:t>B.</w:t>
      </w:r>
      <w:r w:rsidR="0033422A">
        <w:t>2</w:t>
      </w:r>
      <w:r w:rsidRPr="00A62465">
        <w:t>.2</w:t>
      </w:r>
      <w:r w:rsidR="00AF6DFD">
        <w:t>.1.</w:t>
      </w:r>
      <w:r w:rsidR="00BA5B10">
        <w:tab/>
      </w:r>
      <w:r>
        <w:t>Diagnostic accuracy</w:t>
      </w:r>
    </w:p>
    <w:p w14:paraId="38E6C434" w14:textId="3BD7DAFF" w:rsidR="008F0174" w:rsidRPr="007D6F30" w:rsidRDefault="008F0174" w:rsidP="00CB13AE">
      <w:pPr>
        <w:rPr>
          <w:rFonts w:ascii="Arial Narrow" w:hAnsi="Arial Narrow"/>
          <w:sz w:val="18"/>
          <w:szCs w:val="18"/>
        </w:rPr>
      </w:pPr>
      <w:r>
        <w:t xml:space="preserve">Only </w:t>
      </w:r>
      <w:r w:rsidR="00212D20">
        <w:t xml:space="preserve">1 </w:t>
      </w:r>
      <w:r>
        <w:t xml:space="preserve">study was identified that met the inclusion criteria determined </w:t>
      </w:r>
      <w:r w:rsidRPr="0038450C">
        <w:rPr>
          <w:i/>
        </w:rPr>
        <w:t>a priori</w:t>
      </w:r>
      <w:r>
        <w:t xml:space="preserve"> to assess the diagnostic accuracy </w:t>
      </w:r>
      <w:r w:rsidRPr="007851AA">
        <w:t xml:space="preserve">of </w:t>
      </w:r>
      <w:r w:rsidR="00FD37D3" w:rsidRPr="00FD37D3">
        <w:t>CFTR</w:t>
      </w:r>
      <w:r w:rsidRPr="007851AA">
        <w:t xml:space="preserve"> mutation testing in patients with a high clinical suspicion of CF</w:t>
      </w:r>
      <w:r>
        <w:t>,</w:t>
      </w:r>
      <w:r w:rsidRPr="007851AA">
        <w:t xml:space="preserve"> </w:t>
      </w:r>
      <w:r>
        <w:t xml:space="preserve">as outlined in </w:t>
      </w:r>
      <w:r w:rsidR="00110B93">
        <w:rPr>
          <w:highlight w:val="yellow"/>
        </w:rPr>
        <w:fldChar w:fldCharType="begin"/>
      </w:r>
      <w:r w:rsidR="00110B93">
        <w:instrText xml:space="preserve"> REF _Ref401918684 \h </w:instrText>
      </w:r>
      <w:r w:rsidR="00CB13AE">
        <w:rPr>
          <w:highlight w:val="yellow"/>
        </w:rPr>
        <w:instrText xml:space="preserve"> \* MERGEFORMAT </w:instrText>
      </w:r>
      <w:r w:rsidR="00110B93">
        <w:rPr>
          <w:highlight w:val="yellow"/>
        </w:rPr>
      </w:r>
      <w:r w:rsidR="00110B93">
        <w:rPr>
          <w:highlight w:val="yellow"/>
        </w:rPr>
        <w:fldChar w:fldCharType="separate"/>
      </w:r>
      <w:r w:rsidR="00BB0E3E">
        <w:t xml:space="preserve">Table </w:t>
      </w:r>
      <w:r w:rsidR="00BB0E3E">
        <w:rPr>
          <w:noProof/>
        </w:rPr>
        <w:t>10</w:t>
      </w:r>
      <w:r w:rsidR="00110B93">
        <w:rPr>
          <w:highlight w:val="yellow"/>
        </w:rPr>
        <w:fldChar w:fldCharType="end"/>
      </w:r>
      <w:r>
        <w:t xml:space="preserve">. Two studies were identified that met the inclusion criteria to assess the diagnostic accuracy of </w:t>
      </w:r>
      <w:r w:rsidR="00FD37D3" w:rsidRPr="00FD37D3">
        <w:t>CFTR</w:t>
      </w:r>
      <w:r>
        <w:t xml:space="preserve"> mutation testing compared with clinical diagnosis after birth in</w:t>
      </w:r>
      <w:r w:rsidRPr="007851AA">
        <w:t xml:space="preserve"> fetuses w</w:t>
      </w:r>
      <w:r>
        <w:t>h</w:t>
      </w:r>
      <w:r w:rsidRPr="007851AA">
        <w:t>ere both parents are CF carriers</w:t>
      </w:r>
      <w:r w:rsidR="00CB13AE">
        <w:t>, as outlined in</w:t>
      </w:r>
      <w:r w:rsidR="006422B1">
        <w:t xml:space="preserve"> Table 14.</w:t>
      </w:r>
      <w:r>
        <w:t xml:space="preserve"> No studies met the inclusion criteria to inform on the accuracy of </w:t>
      </w:r>
      <w:r w:rsidR="00FD37D3" w:rsidRPr="00FD37D3">
        <w:t>CFTR</w:t>
      </w:r>
      <w:r>
        <w:t xml:space="preserve"> mutation testing in</w:t>
      </w:r>
      <w:r w:rsidRPr="007851AA">
        <w:t xml:space="preserve"> parents with a fetus suspected of CF</w:t>
      </w:r>
      <w:r>
        <w:t xml:space="preserve">, as outlined in </w:t>
      </w:r>
      <w:r w:rsidR="00110B93">
        <w:rPr>
          <w:highlight w:val="yellow"/>
        </w:rPr>
        <w:fldChar w:fldCharType="begin"/>
      </w:r>
      <w:r w:rsidR="00110B93">
        <w:instrText xml:space="preserve"> REF _Ref401919759 \h </w:instrText>
      </w:r>
      <w:r w:rsidR="00110B93">
        <w:rPr>
          <w:highlight w:val="yellow"/>
        </w:rPr>
      </w:r>
      <w:r w:rsidR="00110B93">
        <w:rPr>
          <w:highlight w:val="yellow"/>
        </w:rPr>
        <w:fldChar w:fldCharType="separate"/>
      </w:r>
      <w:r w:rsidR="00BB0E3E">
        <w:t xml:space="preserve">Table </w:t>
      </w:r>
      <w:r w:rsidR="00BB0E3E">
        <w:rPr>
          <w:noProof/>
        </w:rPr>
        <w:t>13</w:t>
      </w:r>
      <w:r w:rsidR="00110B93">
        <w:rPr>
          <w:highlight w:val="yellow"/>
        </w:rPr>
        <w:fldChar w:fldCharType="end"/>
      </w:r>
      <w:r>
        <w:t>. Due to the lack of evidence, the inclusion criteria were broadened and a further 26 studies that met the broadened criteria were included.</w:t>
      </w:r>
    </w:p>
    <w:p w14:paraId="0801E41F" w14:textId="18FA6587" w:rsidR="008F0174" w:rsidRDefault="008F0174" w:rsidP="008F0174">
      <w:pPr>
        <w:rPr>
          <w:rFonts w:asciiTheme="minorHAnsi" w:hAnsiTheme="minorHAnsi"/>
        </w:rPr>
      </w:pPr>
      <w:r>
        <w:rPr>
          <w:rFonts w:asciiTheme="minorHAnsi" w:hAnsiTheme="minorHAnsi"/>
        </w:rPr>
        <w:t xml:space="preserve">To assess the accuracy of </w:t>
      </w:r>
      <w:r w:rsidR="00FD37D3" w:rsidRPr="00FD37D3">
        <w:rPr>
          <w:rFonts w:asciiTheme="minorHAnsi" w:hAnsiTheme="minorHAnsi"/>
        </w:rPr>
        <w:t>CFTR</w:t>
      </w:r>
      <w:r w:rsidRPr="00E84B20">
        <w:rPr>
          <w:rFonts w:asciiTheme="minorHAnsi" w:hAnsiTheme="minorHAnsi"/>
        </w:rPr>
        <w:t xml:space="preserve"> mutation testing in patients with </w:t>
      </w:r>
      <w:r>
        <w:rPr>
          <w:rFonts w:asciiTheme="minorHAnsi" w:hAnsiTheme="minorHAnsi"/>
        </w:rPr>
        <w:t xml:space="preserve">either classical or </w:t>
      </w:r>
      <w:r w:rsidRPr="0038450C">
        <w:rPr>
          <w:rFonts w:asciiTheme="minorHAnsi" w:hAnsiTheme="minorHAnsi"/>
        </w:rPr>
        <w:t>non-classic</w:t>
      </w:r>
      <w:r>
        <w:rPr>
          <w:rFonts w:asciiTheme="minorHAnsi" w:hAnsiTheme="minorHAnsi"/>
        </w:rPr>
        <w:t>al</w:t>
      </w:r>
      <w:r w:rsidRPr="0038450C">
        <w:rPr>
          <w:rFonts w:asciiTheme="minorHAnsi" w:hAnsiTheme="minorHAnsi"/>
        </w:rPr>
        <w:t xml:space="preserve"> </w:t>
      </w:r>
      <w:r w:rsidRPr="00E84B20">
        <w:rPr>
          <w:rFonts w:asciiTheme="minorHAnsi" w:hAnsiTheme="minorHAnsi"/>
        </w:rPr>
        <w:t>CF</w:t>
      </w:r>
      <w:r>
        <w:rPr>
          <w:rFonts w:asciiTheme="minorHAnsi" w:hAnsiTheme="minorHAnsi"/>
        </w:rPr>
        <w:t xml:space="preserve"> symptoms, the criteria for the evidentiary standard were broadened to include either DNA sequencing alone or clinical diagnosis. As a result of the selection process, </w:t>
      </w:r>
      <w:r w:rsidR="007C4090">
        <w:rPr>
          <w:rFonts w:asciiTheme="minorHAnsi" w:hAnsiTheme="minorHAnsi"/>
        </w:rPr>
        <w:t xml:space="preserve">4 </w:t>
      </w:r>
      <w:r>
        <w:rPr>
          <w:rFonts w:asciiTheme="minorHAnsi" w:hAnsiTheme="minorHAnsi"/>
        </w:rPr>
        <w:t xml:space="preserve">studies compared a </w:t>
      </w:r>
      <w:r w:rsidR="00FD37D3" w:rsidRPr="00FD37D3">
        <w:rPr>
          <w:rFonts w:asciiTheme="minorHAnsi" w:hAnsiTheme="minorHAnsi"/>
        </w:rPr>
        <w:t>CFTR</w:t>
      </w:r>
      <w:r>
        <w:rPr>
          <w:rFonts w:asciiTheme="minorHAnsi" w:hAnsiTheme="minorHAnsi"/>
        </w:rPr>
        <w:t xml:space="preserve"> mutation test with DNA sequencing in patients with CF, </w:t>
      </w:r>
      <w:r w:rsidR="007C4090">
        <w:rPr>
          <w:rFonts w:asciiTheme="minorHAnsi" w:hAnsiTheme="minorHAnsi"/>
        </w:rPr>
        <w:t xml:space="preserve">4 </w:t>
      </w:r>
      <w:r>
        <w:rPr>
          <w:rFonts w:asciiTheme="minorHAnsi" w:hAnsiTheme="minorHAnsi"/>
        </w:rPr>
        <w:t xml:space="preserve">studies compared DNA sequencing with clinical diagnosis and </w:t>
      </w:r>
      <w:r w:rsidR="007C4090">
        <w:rPr>
          <w:rFonts w:asciiTheme="minorHAnsi" w:hAnsiTheme="minorHAnsi"/>
        </w:rPr>
        <w:t xml:space="preserve">5 </w:t>
      </w:r>
      <w:r>
        <w:rPr>
          <w:rFonts w:asciiTheme="minorHAnsi" w:hAnsiTheme="minorHAnsi"/>
        </w:rPr>
        <w:t xml:space="preserve">studies compared a </w:t>
      </w:r>
      <w:r w:rsidR="00FD37D3" w:rsidRPr="00FD37D3">
        <w:rPr>
          <w:rFonts w:asciiTheme="minorHAnsi" w:hAnsiTheme="minorHAnsi"/>
        </w:rPr>
        <w:t>CFTR</w:t>
      </w:r>
      <w:r>
        <w:rPr>
          <w:rFonts w:asciiTheme="minorHAnsi" w:hAnsiTheme="minorHAnsi"/>
        </w:rPr>
        <w:t xml:space="preserve"> mutation test with clinical diagnosis.</w:t>
      </w:r>
    </w:p>
    <w:p w14:paraId="4B993BF3" w14:textId="3B3E1170" w:rsidR="008F0174" w:rsidRDefault="008F0174" w:rsidP="008F0174">
      <w:pPr>
        <w:rPr>
          <w:rFonts w:asciiTheme="minorHAnsi" w:hAnsiTheme="minorHAnsi"/>
        </w:rPr>
      </w:pPr>
      <w:r>
        <w:rPr>
          <w:rFonts w:asciiTheme="minorHAnsi" w:hAnsiTheme="minorHAnsi"/>
        </w:rPr>
        <w:t xml:space="preserve">The only studies that included patients with non-classical CF were conducted in </w:t>
      </w:r>
      <w:r w:rsidR="00212D20">
        <w:rPr>
          <w:rFonts w:asciiTheme="minorHAnsi" w:hAnsiTheme="minorHAnsi"/>
        </w:rPr>
        <w:t xml:space="preserve">those </w:t>
      </w:r>
      <w:r>
        <w:rPr>
          <w:rFonts w:asciiTheme="minorHAnsi" w:hAnsiTheme="minorHAnsi"/>
        </w:rPr>
        <w:t xml:space="preserve">diagnosed with CBAVD. One study compared </w:t>
      </w:r>
      <w:r w:rsidR="00FD37D3" w:rsidRPr="00FD37D3">
        <w:rPr>
          <w:rFonts w:asciiTheme="minorHAnsi" w:hAnsiTheme="minorHAnsi"/>
        </w:rPr>
        <w:t>CFTR</w:t>
      </w:r>
      <w:r>
        <w:rPr>
          <w:rFonts w:asciiTheme="minorHAnsi" w:hAnsiTheme="minorHAnsi"/>
        </w:rPr>
        <w:t xml:space="preserve"> mutation testing with the evidentiary standard in this patient group, </w:t>
      </w:r>
      <w:r w:rsidR="00212D20">
        <w:rPr>
          <w:rFonts w:asciiTheme="minorHAnsi" w:hAnsiTheme="minorHAnsi"/>
        </w:rPr>
        <w:t xml:space="preserve">3 </w:t>
      </w:r>
      <w:r>
        <w:rPr>
          <w:rFonts w:asciiTheme="minorHAnsi" w:hAnsiTheme="minorHAnsi"/>
        </w:rPr>
        <w:t xml:space="preserve">studies compared </w:t>
      </w:r>
      <w:r w:rsidR="00FD37D3" w:rsidRPr="00FD37D3">
        <w:rPr>
          <w:rFonts w:asciiTheme="minorHAnsi" w:hAnsiTheme="minorHAnsi"/>
        </w:rPr>
        <w:t>CFTR</w:t>
      </w:r>
      <w:r>
        <w:rPr>
          <w:rFonts w:asciiTheme="minorHAnsi" w:hAnsiTheme="minorHAnsi"/>
        </w:rPr>
        <w:t xml:space="preserve"> mutation testing with clinical diagnosis and </w:t>
      </w:r>
      <w:r w:rsidR="00212D20">
        <w:rPr>
          <w:rFonts w:asciiTheme="minorHAnsi" w:hAnsiTheme="minorHAnsi"/>
        </w:rPr>
        <w:t xml:space="preserve">5 </w:t>
      </w:r>
      <w:r>
        <w:rPr>
          <w:rFonts w:asciiTheme="minorHAnsi" w:hAnsiTheme="minorHAnsi"/>
        </w:rPr>
        <w:t>studies compared DNA sequencing with clinical diagnosis.</w:t>
      </w:r>
    </w:p>
    <w:p w14:paraId="509DA614" w14:textId="572FD0F3" w:rsidR="008F0174" w:rsidRDefault="008F0174" w:rsidP="008F0174">
      <w:pPr>
        <w:rPr>
          <w:rFonts w:asciiTheme="minorHAnsi" w:hAnsiTheme="minorHAnsi"/>
        </w:rPr>
      </w:pPr>
      <w:r>
        <w:rPr>
          <w:rFonts w:asciiTheme="minorHAnsi" w:hAnsiTheme="minorHAnsi"/>
        </w:rPr>
        <w:t xml:space="preserve">A further </w:t>
      </w:r>
      <w:r w:rsidR="00212D20">
        <w:rPr>
          <w:rFonts w:asciiTheme="minorHAnsi" w:hAnsiTheme="minorHAnsi"/>
        </w:rPr>
        <w:t xml:space="preserve">4 </w:t>
      </w:r>
      <w:r>
        <w:rPr>
          <w:rFonts w:asciiTheme="minorHAnsi" w:hAnsiTheme="minorHAnsi"/>
        </w:rPr>
        <w:t xml:space="preserve">non-comparative studies that reported on the failure rates of various </w:t>
      </w:r>
      <w:r w:rsidR="00FD37D3" w:rsidRPr="00FD37D3">
        <w:rPr>
          <w:rFonts w:asciiTheme="minorHAnsi" w:hAnsiTheme="minorHAnsi"/>
        </w:rPr>
        <w:t>CFTR</w:t>
      </w:r>
      <w:r>
        <w:rPr>
          <w:rFonts w:asciiTheme="minorHAnsi" w:hAnsiTheme="minorHAnsi"/>
        </w:rPr>
        <w:t xml:space="preserve"> mutation tests in CF patients were also included to assess test reliability.</w:t>
      </w:r>
    </w:p>
    <w:p w14:paraId="4AF92E13" w14:textId="606FDD42" w:rsidR="008F0174" w:rsidRDefault="008F0174" w:rsidP="008F0174">
      <w:pPr>
        <w:rPr>
          <w:rFonts w:asciiTheme="minorHAnsi" w:hAnsiTheme="minorHAnsi"/>
        </w:rPr>
      </w:pPr>
      <w:r>
        <w:rPr>
          <w:rFonts w:asciiTheme="minorHAnsi" w:hAnsiTheme="minorHAnsi"/>
        </w:rPr>
        <w:t xml:space="preserve">No studies were identified that could inform on the accuracy </w:t>
      </w:r>
      <w:r w:rsidRPr="007851AA">
        <w:rPr>
          <w:rFonts w:asciiTheme="minorHAnsi" w:hAnsiTheme="minorHAnsi"/>
        </w:rPr>
        <w:t xml:space="preserve">of </w:t>
      </w:r>
      <w:r w:rsidR="00FD37D3" w:rsidRPr="00FD37D3">
        <w:rPr>
          <w:rFonts w:asciiTheme="minorHAnsi" w:hAnsiTheme="minorHAnsi"/>
        </w:rPr>
        <w:t>CFTR</w:t>
      </w:r>
      <w:r w:rsidRPr="007851AA">
        <w:rPr>
          <w:rFonts w:asciiTheme="minorHAnsi" w:hAnsiTheme="minorHAnsi"/>
        </w:rPr>
        <w:t xml:space="preserve"> mutation testing in </w:t>
      </w:r>
      <w:r>
        <w:rPr>
          <w:rFonts w:asciiTheme="minorHAnsi" w:hAnsiTheme="minorHAnsi"/>
        </w:rPr>
        <w:t xml:space="preserve">the </w:t>
      </w:r>
      <w:r w:rsidRPr="007851AA">
        <w:rPr>
          <w:rFonts w:asciiTheme="minorHAnsi" w:hAnsiTheme="minorHAnsi"/>
        </w:rPr>
        <w:t xml:space="preserve">parents </w:t>
      </w:r>
      <w:r w:rsidR="00987BD8">
        <w:rPr>
          <w:rFonts w:asciiTheme="minorHAnsi" w:hAnsiTheme="minorHAnsi"/>
        </w:rPr>
        <w:t>of</w:t>
      </w:r>
      <w:r w:rsidRPr="007851AA">
        <w:rPr>
          <w:rFonts w:asciiTheme="minorHAnsi" w:hAnsiTheme="minorHAnsi"/>
        </w:rPr>
        <w:t xml:space="preserve"> a fetus suspected of</w:t>
      </w:r>
      <w:r w:rsidR="00987BD8">
        <w:rPr>
          <w:rFonts w:asciiTheme="minorHAnsi" w:hAnsiTheme="minorHAnsi"/>
        </w:rPr>
        <w:t xml:space="preserve"> having</w:t>
      </w:r>
      <w:r w:rsidRPr="007851AA">
        <w:rPr>
          <w:rFonts w:asciiTheme="minorHAnsi" w:hAnsiTheme="minorHAnsi"/>
        </w:rPr>
        <w:t xml:space="preserve"> CF</w:t>
      </w:r>
      <w:r>
        <w:rPr>
          <w:rFonts w:asciiTheme="minorHAnsi" w:hAnsiTheme="minorHAnsi"/>
        </w:rPr>
        <w:t xml:space="preserve">, as outlined in </w:t>
      </w:r>
      <w:r w:rsidR="00917AC2">
        <w:rPr>
          <w:rFonts w:asciiTheme="minorHAnsi" w:hAnsiTheme="minorHAnsi"/>
          <w:highlight w:val="yellow"/>
        </w:rPr>
        <w:fldChar w:fldCharType="begin"/>
      </w:r>
      <w:r w:rsidR="00917AC2">
        <w:rPr>
          <w:rFonts w:asciiTheme="minorHAnsi" w:hAnsiTheme="minorHAnsi"/>
        </w:rPr>
        <w:instrText xml:space="preserve"> REF _Ref401919759 \h </w:instrText>
      </w:r>
      <w:r w:rsidR="00917AC2">
        <w:rPr>
          <w:rFonts w:asciiTheme="minorHAnsi" w:hAnsiTheme="minorHAnsi"/>
          <w:highlight w:val="yellow"/>
        </w:rPr>
      </w:r>
      <w:r w:rsidR="00917AC2">
        <w:rPr>
          <w:rFonts w:asciiTheme="minorHAnsi" w:hAnsiTheme="minorHAnsi"/>
          <w:highlight w:val="yellow"/>
        </w:rPr>
        <w:fldChar w:fldCharType="separate"/>
      </w:r>
      <w:r w:rsidR="00BB0E3E">
        <w:t xml:space="preserve">Table </w:t>
      </w:r>
      <w:r w:rsidR="00BB0E3E">
        <w:rPr>
          <w:noProof/>
        </w:rPr>
        <w:t>13</w:t>
      </w:r>
      <w:r w:rsidR="00917AC2">
        <w:rPr>
          <w:rFonts w:asciiTheme="minorHAnsi" w:hAnsiTheme="minorHAnsi"/>
          <w:highlight w:val="yellow"/>
        </w:rPr>
        <w:fldChar w:fldCharType="end"/>
      </w:r>
      <w:r>
        <w:rPr>
          <w:rFonts w:asciiTheme="minorHAnsi" w:hAnsiTheme="minorHAnsi"/>
        </w:rPr>
        <w:t xml:space="preserve">. However, </w:t>
      </w:r>
      <w:r w:rsidR="00212D20">
        <w:rPr>
          <w:rFonts w:asciiTheme="minorHAnsi" w:hAnsiTheme="minorHAnsi"/>
        </w:rPr>
        <w:t xml:space="preserve">1 </w:t>
      </w:r>
      <w:r>
        <w:rPr>
          <w:rFonts w:asciiTheme="minorHAnsi" w:hAnsiTheme="minorHAnsi"/>
        </w:rPr>
        <w:t xml:space="preserve">study reported on the diagnostic accuracy of </w:t>
      </w:r>
      <w:r w:rsidR="00FD37D3" w:rsidRPr="00FD37D3">
        <w:rPr>
          <w:rFonts w:asciiTheme="minorHAnsi" w:hAnsiTheme="minorHAnsi"/>
        </w:rPr>
        <w:t>CFTR</w:t>
      </w:r>
      <w:r>
        <w:rPr>
          <w:rFonts w:asciiTheme="minorHAnsi" w:hAnsiTheme="minorHAnsi"/>
        </w:rPr>
        <w:t xml:space="preserve"> mutation testing compared with DNA sequencing in CF carriers with a known </w:t>
      </w:r>
      <w:r w:rsidR="00FD37D3" w:rsidRPr="00FD37D3">
        <w:rPr>
          <w:rFonts w:asciiTheme="minorHAnsi" w:hAnsiTheme="minorHAnsi"/>
        </w:rPr>
        <w:t>CFTR</w:t>
      </w:r>
      <w:r>
        <w:rPr>
          <w:rFonts w:asciiTheme="minorHAnsi" w:hAnsiTheme="minorHAnsi"/>
        </w:rPr>
        <w:t xml:space="preserve"> mutation</w:t>
      </w:r>
      <w:r w:rsidR="00212D20">
        <w:rPr>
          <w:rFonts w:asciiTheme="minorHAnsi" w:hAnsiTheme="minorHAnsi"/>
        </w:rPr>
        <w:t>,</w:t>
      </w:r>
      <w:r>
        <w:rPr>
          <w:rFonts w:asciiTheme="minorHAnsi" w:hAnsiTheme="minorHAnsi"/>
        </w:rPr>
        <w:t xml:space="preserve"> and was incl</w:t>
      </w:r>
      <w:r w:rsidR="00917AC2">
        <w:rPr>
          <w:rFonts w:asciiTheme="minorHAnsi" w:hAnsiTheme="minorHAnsi"/>
        </w:rPr>
        <w:t>uded to provide surrogate data</w:t>
      </w:r>
      <w:r>
        <w:rPr>
          <w:rFonts w:asciiTheme="minorHAnsi" w:hAnsiTheme="minorHAnsi"/>
        </w:rPr>
        <w:t>.</w:t>
      </w:r>
    </w:p>
    <w:p w14:paraId="54695C74" w14:textId="032CB518" w:rsidR="008F0174" w:rsidRDefault="008F0174" w:rsidP="008F0174">
      <w:pPr>
        <w:rPr>
          <w:rFonts w:asciiTheme="minorHAnsi" w:hAnsiTheme="minorHAnsi"/>
        </w:rPr>
      </w:pPr>
      <w:r>
        <w:rPr>
          <w:rFonts w:asciiTheme="minorHAnsi" w:hAnsiTheme="minorHAnsi"/>
        </w:rPr>
        <w:t xml:space="preserve">To assess the accuracy of prenatal </w:t>
      </w:r>
      <w:r w:rsidR="00FD37D3" w:rsidRPr="00FD37D3">
        <w:rPr>
          <w:rFonts w:asciiTheme="minorHAnsi" w:hAnsiTheme="minorHAnsi"/>
        </w:rPr>
        <w:t>CFTR</w:t>
      </w:r>
      <w:r>
        <w:rPr>
          <w:rFonts w:asciiTheme="minorHAnsi" w:hAnsiTheme="minorHAnsi"/>
        </w:rPr>
        <w:t xml:space="preserve"> mutation testing</w:t>
      </w:r>
      <w:r w:rsidR="00212D20">
        <w:rPr>
          <w:rFonts w:asciiTheme="minorHAnsi" w:hAnsiTheme="minorHAnsi"/>
        </w:rPr>
        <w:t>,</w:t>
      </w:r>
      <w:r>
        <w:rPr>
          <w:rFonts w:asciiTheme="minorHAnsi" w:hAnsiTheme="minorHAnsi"/>
        </w:rPr>
        <w:t xml:space="preserve"> </w:t>
      </w:r>
      <w:r w:rsidR="00212D20">
        <w:rPr>
          <w:rFonts w:asciiTheme="minorHAnsi" w:hAnsiTheme="minorHAnsi"/>
        </w:rPr>
        <w:t xml:space="preserve">4 </w:t>
      </w:r>
      <w:r>
        <w:rPr>
          <w:rFonts w:asciiTheme="minorHAnsi" w:hAnsiTheme="minorHAnsi"/>
        </w:rPr>
        <w:t xml:space="preserve">studies that reported on </w:t>
      </w:r>
      <w:r w:rsidR="00FD37D3" w:rsidRPr="00FD37D3">
        <w:rPr>
          <w:rFonts w:asciiTheme="minorHAnsi" w:hAnsiTheme="minorHAnsi"/>
        </w:rPr>
        <w:t>CFTR</w:t>
      </w:r>
      <w:r w:rsidRPr="005A25CC">
        <w:rPr>
          <w:rFonts w:asciiTheme="minorHAnsi" w:hAnsiTheme="minorHAnsi"/>
        </w:rPr>
        <w:t xml:space="preserve"> mutation testing</w:t>
      </w:r>
      <w:r>
        <w:rPr>
          <w:rFonts w:asciiTheme="minorHAnsi" w:hAnsiTheme="minorHAnsi"/>
        </w:rPr>
        <w:t xml:space="preserve"> </w:t>
      </w:r>
      <w:r w:rsidRPr="005A25CC">
        <w:rPr>
          <w:rFonts w:asciiTheme="minorHAnsi" w:hAnsiTheme="minorHAnsi"/>
        </w:rPr>
        <w:t xml:space="preserve">in fetuses </w:t>
      </w:r>
      <w:r w:rsidR="00917AC2">
        <w:rPr>
          <w:rFonts w:asciiTheme="minorHAnsi" w:hAnsiTheme="minorHAnsi"/>
        </w:rPr>
        <w:t>were included</w:t>
      </w:r>
      <w:r>
        <w:rPr>
          <w:rFonts w:asciiTheme="minorHAnsi" w:hAnsiTheme="minorHAnsi"/>
        </w:rPr>
        <w:t xml:space="preserve">, but only </w:t>
      </w:r>
      <w:r w:rsidR="00212D20">
        <w:rPr>
          <w:rFonts w:asciiTheme="minorHAnsi" w:hAnsiTheme="minorHAnsi"/>
        </w:rPr>
        <w:t xml:space="preserve">2 of these </w:t>
      </w:r>
      <w:r>
        <w:rPr>
          <w:rFonts w:asciiTheme="minorHAnsi" w:hAnsiTheme="minorHAnsi"/>
        </w:rPr>
        <w:t>included a reference standard.</w:t>
      </w:r>
    </w:p>
    <w:p w14:paraId="690CA7E7" w14:textId="652C08EC" w:rsidR="006C0946" w:rsidRPr="00A62465" w:rsidRDefault="006C0946" w:rsidP="00B45FA8">
      <w:pPr>
        <w:pStyle w:val="Heading4"/>
      </w:pPr>
      <w:bookmarkStart w:id="210" w:name="_Toc395200773"/>
      <w:r w:rsidRPr="00A62465">
        <w:t>B.</w:t>
      </w:r>
      <w:r w:rsidR="0033422A">
        <w:t>2</w:t>
      </w:r>
      <w:r w:rsidRPr="00A62465">
        <w:t>.2.</w:t>
      </w:r>
      <w:r>
        <w:t>2</w:t>
      </w:r>
      <w:r w:rsidR="00BA5B10">
        <w:tab/>
      </w:r>
      <w:r>
        <w:t>Change in management</w:t>
      </w:r>
    </w:p>
    <w:p w14:paraId="259239FD" w14:textId="655F3035" w:rsidR="006C0946" w:rsidRDefault="00C079B3" w:rsidP="00A87A34">
      <w:r>
        <w:t xml:space="preserve">Nine </w:t>
      </w:r>
      <w:r w:rsidR="004E09B6">
        <w:t>s</w:t>
      </w:r>
      <w:r w:rsidR="006C0946">
        <w:t>tudies were identified that met the PICO criteria</w:t>
      </w:r>
      <w:r w:rsidR="00987BD8">
        <w:t xml:space="preserve"> outlined</w:t>
      </w:r>
      <w:r w:rsidR="006C0946">
        <w:t xml:space="preserve"> </w:t>
      </w:r>
      <w:r w:rsidR="004E09B6">
        <w:rPr>
          <w:i/>
        </w:rPr>
        <w:t>a priori</w:t>
      </w:r>
      <w:r w:rsidR="00C321F0">
        <w:t>;</w:t>
      </w:r>
      <w:r>
        <w:t xml:space="preserve"> however</w:t>
      </w:r>
      <w:r w:rsidR="00212D20">
        <w:t>,</w:t>
      </w:r>
      <w:r>
        <w:t xml:space="preserve"> none of these studies had a comparator (</w:t>
      </w:r>
      <w:r w:rsidR="00C321F0">
        <w:t xml:space="preserve">e.g. </w:t>
      </w:r>
      <w:r>
        <w:t>pregnancy management after no prenatal genetic testing)</w:t>
      </w:r>
      <w:r w:rsidR="006C0946">
        <w:t xml:space="preserve">. </w:t>
      </w:r>
      <w:r>
        <w:t>Therefore</w:t>
      </w:r>
      <w:r w:rsidR="00212D20">
        <w:t>,</w:t>
      </w:r>
      <w:r>
        <w:t xml:space="preserve"> t</w:t>
      </w:r>
      <w:r w:rsidR="00A87A34">
        <w:t>he assumption was made</w:t>
      </w:r>
      <w:r w:rsidR="00AF418B">
        <w:t xml:space="preserve"> that</w:t>
      </w:r>
      <w:r w:rsidR="00A87A34">
        <w:t xml:space="preserve"> no TOP would occur in the absence of testing.</w:t>
      </w:r>
    </w:p>
    <w:p w14:paraId="75C7560E" w14:textId="3CE6CCCD" w:rsidR="00A87A34" w:rsidRDefault="00917AC2" w:rsidP="00A87A34">
      <w:r>
        <w:t>Six</w:t>
      </w:r>
      <w:r w:rsidR="00A87A34">
        <w:t xml:space="preserve"> articles were included </w:t>
      </w:r>
      <w:r w:rsidR="00143DEB">
        <w:t xml:space="preserve">that </w:t>
      </w:r>
      <w:r w:rsidR="00A87A34">
        <w:t>reported change</w:t>
      </w:r>
      <w:r w:rsidR="00C321F0">
        <w:t>-</w:t>
      </w:r>
      <w:r w:rsidR="00A87A34">
        <w:t>in</w:t>
      </w:r>
      <w:r w:rsidR="00C321F0">
        <w:t>-</w:t>
      </w:r>
      <w:r w:rsidR="00A87A34">
        <w:t xml:space="preserve">management outcomes where fetal echogenic bowel (FEB) was detected, of which </w:t>
      </w:r>
      <w:r w:rsidR="00143DEB">
        <w:t xml:space="preserve">1 </w:t>
      </w:r>
      <w:r w:rsidR="00A87A34">
        <w:t>study was Australian (</w:t>
      </w:r>
      <w:r>
        <w:rPr>
          <w:highlight w:val="yellow"/>
        </w:rPr>
        <w:fldChar w:fldCharType="begin"/>
      </w:r>
      <w:r>
        <w:instrText xml:space="preserve"> REF _Ref412105967 \h </w:instrText>
      </w:r>
      <w:r>
        <w:rPr>
          <w:highlight w:val="yellow"/>
        </w:rPr>
      </w:r>
      <w:r>
        <w:rPr>
          <w:highlight w:val="yellow"/>
        </w:rPr>
        <w:fldChar w:fldCharType="separate"/>
      </w:r>
      <w:r w:rsidR="00BB0E3E">
        <w:t xml:space="preserve">Table </w:t>
      </w:r>
      <w:r w:rsidR="00BB0E3E">
        <w:rPr>
          <w:noProof/>
        </w:rPr>
        <w:t>44</w:t>
      </w:r>
      <w:r>
        <w:rPr>
          <w:highlight w:val="yellow"/>
        </w:rPr>
        <w:fldChar w:fldCharType="end"/>
      </w:r>
      <w:r w:rsidR="00A87A34">
        <w:t xml:space="preserve">). Four studies were detected </w:t>
      </w:r>
      <w:r w:rsidR="00143DEB">
        <w:lastRenderedPageBreak/>
        <w:t xml:space="preserve">that </w:t>
      </w:r>
      <w:r w:rsidR="00A87A34">
        <w:t>included women with a 1:4 risk of having a child with CF (</w:t>
      </w:r>
      <w:r>
        <w:fldChar w:fldCharType="begin"/>
      </w:r>
      <w:r>
        <w:instrText xml:space="preserve"> REF _Ref412105976 \h </w:instrText>
      </w:r>
      <w:r>
        <w:fldChar w:fldCharType="separate"/>
      </w:r>
      <w:r w:rsidR="00BB0E3E" w:rsidRPr="001950BC">
        <w:t xml:space="preserve">Table </w:t>
      </w:r>
      <w:r w:rsidR="00BB0E3E">
        <w:rPr>
          <w:noProof/>
        </w:rPr>
        <w:t>45</w:t>
      </w:r>
      <w:r>
        <w:fldChar w:fldCharType="end"/>
      </w:r>
      <w:r>
        <w:t>)</w:t>
      </w:r>
      <w:r w:rsidR="00143DEB">
        <w:t>,</w:t>
      </w:r>
      <w:r>
        <w:t xml:space="preserve"> </w:t>
      </w:r>
      <w:r w:rsidR="00143DEB">
        <w:t xml:space="preserve">and 1 of these </w:t>
      </w:r>
      <w:r w:rsidR="00A87A34">
        <w:t>included both pregnant women with FEB and a 1:4 risk.</w:t>
      </w:r>
    </w:p>
    <w:p w14:paraId="7B3D4B4C" w14:textId="7D4B9655" w:rsidR="00A87A34" w:rsidRDefault="00A87A34" w:rsidP="00B45FA8">
      <w:pPr>
        <w:pStyle w:val="Heading4"/>
      </w:pPr>
      <w:r w:rsidRPr="00A62465">
        <w:t>B.</w:t>
      </w:r>
      <w:r w:rsidR="0033422A">
        <w:t>2</w:t>
      </w:r>
      <w:r w:rsidRPr="00A62465">
        <w:t>.2.</w:t>
      </w:r>
      <w:r w:rsidR="0033422A">
        <w:t>3</w:t>
      </w:r>
      <w:r w:rsidR="00BA5B10">
        <w:tab/>
      </w:r>
      <w:r>
        <w:t>Impact of change in management</w:t>
      </w:r>
    </w:p>
    <w:p w14:paraId="797E9852" w14:textId="3AFB7302" w:rsidR="008E31D1" w:rsidRDefault="008E31D1" w:rsidP="008E31D1">
      <w:r>
        <w:t xml:space="preserve">No studies were identified on parental psychological health after TOP due to a CF-affected fetus compared </w:t>
      </w:r>
      <w:r w:rsidR="00076932">
        <w:t xml:space="preserve">with </w:t>
      </w:r>
      <w:r>
        <w:t>no TOP and raising a child with CF. Therefore</w:t>
      </w:r>
      <w:r w:rsidR="00076932">
        <w:t>,</w:t>
      </w:r>
      <w:r>
        <w:t xml:space="preserve"> an additional broader (non-systematic) search was conducted in PubMed on parental psychological outcomes after the diagnosis of fetal anomalies (non-comparative). </w:t>
      </w:r>
      <w:r w:rsidR="00C4211E">
        <w:t xml:space="preserve">The evidence </w:t>
      </w:r>
      <w:r w:rsidR="00076932">
        <w:t xml:space="preserve">is </w:t>
      </w:r>
      <w:r>
        <w:t>narratively discussed</w:t>
      </w:r>
      <w:r w:rsidR="00917AC2">
        <w:t xml:space="preserve"> in section B.</w:t>
      </w:r>
      <w:r w:rsidR="00C4211E">
        <w:t>8.1</w:t>
      </w:r>
      <w:r>
        <w:t xml:space="preserve"> and </w:t>
      </w:r>
      <w:r w:rsidR="00076932">
        <w:t xml:space="preserve">provided </w:t>
      </w:r>
      <w:r>
        <w:t xml:space="preserve">in </w:t>
      </w:r>
      <w:r w:rsidR="00917AC2">
        <w:fldChar w:fldCharType="begin"/>
      </w:r>
      <w:r w:rsidR="00917AC2">
        <w:instrText xml:space="preserve"> REF _Ref412106201 \h </w:instrText>
      </w:r>
      <w:r w:rsidR="00917AC2">
        <w:fldChar w:fldCharType="separate"/>
      </w:r>
      <w:r w:rsidR="00BB0E3E" w:rsidRPr="001A4A46">
        <w:t xml:space="preserve">Appendix </w:t>
      </w:r>
      <w:r w:rsidR="00BB0E3E">
        <w:rPr>
          <w:noProof/>
        </w:rPr>
        <w:t>E</w:t>
      </w:r>
      <w:r w:rsidR="00917AC2">
        <w:fldChar w:fldCharType="end"/>
      </w:r>
      <w:r w:rsidR="00D97347">
        <w:t xml:space="preserve"> </w:t>
      </w:r>
      <w:r w:rsidR="00677AF5">
        <w:fldChar w:fldCharType="begin">
          <w:fldData xml:space="preserve">PEVuZE5vdGU+PENpdGU+PEF1dGhvcj5Xb29sPC9BdXRob3I+PFllYXI+MjAxMTwvWWVhcj48UmVj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</w:fldData>
        </w:fldChar>
      </w:r>
      <w:r w:rsidR="009A054F">
        <w:instrText xml:space="preserve"> ADDIN EN.CITE </w:instrText>
      </w:r>
      <w:r w:rsidR="009A054F">
        <w:fldChar w:fldCharType="begin">
          <w:fldData xml:space="preserve">PEVuZE5vdGU+PENpdGU+PEF1dGhvcj5Xb29sPC9BdXRob3I+PFllYXI+MjAxMTwvWWVhcj48UmVj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</w:fldData>
        </w:fldChar>
      </w:r>
      <w:r w:rsidR="009A054F">
        <w:instrText xml:space="preserve"> ADDIN EN.CITE.DATA </w:instrText>
      </w:r>
      <w:r w:rsidR="009A054F">
        <w:fldChar w:fldCharType="end"/>
      </w:r>
      <w:r w:rsidR="00677AF5">
        <w:fldChar w:fldCharType="separate"/>
      </w:r>
      <w:r w:rsidR="00677AF5">
        <w:rPr>
          <w:noProof/>
        </w:rPr>
        <w:t>(</w:t>
      </w:r>
      <w:hyperlink w:anchor="_ENREF_134" w:tooltip="Wool, 2011 #1095" w:history="1">
        <w:r w:rsidR="00B46ABF">
          <w:rPr>
            <w:noProof/>
          </w:rPr>
          <w:t>Wool 2011</w:t>
        </w:r>
      </w:hyperlink>
      <w:r w:rsidR="00677AF5">
        <w:rPr>
          <w:noProof/>
        </w:rPr>
        <w:t>)</w:t>
      </w:r>
      <w:r w:rsidR="00677AF5">
        <w:fldChar w:fldCharType="end"/>
      </w:r>
      <w:r>
        <w:t>, to show the consequences of change in management (</w:t>
      </w:r>
      <w:r w:rsidR="00076932">
        <w:t xml:space="preserve">i.e. </w:t>
      </w:r>
      <w:r>
        <w:t xml:space="preserve">TOP) in affected pregnancies. </w:t>
      </w:r>
    </w:p>
    <w:p w14:paraId="08A6696B" w14:textId="467477AF" w:rsidR="000D328F" w:rsidRPr="00183E4D" w:rsidRDefault="00AF6DFD" w:rsidP="00B45FA8">
      <w:pPr>
        <w:pStyle w:val="Heading3"/>
      </w:pPr>
      <w:bookmarkStart w:id="211" w:name="_Toc418179897"/>
      <w:r>
        <w:t>B.2.3.</w:t>
      </w:r>
      <w:r w:rsidR="00BA5B10">
        <w:tab/>
      </w:r>
      <w:r w:rsidR="000D328F" w:rsidRPr="00183E4D">
        <w:t>Appraisal of the evidence</w:t>
      </w:r>
      <w:bookmarkEnd w:id="210"/>
      <w:bookmarkEnd w:id="211"/>
    </w:p>
    <w:p w14:paraId="7326E970" w14:textId="7FA23145" w:rsidR="00E13681" w:rsidRDefault="000D328F" w:rsidP="000C5D58">
      <w:r w:rsidRPr="00183E4D">
        <w:t xml:space="preserve">Appraisal of the evidence was conducted in </w:t>
      </w:r>
      <w:r w:rsidR="00076932">
        <w:t>three</w:t>
      </w:r>
      <w:r w:rsidR="00076932" w:rsidRPr="00183E4D">
        <w:t xml:space="preserve"> </w:t>
      </w:r>
      <w:r w:rsidRPr="00183E4D">
        <w:t>stages</w:t>
      </w:r>
      <w:r w:rsidR="00861306">
        <w:t xml:space="preserve"> </w:t>
      </w:r>
      <w:r w:rsidR="00E13681">
        <w:t>(</w:t>
      </w:r>
      <w:r w:rsidR="00E13681">
        <w:fldChar w:fldCharType="begin"/>
      </w:r>
      <w:r w:rsidR="00E13681">
        <w:instrText xml:space="preserve"> REF _Ref153260602 \h </w:instrText>
      </w:r>
      <w:r w:rsidR="000C5D58">
        <w:instrText xml:space="preserve"> \* MERGEFORMAT </w:instrText>
      </w:r>
      <w:r w:rsidR="00E13681">
        <w:fldChar w:fldCharType="separate"/>
      </w:r>
      <w:r w:rsidR="00BB0E3E" w:rsidRPr="003462F6">
        <w:t xml:space="preserve">Table </w:t>
      </w:r>
      <w:r w:rsidR="00BB0E3E">
        <w:t>19</w:t>
      </w:r>
      <w:r w:rsidR="00E13681">
        <w:fldChar w:fldCharType="end"/>
      </w:r>
      <w:r w:rsidR="00E13681">
        <w:t>)</w:t>
      </w:r>
      <w:r w:rsidR="00076932">
        <w:t>:</w:t>
      </w:r>
    </w:p>
    <w:p w14:paraId="36D6570A" w14:textId="07C0A2BE" w:rsidR="000D328F" w:rsidRPr="00183E4D" w:rsidRDefault="000D328F" w:rsidP="001A75CA">
      <w:pPr>
        <w:spacing w:after="120"/>
      </w:pPr>
      <w:r w:rsidRPr="00183E4D">
        <w:t>Stage 1: Appraisal of the applicability and quality of individual studies (or systematic reviews) included in the review (strength of the evidence) (</w:t>
      </w:r>
      <w:r w:rsidR="00900A31">
        <w:t>see s</w:t>
      </w:r>
      <w:r w:rsidRPr="00183E4D">
        <w:t>ection B.3</w:t>
      </w:r>
      <w:r w:rsidR="00E13681">
        <w:t xml:space="preserve">, </w:t>
      </w:r>
      <w:r w:rsidR="00E13681">
        <w:fldChar w:fldCharType="begin"/>
      </w:r>
      <w:r w:rsidR="00E13681">
        <w:instrText xml:space="preserve"> REF _Ref206478826 \h </w:instrText>
      </w:r>
      <w:r w:rsidR="00E13681">
        <w:fldChar w:fldCharType="separate"/>
      </w:r>
      <w:r w:rsidR="00BB0E3E" w:rsidRPr="005613FD">
        <w:t xml:space="preserve">Table </w:t>
      </w:r>
      <w:r w:rsidR="00BB0E3E">
        <w:rPr>
          <w:noProof/>
        </w:rPr>
        <w:t>20</w:t>
      </w:r>
      <w:r w:rsidR="00E13681">
        <w:fldChar w:fldCharType="end"/>
      </w:r>
      <w:r w:rsidRPr="00183E4D">
        <w:t>)</w:t>
      </w:r>
      <w:r w:rsidR="00900A31">
        <w:t>.</w:t>
      </w:r>
    </w:p>
    <w:p w14:paraId="57D5DD18" w14:textId="6B72CEE1" w:rsidR="000D328F" w:rsidRPr="00183E4D" w:rsidRDefault="000D328F" w:rsidP="001A75CA">
      <w:pPr>
        <w:spacing w:after="120"/>
      </w:pPr>
      <w:r w:rsidRPr="00183E4D">
        <w:t>Stage 2: Appraisal of the precision, size of effect and clinical importance of the results reported in the evidence</w:t>
      </w:r>
      <w:r w:rsidR="00076932">
        <w:t>-</w:t>
      </w:r>
      <w:r w:rsidRPr="00183E4D">
        <w:t>base as they relate to the pre-specified primary outcomes for this assessment (</w:t>
      </w:r>
      <w:r w:rsidR="00900A31">
        <w:t>see s</w:t>
      </w:r>
      <w:r w:rsidRPr="00183E4D">
        <w:t>ection B.5)</w:t>
      </w:r>
      <w:r w:rsidR="00900A31">
        <w:t>.</w:t>
      </w:r>
      <w:r w:rsidRPr="00183E4D">
        <w:t xml:space="preserve"> </w:t>
      </w:r>
    </w:p>
    <w:p w14:paraId="428FBFFB" w14:textId="4712848C" w:rsidR="000D328F" w:rsidRDefault="000D328F" w:rsidP="001A75CA">
      <w:pPr>
        <w:spacing w:after="120"/>
      </w:pPr>
      <w:r w:rsidRPr="00183E4D">
        <w:t xml:space="preserve">Stage 3: Integration of this evidence for conclusions about the net clinical benefit of the </w:t>
      </w:r>
      <w:r w:rsidR="0071212A">
        <w:t>test and associated interventions</w:t>
      </w:r>
      <w:r w:rsidRPr="00183E4D">
        <w:t xml:space="preserve"> in the context of Australian clinical practice </w:t>
      </w:r>
      <w:r w:rsidR="000B688F" w:rsidRPr="00183E4D">
        <w:t>(</w:t>
      </w:r>
      <w:r w:rsidR="00900A31">
        <w:t>see s</w:t>
      </w:r>
      <w:r w:rsidR="000B688F" w:rsidRPr="00183E4D">
        <w:t>ections B.6</w:t>
      </w:r>
      <w:r w:rsidR="00900A31">
        <w:t>–</w:t>
      </w:r>
      <w:r w:rsidR="000B688F" w:rsidRPr="00183E4D">
        <w:t>8)</w:t>
      </w:r>
      <w:r w:rsidR="00900A31">
        <w:t>.</w:t>
      </w:r>
    </w:p>
    <w:p w14:paraId="1FC4C6FE" w14:textId="77777777" w:rsidR="00861306" w:rsidRPr="003462F6" w:rsidRDefault="00861306" w:rsidP="00861306">
      <w:pPr>
        <w:pStyle w:val="TableName"/>
        <w:ind w:left="0" w:firstLine="0"/>
      </w:pPr>
      <w:bookmarkStart w:id="212" w:name="_Ref153260602"/>
      <w:bookmarkStart w:id="213" w:name="_Toc402338817"/>
      <w:bookmarkStart w:id="214" w:name="_Toc418179416"/>
      <w:bookmarkStart w:id="215" w:name="_Ref124754165"/>
      <w:r w:rsidRPr="003462F6">
        <w:t xml:space="preserve">Table </w:t>
      </w:r>
      <w:fldSimple w:instr=" SEQ Table \* ARABIC ">
        <w:r w:rsidR="00BB0E3E">
          <w:rPr>
            <w:noProof/>
          </w:rPr>
          <w:t>19</w:t>
        </w:r>
      </w:fldSimple>
      <w:bookmarkEnd w:id="212"/>
      <w:r w:rsidRPr="003462F6">
        <w:tab/>
        <w:t>Dimensions of evidence</w:t>
      </w:r>
      <w:bookmarkEnd w:id="213"/>
      <w:bookmarkEnd w:id="214"/>
    </w:p>
    <w:tbl>
      <w:tblPr>
        <w:tblStyle w:val="TableGrid1"/>
        <w:tblW w:w="9072" w:type="dxa"/>
        <w:tblLayout w:type="fixed"/>
        <w:tblLook w:val="0000" w:firstRow="0" w:lastRow="0" w:firstColumn="0" w:lastColumn="0" w:noHBand="0" w:noVBand="0"/>
        <w:tblCaption w:val="Dimensions of evidence"/>
        <w:tblDescription w:val="Dimensions of evidence"/>
      </w:tblPr>
      <w:tblGrid>
        <w:gridCol w:w="2127"/>
        <w:gridCol w:w="6945"/>
      </w:tblGrid>
      <w:tr w:rsidR="00861306" w:rsidRPr="003462F6" w14:paraId="74949A36" w14:textId="77777777" w:rsidTr="0042252D">
        <w:trPr>
          <w:tblHeader/>
        </w:trPr>
        <w:tc>
          <w:tcPr>
            <w:tcW w:w="2127" w:type="dxa"/>
          </w:tcPr>
          <w:bookmarkEnd w:id="215"/>
          <w:p w14:paraId="5B12CAB3" w14:textId="77777777" w:rsidR="00861306" w:rsidRPr="003462F6" w:rsidRDefault="00861306" w:rsidP="001A75CA">
            <w:pPr>
              <w:pStyle w:val="TableHeading"/>
              <w:jc w:val="left"/>
            </w:pPr>
            <w:r w:rsidRPr="003462F6">
              <w:t>Type of evidence</w:t>
            </w:r>
          </w:p>
        </w:tc>
        <w:tc>
          <w:tcPr>
            <w:tcW w:w="6945" w:type="dxa"/>
          </w:tcPr>
          <w:p w14:paraId="7AF7195A" w14:textId="77777777" w:rsidR="00861306" w:rsidRPr="003462F6" w:rsidRDefault="00861306" w:rsidP="001A75CA">
            <w:pPr>
              <w:pStyle w:val="TableHeading"/>
              <w:jc w:val="left"/>
            </w:pPr>
            <w:r w:rsidRPr="003462F6">
              <w:t>Definition</w:t>
            </w:r>
          </w:p>
        </w:tc>
      </w:tr>
      <w:tr w:rsidR="00861306" w:rsidRPr="0096012E" w14:paraId="11D4454E" w14:textId="77777777" w:rsidTr="004245A0">
        <w:tc>
          <w:tcPr>
            <w:tcW w:w="2127" w:type="dxa"/>
          </w:tcPr>
          <w:p w14:paraId="03ED0806" w14:textId="40F9C645" w:rsidR="00861306" w:rsidRPr="001A75CA" w:rsidRDefault="00861306" w:rsidP="001A75CA">
            <w:pPr>
              <w:pStyle w:val="TableText"/>
              <w:jc w:val="left"/>
              <w:rPr>
                <w:sz w:val="20"/>
                <w:szCs w:val="20"/>
              </w:rPr>
            </w:pPr>
            <w:r w:rsidRPr="001A75CA">
              <w:rPr>
                <w:sz w:val="20"/>
                <w:szCs w:val="20"/>
              </w:rPr>
              <w:t>Strength of the evidence</w:t>
            </w:r>
            <w:r w:rsidR="00CC5AD7" w:rsidRPr="001A75CA">
              <w:rPr>
                <w:sz w:val="20"/>
                <w:szCs w:val="20"/>
              </w:rPr>
              <w:t>:</w:t>
            </w:r>
          </w:p>
          <w:p w14:paraId="035135F9" w14:textId="719984AE" w:rsidR="005D02B0" w:rsidRPr="001A75CA" w:rsidRDefault="00861306" w:rsidP="001A75CA">
            <w:pPr>
              <w:pStyle w:val="TableText"/>
              <w:jc w:val="left"/>
              <w:rPr>
                <w:sz w:val="20"/>
                <w:szCs w:val="20"/>
              </w:rPr>
            </w:pPr>
            <w:r w:rsidRPr="001A75CA">
              <w:rPr>
                <w:sz w:val="20"/>
                <w:szCs w:val="20"/>
              </w:rPr>
              <w:tab/>
              <w:t>Level</w:t>
            </w:r>
          </w:p>
          <w:p w14:paraId="64EB5927" w14:textId="77777777" w:rsidR="000B21FF" w:rsidRDefault="000B21FF" w:rsidP="001A75CA">
            <w:pPr>
              <w:pStyle w:val="TableText"/>
              <w:jc w:val="left"/>
              <w:rPr>
                <w:sz w:val="20"/>
                <w:szCs w:val="20"/>
              </w:rPr>
            </w:pPr>
          </w:p>
          <w:p w14:paraId="02483F41" w14:textId="038BCCAC" w:rsidR="00861306" w:rsidRPr="001A75CA" w:rsidRDefault="005D02B0" w:rsidP="001A75CA">
            <w:pPr>
              <w:pStyle w:val="TableText"/>
              <w:jc w:val="left"/>
              <w:rPr>
                <w:sz w:val="20"/>
                <w:szCs w:val="20"/>
              </w:rPr>
            </w:pPr>
            <w:r w:rsidRPr="001A75CA">
              <w:rPr>
                <w:sz w:val="20"/>
                <w:szCs w:val="20"/>
              </w:rPr>
              <w:tab/>
            </w:r>
            <w:r w:rsidR="00861306" w:rsidRPr="001A75CA">
              <w:rPr>
                <w:sz w:val="20"/>
                <w:szCs w:val="20"/>
              </w:rPr>
              <w:t>Quality</w:t>
            </w:r>
          </w:p>
          <w:p w14:paraId="28AF61BA" w14:textId="77777777" w:rsidR="00861306" w:rsidRPr="001A75CA" w:rsidRDefault="00861306" w:rsidP="001A75CA">
            <w:pPr>
              <w:pStyle w:val="TableText"/>
              <w:jc w:val="left"/>
              <w:rPr>
                <w:sz w:val="20"/>
                <w:szCs w:val="20"/>
              </w:rPr>
            </w:pPr>
            <w:r w:rsidRPr="001A75CA">
              <w:rPr>
                <w:sz w:val="20"/>
                <w:szCs w:val="20"/>
              </w:rPr>
              <w:tab/>
              <w:t xml:space="preserve">Statistical </w:t>
            </w:r>
            <w:r w:rsidRPr="001A75CA">
              <w:rPr>
                <w:sz w:val="20"/>
                <w:szCs w:val="20"/>
              </w:rPr>
              <w:tab/>
              <w:t>precision</w:t>
            </w:r>
          </w:p>
        </w:tc>
        <w:tc>
          <w:tcPr>
            <w:tcW w:w="6945" w:type="dxa"/>
          </w:tcPr>
          <w:p w14:paraId="6B44F07D" w14:textId="77777777" w:rsidR="00861306" w:rsidRPr="001A75CA" w:rsidRDefault="00861306" w:rsidP="001A75CA">
            <w:pPr>
              <w:pStyle w:val="TableText"/>
              <w:jc w:val="left"/>
              <w:rPr>
                <w:sz w:val="20"/>
                <w:szCs w:val="20"/>
              </w:rPr>
            </w:pPr>
          </w:p>
          <w:p w14:paraId="4ECAED09" w14:textId="45406BBE" w:rsidR="00861306" w:rsidRPr="001A75CA" w:rsidRDefault="00861306" w:rsidP="001A75CA">
            <w:pPr>
              <w:pStyle w:val="TableText"/>
              <w:jc w:val="left"/>
              <w:rPr>
                <w:sz w:val="20"/>
                <w:szCs w:val="20"/>
              </w:rPr>
            </w:pPr>
            <w:r w:rsidRPr="001A75CA">
              <w:rPr>
                <w:sz w:val="20"/>
                <w:szCs w:val="20"/>
              </w:rPr>
              <w:t>The study design used, as an indicator of the degree to which bias has been eliminated by design</w:t>
            </w:r>
            <w:r w:rsidR="008025D2" w:rsidRPr="001A75CA">
              <w:rPr>
                <w:sz w:val="20"/>
                <w:szCs w:val="20"/>
              </w:rPr>
              <w:t xml:space="preserve"> </w:t>
            </w:r>
            <w:r w:rsidR="00972BED" w:rsidRPr="001A75CA">
              <w:rPr>
                <w:sz w:val="20"/>
                <w:szCs w:val="20"/>
                <w:vertAlign w:val="superscript"/>
              </w:rPr>
              <w:t>a</w:t>
            </w:r>
          </w:p>
          <w:p w14:paraId="59F45566" w14:textId="53723695" w:rsidR="00861306" w:rsidRPr="001A75CA" w:rsidRDefault="00861306" w:rsidP="001A75CA">
            <w:pPr>
              <w:pStyle w:val="TableText"/>
              <w:jc w:val="left"/>
              <w:rPr>
                <w:sz w:val="20"/>
                <w:szCs w:val="20"/>
              </w:rPr>
            </w:pPr>
            <w:r w:rsidRPr="001A75CA">
              <w:rPr>
                <w:sz w:val="20"/>
                <w:szCs w:val="20"/>
              </w:rPr>
              <w:t>The methods used by investigators to minimise bias within a study design</w:t>
            </w:r>
          </w:p>
          <w:p w14:paraId="0D7D0FD0" w14:textId="5FA4D4CF" w:rsidR="00861306" w:rsidRPr="001A75CA" w:rsidRDefault="00861306" w:rsidP="001A75CA">
            <w:pPr>
              <w:pStyle w:val="TableText"/>
              <w:jc w:val="left"/>
              <w:rPr>
                <w:sz w:val="20"/>
                <w:szCs w:val="20"/>
              </w:rPr>
            </w:pPr>
            <w:r w:rsidRPr="001A75CA">
              <w:rPr>
                <w:sz w:val="20"/>
                <w:szCs w:val="20"/>
              </w:rPr>
              <w:t>The p-value or, alternatively, the precision of the estimate of the effect. It reflects the degree of certainty about the existence of a true effect</w:t>
            </w:r>
          </w:p>
        </w:tc>
      </w:tr>
      <w:tr w:rsidR="00861306" w:rsidRPr="0096012E" w14:paraId="74FB6352" w14:textId="77777777" w:rsidTr="004245A0">
        <w:tc>
          <w:tcPr>
            <w:tcW w:w="2127" w:type="dxa"/>
          </w:tcPr>
          <w:p w14:paraId="1773714B" w14:textId="77777777" w:rsidR="00861306" w:rsidRPr="001A75CA" w:rsidRDefault="00861306" w:rsidP="001A75CA">
            <w:pPr>
              <w:pStyle w:val="TableText"/>
              <w:jc w:val="left"/>
              <w:rPr>
                <w:sz w:val="20"/>
                <w:szCs w:val="20"/>
              </w:rPr>
            </w:pPr>
            <w:r w:rsidRPr="001A75CA">
              <w:rPr>
                <w:sz w:val="20"/>
                <w:szCs w:val="20"/>
              </w:rPr>
              <w:t>Size of effect</w:t>
            </w:r>
          </w:p>
        </w:tc>
        <w:tc>
          <w:tcPr>
            <w:tcW w:w="6945" w:type="dxa"/>
          </w:tcPr>
          <w:p w14:paraId="42CE0750" w14:textId="3653EF5F" w:rsidR="00861306" w:rsidRPr="001A75CA" w:rsidRDefault="00861306" w:rsidP="001A75CA">
            <w:pPr>
              <w:pStyle w:val="TableText"/>
              <w:jc w:val="left"/>
              <w:rPr>
                <w:sz w:val="20"/>
                <w:szCs w:val="20"/>
              </w:rPr>
            </w:pPr>
            <w:r w:rsidRPr="001A75CA">
              <w:rPr>
                <w:sz w:val="20"/>
                <w:szCs w:val="20"/>
              </w:rPr>
              <w:t xml:space="preserve">The distance of the study estimate from the </w:t>
            </w:r>
            <w:r w:rsidR="008025D2" w:rsidRPr="001A75CA">
              <w:rPr>
                <w:sz w:val="20"/>
                <w:szCs w:val="20"/>
              </w:rPr>
              <w:t>‘</w:t>
            </w:r>
            <w:r w:rsidRPr="001A75CA">
              <w:rPr>
                <w:sz w:val="20"/>
                <w:szCs w:val="20"/>
              </w:rPr>
              <w:t>null</w:t>
            </w:r>
            <w:r w:rsidR="008025D2" w:rsidRPr="001A75CA">
              <w:rPr>
                <w:sz w:val="20"/>
                <w:szCs w:val="20"/>
              </w:rPr>
              <w:t>’</w:t>
            </w:r>
            <w:r w:rsidRPr="001A75CA">
              <w:rPr>
                <w:sz w:val="20"/>
                <w:szCs w:val="20"/>
              </w:rPr>
              <w:t xml:space="preserve"> value and the inclusion of only clinically important effects in the confidence interval</w:t>
            </w:r>
          </w:p>
        </w:tc>
      </w:tr>
      <w:tr w:rsidR="00861306" w:rsidRPr="0096012E" w14:paraId="47A470E9" w14:textId="77777777" w:rsidTr="004245A0">
        <w:tc>
          <w:tcPr>
            <w:tcW w:w="2127" w:type="dxa"/>
          </w:tcPr>
          <w:p w14:paraId="6B1E4A21" w14:textId="77777777" w:rsidR="00861306" w:rsidRPr="001A75CA" w:rsidRDefault="00861306" w:rsidP="001A75CA">
            <w:pPr>
              <w:pStyle w:val="TableText"/>
              <w:jc w:val="left"/>
              <w:rPr>
                <w:sz w:val="20"/>
                <w:szCs w:val="20"/>
              </w:rPr>
            </w:pPr>
            <w:r w:rsidRPr="001A75CA">
              <w:rPr>
                <w:sz w:val="20"/>
                <w:szCs w:val="20"/>
              </w:rPr>
              <w:t>Relevance of evidence</w:t>
            </w:r>
          </w:p>
        </w:tc>
        <w:tc>
          <w:tcPr>
            <w:tcW w:w="6945" w:type="dxa"/>
          </w:tcPr>
          <w:p w14:paraId="040ED23F" w14:textId="4D12E1B5" w:rsidR="00861306" w:rsidRPr="001A75CA" w:rsidRDefault="00861306" w:rsidP="001A75CA">
            <w:pPr>
              <w:pStyle w:val="TableText"/>
              <w:jc w:val="left"/>
              <w:rPr>
                <w:sz w:val="20"/>
                <w:szCs w:val="20"/>
              </w:rPr>
            </w:pPr>
            <w:r w:rsidRPr="001A75CA">
              <w:rPr>
                <w:sz w:val="20"/>
                <w:szCs w:val="20"/>
              </w:rPr>
              <w:t>The usefulness of the evidence in clinical practice, particularly the appropriateness of the outcome measures used</w:t>
            </w:r>
          </w:p>
        </w:tc>
      </w:tr>
    </w:tbl>
    <w:p w14:paraId="0A8C7310" w14:textId="4CD23789" w:rsidR="00861306" w:rsidRPr="001A75CA" w:rsidRDefault="00972BED" w:rsidP="00861306">
      <w:pPr>
        <w:pStyle w:val="TableNotes"/>
        <w:ind w:left="0"/>
        <w:rPr>
          <w:sz w:val="18"/>
          <w:szCs w:val="18"/>
        </w:rPr>
      </w:pPr>
      <w:r w:rsidRPr="001A75CA">
        <w:rPr>
          <w:sz w:val="18"/>
          <w:szCs w:val="18"/>
          <w:vertAlign w:val="superscript"/>
        </w:rPr>
        <w:t>a</w:t>
      </w:r>
      <w:r w:rsidR="00C14C36" w:rsidRPr="001A75CA">
        <w:rPr>
          <w:sz w:val="18"/>
          <w:szCs w:val="18"/>
          <w:vertAlign w:val="superscript"/>
        </w:rPr>
        <w:t xml:space="preserve"> </w:t>
      </w:r>
      <w:r w:rsidR="00861306" w:rsidRPr="001A75CA">
        <w:rPr>
          <w:sz w:val="18"/>
          <w:szCs w:val="18"/>
        </w:rPr>
        <w:t>See Table 2</w:t>
      </w:r>
      <w:r w:rsidR="00C14C36" w:rsidRPr="001A75CA">
        <w:rPr>
          <w:sz w:val="18"/>
          <w:szCs w:val="18"/>
        </w:rPr>
        <w:t>0</w:t>
      </w:r>
      <w:r w:rsidR="00861306" w:rsidRPr="001A75CA">
        <w:rPr>
          <w:sz w:val="18"/>
          <w:szCs w:val="18"/>
        </w:rPr>
        <w:t xml:space="preserve"> (</w:t>
      </w:r>
      <w:r w:rsidRPr="001A75CA">
        <w:rPr>
          <w:sz w:val="18"/>
          <w:szCs w:val="18"/>
        </w:rPr>
        <w:t>de</w:t>
      </w:r>
      <w:r w:rsidR="00861306" w:rsidRPr="001A75CA">
        <w:rPr>
          <w:sz w:val="18"/>
          <w:szCs w:val="18"/>
        </w:rPr>
        <w:t>signations of levels of evidence according to type of research question)</w:t>
      </w:r>
    </w:p>
    <w:p w14:paraId="4926ED2D" w14:textId="37A96CDE" w:rsidR="00861306" w:rsidRPr="005613FD" w:rsidRDefault="00861306" w:rsidP="00FD4717">
      <w:pPr>
        <w:pStyle w:val="TableName"/>
        <w:ind w:left="1134" w:hanging="1134"/>
      </w:pPr>
      <w:bookmarkStart w:id="216" w:name="_Ref206478826"/>
      <w:bookmarkStart w:id="217" w:name="_Toc381969867"/>
      <w:bookmarkStart w:id="218" w:name="_Toc402338818"/>
      <w:bookmarkStart w:id="219" w:name="_Toc418179417"/>
      <w:r w:rsidRPr="005613FD">
        <w:t xml:space="preserve">Table </w:t>
      </w:r>
      <w:fldSimple w:instr=" SEQ Table \* ARABIC ">
        <w:r w:rsidR="00BB0E3E">
          <w:rPr>
            <w:noProof/>
          </w:rPr>
          <w:t>20</w:t>
        </w:r>
      </w:fldSimple>
      <w:bookmarkEnd w:id="216"/>
      <w:r>
        <w:t xml:space="preserve"> </w:t>
      </w:r>
      <w:r w:rsidR="00332C77">
        <w:tab/>
      </w:r>
      <w:r w:rsidRPr="005613FD">
        <w:t xml:space="preserve">Designations of levels of evidence according to type of research question </w:t>
      </w:r>
      <w:bookmarkEnd w:id="217"/>
      <w:bookmarkEnd w:id="218"/>
      <w:bookmarkEnd w:id="219"/>
    </w:p>
    <w:tbl>
      <w:tblPr>
        <w:tblStyle w:val="TableGrid1"/>
        <w:tblW w:w="9018" w:type="dxa"/>
        <w:tblLayout w:type="fixed"/>
        <w:tblLook w:val="0000" w:firstRow="0" w:lastRow="0" w:firstColumn="0" w:lastColumn="0" w:noHBand="0" w:noVBand="0"/>
        <w:tblCaption w:val="Designations of levels of evidence according to type of research question "/>
        <w:tblDescription w:val="Designations of levels of evidence according to type of research question "/>
      </w:tblPr>
      <w:tblGrid>
        <w:gridCol w:w="801"/>
        <w:gridCol w:w="3748"/>
        <w:gridCol w:w="4469"/>
      </w:tblGrid>
      <w:tr w:rsidR="00861306" w:rsidRPr="00AF6B60" w14:paraId="0FA2C474" w14:textId="77777777" w:rsidTr="0042252D">
        <w:trPr>
          <w:trHeight w:val="477"/>
          <w:tblHeader/>
        </w:trPr>
        <w:tc>
          <w:tcPr>
            <w:tcW w:w="801" w:type="dxa"/>
          </w:tcPr>
          <w:p w14:paraId="7565B24F" w14:textId="77777777" w:rsidR="00861306" w:rsidRPr="00AF6B60" w:rsidRDefault="00861306" w:rsidP="0087722B">
            <w:pPr>
              <w:pStyle w:val="Tabletext1"/>
              <w:rPr>
                <w:b/>
              </w:rPr>
            </w:pPr>
            <w:r w:rsidRPr="00AF6B60">
              <w:rPr>
                <w:b/>
              </w:rPr>
              <w:t>Level</w:t>
            </w:r>
          </w:p>
        </w:tc>
        <w:tc>
          <w:tcPr>
            <w:tcW w:w="3748" w:type="dxa"/>
          </w:tcPr>
          <w:p w14:paraId="59766E2B" w14:textId="79C26247" w:rsidR="00861306" w:rsidRPr="00AF6B60" w:rsidRDefault="00861306" w:rsidP="001A75CA">
            <w:pPr>
              <w:pStyle w:val="Tabletext1"/>
              <w:ind w:right="246"/>
              <w:jc w:val="left"/>
              <w:rPr>
                <w:b/>
              </w:rPr>
            </w:pPr>
            <w:r w:rsidRPr="00AF6B60">
              <w:rPr>
                <w:b/>
              </w:rPr>
              <w:t>Intervention</w:t>
            </w:r>
            <w:r w:rsidR="00F52281">
              <w:rPr>
                <w:b/>
              </w:rPr>
              <w:t xml:space="preserve"> </w:t>
            </w:r>
            <w:r w:rsidR="005770B5">
              <w:rPr>
                <w:b/>
                <w:vertAlign w:val="superscript"/>
              </w:rPr>
              <w:t>a</w:t>
            </w:r>
          </w:p>
        </w:tc>
        <w:tc>
          <w:tcPr>
            <w:tcW w:w="4469" w:type="dxa"/>
          </w:tcPr>
          <w:p w14:paraId="2F6D4FFF" w14:textId="314131A2" w:rsidR="00861306" w:rsidRPr="00AF6B60" w:rsidRDefault="00861306" w:rsidP="001A75CA">
            <w:pPr>
              <w:pStyle w:val="Tabletext1"/>
              <w:ind w:right="141"/>
              <w:jc w:val="left"/>
              <w:rPr>
                <w:b/>
              </w:rPr>
            </w:pPr>
            <w:r w:rsidRPr="00AF6B60">
              <w:rPr>
                <w:b/>
              </w:rPr>
              <w:t>Diagno</w:t>
            </w:r>
            <w:r>
              <w:rPr>
                <w:b/>
              </w:rPr>
              <w:t>stic accuracy</w:t>
            </w:r>
            <w:r w:rsidR="00F52281">
              <w:rPr>
                <w:b/>
              </w:rPr>
              <w:t xml:space="preserve"> </w:t>
            </w:r>
            <w:r w:rsidR="005770B5">
              <w:rPr>
                <w:b/>
                <w:vertAlign w:val="superscript"/>
              </w:rPr>
              <w:t>b</w:t>
            </w:r>
          </w:p>
        </w:tc>
      </w:tr>
      <w:tr w:rsidR="00861306" w:rsidRPr="004B5D5B" w14:paraId="3F42BE84" w14:textId="77777777" w:rsidTr="009B1AA7">
        <w:trPr>
          <w:trHeight w:val="543"/>
        </w:trPr>
        <w:tc>
          <w:tcPr>
            <w:tcW w:w="801" w:type="dxa"/>
          </w:tcPr>
          <w:p w14:paraId="72574F4F" w14:textId="2D19E6A6" w:rsidR="00861306" w:rsidRPr="00AF6B60" w:rsidRDefault="00861306" w:rsidP="0087722B">
            <w:pPr>
              <w:pStyle w:val="Tabletext1"/>
            </w:pPr>
            <w:r>
              <w:t>I</w:t>
            </w:r>
            <w:r w:rsidR="00C14C36">
              <w:t xml:space="preserve"> </w:t>
            </w:r>
            <w:r w:rsidR="005770B5">
              <w:rPr>
                <w:vertAlign w:val="superscript"/>
              </w:rPr>
              <w:t>c</w:t>
            </w:r>
          </w:p>
        </w:tc>
        <w:tc>
          <w:tcPr>
            <w:tcW w:w="3748" w:type="dxa"/>
          </w:tcPr>
          <w:p w14:paraId="1A8A7A3E" w14:textId="77777777" w:rsidR="00861306" w:rsidRPr="00AF6B60" w:rsidRDefault="00861306" w:rsidP="001A75CA">
            <w:pPr>
              <w:pStyle w:val="Tabletext1"/>
              <w:ind w:right="246"/>
              <w:jc w:val="left"/>
            </w:pPr>
            <w:r w:rsidRPr="00AF6B60">
              <w:t>A systematic review of level II</w:t>
            </w:r>
            <w:r>
              <w:t xml:space="preserve"> </w:t>
            </w:r>
            <w:r w:rsidRPr="00AF6B60">
              <w:t>studies</w:t>
            </w:r>
          </w:p>
        </w:tc>
        <w:tc>
          <w:tcPr>
            <w:tcW w:w="4469" w:type="dxa"/>
          </w:tcPr>
          <w:p w14:paraId="534CAAD6" w14:textId="55B23D21" w:rsidR="00861306" w:rsidRPr="00AF6B60" w:rsidRDefault="00861306" w:rsidP="001A75CA">
            <w:pPr>
              <w:pStyle w:val="Tabletext1"/>
              <w:ind w:right="141"/>
              <w:jc w:val="left"/>
            </w:pPr>
            <w:r w:rsidRPr="00AF6B60">
              <w:t>A systematic review of level</w:t>
            </w:r>
            <w:r w:rsidR="00C14C36">
              <w:t xml:space="preserve"> </w:t>
            </w:r>
            <w:r w:rsidRPr="00AF6B60">
              <w:t>II studies</w:t>
            </w:r>
          </w:p>
        </w:tc>
      </w:tr>
      <w:tr w:rsidR="00861306" w:rsidRPr="004B5D5B" w14:paraId="68BBF99B" w14:textId="77777777" w:rsidTr="009B1AA7">
        <w:trPr>
          <w:trHeight w:val="710"/>
        </w:trPr>
        <w:tc>
          <w:tcPr>
            <w:tcW w:w="801" w:type="dxa"/>
          </w:tcPr>
          <w:p w14:paraId="7E93A192" w14:textId="77777777" w:rsidR="00861306" w:rsidRPr="00AF6B60" w:rsidRDefault="00861306" w:rsidP="0087722B">
            <w:pPr>
              <w:pStyle w:val="Tabletext1"/>
            </w:pPr>
            <w:r w:rsidRPr="00AF6B60">
              <w:lastRenderedPageBreak/>
              <w:t>II</w:t>
            </w:r>
          </w:p>
        </w:tc>
        <w:tc>
          <w:tcPr>
            <w:tcW w:w="3748" w:type="dxa"/>
          </w:tcPr>
          <w:p w14:paraId="00AA5328" w14:textId="77777777" w:rsidR="00861306" w:rsidRPr="00AF6B60" w:rsidRDefault="00861306" w:rsidP="001A75CA">
            <w:pPr>
              <w:pStyle w:val="Tabletext1"/>
              <w:ind w:right="246"/>
              <w:jc w:val="left"/>
            </w:pPr>
            <w:r w:rsidRPr="00AF6B60">
              <w:t>A randomised controlled trial</w:t>
            </w:r>
          </w:p>
        </w:tc>
        <w:tc>
          <w:tcPr>
            <w:tcW w:w="4469" w:type="dxa"/>
          </w:tcPr>
          <w:p w14:paraId="2144D56A" w14:textId="783EB4FE" w:rsidR="00861306" w:rsidRPr="00AF6B60" w:rsidRDefault="00861306" w:rsidP="001A75CA">
            <w:pPr>
              <w:pStyle w:val="Tabletext1"/>
              <w:ind w:right="141"/>
              <w:jc w:val="left"/>
            </w:pPr>
            <w:r w:rsidRPr="00AF6B60">
              <w:t>A study of test accuracy with: an independent, blinded comparison with a valid reference standard</w:t>
            </w:r>
            <w:r w:rsidR="00F52281">
              <w:t xml:space="preserve"> </w:t>
            </w:r>
            <w:r w:rsidR="005770B5" w:rsidRPr="001A75CA">
              <w:rPr>
                <w:vertAlign w:val="superscript"/>
              </w:rPr>
              <w:t>d</w:t>
            </w:r>
            <w:r w:rsidRPr="00AF6B60">
              <w:t>, among consecutive persons with a defined clinical presentation</w:t>
            </w:r>
            <w:r w:rsidR="00F52281">
              <w:t xml:space="preserve"> </w:t>
            </w:r>
            <w:r w:rsidR="005770B5">
              <w:rPr>
                <w:vertAlign w:val="superscript"/>
              </w:rPr>
              <w:t>e</w:t>
            </w:r>
          </w:p>
        </w:tc>
      </w:tr>
      <w:tr w:rsidR="00861306" w:rsidRPr="004B5D5B" w14:paraId="591B1D45" w14:textId="77777777" w:rsidTr="009B1AA7">
        <w:trPr>
          <w:trHeight w:val="710"/>
        </w:trPr>
        <w:tc>
          <w:tcPr>
            <w:tcW w:w="801" w:type="dxa"/>
          </w:tcPr>
          <w:p w14:paraId="0E639A32" w14:textId="77777777" w:rsidR="00861306" w:rsidRPr="00AF6B60" w:rsidRDefault="00861306" w:rsidP="0087722B">
            <w:pPr>
              <w:pStyle w:val="Tabletext1"/>
            </w:pPr>
            <w:r w:rsidRPr="00AF6B60">
              <w:t>III-1</w:t>
            </w:r>
          </w:p>
        </w:tc>
        <w:tc>
          <w:tcPr>
            <w:tcW w:w="3748" w:type="dxa"/>
          </w:tcPr>
          <w:p w14:paraId="1E1F3B18" w14:textId="77777777" w:rsidR="00861306" w:rsidRPr="00AF6B60" w:rsidRDefault="00861306" w:rsidP="001A75CA">
            <w:pPr>
              <w:pStyle w:val="Tabletext1"/>
              <w:ind w:right="246"/>
              <w:jc w:val="left"/>
            </w:pPr>
            <w:r w:rsidRPr="00AF6B60">
              <w:t>A pseudo</w:t>
            </w:r>
            <w:r>
              <w:t>-</w:t>
            </w:r>
            <w:r w:rsidRPr="00AF6B60">
              <w:t>randomised controlled trial</w:t>
            </w:r>
          </w:p>
          <w:p w14:paraId="2F2AD3C6" w14:textId="77777777" w:rsidR="00861306" w:rsidRPr="00AF6B60" w:rsidRDefault="00861306" w:rsidP="001A75CA">
            <w:pPr>
              <w:pStyle w:val="Tabletext1"/>
              <w:ind w:right="246"/>
              <w:jc w:val="left"/>
            </w:pPr>
            <w:r w:rsidRPr="00AF6B60">
              <w:t>(i.e. alternate allocation or some other method)</w:t>
            </w:r>
          </w:p>
        </w:tc>
        <w:tc>
          <w:tcPr>
            <w:tcW w:w="4469" w:type="dxa"/>
          </w:tcPr>
          <w:p w14:paraId="190B146B" w14:textId="12AC6CBE" w:rsidR="00861306" w:rsidRPr="00AF6B60" w:rsidRDefault="00861306" w:rsidP="001A75CA">
            <w:pPr>
              <w:pStyle w:val="Tabletext1"/>
              <w:ind w:right="141"/>
              <w:jc w:val="left"/>
            </w:pPr>
            <w:r w:rsidRPr="00AF6B60">
              <w:t>A study of test accuracy with: an independent, blinded comparison with a valid reference standard</w:t>
            </w:r>
            <w:r w:rsidR="00F52281">
              <w:t xml:space="preserve"> </w:t>
            </w:r>
            <w:r w:rsidR="005770B5" w:rsidRPr="001A75CA">
              <w:rPr>
                <w:vertAlign w:val="superscript"/>
              </w:rPr>
              <w:t>d</w:t>
            </w:r>
            <w:r w:rsidRPr="00AF6B60">
              <w:t>,</w:t>
            </w:r>
            <w:r w:rsidRPr="00552F12">
              <w:rPr>
                <w:vertAlign w:val="superscript"/>
              </w:rPr>
              <w:t xml:space="preserve"> </w:t>
            </w:r>
            <w:r w:rsidRPr="00AF6B60">
              <w:t>among non-consecutive persons with a defined clinical presentation</w:t>
            </w:r>
            <w:r w:rsidR="001070CF">
              <w:t xml:space="preserve"> </w:t>
            </w:r>
            <w:r w:rsidR="005770B5">
              <w:rPr>
                <w:vertAlign w:val="superscript"/>
              </w:rPr>
              <w:t>e</w:t>
            </w:r>
          </w:p>
        </w:tc>
      </w:tr>
      <w:tr w:rsidR="00861306" w:rsidRPr="004B5D5B" w14:paraId="79A5BEE3" w14:textId="77777777" w:rsidTr="009B1AA7">
        <w:trPr>
          <w:trHeight w:val="1280"/>
        </w:trPr>
        <w:tc>
          <w:tcPr>
            <w:tcW w:w="801" w:type="dxa"/>
          </w:tcPr>
          <w:p w14:paraId="003EB617" w14:textId="77777777" w:rsidR="00861306" w:rsidRPr="00AF6B60" w:rsidRDefault="00861306" w:rsidP="0087722B">
            <w:pPr>
              <w:pStyle w:val="Tabletext1"/>
            </w:pPr>
            <w:r w:rsidRPr="00AF6B60">
              <w:t>III-2</w:t>
            </w:r>
          </w:p>
        </w:tc>
        <w:tc>
          <w:tcPr>
            <w:tcW w:w="3748" w:type="dxa"/>
          </w:tcPr>
          <w:p w14:paraId="00DC318E" w14:textId="77777777" w:rsidR="00861306" w:rsidRPr="00AF6B60" w:rsidRDefault="00861306" w:rsidP="001A75CA">
            <w:pPr>
              <w:pStyle w:val="Tabletext1"/>
              <w:ind w:right="246"/>
              <w:jc w:val="left"/>
            </w:pPr>
            <w:r w:rsidRPr="00AF6B60">
              <w:t>A comparative study with concurrent controls:</w:t>
            </w:r>
          </w:p>
          <w:p w14:paraId="1A65B39C" w14:textId="4E9F8806" w:rsidR="00861306" w:rsidRPr="00AF6B60" w:rsidRDefault="001070CF" w:rsidP="001A75CA">
            <w:pPr>
              <w:pStyle w:val="Tabletext1"/>
              <w:numPr>
                <w:ilvl w:val="0"/>
                <w:numId w:val="58"/>
              </w:numPr>
              <w:ind w:left="295" w:right="246" w:hanging="283"/>
              <w:jc w:val="left"/>
            </w:pPr>
            <w:r>
              <w:t>n</w:t>
            </w:r>
            <w:r w:rsidR="00861306" w:rsidRPr="00AF6B60">
              <w:t>on-randomised, experimental trial</w:t>
            </w:r>
            <w:r w:rsidR="00F52281">
              <w:t xml:space="preserve"> </w:t>
            </w:r>
            <w:r w:rsidR="005770B5">
              <w:rPr>
                <w:vertAlign w:val="superscript"/>
              </w:rPr>
              <w:t>f</w:t>
            </w:r>
          </w:p>
          <w:p w14:paraId="4AA8312A" w14:textId="021AF579" w:rsidR="00861306" w:rsidRPr="00AF6B60" w:rsidRDefault="001070CF" w:rsidP="001A75CA">
            <w:pPr>
              <w:pStyle w:val="Tabletext1"/>
              <w:numPr>
                <w:ilvl w:val="0"/>
                <w:numId w:val="58"/>
              </w:numPr>
              <w:ind w:left="295" w:right="246" w:hanging="283"/>
              <w:jc w:val="left"/>
            </w:pPr>
            <w:r>
              <w:t>c</w:t>
            </w:r>
            <w:r w:rsidR="00861306" w:rsidRPr="00AF6B60">
              <w:t>ohort study</w:t>
            </w:r>
          </w:p>
          <w:p w14:paraId="3172EDFA" w14:textId="5EF7D4A8" w:rsidR="00861306" w:rsidRPr="00AF6B60" w:rsidRDefault="001070CF" w:rsidP="001A75CA">
            <w:pPr>
              <w:pStyle w:val="Tabletext1"/>
              <w:numPr>
                <w:ilvl w:val="0"/>
                <w:numId w:val="58"/>
              </w:numPr>
              <w:ind w:left="295" w:right="246" w:hanging="283"/>
              <w:jc w:val="left"/>
            </w:pPr>
            <w:r>
              <w:t>c</w:t>
            </w:r>
            <w:r w:rsidR="00861306" w:rsidRPr="00AF6B60">
              <w:t>ase-control study</w:t>
            </w:r>
          </w:p>
          <w:p w14:paraId="212061DE" w14:textId="5326A5B9" w:rsidR="00861306" w:rsidRPr="00AF6B60" w:rsidRDefault="001070CF" w:rsidP="001A75CA">
            <w:pPr>
              <w:pStyle w:val="Tabletext1"/>
              <w:numPr>
                <w:ilvl w:val="0"/>
                <w:numId w:val="58"/>
              </w:numPr>
              <w:ind w:left="295" w:right="246" w:hanging="283"/>
              <w:jc w:val="left"/>
            </w:pPr>
            <w:r>
              <w:t>i</w:t>
            </w:r>
            <w:r w:rsidR="00861306" w:rsidRPr="00AF6B60">
              <w:t>nterrupted time series with a control group</w:t>
            </w:r>
          </w:p>
        </w:tc>
        <w:tc>
          <w:tcPr>
            <w:tcW w:w="4469" w:type="dxa"/>
          </w:tcPr>
          <w:p w14:paraId="1BC542F0" w14:textId="6C3F2116" w:rsidR="00861306" w:rsidRPr="00AF6B60" w:rsidRDefault="00861306" w:rsidP="001A75CA">
            <w:pPr>
              <w:pStyle w:val="Tabletext1"/>
              <w:ind w:right="141"/>
              <w:jc w:val="left"/>
            </w:pPr>
            <w:r w:rsidRPr="00AF6B60">
              <w:t>A comparison with reference standard that does not meet the criteria required for</w:t>
            </w:r>
            <w:r w:rsidR="001070CF">
              <w:t xml:space="preserve"> l</w:t>
            </w:r>
            <w:r w:rsidRPr="00AF6B60">
              <w:t>evel</w:t>
            </w:r>
            <w:r w:rsidR="001070CF">
              <w:t>s</w:t>
            </w:r>
            <w:r w:rsidRPr="00AF6B60">
              <w:t xml:space="preserve"> II and III-1 evidence</w:t>
            </w:r>
          </w:p>
        </w:tc>
      </w:tr>
      <w:tr w:rsidR="00861306" w:rsidRPr="004B5D5B" w14:paraId="20C59071" w14:textId="77777777" w:rsidTr="009B1AA7">
        <w:trPr>
          <w:trHeight w:val="1030"/>
        </w:trPr>
        <w:tc>
          <w:tcPr>
            <w:tcW w:w="801" w:type="dxa"/>
          </w:tcPr>
          <w:p w14:paraId="6698F22A" w14:textId="77777777" w:rsidR="00861306" w:rsidRPr="00AF6B60" w:rsidRDefault="00861306" w:rsidP="0087722B">
            <w:pPr>
              <w:pStyle w:val="Tabletext1"/>
            </w:pPr>
            <w:r w:rsidRPr="00AF6B60">
              <w:t>III-3</w:t>
            </w:r>
          </w:p>
        </w:tc>
        <w:tc>
          <w:tcPr>
            <w:tcW w:w="3748" w:type="dxa"/>
          </w:tcPr>
          <w:p w14:paraId="148F1E16" w14:textId="77777777" w:rsidR="00861306" w:rsidRPr="00AF6B60" w:rsidRDefault="00861306" w:rsidP="001A75CA">
            <w:pPr>
              <w:pStyle w:val="Tabletext1"/>
              <w:ind w:right="246"/>
              <w:jc w:val="left"/>
            </w:pPr>
            <w:r w:rsidRPr="00AF6B60">
              <w:t>A comparative study without concurrent controls:</w:t>
            </w:r>
          </w:p>
          <w:p w14:paraId="5181E9E3" w14:textId="12BA3A66" w:rsidR="00861306" w:rsidRPr="00AF6B60" w:rsidRDefault="001070CF" w:rsidP="001A75CA">
            <w:pPr>
              <w:pStyle w:val="Tabletext1"/>
              <w:numPr>
                <w:ilvl w:val="0"/>
                <w:numId w:val="59"/>
              </w:numPr>
              <w:ind w:left="295" w:right="246" w:hanging="283"/>
              <w:jc w:val="left"/>
            </w:pPr>
            <w:r>
              <w:t>h</w:t>
            </w:r>
            <w:r w:rsidR="00861306" w:rsidRPr="00AF6B60">
              <w:t>istorical control study</w:t>
            </w:r>
          </w:p>
          <w:p w14:paraId="7FF696A2" w14:textId="2C2D8790" w:rsidR="00861306" w:rsidRPr="00AF6B60" w:rsidRDefault="001070CF" w:rsidP="001A75CA">
            <w:pPr>
              <w:pStyle w:val="Tabletext1"/>
              <w:numPr>
                <w:ilvl w:val="0"/>
                <w:numId w:val="59"/>
              </w:numPr>
              <w:ind w:left="295" w:right="246" w:hanging="283"/>
              <w:jc w:val="left"/>
            </w:pPr>
            <w:r>
              <w:t>t</w:t>
            </w:r>
            <w:r w:rsidR="00861306" w:rsidRPr="00AF6B60">
              <w:t>wo or more single</w:t>
            </w:r>
            <w:r w:rsidR="0080406B">
              <w:t>-</w:t>
            </w:r>
            <w:r w:rsidR="00861306" w:rsidRPr="00AF6B60">
              <w:t>arm stud</w:t>
            </w:r>
            <w:r w:rsidR="0080406B">
              <w:t>ies</w:t>
            </w:r>
            <w:r w:rsidR="00F52281">
              <w:t xml:space="preserve"> </w:t>
            </w:r>
            <w:r w:rsidR="005770B5">
              <w:rPr>
                <w:vertAlign w:val="superscript"/>
              </w:rPr>
              <w:t>g</w:t>
            </w:r>
          </w:p>
          <w:p w14:paraId="31FDB7A5" w14:textId="078FB9DB" w:rsidR="00861306" w:rsidRPr="00AF6B60" w:rsidRDefault="001070CF" w:rsidP="001A75CA">
            <w:pPr>
              <w:pStyle w:val="Tabletext1"/>
              <w:numPr>
                <w:ilvl w:val="0"/>
                <w:numId w:val="59"/>
              </w:numPr>
              <w:ind w:left="295" w:right="246" w:hanging="283"/>
              <w:jc w:val="left"/>
            </w:pPr>
            <w:r>
              <w:t>i</w:t>
            </w:r>
            <w:r w:rsidR="00861306" w:rsidRPr="00AF6B60">
              <w:t>nterrupted time series without a parallel control group</w:t>
            </w:r>
          </w:p>
        </w:tc>
        <w:tc>
          <w:tcPr>
            <w:tcW w:w="4469" w:type="dxa"/>
          </w:tcPr>
          <w:p w14:paraId="6D7AF2E8" w14:textId="2FD9AA73" w:rsidR="00861306" w:rsidRPr="00AF6B60" w:rsidRDefault="00861306" w:rsidP="001A75CA">
            <w:pPr>
              <w:pStyle w:val="Tabletext1"/>
              <w:ind w:right="141"/>
              <w:jc w:val="left"/>
            </w:pPr>
            <w:r w:rsidRPr="00AF6B60">
              <w:t>Diagnostic case-control study</w:t>
            </w:r>
            <w:r w:rsidR="00F52281">
              <w:t xml:space="preserve"> </w:t>
            </w:r>
            <w:r w:rsidR="005770B5">
              <w:rPr>
                <w:vertAlign w:val="superscript"/>
              </w:rPr>
              <w:t>e</w:t>
            </w:r>
          </w:p>
        </w:tc>
      </w:tr>
      <w:tr w:rsidR="00861306" w:rsidRPr="004B5D5B" w14:paraId="3D12EB5F" w14:textId="77777777" w:rsidTr="009B1AA7">
        <w:trPr>
          <w:trHeight w:val="278"/>
        </w:trPr>
        <w:tc>
          <w:tcPr>
            <w:tcW w:w="801" w:type="dxa"/>
          </w:tcPr>
          <w:p w14:paraId="5642F0BA" w14:textId="77777777" w:rsidR="00861306" w:rsidRPr="00AF6B60" w:rsidRDefault="00861306" w:rsidP="0087722B">
            <w:pPr>
              <w:pStyle w:val="Tabletext1"/>
            </w:pPr>
            <w:r w:rsidRPr="00AF6B60">
              <w:t>IV</w:t>
            </w:r>
          </w:p>
        </w:tc>
        <w:tc>
          <w:tcPr>
            <w:tcW w:w="3748" w:type="dxa"/>
          </w:tcPr>
          <w:p w14:paraId="6119F9D1" w14:textId="77777777" w:rsidR="00861306" w:rsidRPr="00AF6B60" w:rsidRDefault="00861306" w:rsidP="001A75CA">
            <w:pPr>
              <w:pStyle w:val="Tabletext1"/>
              <w:ind w:right="246"/>
              <w:jc w:val="left"/>
            </w:pPr>
            <w:r w:rsidRPr="00AF6B60">
              <w:t>Case series with either post-test or pre-test/post-test outcomes</w:t>
            </w:r>
          </w:p>
        </w:tc>
        <w:tc>
          <w:tcPr>
            <w:tcW w:w="4469" w:type="dxa"/>
          </w:tcPr>
          <w:p w14:paraId="3C91B67F" w14:textId="4C6CD7D7" w:rsidR="00861306" w:rsidRPr="00AF6B60" w:rsidRDefault="00861306" w:rsidP="001A75CA">
            <w:pPr>
              <w:pStyle w:val="Tabletext1"/>
              <w:ind w:right="141"/>
              <w:jc w:val="left"/>
            </w:pPr>
            <w:r w:rsidRPr="00AF6B60">
              <w:t>Study of diagnostic yield (no reference standard)</w:t>
            </w:r>
            <w:r w:rsidR="00F52281">
              <w:t xml:space="preserve"> </w:t>
            </w:r>
            <w:r w:rsidR="005770B5">
              <w:rPr>
                <w:vertAlign w:val="superscript"/>
              </w:rPr>
              <w:t>h</w:t>
            </w:r>
          </w:p>
        </w:tc>
      </w:tr>
    </w:tbl>
    <w:p w14:paraId="19DC6F0F" w14:textId="7F857406" w:rsidR="00B77A2D" w:rsidRPr="001A75CA" w:rsidRDefault="00C508C1" w:rsidP="00B77A2D">
      <w:pPr>
        <w:pStyle w:val="Caption"/>
        <w:keepNext w:val="0"/>
        <w:tabs>
          <w:tab w:val="left" w:pos="284"/>
        </w:tabs>
        <w:rPr>
          <w:b w:val="0"/>
          <w:sz w:val="18"/>
          <w:szCs w:val="18"/>
          <w:u w:val="single"/>
        </w:rPr>
      </w:pPr>
      <w:r w:rsidRPr="001A75CA">
        <w:rPr>
          <w:b w:val="0"/>
          <w:sz w:val="18"/>
          <w:szCs w:val="18"/>
        </w:rPr>
        <w:t xml:space="preserve">Source: </w:t>
      </w:r>
      <w:r w:rsidRPr="001A75CA">
        <w:rPr>
          <w:b w:val="0"/>
          <w:sz w:val="18"/>
          <w:szCs w:val="18"/>
        </w:rPr>
        <w:fldChar w:fldCharType="begin"/>
      </w:r>
      <w:r w:rsidRPr="001A75CA">
        <w:rPr>
          <w:b w:val="0"/>
          <w:sz w:val="18"/>
          <w:szCs w:val="18"/>
        </w:rPr>
        <w:instrText xml:space="preserve"> ADDIN EN.CITE &lt;EndNote&gt;&lt;Cite&gt;&lt;Author&gt;Merlin&lt;/Author&gt;&lt;Year&gt;2009&lt;/Year&gt;&lt;RecNum&gt;23&lt;/RecNum&gt;&lt;DisplayText&gt;(Merlin, Weston &amp;amp; Tooher 2009)&lt;/DisplayText&gt;&lt;record&gt;&lt;rec-number&gt;23&lt;/rec-number&gt;&lt;foreign-keys&gt;&lt;key app="EN" db-id="s205ztsw6v99t1ee2r6vpat820d0x9tefftv"&gt;23&lt;/key&gt;&lt;/foreign-keys&gt;&lt;ref-type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related-urls&gt;&lt;/urls&gt;&lt;electronic-resource-num&gt;1471-2288-9-34 [pii]&amp;#xD;10.1186/1471-2288-9-34&lt;/electronic-resource-num&gt;&lt;language&gt;eng&lt;/language&gt;&lt;/record&gt;&lt;/Cite&gt;&lt;/EndNote&gt;</w:instrText>
      </w:r>
      <w:r w:rsidRPr="001A75CA">
        <w:rPr>
          <w:b w:val="0"/>
          <w:sz w:val="18"/>
          <w:szCs w:val="18"/>
        </w:rPr>
        <w:fldChar w:fldCharType="separate"/>
      </w:r>
      <w:hyperlink w:anchor="_ENREF_77" w:tooltip="Merlin, 2009 #23" w:history="1">
        <w:r w:rsidRPr="001A75CA">
          <w:rPr>
            <w:b w:val="0"/>
            <w:noProof/>
            <w:sz w:val="18"/>
            <w:szCs w:val="18"/>
          </w:rPr>
          <w:t>Merlin, Weston &amp; Tooher (2009</w:t>
        </w:r>
      </w:hyperlink>
      <w:r w:rsidRPr="001A75CA">
        <w:rPr>
          <w:b w:val="0"/>
          <w:noProof/>
          <w:sz w:val="18"/>
          <w:szCs w:val="18"/>
        </w:rPr>
        <w:t>)</w:t>
      </w:r>
      <w:r w:rsidRPr="001A75CA">
        <w:rPr>
          <w:b w:val="0"/>
          <w:sz w:val="18"/>
          <w:szCs w:val="18"/>
        </w:rPr>
        <w:fldChar w:fldCharType="end"/>
      </w:r>
    </w:p>
    <w:p w14:paraId="389D5A3B" w14:textId="4B91F04B" w:rsidR="00861306" w:rsidRPr="001A75CA" w:rsidRDefault="00861306" w:rsidP="00B77A2D">
      <w:pPr>
        <w:pStyle w:val="Caption"/>
        <w:keepNext w:val="0"/>
        <w:tabs>
          <w:tab w:val="left" w:pos="284"/>
        </w:tabs>
        <w:rPr>
          <w:b w:val="0"/>
          <w:sz w:val="18"/>
          <w:szCs w:val="18"/>
        </w:rPr>
      </w:pPr>
      <w:r w:rsidRPr="001A75CA">
        <w:rPr>
          <w:b w:val="0"/>
          <w:sz w:val="18"/>
          <w:szCs w:val="18"/>
        </w:rPr>
        <w:t>Explanatory notes</w:t>
      </w:r>
      <w:r w:rsidR="006B7D54">
        <w:rPr>
          <w:b w:val="0"/>
          <w:sz w:val="18"/>
          <w:szCs w:val="18"/>
        </w:rPr>
        <w:t>:</w:t>
      </w:r>
    </w:p>
    <w:p w14:paraId="079B63BA" w14:textId="111142DF"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a</w:t>
      </w:r>
      <w:r w:rsidR="00DF5916" w:rsidRPr="001A75CA">
        <w:rPr>
          <w:b w:val="0"/>
          <w:sz w:val="18"/>
          <w:szCs w:val="18"/>
        </w:rPr>
        <w:t xml:space="preserve"> </w:t>
      </w:r>
      <w:r w:rsidR="00861306" w:rsidRPr="001A75CA">
        <w:rPr>
          <w:b w:val="0"/>
          <w:sz w:val="18"/>
          <w:szCs w:val="18"/>
        </w:rPr>
        <w:tab/>
        <w:t xml:space="preserve">Definitions of these study designs are provided </w:t>
      </w:r>
      <w:r w:rsidR="00AE0A24" w:rsidRPr="001A75CA">
        <w:rPr>
          <w:b w:val="0"/>
          <w:sz w:val="18"/>
          <w:szCs w:val="18"/>
        </w:rPr>
        <w:t>i</w:t>
      </w:r>
      <w:r w:rsidR="00861306" w:rsidRPr="001A75CA">
        <w:rPr>
          <w:b w:val="0"/>
          <w:sz w:val="18"/>
          <w:szCs w:val="18"/>
        </w:rPr>
        <w:t xml:space="preserve">n </w:t>
      </w:r>
      <w:r w:rsidR="00861306" w:rsidRPr="001A75CA">
        <w:rPr>
          <w:b w:val="0"/>
          <w:sz w:val="18"/>
          <w:szCs w:val="18"/>
        </w:rPr>
        <w:fldChar w:fldCharType="begin"/>
      </w:r>
      <w:r w:rsidR="00861306" w:rsidRPr="001A75CA">
        <w:rPr>
          <w:b w:val="0"/>
          <w:sz w:val="18"/>
          <w:szCs w:val="18"/>
        </w:rPr>
        <w:instrText xml:space="preserve"> ADDIN EN.CITE &lt;EndNote&gt;&lt;Cite&gt;&lt;Author&gt;NHMRC&lt;/Author&gt;&lt;Year&gt;2000&lt;/Year&gt;&lt;RecNum&gt;13&lt;/RecNum&gt;&lt;DisplayText&gt;(NHMRC 2000)&lt;/DisplayText&gt;&lt;record&gt;&lt;rec-number&gt;13&lt;/rec-number&gt;&lt;foreign-keys&gt;&lt;key app="EN" db-id="s205ztsw6v99t1ee2r6vpat820d0x9tefftv"&gt;13&lt;/key&gt;&lt;/foreign-keys&gt;&lt;ref-type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861306" w:rsidRPr="001A75CA">
        <w:rPr>
          <w:b w:val="0"/>
          <w:sz w:val="18"/>
          <w:szCs w:val="18"/>
        </w:rPr>
        <w:fldChar w:fldCharType="separate"/>
      </w:r>
      <w:hyperlink w:anchor="_ENREF_89" w:tooltip="NHMRC, 2000 #13" w:history="1">
        <w:r w:rsidR="00B46ABF" w:rsidRPr="001A75CA">
          <w:rPr>
            <w:b w:val="0"/>
            <w:noProof/>
            <w:sz w:val="18"/>
            <w:szCs w:val="18"/>
          </w:rPr>
          <w:t xml:space="preserve">NHMRC </w:t>
        </w:r>
        <w:r w:rsidR="00AE0A24" w:rsidRPr="001A75CA">
          <w:rPr>
            <w:b w:val="0"/>
            <w:noProof/>
            <w:sz w:val="18"/>
            <w:szCs w:val="18"/>
          </w:rPr>
          <w:t>(</w:t>
        </w:r>
        <w:r w:rsidR="00B46ABF" w:rsidRPr="001A75CA">
          <w:rPr>
            <w:b w:val="0"/>
            <w:noProof/>
            <w:sz w:val="18"/>
            <w:szCs w:val="18"/>
          </w:rPr>
          <w:t>2000</w:t>
        </w:r>
      </w:hyperlink>
      <w:r w:rsidR="00AE0A24" w:rsidRPr="001A75CA">
        <w:rPr>
          <w:b w:val="0"/>
          <w:noProof/>
          <w:sz w:val="18"/>
          <w:szCs w:val="18"/>
        </w:rPr>
        <w:t>; pp. 7–8</w:t>
      </w:r>
      <w:r w:rsidR="00861306" w:rsidRPr="001A75CA">
        <w:rPr>
          <w:b w:val="0"/>
          <w:noProof/>
          <w:sz w:val="18"/>
          <w:szCs w:val="18"/>
        </w:rPr>
        <w:t>)</w:t>
      </w:r>
      <w:r w:rsidR="00861306" w:rsidRPr="001A75CA">
        <w:rPr>
          <w:b w:val="0"/>
          <w:sz w:val="18"/>
          <w:szCs w:val="18"/>
        </w:rPr>
        <w:fldChar w:fldCharType="end"/>
      </w:r>
      <w:r w:rsidR="00861306" w:rsidRPr="001A75CA">
        <w:rPr>
          <w:b w:val="0"/>
          <w:sz w:val="18"/>
          <w:szCs w:val="18"/>
        </w:rPr>
        <w:t xml:space="preserve"> and in the accompanying Glossary.</w:t>
      </w:r>
    </w:p>
    <w:p w14:paraId="6F4D8553" w14:textId="61C8B215"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b</w:t>
      </w:r>
      <w:r w:rsidR="00DF5916" w:rsidRPr="001A75CA">
        <w:rPr>
          <w:b w:val="0"/>
          <w:sz w:val="18"/>
          <w:szCs w:val="18"/>
        </w:rPr>
        <w:t xml:space="preserve"> </w:t>
      </w:r>
      <w:r w:rsidR="00861306" w:rsidRPr="001A75CA">
        <w:rPr>
          <w:b w:val="0"/>
          <w:sz w:val="18"/>
          <w:szCs w:val="18"/>
        </w:rPr>
        <w:tab/>
        <w:t xml:space="preserve">These levels of evidence apply only to studies assessing the accuracy of diagnostic or screening tests. To assess the overall effectiveness of a diagnostic test there also needs to be a consideration of the impact of the test on patient management and health outcomes </w:t>
      </w:r>
      <w:r w:rsidR="00861306" w:rsidRPr="001A75CA">
        <w:rPr>
          <w:b w:val="0"/>
          <w:sz w:val="18"/>
          <w:szCs w:val="18"/>
        </w:rPr>
        <w:fldChar w:fldCharType="begin"/>
      </w:r>
      <w:r w:rsidR="00861306" w:rsidRPr="001A75CA">
        <w:rPr>
          <w:b w:val="0"/>
          <w:sz w:val="18"/>
          <w:szCs w:val="18"/>
        </w:rPr>
        <w:instrText xml:space="preserve"> ADDIN EN.CITE &lt;EndNote&gt;&lt;Cite&gt;&lt;Author&gt;MSAC&lt;/Author&gt;&lt;Year&gt;2005&lt;/Year&gt;&lt;RecNum&gt;21&lt;/RecNum&gt;&lt;DisplayText&gt;(MSAC 2005; Sackett &amp;amp; Haynes 2002)&lt;/DisplayText&gt;&lt;record&gt;&lt;rec-number&gt;21&lt;/rec-number&gt;&lt;foreign-keys&gt;&lt;key app="EN" db-id="s205ztsw6v99t1ee2r6vpat820d0x9tefftv"&gt;21&lt;/key&gt;&lt;/foreign-keys&gt;&lt;ref-type name="Report"&gt;27&lt;/ref-type&gt;&lt;contributors&gt;&lt;authors&gt;&lt;author&gt;MSAC&lt;/author&gt;&lt;/authors&gt;&lt;/contributors&gt;&lt;titles&gt;&lt;title&gt;Guidelines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ACT&lt;/pub-location&gt;&lt;publisher&gt;Commonwealth of Australia&lt;/publisher&gt;&lt;urls&gt;&lt;/urls&gt;&lt;/record&gt;&lt;/Cite&gt;&lt;Cite&gt;&lt;Author&gt;Sackett&lt;/Author&gt;&lt;Year&gt;2002&lt;/Year&gt;&lt;RecNum&gt;45&lt;/RecNum&gt;&lt;record&gt;&lt;rec-number&gt;45&lt;/rec-number&gt;&lt;foreign-keys&gt;&lt;key app="EN" db-id="s205ztsw6v99t1ee2r6vpat820d0x9tefftv"&gt;45&lt;/key&gt;&lt;/foreign-keys&gt;&lt;ref-type name="Journal Article"&gt;17&lt;/ref-type&gt;&lt;contributors&gt;&lt;authors&gt;&lt;author&gt;Sackett, D.L.&lt;/author&gt;&lt;author&gt;Haynes, R.B.&lt;/author&gt;&lt;/authors&gt;&lt;/contributors&gt;&lt;titles&gt;&lt;title&gt;The architecture of diagnostic research&lt;/title&gt;&lt;secondary-title&gt;British Medical Journal&lt;/secondary-title&gt;&lt;/titles&gt;&lt;periodical&gt;&lt;full-title&gt;British Medical Journal&lt;/full-title&gt;&lt;abbr-1&gt;BMJ&lt;/abbr-1&gt;&lt;/periodical&gt;&lt;pages&gt;539-541&lt;/pages&gt;&lt;volume&gt;324&lt;/volume&gt;&lt;dates&gt;&lt;year&gt;2002&lt;/year&gt;&lt;/dates&gt;&lt;urls&gt;&lt;/urls&gt;&lt;/record&gt;&lt;/Cite&gt;&lt;/EndNote&gt;</w:instrText>
      </w:r>
      <w:r w:rsidR="00861306" w:rsidRPr="001A75CA">
        <w:rPr>
          <w:b w:val="0"/>
          <w:sz w:val="18"/>
          <w:szCs w:val="18"/>
        </w:rPr>
        <w:fldChar w:fldCharType="separate"/>
      </w:r>
      <w:r w:rsidR="00861306" w:rsidRPr="001A75CA">
        <w:rPr>
          <w:b w:val="0"/>
          <w:noProof/>
          <w:sz w:val="18"/>
          <w:szCs w:val="18"/>
        </w:rPr>
        <w:t>(</w:t>
      </w:r>
      <w:hyperlink w:anchor="_ENREF_82" w:tooltip="MSAC, 2005 #21" w:history="1">
        <w:r w:rsidR="00B46ABF" w:rsidRPr="001A75CA">
          <w:rPr>
            <w:b w:val="0"/>
            <w:noProof/>
            <w:sz w:val="18"/>
            <w:szCs w:val="18"/>
          </w:rPr>
          <w:t>MSAC 2005</w:t>
        </w:r>
      </w:hyperlink>
      <w:r w:rsidR="00861306" w:rsidRPr="001A75CA">
        <w:rPr>
          <w:b w:val="0"/>
          <w:noProof/>
          <w:sz w:val="18"/>
          <w:szCs w:val="18"/>
        </w:rPr>
        <w:t xml:space="preserve">; </w:t>
      </w:r>
      <w:hyperlink w:anchor="_ENREF_105" w:tooltip="Sackett, 2002 #45" w:history="1">
        <w:r w:rsidR="00B46ABF" w:rsidRPr="001A75CA">
          <w:rPr>
            <w:b w:val="0"/>
            <w:noProof/>
            <w:sz w:val="18"/>
            <w:szCs w:val="18"/>
          </w:rPr>
          <w:t>Sackett &amp; Haynes 2002</w:t>
        </w:r>
      </w:hyperlink>
      <w:r w:rsidR="00861306" w:rsidRPr="001A75CA">
        <w:rPr>
          <w:b w:val="0"/>
          <w:noProof/>
          <w:sz w:val="18"/>
          <w:szCs w:val="18"/>
        </w:rPr>
        <w:t>)</w:t>
      </w:r>
      <w:r w:rsidR="00861306" w:rsidRPr="001A75CA">
        <w:rPr>
          <w:b w:val="0"/>
          <w:sz w:val="18"/>
          <w:szCs w:val="18"/>
        </w:rPr>
        <w:fldChar w:fldCharType="end"/>
      </w:r>
      <w:r w:rsidR="00861306" w:rsidRPr="001A75CA">
        <w:rPr>
          <w:b w:val="0"/>
          <w:sz w:val="18"/>
          <w:szCs w:val="18"/>
        </w:rPr>
        <w:t>.</w:t>
      </w:r>
      <w:r w:rsidR="00AE0A24" w:rsidRPr="001A75CA">
        <w:rPr>
          <w:b w:val="0"/>
          <w:sz w:val="18"/>
          <w:szCs w:val="18"/>
        </w:rPr>
        <w:t xml:space="preserve"> </w:t>
      </w:r>
      <w:r w:rsidR="00861306" w:rsidRPr="001A75CA">
        <w:rPr>
          <w:b w:val="0"/>
          <w:sz w:val="18"/>
          <w:szCs w:val="18"/>
        </w:rPr>
        <w:t xml:space="preserve">The evidence hierarchy given in the ‘Intervention’ column should be used when assessing the impact of a diagnostic test on health outcomes relative to an existing method of diagnosis/comparator test(s). </w:t>
      </w:r>
    </w:p>
    <w:p w14:paraId="0C00A82F" w14:textId="4A33C0BB"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c</w:t>
      </w:r>
      <w:r w:rsidR="00DF5916" w:rsidRPr="001A75CA">
        <w:rPr>
          <w:b w:val="0"/>
          <w:sz w:val="18"/>
          <w:szCs w:val="18"/>
        </w:rPr>
        <w:t xml:space="preserve"> </w:t>
      </w:r>
      <w:r w:rsidR="00861306" w:rsidRPr="001A75CA">
        <w:rPr>
          <w:b w:val="0"/>
          <w:sz w:val="18"/>
          <w:szCs w:val="18"/>
        </w:rPr>
        <w:tab/>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14:paraId="1040BD43" w14:textId="0C7A4938"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d</w:t>
      </w:r>
      <w:r w:rsidR="00DF5916" w:rsidRPr="001A75CA">
        <w:rPr>
          <w:b w:val="0"/>
          <w:sz w:val="18"/>
          <w:szCs w:val="18"/>
        </w:rPr>
        <w:t xml:space="preserve"> </w:t>
      </w:r>
      <w:r w:rsidR="00861306" w:rsidRPr="001A75CA">
        <w:rPr>
          <w:b w:val="0"/>
          <w:sz w:val="18"/>
          <w:szCs w:val="18"/>
        </w:rPr>
        <w:tab/>
        <w:t xml:space="preserve">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t>
      </w:r>
      <w:r w:rsidR="00861306" w:rsidRPr="001A75CA">
        <w:rPr>
          <w:b w:val="0"/>
          <w:sz w:val="18"/>
          <w:szCs w:val="18"/>
        </w:rPr>
        <w:fldChar w:fldCharType="begin"/>
      </w:r>
      <w:r w:rsidR="00861306" w:rsidRPr="001A75CA">
        <w:rPr>
          <w:b w:val="0"/>
          <w:sz w:val="18"/>
          <w:szCs w:val="18"/>
        </w:rPr>
        <w:instrText xml:space="preserve"> ADDIN EN.CITE &lt;EndNote&gt;&lt;Cite&gt;&lt;Author&gt;Whiting P&lt;/Author&gt;&lt;Year&gt;2003&lt;/Year&gt;&lt;RecNum&gt;44&lt;/RecNum&gt;&lt;DisplayText&gt;(Whiting P 2003)&lt;/DisplayText&gt;&lt;record&gt;&lt;rec-number&gt;44&lt;/rec-number&gt;&lt;foreign-keys&gt;&lt;key app="EN" db-id="s205ztsw6v99t1ee2r6vpat820d0x9tefftv"&gt;44&lt;/key&gt;&lt;/foreign-keys&gt;&lt;ref-type name="Journal Article"&gt;17&lt;/ref-type&gt;&lt;contributors&gt;&lt;authors&gt;&lt;author&gt;Whiting P, Rutjes AW, Reitsma JB, Bossuyt PM, Kleijnen J.&lt;/author&gt;&lt;/authors&gt;&lt;/contributors&gt;&lt;auth-address&gt;Centre for Reviews and Dissemination, University of York, England, UK. pfw2@york.ac.uk&lt;/auth-address&gt;&lt;titles&gt;&lt;title&gt;The development of QUADAS: a tool for the quality assessment of studies of diagnostic accuracy included in systematic reviews.&lt;/title&gt;&lt;secondary-title&gt;BMC Med Res Methodol.&lt;/secondary-title&gt;&lt;/titles&gt;&lt;periodical&gt;&lt;full-title&gt;BMC Med Res Methodol.&lt;/full-title&gt;&lt;/periodical&gt;&lt;pages&gt;25&lt;/pages&gt;&lt;volume&gt;3&lt;/volume&gt;&lt;number&gt;1&lt;/number&gt;&lt;keywords&gt;&lt;keyword&gt;* Bias (Epidemiology)&lt;/keyword&gt;&lt;keyword&gt;* Diagnosis*&lt;/keyword&gt;&lt;keyword&gt;* Evidence-Based Medicine&lt;/keyword&gt;&lt;keyword&gt;* Humans&lt;/keyword&gt;&lt;keyword&gt;* Quality Control&lt;/keyword&gt;&lt;keyword&gt;* Questionnaires*&lt;/keyword&gt;&lt;keyword&gt;* Reference Standards&lt;/keyword&gt;&lt;keyword&gt;* Reproducibility of Results&lt;/keyword&gt;&lt;keyword&gt;* Research Support, Non-U.S. Gov&amp;apos;t&lt;/keyword&gt;&lt;keyword&gt;* Review Literature*&lt;/keyword&gt;&lt;/keywords&gt;&lt;dates&gt;&lt;year&gt;2003&lt;/year&gt;&lt;/dates&gt;&lt;urls&gt;&lt;/urls&gt;&lt;/record&gt;&lt;/Cite&gt;&lt;/EndNote&gt;</w:instrText>
      </w:r>
      <w:r w:rsidR="00861306" w:rsidRPr="001A75CA">
        <w:rPr>
          <w:b w:val="0"/>
          <w:sz w:val="18"/>
          <w:szCs w:val="18"/>
        </w:rPr>
        <w:fldChar w:fldCharType="separate"/>
      </w:r>
      <w:r w:rsidR="00861306" w:rsidRPr="001A75CA">
        <w:rPr>
          <w:b w:val="0"/>
          <w:noProof/>
          <w:sz w:val="18"/>
          <w:szCs w:val="18"/>
        </w:rPr>
        <w:t>(</w:t>
      </w:r>
      <w:hyperlink w:anchor="_ENREF_128" w:tooltip="Whiting P, 2003 #44" w:history="1">
        <w:r w:rsidR="00B46ABF" w:rsidRPr="001A75CA">
          <w:rPr>
            <w:b w:val="0"/>
            <w:noProof/>
            <w:sz w:val="18"/>
            <w:szCs w:val="18"/>
          </w:rPr>
          <w:t xml:space="preserve">Whiting </w:t>
        </w:r>
        <w:r w:rsidR="00A36ECE" w:rsidRPr="001A75CA">
          <w:rPr>
            <w:b w:val="0"/>
            <w:noProof/>
            <w:sz w:val="18"/>
            <w:szCs w:val="18"/>
          </w:rPr>
          <w:t xml:space="preserve">et al. </w:t>
        </w:r>
        <w:r w:rsidR="00B46ABF" w:rsidRPr="001A75CA">
          <w:rPr>
            <w:b w:val="0"/>
            <w:noProof/>
            <w:sz w:val="18"/>
            <w:szCs w:val="18"/>
          </w:rPr>
          <w:t>2003</w:t>
        </w:r>
      </w:hyperlink>
      <w:r w:rsidR="00861306" w:rsidRPr="001A75CA">
        <w:rPr>
          <w:b w:val="0"/>
          <w:noProof/>
          <w:sz w:val="18"/>
          <w:szCs w:val="18"/>
        </w:rPr>
        <w:t>)</w:t>
      </w:r>
      <w:r w:rsidR="00861306" w:rsidRPr="001A75CA">
        <w:rPr>
          <w:b w:val="0"/>
          <w:sz w:val="18"/>
          <w:szCs w:val="18"/>
        </w:rPr>
        <w:fldChar w:fldCharType="end"/>
      </w:r>
      <w:r w:rsidR="00861306" w:rsidRPr="001A75CA">
        <w:rPr>
          <w:b w:val="0"/>
          <w:sz w:val="18"/>
          <w:szCs w:val="18"/>
        </w:rPr>
        <w:t>.</w:t>
      </w:r>
    </w:p>
    <w:p w14:paraId="1EA970EF" w14:textId="5228AC93"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e</w:t>
      </w:r>
      <w:r w:rsidR="00DF5916" w:rsidRPr="001A75CA">
        <w:rPr>
          <w:b w:val="0"/>
          <w:sz w:val="18"/>
          <w:szCs w:val="18"/>
        </w:rPr>
        <w:t xml:space="preserve"> </w:t>
      </w:r>
      <w:r w:rsidR="00861306" w:rsidRPr="001A75CA">
        <w:rPr>
          <w:b w:val="0"/>
          <w:sz w:val="18"/>
          <w:szCs w:val="18"/>
        </w:rPr>
        <w:tab/>
        <w:t>Well-designed population</w:t>
      </w:r>
      <w:r w:rsidR="00AE0A24" w:rsidRPr="001A75CA">
        <w:rPr>
          <w:b w:val="0"/>
          <w:sz w:val="18"/>
          <w:szCs w:val="18"/>
        </w:rPr>
        <w:t>-</w:t>
      </w:r>
      <w:r w:rsidR="00861306" w:rsidRPr="001A75CA">
        <w:rPr>
          <w:b w:val="0"/>
          <w:sz w:val="18"/>
          <w:szCs w:val="18"/>
        </w:rPr>
        <w:t>based case-control studies (e</w:t>
      </w:r>
      <w:r w:rsidR="00AE0A24" w:rsidRPr="001A75CA">
        <w:rPr>
          <w:b w:val="0"/>
          <w:sz w:val="18"/>
          <w:szCs w:val="18"/>
        </w:rPr>
        <w:t>.</w:t>
      </w:r>
      <w:r w:rsidR="00861306" w:rsidRPr="001A75CA">
        <w:rPr>
          <w:b w:val="0"/>
          <w:sz w:val="18"/>
          <w:szCs w:val="18"/>
        </w:rPr>
        <w:t xml:space="preserve">g.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w:t>
      </w:r>
      <w:r w:rsidR="00AE0A24" w:rsidRPr="001A75CA">
        <w:rPr>
          <w:b w:val="0"/>
          <w:sz w:val="18"/>
          <w:szCs w:val="18"/>
        </w:rPr>
        <w:t xml:space="preserve">is </w:t>
      </w:r>
      <w:r w:rsidR="00861306" w:rsidRPr="001A75CA">
        <w:rPr>
          <w:b w:val="0"/>
          <w:sz w:val="18"/>
          <w:szCs w:val="18"/>
        </w:rPr>
        <w:t>compared with a separate group of normal/healthy people known to be free of the disease. In this situation patients with borderline or mild expressions of the disease, and conditions mimicking the disease</w:t>
      </w:r>
      <w:r w:rsidR="0080406B">
        <w:rPr>
          <w:b w:val="0"/>
          <w:sz w:val="18"/>
          <w:szCs w:val="18"/>
        </w:rPr>
        <w:t>,</w:t>
      </w:r>
      <w:r w:rsidR="00861306" w:rsidRPr="001A75CA">
        <w:rPr>
          <w:b w:val="0"/>
          <w:sz w:val="18"/>
          <w:szCs w:val="18"/>
        </w:rPr>
        <w:t xml:space="preserve"> are excluded, which can lead to exaggeration of both sensitivity and specificity. This is called spectrum bias or spectrum effect because the spectrum of study participants will not be representative of patients seen in practice </w:t>
      </w:r>
      <w:r w:rsidR="00861306" w:rsidRPr="001A75CA">
        <w:rPr>
          <w:b w:val="0"/>
          <w:sz w:val="18"/>
          <w:szCs w:val="18"/>
        </w:rPr>
        <w:fldChar w:fldCharType="begin"/>
      </w:r>
      <w:r w:rsidR="00861306" w:rsidRPr="001A75CA">
        <w:rPr>
          <w:b w:val="0"/>
          <w:sz w:val="18"/>
          <w:szCs w:val="18"/>
        </w:rPr>
        <w:instrText xml:space="preserve"> ADDIN EN.CITE &lt;EndNote&gt;&lt;Cite&gt;&lt;Author&gt;Mulherin&lt;/Author&gt;&lt;Year&gt;2002&lt;/Year&gt;&lt;RecNum&gt;46&lt;/RecNum&gt;&lt;DisplayText&gt;(Mulherin &amp;amp; Miller 2002)&lt;/DisplayText&gt;&lt;record&gt;&lt;rec-number&gt;46&lt;/rec-number&gt;&lt;foreign-keys&gt;&lt;key app="EN" db-id="s205ztsw6v99t1ee2r6vpat820d0x9tefftv"&gt;46&lt;/key&gt;&lt;/foreign-keys&gt;&lt;ref-type name="Journal Article"&gt;17&lt;/ref-type&gt;&lt;contributors&gt;&lt;authors&gt;&lt;author&gt;Mulherin, S. A.&lt;/author&gt;&lt;author&gt;Miller, W. C.&lt;/author&gt;&lt;/authors&gt;&lt;/contributors&gt;&lt;auth-address&gt;University of North Carolina at Chapel Hill, Department of Epidemiology, Chapel Hill, NC 27599-7435, USA.&lt;/auth-address&gt;&lt;titles&gt;&lt;title&gt;Spectrum bias or spectrum effect? Subgroup variation in diagnostic test evaluation&lt;/title&gt;&lt;secondary-title&gt;Ann Intern Med&lt;/secondary-title&gt;&lt;alt-title&gt;Annals of internal medicine&lt;/alt-title&gt;&lt;/titles&gt;&lt;periodical&gt;&lt;full-title&gt;Annals of Internal Medicine&lt;/full-title&gt;&lt;abbr-1&gt;Ann Intern Med&lt;/abbr-1&gt;&lt;/periodical&gt;&lt;alt-periodical&gt;&lt;full-title&gt;Annals of Internal Medicine&lt;/full-title&gt;&lt;abbr-1&gt;Ann Intern Med&lt;/abbr-1&gt;&lt;/alt-periodical&gt;&lt;pages&gt;598-602&lt;/pages&gt;&lt;volume&gt;137&lt;/volume&gt;&lt;number&gt;7&lt;/number&gt;&lt;keywords&gt;&lt;keyword&gt;Adult&lt;/keyword&gt;&lt;keyword&gt;*Bias (Epidemiology)&lt;/keyword&gt;&lt;keyword&gt;Chlamydia Infections/diagnosis&lt;/keyword&gt;&lt;keyword&gt;Chlamydia trachomatis&lt;/keyword&gt;&lt;keyword&gt;Diagnostic Techniques and Procedures/standards/*statistics &amp;amp; numerical data&lt;/keyword&gt;&lt;keyword&gt;Humans&lt;/keyword&gt;&lt;keyword&gt;Immunoenzyme Techniques/standards/statistics &amp;amp; numerical data&lt;/keyword&gt;&lt;keyword&gt;Likelihood Functions&lt;/keyword&gt;&lt;keyword&gt;Middle Aged&lt;/keyword&gt;&lt;keyword&gt;ROC Curve&lt;/keyword&gt;&lt;keyword&gt;Sensitivity and Specificity&lt;/keyword&gt;&lt;/keywords&gt;&lt;dates&gt;&lt;year&gt;2002&lt;/year&gt;&lt;pub-dates&gt;&lt;date&gt;Oct 1&lt;/date&gt;&lt;/pub-dates&gt;&lt;/dates&gt;&lt;isbn&gt;1539-3704 (Electronic)&amp;#xD;0003-4819 (Linking)&lt;/isbn&gt;&lt;accession-num&gt;12353947&lt;/accession-num&gt;&lt;urls&gt;&lt;related-urls&gt;&lt;url&gt;http://www.ncbi.nlm.nih.gov/pubmed/12353947&lt;/url&gt;&lt;/related-urls&gt;&lt;/urls&gt;&lt;/record&gt;&lt;/Cite&gt;&lt;/EndNote&gt;</w:instrText>
      </w:r>
      <w:r w:rsidR="00861306" w:rsidRPr="001A75CA">
        <w:rPr>
          <w:b w:val="0"/>
          <w:sz w:val="18"/>
          <w:szCs w:val="18"/>
        </w:rPr>
        <w:fldChar w:fldCharType="separate"/>
      </w:r>
      <w:r w:rsidR="00861306" w:rsidRPr="001A75CA">
        <w:rPr>
          <w:b w:val="0"/>
          <w:noProof/>
          <w:sz w:val="18"/>
          <w:szCs w:val="18"/>
        </w:rPr>
        <w:t>(</w:t>
      </w:r>
      <w:hyperlink w:anchor="_ENREF_84" w:tooltip="Mulherin, 2002 #46" w:history="1">
        <w:r w:rsidR="00B46ABF" w:rsidRPr="001A75CA">
          <w:rPr>
            <w:b w:val="0"/>
            <w:noProof/>
            <w:sz w:val="18"/>
            <w:szCs w:val="18"/>
          </w:rPr>
          <w:t>Mulherin &amp; Miller 2002</w:t>
        </w:r>
      </w:hyperlink>
      <w:r w:rsidR="00861306" w:rsidRPr="001A75CA">
        <w:rPr>
          <w:b w:val="0"/>
          <w:noProof/>
          <w:sz w:val="18"/>
          <w:szCs w:val="18"/>
        </w:rPr>
        <w:t>)</w:t>
      </w:r>
      <w:r w:rsidR="00861306" w:rsidRPr="001A75CA">
        <w:rPr>
          <w:b w:val="0"/>
          <w:sz w:val="18"/>
          <w:szCs w:val="18"/>
        </w:rPr>
        <w:fldChar w:fldCharType="end"/>
      </w:r>
      <w:r w:rsidR="00861306" w:rsidRPr="001A75CA">
        <w:rPr>
          <w:b w:val="0"/>
          <w:sz w:val="18"/>
          <w:szCs w:val="18"/>
        </w:rPr>
        <w:t>.</w:t>
      </w:r>
    </w:p>
    <w:p w14:paraId="655E4023" w14:textId="28EA6696"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f</w:t>
      </w:r>
      <w:r w:rsidR="00DF5916" w:rsidRPr="001A75CA">
        <w:rPr>
          <w:b w:val="0"/>
          <w:sz w:val="18"/>
          <w:szCs w:val="18"/>
        </w:rPr>
        <w:t xml:space="preserve"> </w:t>
      </w:r>
      <w:r w:rsidR="00861306" w:rsidRPr="001A75CA">
        <w:rPr>
          <w:b w:val="0"/>
          <w:sz w:val="18"/>
          <w:szCs w:val="18"/>
        </w:rPr>
        <w:tab/>
        <w:t>This also includes controlled before-and-after (pre-test/post-test) studies, as well as adjusted indirect comparisons (i</w:t>
      </w:r>
      <w:r w:rsidR="005166DA" w:rsidRPr="001A75CA">
        <w:rPr>
          <w:b w:val="0"/>
          <w:sz w:val="18"/>
          <w:szCs w:val="18"/>
        </w:rPr>
        <w:t>.</w:t>
      </w:r>
      <w:r w:rsidR="00861306" w:rsidRPr="001A75CA">
        <w:rPr>
          <w:b w:val="0"/>
          <w:sz w:val="18"/>
          <w:szCs w:val="18"/>
        </w:rPr>
        <w:t>e. utilis</w:t>
      </w:r>
      <w:r w:rsidR="0080406B">
        <w:rPr>
          <w:b w:val="0"/>
          <w:sz w:val="18"/>
          <w:szCs w:val="18"/>
        </w:rPr>
        <w:t>ing</w:t>
      </w:r>
      <w:r w:rsidR="00861306" w:rsidRPr="001A75CA">
        <w:rPr>
          <w:b w:val="0"/>
          <w:sz w:val="18"/>
          <w:szCs w:val="18"/>
        </w:rPr>
        <w:t xml:space="preserve"> A vs B and B vs C to determine A vs C</w:t>
      </w:r>
      <w:r w:rsidR="0080406B">
        <w:rPr>
          <w:b w:val="0"/>
          <w:sz w:val="18"/>
          <w:szCs w:val="18"/>
        </w:rPr>
        <w:t>,</w:t>
      </w:r>
      <w:r w:rsidR="00861306" w:rsidRPr="001A75CA">
        <w:rPr>
          <w:b w:val="0"/>
          <w:sz w:val="18"/>
          <w:szCs w:val="18"/>
        </w:rPr>
        <w:t xml:space="preserve"> with statistical adjustment for B).</w:t>
      </w:r>
    </w:p>
    <w:p w14:paraId="6BCF6B35" w14:textId="2AE0831D"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lastRenderedPageBreak/>
        <w:t>g</w:t>
      </w:r>
      <w:r w:rsidR="00861306" w:rsidRPr="001A75CA">
        <w:rPr>
          <w:b w:val="0"/>
          <w:sz w:val="18"/>
          <w:szCs w:val="18"/>
        </w:rPr>
        <w:tab/>
        <w:t>Comparing single</w:t>
      </w:r>
      <w:r w:rsidR="0080406B">
        <w:rPr>
          <w:b w:val="0"/>
          <w:sz w:val="18"/>
          <w:szCs w:val="18"/>
        </w:rPr>
        <w:t>-</w:t>
      </w:r>
      <w:r w:rsidR="00861306" w:rsidRPr="001A75CA">
        <w:rPr>
          <w:b w:val="0"/>
          <w:sz w:val="18"/>
          <w:szCs w:val="18"/>
        </w:rPr>
        <w:t>arm studies</w:t>
      </w:r>
      <w:r w:rsidR="0080406B">
        <w:rPr>
          <w:b w:val="0"/>
          <w:sz w:val="18"/>
          <w:szCs w:val="18"/>
        </w:rPr>
        <w:t>,</w:t>
      </w:r>
      <w:r w:rsidR="00861306" w:rsidRPr="001A75CA">
        <w:rPr>
          <w:b w:val="0"/>
          <w:sz w:val="18"/>
          <w:szCs w:val="18"/>
        </w:rPr>
        <w:t xml:space="preserve"> i</w:t>
      </w:r>
      <w:r w:rsidR="0080406B">
        <w:rPr>
          <w:b w:val="0"/>
          <w:sz w:val="18"/>
          <w:szCs w:val="18"/>
        </w:rPr>
        <w:t>.</w:t>
      </w:r>
      <w:r w:rsidR="00861306" w:rsidRPr="001A75CA">
        <w:rPr>
          <w:b w:val="0"/>
          <w:sz w:val="18"/>
          <w:szCs w:val="18"/>
        </w:rPr>
        <w:t>e. case series from two studies. This would also include unadjusted indirect comparisons (i</w:t>
      </w:r>
      <w:r w:rsidR="005166DA" w:rsidRPr="001A75CA">
        <w:rPr>
          <w:b w:val="0"/>
          <w:sz w:val="18"/>
          <w:szCs w:val="18"/>
        </w:rPr>
        <w:t>.</w:t>
      </w:r>
      <w:r w:rsidR="00861306" w:rsidRPr="001A75CA">
        <w:rPr>
          <w:b w:val="0"/>
          <w:sz w:val="18"/>
          <w:szCs w:val="18"/>
        </w:rPr>
        <w:t>e. utilis</w:t>
      </w:r>
      <w:r w:rsidR="0080406B">
        <w:rPr>
          <w:b w:val="0"/>
          <w:sz w:val="18"/>
          <w:szCs w:val="18"/>
        </w:rPr>
        <w:t>ing</w:t>
      </w:r>
      <w:r w:rsidR="00861306" w:rsidRPr="001A75CA">
        <w:rPr>
          <w:b w:val="0"/>
          <w:sz w:val="18"/>
          <w:szCs w:val="18"/>
        </w:rPr>
        <w:t xml:space="preserve"> A vs B and B vs C to determine A vs C</w:t>
      </w:r>
      <w:r w:rsidR="0080406B">
        <w:rPr>
          <w:b w:val="0"/>
          <w:sz w:val="18"/>
          <w:szCs w:val="18"/>
        </w:rPr>
        <w:t>,</w:t>
      </w:r>
      <w:r w:rsidR="00861306" w:rsidRPr="001A75CA">
        <w:rPr>
          <w:b w:val="0"/>
          <w:sz w:val="18"/>
          <w:szCs w:val="18"/>
        </w:rPr>
        <w:t xml:space="preserve"> but where there is no statistical adjustment for B).</w:t>
      </w:r>
    </w:p>
    <w:p w14:paraId="0F50D10F" w14:textId="0212C52F" w:rsidR="00861306" w:rsidRPr="001A75CA" w:rsidRDefault="007F6608" w:rsidP="006B7D54">
      <w:pPr>
        <w:pStyle w:val="Caption"/>
        <w:keepNext w:val="0"/>
        <w:tabs>
          <w:tab w:val="left" w:pos="284"/>
        </w:tabs>
        <w:ind w:left="284" w:hanging="284"/>
        <w:rPr>
          <w:b w:val="0"/>
          <w:sz w:val="18"/>
          <w:szCs w:val="18"/>
        </w:rPr>
      </w:pPr>
      <w:r w:rsidRPr="001A75CA">
        <w:rPr>
          <w:b w:val="0"/>
          <w:sz w:val="18"/>
          <w:szCs w:val="18"/>
          <w:vertAlign w:val="superscript"/>
        </w:rPr>
        <w:t>h</w:t>
      </w:r>
      <w:r w:rsidR="00861306" w:rsidRPr="001A75CA">
        <w:rPr>
          <w:b w:val="0"/>
          <w:sz w:val="18"/>
          <w:szCs w:val="18"/>
        </w:rPr>
        <w:tab/>
        <w:t>Studies of diagnostic yield provide the yield of diagnosed patients, as determined by an index test, without confirmation of the accuracy of this diagnosis by a reference standard. These may be the only alternative when there is no reliable reference standard.</w:t>
      </w:r>
    </w:p>
    <w:p w14:paraId="2A70E938" w14:textId="54795F60" w:rsidR="00861306" w:rsidRPr="001A75CA" w:rsidRDefault="00861306" w:rsidP="006B7D54">
      <w:pPr>
        <w:pStyle w:val="Caption"/>
        <w:keepNext w:val="0"/>
        <w:tabs>
          <w:tab w:val="left" w:pos="1134"/>
        </w:tabs>
        <w:ind w:left="567" w:hanging="567"/>
        <w:rPr>
          <w:b w:val="0"/>
          <w:sz w:val="18"/>
          <w:szCs w:val="18"/>
        </w:rPr>
      </w:pPr>
      <w:r w:rsidRPr="001A75CA">
        <w:rPr>
          <w:b w:val="0"/>
          <w:sz w:val="18"/>
          <w:szCs w:val="18"/>
        </w:rPr>
        <w:t xml:space="preserve">Note A: </w:t>
      </w:r>
      <w:r w:rsidRPr="001A75CA">
        <w:rPr>
          <w:b w:val="0"/>
          <w:sz w:val="18"/>
          <w:szCs w:val="18"/>
        </w:rPr>
        <w:tab/>
        <w:t xml:space="preserve">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w:t>
      </w:r>
      <w:r w:rsidR="00AE0A24" w:rsidRPr="001A75CA">
        <w:rPr>
          <w:b w:val="0"/>
          <w:sz w:val="18"/>
          <w:szCs w:val="18"/>
        </w:rPr>
        <w:t xml:space="preserve">both </w:t>
      </w:r>
      <w:r w:rsidRPr="001A75CA">
        <w:rPr>
          <w:b w:val="0"/>
          <w:sz w:val="18"/>
          <w:szCs w:val="18"/>
        </w:rPr>
        <w:t>physical and psychological harms may need to be addressed by different study designs; harms from diagnostic testing include the likelihood of false positive and false negative results; harms from screening include the likelihood of false alarm and false reassurance results.</w:t>
      </w:r>
    </w:p>
    <w:p w14:paraId="48AFC8BC" w14:textId="51897289" w:rsidR="00861306" w:rsidRPr="001A75CA" w:rsidRDefault="00861306" w:rsidP="006B7D54">
      <w:pPr>
        <w:pStyle w:val="Caption"/>
        <w:keepNext w:val="0"/>
        <w:tabs>
          <w:tab w:val="left" w:pos="1134"/>
        </w:tabs>
        <w:ind w:left="567" w:hanging="567"/>
        <w:rPr>
          <w:b w:val="0"/>
          <w:sz w:val="18"/>
          <w:szCs w:val="18"/>
        </w:rPr>
      </w:pPr>
      <w:r w:rsidRPr="001A75CA">
        <w:rPr>
          <w:b w:val="0"/>
          <w:sz w:val="18"/>
          <w:szCs w:val="18"/>
        </w:rPr>
        <w:t xml:space="preserve">Note B: </w:t>
      </w:r>
      <w:r w:rsidRPr="001A75CA">
        <w:rPr>
          <w:b w:val="0"/>
          <w:sz w:val="18"/>
          <w:szCs w:val="18"/>
        </w:rPr>
        <w:tab/>
        <w:t>When a level of evidence is attributed in the text of a document, it should also be framed according to its corresponding research question</w:t>
      </w:r>
      <w:r w:rsidR="00BF1ABD">
        <w:rPr>
          <w:b w:val="0"/>
          <w:sz w:val="18"/>
          <w:szCs w:val="18"/>
        </w:rPr>
        <w:t>,</w:t>
      </w:r>
      <w:r w:rsidRPr="001A75CA">
        <w:rPr>
          <w:b w:val="0"/>
          <w:sz w:val="18"/>
          <w:szCs w:val="18"/>
        </w:rPr>
        <w:t xml:space="preserve"> e</w:t>
      </w:r>
      <w:r w:rsidR="00BF1ABD">
        <w:rPr>
          <w:b w:val="0"/>
          <w:sz w:val="18"/>
          <w:szCs w:val="18"/>
        </w:rPr>
        <w:t>.</w:t>
      </w:r>
      <w:r w:rsidRPr="001A75CA">
        <w:rPr>
          <w:b w:val="0"/>
          <w:sz w:val="18"/>
          <w:szCs w:val="18"/>
        </w:rPr>
        <w:t>g. level II intervention evidence; level IV diagnostic evidence; level III-2 prognostic evidence.</w:t>
      </w:r>
    </w:p>
    <w:p w14:paraId="1AB4A167" w14:textId="4CF3B1B5" w:rsidR="00861306" w:rsidRPr="001A75CA" w:rsidRDefault="00861306" w:rsidP="006B7D54">
      <w:pPr>
        <w:pStyle w:val="Caption"/>
        <w:keepNext w:val="0"/>
        <w:tabs>
          <w:tab w:val="left" w:pos="1134"/>
        </w:tabs>
        <w:ind w:left="567" w:hanging="567"/>
        <w:rPr>
          <w:b w:val="0"/>
          <w:sz w:val="18"/>
          <w:szCs w:val="18"/>
        </w:rPr>
      </w:pPr>
      <w:r w:rsidRPr="001A75CA">
        <w:rPr>
          <w:b w:val="0"/>
          <w:sz w:val="18"/>
          <w:szCs w:val="18"/>
        </w:rPr>
        <w:t xml:space="preserve">Note C: </w:t>
      </w:r>
      <w:r w:rsidRPr="001A75CA">
        <w:rPr>
          <w:b w:val="0"/>
          <w:sz w:val="18"/>
          <w:szCs w:val="18"/>
        </w:rPr>
        <w:tab/>
        <w:t xml:space="preserve">Each individual study that is attributed a </w:t>
      </w:r>
      <w:r w:rsidR="00AE0A24" w:rsidRPr="001A75CA">
        <w:rPr>
          <w:b w:val="0"/>
          <w:sz w:val="18"/>
          <w:szCs w:val="18"/>
        </w:rPr>
        <w:t>‘</w:t>
      </w:r>
      <w:r w:rsidRPr="001A75CA">
        <w:rPr>
          <w:b w:val="0"/>
          <w:sz w:val="18"/>
          <w:szCs w:val="18"/>
        </w:rPr>
        <w:t>level of evidence</w:t>
      </w:r>
      <w:r w:rsidR="00AE0A24" w:rsidRPr="001A75CA">
        <w:rPr>
          <w:b w:val="0"/>
          <w:sz w:val="18"/>
          <w:szCs w:val="18"/>
        </w:rPr>
        <w:t>’</w:t>
      </w:r>
      <w:r w:rsidRPr="001A75CA">
        <w:rPr>
          <w:b w:val="0"/>
          <w:sz w:val="18"/>
          <w:szCs w:val="18"/>
        </w:rPr>
        <w:t xml:space="preserve"> should be rigorously appraised using validated or commonly used checklists or appraisal tools to ensure that factors other than study design have not affected the validity of the results.</w:t>
      </w:r>
    </w:p>
    <w:p w14:paraId="1EA09C60" w14:textId="3BF53C8E" w:rsidR="00822A2F" w:rsidRDefault="00822A2F" w:rsidP="00822A2F">
      <w:pPr>
        <w:pStyle w:val="Heading2"/>
        <w:rPr>
          <w:u w:val="single"/>
        </w:rPr>
      </w:pPr>
      <w:bookmarkStart w:id="220" w:name="_Toc418179898"/>
      <w:r w:rsidRPr="00516F40">
        <w:rPr>
          <w:u w:val="single"/>
        </w:rPr>
        <w:t xml:space="preserve">Direct </w:t>
      </w:r>
      <w:r w:rsidR="00F0334C">
        <w:rPr>
          <w:u w:val="single"/>
        </w:rPr>
        <w:t>E</w:t>
      </w:r>
      <w:r w:rsidRPr="00516F40">
        <w:rPr>
          <w:u w:val="single"/>
        </w:rPr>
        <w:t>vidence</w:t>
      </w:r>
      <w:bookmarkEnd w:id="220"/>
    </w:p>
    <w:p w14:paraId="129BCBF2" w14:textId="539EF05B" w:rsidR="0033422A" w:rsidRPr="008F0174" w:rsidRDefault="0033422A" w:rsidP="00BA5B10">
      <w:pPr>
        <w:pStyle w:val="Heading2"/>
        <w:ind w:left="1134" w:hanging="1134"/>
      </w:pPr>
      <w:bookmarkStart w:id="221" w:name="_Toc418179899"/>
      <w:r>
        <w:t>B.3</w:t>
      </w:r>
      <w:r w:rsidR="009E15B9">
        <w:t>–</w:t>
      </w:r>
      <w:r w:rsidR="00AC19C7">
        <w:t>5</w:t>
      </w:r>
      <w:r>
        <w:t>.</w:t>
      </w:r>
      <w:r w:rsidR="00BA5B10">
        <w:tab/>
      </w:r>
      <w:r w:rsidR="00A74345">
        <w:t xml:space="preserve">Risk of </w:t>
      </w:r>
      <w:r w:rsidR="005B4277">
        <w:t>B</w:t>
      </w:r>
      <w:r w:rsidR="00A74345">
        <w:t xml:space="preserve">ias </w:t>
      </w:r>
      <w:r w:rsidR="005B4277">
        <w:t>A</w:t>
      </w:r>
      <w:r w:rsidR="00A74345">
        <w:t>ssessment</w:t>
      </w:r>
      <w:r w:rsidR="00AC19C7">
        <w:t xml:space="preserve">, </w:t>
      </w:r>
      <w:r w:rsidR="005B4277">
        <w:t>C</w:t>
      </w:r>
      <w:r w:rsidR="00AC19C7">
        <w:t xml:space="preserve">haracteristics of the </w:t>
      </w:r>
      <w:r w:rsidR="005B4277">
        <w:t>E</w:t>
      </w:r>
      <w:r w:rsidR="00AC19C7">
        <w:t>vidence</w:t>
      </w:r>
      <w:r w:rsidR="005166DA">
        <w:t>-</w:t>
      </w:r>
      <w:r w:rsidR="005321E4">
        <w:t>b</w:t>
      </w:r>
      <w:r w:rsidR="00AC19C7">
        <w:t xml:space="preserve">ase and </w:t>
      </w:r>
      <w:r w:rsidR="005B4277">
        <w:t>O</w:t>
      </w:r>
      <w:r w:rsidR="00AC19C7">
        <w:t xml:space="preserve">utcome </w:t>
      </w:r>
      <w:r w:rsidR="005B4277">
        <w:t>M</w:t>
      </w:r>
      <w:r w:rsidR="00AC19C7">
        <w:t>easures</w:t>
      </w:r>
      <w:bookmarkEnd w:id="221"/>
    </w:p>
    <w:p w14:paraId="7DEBB7CF" w14:textId="41219983" w:rsidR="0022603D" w:rsidRPr="00E43BAF" w:rsidRDefault="001A08FA" w:rsidP="0022603D">
      <w:r>
        <w:t xml:space="preserve">No studies met the inclusion criteria for safety or direct effectiveness regarding genetic </w:t>
      </w:r>
      <w:r w:rsidR="00FD37D3" w:rsidRPr="00FD37D3">
        <w:t>CFTR</w:t>
      </w:r>
      <w:r>
        <w:t xml:space="preserve"> testing.</w:t>
      </w:r>
      <w:r w:rsidR="008B4EC0">
        <w:t xml:space="preserve"> </w:t>
      </w:r>
      <w:r w:rsidR="005024F4">
        <w:t>Due to the lack of direct evidence,</w:t>
      </w:r>
      <w:r w:rsidR="0022603D">
        <w:t xml:space="preserve"> only the results regarding safety of amniocentesis and CVS were narratively synthesised</w:t>
      </w:r>
      <w:r w:rsidR="005024F4">
        <w:t xml:space="preserve"> in section </w:t>
      </w:r>
      <w:r w:rsidR="00516F40">
        <w:t>B.8.1</w:t>
      </w:r>
      <w:r w:rsidR="0022603D">
        <w:t>, based on a separate search for systematic reviews on the safety of prenatal invasive tests. No statistical analysis was done.</w:t>
      </w:r>
    </w:p>
    <w:p w14:paraId="56F7898B" w14:textId="410B1719" w:rsidR="006E6289" w:rsidRDefault="006E6289">
      <w:pPr>
        <w:pStyle w:val="Heading2"/>
        <w:tabs>
          <w:tab w:val="left" w:pos="1134"/>
        </w:tabs>
      </w:pPr>
      <w:r>
        <w:t xml:space="preserve"> </w:t>
      </w:r>
      <w:bookmarkStart w:id="222" w:name="_Toc418179900"/>
      <w:r w:rsidR="0022603D">
        <w:t>B.6.</w:t>
      </w:r>
      <w:r w:rsidR="00BA5B10">
        <w:tab/>
      </w:r>
      <w:r w:rsidR="0022603D">
        <w:t xml:space="preserve">Results of the </w:t>
      </w:r>
      <w:r w:rsidR="000C139C">
        <w:t>Direct Evidence</w:t>
      </w:r>
      <w:bookmarkEnd w:id="222"/>
    </w:p>
    <w:p w14:paraId="71647162" w14:textId="186C5FCC" w:rsidR="005024F4" w:rsidRPr="005C67AD" w:rsidRDefault="005024F4" w:rsidP="001A75CA">
      <w:pPr>
        <w:pStyle w:val="Summaryboxheading"/>
        <w:pBdr>
          <w:top w:val="single" w:sz="4" w:space="1" w:color="auto"/>
          <w:left w:val="single" w:sz="4" w:space="4" w:color="auto"/>
          <w:bottom w:val="single" w:sz="4" w:space="1" w:color="auto"/>
          <w:right w:val="single" w:sz="4" w:space="4" w:color="auto"/>
        </w:pBdr>
        <w:spacing w:after="120" w:afterAutospacing="0"/>
        <w:rPr>
          <w:b w:val="0"/>
          <w:sz w:val="20"/>
          <w:szCs w:val="20"/>
        </w:rPr>
      </w:pPr>
      <w:r w:rsidRPr="005C67AD">
        <w:rPr>
          <w:sz w:val="20"/>
          <w:szCs w:val="20"/>
        </w:rPr>
        <w:t xml:space="preserve">Summary – </w:t>
      </w:r>
      <w:r w:rsidRPr="005C67AD">
        <w:rPr>
          <w:rStyle w:val="TabletextChar1"/>
          <w:sz w:val="20"/>
          <w:szCs w:val="20"/>
        </w:rPr>
        <w:t>What is the</w:t>
      </w:r>
      <w:r>
        <w:rPr>
          <w:rStyle w:val="TabletextChar1"/>
          <w:sz w:val="20"/>
          <w:szCs w:val="20"/>
        </w:rPr>
        <w:t xml:space="preserve"> safety and</w:t>
      </w:r>
      <w:r w:rsidRPr="005C67AD">
        <w:rPr>
          <w:rStyle w:val="TabletextChar1"/>
          <w:sz w:val="20"/>
          <w:szCs w:val="20"/>
        </w:rPr>
        <w:t xml:space="preserve"> effectiveness of prenatal </w:t>
      </w:r>
      <w:r w:rsidR="00FD37D3" w:rsidRPr="00FD37D3">
        <w:rPr>
          <w:rStyle w:val="TabletextChar1"/>
          <w:sz w:val="20"/>
          <w:szCs w:val="20"/>
        </w:rPr>
        <w:t>CFTR</w:t>
      </w:r>
      <w:r w:rsidRPr="005C67AD">
        <w:rPr>
          <w:rStyle w:val="TabletextChar1"/>
          <w:sz w:val="20"/>
          <w:szCs w:val="20"/>
        </w:rPr>
        <w:t xml:space="preserve"> mutation testing of couples carrying a fetus with a high clinical suspicion of CF</w:t>
      </w:r>
      <w:r w:rsidR="005166DA">
        <w:rPr>
          <w:rStyle w:val="TabletextChar1"/>
          <w:sz w:val="20"/>
          <w:szCs w:val="20"/>
        </w:rPr>
        <w:t>,</w:t>
      </w:r>
      <w:r w:rsidRPr="005C67AD">
        <w:rPr>
          <w:rStyle w:val="TabletextChar1"/>
          <w:sz w:val="20"/>
          <w:szCs w:val="20"/>
        </w:rPr>
        <w:t xml:space="preserve"> or testing of a fetus conceived by parents that are both CF carriers, compar</w:t>
      </w:r>
      <w:r w:rsidR="005166DA">
        <w:rPr>
          <w:rStyle w:val="TabletextChar1"/>
          <w:sz w:val="20"/>
          <w:szCs w:val="20"/>
        </w:rPr>
        <w:t>ed</w:t>
      </w:r>
      <w:r w:rsidRPr="005C67AD">
        <w:rPr>
          <w:rStyle w:val="TabletextChar1"/>
          <w:sz w:val="20"/>
          <w:szCs w:val="20"/>
        </w:rPr>
        <w:t xml:space="preserve"> </w:t>
      </w:r>
      <w:r w:rsidR="005166DA">
        <w:rPr>
          <w:rStyle w:val="TabletextChar1"/>
          <w:sz w:val="20"/>
          <w:szCs w:val="20"/>
        </w:rPr>
        <w:t>with</w:t>
      </w:r>
      <w:r w:rsidR="005166DA" w:rsidRPr="005C67AD">
        <w:rPr>
          <w:rStyle w:val="TabletextChar1"/>
          <w:sz w:val="20"/>
          <w:szCs w:val="20"/>
        </w:rPr>
        <w:t xml:space="preserve"> </w:t>
      </w:r>
      <w:r w:rsidRPr="005C67AD">
        <w:rPr>
          <w:rStyle w:val="TabletextChar1"/>
          <w:sz w:val="20"/>
          <w:szCs w:val="20"/>
        </w:rPr>
        <w:t>determining the diagnosis of the child after the birth?</w:t>
      </w:r>
    </w:p>
    <w:p w14:paraId="355EBF47" w14:textId="216A0CAF" w:rsidR="005024F4" w:rsidRPr="001B470A" w:rsidRDefault="005024F4" w:rsidP="005024F4">
      <w:pPr>
        <w:pStyle w:val="Tabletext1"/>
        <w:pBdr>
          <w:top w:val="single" w:sz="4" w:space="1" w:color="auto"/>
          <w:left w:val="single" w:sz="4" w:space="4" w:color="auto"/>
          <w:bottom w:val="single" w:sz="4" w:space="1" w:color="auto"/>
          <w:right w:val="single" w:sz="4" w:space="4" w:color="auto"/>
        </w:pBdr>
      </w:pPr>
      <w:r w:rsidRPr="001B470A">
        <w:t>No studies</w:t>
      </w:r>
      <w:r w:rsidR="00484788">
        <w:t xml:space="preserve"> </w:t>
      </w:r>
      <w:r w:rsidR="005166DA">
        <w:t xml:space="preserve">were identified </w:t>
      </w:r>
      <w:r w:rsidR="00484788">
        <w:t>on the</w:t>
      </w:r>
      <w:r>
        <w:t xml:space="preserve"> safety</w:t>
      </w:r>
      <w:r w:rsidR="00484788">
        <w:t xml:space="preserve"> or</w:t>
      </w:r>
      <w:r w:rsidRPr="001B470A">
        <w:t xml:space="preserve"> direct effectiveness</w:t>
      </w:r>
      <w:r w:rsidR="00484788">
        <w:t xml:space="preserve"> of prenatal </w:t>
      </w:r>
      <w:r w:rsidR="00FD37D3" w:rsidRPr="00FD37D3">
        <w:t>CFTR</w:t>
      </w:r>
      <w:r w:rsidR="00484788">
        <w:t xml:space="preserve"> mutation testing.</w:t>
      </w:r>
      <w:r w:rsidRPr="001B470A">
        <w:t xml:space="preserve"> </w:t>
      </w:r>
      <w:r w:rsidR="00873BD9">
        <w:t xml:space="preserve">The key areas of concern regarding the safety of </w:t>
      </w:r>
      <w:r w:rsidR="00FD37D3" w:rsidRPr="00FD37D3">
        <w:t>CFTR</w:t>
      </w:r>
      <w:r w:rsidR="00873BD9">
        <w:t xml:space="preserve"> testing are thought to be in regards to deriving the samples to test.</w:t>
      </w:r>
    </w:p>
    <w:p w14:paraId="0EDCD83E" w14:textId="77777777" w:rsidR="005024F4" w:rsidRDefault="005024F4" w:rsidP="005024F4"/>
    <w:p w14:paraId="49608702" w14:textId="10A3DA59" w:rsidR="005024F4" w:rsidRDefault="005024F4" w:rsidP="005024F4">
      <w:r w:rsidRPr="00D17A73">
        <w:t>No studies on</w:t>
      </w:r>
      <w:r>
        <w:t xml:space="preserve"> </w:t>
      </w:r>
      <w:r w:rsidR="00484788">
        <w:t xml:space="preserve">the </w:t>
      </w:r>
      <w:r>
        <w:t>safety or</w:t>
      </w:r>
      <w:r w:rsidRPr="00D17A73">
        <w:t xml:space="preserve"> direct effectiveness have been identified that were able to </w:t>
      </w:r>
      <w:r>
        <w:t>determine the patient-relevant outcomes for</w:t>
      </w:r>
      <w:r w:rsidRPr="00D17A73">
        <w:t xml:space="preserve"> prenatal </w:t>
      </w:r>
      <w:r w:rsidR="00FD37D3" w:rsidRPr="00FD37D3">
        <w:t>CFTR</w:t>
      </w:r>
      <w:r w:rsidRPr="00D17A73">
        <w:t xml:space="preserve"> mutation testing of couples carrying a fetus wi</w:t>
      </w:r>
      <w:r>
        <w:t>th high clinical suspicion of CF</w:t>
      </w:r>
      <w:r w:rsidRPr="00D17A73">
        <w:t xml:space="preserve">, compared </w:t>
      </w:r>
      <w:r w:rsidR="00632DF5">
        <w:t>with</w:t>
      </w:r>
      <w:r w:rsidR="00632DF5" w:rsidRPr="00D17A73">
        <w:t xml:space="preserve"> </w:t>
      </w:r>
      <w:r w:rsidRPr="00D17A73">
        <w:t>determining the diagnosis after birth. Therefore</w:t>
      </w:r>
      <w:r w:rsidR="00632DF5">
        <w:t>,</w:t>
      </w:r>
      <w:r w:rsidRPr="00D17A73">
        <w:t xml:space="preserve"> a linked analysis approach was conducted</w:t>
      </w:r>
      <w:r>
        <w:t xml:space="preserve">, </w:t>
      </w:r>
      <w:r w:rsidR="00632DF5">
        <w:t xml:space="preserve">and </w:t>
      </w:r>
      <w:r w:rsidR="0065559E">
        <w:t xml:space="preserve">the </w:t>
      </w:r>
      <w:r>
        <w:t>results are shown below</w:t>
      </w:r>
      <w:r w:rsidRPr="00D17A73">
        <w:t>.</w:t>
      </w:r>
      <w:r w:rsidR="00873BD9">
        <w:t xml:space="preserve"> </w:t>
      </w:r>
    </w:p>
    <w:p w14:paraId="17283251" w14:textId="7E9DD0BB" w:rsidR="00873BD9" w:rsidRPr="00D17A73" w:rsidRDefault="00873BD9" w:rsidP="005024F4">
      <w:r w:rsidRPr="00873BD9">
        <w:t xml:space="preserve">They key areas of concern regarding the safety of </w:t>
      </w:r>
      <w:r w:rsidR="00FD37D3" w:rsidRPr="00FD37D3">
        <w:t>CFTR</w:t>
      </w:r>
      <w:r w:rsidRPr="00873BD9">
        <w:t xml:space="preserve"> testing are thought to be in regards to deriving the samples to test. Therefore</w:t>
      </w:r>
      <w:r w:rsidR="00632DF5">
        <w:t>,</w:t>
      </w:r>
      <w:r w:rsidRPr="00873BD9">
        <w:t xml:space="preserve"> a separate search was conducted to investigate the safety of amniocentesis and CVS</w:t>
      </w:r>
      <w:r>
        <w:t xml:space="preserve">, </w:t>
      </w:r>
      <w:r w:rsidR="00632DF5">
        <w:t xml:space="preserve">as </w:t>
      </w:r>
      <w:r>
        <w:t>shown in section B.8.1</w:t>
      </w:r>
      <w:r w:rsidRPr="00873BD9">
        <w:t>.</w:t>
      </w:r>
    </w:p>
    <w:p w14:paraId="7C1F180D" w14:textId="77777777" w:rsidR="00A74345" w:rsidRPr="00516F40" w:rsidRDefault="00516F40" w:rsidP="00A74345">
      <w:pPr>
        <w:pStyle w:val="Heading2"/>
        <w:rPr>
          <w:u w:val="single"/>
        </w:rPr>
      </w:pPr>
      <w:bookmarkStart w:id="223" w:name="_Toc418179901"/>
      <w:r>
        <w:rPr>
          <w:u w:val="single"/>
        </w:rPr>
        <w:lastRenderedPageBreak/>
        <w:t>Linked E</w:t>
      </w:r>
      <w:r w:rsidR="00A74345" w:rsidRPr="00516F40">
        <w:rPr>
          <w:u w:val="single"/>
        </w:rPr>
        <w:t>vidence – Diagnostic Accuracy</w:t>
      </w:r>
      <w:bookmarkEnd w:id="223"/>
    </w:p>
    <w:p w14:paraId="4FEAA7A1" w14:textId="7EEDA091" w:rsidR="0073135C" w:rsidRDefault="00A74345" w:rsidP="001A75CA">
      <w:pPr>
        <w:pStyle w:val="Heading2"/>
        <w:tabs>
          <w:tab w:val="left" w:pos="1134"/>
        </w:tabs>
      </w:pPr>
      <w:bookmarkStart w:id="224" w:name="_Toc418179902"/>
      <w:r>
        <w:t>B.3.i</w:t>
      </w:r>
      <w:r w:rsidR="00BA5B10">
        <w:tab/>
      </w:r>
      <w:r>
        <w:t xml:space="preserve">Risk of </w:t>
      </w:r>
      <w:r w:rsidR="008177E1">
        <w:t>B</w:t>
      </w:r>
      <w:r>
        <w:t xml:space="preserve">ias </w:t>
      </w:r>
      <w:r w:rsidR="008177E1">
        <w:t>A</w:t>
      </w:r>
      <w:r>
        <w:t>ssessment</w:t>
      </w:r>
      <w:bookmarkEnd w:id="224"/>
    </w:p>
    <w:p w14:paraId="782D9D88" w14:textId="7D35CD63" w:rsidR="008F0174" w:rsidRDefault="00484788" w:rsidP="00A5186D">
      <w:pPr>
        <w:spacing w:after="120"/>
      </w:pPr>
      <w:r>
        <w:t>Summaries</w:t>
      </w:r>
      <w:r w:rsidR="008F0174" w:rsidRPr="008F0174">
        <w:t xml:space="preserve"> of the risk of bias</w:t>
      </w:r>
      <w:r>
        <w:t xml:space="preserve"> for the studies that report diagnostic accuracy outcomes, as</w:t>
      </w:r>
      <w:r w:rsidR="008F0174" w:rsidRPr="008F0174">
        <w:t xml:space="preserve"> determined using the QUADAS-2 tool (Whiting et al</w:t>
      </w:r>
      <w:r w:rsidR="00A36ECE">
        <w:t>.</w:t>
      </w:r>
      <w:r w:rsidR="008F0174" w:rsidRPr="008F0174">
        <w:t xml:space="preserve"> 2011)</w:t>
      </w:r>
      <w:r w:rsidR="00632DF5">
        <w:t>,</w:t>
      </w:r>
      <w:r w:rsidR="008F0174" w:rsidRPr="008F0174">
        <w:t xml:space="preserve"> are shown in </w:t>
      </w:r>
      <w:r w:rsidR="00C71193">
        <w:rPr>
          <w:highlight w:val="yellow"/>
        </w:rPr>
        <w:fldChar w:fldCharType="begin"/>
      </w:r>
      <w:r w:rsidR="00C71193">
        <w:instrText xml:space="preserve"> REF _Ref412106548 \h </w:instrText>
      </w:r>
      <w:r w:rsidR="00C71193">
        <w:rPr>
          <w:highlight w:val="yellow"/>
        </w:rPr>
      </w:r>
      <w:r w:rsidR="00C71193">
        <w:rPr>
          <w:highlight w:val="yellow"/>
        </w:rPr>
        <w:fldChar w:fldCharType="separate"/>
      </w:r>
      <w:r w:rsidR="00BB0E3E">
        <w:t xml:space="preserve">Table </w:t>
      </w:r>
      <w:r w:rsidR="00BB0E3E">
        <w:rPr>
          <w:noProof/>
        </w:rPr>
        <w:t>21</w:t>
      </w:r>
      <w:r w:rsidR="00C71193">
        <w:rPr>
          <w:highlight w:val="yellow"/>
        </w:rPr>
        <w:fldChar w:fldCharType="end"/>
      </w:r>
      <w:r w:rsidR="008F0174" w:rsidRPr="008F0174">
        <w:t xml:space="preserve"> to </w:t>
      </w:r>
      <w:r w:rsidR="00C71193">
        <w:rPr>
          <w:highlight w:val="yellow"/>
        </w:rPr>
        <w:fldChar w:fldCharType="begin"/>
      </w:r>
      <w:r w:rsidR="00C71193">
        <w:instrText xml:space="preserve"> REF _Ref412106559 \h </w:instrText>
      </w:r>
      <w:r w:rsidR="00C71193">
        <w:rPr>
          <w:highlight w:val="yellow"/>
        </w:rPr>
      </w:r>
      <w:r w:rsidR="00C71193">
        <w:rPr>
          <w:highlight w:val="yellow"/>
        </w:rPr>
        <w:fldChar w:fldCharType="separate"/>
      </w:r>
      <w:r w:rsidR="00BB0E3E">
        <w:t xml:space="preserve">Table </w:t>
      </w:r>
      <w:r w:rsidR="00BB0E3E">
        <w:rPr>
          <w:noProof/>
        </w:rPr>
        <w:t>30</w:t>
      </w:r>
      <w:r w:rsidR="00C71193">
        <w:rPr>
          <w:highlight w:val="yellow"/>
        </w:rPr>
        <w:fldChar w:fldCharType="end"/>
      </w:r>
      <w:r w:rsidR="008F0174" w:rsidRPr="008F0174">
        <w:t xml:space="preserve">. </w:t>
      </w:r>
      <w:r>
        <w:t>The accuracy results (and summary of bias etc</w:t>
      </w:r>
      <w:r w:rsidR="00632DF5">
        <w:t>.</w:t>
      </w:r>
      <w:r>
        <w:t xml:space="preserve">) are divided into the </w:t>
      </w:r>
      <w:r w:rsidR="00632DF5">
        <w:t xml:space="preserve">following </w:t>
      </w:r>
      <w:r>
        <w:t>different populations:</w:t>
      </w:r>
    </w:p>
    <w:p w14:paraId="090166A4" w14:textId="1114F02A" w:rsidR="00484788" w:rsidRDefault="00632DF5" w:rsidP="001A75CA">
      <w:pPr>
        <w:pStyle w:val="ListParagraph"/>
        <w:numPr>
          <w:ilvl w:val="0"/>
          <w:numId w:val="25"/>
        </w:numPr>
        <w:spacing w:after="120"/>
      </w:pPr>
      <w:r>
        <w:t>p</w:t>
      </w:r>
      <w:r w:rsidR="00484788">
        <w:t>atients with classic CF symptoms</w:t>
      </w:r>
    </w:p>
    <w:p w14:paraId="15CB5B5A" w14:textId="6B4E2F41" w:rsidR="00484788" w:rsidRDefault="00632DF5" w:rsidP="001A75CA">
      <w:pPr>
        <w:pStyle w:val="ListParagraph"/>
        <w:numPr>
          <w:ilvl w:val="0"/>
          <w:numId w:val="25"/>
        </w:numPr>
        <w:spacing w:after="120"/>
      </w:pPr>
      <w:r>
        <w:t>m</w:t>
      </w:r>
      <w:r w:rsidR="00484788">
        <w:t>en with CBAVD</w:t>
      </w:r>
    </w:p>
    <w:p w14:paraId="357C40E5" w14:textId="3177D311" w:rsidR="00484788" w:rsidRDefault="00632DF5" w:rsidP="001A75CA">
      <w:pPr>
        <w:pStyle w:val="ListParagraph"/>
        <w:numPr>
          <w:ilvl w:val="0"/>
          <w:numId w:val="25"/>
        </w:numPr>
        <w:spacing w:after="120"/>
      </w:pPr>
      <w:r>
        <w:t>c</w:t>
      </w:r>
      <w:r w:rsidR="00484788">
        <w:t xml:space="preserve">arriers of </w:t>
      </w:r>
      <w:r w:rsidR="00FD37D3" w:rsidRPr="00FD37D3">
        <w:t>CFTR</w:t>
      </w:r>
      <w:r w:rsidR="00484788">
        <w:t xml:space="preserve"> mutations</w:t>
      </w:r>
    </w:p>
    <w:p w14:paraId="7AD269AE" w14:textId="6F44168F" w:rsidR="00484788" w:rsidRDefault="00632DF5" w:rsidP="001A75CA">
      <w:pPr>
        <w:pStyle w:val="ListParagraph"/>
        <w:numPr>
          <w:ilvl w:val="0"/>
          <w:numId w:val="25"/>
        </w:numPr>
        <w:spacing w:after="120"/>
      </w:pPr>
      <w:r>
        <w:t>f</w:t>
      </w:r>
      <w:r w:rsidR="00484788">
        <w:t>etuses with carrier parents</w:t>
      </w:r>
    </w:p>
    <w:p w14:paraId="752D25E7" w14:textId="222267A8" w:rsidR="00484788" w:rsidRPr="008F0174" w:rsidRDefault="00632DF5" w:rsidP="002A491C">
      <w:pPr>
        <w:pStyle w:val="ListParagraph"/>
        <w:numPr>
          <w:ilvl w:val="0"/>
          <w:numId w:val="25"/>
        </w:numPr>
      </w:pPr>
      <w:r>
        <w:t>f</w:t>
      </w:r>
      <w:r w:rsidR="00484788">
        <w:t>etuses with FEB</w:t>
      </w:r>
      <w:r w:rsidR="00495380">
        <w:t>.</w:t>
      </w:r>
    </w:p>
    <w:p w14:paraId="60140C1F" w14:textId="4CF596D2" w:rsidR="008F0174" w:rsidRPr="008F0174" w:rsidRDefault="00932431" w:rsidP="008F0174">
      <w:pPr>
        <w:rPr>
          <w:rFonts w:asciiTheme="minorHAnsi" w:hAnsiTheme="minorHAnsi"/>
        </w:rPr>
      </w:pPr>
      <w:r>
        <w:rPr>
          <w:rFonts w:asciiTheme="minorHAnsi" w:hAnsiTheme="minorHAnsi"/>
        </w:rPr>
        <w:t>Thirteen studies met the inclusion criteria t</w:t>
      </w:r>
      <w:r w:rsidR="008F0174" w:rsidRPr="008F0174">
        <w:rPr>
          <w:rFonts w:asciiTheme="minorHAnsi" w:hAnsiTheme="minorHAnsi"/>
        </w:rPr>
        <w:t xml:space="preserve">o assess the accuracy of </w:t>
      </w:r>
      <w:r w:rsidR="00FD37D3" w:rsidRPr="00FD37D3">
        <w:rPr>
          <w:rFonts w:asciiTheme="minorHAnsi" w:hAnsiTheme="minorHAnsi"/>
        </w:rPr>
        <w:t>CFTR</w:t>
      </w:r>
      <w:r w:rsidR="008F0174" w:rsidRPr="008F0174">
        <w:rPr>
          <w:rFonts w:asciiTheme="minorHAnsi" w:hAnsiTheme="minorHAnsi"/>
        </w:rPr>
        <w:t xml:space="preserve"> mutation testing in patients with classical CF symptoms. Four level III-2 studies </w:t>
      </w:r>
      <w:r w:rsidR="0065559E">
        <w:rPr>
          <w:rFonts w:asciiTheme="minorHAnsi" w:hAnsiTheme="minorHAnsi"/>
        </w:rPr>
        <w:t>(</w:t>
      </w:r>
      <w:r w:rsidR="00495380">
        <w:rPr>
          <w:rFonts w:asciiTheme="minorHAnsi" w:hAnsiTheme="minorHAnsi"/>
        </w:rPr>
        <w:t>1</w:t>
      </w:r>
      <w:r w:rsidR="00495380" w:rsidRPr="008F0174">
        <w:rPr>
          <w:rFonts w:asciiTheme="minorHAnsi" w:hAnsiTheme="minorHAnsi"/>
        </w:rPr>
        <w:t xml:space="preserve"> </w:t>
      </w:r>
      <w:r w:rsidR="008F0174" w:rsidRPr="008F0174">
        <w:rPr>
          <w:rFonts w:asciiTheme="minorHAnsi" w:hAnsiTheme="minorHAnsi"/>
        </w:rPr>
        <w:t xml:space="preserve">of good quality with a low risk of bias, </w:t>
      </w:r>
      <w:r w:rsidR="00495380">
        <w:rPr>
          <w:rFonts w:asciiTheme="minorHAnsi" w:hAnsiTheme="minorHAnsi"/>
        </w:rPr>
        <w:t>1</w:t>
      </w:r>
      <w:r w:rsidR="00495380" w:rsidRPr="008F0174">
        <w:rPr>
          <w:rFonts w:asciiTheme="minorHAnsi" w:hAnsiTheme="minorHAnsi"/>
        </w:rPr>
        <w:t xml:space="preserve"> </w:t>
      </w:r>
      <w:r w:rsidR="008F0174" w:rsidRPr="008F0174">
        <w:rPr>
          <w:rFonts w:asciiTheme="minorHAnsi" w:hAnsiTheme="minorHAnsi"/>
        </w:rPr>
        <w:t xml:space="preserve">of intermediate quality with some risk and </w:t>
      </w:r>
      <w:r w:rsidR="00495380">
        <w:rPr>
          <w:rFonts w:asciiTheme="minorHAnsi" w:hAnsiTheme="minorHAnsi"/>
        </w:rPr>
        <w:t>2</w:t>
      </w:r>
      <w:r w:rsidR="00495380" w:rsidRPr="008F0174">
        <w:rPr>
          <w:rFonts w:asciiTheme="minorHAnsi" w:hAnsiTheme="minorHAnsi"/>
        </w:rPr>
        <w:t xml:space="preserve"> </w:t>
      </w:r>
      <w:r w:rsidR="008F0174" w:rsidRPr="008F0174">
        <w:rPr>
          <w:rFonts w:asciiTheme="minorHAnsi" w:hAnsiTheme="minorHAnsi"/>
        </w:rPr>
        <w:t>of poor quality with a high risk</w:t>
      </w:r>
      <w:r>
        <w:rPr>
          <w:rFonts w:asciiTheme="minorHAnsi" w:hAnsiTheme="minorHAnsi"/>
        </w:rPr>
        <w:t xml:space="preserve"> of bias</w:t>
      </w:r>
      <w:r w:rsidR="0065559E">
        <w:rPr>
          <w:rFonts w:asciiTheme="minorHAnsi" w:hAnsiTheme="minorHAnsi"/>
        </w:rPr>
        <w:t>)</w:t>
      </w:r>
      <w:r w:rsidR="008F0174" w:rsidRPr="008F0174">
        <w:rPr>
          <w:rFonts w:asciiTheme="minorHAnsi" w:hAnsiTheme="minorHAnsi"/>
        </w:rPr>
        <w:t xml:space="preserve"> compared a </w:t>
      </w:r>
      <w:r w:rsidR="00FD37D3" w:rsidRPr="00FD37D3">
        <w:rPr>
          <w:rFonts w:asciiTheme="minorHAnsi" w:hAnsiTheme="minorHAnsi"/>
        </w:rPr>
        <w:t>CFTR</w:t>
      </w:r>
      <w:r w:rsidR="008F0174" w:rsidRPr="008F0174">
        <w:rPr>
          <w:rFonts w:asciiTheme="minorHAnsi" w:hAnsiTheme="minorHAnsi"/>
        </w:rPr>
        <w:t xml:space="preserve"> mutation test with DNA sequencing (</w:t>
      </w:r>
      <w:r w:rsidR="00C71193">
        <w:rPr>
          <w:rFonts w:asciiTheme="minorHAnsi" w:hAnsiTheme="minorHAnsi"/>
          <w:highlight w:val="yellow"/>
        </w:rPr>
        <w:fldChar w:fldCharType="begin"/>
      </w:r>
      <w:r w:rsidR="00C71193">
        <w:rPr>
          <w:rFonts w:asciiTheme="minorHAnsi" w:hAnsiTheme="minorHAnsi"/>
        </w:rPr>
        <w:instrText xml:space="preserve"> REF _Ref412106548 \h </w:instrText>
      </w:r>
      <w:r w:rsidR="00C71193">
        <w:rPr>
          <w:rFonts w:asciiTheme="minorHAnsi" w:hAnsiTheme="minorHAnsi"/>
          <w:highlight w:val="yellow"/>
        </w:rPr>
      </w:r>
      <w:r w:rsidR="00C71193">
        <w:rPr>
          <w:rFonts w:asciiTheme="minorHAnsi" w:hAnsiTheme="minorHAnsi"/>
          <w:highlight w:val="yellow"/>
        </w:rPr>
        <w:fldChar w:fldCharType="separate"/>
      </w:r>
      <w:r w:rsidR="00BB0E3E">
        <w:t xml:space="preserve">Table </w:t>
      </w:r>
      <w:r w:rsidR="00BB0E3E">
        <w:rPr>
          <w:noProof/>
        </w:rPr>
        <w:t>21</w:t>
      </w:r>
      <w:r w:rsidR="00C71193">
        <w:rPr>
          <w:rFonts w:asciiTheme="minorHAnsi" w:hAnsiTheme="minorHAnsi"/>
          <w:highlight w:val="yellow"/>
        </w:rPr>
        <w:fldChar w:fldCharType="end"/>
      </w:r>
      <w:r w:rsidR="008F0174" w:rsidRPr="008F0174">
        <w:rPr>
          <w:rFonts w:asciiTheme="minorHAnsi" w:hAnsiTheme="minorHAnsi"/>
        </w:rPr>
        <w:t>). Four studies (</w:t>
      </w:r>
      <w:r w:rsidR="00495380">
        <w:rPr>
          <w:rFonts w:asciiTheme="minorHAnsi" w:hAnsiTheme="minorHAnsi"/>
        </w:rPr>
        <w:t>1</w:t>
      </w:r>
      <w:r w:rsidR="00495380" w:rsidRPr="008F0174">
        <w:rPr>
          <w:rFonts w:asciiTheme="minorHAnsi" w:hAnsiTheme="minorHAnsi"/>
        </w:rPr>
        <w:t xml:space="preserve"> </w:t>
      </w:r>
      <w:r w:rsidR="008F0174" w:rsidRPr="008F0174">
        <w:rPr>
          <w:rFonts w:asciiTheme="minorHAnsi" w:hAnsiTheme="minorHAnsi"/>
        </w:rPr>
        <w:t>level III-1 of good quality</w:t>
      </w:r>
      <w:r w:rsidR="00AA6768">
        <w:rPr>
          <w:rFonts w:asciiTheme="minorHAnsi" w:hAnsiTheme="minorHAnsi"/>
        </w:rPr>
        <w:t>,</w:t>
      </w:r>
      <w:r w:rsidR="008F0174" w:rsidRPr="008F0174">
        <w:rPr>
          <w:rFonts w:asciiTheme="minorHAnsi" w:hAnsiTheme="minorHAnsi"/>
        </w:rPr>
        <w:t xml:space="preserve"> and </w:t>
      </w:r>
      <w:r w:rsidR="00495380">
        <w:rPr>
          <w:rFonts w:asciiTheme="minorHAnsi" w:hAnsiTheme="minorHAnsi"/>
        </w:rPr>
        <w:t>3</w:t>
      </w:r>
      <w:r w:rsidR="00495380" w:rsidRPr="008F0174">
        <w:rPr>
          <w:rFonts w:asciiTheme="minorHAnsi" w:hAnsiTheme="minorHAnsi"/>
        </w:rPr>
        <w:t xml:space="preserve"> </w:t>
      </w:r>
      <w:r w:rsidR="008F0174" w:rsidRPr="008F0174">
        <w:rPr>
          <w:rFonts w:asciiTheme="minorHAnsi" w:hAnsiTheme="minorHAnsi"/>
        </w:rPr>
        <w:t>level III-2 studies</w:t>
      </w:r>
      <w:r w:rsidR="00AA6768">
        <w:rPr>
          <w:rFonts w:asciiTheme="minorHAnsi" w:hAnsiTheme="minorHAnsi"/>
        </w:rPr>
        <w:t>—</w:t>
      </w:r>
      <w:r w:rsidR="00495380">
        <w:rPr>
          <w:rFonts w:asciiTheme="minorHAnsi" w:hAnsiTheme="minorHAnsi"/>
        </w:rPr>
        <w:t>1</w:t>
      </w:r>
      <w:r w:rsidR="00495380" w:rsidRPr="008F0174">
        <w:rPr>
          <w:rFonts w:asciiTheme="minorHAnsi" w:hAnsiTheme="minorHAnsi"/>
        </w:rPr>
        <w:t xml:space="preserve"> </w:t>
      </w:r>
      <w:r w:rsidR="008F0174" w:rsidRPr="008F0174">
        <w:rPr>
          <w:rFonts w:asciiTheme="minorHAnsi" w:hAnsiTheme="minorHAnsi"/>
        </w:rPr>
        <w:t xml:space="preserve">of good and </w:t>
      </w:r>
      <w:r w:rsidR="00495380">
        <w:rPr>
          <w:rFonts w:asciiTheme="minorHAnsi" w:hAnsiTheme="minorHAnsi"/>
        </w:rPr>
        <w:t>2</w:t>
      </w:r>
      <w:r w:rsidR="00495380" w:rsidRPr="008F0174">
        <w:rPr>
          <w:rFonts w:asciiTheme="minorHAnsi" w:hAnsiTheme="minorHAnsi"/>
        </w:rPr>
        <w:t xml:space="preserve"> </w:t>
      </w:r>
      <w:r w:rsidR="008F0174" w:rsidRPr="008F0174">
        <w:rPr>
          <w:rFonts w:asciiTheme="minorHAnsi" w:hAnsiTheme="minorHAnsi"/>
        </w:rPr>
        <w:t>of intermediate quality) compared DNA sequencing with a clinical diagnosis (</w:t>
      </w:r>
      <w:r w:rsidR="00C54DCA">
        <w:rPr>
          <w:rFonts w:asciiTheme="minorHAnsi" w:hAnsiTheme="minorHAnsi"/>
        </w:rPr>
        <w:t>Table 22</w:t>
      </w:r>
      <w:r w:rsidR="008F0174" w:rsidRPr="008F0174">
        <w:rPr>
          <w:rFonts w:asciiTheme="minorHAnsi" w:hAnsiTheme="minorHAnsi"/>
        </w:rPr>
        <w:t>)</w:t>
      </w:r>
      <w:r w:rsidR="00495380">
        <w:rPr>
          <w:rFonts w:asciiTheme="minorHAnsi" w:hAnsiTheme="minorHAnsi"/>
        </w:rPr>
        <w:t>;</w:t>
      </w:r>
      <w:r w:rsidR="008F0174" w:rsidRPr="008F0174">
        <w:rPr>
          <w:rFonts w:asciiTheme="minorHAnsi" w:hAnsiTheme="minorHAnsi"/>
        </w:rPr>
        <w:t xml:space="preserve"> and </w:t>
      </w:r>
      <w:r w:rsidR="00495380">
        <w:rPr>
          <w:rFonts w:asciiTheme="minorHAnsi" w:hAnsiTheme="minorHAnsi"/>
        </w:rPr>
        <w:t>5</w:t>
      </w:r>
      <w:r w:rsidR="00495380" w:rsidRPr="008F0174">
        <w:rPr>
          <w:rFonts w:asciiTheme="minorHAnsi" w:hAnsiTheme="minorHAnsi"/>
        </w:rPr>
        <w:t xml:space="preserve"> </w:t>
      </w:r>
      <w:r w:rsidR="008F0174" w:rsidRPr="008F0174">
        <w:rPr>
          <w:rFonts w:asciiTheme="minorHAnsi" w:hAnsiTheme="minorHAnsi"/>
        </w:rPr>
        <w:t>level III-2 studies (</w:t>
      </w:r>
      <w:r w:rsidR="00495380">
        <w:rPr>
          <w:rFonts w:asciiTheme="minorHAnsi" w:hAnsiTheme="minorHAnsi"/>
        </w:rPr>
        <w:t>2</w:t>
      </w:r>
      <w:r w:rsidR="00495380" w:rsidRPr="008F0174">
        <w:rPr>
          <w:rFonts w:asciiTheme="minorHAnsi" w:hAnsiTheme="minorHAnsi"/>
        </w:rPr>
        <w:t xml:space="preserve"> </w:t>
      </w:r>
      <w:r w:rsidR="008F0174" w:rsidRPr="008F0174">
        <w:rPr>
          <w:rFonts w:asciiTheme="minorHAnsi" w:hAnsiTheme="minorHAnsi"/>
        </w:rPr>
        <w:t xml:space="preserve">of good, </w:t>
      </w:r>
      <w:r w:rsidR="00495380">
        <w:rPr>
          <w:rFonts w:asciiTheme="minorHAnsi" w:hAnsiTheme="minorHAnsi"/>
        </w:rPr>
        <w:t>2</w:t>
      </w:r>
      <w:r w:rsidR="00495380" w:rsidRPr="008F0174">
        <w:rPr>
          <w:rFonts w:asciiTheme="minorHAnsi" w:hAnsiTheme="minorHAnsi"/>
        </w:rPr>
        <w:t xml:space="preserve"> </w:t>
      </w:r>
      <w:r w:rsidR="008F0174" w:rsidRPr="008F0174">
        <w:rPr>
          <w:rFonts w:asciiTheme="minorHAnsi" w:hAnsiTheme="minorHAnsi"/>
        </w:rPr>
        <w:t xml:space="preserve">of intermediate and </w:t>
      </w:r>
      <w:r w:rsidR="00495380">
        <w:rPr>
          <w:rFonts w:asciiTheme="minorHAnsi" w:hAnsiTheme="minorHAnsi"/>
        </w:rPr>
        <w:t>1</w:t>
      </w:r>
      <w:r w:rsidR="00495380" w:rsidRPr="008F0174">
        <w:rPr>
          <w:rFonts w:asciiTheme="minorHAnsi" w:hAnsiTheme="minorHAnsi"/>
        </w:rPr>
        <w:t xml:space="preserve"> </w:t>
      </w:r>
      <w:r w:rsidR="008F0174" w:rsidRPr="008F0174">
        <w:rPr>
          <w:rFonts w:asciiTheme="minorHAnsi" w:hAnsiTheme="minorHAnsi"/>
        </w:rPr>
        <w:t xml:space="preserve">of poor quality) compared a </w:t>
      </w:r>
      <w:r w:rsidR="00FD37D3" w:rsidRPr="00FD37D3">
        <w:rPr>
          <w:rFonts w:asciiTheme="minorHAnsi" w:hAnsiTheme="minorHAnsi"/>
        </w:rPr>
        <w:t>CFTR</w:t>
      </w:r>
      <w:r w:rsidR="008F0174" w:rsidRPr="008F0174">
        <w:rPr>
          <w:rFonts w:asciiTheme="minorHAnsi" w:hAnsiTheme="minorHAnsi"/>
        </w:rPr>
        <w:t xml:space="preserve"> mutation test with clinical diagnosis (</w:t>
      </w:r>
      <w:r w:rsidR="00C54DCA">
        <w:rPr>
          <w:rFonts w:asciiTheme="minorHAnsi" w:hAnsiTheme="minorHAnsi"/>
        </w:rPr>
        <w:t>Table 23</w:t>
      </w:r>
      <w:r w:rsidR="008F0174" w:rsidRPr="008F0174">
        <w:rPr>
          <w:rFonts w:asciiTheme="minorHAnsi" w:hAnsiTheme="minorHAnsi"/>
        </w:rPr>
        <w:t>).</w:t>
      </w:r>
    </w:p>
    <w:p w14:paraId="7C21EF2E" w14:textId="4B7809B2" w:rsidR="00C71193" w:rsidRDefault="00C71193" w:rsidP="00022486">
      <w:pPr>
        <w:pStyle w:val="Caption"/>
        <w:ind w:left="1134" w:hanging="1134"/>
      </w:pPr>
      <w:bookmarkStart w:id="225" w:name="_Ref412106548"/>
      <w:bookmarkStart w:id="226" w:name="_Toc418179418"/>
      <w:r>
        <w:t xml:space="preserve">Table </w:t>
      </w:r>
      <w:fldSimple w:instr=" SEQ Table \* ARABIC ">
        <w:r w:rsidR="00BB0E3E">
          <w:rPr>
            <w:noProof/>
          </w:rPr>
          <w:t>21</w:t>
        </w:r>
      </w:fldSimple>
      <w:bookmarkEnd w:id="225"/>
      <w:r>
        <w:t xml:space="preserve"> </w:t>
      </w:r>
      <w:r w:rsidR="00332C77">
        <w:tab/>
      </w:r>
      <w:r w:rsidRPr="00480752">
        <w:t xml:space="preserve">Risk of bias and applicability judgements for diagnostic accuracy studies comparing </w:t>
      </w:r>
      <w:r w:rsidR="00FD37D3" w:rsidRPr="00FD37D3">
        <w:t>CFTR</w:t>
      </w:r>
      <w:r w:rsidRPr="00480752">
        <w:t xml:space="preserve"> mutation testing with DNA sequencing in CF patients</w:t>
      </w:r>
      <w:bookmarkEnd w:id="226"/>
    </w:p>
    <w:tbl>
      <w:tblPr>
        <w:tblStyle w:val="TableGrid1"/>
        <w:tblW w:w="0" w:type="auto"/>
        <w:tblLook w:val="00A0" w:firstRow="1" w:lastRow="0" w:firstColumn="1" w:lastColumn="0" w:noHBand="0" w:noVBand="0"/>
        <w:tblCaption w:val="Risk of bias and applicability judgements for diagnostic accuracy studies comparing CFTR mutation testing with DNA sequencing in CF patients"/>
        <w:tblDescription w:val="Risk of bias and applicability judgements for diagnostic accuracy studies comparing CFTR mutation testing with DNA sequencing in CF patients"/>
      </w:tblPr>
      <w:tblGrid>
        <w:gridCol w:w="2126"/>
        <w:gridCol w:w="871"/>
        <w:gridCol w:w="851"/>
        <w:gridCol w:w="992"/>
        <w:gridCol w:w="850"/>
        <w:gridCol w:w="1135"/>
        <w:gridCol w:w="1135"/>
        <w:gridCol w:w="1197"/>
      </w:tblGrid>
      <w:tr w:rsidR="008F0174" w:rsidRPr="008F0174" w14:paraId="475C88A4"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3CE1A375"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3748A123"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85A893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444DEF99"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CED8F7A"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40A645CA"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45D023A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5CF3E21B"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1336010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19D112A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04C5463F"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1F248D7F"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854F3D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4E1C3E0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2C83623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5191CF37" w14:textId="77777777" w:rsidTr="004245A0">
        <w:trPr>
          <w:trHeight w:val="342"/>
        </w:trPr>
        <w:tc>
          <w:tcPr>
            <w:tcW w:w="2126" w:type="dxa"/>
          </w:tcPr>
          <w:p w14:paraId="43F2C42F" w14:textId="30B08187"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Houdayer et al. </w:t>
            </w:r>
            <w:r w:rsidR="00AA6768">
              <w:rPr>
                <w:rFonts w:ascii="Arial Narrow" w:hAnsi="Arial Narrow" w:cs="Calibri"/>
                <w:sz w:val="20"/>
                <w:szCs w:val="20"/>
                <w:lang w:eastAsia="en-GB"/>
              </w:rPr>
              <w:t>(</w:t>
            </w:r>
            <w:r w:rsidRPr="008F0174">
              <w:rPr>
                <w:rFonts w:ascii="Arial Narrow" w:hAnsi="Arial Narrow" w:cs="Calibri"/>
                <w:sz w:val="20"/>
                <w:szCs w:val="20"/>
                <w:lang w:eastAsia="en-GB"/>
              </w:rPr>
              <w:t>1998</w:t>
            </w:r>
            <w:r w:rsidR="00AA6768">
              <w:rPr>
                <w:rFonts w:ascii="Arial Narrow" w:hAnsi="Arial Narrow" w:cs="Calibri"/>
                <w:sz w:val="20"/>
                <w:szCs w:val="20"/>
                <w:lang w:eastAsia="en-GB"/>
              </w:rPr>
              <w:t>)</w:t>
            </w:r>
          </w:p>
        </w:tc>
        <w:tc>
          <w:tcPr>
            <w:tcW w:w="850" w:type="dxa"/>
          </w:tcPr>
          <w:p w14:paraId="535D194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359FFA0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5547F00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43D1192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1134" w:type="dxa"/>
          </w:tcPr>
          <w:p w14:paraId="47C00095"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BE32C2C"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452257D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50F89CE2" w14:textId="77777777" w:rsidTr="004245A0">
        <w:trPr>
          <w:trHeight w:val="342"/>
        </w:trPr>
        <w:tc>
          <w:tcPr>
            <w:tcW w:w="2126" w:type="dxa"/>
          </w:tcPr>
          <w:p w14:paraId="61C75C93" w14:textId="6E890274" w:rsidR="008F0174" w:rsidRPr="008F0174" w:rsidRDefault="00454267" w:rsidP="001A75CA">
            <w:pPr>
              <w:keepNext/>
              <w:spacing w:after="40" w:line="240" w:lineRule="auto"/>
              <w:jc w:val="left"/>
              <w:rPr>
                <w:rFonts w:ascii="Arial Narrow" w:hAnsi="Arial Narrow" w:cs="Calibri"/>
                <w:sz w:val="20"/>
                <w:szCs w:val="20"/>
                <w:lang w:eastAsia="en-GB"/>
              </w:rPr>
            </w:pPr>
            <w:r>
              <w:rPr>
                <w:rFonts w:ascii="Arial Narrow" w:hAnsi="Arial Narrow" w:cs="Calibri"/>
                <w:sz w:val="20"/>
                <w:szCs w:val="20"/>
                <w:lang w:eastAsia="en-GB"/>
              </w:rPr>
              <w:t>Ravnik-Glavac</w:t>
            </w:r>
            <w:r w:rsidR="008F0174" w:rsidRPr="008F0174">
              <w:rPr>
                <w:rFonts w:ascii="Arial Narrow" w:hAnsi="Arial Narrow" w:cs="Calibri"/>
                <w:sz w:val="20"/>
                <w:szCs w:val="20"/>
                <w:lang w:eastAsia="en-GB"/>
              </w:rPr>
              <w:t xml:space="preserve"> et al. </w:t>
            </w:r>
            <w:r w:rsidR="00AA6768">
              <w:rPr>
                <w:rFonts w:ascii="Arial Narrow" w:hAnsi="Arial Narrow" w:cs="Calibri"/>
                <w:sz w:val="20"/>
                <w:szCs w:val="20"/>
                <w:lang w:eastAsia="en-GB"/>
              </w:rPr>
              <w:t>(</w:t>
            </w:r>
            <w:r w:rsidR="008F0174" w:rsidRPr="008F0174">
              <w:rPr>
                <w:rFonts w:ascii="Arial Narrow" w:hAnsi="Arial Narrow" w:cs="Calibri"/>
                <w:sz w:val="20"/>
                <w:szCs w:val="20"/>
                <w:lang w:eastAsia="en-GB"/>
              </w:rPr>
              <w:t>2002</w:t>
            </w:r>
            <w:r w:rsidR="00AA6768">
              <w:rPr>
                <w:rFonts w:ascii="Arial Narrow" w:hAnsi="Arial Narrow" w:cs="Calibri"/>
                <w:sz w:val="20"/>
                <w:szCs w:val="20"/>
                <w:lang w:eastAsia="en-GB"/>
              </w:rPr>
              <w:t>)</w:t>
            </w:r>
          </w:p>
        </w:tc>
        <w:tc>
          <w:tcPr>
            <w:tcW w:w="850" w:type="dxa"/>
          </w:tcPr>
          <w:p w14:paraId="38376D5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41695DD8"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024201C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0" w:type="dxa"/>
          </w:tcPr>
          <w:p w14:paraId="394A449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136623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4E63F25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6B55ADC7"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73632758" w14:textId="77777777" w:rsidTr="004245A0">
        <w:trPr>
          <w:trHeight w:val="342"/>
        </w:trPr>
        <w:tc>
          <w:tcPr>
            <w:tcW w:w="2126" w:type="dxa"/>
          </w:tcPr>
          <w:p w14:paraId="6CA77206" w14:textId="22EE449A"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Ravnik-Glava</w:t>
            </w:r>
            <w:r w:rsidR="00AA6768">
              <w:rPr>
                <w:rFonts w:ascii="Arial Narrow" w:hAnsi="Arial Narrow" w:cs="Calibri"/>
                <w:sz w:val="20"/>
                <w:szCs w:val="20"/>
                <w:lang w:eastAsia="en-GB"/>
              </w:rPr>
              <w:t>c</w:t>
            </w:r>
            <w:r w:rsidRPr="008F0174">
              <w:rPr>
                <w:rFonts w:ascii="Arial Narrow" w:hAnsi="Arial Narrow" w:cs="Calibri"/>
                <w:sz w:val="20"/>
                <w:szCs w:val="20"/>
                <w:lang w:eastAsia="en-GB"/>
              </w:rPr>
              <w:t xml:space="preserve"> et al. </w:t>
            </w:r>
            <w:r w:rsidR="00AA6768">
              <w:rPr>
                <w:rFonts w:ascii="Arial Narrow" w:hAnsi="Arial Narrow" w:cs="Calibri"/>
                <w:sz w:val="20"/>
                <w:szCs w:val="20"/>
                <w:lang w:eastAsia="en-GB"/>
              </w:rPr>
              <w:t>(</w:t>
            </w:r>
            <w:r w:rsidRPr="008F0174">
              <w:rPr>
                <w:rFonts w:ascii="Arial Narrow" w:hAnsi="Arial Narrow" w:cs="Calibri"/>
                <w:sz w:val="20"/>
                <w:szCs w:val="20"/>
                <w:lang w:eastAsia="en-GB"/>
              </w:rPr>
              <w:t>1994</w:t>
            </w:r>
            <w:r w:rsidR="00AA6768">
              <w:rPr>
                <w:rFonts w:ascii="Arial Narrow" w:hAnsi="Arial Narrow" w:cs="Calibri"/>
                <w:sz w:val="20"/>
                <w:szCs w:val="20"/>
                <w:lang w:eastAsia="en-GB"/>
              </w:rPr>
              <w:t>)</w:t>
            </w:r>
          </w:p>
        </w:tc>
        <w:tc>
          <w:tcPr>
            <w:tcW w:w="850" w:type="dxa"/>
          </w:tcPr>
          <w:p w14:paraId="6ECE4DE8"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7B8FB5B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533A1D3E"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0" w:type="dxa"/>
          </w:tcPr>
          <w:p w14:paraId="7780BA8C"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08183B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3A620C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374529D8"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789C9407" w14:textId="77777777" w:rsidTr="004245A0">
        <w:trPr>
          <w:trHeight w:val="342"/>
        </w:trPr>
        <w:tc>
          <w:tcPr>
            <w:tcW w:w="2126" w:type="dxa"/>
          </w:tcPr>
          <w:p w14:paraId="3DE9600B" w14:textId="29CA8204"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Tomaiuolo, Spina &amp; Castaldo </w:t>
            </w:r>
            <w:r w:rsidR="00AA6768">
              <w:rPr>
                <w:rFonts w:ascii="Arial Narrow" w:hAnsi="Arial Narrow" w:cs="Calibri"/>
                <w:sz w:val="20"/>
                <w:szCs w:val="20"/>
                <w:lang w:eastAsia="en-GB"/>
              </w:rPr>
              <w:t>(</w:t>
            </w:r>
            <w:r w:rsidRPr="008F0174">
              <w:rPr>
                <w:rFonts w:ascii="Arial Narrow" w:hAnsi="Arial Narrow" w:cs="Calibri"/>
                <w:sz w:val="20"/>
                <w:szCs w:val="20"/>
                <w:lang w:eastAsia="en-GB"/>
              </w:rPr>
              <w:t>2003</w:t>
            </w:r>
            <w:r w:rsidR="00AA6768">
              <w:rPr>
                <w:rFonts w:ascii="Arial Narrow" w:hAnsi="Arial Narrow" w:cs="Calibri"/>
                <w:sz w:val="20"/>
                <w:szCs w:val="20"/>
                <w:lang w:eastAsia="en-GB"/>
              </w:rPr>
              <w:t>)</w:t>
            </w:r>
          </w:p>
        </w:tc>
        <w:tc>
          <w:tcPr>
            <w:tcW w:w="850" w:type="dxa"/>
          </w:tcPr>
          <w:p w14:paraId="3D16504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1C118151"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669AC0A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59DD209A"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1338A9A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FD1799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2322405"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29E7C3EF" w14:textId="76A3F0FD"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3B54772D" w14:textId="43CD968E" w:rsidR="008F0174" w:rsidRPr="001A75CA" w:rsidRDefault="0065559E"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 = </w:t>
      </w:r>
      <w:r w:rsidRPr="001A75CA">
        <w:rPr>
          <w:rFonts w:ascii="Arial Narrow" w:hAnsi="Arial Narrow"/>
          <w:sz w:val="18"/>
          <w:szCs w:val="18"/>
        </w:rPr>
        <w:t>cystic fibrosis</w:t>
      </w:r>
      <w:r w:rsidRPr="0065559E">
        <w:rPr>
          <w:rFonts w:ascii="Arial Narrow" w:hAnsi="Arial Narrow" w:cs="Calibri"/>
          <w:sz w:val="18"/>
          <w:szCs w:val="18"/>
          <w:lang w:eastAsia="en-GB"/>
        </w:rPr>
        <w:t xml:space="preserve">; CFTR = </w:t>
      </w:r>
      <w:r w:rsidRPr="001A75CA">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DNA = </w:t>
      </w:r>
      <w:r w:rsidRPr="001A75CA">
        <w:rPr>
          <w:rFonts w:ascii="Arial Narrow" w:hAnsi="Arial Narrow"/>
          <w:sz w:val="18"/>
          <w:szCs w:val="18"/>
        </w:rPr>
        <w:t>deoxyribonucleic acid</w:t>
      </w:r>
      <w:r w:rsidRPr="0065559E">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326CBA89" w14:textId="730287C1" w:rsidR="008F0174" w:rsidRPr="001A75CA" w:rsidRDefault="0059118F" w:rsidP="001A75CA">
      <w:pPr>
        <w:keepNext/>
        <w:spacing w:after="0" w:line="240" w:lineRule="auto"/>
        <w:ind w:right="-57"/>
        <w:jc w:val="left"/>
        <w:rPr>
          <w:rFonts w:ascii="Arial Narrow" w:hAnsi="Arial Narrow"/>
          <w:sz w:val="18"/>
          <w:szCs w:val="18"/>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463A1176" w14:textId="77777777" w:rsidR="002A6A9D" w:rsidRDefault="002A6A9D" w:rsidP="001A75CA">
      <w:bookmarkStart w:id="227" w:name="_Ref412106600"/>
      <w:bookmarkStart w:id="228" w:name="_Toc418179419"/>
      <w:bookmarkStart w:id="229" w:name="_GoBack"/>
      <w:bookmarkEnd w:id="229"/>
    </w:p>
    <w:p w14:paraId="103CF4A9" w14:textId="77777777" w:rsidR="00C71193" w:rsidRDefault="00C71193" w:rsidP="00022486">
      <w:pPr>
        <w:pStyle w:val="Caption"/>
        <w:ind w:left="1134" w:hanging="1134"/>
      </w:pPr>
      <w:r>
        <w:lastRenderedPageBreak/>
        <w:t xml:space="preserve">Table </w:t>
      </w:r>
      <w:fldSimple w:instr=" SEQ Table \* ARABIC ">
        <w:r w:rsidR="00BB0E3E">
          <w:rPr>
            <w:noProof/>
          </w:rPr>
          <w:t>22</w:t>
        </w:r>
      </w:fldSimple>
      <w:bookmarkEnd w:id="227"/>
      <w:r>
        <w:t xml:space="preserve"> </w:t>
      </w:r>
      <w:r w:rsidR="00332C77">
        <w:tab/>
      </w:r>
      <w:r w:rsidRPr="00B32A25">
        <w:t>Risk of bias and applicability judgements for diagnostic accuracy studies comparing DNA sequencing with clinical diagnosis in CF patients</w:t>
      </w:r>
      <w:bookmarkEnd w:id="228"/>
    </w:p>
    <w:tbl>
      <w:tblPr>
        <w:tblStyle w:val="TableGrid1"/>
        <w:tblW w:w="0" w:type="auto"/>
        <w:tblLook w:val="00A0" w:firstRow="1" w:lastRow="0" w:firstColumn="1" w:lastColumn="0" w:noHBand="0" w:noVBand="0"/>
        <w:tblCaption w:val="Risk of bias and applicability judgements for diagnostic accuracy studies comparing DNA sequencing with clinical diagnosis in CF patients"/>
        <w:tblDescription w:val="Risk of bias and applicability judgements for diagnostic accuracy studies comparing DNA sequencing with clinical diagnosis in CF patients"/>
      </w:tblPr>
      <w:tblGrid>
        <w:gridCol w:w="2126"/>
        <w:gridCol w:w="871"/>
        <w:gridCol w:w="851"/>
        <w:gridCol w:w="992"/>
        <w:gridCol w:w="850"/>
        <w:gridCol w:w="1135"/>
        <w:gridCol w:w="1135"/>
        <w:gridCol w:w="1197"/>
      </w:tblGrid>
      <w:tr w:rsidR="008F0174" w:rsidRPr="008F0174" w14:paraId="2A544DBA"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0D82B789"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6AC7C8D3"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D70407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2666BC6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4E5574DC"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3F70E86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69916288"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097DD97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3C0B9C51"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2478A838"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43DA293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236ADCCC"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5A5471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40A5140C"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17FEF045"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5A87AF21" w14:textId="77777777" w:rsidTr="004245A0">
        <w:trPr>
          <w:trHeight w:val="342"/>
        </w:trPr>
        <w:tc>
          <w:tcPr>
            <w:tcW w:w="2126" w:type="dxa"/>
          </w:tcPr>
          <w:p w14:paraId="7F36970F" w14:textId="1C10B584"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Bickmann et al. </w:t>
            </w:r>
            <w:r w:rsidR="00C60334">
              <w:rPr>
                <w:rFonts w:ascii="Arial Narrow" w:hAnsi="Arial Narrow" w:cs="Calibri"/>
                <w:sz w:val="20"/>
                <w:szCs w:val="20"/>
                <w:lang w:eastAsia="en-GB"/>
              </w:rPr>
              <w:t>(</w:t>
            </w:r>
            <w:r w:rsidRPr="008F0174">
              <w:rPr>
                <w:rFonts w:ascii="Arial Narrow" w:hAnsi="Arial Narrow" w:cs="Calibri"/>
                <w:sz w:val="20"/>
                <w:szCs w:val="20"/>
                <w:lang w:eastAsia="en-GB"/>
              </w:rPr>
              <w:t>2009</w:t>
            </w:r>
            <w:r w:rsidR="00C60334">
              <w:rPr>
                <w:rFonts w:ascii="Arial Narrow" w:hAnsi="Arial Narrow" w:cs="Calibri"/>
                <w:sz w:val="20"/>
                <w:szCs w:val="20"/>
                <w:lang w:eastAsia="en-GB"/>
              </w:rPr>
              <w:t>)</w:t>
            </w:r>
          </w:p>
        </w:tc>
        <w:tc>
          <w:tcPr>
            <w:tcW w:w="850" w:type="dxa"/>
          </w:tcPr>
          <w:p w14:paraId="6C4E0705"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08702C4D"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52604596"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525A6D7F"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c>
          <w:tcPr>
            <w:tcW w:w="1134" w:type="dxa"/>
          </w:tcPr>
          <w:p w14:paraId="72279174"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c>
          <w:tcPr>
            <w:tcW w:w="1134" w:type="dxa"/>
          </w:tcPr>
          <w:p w14:paraId="7303F3B1"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c>
          <w:tcPr>
            <w:tcW w:w="1197" w:type="dxa"/>
          </w:tcPr>
          <w:p w14:paraId="79A8C482"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r>
      <w:tr w:rsidR="008F0174" w:rsidRPr="008F0174" w14:paraId="22CEE8C7" w14:textId="77777777" w:rsidTr="004245A0">
        <w:trPr>
          <w:trHeight w:val="342"/>
        </w:trPr>
        <w:tc>
          <w:tcPr>
            <w:tcW w:w="2126" w:type="dxa"/>
          </w:tcPr>
          <w:p w14:paraId="2256613A" w14:textId="22AC6D09" w:rsidR="008F0174" w:rsidRPr="00D97540" w:rsidRDefault="008F0174" w:rsidP="001A75CA">
            <w:pPr>
              <w:keepNext/>
              <w:spacing w:after="40" w:line="240" w:lineRule="auto"/>
              <w:ind w:right="-57"/>
              <w:jc w:val="left"/>
              <w:rPr>
                <w:rFonts w:ascii="Arial Narrow" w:hAnsi="Arial Narrow" w:cs="Calibri"/>
                <w:sz w:val="20"/>
                <w:szCs w:val="20"/>
                <w:lang w:eastAsia="en-GB"/>
              </w:rPr>
            </w:pPr>
            <w:r w:rsidRPr="00D97540">
              <w:rPr>
                <w:rFonts w:ascii="Arial Narrow" w:hAnsi="Arial Narrow" w:cs="Calibri"/>
                <w:sz w:val="20"/>
                <w:szCs w:val="20"/>
                <w:lang w:eastAsia="en-GB"/>
              </w:rPr>
              <w:t xml:space="preserve">Bonizzato et al. </w:t>
            </w:r>
            <w:r w:rsidR="00C60334">
              <w:rPr>
                <w:rFonts w:ascii="Arial Narrow" w:hAnsi="Arial Narrow" w:cs="Calibri"/>
                <w:sz w:val="20"/>
                <w:szCs w:val="20"/>
                <w:lang w:eastAsia="en-GB"/>
              </w:rPr>
              <w:t>(</w:t>
            </w:r>
            <w:r w:rsidRPr="00D97540">
              <w:rPr>
                <w:rFonts w:ascii="Arial Narrow" w:hAnsi="Arial Narrow" w:cs="Calibri"/>
                <w:sz w:val="20"/>
                <w:szCs w:val="20"/>
                <w:lang w:eastAsia="en-GB"/>
              </w:rPr>
              <w:t>1995</w:t>
            </w:r>
            <w:r w:rsidR="00C60334">
              <w:rPr>
                <w:rFonts w:ascii="Arial Narrow" w:hAnsi="Arial Narrow" w:cs="Calibri"/>
                <w:sz w:val="20"/>
                <w:szCs w:val="20"/>
                <w:lang w:eastAsia="en-GB"/>
              </w:rPr>
              <w:t>)</w:t>
            </w:r>
          </w:p>
          <w:p w14:paraId="66DCB88C" w14:textId="48514A8F" w:rsidR="008F0174" w:rsidRPr="008F0174" w:rsidRDefault="008F0174" w:rsidP="001A75CA">
            <w:pPr>
              <w:keepNext/>
              <w:spacing w:after="40" w:line="240" w:lineRule="auto"/>
              <w:ind w:right="-57"/>
              <w:jc w:val="left"/>
              <w:rPr>
                <w:rFonts w:ascii="Arial Narrow" w:eastAsiaTheme="minorHAnsi" w:hAnsi="Arial Narrow" w:cstheme="minorHAnsi"/>
                <w:lang w:eastAsia="en-US"/>
              </w:rPr>
            </w:pPr>
            <w:r w:rsidRPr="00D97540">
              <w:rPr>
                <w:rFonts w:ascii="Arial Narrow" w:hAnsi="Arial Narrow" w:cs="Calibri"/>
                <w:sz w:val="20"/>
                <w:szCs w:val="20"/>
                <w:lang w:eastAsia="en-GB"/>
              </w:rPr>
              <w:t xml:space="preserve">Gasparini et al. </w:t>
            </w:r>
            <w:r w:rsidR="00C60334">
              <w:rPr>
                <w:rFonts w:ascii="Arial Narrow" w:hAnsi="Arial Narrow" w:cs="Calibri"/>
                <w:sz w:val="20"/>
                <w:szCs w:val="20"/>
                <w:lang w:eastAsia="en-GB"/>
              </w:rPr>
              <w:t>(</w:t>
            </w:r>
            <w:r w:rsidRPr="00D97540">
              <w:rPr>
                <w:rFonts w:ascii="Arial Narrow" w:hAnsi="Arial Narrow" w:cs="Calibri"/>
                <w:sz w:val="20"/>
                <w:szCs w:val="20"/>
                <w:lang w:eastAsia="en-GB"/>
              </w:rPr>
              <w:t>1993</w:t>
            </w:r>
            <w:r w:rsidR="00C60334">
              <w:rPr>
                <w:rFonts w:ascii="Arial Narrow" w:hAnsi="Arial Narrow" w:cs="Calibri"/>
                <w:sz w:val="20"/>
                <w:szCs w:val="20"/>
                <w:lang w:eastAsia="en-GB"/>
              </w:rPr>
              <w:t>)</w:t>
            </w:r>
          </w:p>
        </w:tc>
        <w:tc>
          <w:tcPr>
            <w:tcW w:w="850" w:type="dxa"/>
          </w:tcPr>
          <w:p w14:paraId="3CA0C1D4"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E38BC3A"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6199F195"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69D5CC59"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4A0D6FC3"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085683B"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c>
          <w:tcPr>
            <w:tcW w:w="1197" w:type="dxa"/>
          </w:tcPr>
          <w:p w14:paraId="18FC517D" w14:textId="77777777" w:rsidR="008F0174" w:rsidRPr="008F0174" w:rsidRDefault="008F0174" w:rsidP="001A75CA">
            <w:pPr>
              <w:keepNext/>
              <w:spacing w:after="40" w:line="240" w:lineRule="auto"/>
              <w:jc w:val="center"/>
              <w:rPr>
                <w:rFonts w:ascii="Tahoma" w:hAnsi="Tahoma"/>
              </w:rPr>
            </w:pPr>
            <w:r w:rsidRPr="008F0174">
              <w:rPr>
                <w:rFonts w:ascii="Arial Narrow" w:hAnsi="Arial Narrow" w:cs="Calibri"/>
                <w:shd w:val="clear" w:color="auto" w:fill="D6E3BC"/>
                <w:lang w:eastAsia="en-GB"/>
              </w:rPr>
              <w:sym w:font="Wingdings" w:char="F04A"/>
            </w:r>
          </w:p>
        </w:tc>
      </w:tr>
      <w:tr w:rsidR="008F0174" w:rsidRPr="008F0174" w14:paraId="1C160965" w14:textId="77777777" w:rsidTr="004245A0">
        <w:trPr>
          <w:trHeight w:val="342"/>
        </w:trPr>
        <w:tc>
          <w:tcPr>
            <w:tcW w:w="2126" w:type="dxa"/>
          </w:tcPr>
          <w:p w14:paraId="76C4DA64" w14:textId="48397C46"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Kanavakis et al. </w:t>
            </w:r>
            <w:r w:rsidR="00C60334">
              <w:rPr>
                <w:rFonts w:ascii="Arial Narrow" w:hAnsi="Arial Narrow" w:cs="Calibri"/>
                <w:sz w:val="20"/>
                <w:szCs w:val="20"/>
                <w:lang w:eastAsia="en-GB"/>
              </w:rPr>
              <w:t>(</w:t>
            </w:r>
            <w:r w:rsidRPr="008F0174">
              <w:rPr>
                <w:rFonts w:ascii="Arial Narrow" w:hAnsi="Arial Narrow" w:cs="Calibri"/>
                <w:sz w:val="20"/>
                <w:szCs w:val="20"/>
                <w:lang w:eastAsia="en-GB"/>
              </w:rPr>
              <w:t>2003</w:t>
            </w:r>
            <w:r w:rsidR="00C60334">
              <w:rPr>
                <w:rFonts w:ascii="Arial Narrow" w:hAnsi="Arial Narrow" w:cs="Calibri"/>
                <w:sz w:val="20"/>
                <w:szCs w:val="20"/>
                <w:lang w:eastAsia="en-GB"/>
              </w:rPr>
              <w:t>)</w:t>
            </w:r>
          </w:p>
        </w:tc>
        <w:tc>
          <w:tcPr>
            <w:tcW w:w="850" w:type="dxa"/>
          </w:tcPr>
          <w:p w14:paraId="78FB2A72"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5698403D"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29E5427F"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5B34CFE9"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14190C51"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1FFA3DC5"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5E2066D6"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229BE17B" w14:textId="77777777" w:rsidTr="004245A0">
        <w:trPr>
          <w:trHeight w:val="342"/>
        </w:trPr>
        <w:tc>
          <w:tcPr>
            <w:tcW w:w="2126" w:type="dxa"/>
          </w:tcPr>
          <w:p w14:paraId="14731F84" w14:textId="79B19A34"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Strom et al. </w:t>
            </w:r>
            <w:r w:rsidR="00C60334">
              <w:rPr>
                <w:rFonts w:ascii="Arial Narrow" w:hAnsi="Arial Narrow" w:cs="Calibri"/>
                <w:sz w:val="20"/>
                <w:szCs w:val="20"/>
                <w:lang w:eastAsia="en-GB"/>
              </w:rPr>
              <w:t>(</w:t>
            </w:r>
            <w:r w:rsidRPr="008F0174">
              <w:rPr>
                <w:rFonts w:ascii="Arial Narrow" w:hAnsi="Arial Narrow" w:cs="Calibri"/>
                <w:sz w:val="20"/>
                <w:szCs w:val="20"/>
                <w:lang w:eastAsia="en-GB"/>
              </w:rPr>
              <w:t>2003</w:t>
            </w:r>
            <w:r w:rsidR="00C60334">
              <w:rPr>
                <w:rFonts w:ascii="Arial Narrow" w:hAnsi="Arial Narrow" w:cs="Calibri"/>
                <w:sz w:val="20"/>
                <w:szCs w:val="20"/>
                <w:lang w:eastAsia="en-GB"/>
              </w:rPr>
              <w:t>)</w:t>
            </w:r>
          </w:p>
        </w:tc>
        <w:tc>
          <w:tcPr>
            <w:tcW w:w="850" w:type="dxa"/>
          </w:tcPr>
          <w:p w14:paraId="1F8CCACB"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74C9E4A"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51618733"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258C955B"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1D4A9821"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51BAFC2F"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D697AE2" w14:textId="77777777" w:rsidR="008F0174" w:rsidRPr="008F0174" w:rsidRDefault="008F0174" w:rsidP="0065559E">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5125FA0F" w14:textId="240586AB"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38F6EB24" w14:textId="431EE363" w:rsidR="008F0174" w:rsidRPr="001A75CA" w:rsidRDefault="0065559E"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 = </w:t>
      </w:r>
      <w:r w:rsidRPr="00C32F92">
        <w:rPr>
          <w:rFonts w:ascii="Arial Narrow" w:hAnsi="Arial Narrow"/>
          <w:sz w:val="18"/>
          <w:szCs w:val="18"/>
        </w:rPr>
        <w:t>cystic fibrosis</w:t>
      </w:r>
      <w:r w:rsidRPr="0065559E">
        <w:rPr>
          <w:rFonts w:ascii="Arial Narrow" w:hAnsi="Arial Narrow" w:cs="Calibri"/>
          <w:sz w:val="18"/>
          <w:szCs w:val="18"/>
          <w:lang w:eastAsia="en-GB"/>
        </w:rPr>
        <w:t xml:space="preserve">; DNA = </w:t>
      </w:r>
      <w:r w:rsidRPr="00C32F92">
        <w:rPr>
          <w:rFonts w:ascii="Arial Narrow" w:hAnsi="Arial Narrow"/>
          <w:sz w:val="18"/>
          <w:szCs w:val="18"/>
        </w:rPr>
        <w:t>deoxyribonucleic acid</w:t>
      </w:r>
      <w:r w:rsidRPr="0065559E">
        <w:rPr>
          <w:rFonts w:ascii="Arial Narrow" w:hAnsi="Arial Narrow" w:cs="Calibri"/>
          <w:sz w:val="18"/>
          <w:szCs w:val="18"/>
          <w:lang w:eastAsia="en-GB"/>
        </w:rPr>
        <w:t>;</w:t>
      </w:r>
      <w:r>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p>
    <w:p w14:paraId="73A787CF" w14:textId="7BBD6C22" w:rsidR="008F0174" w:rsidRPr="001A75CA" w:rsidRDefault="0059118F" w:rsidP="001A75CA">
      <w:pPr>
        <w:keepNext/>
        <w:spacing w:after="0" w:line="240" w:lineRule="auto"/>
        <w:ind w:right="-57"/>
        <w:jc w:val="left"/>
        <w:rPr>
          <w:rFonts w:ascii="Arial Narrow" w:hAnsi="Arial Narrow"/>
          <w:sz w:val="18"/>
          <w:szCs w:val="18"/>
        </w:rPr>
      </w:pPr>
      <w:r w:rsidRPr="001A75CA">
        <w:rPr>
          <w:rFonts w:ascii="Arial Narrow" w:hAnsi="Arial Narrow"/>
          <w:sz w:val="18"/>
          <w:szCs w:val="18"/>
        </w:rPr>
        <w:t xml:space="preserve">Note: </w:t>
      </w:r>
      <w:r w:rsidR="008F0174" w:rsidRPr="001A75CA">
        <w:rPr>
          <w:rFonts w:ascii="Arial Narrow" w:hAnsi="Arial Narrow"/>
          <w:sz w:val="18"/>
          <w:szCs w:val="18"/>
        </w:rPr>
        <w:t xml:space="preserve">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180C8461" w14:textId="77777777" w:rsidR="002A6A9D" w:rsidRDefault="002A6A9D" w:rsidP="002A6A9D">
      <w:bookmarkStart w:id="230" w:name="_Ref412106607"/>
      <w:bookmarkStart w:id="231" w:name="_Toc418179420"/>
    </w:p>
    <w:p w14:paraId="7D121831" w14:textId="5718BEC4" w:rsidR="00C71193" w:rsidRDefault="00C71193" w:rsidP="00022486">
      <w:pPr>
        <w:pStyle w:val="Caption"/>
        <w:ind w:left="1134" w:hanging="1134"/>
      </w:pPr>
      <w:r>
        <w:t xml:space="preserve">Table </w:t>
      </w:r>
      <w:fldSimple w:instr=" SEQ Table \* ARABIC ">
        <w:r w:rsidR="00BB0E3E">
          <w:rPr>
            <w:noProof/>
          </w:rPr>
          <w:t>23</w:t>
        </w:r>
      </w:fldSimple>
      <w:bookmarkEnd w:id="230"/>
      <w:r>
        <w:t xml:space="preserve"> </w:t>
      </w:r>
      <w:r w:rsidR="00332C77">
        <w:tab/>
      </w:r>
      <w:r w:rsidRPr="00C825DB">
        <w:t xml:space="preserve">Risk of bias and applicability judgements for diagnostic accuracy studies comparing </w:t>
      </w:r>
      <w:r w:rsidR="00FD37D3" w:rsidRPr="00FD37D3">
        <w:t>CFTR</w:t>
      </w:r>
      <w:r w:rsidRPr="00C825DB">
        <w:t xml:space="preserve"> mutation testing with clinical diagnosis in CF patients</w:t>
      </w:r>
      <w:bookmarkEnd w:id="231"/>
    </w:p>
    <w:tbl>
      <w:tblPr>
        <w:tblStyle w:val="TableGrid1"/>
        <w:tblW w:w="0" w:type="auto"/>
        <w:tblLook w:val="00A0" w:firstRow="1" w:lastRow="0" w:firstColumn="1" w:lastColumn="0" w:noHBand="0" w:noVBand="0"/>
        <w:tblCaption w:val="Risk of bias and applicability judgements for diagnostic accuracy studies comparing CFTR mutation testing with clinical diagnosis in CF patients"/>
        <w:tblDescription w:val="Risk of bias and applicability judgements for diagnostic accuracy studies comparing CFTR mutation testing with clinical diagnosis in CF patients"/>
      </w:tblPr>
      <w:tblGrid>
        <w:gridCol w:w="2126"/>
        <w:gridCol w:w="871"/>
        <w:gridCol w:w="851"/>
        <w:gridCol w:w="992"/>
        <w:gridCol w:w="850"/>
        <w:gridCol w:w="1135"/>
        <w:gridCol w:w="1135"/>
        <w:gridCol w:w="1197"/>
      </w:tblGrid>
      <w:tr w:rsidR="008F0174" w:rsidRPr="008F0174" w14:paraId="4C00CE7B"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3A3703B7"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6B965D51"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286E47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0BF75C69"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BA0DDF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556F676B"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DDF4EA6"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6AD8FF2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1C0AA79"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7758A5D1"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1EDE362B"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4DD0D12F"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EF5CF70"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1723F3F3"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9527935"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4C6BBBAD" w14:textId="77777777" w:rsidTr="004245A0">
        <w:trPr>
          <w:trHeight w:val="342"/>
        </w:trPr>
        <w:tc>
          <w:tcPr>
            <w:tcW w:w="2126" w:type="dxa"/>
          </w:tcPr>
          <w:p w14:paraId="55FE118F" w14:textId="66ECE72F" w:rsidR="008F0174" w:rsidRPr="008F0174" w:rsidRDefault="008F0174" w:rsidP="001A75CA">
            <w:pPr>
              <w:keepNext/>
              <w:spacing w:after="40" w:line="240" w:lineRule="auto"/>
              <w:jc w:val="left"/>
              <w:rPr>
                <w:rFonts w:ascii="Arial Narrow" w:eastAsiaTheme="minorHAnsi" w:hAnsi="Arial Narrow" w:cstheme="minorHAnsi"/>
                <w:lang w:eastAsia="en-US"/>
              </w:rPr>
            </w:pPr>
            <w:r w:rsidRPr="00D97540">
              <w:rPr>
                <w:rFonts w:ascii="Arial Narrow" w:hAnsi="Arial Narrow" w:cs="Calibri"/>
                <w:sz w:val="20"/>
                <w:szCs w:val="20"/>
                <w:lang w:eastAsia="en-GB"/>
              </w:rPr>
              <w:t xml:space="preserve">Bonizzato et al. </w:t>
            </w:r>
            <w:r w:rsidR="00B35FEF">
              <w:rPr>
                <w:rFonts w:ascii="Arial Narrow" w:hAnsi="Arial Narrow" w:cs="Calibri"/>
                <w:sz w:val="20"/>
                <w:szCs w:val="20"/>
                <w:lang w:eastAsia="en-GB"/>
              </w:rPr>
              <w:t>(</w:t>
            </w:r>
            <w:r w:rsidRPr="00D97540">
              <w:rPr>
                <w:rFonts w:ascii="Arial Narrow" w:hAnsi="Arial Narrow" w:cs="Calibri"/>
                <w:sz w:val="20"/>
                <w:szCs w:val="20"/>
                <w:lang w:eastAsia="en-GB"/>
              </w:rPr>
              <w:t>1999</w:t>
            </w:r>
            <w:r w:rsidR="00B35FEF">
              <w:rPr>
                <w:rFonts w:ascii="Arial Narrow" w:hAnsi="Arial Narrow" w:cs="Calibri"/>
                <w:sz w:val="20"/>
                <w:szCs w:val="20"/>
                <w:lang w:eastAsia="en-GB"/>
              </w:rPr>
              <w:t>)</w:t>
            </w:r>
          </w:p>
        </w:tc>
        <w:tc>
          <w:tcPr>
            <w:tcW w:w="850" w:type="dxa"/>
          </w:tcPr>
          <w:p w14:paraId="0EF482BA"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5547E30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41DC5124" w14:textId="77777777" w:rsidR="008F0174" w:rsidRPr="008F0174" w:rsidRDefault="008F0174" w:rsidP="00B46D13">
            <w:pPr>
              <w:keepNext/>
              <w:spacing w:after="40" w:line="240" w:lineRule="auto"/>
              <w:ind w:right="-57"/>
              <w:jc w:val="center"/>
              <w:rPr>
                <w:rFonts w:ascii="Tahoma" w:hAnsi="Tahoma"/>
              </w:rPr>
            </w:pPr>
            <w:r w:rsidRPr="008F0174">
              <w:rPr>
                <w:rFonts w:ascii="Arial Narrow" w:hAnsi="Arial Narrow" w:cs="Calibri"/>
                <w:shd w:val="clear" w:color="auto" w:fill="D6E3BC"/>
                <w:lang w:eastAsia="en-GB"/>
              </w:rPr>
              <w:sym w:font="Wingdings" w:char="F04A"/>
            </w:r>
          </w:p>
        </w:tc>
        <w:tc>
          <w:tcPr>
            <w:tcW w:w="850" w:type="dxa"/>
          </w:tcPr>
          <w:p w14:paraId="3C219943" w14:textId="77777777" w:rsidR="008F0174" w:rsidRPr="008F0174" w:rsidRDefault="008F0174" w:rsidP="003A55B1">
            <w:pPr>
              <w:keepNext/>
              <w:spacing w:after="40" w:line="240" w:lineRule="auto"/>
              <w:ind w:right="-57"/>
              <w:jc w:val="center"/>
              <w:rPr>
                <w:rFonts w:ascii="Tahoma" w:hAnsi="Tahoma"/>
              </w:rPr>
            </w:pPr>
            <w:r w:rsidRPr="008F0174">
              <w:rPr>
                <w:rFonts w:ascii="Arial Narrow" w:hAnsi="Arial Narrow" w:cs="Calibri"/>
                <w:shd w:val="clear" w:color="auto" w:fill="D6E3BC"/>
                <w:lang w:eastAsia="en-GB"/>
              </w:rPr>
              <w:sym w:font="Wingdings" w:char="F04A"/>
            </w:r>
          </w:p>
        </w:tc>
        <w:tc>
          <w:tcPr>
            <w:tcW w:w="1134" w:type="dxa"/>
          </w:tcPr>
          <w:p w14:paraId="7001683E"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109089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529C2CB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79046B8B" w14:textId="77777777" w:rsidTr="004245A0">
        <w:trPr>
          <w:trHeight w:val="342"/>
        </w:trPr>
        <w:tc>
          <w:tcPr>
            <w:tcW w:w="2126" w:type="dxa"/>
          </w:tcPr>
          <w:p w14:paraId="5C0BA952" w14:textId="35169932"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Fren</w:t>
            </w:r>
            <w:r w:rsidR="006D1DE4">
              <w:rPr>
                <w:rFonts w:ascii="Arial Narrow" w:hAnsi="Arial Narrow" w:cs="Calibri"/>
                <w:sz w:val="20"/>
                <w:szCs w:val="20"/>
                <w:lang w:eastAsia="en-GB"/>
              </w:rPr>
              <w:t>t</w:t>
            </w:r>
            <w:r w:rsidRPr="008F0174">
              <w:rPr>
                <w:rFonts w:ascii="Arial Narrow" w:hAnsi="Arial Narrow" w:cs="Calibri"/>
                <w:sz w:val="20"/>
                <w:szCs w:val="20"/>
                <w:lang w:eastAsia="en-GB"/>
              </w:rPr>
              <w:t xml:space="preserve">escu </w:t>
            </w:r>
            <w:r w:rsidR="006D283E">
              <w:rPr>
                <w:rFonts w:ascii="Arial Narrow" w:hAnsi="Arial Narrow" w:cs="Calibri"/>
                <w:sz w:val="20"/>
                <w:szCs w:val="20"/>
                <w:lang w:eastAsia="en-GB"/>
              </w:rPr>
              <w:t>&amp;</w:t>
            </w:r>
            <w:r w:rsidRPr="008F0174">
              <w:rPr>
                <w:rFonts w:ascii="Arial Narrow" w:hAnsi="Arial Narrow" w:cs="Calibri"/>
                <w:sz w:val="20"/>
                <w:szCs w:val="20"/>
                <w:lang w:eastAsia="en-GB"/>
              </w:rPr>
              <w:t xml:space="preserve"> Budi</w:t>
            </w:r>
            <w:r w:rsidR="000C702F">
              <w:rPr>
                <w:rFonts w:ascii="Arial Narrow" w:hAnsi="Arial Narrow" w:cs="Calibri"/>
                <w:sz w:val="20"/>
                <w:szCs w:val="20"/>
                <w:lang w:eastAsia="en-GB"/>
              </w:rPr>
              <w:t>s</w:t>
            </w:r>
            <w:r w:rsidRPr="008F0174">
              <w:rPr>
                <w:rFonts w:ascii="Arial Narrow" w:hAnsi="Arial Narrow" w:cs="Calibri"/>
                <w:sz w:val="20"/>
                <w:szCs w:val="20"/>
                <w:lang w:eastAsia="en-GB"/>
              </w:rPr>
              <w:t xml:space="preserve">an </w:t>
            </w:r>
            <w:r w:rsidR="00B35FEF">
              <w:rPr>
                <w:rFonts w:ascii="Arial Narrow" w:hAnsi="Arial Narrow" w:cs="Calibri"/>
                <w:sz w:val="20"/>
                <w:szCs w:val="20"/>
                <w:lang w:eastAsia="en-GB"/>
              </w:rPr>
              <w:t>(</w:t>
            </w:r>
            <w:r w:rsidRPr="008F0174">
              <w:rPr>
                <w:rFonts w:ascii="Arial Narrow" w:hAnsi="Arial Narrow" w:cs="Calibri"/>
                <w:sz w:val="20"/>
                <w:szCs w:val="20"/>
                <w:lang w:eastAsia="en-GB"/>
              </w:rPr>
              <w:t>2009</w:t>
            </w:r>
            <w:r w:rsidR="00B35FEF">
              <w:rPr>
                <w:rFonts w:ascii="Arial Narrow" w:hAnsi="Arial Narrow" w:cs="Calibri"/>
                <w:sz w:val="20"/>
                <w:szCs w:val="20"/>
                <w:lang w:eastAsia="en-GB"/>
              </w:rPr>
              <w:t>)</w:t>
            </w:r>
          </w:p>
        </w:tc>
        <w:tc>
          <w:tcPr>
            <w:tcW w:w="850" w:type="dxa"/>
          </w:tcPr>
          <w:p w14:paraId="466BA7F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1" w:type="dxa"/>
          </w:tcPr>
          <w:p w14:paraId="2B16E41A"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28399695"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4452A380"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31574961"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CA6ECF2"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ADCF088"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1C7D65EE" w14:textId="77777777" w:rsidTr="004245A0">
        <w:trPr>
          <w:trHeight w:val="342"/>
        </w:trPr>
        <w:tc>
          <w:tcPr>
            <w:tcW w:w="2126" w:type="dxa"/>
          </w:tcPr>
          <w:p w14:paraId="399EA10B" w14:textId="3F60C9C5"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Heim, Sugarman </w:t>
            </w:r>
            <w:r w:rsidR="006D283E">
              <w:rPr>
                <w:rFonts w:ascii="Arial Narrow" w:hAnsi="Arial Narrow" w:cs="Calibri"/>
                <w:sz w:val="20"/>
                <w:szCs w:val="20"/>
                <w:lang w:eastAsia="en-GB"/>
              </w:rPr>
              <w:t>&amp;</w:t>
            </w:r>
            <w:r w:rsidRPr="008F0174">
              <w:rPr>
                <w:rFonts w:ascii="Arial Narrow" w:hAnsi="Arial Narrow" w:cs="Calibri"/>
                <w:sz w:val="20"/>
                <w:szCs w:val="20"/>
                <w:lang w:eastAsia="en-GB"/>
              </w:rPr>
              <w:t xml:space="preserve"> Allitto </w:t>
            </w:r>
            <w:r w:rsidR="00B35FEF">
              <w:rPr>
                <w:rFonts w:ascii="Arial Narrow" w:hAnsi="Arial Narrow" w:cs="Calibri"/>
                <w:sz w:val="20"/>
                <w:szCs w:val="20"/>
                <w:lang w:eastAsia="en-GB"/>
              </w:rPr>
              <w:t>(</w:t>
            </w:r>
            <w:r w:rsidRPr="008F0174">
              <w:rPr>
                <w:rFonts w:ascii="Arial Narrow" w:hAnsi="Arial Narrow" w:cs="Calibri"/>
                <w:sz w:val="20"/>
                <w:szCs w:val="20"/>
                <w:lang w:eastAsia="en-GB"/>
              </w:rPr>
              <w:t>2001</w:t>
            </w:r>
            <w:r w:rsidR="00B35FEF">
              <w:rPr>
                <w:rFonts w:ascii="Arial Narrow" w:hAnsi="Arial Narrow" w:cs="Calibri"/>
                <w:sz w:val="20"/>
                <w:szCs w:val="20"/>
                <w:lang w:eastAsia="en-GB"/>
              </w:rPr>
              <w:t>)</w:t>
            </w:r>
          </w:p>
        </w:tc>
        <w:tc>
          <w:tcPr>
            <w:tcW w:w="850" w:type="dxa"/>
          </w:tcPr>
          <w:p w14:paraId="1594EC0E"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0D308C6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1A866764"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31392E5D"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9B460C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17F0A415"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5D376B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6EA746F8" w14:textId="77777777" w:rsidTr="004245A0">
        <w:trPr>
          <w:trHeight w:val="342"/>
        </w:trPr>
        <w:tc>
          <w:tcPr>
            <w:tcW w:w="2126" w:type="dxa"/>
          </w:tcPr>
          <w:p w14:paraId="11BC1815" w14:textId="443C17C2"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Lay-Son et al. </w:t>
            </w:r>
            <w:r w:rsidR="00B35FEF">
              <w:rPr>
                <w:rFonts w:ascii="Arial Narrow" w:hAnsi="Arial Narrow" w:cs="Calibri"/>
                <w:sz w:val="20"/>
                <w:szCs w:val="20"/>
                <w:lang w:eastAsia="en-GB"/>
              </w:rPr>
              <w:t>(</w:t>
            </w:r>
            <w:r w:rsidRPr="008F0174">
              <w:rPr>
                <w:rFonts w:ascii="Arial Narrow" w:hAnsi="Arial Narrow" w:cs="Calibri"/>
                <w:sz w:val="20"/>
                <w:szCs w:val="20"/>
                <w:lang w:eastAsia="en-GB"/>
              </w:rPr>
              <w:t>2011</w:t>
            </w:r>
            <w:r w:rsidR="00B35FEF">
              <w:rPr>
                <w:rFonts w:ascii="Arial Narrow" w:hAnsi="Arial Narrow" w:cs="Calibri"/>
                <w:sz w:val="20"/>
                <w:szCs w:val="20"/>
                <w:lang w:eastAsia="en-GB"/>
              </w:rPr>
              <w:t>)</w:t>
            </w:r>
          </w:p>
        </w:tc>
        <w:tc>
          <w:tcPr>
            <w:tcW w:w="850" w:type="dxa"/>
          </w:tcPr>
          <w:p w14:paraId="77F48F1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C21EDF8"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3CB33F1A"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43889399"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6993358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4F79CA9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E5F074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745C7888" w14:textId="77777777" w:rsidTr="004245A0">
        <w:trPr>
          <w:trHeight w:val="342"/>
        </w:trPr>
        <w:tc>
          <w:tcPr>
            <w:tcW w:w="2126" w:type="dxa"/>
          </w:tcPr>
          <w:p w14:paraId="225A94ED" w14:textId="3EFFE2BD"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Wall, Cai </w:t>
            </w:r>
            <w:r w:rsidR="006D1DE4">
              <w:rPr>
                <w:rFonts w:ascii="Arial Narrow" w:hAnsi="Arial Narrow" w:cs="Calibri"/>
                <w:sz w:val="20"/>
                <w:szCs w:val="20"/>
                <w:lang w:eastAsia="en-GB"/>
              </w:rPr>
              <w:t>&amp;</w:t>
            </w:r>
            <w:r w:rsidR="006D1DE4" w:rsidRPr="008F0174">
              <w:rPr>
                <w:rFonts w:ascii="Arial Narrow" w:hAnsi="Arial Narrow" w:cs="Calibri"/>
                <w:sz w:val="20"/>
                <w:szCs w:val="20"/>
                <w:lang w:eastAsia="en-GB"/>
              </w:rPr>
              <w:t xml:space="preserve"> </w:t>
            </w:r>
            <w:r w:rsidRPr="008F0174">
              <w:rPr>
                <w:rFonts w:ascii="Arial Narrow" w:hAnsi="Arial Narrow" w:cs="Calibri"/>
                <w:sz w:val="20"/>
                <w:szCs w:val="20"/>
                <w:lang w:eastAsia="en-GB"/>
              </w:rPr>
              <w:t xml:space="preserve">Chehab </w:t>
            </w:r>
            <w:r w:rsidR="006D283E">
              <w:rPr>
                <w:rFonts w:ascii="Arial Narrow" w:hAnsi="Arial Narrow" w:cs="Calibri"/>
                <w:sz w:val="20"/>
                <w:szCs w:val="20"/>
                <w:lang w:eastAsia="en-GB"/>
              </w:rPr>
              <w:t>(</w:t>
            </w:r>
            <w:r w:rsidRPr="008F0174">
              <w:rPr>
                <w:rFonts w:ascii="Arial Narrow" w:hAnsi="Arial Narrow" w:cs="Calibri"/>
                <w:sz w:val="20"/>
                <w:szCs w:val="20"/>
                <w:lang w:eastAsia="en-GB"/>
              </w:rPr>
              <w:t>1995</w:t>
            </w:r>
            <w:r w:rsidR="006D283E">
              <w:rPr>
                <w:rFonts w:ascii="Arial Narrow" w:hAnsi="Arial Narrow" w:cs="Calibri"/>
                <w:sz w:val="20"/>
                <w:szCs w:val="20"/>
                <w:lang w:eastAsia="en-GB"/>
              </w:rPr>
              <w:t>)</w:t>
            </w:r>
          </w:p>
        </w:tc>
        <w:tc>
          <w:tcPr>
            <w:tcW w:w="850" w:type="dxa"/>
          </w:tcPr>
          <w:p w14:paraId="08101341"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1" w:type="dxa"/>
          </w:tcPr>
          <w:p w14:paraId="6BBF5F3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27B44FBE"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4B63FD9F" w14:textId="77777777" w:rsidR="008F0174" w:rsidRPr="008F0174" w:rsidRDefault="008F0174" w:rsidP="001A75CA">
            <w:pPr>
              <w:keepNext/>
              <w:spacing w:after="40" w:line="240" w:lineRule="auto"/>
              <w:ind w:right="-57"/>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56058F2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2E52D06C"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3A128A9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1A88EEE5" w14:textId="6436BEA3"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124199D7" w14:textId="2251B8D8" w:rsidR="008F0174" w:rsidRPr="001A75CA" w:rsidRDefault="0065559E"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 = </w:t>
      </w:r>
      <w:r w:rsidRPr="00C32F92">
        <w:rPr>
          <w:rFonts w:ascii="Arial Narrow" w:hAnsi="Arial Narrow"/>
          <w:sz w:val="18"/>
          <w:szCs w:val="18"/>
        </w:rPr>
        <w:t>cystic fibrosis</w:t>
      </w:r>
      <w:r w:rsidRPr="0065559E">
        <w:rPr>
          <w:rFonts w:ascii="Arial Narrow" w:hAnsi="Arial Narrow" w:cs="Calibri"/>
          <w:sz w:val="18"/>
          <w:szCs w:val="18"/>
          <w:lang w:eastAsia="en-GB"/>
        </w:rPr>
        <w:t xml:space="preserve">; 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79B78DFD" w14:textId="3B4B4CC0" w:rsidR="008F0174" w:rsidRPr="001A75CA" w:rsidRDefault="0059118F" w:rsidP="001A75CA">
      <w:pPr>
        <w:keepNext/>
        <w:spacing w:after="0" w:line="240" w:lineRule="auto"/>
        <w:ind w:right="-57"/>
        <w:jc w:val="left"/>
        <w:rPr>
          <w:rFonts w:ascii="Arial Narrow" w:hAnsi="Arial Narrow" w:cs="Calibri"/>
          <w:sz w:val="18"/>
          <w:szCs w:val="18"/>
          <w:lang w:eastAsia="en-GB"/>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2BAE65D0" w14:textId="77777777" w:rsidR="002A6A9D" w:rsidRDefault="002A6A9D" w:rsidP="008F0174">
      <w:pPr>
        <w:rPr>
          <w:rFonts w:asciiTheme="minorHAnsi" w:hAnsiTheme="minorHAnsi"/>
        </w:rPr>
      </w:pPr>
    </w:p>
    <w:p w14:paraId="11CF2EA8" w14:textId="4BE8F786" w:rsidR="008F0174" w:rsidRPr="008F0174" w:rsidRDefault="008F0174" w:rsidP="008F0174">
      <w:pPr>
        <w:rPr>
          <w:rFonts w:asciiTheme="minorHAnsi" w:hAnsiTheme="minorHAnsi"/>
        </w:rPr>
      </w:pPr>
      <w:r w:rsidRPr="008F0174">
        <w:rPr>
          <w:rFonts w:asciiTheme="minorHAnsi" w:hAnsiTheme="minorHAnsi"/>
        </w:rPr>
        <w:t xml:space="preserve">The only studies that included patients with non-classical CF were conducted in </w:t>
      </w:r>
      <w:r w:rsidR="006D283E">
        <w:rPr>
          <w:rFonts w:asciiTheme="minorHAnsi" w:hAnsiTheme="minorHAnsi"/>
        </w:rPr>
        <w:t>those</w:t>
      </w:r>
      <w:r w:rsidRPr="008F0174">
        <w:rPr>
          <w:rFonts w:asciiTheme="minorHAnsi" w:hAnsiTheme="minorHAnsi"/>
        </w:rPr>
        <w:t xml:space="preserve"> diagnosed with CBAVD. One level III-2 study of intermediate quality compared </w:t>
      </w:r>
      <w:r w:rsidR="00FD37D3" w:rsidRPr="00FD37D3">
        <w:rPr>
          <w:rFonts w:asciiTheme="minorHAnsi" w:hAnsiTheme="minorHAnsi"/>
        </w:rPr>
        <w:t>CFTR</w:t>
      </w:r>
      <w:r w:rsidRPr="008F0174">
        <w:rPr>
          <w:rFonts w:asciiTheme="minorHAnsi" w:hAnsiTheme="minorHAnsi"/>
        </w:rPr>
        <w:t xml:space="preserve"> mutation testing with the evidentiary standard in this patient group (</w:t>
      </w:r>
      <w:r w:rsidR="00C71193">
        <w:rPr>
          <w:rFonts w:asciiTheme="minorHAnsi" w:hAnsiTheme="minorHAnsi"/>
          <w:highlight w:val="yellow"/>
        </w:rPr>
        <w:fldChar w:fldCharType="begin"/>
      </w:r>
      <w:r w:rsidR="00C71193">
        <w:rPr>
          <w:rFonts w:asciiTheme="minorHAnsi" w:hAnsiTheme="minorHAnsi"/>
        </w:rPr>
        <w:instrText xml:space="preserve"> REF _Ref412106620 \h </w:instrText>
      </w:r>
      <w:r w:rsidR="00C71193">
        <w:rPr>
          <w:rFonts w:asciiTheme="minorHAnsi" w:hAnsiTheme="minorHAnsi"/>
          <w:highlight w:val="yellow"/>
        </w:rPr>
      </w:r>
      <w:r w:rsidR="00C71193">
        <w:rPr>
          <w:rFonts w:asciiTheme="minorHAnsi" w:hAnsiTheme="minorHAnsi"/>
          <w:highlight w:val="yellow"/>
        </w:rPr>
        <w:fldChar w:fldCharType="separate"/>
      </w:r>
      <w:r w:rsidR="00BB0E3E">
        <w:t xml:space="preserve">Table </w:t>
      </w:r>
      <w:r w:rsidR="00BB0E3E">
        <w:rPr>
          <w:noProof/>
        </w:rPr>
        <w:t>24</w:t>
      </w:r>
      <w:r w:rsidR="00C71193">
        <w:rPr>
          <w:rFonts w:asciiTheme="minorHAnsi" w:hAnsiTheme="minorHAnsi"/>
          <w:highlight w:val="yellow"/>
        </w:rPr>
        <w:fldChar w:fldCharType="end"/>
      </w:r>
      <w:r w:rsidRPr="008F0174">
        <w:rPr>
          <w:rFonts w:asciiTheme="minorHAnsi" w:hAnsiTheme="minorHAnsi"/>
        </w:rPr>
        <w:t xml:space="preserve">), </w:t>
      </w:r>
      <w:r w:rsidR="00B66DFD" w:rsidRPr="00290211">
        <w:rPr>
          <w:rFonts w:asciiTheme="minorHAnsi" w:hAnsiTheme="minorHAnsi"/>
        </w:rPr>
        <w:t>5 level III-2 studies (1 of good, 2 of intermediate and 1 of poor quality)</w:t>
      </w:r>
      <w:r w:rsidR="00B66DFD" w:rsidRPr="008F0174">
        <w:rPr>
          <w:rFonts w:asciiTheme="minorHAnsi" w:hAnsiTheme="minorHAnsi"/>
        </w:rPr>
        <w:t xml:space="preserve"> compared DNA sequencing with clinical diagnosis (</w:t>
      </w:r>
      <w:r w:rsidR="00C54DCA">
        <w:rPr>
          <w:rFonts w:asciiTheme="minorHAnsi" w:hAnsiTheme="minorHAnsi"/>
        </w:rPr>
        <w:t>Table 26</w:t>
      </w:r>
      <w:r w:rsidR="00B66DFD" w:rsidRPr="008F0174">
        <w:rPr>
          <w:rFonts w:asciiTheme="minorHAnsi" w:hAnsiTheme="minorHAnsi"/>
        </w:rPr>
        <w:t>)</w:t>
      </w:r>
      <w:r w:rsidR="00B66DFD">
        <w:rPr>
          <w:rFonts w:asciiTheme="minorHAnsi" w:hAnsiTheme="minorHAnsi"/>
        </w:rPr>
        <w:t xml:space="preserve">, and </w:t>
      </w:r>
      <w:r w:rsidR="00290211">
        <w:rPr>
          <w:rFonts w:asciiTheme="minorHAnsi" w:hAnsiTheme="minorHAnsi"/>
        </w:rPr>
        <w:t>4</w:t>
      </w:r>
      <w:r w:rsidRPr="00290211">
        <w:rPr>
          <w:rFonts w:asciiTheme="minorHAnsi" w:hAnsiTheme="minorHAnsi"/>
        </w:rPr>
        <w:t xml:space="preserve"> level III-2 studies of good quality compared </w:t>
      </w:r>
      <w:r w:rsidR="00FD37D3" w:rsidRPr="00290211">
        <w:rPr>
          <w:rFonts w:asciiTheme="minorHAnsi" w:hAnsiTheme="minorHAnsi"/>
        </w:rPr>
        <w:t>CFTR</w:t>
      </w:r>
      <w:r w:rsidRPr="00290211">
        <w:rPr>
          <w:rFonts w:asciiTheme="minorHAnsi" w:hAnsiTheme="minorHAnsi"/>
        </w:rPr>
        <w:t xml:space="preserve"> mutation testing with clinical diagnosis (</w:t>
      </w:r>
      <w:r w:rsidR="00C54DCA">
        <w:rPr>
          <w:rFonts w:asciiTheme="minorHAnsi" w:hAnsiTheme="minorHAnsi"/>
        </w:rPr>
        <w:t>Table 25</w:t>
      </w:r>
      <w:r w:rsidRPr="00290211">
        <w:rPr>
          <w:rFonts w:asciiTheme="minorHAnsi" w:hAnsiTheme="minorHAnsi"/>
        </w:rPr>
        <w:t>)</w:t>
      </w:r>
      <w:r w:rsidRPr="008F0174">
        <w:rPr>
          <w:rFonts w:asciiTheme="minorHAnsi" w:hAnsiTheme="minorHAnsi"/>
        </w:rPr>
        <w:t>.</w:t>
      </w:r>
    </w:p>
    <w:p w14:paraId="543D8D5D" w14:textId="7F4BBAB9" w:rsidR="00C71193" w:rsidRDefault="00C71193" w:rsidP="00022486">
      <w:pPr>
        <w:pStyle w:val="Caption"/>
        <w:ind w:left="1134" w:hanging="1134"/>
      </w:pPr>
      <w:bookmarkStart w:id="232" w:name="_Ref412106620"/>
      <w:bookmarkStart w:id="233" w:name="_Toc418179421"/>
      <w:r>
        <w:lastRenderedPageBreak/>
        <w:t xml:space="preserve">Table </w:t>
      </w:r>
      <w:fldSimple w:instr=" SEQ Table \* ARABIC ">
        <w:r w:rsidR="00BB0E3E">
          <w:rPr>
            <w:noProof/>
          </w:rPr>
          <w:t>24</w:t>
        </w:r>
      </w:fldSimple>
      <w:bookmarkEnd w:id="232"/>
      <w:r>
        <w:t xml:space="preserve"> </w:t>
      </w:r>
      <w:r w:rsidR="00332C77">
        <w:tab/>
      </w:r>
      <w:r w:rsidRPr="00052B78">
        <w:t xml:space="preserve">Risk of bias and applicability judgements for diagnostic accuracy studies comparing </w:t>
      </w:r>
      <w:r w:rsidR="00FD37D3" w:rsidRPr="00FD37D3">
        <w:t>CFTR</w:t>
      </w:r>
      <w:r w:rsidRPr="00052B78">
        <w:t xml:space="preserve"> mutation testing with DNA </w:t>
      </w:r>
      <w:r w:rsidR="00484788">
        <w:t>sequencing in patients with CBAV</w:t>
      </w:r>
      <w:r w:rsidRPr="00052B78">
        <w:t>D</w:t>
      </w:r>
      <w:bookmarkEnd w:id="233"/>
    </w:p>
    <w:tbl>
      <w:tblPr>
        <w:tblStyle w:val="TableGrid1"/>
        <w:tblW w:w="0" w:type="auto"/>
        <w:tblLook w:val="00A0" w:firstRow="1" w:lastRow="0" w:firstColumn="1" w:lastColumn="0" w:noHBand="0" w:noVBand="0"/>
        <w:tblCaption w:val="Risk of bias and applicability judgements for diagnostic accuracy studies comparing CFTR mutation testing with DNA sequencing in patients with CBVAD"/>
        <w:tblDescription w:val="Risk of bias and applicability judgements for diagnostic accuracy studies comparing CFTR mutation testing with DNA sequencing in patients with CBAVD"/>
      </w:tblPr>
      <w:tblGrid>
        <w:gridCol w:w="2126"/>
        <w:gridCol w:w="871"/>
        <w:gridCol w:w="851"/>
        <w:gridCol w:w="992"/>
        <w:gridCol w:w="850"/>
        <w:gridCol w:w="1135"/>
        <w:gridCol w:w="1135"/>
        <w:gridCol w:w="1197"/>
      </w:tblGrid>
      <w:tr w:rsidR="008F0174" w:rsidRPr="008F0174" w14:paraId="79AA5BB9"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58651AAD" w14:textId="77777777" w:rsidR="008F0174" w:rsidRPr="008F0174" w:rsidRDefault="008F0174" w:rsidP="001A75CA">
            <w:pPr>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39BD3C4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BBE8367"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46C3D9D0"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6287E0C5"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11C6C81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11F73B74"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54B098D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15E49028"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7C7B0167"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15F1D970"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7A2F4B77"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036F13C3"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5755D94F"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137E91C1"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59EBBA70" w14:textId="77777777" w:rsidTr="004245A0">
        <w:trPr>
          <w:trHeight w:val="342"/>
        </w:trPr>
        <w:tc>
          <w:tcPr>
            <w:tcW w:w="2126" w:type="dxa"/>
          </w:tcPr>
          <w:p w14:paraId="178DB468" w14:textId="693593B6"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Giuliani et al. </w:t>
            </w:r>
            <w:r w:rsidR="000F1835">
              <w:rPr>
                <w:rFonts w:ascii="Arial Narrow" w:hAnsi="Arial Narrow" w:cs="Calibri"/>
                <w:sz w:val="20"/>
                <w:szCs w:val="20"/>
                <w:lang w:eastAsia="en-GB"/>
              </w:rPr>
              <w:t>(</w:t>
            </w:r>
            <w:r w:rsidRPr="008F0174">
              <w:rPr>
                <w:rFonts w:ascii="Arial Narrow" w:hAnsi="Arial Narrow" w:cs="Calibri"/>
                <w:sz w:val="20"/>
                <w:szCs w:val="20"/>
                <w:lang w:eastAsia="en-GB"/>
              </w:rPr>
              <w:t>2010</w:t>
            </w:r>
            <w:r w:rsidR="000F1835">
              <w:rPr>
                <w:rFonts w:ascii="Arial Narrow" w:hAnsi="Arial Narrow" w:cs="Calibri"/>
                <w:sz w:val="20"/>
                <w:szCs w:val="20"/>
                <w:lang w:eastAsia="en-GB"/>
              </w:rPr>
              <w:t>)</w:t>
            </w:r>
          </w:p>
        </w:tc>
        <w:tc>
          <w:tcPr>
            <w:tcW w:w="850" w:type="dxa"/>
          </w:tcPr>
          <w:p w14:paraId="324EB85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1102FB8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3A77878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16968BE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881D23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1769814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4590AA8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435C4503" w14:textId="14E9AB5E"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45D05443" w14:textId="493912C6" w:rsidR="008F0174" w:rsidRPr="001A75CA" w:rsidRDefault="00936722"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w:t>
      </w:r>
      <w:r w:rsidR="00836588" w:rsidRPr="001A75CA">
        <w:rPr>
          <w:rFonts w:ascii="Arial Narrow" w:hAnsi="Arial Narrow"/>
          <w:sz w:val="18"/>
          <w:szCs w:val="18"/>
        </w:rPr>
        <w:t xml:space="preserve">CBAVD = congenital bilateral absence of the vas deferens; </w:t>
      </w:r>
      <w:r w:rsidRPr="001A75CA">
        <w:rPr>
          <w:rFonts w:ascii="Arial Narrow" w:hAnsi="Arial Narrow"/>
          <w:sz w:val="18"/>
          <w:szCs w:val="18"/>
        </w:rPr>
        <w:t xml:space="preserve">DNA = </w:t>
      </w:r>
      <w:r w:rsidRPr="00836588">
        <w:rPr>
          <w:rFonts w:ascii="Arial Narrow" w:hAnsi="Arial Narrow"/>
          <w:sz w:val="18"/>
          <w:szCs w:val="18"/>
        </w:rPr>
        <w:t>deoxyri</w:t>
      </w:r>
      <w:r w:rsidRPr="00C32F92">
        <w:rPr>
          <w:rFonts w:ascii="Arial Narrow" w:hAnsi="Arial Narrow"/>
          <w:sz w:val="18"/>
          <w:szCs w:val="18"/>
        </w:rPr>
        <w:t>bonucleic acid</w:t>
      </w:r>
      <w:r w:rsidRPr="0065559E">
        <w:rPr>
          <w:rFonts w:ascii="Arial Narrow" w:hAnsi="Arial Narrow" w:cs="Calibri"/>
          <w:sz w:val="18"/>
          <w:szCs w:val="18"/>
          <w:lang w:eastAsia="en-GB"/>
        </w:rPr>
        <w:t>;</w:t>
      </w:r>
      <w:r w:rsidR="00836588">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p>
    <w:p w14:paraId="643D75D0" w14:textId="57DB4595" w:rsidR="008F0174" w:rsidRPr="001A75CA" w:rsidRDefault="0059118F" w:rsidP="001A75CA">
      <w:pPr>
        <w:keepNext/>
        <w:spacing w:after="0" w:line="240" w:lineRule="auto"/>
        <w:ind w:right="-57"/>
        <w:jc w:val="left"/>
        <w:rPr>
          <w:rFonts w:ascii="Arial Narrow" w:hAnsi="Arial Narrow"/>
          <w:sz w:val="18"/>
          <w:szCs w:val="18"/>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68BFF653" w14:textId="77777777" w:rsidR="002A6A9D" w:rsidRDefault="002A6A9D" w:rsidP="002A6A9D">
      <w:bookmarkStart w:id="234" w:name="_Ref412106627"/>
      <w:bookmarkStart w:id="235" w:name="_Toc418179422"/>
    </w:p>
    <w:p w14:paraId="24DDA6D9" w14:textId="77777777" w:rsidR="00C71193" w:rsidRDefault="00C71193" w:rsidP="00022486">
      <w:pPr>
        <w:pStyle w:val="Caption"/>
        <w:ind w:left="1134" w:hanging="1134"/>
      </w:pPr>
      <w:r>
        <w:t xml:space="preserve">Table </w:t>
      </w:r>
      <w:fldSimple w:instr=" SEQ Table \* ARABIC ">
        <w:r w:rsidR="00BB0E3E">
          <w:rPr>
            <w:noProof/>
          </w:rPr>
          <w:t>25</w:t>
        </w:r>
      </w:fldSimple>
      <w:bookmarkEnd w:id="234"/>
      <w:r>
        <w:t xml:space="preserve"> </w:t>
      </w:r>
      <w:r w:rsidR="00332C77">
        <w:tab/>
      </w:r>
      <w:r w:rsidRPr="0094643E">
        <w:t>Risk of bias and applicability judgements for diagnostic accuracy studies comparing DNA sequencing with clinical</w:t>
      </w:r>
      <w:r w:rsidR="00484788">
        <w:t xml:space="preserve"> diagnosis in patients with CBAV</w:t>
      </w:r>
      <w:r w:rsidRPr="0094643E">
        <w:t>D</w:t>
      </w:r>
      <w:bookmarkEnd w:id="235"/>
    </w:p>
    <w:tbl>
      <w:tblPr>
        <w:tblStyle w:val="TableGrid1"/>
        <w:tblW w:w="0" w:type="auto"/>
        <w:tblLook w:val="00A0" w:firstRow="1" w:lastRow="0" w:firstColumn="1" w:lastColumn="0" w:noHBand="0" w:noVBand="0"/>
        <w:tblCaption w:val="Risk of bias and applicability judgements for diagnostic accuracy studies comparing DNA sequencing with clinical diagnosis in patients with CBVAD"/>
        <w:tblDescription w:val="Risk of bias and applicability judgements for diagnostic accuracy studies comparing DNA sequencing with clinical diagnosis in patients with CBAVD"/>
      </w:tblPr>
      <w:tblGrid>
        <w:gridCol w:w="2126"/>
        <w:gridCol w:w="871"/>
        <w:gridCol w:w="851"/>
        <w:gridCol w:w="992"/>
        <w:gridCol w:w="850"/>
        <w:gridCol w:w="1135"/>
        <w:gridCol w:w="1135"/>
        <w:gridCol w:w="1197"/>
      </w:tblGrid>
      <w:tr w:rsidR="008F0174" w:rsidRPr="008F0174" w14:paraId="294B2295"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66569717" w14:textId="77777777" w:rsidR="008F0174" w:rsidRPr="008F0174" w:rsidRDefault="008F0174" w:rsidP="001A75CA">
            <w:pPr>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22EF3967"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4E79FB6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38AEC090"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31E30D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5844DB2F"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6499788F"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6EB2E1A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5F87F6D2"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7E14BBD0"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7C761F7B"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5AA2BAE0"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2FE813B2"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754851D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72790F41"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7F2DA919" w14:textId="77777777" w:rsidTr="004245A0">
        <w:trPr>
          <w:trHeight w:val="342"/>
        </w:trPr>
        <w:tc>
          <w:tcPr>
            <w:tcW w:w="2126" w:type="dxa"/>
          </w:tcPr>
          <w:p w14:paraId="427A6C3F" w14:textId="28411599"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Bareil et al. </w:t>
            </w:r>
            <w:r w:rsidR="001F764C">
              <w:rPr>
                <w:rFonts w:ascii="Arial Narrow" w:hAnsi="Arial Narrow" w:cs="Calibri"/>
                <w:sz w:val="20"/>
                <w:szCs w:val="20"/>
                <w:lang w:eastAsia="en-GB"/>
              </w:rPr>
              <w:t>(</w:t>
            </w:r>
            <w:r w:rsidRPr="008F0174">
              <w:rPr>
                <w:rFonts w:ascii="Arial Narrow" w:hAnsi="Arial Narrow" w:cs="Calibri"/>
                <w:sz w:val="20"/>
                <w:szCs w:val="20"/>
                <w:lang w:eastAsia="en-GB"/>
              </w:rPr>
              <w:t>2007</w:t>
            </w:r>
            <w:r w:rsidR="001F764C">
              <w:rPr>
                <w:rFonts w:ascii="Arial Narrow" w:hAnsi="Arial Narrow" w:cs="Calibri"/>
                <w:sz w:val="20"/>
                <w:szCs w:val="20"/>
                <w:lang w:eastAsia="en-GB"/>
              </w:rPr>
              <w:t>)</w:t>
            </w:r>
          </w:p>
        </w:tc>
        <w:tc>
          <w:tcPr>
            <w:tcW w:w="850" w:type="dxa"/>
          </w:tcPr>
          <w:p w14:paraId="6D97769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1" w:type="dxa"/>
          </w:tcPr>
          <w:p w14:paraId="66AE5B0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49E7B87F"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599DB18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11AFAC1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1B6A6685"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5BEBC69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2456154C" w14:textId="77777777" w:rsidTr="004245A0">
        <w:trPr>
          <w:trHeight w:val="342"/>
        </w:trPr>
        <w:tc>
          <w:tcPr>
            <w:tcW w:w="2126" w:type="dxa"/>
          </w:tcPr>
          <w:p w14:paraId="15BD3106" w14:textId="1209439E"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Bernardino, Lima </w:t>
            </w:r>
            <w:r w:rsidR="0059118F">
              <w:rPr>
                <w:rFonts w:ascii="Arial Narrow" w:hAnsi="Arial Narrow" w:cs="Calibri"/>
                <w:sz w:val="20"/>
                <w:szCs w:val="20"/>
                <w:lang w:eastAsia="en-GB"/>
              </w:rPr>
              <w:t>&amp;</w:t>
            </w:r>
            <w:r w:rsidR="0059118F" w:rsidRPr="008F0174">
              <w:rPr>
                <w:rFonts w:ascii="Arial Narrow" w:hAnsi="Arial Narrow" w:cs="Calibri"/>
                <w:sz w:val="20"/>
                <w:szCs w:val="20"/>
                <w:lang w:eastAsia="en-GB"/>
              </w:rPr>
              <w:t xml:space="preserve"> </w:t>
            </w:r>
            <w:r w:rsidRPr="008F0174">
              <w:rPr>
                <w:rFonts w:ascii="Arial Narrow" w:hAnsi="Arial Narrow" w:cs="Calibri"/>
                <w:sz w:val="20"/>
                <w:szCs w:val="20"/>
                <w:lang w:eastAsia="en-GB"/>
              </w:rPr>
              <w:t xml:space="preserve">Zatz </w:t>
            </w:r>
            <w:r w:rsidR="001F764C">
              <w:rPr>
                <w:rFonts w:ascii="Arial Narrow" w:hAnsi="Arial Narrow" w:cs="Calibri"/>
                <w:sz w:val="20"/>
                <w:szCs w:val="20"/>
                <w:lang w:eastAsia="en-GB"/>
              </w:rPr>
              <w:t>(</w:t>
            </w:r>
            <w:r w:rsidRPr="008F0174">
              <w:rPr>
                <w:rFonts w:ascii="Arial Narrow" w:hAnsi="Arial Narrow" w:cs="Calibri"/>
                <w:sz w:val="20"/>
                <w:szCs w:val="20"/>
                <w:lang w:eastAsia="en-GB"/>
              </w:rPr>
              <w:t>2003</w:t>
            </w:r>
            <w:r w:rsidR="001F764C">
              <w:rPr>
                <w:rFonts w:ascii="Arial Narrow" w:hAnsi="Arial Narrow" w:cs="Calibri"/>
                <w:sz w:val="20"/>
                <w:szCs w:val="20"/>
                <w:lang w:eastAsia="en-GB"/>
              </w:rPr>
              <w:t>)</w:t>
            </w:r>
          </w:p>
        </w:tc>
        <w:tc>
          <w:tcPr>
            <w:tcW w:w="850" w:type="dxa"/>
          </w:tcPr>
          <w:p w14:paraId="160E804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1" w:type="dxa"/>
          </w:tcPr>
          <w:p w14:paraId="455C207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7A56A56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6913A23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31436E34"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2E7804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631174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5E360EA8" w14:textId="77777777" w:rsidTr="004245A0">
        <w:trPr>
          <w:trHeight w:val="342"/>
        </w:trPr>
        <w:tc>
          <w:tcPr>
            <w:tcW w:w="2126" w:type="dxa"/>
          </w:tcPr>
          <w:p w14:paraId="157BD8AC" w14:textId="7FDF5648"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Danziger et al. </w:t>
            </w:r>
            <w:r w:rsidR="001F764C">
              <w:rPr>
                <w:rFonts w:ascii="Arial Narrow" w:hAnsi="Arial Narrow" w:cs="Calibri"/>
                <w:sz w:val="20"/>
                <w:szCs w:val="20"/>
                <w:lang w:eastAsia="en-GB"/>
              </w:rPr>
              <w:t>(</w:t>
            </w:r>
            <w:r w:rsidRPr="008F0174">
              <w:rPr>
                <w:rFonts w:ascii="Arial Narrow" w:hAnsi="Arial Narrow" w:cs="Calibri"/>
                <w:sz w:val="20"/>
                <w:szCs w:val="20"/>
                <w:lang w:eastAsia="en-GB"/>
              </w:rPr>
              <w:t>2004</w:t>
            </w:r>
            <w:r w:rsidR="001F764C">
              <w:rPr>
                <w:rFonts w:ascii="Arial Narrow" w:hAnsi="Arial Narrow" w:cs="Calibri"/>
                <w:sz w:val="20"/>
                <w:szCs w:val="20"/>
                <w:lang w:eastAsia="en-GB"/>
              </w:rPr>
              <w:t>)</w:t>
            </w:r>
          </w:p>
        </w:tc>
        <w:tc>
          <w:tcPr>
            <w:tcW w:w="850" w:type="dxa"/>
          </w:tcPr>
          <w:p w14:paraId="4B34016F"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2527D15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03968F7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420B473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45B7C12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357ABE0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40D8F4D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021DF89F" w14:textId="77777777" w:rsidTr="004245A0">
        <w:trPr>
          <w:trHeight w:val="342"/>
        </w:trPr>
        <w:tc>
          <w:tcPr>
            <w:tcW w:w="2126" w:type="dxa"/>
          </w:tcPr>
          <w:p w14:paraId="5ADD3D76" w14:textId="06B7D6AD"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Gallati et al. </w:t>
            </w:r>
            <w:r w:rsidR="001F764C">
              <w:rPr>
                <w:rFonts w:ascii="Arial Narrow" w:hAnsi="Arial Narrow" w:cs="Calibri"/>
                <w:sz w:val="20"/>
                <w:szCs w:val="20"/>
                <w:lang w:eastAsia="en-GB"/>
              </w:rPr>
              <w:t>(</w:t>
            </w:r>
            <w:r w:rsidRPr="008F0174">
              <w:rPr>
                <w:rFonts w:ascii="Arial Narrow" w:hAnsi="Arial Narrow" w:cs="Calibri"/>
                <w:sz w:val="20"/>
                <w:szCs w:val="20"/>
                <w:lang w:eastAsia="en-GB"/>
              </w:rPr>
              <w:t>2009</w:t>
            </w:r>
            <w:r w:rsidR="001F764C">
              <w:rPr>
                <w:rFonts w:ascii="Arial Narrow" w:hAnsi="Arial Narrow" w:cs="Calibri"/>
                <w:sz w:val="20"/>
                <w:szCs w:val="20"/>
                <w:lang w:eastAsia="en-GB"/>
              </w:rPr>
              <w:t>)</w:t>
            </w:r>
          </w:p>
        </w:tc>
        <w:tc>
          <w:tcPr>
            <w:tcW w:w="850" w:type="dxa"/>
          </w:tcPr>
          <w:p w14:paraId="748BD06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32C7C96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35864C2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7C248F44"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19923C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0AFD8D4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3C22121F"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56CCED59" w14:textId="77777777" w:rsidTr="004245A0">
        <w:trPr>
          <w:trHeight w:val="342"/>
        </w:trPr>
        <w:tc>
          <w:tcPr>
            <w:tcW w:w="2126" w:type="dxa"/>
          </w:tcPr>
          <w:p w14:paraId="52D79891" w14:textId="0E23B845"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Giuliani et al. </w:t>
            </w:r>
            <w:r w:rsidR="001F764C">
              <w:rPr>
                <w:rFonts w:ascii="Arial Narrow" w:hAnsi="Arial Narrow" w:cs="Calibri"/>
                <w:sz w:val="20"/>
                <w:szCs w:val="20"/>
                <w:lang w:eastAsia="en-GB"/>
              </w:rPr>
              <w:t>(</w:t>
            </w:r>
            <w:r w:rsidRPr="008F0174">
              <w:rPr>
                <w:rFonts w:ascii="Arial Narrow" w:hAnsi="Arial Narrow" w:cs="Calibri"/>
                <w:sz w:val="20"/>
                <w:szCs w:val="20"/>
                <w:lang w:eastAsia="en-GB"/>
              </w:rPr>
              <w:t>2010</w:t>
            </w:r>
            <w:r w:rsidR="001F764C">
              <w:rPr>
                <w:rFonts w:ascii="Arial Narrow" w:hAnsi="Arial Narrow" w:cs="Calibri"/>
                <w:sz w:val="20"/>
                <w:szCs w:val="20"/>
                <w:lang w:eastAsia="en-GB"/>
              </w:rPr>
              <w:t>)</w:t>
            </w:r>
          </w:p>
        </w:tc>
        <w:tc>
          <w:tcPr>
            <w:tcW w:w="850" w:type="dxa"/>
          </w:tcPr>
          <w:p w14:paraId="3404E45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3AB8E381"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61FC960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3214F71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958180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39F9DB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4D732E8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0EBA5649" w14:textId="11C73C76"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1D8CF807" w14:textId="3C70A304" w:rsidR="008F0174" w:rsidRPr="001A75CA" w:rsidRDefault="00836588" w:rsidP="001A75CA">
      <w:pPr>
        <w:keepNext/>
        <w:spacing w:after="0" w:line="240" w:lineRule="auto"/>
        <w:rPr>
          <w:rFonts w:ascii="Arial Narrow" w:hAnsi="Arial Narrow" w:cs="Times New Roman"/>
          <w:sz w:val="18"/>
          <w:szCs w:val="18"/>
        </w:rPr>
      </w:pPr>
      <w:r w:rsidRPr="00C32F92">
        <w:rPr>
          <w:rFonts w:ascii="Arial Narrow" w:hAnsi="Arial Narrow"/>
          <w:sz w:val="18"/>
          <w:szCs w:val="18"/>
        </w:rPr>
        <w:t xml:space="preserve">CBAVD = congenital bilateral absence of the vas deferens; DNA = </w:t>
      </w:r>
      <w:r w:rsidRPr="00836588">
        <w:rPr>
          <w:rFonts w:ascii="Arial Narrow" w:hAnsi="Arial Narrow"/>
          <w:sz w:val="18"/>
          <w:szCs w:val="18"/>
        </w:rPr>
        <w:t>deoxyri</w:t>
      </w:r>
      <w:r w:rsidRPr="00C32F92">
        <w:rPr>
          <w:rFonts w:ascii="Arial Narrow" w:hAnsi="Arial Narrow"/>
          <w:sz w:val="18"/>
          <w:szCs w:val="18"/>
        </w:rPr>
        <w:t>bonucleic acid</w:t>
      </w:r>
      <w:r w:rsidRPr="0065559E">
        <w:rPr>
          <w:rFonts w:ascii="Arial Narrow" w:hAnsi="Arial Narrow" w:cs="Calibri"/>
          <w:sz w:val="18"/>
          <w:szCs w:val="18"/>
          <w:lang w:eastAsia="en-GB"/>
        </w:rPr>
        <w:t>;</w:t>
      </w:r>
      <w:r>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4413DF49" w14:textId="277D94CD" w:rsidR="008F0174" w:rsidRPr="001A75CA" w:rsidRDefault="0059118F" w:rsidP="001A75CA">
      <w:pPr>
        <w:keepNext/>
        <w:spacing w:after="0" w:line="240" w:lineRule="auto"/>
        <w:ind w:right="-57"/>
        <w:jc w:val="left"/>
        <w:rPr>
          <w:rFonts w:ascii="Arial Narrow" w:hAnsi="Arial Narrow"/>
          <w:sz w:val="18"/>
          <w:szCs w:val="18"/>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200FD2C5" w14:textId="77777777" w:rsidR="002A6A9D" w:rsidRDefault="002A6A9D" w:rsidP="002A6A9D">
      <w:bookmarkStart w:id="236" w:name="_Ref412106636"/>
      <w:bookmarkStart w:id="237" w:name="_Toc418179423"/>
    </w:p>
    <w:p w14:paraId="4969DCF2" w14:textId="17473529" w:rsidR="00C71193" w:rsidRDefault="00C71193" w:rsidP="00022486">
      <w:pPr>
        <w:pStyle w:val="Caption"/>
        <w:ind w:left="1134" w:hanging="1134"/>
      </w:pPr>
      <w:r>
        <w:t xml:space="preserve">Table </w:t>
      </w:r>
      <w:fldSimple w:instr=" SEQ Table \* ARABIC ">
        <w:r w:rsidR="00BB0E3E">
          <w:rPr>
            <w:noProof/>
          </w:rPr>
          <w:t>26</w:t>
        </w:r>
      </w:fldSimple>
      <w:bookmarkEnd w:id="236"/>
      <w:r>
        <w:t xml:space="preserve"> </w:t>
      </w:r>
      <w:r w:rsidR="00332C77">
        <w:tab/>
      </w:r>
      <w:r w:rsidRPr="00DB1C59">
        <w:t xml:space="preserve">Risk of bias and applicability judgements for diagnostic accuracy studies comparing </w:t>
      </w:r>
      <w:r w:rsidR="00FD37D3" w:rsidRPr="00FD37D3">
        <w:t>CFTR</w:t>
      </w:r>
      <w:r w:rsidRPr="00DB1C59">
        <w:t xml:space="preserve"> mutation testing with clinical</w:t>
      </w:r>
      <w:r w:rsidR="00484788">
        <w:t xml:space="preserve"> diagnosis in patients with CBAV</w:t>
      </w:r>
      <w:r w:rsidRPr="00DB1C59">
        <w:t>D</w:t>
      </w:r>
      <w:bookmarkEnd w:id="237"/>
    </w:p>
    <w:tbl>
      <w:tblPr>
        <w:tblStyle w:val="TableGrid1"/>
        <w:tblW w:w="0" w:type="auto"/>
        <w:tblLook w:val="00A0" w:firstRow="1" w:lastRow="0" w:firstColumn="1" w:lastColumn="0" w:noHBand="0" w:noVBand="0"/>
        <w:tblCaption w:val="Risk of bias and applicability judgements for diagnostic accuracy studies comparing CFTR mutation testing with clinical diagnosis in patients with CBVAD"/>
        <w:tblDescription w:val="Risk of bias and applicability judgements for diagnostic accuracy studies comparing CFTR mutation testing with clinical diagnosis in patients with CBAVD"/>
      </w:tblPr>
      <w:tblGrid>
        <w:gridCol w:w="2126"/>
        <w:gridCol w:w="871"/>
        <w:gridCol w:w="851"/>
        <w:gridCol w:w="992"/>
        <w:gridCol w:w="850"/>
        <w:gridCol w:w="1135"/>
        <w:gridCol w:w="1135"/>
        <w:gridCol w:w="1197"/>
      </w:tblGrid>
      <w:tr w:rsidR="008F0174" w:rsidRPr="008F0174" w14:paraId="03030F75"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7D4DF931"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335DBF5E"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E8348A6"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7D86D76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3903699C"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52F746A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35DA132"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69FDEE0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4DA16DEA"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45028F03"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0E353A3D"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2B07E8F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6981050C"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15AB9BD7"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738651F5" w14:textId="77777777" w:rsidR="008F0174" w:rsidRPr="008F0174" w:rsidRDefault="008F0174" w:rsidP="00A25EBB">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68232107" w14:textId="77777777" w:rsidTr="009B1AA7">
        <w:trPr>
          <w:trHeight w:val="342"/>
        </w:trPr>
        <w:tc>
          <w:tcPr>
            <w:tcW w:w="2126" w:type="dxa"/>
          </w:tcPr>
          <w:p w14:paraId="27749AE7" w14:textId="2816A9B3"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Donat et al. </w:t>
            </w:r>
            <w:r w:rsidR="000F4F1E">
              <w:rPr>
                <w:rFonts w:ascii="Arial Narrow" w:hAnsi="Arial Narrow" w:cs="Calibri"/>
                <w:sz w:val="20"/>
                <w:szCs w:val="20"/>
                <w:lang w:eastAsia="en-GB"/>
              </w:rPr>
              <w:t>(</w:t>
            </w:r>
            <w:r w:rsidRPr="008F0174">
              <w:rPr>
                <w:rFonts w:ascii="Arial Narrow" w:hAnsi="Arial Narrow" w:cs="Calibri"/>
                <w:sz w:val="20"/>
                <w:szCs w:val="20"/>
                <w:lang w:eastAsia="en-GB"/>
              </w:rPr>
              <w:t>1997</w:t>
            </w:r>
            <w:r w:rsidR="000F4F1E">
              <w:rPr>
                <w:rFonts w:ascii="Arial Narrow" w:hAnsi="Arial Narrow" w:cs="Calibri"/>
                <w:sz w:val="20"/>
                <w:szCs w:val="20"/>
                <w:lang w:eastAsia="en-GB"/>
              </w:rPr>
              <w:t>)</w:t>
            </w:r>
          </w:p>
        </w:tc>
        <w:tc>
          <w:tcPr>
            <w:tcW w:w="850" w:type="dxa"/>
          </w:tcPr>
          <w:p w14:paraId="3F67478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82F7B4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50984075"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7BEDAC3B"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67F54A91"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483A95A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A8D41D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072B6428" w14:textId="77777777" w:rsidTr="009B1AA7">
        <w:trPr>
          <w:trHeight w:val="342"/>
        </w:trPr>
        <w:tc>
          <w:tcPr>
            <w:tcW w:w="2126" w:type="dxa"/>
          </w:tcPr>
          <w:p w14:paraId="26B70088" w14:textId="2D0E25F1"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Durieu et al. </w:t>
            </w:r>
            <w:r w:rsidR="000F4F1E">
              <w:rPr>
                <w:rFonts w:ascii="Arial Narrow" w:hAnsi="Arial Narrow" w:cs="Calibri"/>
                <w:sz w:val="20"/>
                <w:szCs w:val="20"/>
                <w:lang w:eastAsia="en-GB"/>
              </w:rPr>
              <w:t>(</w:t>
            </w:r>
            <w:r w:rsidRPr="008F0174">
              <w:rPr>
                <w:rFonts w:ascii="Arial Narrow" w:hAnsi="Arial Narrow" w:cs="Calibri"/>
                <w:sz w:val="20"/>
                <w:szCs w:val="20"/>
                <w:lang w:eastAsia="en-GB"/>
              </w:rPr>
              <w:t>1995</w:t>
            </w:r>
            <w:r w:rsidR="000F4F1E">
              <w:rPr>
                <w:rFonts w:ascii="Arial Narrow" w:hAnsi="Arial Narrow" w:cs="Calibri"/>
                <w:sz w:val="20"/>
                <w:szCs w:val="20"/>
                <w:lang w:eastAsia="en-GB"/>
              </w:rPr>
              <w:t>)</w:t>
            </w:r>
          </w:p>
        </w:tc>
        <w:tc>
          <w:tcPr>
            <w:tcW w:w="850" w:type="dxa"/>
          </w:tcPr>
          <w:p w14:paraId="559C25F7"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6269564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7E201B6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30C7A23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75A81955"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4CE0D8E6"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68EDD5AE"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48990C40" w14:textId="77777777" w:rsidTr="009B1AA7">
        <w:trPr>
          <w:trHeight w:val="342"/>
        </w:trPr>
        <w:tc>
          <w:tcPr>
            <w:tcW w:w="2126" w:type="dxa"/>
          </w:tcPr>
          <w:p w14:paraId="26AE143F" w14:textId="6C370372"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Giuliani et al. </w:t>
            </w:r>
            <w:r w:rsidR="000F4F1E">
              <w:rPr>
                <w:rFonts w:ascii="Arial Narrow" w:hAnsi="Arial Narrow" w:cs="Calibri"/>
                <w:sz w:val="20"/>
                <w:szCs w:val="20"/>
                <w:lang w:eastAsia="en-GB"/>
              </w:rPr>
              <w:t>(</w:t>
            </w:r>
            <w:r w:rsidRPr="008F0174">
              <w:rPr>
                <w:rFonts w:ascii="Arial Narrow" w:hAnsi="Arial Narrow" w:cs="Calibri"/>
                <w:sz w:val="20"/>
                <w:szCs w:val="20"/>
                <w:lang w:eastAsia="en-GB"/>
              </w:rPr>
              <w:t>2010</w:t>
            </w:r>
            <w:r w:rsidR="000F4F1E">
              <w:rPr>
                <w:rFonts w:ascii="Arial Narrow" w:hAnsi="Arial Narrow" w:cs="Calibri"/>
                <w:sz w:val="20"/>
                <w:szCs w:val="20"/>
                <w:lang w:eastAsia="en-GB"/>
              </w:rPr>
              <w:t>)</w:t>
            </w:r>
          </w:p>
        </w:tc>
        <w:tc>
          <w:tcPr>
            <w:tcW w:w="850" w:type="dxa"/>
          </w:tcPr>
          <w:p w14:paraId="7F4B73D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0CA755AC"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992" w:type="dxa"/>
          </w:tcPr>
          <w:p w14:paraId="0A8E703E"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1574BC50"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3A690EF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B702BFD"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49547854"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17E54398" w14:textId="77777777" w:rsidTr="009B1AA7">
        <w:trPr>
          <w:trHeight w:val="342"/>
        </w:trPr>
        <w:tc>
          <w:tcPr>
            <w:tcW w:w="2126" w:type="dxa"/>
          </w:tcPr>
          <w:p w14:paraId="3277D602" w14:textId="732F7498"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Wang et al. </w:t>
            </w:r>
            <w:r w:rsidR="000F4F1E">
              <w:rPr>
                <w:rFonts w:ascii="Arial Narrow" w:hAnsi="Arial Narrow" w:cs="Calibri"/>
                <w:sz w:val="20"/>
                <w:szCs w:val="20"/>
                <w:lang w:eastAsia="en-GB"/>
              </w:rPr>
              <w:t>(</w:t>
            </w:r>
            <w:r w:rsidRPr="008F0174">
              <w:rPr>
                <w:rFonts w:ascii="Arial Narrow" w:hAnsi="Arial Narrow" w:cs="Calibri"/>
                <w:sz w:val="20"/>
                <w:szCs w:val="20"/>
                <w:lang w:eastAsia="en-GB"/>
              </w:rPr>
              <w:t>2002</w:t>
            </w:r>
            <w:r w:rsidR="000F4F1E">
              <w:rPr>
                <w:rFonts w:ascii="Arial Narrow" w:hAnsi="Arial Narrow" w:cs="Calibri"/>
                <w:sz w:val="20"/>
                <w:szCs w:val="20"/>
                <w:lang w:eastAsia="en-GB"/>
              </w:rPr>
              <w:t>)</w:t>
            </w:r>
          </w:p>
        </w:tc>
        <w:tc>
          <w:tcPr>
            <w:tcW w:w="850" w:type="dxa"/>
          </w:tcPr>
          <w:p w14:paraId="3A59CDA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2232C7EC"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112C7D2F"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72CB1C62"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750CD129"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07C111F3"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14DA5B17" w14:textId="77777777" w:rsidR="008F0174" w:rsidRPr="008F0174" w:rsidRDefault="008F0174" w:rsidP="00A25EBB">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515EE793" w14:textId="7F731074"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40E6C593" w14:textId="65B445DB" w:rsidR="008F0174" w:rsidRPr="001A75CA" w:rsidRDefault="00836588" w:rsidP="001A75CA">
      <w:pPr>
        <w:keepNext/>
        <w:spacing w:after="0" w:line="240" w:lineRule="auto"/>
        <w:rPr>
          <w:rFonts w:ascii="Arial Narrow" w:hAnsi="Arial Narrow" w:cs="Times New Roman"/>
          <w:sz w:val="18"/>
          <w:szCs w:val="18"/>
        </w:rPr>
      </w:pPr>
      <w:r w:rsidRPr="00C32F92">
        <w:rPr>
          <w:rFonts w:ascii="Arial Narrow" w:hAnsi="Arial Narrow"/>
          <w:sz w:val="18"/>
          <w:szCs w:val="18"/>
        </w:rPr>
        <w:t xml:space="preserve">CBAVD = congenital bilateral absence of the vas deferens; </w:t>
      </w:r>
      <w:r w:rsidRPr="0065559E">
        <w:rPr>
          <w:rFonts w:ascii="Arial Narrow" w:hAnsi="Arial Narrow" w:cs="Calibri"/>
          <w:sz w:val="18"/>
          <w:szCs w:val="18"/>
          <w:lang w:eastAsia="en-GB"/>
        </w:rPr>
        <w:t xml:space="preserve">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w:t>
      </w:r>
      <w:r>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703663B4" w14:textId="32E314F0" w:rsidR="008F0174" w:rsidRPr="001A75CA" w:rsidRDefault="000C702F" w:rsidP="001A75CA">
      <w:pPr>
        <w:keepNext/>
        <w:spacing w:after="0" w:line="240" w:lineRule="auto"/>
        <w:ind w:right="-57"/>
        <w:jc w:val="left"/>
        <w:rPr>
          <w:rFonts w:ascii="Arial Narrow" w:hAnsi="Arial Narrow" w:cs="Calibri"/>
          <w:sz w:val="18"/>
          <w:szCs w:val="18"/>
          <w:lang w:eastAsia="en-GB"/>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4DCCD087" w14:textId="77777777" w:rsidR="002A6A9D" w:rsidRDefault="002A6A9D" w:rsidP="008F0174">
      <w:pPr>
        <w:rPr>
          <w:rFonts w:asciiTheme="minorHAnsi" w:hAnsiTheme="minorHAnsi"/>
        </w:rPr>
      </w:pPr>
    </w:p>
    <w:p w14:paraId="719BDF48" w14:textId="4CA706DD" w:rsidR="008F0174" w:rsidRPr="008F0174" w:rsidRDefault="008F0174" w:rsidP="008F0174">
      <w:pPr>
        <w:rPr>
          <w:rFonts w:asciiTheme="minorHAnsi" w:hAnsiTheme="minorHAnsi"/>
        </w:rPr>
      </w:pPr>
      <w:r w:rsidRPr="008F0174">
        <w:rPr>
          <w:rFonts w:asciiTheme="minorHAnsi" w:hAnsiTheme="minorHAnsi"/>
        </w:rPr>
        <w:lastRenderedPageBreak/>
        <w:t xml:space="preserve">No studies were identified that reported on </w:t>
      </w:r>
      <w:r w:rsidR="00FD37D3" w:rsidRPr="00FD37D3">
        <w:rPr>
          <w:rFonts w:asciiTheme="minorHAnsi" w:hAnsiTheme="minorHAnsi"/>
        </w:rPr>
        <w:t>CFTR</w:t>
      </w:r>
      <w:r w:rsidRPr="008F0174">
        <w:rPr>
          <w:rFonts w:asciiTheme="minorHAnsi" w:hAnsiTheme="minorHAnsi"/>
        </w:rPr>
        <w:t xml:space="preserve"> mutation testing in the partners of CF carriers. Similarly, no studies were identified that could inform on the accuracy of </w:t>
      </w:r>
      <w:r w:rsidR="00FD37D3" w:rsidRPr="00FD37D3">
        <w:rPr>
          <w:rFonts w:asciiTheme="minorHAnsi" w:hAnsiTheme="minorHAnsi"/>
        </w:rPr>
        <w:t>CFTR</w:t>
      </w:r>
      <w:r w:rsidRPr="008F0174">
        <w:rPr>
          <w:rFonts w:asciiTheme="minorHAnsi" w:hAnsiTheme="minorHAnsi"/>
        </w:rPr>
        <w:t xml:space="preserve"> mutation testing in parents with a fetus suspected of CF. However, </w:t>
      </w:r>
      <w:r w:rsidR="003E5EA5">
        <w:rPr>
          <w:rFonts w:asciiTheme="minorHAnsi" w:hAnsiTheme="minorHAnsi"/>
        </w:rPr>
        <w:t>1</w:t>
      </w:r>
      <w:r w:rsidR="003E5EA5" w:rsidRPr="008F0174">
        <w:rPr>
          <w:rFonts w:asciiTheme="minorHAnsi" w:hAnsiTheme="minorHAnsi"/>
        </w:rPr>
        <w:t xml:space="preserve"> </w:t>
      </w:r>
      <w:r w:rsidRPr="008F0174">
        <w:rPr>
          <w:rFonts w:asciiTheme="minorHAnsi" w:hAnsiTheme="minorHAnsi"/>
        </w:rPr>
        <w:t xml:space="preserve">level III-2 study of good quality reported on the diagnostic accuracy of </w:t>
      </w:r>
      <w:r w:rsidR="00FD37D3" w:rsidRPr="00FD37D3">
        <w:rPr>
          <w:rFonts w:asciiTheme="minorHAnsi" w:hAnsiTheme="minorHAnsi"/>
        </w:rPr>
        <w:t>CFTR</w:t>
      </w:r>
      <w:r w:rsidRPr="008F0174">
        <w:rPr>
          <w:rFonts w:asciiTheme="minorHAnsi" w:hAnsiTheme="minorHAnsi"/>
        </w:rPr>
        <w:t xml:space="preserve"> mutation testing compared with DNA sequencing in CF carriers with a known </w:t>
      </w:r>
      <w:r w:rsidR="00FD37D3" w:rsidRPr="00FD37D3">
        <w:rPr>
          <w:rFonts w:asciiTheme="minorHAnsi" w:hAnsiTheme="minorHAnsi"/>
        </w:rPr>
        <w:t>CFTR</w:t>
      </w:r>
      <w:r w:rsidRPr="008F0174">
        <w:rPr>
          <w:rFonts w:asciiTheme="minorHAnsi" w:hAnsiTheme="minorHAnsi"/>
        </w:rPr>
        <w:t xml:space="preserve"> mutation</w:t>
      </w:r>
      <w:r w:rsidR="0065559E">
        <w:rPr>
          <w:rFonts w:asciiTheme="minorHAnsi" w:hAnsiTheme="minorHAnsi"/>
        </w:rPr>
        <w:t>,</w:t>
      </w:r>
      <w:r w:rsidRPr="008F0174">
        <w:rPr>
          <w:rFonts w:asciiTheme="minorHAnsi" w:hAnsiTheme="minorHAnsi"/>
        </w:rPr>
        <w:t xml:space="preserve"> and was included (</w:t>
      </w:r>
      <w:r w:rsidR="00C71193">
        <w:rPr>
          <w:rFonts w:asciiTheme="minorHAnsi" w:hAnsiTheme="minorHAnsi"/>
          <w:highlight w:val="yellow"/>
        </w:rPr>
        <w:fldChar w:fldCharType="begin"/>
      </w:r>
      <w:r w:rsidR="00C71193">
        <w:rPr>
          <w:rFonts w:asciiTheme="minorHAnsi" w:hAnsiTheme="minorHAnsi"/>
        </w:rPr>
        <w:instrText xml:space="preserve"> REF _Ref412106643 \h </w:instrText>
      </w:r>
      <w:r w:rsidR="00C71193">
        <w:rPr>
          <w:rFonts w:asciiTheme="minorHAnsi" w:hAnsiTheme="minorHAnsi"/>
          <w:highlight w:val="yellow"/>
        </w:rPr>
      </w:r>
      <w:r w:rsidR="00C71193">
        <w:rPr>
          <w:rFonts w:asciiTheme="minorHAnsi" w:hAnsiTheme="minorHAnsi"/>
          <w:highlight w:val="yellow"/>
        </w:rPr>
        <w:fldChar w:fldCharType="separate"/>
      </w:r>
      <w:r w:rsidR="00BB0E3E">
        <w:t xml:space="preserve">Table </w:t>
      </w:r>
      <w:r w:rsidR="00BB0E3E">
        <w:rPr>
          <w:noProof/>
        </w:rPr>
        <w:t>27</w:t>
      </w:r>
      <w:r w:rsidR="00C71193">
        <w:rPr>
          <w:rFonts w:asciiTheme="minorHAnsi" w:hAnsiTheme="minorHAnsi"/>
          <w:highlight w:val="yellow"/>
        </w:rPr>
        <w:fldChar w:fldCharType="end"/>
      </w:r>
      <w:r w:rsidRPr="008F0174">
        <w:rPr>
          <w:rFonts w:asciiTheme="minorHAnsi" w:hAnsiTheme="minorHAnsi"/>
        </w:rPr>
        <w:t xml:space="preserve">). </w:t>
      </w:r>
    </w:p>
    <w:p w14:paraId="03D1C6C5" w14:textId="5E820AF8" w:rsidR="00C71193" w:rsidRDefault="00C71193" w:rsidP="00022486">
      <w:pPr>
        <w:pStyle w:val="Caption"/>
        <w:ind w:left="1134" w:hanging="1134"/>
      </w:pPr>
      <w:bookmarkStart w:id="238" w:name="_Ref412106643"/>
      <w:bookmarkStart w:id="239" w:name="_Toc418179424"/>
      <w:r>
        <w:t xml:space="preserve">Table </w:t>
      </w:r>
      <w:fldSimple w:instr=" SEQ Table \* ARABIC ">
        <w:r w:rsidR="00BB0E3E">
          <w:rPr>
            <w:noProof/>
          </w:rPr>
          <w:t>27</w:t>
        </w:r>
      </w:fldSimple>
      <w:bookmarkEnd w:id="238"/>
      <w:r>
        <w:t xml:space="preserve"> </w:t>
      </w:r>
      <w:r w:rsidR="00332C77">
        <w:tab/>
      </w:r>
      <w:r w:rsidRPr="0018251E">
        <w:t xml:space="preserve">Risk of bias and applicability judgements for diagnostic accuracy studies comparing </w:t>
      </w:r>
      <w:r w:rsidR="00FD37D3" w:rsidRPr="00FD37D3">
        <w:t>CFTR</w:t>
      </w:r>
      <w:r w:rsidRPr="0018251E">
        <w:t xml:space="preserve"> mutation testing with DNA sequencing in </w:t>
      </w:r>
      <w:r w:rsidR="00FD37D3" w:rsidRPr="00FD37D3">
        <w:t>CFTR</w:t>
      </w:r>
      <w:r w:rsidRPr="0018251E">
        <w:t xml:space="preserve"> mutation carriers</w:t>
      </w:r>
      <w:bookmarkEnd w:id="239"/>
    </w:p>
    <w:tbl>
      <w:tblPr>
        <w:tblStyle w:val="TableGrid1"/>
        <w:tblW w:w="0" w:type="auto"/>
        <w:tblLook w:val="00A0" w:firstRow="1" w:lastRow="0" w:firstColumn="1" w:lastColumn="0" w:noHBand="0" w:noVBand="0"/>
        <w:tblCaption w:val="Risk of bias and applicability judgements for diagnostic accuracy studies comparing CFTR mutation testing with DNA sequencing in CFTR mutation carriers"/>
        <w:tblDescription w:val="Risk of bias and applicability judgements for diagnostic accuracy studies comparing CFTR mutation testing with DNA sequencing in CFTR mutation carriers"/>
      </w:tblPr>
      <w:tblGrid>
        <w:gridCol w:w="2126"/>
        <w:gridCol w:w="871"/>
        <w:gridCol w:w="851"/>
        <w:gridCol w:w="992"/>
        <w:gridCol w:w="850"/>
        <w:gridCol w:w="1135"/>
        <w:gridCol w:w="1135"/>
        <w:gridCol w:w="1197"/>
      </w:tblGrid>
      <w:tr w:rsidR="008F0174" w:rsidRPr="008F0174" w14:paraId="5316EC34"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21C31F8D" w14:textId="77777777" w:rsidR="008F0174" w:rsidRPr="008F0174" w:rsidRDefault="008F0174" w:rsidP="001A75CA">
            <w:pPr>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559E2F9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3094F672"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5DBF4289"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D687AC8"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7C3B0B8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036B8E1"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4E5F3A12"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3643B66F"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5EBA85C8"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34AB321B"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26AE1798"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7FCBD744"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4A0E3C9F"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1F386F6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3C65F009" w14:textId="77777777" w:rsidTr="004245A0">
        <w:trPr>
          <w:trHeight w:val="342"/>
        </w:trPr>
        <w:tc>
          <w:tcPr>
            <w:tcW w:w="2126" w:type="dxa"/>
          </w:tcPr>
          <w:p w14:paraId="317077A9" w14:textId="3EBF37A8"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Tomaiuolo, Spina &amp; Castaldo </w:t>
            </w:r>
            <w:r w:rsidR="003E5EA5">
              <w:rPr>
                <w:rFonts w:ascii="Arial Narrow" w:hAnsi="Arial Narrow" w:cs="Calibri"/>
                <w:sz w:val="20"/>
                <w:szCs w:val="20"/>
                <w:lang w:eastAsia="en-GB"/>
              </w:rPr>
              <w:t>(</w:t>
            </w:r>
            <w:r w:rsidRPr="008F0174">
              <w:rPr>
                <w:rFonts w:ascii="Arial Narrow" w:hAnsi="Arial Narrow" w:cs="Calibri"/>
                <w:sz w:val="20"/>
                <w:szCs w:val="20"/>
                <w:lang w:eastAsia="en-GB"/>
              </w:rPr>
              <w:t>2003</w:t>
            </w:r>
            <w:r w:rsidR="003E5EA5">
              <w:rPr>
                <w:rFonts w:ascii="Arial Narrow" w:hAnsi="Arial Narrow" w:cs="Calibri"/>
                <w:sz w:val="20"/>
                <w:szCs w:val="20"/>
                <w:lang w:eastAsia="en-GB"/>
              </w:rPr>
              <w:t>)</w:t>
            </w:r>
          </w:p>
        </w:tc>
        <w:tc>
          <w:tcPr>
            <w:tcW w:w="850" w:type="dxa"/>
          </w:tcPr>
          <w:p w14:paraId="42AB500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412A213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992" w:type="dxa"/>
          </w:tcPr>
          <w:p w14:paraId="084A154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1D1FF34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6DC4CF7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325919C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1F3E844B"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bl>
    <w:p w14:paraId="2DB66B5A" w14:textId="139001AB"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4A412C9E" w14:textId="55D349AC" w:rsidR="008F0174" w:rsidRPr="001A75CA" w:rsidRDefault="00620C77"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w:t>
      </w:r>
      <w:r w:rsidRPr="00C32F92">
        <w:rPr>
          <w:rFonts w:ascii="Arial Narrow" w:hAnsi="Arial Narrow"/>
          <w:sz w:val="18"/>
          <w:szCs w:val="18"/>
        </w:rPr>
        <w:t xml:space="preserve">DNA = </w:t>
      </w:r>
      <w:r w:rsidRPr="00836588">
        <w:rPr>
          <w:rFonts w:ascii="Arial Narrow" w:hAnsi="Arial Narrow"/>
          <w:sz w:val="18"/>
          <w:szCs w:val="18"/>
        </w:rPr>
        <w:t>deoxyri</w:t>
      </w:r>
      <w:r w:rsidRPr="00C32F92">
        <w:rPr>
          <w:rFonts w:ascii="Arial Narrow" w:hAnsi="Arial Narrow"/>
          <w:sz w:val="18"/>
          <w:szCs w:val="18"/>
        </w:rPr>
        <w:t>bonucleic acid</w:t>
      </w:r>
      <w:r w:rsidRPr="0065559E">
        <w:rPr>
          <w:rFonts w:ascii="Arial Narrow" w:hAnsi="Arial Narrow" w:cs="Calibri"/>
          <w:sz w:val="18"/>
          <w:szCs w:val="18"/>
          <w:lang w:eastAsia="en-GB"/>
        </w:rPr>
        <w:t>;</w:t>
      </w:r>
      <w:r>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415989D5" w14:textId="0B8AE8BE" w:rsidR="008F0174" w:rsidRPr="001A75CA" w:rsidRDefault="000C702F" w:rsidP="001A75CA">
      <w:pPr>
        <w:keepNext/>
        <w:spacing w:after="0" w:line="240" w:lineRule="auto"/>
        <w:ind w:right="-57"/>
        <w:jc w:val="left"/>
        <w:rPr>
          <w:rFonts w:ascii="Arial Narrow" w:hAnsi="Arial Narrow" w:cs="Calibri"/>
          <w:sz w:val="18"/>
          <w:szCs w:val="18"/>
          <w:lang w:eastAsia="en-GB"/>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intermediate quality with some risk of bias = the remainder</w:t>
      </w:r>
    </w:p>
    <w:p w14:paraId="49547563" w14:textId="77777777" w:rsidR="002A6A9D" w:rsidRDefault="002A6A9D" w:rsidP="008F0174">
      <w:pPr>
        <w:rPr>
          <w:rFonts w:asciiTheme="minorHAnsi" w:hAnsiTheme="minorHAnsi"/>
        </w:rPr>
      </w:pPr>
    </w:p>
    <w:p w14:paraId="23098174" w14:textId="063F4F77" w:rsidR="008F0174" w:rsidRPr="008F0174" w:rsidRDefault="008F0174" w:rsidP="008F0174">
      <w:pPr>
        <w:rPr>
          <w:rFonts w:asciiTheme="minorHAnsi" w:hAnsiTheme="minorHAnsi"/>
        </w:rPr>
      </w:pPr>
      <w:r w:rsidRPr="008F0174">
        <w:rPr>
          <w:rFonts w:asciiTheme="minorHAnsi" w:hAnsiTheme="minorHAnsi"/>
        </w:rPr>
        <w:t xml:space="preserve">To assess the diagnostic accuracy of </w:t>
      </w:r>
      <w:r w:rsidR="00FD37D3" w:rsidRPr="00FD37D3">
        <w:rPr>
          <w:rFonts w:asciiTheme="minorHAnsi" w:hAnsiTheme="minorHAnsi"/>
        </w:rPr>
        <w:t>CFTR</w:t>
      </w:r>
      <w:r w:rsidRPr="008F0174">
        <w:rPr>
          <w:rFonts w:asciiTheme="minorHAnsi" w:hAnsiTheme="minorHAnsi"/>
        </w:rPr>
        <w:t xml:space="preserve"> mutation testing in fetuses suspected of having CF</w:t>
      </w:r>
      <w:r w:rsidR="00C47420">
        <w:rPr>
          <w:rFonts w:asciiTheme="minorHAnsi" w:hAnsiTheme="minorHAnsi"/>
        </w:rPr>
        <w:t>,</w:t>
      </w:r>
      <w:r w:rsidRPr="008F0174">
        <w:rPr>
          <w:rFonts w:asciiTheme="minorHAnsi" w:hAnsiTheme="minorHAnsi"/>
        </w:rPr>
        <w:t xml:space="preserve"> </w:t>
      </w:r>
      <w:r w:rsidR="00C47420">
        <w:rPr>
          <w:rFonts w:asciiTheme="minorHAnsi" w:hAnsiTheme="minorHAnsi"/>
        </w:rPr>
        <w:t>4</w:t>
      </w:r>
      <w:r w:rsidR="00C47420" w:rsidRPr="008F0174">
        <w:rPr>
          <w:rFonts w:asciiTheme="minorHAnsi" w:hAnsiTheme="minorHAnsi"/>
        </w:rPr>
        <w:t xml:space="preserve"> </w:t>
      </w:r>
      <w:r w:rsidRPr="008F0174">
        <w:rPr>
          <w:rFonts w:asciiTheme="minorHAnsi" w:hAnsiTheme="minorHAnsi"/>
        </w:rPr>
        <w:t>studies were included</w:t>
      </w:r>
      <w:r w:rsidR="0065559E">
        <w:rPr>
          <w:rFonts w:asciiTheme="minorHAnsi" w:hAnsiTheme="minorHAnsi"/>
        </w:rPr>
        <w:t>—</w:t>
      </w:r>
      <w:r w:rsidR="00C47420">
        <w:rPr>
          <w:rFonts w:asciiTheme="minorHAnsi" w:hAnsiTheme="minorHAnsi"/>
        </w:rPr>
        <w:t>a</w:t>
      </w:r>
      <w:r w:rsidRPr="008F0174">
        <w:rPr>
          <w:rFonts w:asciiTheme="minorHAnsi" w:hAnsiTheme="minorHAnsi"/>
        </w:rPr>
        <w:t xml:space="preserve">ll reported on </w:t>
      </w:r>
      <w:r w:rsidR="00FD37D3" w:rsidRPr="00FD37D3">
        <w:rPr>
          <w:rFonts w:asciiTheme="minorHAnsi" w:hAnsiTheme="minorHAnsi"/>
        </w:rPr>
        <w:t>CFTR</w:t>
      </w:r>
      <w:r w:rsidRPr="008F0174">
        <w:rPr>
          <w:rFonts w:asciiTheme="minorHAnsi" w:hAnsiTheme="minorHAnsi"/>
        </w:rPr>
        <w:t xml:space="preserve"> mutation testing in fetuses where both parents </w:t>
      </w:r>
      <w:r w:rsidR="0065559E">
        <w:rPr>
          <w:rFonts w:asciiTheme="minorHAnsi" w:hAnsiTheme="minorHAnsi"/>
        </w:rPr>
        <w:t>were</w:t>
      </w:r>
      <w:r w:rsidR="0065559E" w:rsidRPr="008F0174">
        <w:rPr>
          <w:rFonts w:asciiTheme="minorHAnsi" w:hAnsiTheme="minorHAnsi"/>
        </w:rPr>
        <w:t xml:space="preserve"> </w:t>
      </w:r>
      <w:r w:rsidRPr="008F0174">
        <w:rPr>
          <w:rFonts w:asciiTheme="minorHAnsi" w:hAnsiTheme="minorHAnsi"/>
        </w:rPr>
        <w:t>CF carriers (</w:t>
      </w:r>
      <w:r w:rsidR="00C71193">
        <w:rPr>
          <w:rFonts w:asciiTheme="minorHAnsi" w:hAnsiTheme="minorHAnsi"/>
          <w:highlight w:val="yellow"/>
        </w:rPr>
        <w:fldChar w:fldCharType="begin"/>
      </w:r>
      <w:r w:rsidR="00C71193">
        <w:rPr>
          <w:rFonts w:asciiTheme="minorHAnsi" w:hAnsiTheme="minorHAnsi"/>
        </w:rPr>
        <w:instrText xml:space="preserve"> REF _Ref412106654 \h </w:instrText>
      </w:r>
      <w:r w:rsidR="00C71193">
        <w:rPr>
          <w:rFonts w:asciiTheme="minorHAnsi" w:hAnsiTheme="minorHAnsi"/>
          <w:highlight w:val="yellow"/>
        </w:rPr>
      </w:r>
      <w:r w:rsidR="00C71193">
        <w:rPr>
          <w:rFonts w:asciiTheme="minorHAnsi" w:hAnsiTheme="minorHAnsi"/>
          <w:highlight w:val="yellow"/>
        </w:rPr>
        <w:fldChar w:fldCharType="separate"/>
      </w:r>
      <w:r w:rsidR="00BB0E3E">
        <w:t xml:space="preserve">Table </w:t>
      </w:r>
      <w:r w:rsidR="00BB0E3E">
        <w:rPr>
          <w:noProof/>
        </w:rPr>
        <w:t>28</w:t>
      </w:r>
      <w:r w:rsidR="00C71193">
        <w:rPr>
          <w:rFonts w:asciiTheme="minorHAnsi" w:hAnsiTheme="minorHAnsi"/>
          <w:highlight w:val="yellow"/>
        </w:rPr>
        <w:fldChar w:fldCharType="end"/>
      </w:r>
      <w:r w:rsidRPr="008F0174">
        <w:rPr>
          <w:rFonts w:asciiTheme="minorHAnsi" w:hAnsiTheme="minorHAnsi"/>
        </w:rPr>
        <w:t xml:space="preserve">). However, only </w:t>
      </w:r>
      <w:r w:rsidR="00C47420">
        <w:rPr>
          <w:rFonts w:asciiTheme="minorHAnsi" w:hAnsiTheme="minorHAnsi"/>
        </w:rPr>
        <w:t>2</w:t>
      </w:r>
      <w:r w:rsidR="00C47420" w:rsidRPr="008F0174">
        <w:rPr>
          <w:rFonts w:asciiTheme="minorHAnsi" w:hAnsiTheme="minorHAnsi"/>
        </w:rPr>
        <w:t xml:space="preserve"> </w:t>
      </w:r>
      <w:r w:rsidRPr="008F0174">
        <w:rPr>
          <w:rFonts w:asciiTheme="minorHAnsi" w:hAnsiTheme="minorHAnsi"/>
        </w:rPr>
        <w:t xml:space="preserve">studies were comparative (level III-2 of good quality) and reported the clinical outcomes after birth, but only for those with carrier or normal status. The other </w:t>
      </w:r>
      <w:r w:rsidR="00C47420">
        <w:rPr>
          <w:rFonts w:asciiTheme="minorHAnsi" w:hAnsiTheme="minorHAnsi"/>
        </w:rPr>
        <w:t>2</w:t>
      </w:r>
      <w:r w:rsidR="00C47420" w:rsidRPr="008F0174">
        <w:rPr>
          <w:rFonts w:asciiTheme="minorHAnsi" w:hAnsiTheme="minorHAnsi"/>
        </w:rPr>
        <w:t xml:space="preserve"> </w:t>
      </w:r>
      <w:r w:rsidRPr="008F0174">
        <w:rPr>
          <w:rFonts w:asciiTheme="minorHAnsi" w:hAnsiTheme="minorHAnsi"/>
        </w:rPr>
        <w:t xml:space="preserve">studies were non-comparative (level IV studies, </w:t>
      </w:r>
      <w:r w:rsidR="00C47420">
        <w:rPr>
          <w:rFonts w:asciiTheme="minorHAnsi" w:hAnsiTheme="minorHAnsi"/>
        </w:rPr>
        <w:t>1</w:t>
      </w:r>
      <w:r w:rsidR="00C47420" w:rsidRPr="008F0174">
        <w:rPr>
          <w:rFonts w:asciiTheme="minorHAnsi" w:hAnsiTheme="minorHAnsi"/>
        </w:rPr>
        <w:t xml:space="preserve"> </w:t>
      </w:r>
      <w:r w:rsidRPr="008F0174">
        <w:rPr>
          <w:rFonts w:asciiTheme="minorHAnsi" w:hAnsiTheme="minorHAnsi"/>
        </w:rPr>
        <w:t xml:space="preserve">of intermediate and </w:t>
      </w:r>
      <w:r w:rsidR="00C47420">
        <w:rPr>
          <w:rFonts w:asciiTheme="minorHAnsi" w:hAnsiTheme="minorHAnsi"/>
        </w:rPr>
        <w:t>1</w:t>
      </w:r>
      <w:r w:rsidR="00C47420" w:rsidRPr="008F0174">
        <w:rPr>
          <w:rFonts w:asciiTheme="minorHAnsi" w:hAnsiTheme="minorHAnsi"/>
        </w:rPr>
        <w:t xml:space="preserve"> </w:t>
      </w:r>
      <w:r w:rsidRPr="008F0174">
        <w:rPr>
          <w:rFonts w:asciiTheme="minorHAnsi" w:hAnsiTheme="minorHAnsi"/>
        </w:rPr>
        <w:t>of poor quality).</w:t>
      </w:r>
    </w:p>
    <w:p w14:paraId="3EB80726" w14:textId="7A86A9C3" w:rsidR="008F0174" w:rsidRPr="008F0174" w:rsidRDefault="008F0174" w:rsidP="008F0174">
      <w:pPr>
        <w:rPr>
          <w:rFonts w:asciiTheme="minorHAnsi" w:hAnsiTheme="minorHAnsi"/>
        </w:rPr>
      </w:pPr>
      <w:r w:rsidRPr="008F0174">
        <w:rPr>
          <w:rFonts w:asciiTheme="minorHAnsi" w:hAnsiTheme="minorHAnsi"/>
        </w:rPr>
        <w:t xml:space="preserve">One of the level III-2 studies also reported on the diagnostic accuracy of </w:t>
      </w:r>
      <w:r w:rsidR="00FD37D3" w:rsidRPr="00FD37D3">
        <w:rPr>
          <w:rFonts w:asciiTheme="minorHAnsi" w:hAnsiTheme="minorHAnsi"/>
        </w:rPr>
        <w:t>CFTR</w:t>
      </w:r>
      <w:r w:rsidRPr="008F0174">
        <w:rPr>
          <w:rFonts w:asciiTheme="minorHAnsi" w:hAnsiTheme="minorHAnsi"/>
        </w:rPr>
        <w:t xml:space="preserve"> mutation testing of fetuses diagnosed with FEB. However, the clinical outcomes of these fetuses were not reported</w:t>
      </w:r>
      <w:r w:rsidR="00C47420">
        <w:rPr>
          <w:rFonts w:asciiTheme="minorHAnsi" w:hAnsiTheme="minorHAnsi"/>
        </w:rPr>
        <w:t>,</w:t>
      </w:r>
      <w:r w:rsidRPr="008F0174">
        <w:rPr>
          <w:rFonts w:asciiTheme="minorHAnsi" w:hAnsiTheme="minorHAnsi"/>
        </w:rPr>
        <w:t xml:space="preserve"> making this a level IV study for this population. The study was still of good quality (</w:t>
      </w:r>
      <w:r w:rsidR="00C54DCA">
        <w:rPr>
          <w:rFonts w:asciiTheme="minorHAnsi" w:hAnsiTheme="minorHAnsi"/>
        </w:rPr>
        <w:t>Table 29</w:t>
      </w:r>
      <w:r w:rsidRPr="008F0174">
        <w:rPr>
          <w:rFonts w:asciiTheme="minorHAnsi" w:hAnsiTheme="minorHAnsi"/>
        </w:rPr>
        <w:t>).</w:t>
      </w:r>
    </w:p>
    <w:p w14:paraId="34F705A3" w14:textId="6DCF25F3" w:rsidR="00C71193" w:rsidRDefault="00C71193" w:rsidP="00022486">
      <w:pPr>
        <w:pStyle w:val="Caption"/>
        <w:ind w:left="1134" w:hanging="1134"/>
      </w:pPr>
      <w:bookmarkStart w:id="240" w:name="_Ref412106654"/>
      <w:bookmarkStart w:id="241" w:name="_Toc418179425"/>
      <w:r>
        <w:t xml:space="preserve">Table </w:t>
      </w:r>
      <w:fldSimple w:instr=" SEQ Table \* ARABIC ">
        <w:r w:rsidR="00BB0E3E">
          <w:rPr>
            <w:noProof/>
          </w:rPr>
          <w:t>28</w:t>
        </w:r>
      </w:fldSimple>
      <w:bookmarkEnd w:id="240"/>
      <w:r>
        <w:t xml:space="preserve"> </w:t>
      </w:r>
      <w:r w:rsidR="00332C77">
        <w:tab/>
      </w:r>
      <w:r w:rsidRPr="00B004B9">
        <w:t xml:space="preserve">Risk of bias and applicability judgements for diagnostic accuracy studies comparing </w:t>
      </w:r>
      <w:r w:rsidR="00FD37D3" w:rsidRPr="00FD37D3">
        <w:t>CFTR</w:t>
      </w:r>
      <w:r w:rsidRPr="00B004B9">
        <w:t xml:space="preserve"> mutation testing with clinical diagnosis in fetuses with carrier parents</w:t>
      </w:r>
      <w:bookmarkEnd w:id="241"/>
    </w:p>
    <w:tbl>
      <w:tblPr>
        <w:tblStyle w:val="TableGrid1"/>
        <w:tblW w:w="0" w:type="auto"/>
        <w:tblLook w:val="00A0" w:firstRow="1" w:lastRow="0" w:firstColumn="1" w:lastColumn="0" w:noHBand="0" w:noVBand="0"/>
        <w:tblCaption w:val="Risk of bias and applicability judgements for diagnostic accuracy studies comparing CFTR mutation testing with clinical diagnosis in fetuses with carrier parents"/>
        <w:tblDescription w:val="Risk of bias and applicability judgements for diagnostic accuracy studies comparing CFTR mutation testing with clinical diagnosis in fetuses with carrier parents"/>
      </w:tblPr>
      <w:tblGrid>
        <w:gridCol w:w="2126"/>
        <w:gridCol w:w="871"/>
        <w:gridCol w:w="851"/>
        <w:gridCol w:w="992"/>
        <w:gridCol w:w="850"/>
        <w:gridCol w:w="1135"/>
        <w:gridCol w:w="1135"/>
        <w:gridCol w:w="1197"/>
      </w:tblGrid>
      <w:tr w:rsidR="008F0174" w:rsidRPr="008F0174" w14:paraId="02E6CE78"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03A006F9"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2D38403F"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620576CB"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06AB35A6"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135C3FE"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36ACEB4C"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2CB9E8C"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788E35D3"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2B3DF1C"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4982E799"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3DFBBBCA"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7D6011BD"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69958C4C"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29343D91"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42AA41D"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0752E478" w14:textId="77777777" w:rsidTr="009B1AA7">
        <w:trPr>
          <w:trHeight w:val="342"/>
        </w:trPr>
        <w:tc>
          <w:tcPr>
            <w:tcW w:w="2126" w:type="dxa"/>
          </w:tcPr>
          <w:p w14:paraId="6B8B9494" w14:textId="56050365"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Castaldo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2000</w:t>
            </w:r>
            <w:r w:rsidR="00C47420">
              <w:rPr>
                <w:rFonts w:ascii="Arial Narrow" w:hAnsi="Arial Narrow" w:cs="Calibri"/>
                <w:sz w:val="20"/>
                <w:szCs w:val="20"/>
                <w:lang w:eastAsia="en-GB"/>
              </w:rPr>
              <w:t>)</w:t>
            </w:r>
          </w:p>
        </w:tc>
        <w:tc>
          <w:tcPr>
            <w:tcW w:w="850" w:type="dxa"/>
          </w:tcPr>
          <w:p w14:paraId="64CFDA71"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14FC0861"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23DA373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0585523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6AFA68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B954D41"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9C1B53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r w:rsidR="008F0174" w:rsidRPr="008F0174" w14:paraId="67D9CCBF" w14:textId="77777777" w:rsidTr="009B1AA7">
        <w:trPr>
          <w:trHeight w:val="342"/>
        </w:trPr>
        <w:tc>
          <w:tcPr>
            <w:tcW w:w="2126" w:type="dxa"/>
          </w:tcPr>
          <w:p w14:paraId="12137403" w14:textId="15E59990"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Collazo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2014</w:t>
            </w:r>
            <w:r w:rsidR="00C47420">
              <w:rPr>
                <w:rFonts w:ascii="Arial Narrow" w:hAnsi="Arial Narrow" w:cs="Calibri"/>
                <w:sz w:val="20"/>
                <w:szCs w:val="20"/>
                <w:lang w:eastAsia="en-GB"/>
              </w:rPr>
              <w:t>)</w:t>
            </w:r>
          </w:p>
        </w:tc>
        <w:tc>
          <w:tcPr>
            <w:tcW w:w="850" w:type="dxa"/>
          </w:tcPr>
          <w:p w14:paraId="0F565535"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E0F9BFB"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37DFE23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22F5754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3DA1DC5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58EFFD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59FA068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00867831" w14:textId="77777777" w:rsidTr="009B1AA7">
        <w:trPr>
          <w:trHeight w:val="342"/>
        </w:trPr>
        <w:tc>
          <w:tcPr>
            <w:tcW w:w="2126" w:type="dxa"/>
          </w:tcPr>
          <w:p w14:paraId="2990BBD1" w14:textId="6A991E11"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Kanavakis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2003</w:t>
            </w:r>
            <w:r w:rsidR="00C47420">
              <w:rPr>
                <w:rFonts w:ascii="Arial Narrow" w:hAnsi="Arial Narrow" w:cs="Calibri"/>
                <w:sz w:val="20"/>
                <w:szCs w:val="20"/>
                <w:lang w:eastAsia="en-GB"/>
              </w:rPr>
              <w:t>)</w:t>
            </w:r>
          </w:p>
        </w:tc>
        <w:tc>
          <w:tcPr>
            <w:tcW w:w="850" w:type="dxa"/>
          </w:tcPr>
          <w:p w14:paraId="30820124"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06728F1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73E8CE2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0" w:type="dxa"/>
          </w:tcPr>
          <w:p w14:paraId="4539BC15"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52F14CA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E170A3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4EF045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32A39ACD" w14:textId="77777777" w:rsidTr="009B1AA7">
        <w:trPr>
          <w:trHeight w:val="342"/>
        </w:trPr>
        <w:tc>
          <w:tcPr>
            <w:tcW w:w="2126" w:type="dxa"/>
          </w:tcPr>
          <w:p w14:paraId="41BDA992" w14:textId="59AEF589"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Saker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2006</w:t>
            </w:r>
            <w:r w:rsidR="00C47420">
              <w:rPr>
                <w:rFonts w:ascii="Arial Narrow" w:hAnsi="Arial Narrow" w:cs="Calibri"/>
                <w:sz w:val="20"/>
                <w:szCs w:val="20"/>
                <w:lang w:eastAsia="en-GB"/>
              </w:rPr>
              <w:t>)</w:t>
            </w:r>
          </w:p>
        </w:tc>
        <w:tc>
          <w:tcPr>
            <w:tcW w:w="850" w:type="dxa"/>
          </w:tcPr>
          <w:p w14:paraId="241F219B"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eastAsiaTheme="minorHAnsi" w:hAnsi="Arial Narrow" w:cstheme="minorHAnsi"/>
                <w:shd w:val="clear" w:color="auto" w:fill="B6DDE8" w:themeFill="accent5" w:themeFillTint="66"/>
                <w:lang w:eastAsia="en-US"/>
              </w:rPr>
              <w:t>?</w:t>
            </w:r>
          </w:p>
        </w:tc>
        <w:tc>
          <w:tcPr>
            <w:tcW w:w="851" w:type="dxa"/>
          </w:tcPr>
          <w:p w14:paraId="5958F4E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44B8013B"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621420E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394024E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CD46E9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CA43575"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bl>
    <w:p w14:paraId="49768762" w14:textId="4D614FF6"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63349D6E" w14:textId="4E172CF9" w:rsidR="008F0174" w:rsidRPr="001A75CA" w:rsidRDefault="00620C77"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 xml:space="preserve">NA = not applicable (level IV study with no reference standard); </w:t>
      </w:r>
      <w:r w:rsidR="00C47420" w:rsidRPr="001A75CA">
        <w:rPr>
          <w:rFonts w:ascii="Arial Narrow" w:hAnsi="Arial Narrow" w:cs="Calibri"/>
          <w:sz w:val="18"/>
          <w:szCs w:val="18"/>
          <w:lang w:eastAsia="en-GB"/>
        </w:rPr>
        <w:t>r</w:t>
      </w:r>
      <w:r w:rsidR="008F0174" w:rsidRPr="001A75CA">
        <w:rPr>
          <w:rFonts w:ascii="Arial Narrow" w:hAnsi="Arial Narrow" w:cs="Calibri"/>
          <w:sz w:val="18"/>
          <w:szCs w:val="18"/>
          <w:lang w:eastAsia="en-GB"/>
        </w:rPr>
        <w:t xml:space="preserve">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74887533" w14:textId="30B086F6" w:rsidR="008F0174" w:rsidRPr="001A75CA" w:rsidRDefault="000C702F" w:rsidP="001A75CA">
      <w:pPr>
        <w:keepNext/>
        <w:spacing w:after="0" w:line="240" w:lineRule="auto"/>
        <w:ind w:right="-57"/>
        <w:jc w:val="left"/>
        <w:rPr>
          <w:rFonts w:ascii="Arial Narrow" w:hAnsi="Arial Narrow"/>
          <w:sz w:val="18"/>
          <w:szCs w:val="18"/>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719F1E6C" w14:textId="77777777" w:rsidR="002A6A9D" w:rsidRDefault="002A6A9D" w:rsidP="002A6A9D">
      <w:bookmarkStart w:id="242" w:name="_Ref412106658"/>
      <w:bookmarkStart w:id="243" w:name="_Toc418179426"/>
    </w:p>
    <w:p w14:paraId="3205297A" w14:textId="0CA6A751" w:rsidR="00C71193" w:rsidRDefault="00C71193" w:rsidP="00022486">
      <w:pPr>
        <w:pStyle w:val="Caption"/>
        <w:ind w:left="1134" w:hanging="1134"/>
      </w:pPr>
      <w:r>
        <w:lastRenderedPageBreak/>
        <w:t xml:space="preserve">Table </w:t>
      </w:r>
      <w:fldSimple w:instr=" SEQ Table \* ARABIC ">
        <w:r w:rsidR="00BB0E3E">
          <w:rPr>
            <w:noProof/>
          </w:rPr>
          <w:t>29</w:t>
        </w:r>
      </w:fldSimple>
      <w:bookmarkEnd w:id="242"/>
      <w:r>
        <w:t xml:space="preserve"> </w:t>
      </w:r>
      <w:r w:rsidR="00332C77">
        <w:tab/>
      </w:r>
      <w:r w:rsidRPr="00C61CAA">
        <w:t xml:space="preserve">Risk of bias and applicability judgements for diagnostic accuracy studies comparing </w:t>
      </w:r>
      <w:r w:rsidR="00FD37D3" w:rsidRPr="00FD37D3">
        <w:t>CFTR</w:t>
      </w:r>
      <w:r w:rsidRPr="00C61CAA">
        <w:t xml:space="preserve"> mutation testing with clinical diagnosis in fetuses with FEB</w:t>
      </w:r>
      <w:bookmarkEnd w:id="243"/>
    </w:p>
    <w:tbl>
      <w:tblPr>
        <w:tblStyle w:val="TableGrid11"/>
        <w:tblW w:w="0" w:type="auto"/>
        <w:tblLook w:val="00A0" w:firstRow="1" w:lastRow="0" w:firstColumn="1" w:lastColumn="0" w:noHBand="0" w:noVBand="0"/>
        <w:tblCaption w:val="Risk of bias and applicability judgements for diagnostic accuracy studies comparing CFTR mutation testing with clinical diagnosis in fetuses with FEB"/>
        <w:tblDescription w:val="Risk of bias and applicability judgements for diagnostic accuracy studies comparing CFTR mutation testing with clinical diagnosis in fetuses with FEB"/>
      </w:tblPr>
      <w:tblGrid>
        <w:gridCol w:w="2126"/>
        <w:gridCol w:w="871"/>
        <w:gridCol w:w="851"/>
        <w:gridCol w:w="992"/>
        <w:gridCol w:w="850"/>
        <w:gridCol w:w="1135"/>
        <w:gridCol w:w="1135"/>
        <w:gridCol w:w="1197"/>
      </w:tblGrid>
      <w:tr w:rsidR="008F0174" w:rsidRPr="008F0174" w14:paraId="0C3930BE"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0B150238" w14:textId="77777777" w:rsidR="008F0174" w:rsidRPr="008F0174" w:rsidRDefault="008F0174" w:rsidP="001A75CA">
            <w:pPr>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4002CA1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46102448"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744CBA04"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3E891FD1"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2D967237"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FA860EC"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799B3FBB"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53E8EED4"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2A1F2BA2"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08D9BFEB"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24A45A96"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033F985"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74F832AA"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70BC8B4E" w14:textId="77777777" w:rsidR="008F0174" w:rsidRPr="008F0174" w:rsidRDefault="008F0174" w:rsidP="008F0174">
            <w:pPr>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5CCF0855" w14:textId="77777777" w:rsidTr="009B1AA7">
        <w:trPr>
          <w:trHeight w:val="342"/>
        </w:trPr>
        <w:tc>
          <w:tcPr>
            <w:tcW w:w="2126" w:type="dxa"/>
          </w:tcPr>
          <w:p w14:paraId="090F90D0" w14:textId="77777777"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Kanavakis et al. 2003</w:t>
            </w:r>
          </w:p>
        </w:tc>
        <w:tc>
          <w:tcPr>
            <w:tcW w:w="850" w:type="dxa"/>
          </w:tcPr>
          <w:p w14:paraId="3533405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0A38666F"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30BE6A7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140755A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86D121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B5C38A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6BF623F9"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bl>
    <w:p w14:paraId="0D7F8EE8" w14:textId="2945615E"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719A0E94" w14:textId="762964A0" w:rsidR="008F0174" w:rsidRPr="001A75CA" w:rsidRDefault="00620C77" w:rsidP="001A75CA">
      <w:pPr>
        <w:keepNext/>
        <w:spacing w:after="0" w:line="240" w:lineRule="auto"/>
        <w:rPr>
          <w:rFonts w:ascii="Arial Narrow" w:hAnsi="Arial Narrow" w:cs="Times New Roman"/>
          <w:sz w:val="18"/>
          <w:szCs w:val="18"/>
        </w:rPr>
      </w:pPr>
      <w:r w:rsidRPr="0065559E">
        <w:rPr>
          <w:rFonts w:ascii="Arial Narrow" w:hAnsi="Arial Narrow" w:cs="Calibri"/>
          <w:sz w:val="18"/>
          <w:szCs w:val="18"/>
          <w:lang w:eastAsia="en-GB"/>
        </w:rPr>
        <w:t xml:space="preserve">CFTR = </w:t>
      </w:r>
      <w:r w:rsidRPr="00C32F92">
        <w:rPr>
          <w:rFonts w:ascii="Arial Narrow" w:hAnsi="Arial Narrow"/>
          <w:sz w:val="18"/>
          <w:szCs w:val="18"/>
        </w:rPr>
        <w:t>cystic fibrosis transmembrane conductance regulator</w:t>
      </w:r>
      <w:r w:rsidRPr="0065559E">
        <w:rPr>
          <w:rFonts w:ascii="Arial Narrow" w:hAnsi="Arial Narrow" w:cs="Calibri"/>
          <w:sz w:val="18"/>
          <w:szCs w:val="18"/>
          <w:lang w:eastAsia="en-GB"/>
        </w:rPr>
        <w:t xml:space="preserve">; </w:t>
      </w:r>
      <w:r w:rsidR="008F0174" w:rsidRPr="001A75CA">
        <w:rPr>
          <w:rFonts w:ascii="Arial Narrow" w:hAnsi="Arial Narrow" w:cs="Calibri"/>
          <w:sz w:val="18"/>
          <w:szCs w:val="18"/>
          <w:lang w:eastAsia="en-GB"/>
        </w:rPr>
        <w:t>NA = not applicable (level IV study with no reference standard);</w:t>
      </w:r>
      <w:r w:rsidR="0093618D" w:rsidRPr="001A75CA">
        <w:rPr>
          <w:rFonts w:ascii="Arial Narrow" w:hAnsi="Arial Narrow" w:cs="Calibri"/>
          <w:sz w:val="18"/>
          <w:szCs w:val="18"/>
          <w:lang w:eastAsia="en-GB"/>
        </w:rPr>
        <w:t xml:space="preserve"> FEB = fetal echogenic bowel;</w:t>
      </w:r>
      <w:r w:rsidR="008F0174" w:rsidRPr="001A75CA">
        <w:rPr>
          <w:rFonts w:ascii="Arial Narrow" w:hAnsi="Arial Narrow" w:cs="Calibri"/>
          <w:sz w:val="18"/>
          <w:szCs w:val="18"/>
          <w:lang w:eastAsia="en-GB"/>
        </w:rPr>
        <w:t xml:space="preserve"> Risk of bias: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 l</w:t>
      </w:r>
      <w:r w:rsidR="008F0174" w:rsidRPr="001A75CA">
        <w:rPr>
          <w:rFonts w:ascii="Arial Narrow" w:hAnsi="Arial Narrow" w:cs="Times New Roman"/>
          <w:sz w:val="18"/>
          <w:szCs w:val="18"/>
        </w:rPr>
        <w:t xml:space="preserve">ow risk;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 h</w:t>
      </w:r>
      <w:r w:rsidR="008F0174" w:rsidRPr="001A75CA">
        <w:rPr>
          <w:rFonts w:ascii="Arial Narrow" w:hAnsi="Arial Narrow" w:cs="Times New Roman"/>
          <w:sz w:val="18"/>
          <w:szCs w:val="18"/>
        </w:rPr>
        <w:t>igh risk;</w:t>
      </w:r>
      <w:r w:rsidR="00DF5916" w:rsidRPr="001A75CA">
        <w:rPr>
          <w:rFonts w:ascii="Arial Narrow" w:hAnsi="Arial Narrow" w:cs="Times New Roman"/>
          <w:sz w:val="18"/>
          <w:szCs w:val="18"/>
        </w:rPr>
        <w:t xml:space="preserve"> </w:t>
      </w:r>
      <w:r w:rsidR="008F0174" w:rsidRPr="001A75CA">
        <w:rPr>
          <w:rFonts w:ascii="Arial Narrow" w:hAnsi="Arial Narrow" w:cs="Calibri"/>
          <w:sz w:val="18"/>
          <w:szCs w:val="18"/>
          <w:shd w:val="clear" w:color="auto" w:fill="B6DDE8"/>
          <w:lang w:eastAsia="en-GB"/>
        </w:rPr>
        <w:t>?</w:t>
      </w:r>
      <w:r w:rsidR="008F0174" w:rsidRPr="001A75CA">
        <w:rPr>
          <w:rFonts w:ascii="Arial Narrow" w:hAnsi="Arial Narrow" w:cs="Times New Roman"/>
          <w:sz w:val="18"/>
          <w:szCs w:val="18"/>
        </w:rPr>
        <w:t xml:space="preserve"> = unclear risk</w:t>
      </w:r>
    </w:p>
    <w:p w14:paraId="3E2E3BBA" w14:textId="67145162" w:rsidR="008F0174" w:rsidRPr="001A75CA" w:rsidRDefault="006732C4" w:rsidP="001A75CA">
      <w:pPr>
        <w:keepNext/>
        <w:spacing w:after="0" w:line="240" w:lineRule="auto"/>
        <w:ind w:right="-57"/>
        <w:jc w:val="left"/>
        <w:rPr>
          <w:rFonts w:ascii="Arial Narrow" w:hAnsi="Arial Narrow" w:cs="Calibri"/>
          <w:sz w:val="18"/>
          <w:szCs w:val="18"/>
          <w:lang w:eastAsia="en-GB"/>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intermediate quality with some risk of bias = the remainder </w:t>
      </w:r>
    </w:p>
    <w:p w14:paraId="65EDABE9" w14:textId="77777777" w:rsidR="002A6A9D" w:rsidRDefault="002A6A9D" w:rsidP="008F0174">
      <w:pPr>
        <w:rPr>
          <w:rFonts w:asciiTheme="minorHAnsi" w:hAnsiTheme="minorHAnsi"/>
        </w:rPr>
      </w:pPr>
    </w:p>
    <w:p w14:paraId="0EB62112" w14:textId="6A3D6750" w:rsidR="008F0174" w:rsidRPr="008F0174" w:rsidRDefault="008F0174" w:rsidP="008F0174">
      <w:pPr>
        <w:rPr>
          <w:rFonts w:asciiTheme="minorHAnsi" w:hAnsiTheme="minorHAnsi"/>
        </w:rPr>
      </w:pPr>
      <w:r w:rsidRPr="008F0174">
        <w:rPr>
          <w:rFonts w:asciiTheme="minorHAnsi" w:hAnsiTheme="minorHAnsi"/>
        </w:rPr>
        <w:t xml:space="preserve">Five studies, </w:t>
      </w:r>
      <w:r w:rsidR="00C47420">
        <w:rPr>
          <w:rFonts w:asciiTheme="minorHAnsi" w:hAnsiTheme="minorHAnsi"/>
        </w:rPr>
        <w:t>1</w:t>
      </w:r>
      <w:r w:rsidR="00C47420" w:rsidRPr="008F0174">
        <w:rPr>
          <w:rFonts w:asciiTheme="minorHAnsi" w:hAnsiTheme="minorHAnsi"/>
        </w:rPr>
        <w:t xml:space="preserve"> </w:t>
      </w:r>
      <w:r w:rsidRPr="008F0174">
        <w:rPr>
          <w:rFonts w:asciiTheme="minorHAnsi" w:hAnsiTheme="minorHAnsi"/>
        </w:rPr>
        <w:t xml:space="preserve">level III-2 of good quality and </w:t>
      </w:r>
      <w:r w:rsidR="00C47420">
        <w:rPr>
          <w:rFonts w:asciiTheme="minorHAnsi" w:hAnsiTheme="minorHAnsi"/>
        </w:rPr>
        <w:t xml:space="preserve">4 </w:t>
      </w:r>
      <w:r w:rsidRPr="008F0174">
        <w:rPr>
          <w:rFonts w:asciiTheme="minorHAnsi" w:hAnsiTheme="minorHAnsi"/>
        </w:rPr>
        <w:t>non-comparative level IV studies of poor quality</w:t>
      </w:r>
      <w:r w:rsidR="00C47420">
        <w:rPr>
          <w:rFonts w:asciiTheme="minorHAnsi" w:hAnsiTheme="minorHAnsi"/>
        </w:rPr>
        <w:t>,</w:t>
      </w:r>
      <w:r w:rsidRPr="008F0174">
        <w:rPr>
          <w:rFonts w:asciiTheme="minorHAnsi" w:hAnsiTheme="minorHAnsi"/>
        </w:rPr>
        <w:t xml:space="preserve"> reported on the failure rates of </w:t>
      </w:r>
      <w:r w:rsidR="00C47420">
        <w:rPr>
          <w:rFonts w:asciiTheme="minorHAnsi" w:hAnsiTheme="minorHAnsi"/>
        </w:rPr>
        <w:t>7</w:t>
      </w:r>
      <w:r w:rsidR="00C47420" w:rsidRPr="008F0174">
        <w:rPr>
          <w:rFonts w:asciiTheme="minorHAnsi" w:hAnsiTheme="minorHAnsi"/>
        </w:rPr>
        <w:t xml:space="preserve"> </w:t>
      </w:r>
      <w:r w:rsidRPr="008F0174">
        <w:rPr>
          <w:rFonts w:asciiTheme="minorHAnsi" w:hAnsiTheme="minorHAnsi"/>
        </w:rPr>
        <w:t xml:space="preserve">different </w:t>
      </w:r>
      <w:r w:rsidR="00FD37D3" w:rsidRPr="00FD37D3">
        <w:rPr>
          <w:rFonts w:asciiTheme="minorHAnsi" w:hAnsiTheme="minorHAnsi"/>
        </w:rPr>
        <w:t>CFTR</w:t>
      </w:r>
      <w:r w:rsidRPr="008F0174">
        <w:rPr>
          <w:rFonts w:asciiTheme="minorHAnsi" w:hAnsiTheme="minorHAnsi"/>
        </w:rPr>
        <w:t xml:space="preserve"> mutation tests</w:t>
      </w:r>
      <w:r w:rsidR="0093618D">
        <w:rPr>
          <w:rFonts w:asciiTheme="minorHAnsi" w:hAnsiTheme="minorHAnsi"/>
        </w:rPr>
        <w:t xml:space="preserve"> in symptomatic patients</w:t>
      </w:r>
      <w:r w:rsidRPr="008F0174">
        <w:rPr>
          <w:rFonts w:asciiTheme="minorHAnsi" w:hAnsiTheme="minorHAnsi"/>
        </w:rPr>
        <w:t xml:space="preserve"> (</w:t>
      </w:r>
      <w:r w:rsidR="00C71193">
        <w:rPr>
          <w:rFonts w:asciiTheme="minorHAnsi" w:hAnsiTheme="minorHAnsi"/>
          <w:highlight w:val="yellow"/>
        </w:rPr>
        <w:fldChar w:fldCharType="begin"/>
      </w:r>
      <w:r w:rsidR="00C71193">
        <w:rPr>
          <w:rFonts w:asciiTheme="minorHAnsi" w:hAnsiTheme="minorHAnsi"/>
        </w:rPr>
        <w:instrText xml:space="preserve"> REF _Ref412106559 \h </w:instrText>
      </w:r>
      <w:r w:rsidR="00C71193">
        <w:rPr>
          <w:rFonts w:asciiTheme="minorHAnsi" w:hAnsiTheme="minorHAnsi"/>
          <w:highlight w:val="yellow"/>
        </w:rPr>
      </w:r>
      <w:r w:rsidR="00C71193">
        <w:rPr>
          <w:rFonts w:asciiTheme="minorHAnsi" w:hAnsiTheme="minorHAnsi"/>
          <w:highlight w:val="yellow"/>
        </w:rPr>
        <w:fldChar w:fldCharType="separate"/>
      </w:r>
      <w:r w:rsidR="00BB0E3E">
        <w:t xml:space="preserve">Table </w:t>
      </w:r>
      <w:r w:rsidR="00BB0E3E">
        <w:rPr>
          <w:noProof/>
        </w:rPr>
        <w:t>30</w:t>
      </w:r>
      <w:r w:rsidR="00C71193">
        <w:rPr>
          <w:rFonts w:asciiTheme="minorHAnsi" w:hAnsiTheme="minorHAnsi"/>
          <w:highlight w:val="yellow"/>
        </w:rPr>
        <w:fldChar w:fldCharType="end"/>
      </w:r>
      <w:r w:rsidRPr="008F0174">
        <w:rPr>
          <w:rFonts w:asciiTheme="minorHAnsi" w:hAnsiTheme="minorHAnsi"/>
        </w:rPr>
        <w:t>).</w:t>
      </w:r>
    </w:p>
    <w:p w14:paraId="7C1F627D" w14:textId="368FF066" w:rsidR="00C71193" w:rsidRDefault="00C71193" w:rsidP="00C71193">
      <w:pPr>
        <w:pStyle w:val="Caption"/>
      </w:pPr>
      <w:bookmarkStart w:id="244" w:name="_Ref412106559"/>
      <w:bookmarkStart w:id="245" w:name="_Toc418179427"/>
      <w:r>
        <w:t xml:space="preserve">Table </w:t>
      </w:r>
      <w:fldSimple w:instr=" SEQ Table \* ARABIC ">
        <w:r w:rsidR="00BB0E3E">
          <w:rPr>
            <w:noProof/>
          </w:rPr>
          <w:t>30</w:t>
        </w:r>
      </w:fldSimple>
      <w:bookmarkEnd w:id="244"/>
      <w:r>
        <w:t xml:space="preserve"> </w:t>
      </w:r>
      <w:r w:rsidR="00332C77">
        <w:tab/>
      </w:r>
      <w:r w:rsidRPr="00953030">
        <w:t xml:space="preserve">Risk of bias and applicability judgements for studies reporting </w:t>
      </w:r>
      <w:r w:rsidR="00FD37D3" w:rsidRPr="00FD37D3">
        <w:t>CFTR</w:t>
      </w:r>
      <w:r w:rsidRPr="00953030">
        <w:t xml:space="preserve"> mutation testing failure rates</w:t>
      </w:r>
      <w:bookmarkEnd w:id="245"/>
    </w:p>
    <w:tbl>
      <w:tblPr>
        <w:tblStyle w:val="TableGrid1"/>
        <w:tblW w:w="0" w:type="auto"/>
        <w:tblLook w:val="00A0" w:firstRow="1" w:lastRow="0" w:firstColumn="1" w:lastColumn="0" w:noHBand="0" w:noVBand="0"/>
        <w:tblCaption w:val="Risk of bias and applicability judgements for studies reporting CFTR mutation testing failure rates"/>
        <w:tblDescription w:val="Risk of bias and applicability judgements for studies reporting CFTR mutation testing failure rates"/>
      </w:tblPr>
      <w:tblGrid>
        <w:gridCol w:w="2126"/>
        <w:gridCol w:w="871"/>
        <w:gridCol w:w="851"/>
        <w:gridCol w:w="992"/>
        <w:gridCol w:w="850"/>
        <w:gridCol w:w="1135"/>
        <w:gridCol w:w="1135"/>
        <w:gridCol w:w="1197"/>
      </w:tblGrid>
      <w:tr w:rsidR="008F0174" w:rsidRPr="008F0174" w14:paraId="29C79267" w14:textId="77777777" w:rsidTr="0042252D">
        <w:trPr>
          <w:cnfStyle w:val="100000000000" w:firstRow="1" w:lastRow="0" w:firstColumn="0" w:lastColumn="0" w:oddVBand="0" w:evenVBand="0" w:oddHBand="0" w:evenHBand="0" w:firstRowFirstColumn="0" w:firstRowLastColumn="0" w:lastRowFirstColumn="0" w:lastRowLastColumn="0"/>
          <w:trHeight w:val="147"/>
          <w:tblHeader/>
        </w:trPr>
        <w:tc>
          <w:tcPr>
            <w:tcW w:w="2126" w:type="dxa"/>
          </w:tcPr>
          <w:p w14:paraId="5B124307" w14:textId="77777777" w:rsidR="008F0174" w:rsidRPr="008F0174" w:rsidRDefault="008F0174" w:rsidP="001A75CA">
            <w:pPr>
              <w:keepNext/>
              <w:spacing w:after="40" w:line="240" w:lineRule="auto"/>
              <w:ind w:right="-57"/>
              <w:jc w:val="left"/>
              <w:rPr>
                <w:rFonts w:ascii="Arial Narrow" w:hAnsi="Arial Narrow" w:cs="Calibri"/>
                <w:b/>
                <w:sz w:val="20"/>
                <w:szCs w:val="20"/>
                <w:lang w:eastAsia="en-GB"/>
              </w:rPr>
            </w:pPr>
            <w:r w:rsidRPr="008F0174">
              <w:rPr>
                <w:rFonts w:ascii="Arial Narrow" w:hAnsi="Arial Narrow" w:cs="Calibri"/>
                <w:b/>
                <w:sz w:val="20"/>
                <w:szCs w:val="20"/>
                <w:lang w:eastAsia="en-GB"/>
              </w:rPr>
              <w:t>Study</w:t>
            </w:r>
          </w:p>
        </w:tc>
        <w:tc>
          <w:tcPr>
            <w:tcW w:w="850" w:type="dxa"/>
          </w:tcPr>
          <w:p w14:paraId="66A259DA"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7D5DF920"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851" w:type="dxa"/>
          </w:tcPr>
          <w:p w14:paraId="192B4746"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C5A0BA4"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992" w:type="dxa"/>
          </w:tcPr>
          <w:p w14:paraId="157D69CC"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07507B13"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c>
          <w:tcPr>
            <w:tcW w:w="850" w:type="dxa"/>
          </w:tcPr>
          <w:p w14:paraId="358E31B7"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Risk:</w:t>
            </w:r>
          </w:p>
          <w:p w14:paraId="2B15FA98"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Flow and timing</w:t>
            </w:r>
          </w:p>
        </w:tc>
        <w:tc>
          <w:tcPr>
            <w:tcW w:w="1134" w:type="dxa"/>
          </w:tcPr>
          <w:p w14:paraId="053B6D24"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53D6C256"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Patient selection</w:t>
            </w:r>
          </w:p>
        </w:tc>
        <w:tc>
          <w:tcPr>
            <w:tcW w:w="1134" w:type="dxa"/>
          </w:tcPr>
          <w:p w14:paraId="70EA4949"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670A72DF"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Index test</w:t>
            </w:r>
          </w:p>
        </w:tc>
        <w:tc>
          <w:tcPr>
            <w:tcW w:w="1197" w:type="dxa"/>
          </w:tcPr>
          <w:p w14:paraId="16E5D0DF"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Applicability</w:t>
            </w:r>
          </w:p>
          <w:p w14:paraId="098AB828" w14:textId="77777777" w:rsidR="008F0174" w:rsidRPr="008F0174" w:rsidRDefault="008F0174" w:rsidP="008F0174">
            <w:pPr>
              <w:keepNext/>
              <w:spacing w:after="40" w:line="240" w:lineRule="auto"/>
              <w:ind w:right="-57"/>
              <w:jc w:val="center"/>
              <w:rPr>
                <w:rFonts w:ascii="Arial Narrow" w:hAnsi="Arial Narrow" w:cs="Calibri"/>
                <w:b/>
                <w:sz w:val="20"/>
                <w:szCs w:val="20"/>
                <w:lang w:eastAsia="en-GB"/>
              </w:rPr>
            </w:pPr>
            <w:r w:rsidRPr="008F0174">
              <w:rPr>
                <w:rFonts w:ascii="Arial Narrow" w:hAnsi="Arial Narrow" w:cs="Calibri"/>
                <w:b/>
                <w:sz w:val="20"/>
                <w:szCs w:val="20"/>
                <w:lang w:eastAsia="en-GB"/>
              </w:rPr>
              <w:t>Reference standard</w:t>
            </w:r>
          </w:p>
        </w:tc>
      </w:tr>
      <w:tr w:rsidR="008F0174" w:rsidRPr="008F0174" w14:paraId="203D5CE7" w14:textId="77777777" w:rsidTr="009B1AA7">
        <w:trPr>
          <w:trHeight w:val="342"/>
        </w:trPr>
        <w:tc>
          <w:tcPr>
            <w:tcW w:w="2126" w:type="dxa"/>
          </w:tcPr>
          <w:p w14:paraId="684831E9" w14:textId="50B156CE"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Axton </w:t>
            </w:r>
            <w:r w:rsidR="000C0089">
              <w:rPr>
                <w:rFonts w:ascii="Arial Narrow" w:hAnsi="Arial Narrow" w:cs="Calibri"/>
                <w:sz w:val="20"/>
                <w:szCs w:val="20"/>
                <w:lang w:eastAsia="en-GB"/>
              </w:rPr>
              <w:t>&amp;</w:t>
            </w:r>
            <w:r w:rsidR="000C0089" w:rsidRPr="008F0174">
              <w:rPr>
                <w:rFonts w:ascii="Arial Narrow" w:hAnsi="Arial Narrow" w:cs="Calibri"/>
                <w:sz w:val="20"/>
                <w:szCs w:val="20"/>
                <w:lang w:eastAsia="en-GB"/>
              </w:rPr>
              <w:t xml:space="preserve"> </w:t>
            </w:r>
            <w:r w:rsidRPr="008F0174">
              <w:rPr>
                <w:rFonts w:ascii="Arial Narrow" w:hAnsi="Arial Narrow" w:cs="Calibri"/>
                <w:sz w:val="20"/>
                <w:szCs w:val="20"/>
                <w:lang w:eastAsia="en-GB"/>
              </w:rPr>
              <w:t xml:space="preserve">Brock </w:t>
            </w:r>
            <w:r w:rsidR="00C47420">
              <w:rPr>
                <w:rFonts w:ascii="Arial Narrow" w:hAnsi="Arial Narrow" w:cs="Calibri"/>
                <w:sz w:val="20"/>
                <w:szCs w:val="20"/>
                <w:lang w:eastAsia="en-GB"/>
              </w:rPr>
              <w:t>(</w:t>
            </w:r>
            <w:r w:rsidRPr="008F0174">
              <w:rPr>
                <w:rFonts w:ascii="Arial Narrow" w:hAnsi="Arial Narrow" w:cs="Calibri"/>
                <w:sz w:val="20"/>
                <w:szCs w:val="20"/>
                <w:lang w:eastAsia="en-GB"/>
              </w:rPr>
              <w:t>1995</w:t>
            </w:r>
            <w:r w:rsidR="00C47420">
              <w:rPr>
                <w:rFonts w:ascii="Arial Narrow" w:hAnsi="Arial Narrow" w:cs="Calibri"/>
                <w:sz w:val="20"/>
                <w:szCs w:val="20"/>
                <w:lang w:eastAsia="en-GB"/>
              </w:rPr>
              <w:t>)</w:t>
            </w:r>
          </w:p>
        </w:tc>
        <w:tc>
          <w:tcPr>
            <w:tcW w:w="850" w:type="dxa"/>
          </w:tcPr>
          <w:p w14:paraId="34AFB633"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53ED9459"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5C6101A8"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10897661"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48F33BE"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4C0C4F6"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7250C909"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r w:rsidR="008F0174" w:rsidRPr="008F0174" w14:paraId="2B6CD01D" w14:textId="77777777" w:rsidTr="009B1AA7">
        <w:trPr>
          <w:trHeight w:val="342"/>
        </w:trPr>
        <w:tc>
          <w:tcPr>
            <w:tcW w:w="2126" w:type="dxa"/>
          </w:tcPr>
          <w:p w14:paraId="6D21BC7E" w14:textId="35D5DC12" w:rsidR="008F0174" w:rsidRPr="008F0174" w:rsidRDefault="008F0174" w:rsidP="001A75CA">
            <w:pPr>
              <w:keepNext/>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Edelmann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2004</w:t>
            </w:r>
            <w:r w:rsidR="00C47420">
              <w:rPr>
                <w:rFonts w:ascii="Arial Narrow" w:hAnsi="Arial Narrow" w:cs="Calibri"/>
                <w:sz w:val="20"/>
                <w:szCs w:val="20"/>
                <w:lang w:eastAsia="en-GB"/>
              </w:rPr>
              <w:t>)</w:t>
            </w:r>
          </w:p>
        </w:tc>
        <w:tc>
          <w:tcPr>
            <w:tcW w:w="850" w:type="dxa"/>
          </w:tcPr>
          <w:p w14:paraId="42491EEA"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0A33DBA4"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027DD3E3"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30364C82"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E21F50A"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7C25AFF"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2629C4BA" w14:textId="77777777" w:rsidR="008F0174" w:rsidRPr="008F0174" w:rsidRDefault="008F0174" w:rsidP="008F0174">
            <w:pPr>
              <w:keepNext/>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r w:rsidR="008F0174" w:rsidRPr="008F0174" w14:paraId="256416A5" w14:textId="77777777" w:rsidTr="009B1AA7">
        <w:trPr>
          <w:trHeight w:val="342"/>
        </w:trPr>
        <w:tc>
          <w:tcPr>
            <w:tcW w:w="2126" w:type="dxa"/>
          </w:tcPr>
          <w:p w14:paraId="0878B963" w14:textId="08B14C01"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Nagy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2007</w:t>
            </w:r>
            <w:r w:rsidR="00C47420">
              <w:rPr>
                <w:rFonts w:ascii="Arial Narrow" w:hAnsi="Arial Narrow" w:cs="Calibri"/>
                <w:sz w:val="20"/>
                <w:szCs w:val="20"/>
                <w:lang w:eastAsia="en-GB"/>
              </w:rPr>
              <w:t>)</w:t>
            </w:r>
          </w:p>
        </w:tc>
        <w:tc>
          <w:tcPr>
            <w:tcW w:w="850" w:type="dxa"/>
          </w:tcPr>
          <w:p w14:paraId="1A6CBE12"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58C4675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01BE6F2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01BAAACC"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71370B1B"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67B20815"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33ECFAF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r w:rsidR="008F0174" w:rsidRPr="008F0174" w14:paraId="1D2D3764" w14:textId="77777777" w:rsidTr="009B1AA7">
        <w:trPr>
          <w:trHeight w:val="342"/>
        </w:trPr>
        <w:tc>
          <w:tcPr>
            <w:tcW w:w="2126" w:type="dxa"/>
          </w:tcPr>
          <w:p w14:paraId="0BC56DAB" w14:textId="42619628"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Strom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2003</w:t>
            </w:r>
            <w:r w:rsidR="00C47420">
              <w:rPr>
                <w:rFonts w:ascii="Arial Narrow" w:hAnsi="Arial Narrow" w:cs="Calibri"/>
                <w:sz w:val="20"/>
                <w:szCs w:val="20"/>
                <w:lang w:eastAsia="en-GB"/>
              </w:rPr>
              <w:t>)</w:t>
            </w:r>
          </w:p>
        </w:tc>
        <w:tc>
          <w:tcPr>
            <w:tcW w:w="850" w:type="dxa"/>
          </w:tcPr>
          <w:p w14:paraId="300CF5A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1" w:type="dxa"/>
          </w:tcPr>
          <w:p w14:paraId="7C394B9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3D1652C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850" w:type="dxa"/>
          </w:tcPr>
          <w:p w14:paraId="1C724B4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34" w:type="dxa"/>
          </w:tcPr>
          <w:p w14:paraId="67BE91FF"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14F3CE1D"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6836E64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r>
      <w:tr w:rsidR="008F0174" w:rsidRPr="008F0174" w14:paraId="44E5A86B" w14:textId="77777777" w:rsidTr="009B1AA7">
        <w:trPr>
          <w:trHeight w:val="342"/>
        </w:trPr>
        <w:tc>
          <w:tcPr>
            <w:tcW w:w="2126" w:type="dxa"/>
          </w:tcPr>
          <w:p w14:paraId="6AB2CBFF" w14:textId="53E9EEF4" w:rsidR="008F0174" w:rsidRPr="008F0174" w:rsidRDefault="008F0174" w:rsidP="001A75CA">
            <w:pPr>
              <w:spacing w:after="40" w:line="240" w:lineRule="auto"/>
              <w:jc w:val="left"/>
              <w:rPr>
                <w:rFonts w:ascii="Arial Narrow" w:hAnsi="Arial Narrow" w:cs="Calibri"/>
                <w:sz w:val="20"/>
                <w:szCs w:val="20"/>
                <w:lang w:eastAsia="en-GB"/>
              </w:rPr>
            </w:pPr>
            <w:r w:rsidRPr="008F0174">
              <w:rPr>
                <w:rFonts w:ascii="Arial Narrow" w:hAnsi="Arial Narrow" w:cs="Calibri"/>
                <w:sz w:val="20"/>
                <w:szCs w:val="20"/>
                <w:lang w:eastAsia="en-GB"/>
              </w:rPr>
              <w:t xml:space="preserve">Strom et al. </w:t>
            </w:r>
            <w:r w:rsidR="00C47420">
              <w:rPr>
                <w:rFonts w:ascii="Arial Narrow" w:hAnsi="Arial Narrow" w:cs="Calibri"/>
                <w:sz w:val="20"/>
                <w:szCs w:val="20"/>
                <w:lang w:eastAsia="en-GB"/>
              </w:rPr>
              <w:t>(</w:t>
            </w:r>
            <w:r w:rsidRPr="008F0174">
              <w:rPr>
                <w:rFonts w:ascii="Arial Narrow" w:hAnsi="Arial Narrow" w:cs="Calibri"/>
                <w:sz w:val="20"/>
                <w:szCs w:val="20"/>
                <w:lang w:eastAsia="en-GB"/>
              </w:rPr>
              <w:t>2004</w:t>
            </w:r>
            <w:r w:rsidR="00C47420">
              <w:rPr>
                <w:rFonts w:ascii="Arial Narrow" w:hAnsi="Arial Narrow" w:cs="Calibri"/>
                <w:sz w:val="20"/>
                <w:szCs w:val="20"/>
                <w:lang w:eastAsia="en-GB"/>
              </w:rPr>
              <w:t>)</w:t>
            </w:r>
          </w:p>
        </w:tc>
        <w:tc>
          <w:tcPr>
            <w:tcW w:w="850" w:type="dxa"/>
          </w:tcPr>
          <w:p w14:paraId="6848D937"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851" w:type="dxa"/>
          </w:tcPr>
          <w:p w14:paraId="4DC1FC2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992" w:type="dxa"/>
          </w:tcPr>
          <w:p w14:paraId="25F44B73"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c>
          <w:tcPr>
            <w:tcW w:w="850" w:type="dxa"/>
          </w:tcPr>
          <w:p w14:paraId="27FF5358"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092D2546"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FBD4B4"/>
                <w:lang w:eastAsia="en-GB"/>
              </w:rPr>
              <w:sym w:font="Wingdings" w:char="F04C"/>
            </w:r>
          </w:p>
        </w:tc>
        <w:tc>
          <w:tcPr>
            <w:tcW w:w="1134" w:type="dxa"/>
          </w:tcPr>
          <w:p w14:paraId="23FB9ACA"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hd w:val="clear" w:color="auto" w:fill="D6E3BC"/>
                <w:lang w:eastAsia="en-GB"/>
              </w:rPr>
              <w:sym w:font="Wingdings" w:char="F04A"/>
            </w:r>
          </w:p>
        </w:tc>
        <w:tc>
          <w:tcPr>
            <w:tcW w:w="1197" w:type="dxa"/>
          </w:tcPr>
          <w:p w14:paraId="066DFF3E" w14:textId="77777777" w:rsidR="008F0174" w:rsidRPr="008F0174" w:rsidRDefault="008F0174" w:rsidP="008F0174">
            <w:pPr>
              <w:spacing w:after="40" w:line="240" w:lineRule="auto"/>
              <w:jc w:val="center"/>
              <w:rPr>
                <w:rFonts w:ascii="Arial Narrow" w:hAnsi="Arial Narrow" w:cs="Calibri"/>
                <w:sz w:val="20"/>
                <w:szCs w:val="20"/>
                <w:lang w:eastAsia="en-GB"/>
              </w:rPr>
            </w:pPr>
            <w:r w:rsidRPr="008F0174">
              <w:rPr>
                <w:rFonts w:ascii="Arial Narrow" w:hAnsi="Arial Narrow" w:cs="Calibri"/>
                <w:sz w:val="20"/>
                <w:szCs w:val="20"/>
                <w:lang w:eastAsia="en-GB"/>
              </w:rPr>
              <w:t>NA</w:t>
            </w:r>
          </w:p>
        </w:tc>
      </w:tr>
    </w:tbl>
    <w:p w14:paraId="397AE1DF" w14:textId="18D124EF" w:rsidR="008F0174" w:rsidRPr="001A75CA" w:rsidRDefault="008F0174" w:rsidP="001A75CA">
      <w:pPr>
        <w:keepNext/>
        <w:spacing w:after="0" w:line="240" w:lineRule="auto"/>
        <w:rPr>
          <w:rFonts w:ascii="Arial Narrow" w:hAnsi="Arial Narrow" w:cs="Calibri"/>
          <w:sz w:val="18"/>
          <w:szCs w:val="18"/>
          <w:shd w:val="clear" w:color="auto" w:fill="D6E3BC"/>
          <w:lang w:eastAsia="en-GB"/>
        </w:rPr>
      </w:pPr>
      <w:r w:rsidRPr="001A75CA">
        <w:rPr>
          <w:rFonts w:ascii="Arial Narrow" w:hAnsi="Arial Narrow"/>
          <w:sz w:val="18"/>
          <w:szCs w:val="18"/>
        </w:rPr>
        <w:t>Source: Whiting et al</w:t>
      </w:r>
      <w:r w:rsidR="00A36ECE" w:rsidRPr="001A75CA">
        <w:rPr>
          <w:rFonts w:ascii="Arial Narrow" w:hAnsi="Arial Narrow"/>
          <w:sz w:val="18"/>
          <w:szCs w:val="18"/>
        </w:rPr>
        <w:t>.</w:t>
      </w:r>
      <w:r w:rsidRPr="001A75CA">
        <w:rPr>
          <w:rFonts w:ascii="Arial Narrow" w:hAnsi="Arial Narrow"/>
          <w:sz w:val="18"/>
          <w:szCs w:val="18"/>
        </w:rPr>
        <w:t xml:space="preserve"> </w:t>
      </w:r>
      <w:r w:rsidRPr="001A75CA">
        <w:rPr>
          <w:rFonts w:ascii="Arial Narrow" w:hAnsi="Arial Narrow"/>
          <w:sz w:val="18"/>
          <w:szCs w:val="18"/>
        </w:rPr>
        <w:fldChar w:fldCharType="begin"/>
      </w:r>
      <w:r w:rsidRPr="001A75CA">
        <w:rPr>
          <w:rFonts w:ascii="Arial Narrow" w:hAnsi="Arial Narrow"/>
          <w:sz w:val="18"/>
          <w:szCs w:val="18"/>
        </w:rPr>
        <w:instrText xml:space="preserve"> ADDIN EN.CITE &lt;EndNote&gt;&lt;Cite ExcludeAuth="1"&gt;&lt;Author&gt;Whiting&lt;/Author&gt;&lt;Year&gt;2011&lt;/Year&gt;&lt;RecNum&gt;57&lt;/RecNum&gt;&lt;DisplayText&gt;(2011)&lt;/DisplayText&gt;&lt;record&gt;&lt;rec-number&gt;57&lt;/rec-number&gt;&lt;foreign-keys&gt;&lt;key app="EN" db-id="repwasxf70v55werrfl50x9atarpvev5twpw"&gt;57&lt;/key&gt;&lt;/foreign-keys&gt;&lt;ref-type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Pr="001A75CA">
        <w:rPr>
          <w:rFonts w:ascii="Arial Narrow" w:hAnsi="Arial Narrow"/>
          <w:sz w:val="18"/>
          <w:szCs w:val="18"/>
        </w:rPr>
        <w:fldChar w:fldCharType="separate"/>
      </w:r>
      <w:r w:rsidRPr="001A75CA">
        <w:rPr>
          <w:rFonts w:ascii="Arial Narrow" w:hAnsi="Arial Narrow"/>
          <w:noProof/>
          <w:sz w:val="18"/>
          <w:szCs w:val="18"/>
        </w:rPr>
        <w:t>(</w:t>
      </w:r>
      <w:hyperlink w:anchor="_ENREF_129" w:tooltip="Whiting, 2011 #57" w:history="1">
        <w:r w:rsidR="00B46ABF" w:rsidRPr="001A75CA">
          <w:rPr>
            <w:rFonts w:ascii="Arial Narrow" w:hAnsi="Arial Narrow"/>
            <w:noProof/>
            <w:sz w:val="18"/>
            <w:szCs w:val="18"/>
          </w:rPr>
          <w:t>2011</w:t>
        </w:r>
      </w:hyperlink>
      <w:r w:rsidRPr="001A75CA">
        <w:rPr>
          <w:rFonts w:ascii="Arial Narrow" w:hAnsi="Arial Narrow"/>
          <w:noProof/>
          <w:sz w:val="18"/>
          <w:szCs w:val="18"/>
        </w:rPr>
        <w:t>)</w:t>
      </w:r>
      <w:r w:rsidRPr="001A75CA">
        <w:rPr>
          <w:rFonts w:ascii="Arial Narrow" w:hAnsi="Arial Narrow"/>
          <w:sz w:val="18"/>
          <w:szCs w:val="18"/>
        </w:rPr>
        <w:fldChar w:fldCharType="end"/>
      </w:r>
    </w:p>
    <w:p w14:paraId="3A37E90D" w14:textId="6BBF3DBD" w:rsidR="008F0174" w:rsidRPr="001A75CA" w:rsidRDefault="008F0174" w:rsidP="001A75CA">
      <w:pPr>
        <w:keepNext/>
        <w:spacing w:after="0" w:line="240" w:lineRule="auto"/>
        <w:rPr>
          <w:rFonts w:ascii="Arial Narrow" w:hAnsi="Arial Narrow" w:cs="Times New Roman"/>
          <w:sz w:val="18"/>
          <w:szCs w:val="18"/>
        </w:rPr>
      </w:pPr>
      <w:r w:rsidRPr="001A75CA">
        <w:rPr>
          <w:rFonts w:ascii="Arial Narrow" w:hAnsi="Arial Narrow" w:cs="Calibri"/>
          <w:sz w:val="18"/>
          <w:szCs w:val="18"/>
          <w:lang w:eastAsia="en-GB"/>
        </w:rPr>
        <w:t xml:space="preserve">NA = not applicable (level IV study with no reference standard); </w:t>
      </w:r>
      <w:r w:rsidR="00C47420" w:rsidRPr="001A75CA">
        <w:rPr>
          <w:rFonts w:ascii="Arial Narrow" w:hAnsi="Arial Narrow" w:cs="Calibri"/>
          <w:sz w:val="18"/>
          <w:szCs w:val="18"/>
          <w:lang w:eastAsia="en-GB"/>
        </w:rPr>
        <w:t>r</w:t>
      </w:r>
      <w:r w:rsidRPr="001A75CA">
        <w:rPr>
          <w:rFonts w:ascii="Arial Narrow" w:hAnsi="Arial Narrow" w:cs="Calibri"/>
          <w:sz w:val="18"/>
          <w:szCs w:val="18"/>
          <w:lang w:eastAsia="en-GB"/>
        </w:rPr>
        <w:t xml:space="preserve">isk of bias: </w:t>
      </w:r>
      <w:r w:rsidRPr="001A75CA">
        <w:rPr>
          <w:rFonts w:ascii="Arial Narrow" w:hAnsi="Arial Narrow" w:cs="Calibri"/>
          <w:sz w:val="18"/>
          <w:szCs w:val="18"/>
          <w:shd w:val="clear" w:color="auto" w:fill="D6E3BC"/>
          <w:lang w:eastAsia="en-GB"/>
        </w:rPr>
        <w:sym w:font="Wingdings" w:char="F04A"/>
      </w:r>
      <w:r w:rsidRPr="001A75CA">
        <w:rPr>
          <w:rFonts w:ascii="Arial Narrow" w:hAnsi="Arial Narrow" w:cs="Calibri"/>
          <w:sz w:val="18"/>
          <w:szCs w:val="18"/>
          <w:lang w:eastAsia="en-GB"/>
        </w:rPr>
        <w:t xml:space="preserve"> = l</w:t>
      </w:r>
      <w:r w:rsidRPr="001A75CA">
        <w:rPr>
          <w:rFonts w:ascii="Arial Narrow" w:hAnsi="Arial Narrow" w:cs="Times New Roman"/>
          <w:sz w:val="18"/>
          <w:szCs w:val="18"/>
        </w:rPr>
        <w:t xml:space="preserve">ow risk; </w:t>
      </w:r>
      <w:r w:rsidRPr="001A75CA">
        <w:rPr>
          <w:rFonts w:ascii="Arial Narrow" w:hAnsi="Arial Narrow" w:cs="Calibri"/>
          <w:sz w:val="18"/>
          <w:szCs w:val="18"/>
          <w:shd w:val="clear" w:color="auto" w:fill="FBD4B4"/>
          <w:lang w:eastAsia="en-GB"/>
        </w:rPr>
        <w:sym w:font="Wingdings" w:char="F04C"/>
      </w:r>
      <w:r w:rsidRPr="001A75CA">
        <w:rPr>
          <w:rFonts w:ascii="Arial Narrow" w:hAnsi="Arial Narrow" w:cs="Calibri"/>
          <w:sz w:val="18"/>
          <w:szCs w:val="18"/>
          <w:lang w:eastAsia="en-GB"/>
        </w:rPr>
        <w:t xml:space="preserve"> = h</w:t>
      </w:r>
      <w:r w:rsidRPr="001A75CA">
        <w:rPr>
          <w:rFonts w:ascii="Arial Narrow" w:hAnsi="Arial Narrow" w:cs="Times New Roman"/>
          <w:sz w:val="18"/>
          <w:szCs w:val="18"/>
        </w:rPr>
        <w:t>igh risk</w:t>
      </w:r>
    </w:p>
    <w:p w14:paraId="0DF464AD" w14:textId="22B065B0" w:rsidR="00CC47B0" w:rsidRPr="001A75CA" w:rsidRDefault="006732C4" w:rsidP="001A75CA">
      <w:pPr>
        <w:keepNext/>
        <w:spacing w:after="0" w:line="240" w:lineRule="auto"/>
        <w:jc w:val="left"/>
        <w:rPr>
          <w:rFonts w:ascii="Arial Narrow" w:hAnsi="Arial Narrow" w:cs="Calibri"/>
          <w:sz w:val="18"/>
          <w:szCs w:val="18"/>
          <w:lang w:eastAsia="en-GB"/>
        </w:rPr>
      </w:pPr>
      <w:r w:rsidRPr="001A75CA">
        <w:rPr>
          <w:rFonts w:ascii="Arial Narrow" w:hAnsi="Arial Narrow"/>
          <w:sz w:val="18"/>
          <w:szCs w:val="18"/>
        </w:rPr>
        <w:t>Note:</w:t>
      </w:r>
      <w:r w:rsidR="008F0174" w:rsidRPr="001A75CA">
        <w:rPr>
          <w:rFonts w:ascii="Arial Narrow" w:hAnsi="Arial Narrow"/>
          <w:sz w:val="18"/>
          <w:szCs w:val="18"/>
        </w:rPr>
        <w:t xml:space="preserve"> Quality appraisal: good quality with low risk of bias = at least two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poor quality with high risk of bias = </w:t>
      </w:r>
      <w:r w:rsidR="008F0174" w:rsidRPr="001A75CA">
        <w:rPr>
          <w:rFonts w:ascii="Arial Narrow" w:hAnsi="Arial Narrow"/>
          <w:sz w:val="18"/>
          <w:szCs w:val="18"/>
        </w:rPr>
        <w:t xml:space="preserve">at least two </w:t>
      </w:r>
      <w:r w:rsidR="008F0174" w:rsidRPr="001A75CA">
        <w:rPr>
          <w:rFonts w:ascii="Arial Narrow" w:hAnsi="Arial Narrow" w:cs="Calibri"/>
          <w:sz w:val="18"/>
          <w:szCs w:val="18"/>
          <w:shd w:val="clear" w:color="auto" w:fill="FBD4B4"/>
          <w:lang w:eastAsia="en-GB"/>
        </w:rPr>
        <w:sym w:font="Wingdings" w:char="F04C"/>
      </w:r>
      <w:r w:rsidR="008F0174" w:rsidRPr="001A75CA">
        <w:rPr>
          <w:rFonts w:ascii="Arial Narrow" w:hAnsi="Arial Narrow" w:cs="Calibri"/>
          <w:sz w:val="18"/>
          <w:szCs w:val="18"/>
          <w:lang w:eastAsia="en-GB"/>
        </w:rPr>
        <w:t xml:space="preserve"> and no more than one </w:t>
      </w:r>
      <w:r w:rsidR="008F0174" w:rsidRPr="001A75CA">
        <w:rPr>
          <w:rFonts w:ascii="Arial Narrow" w:hAnsi="Arial Narrow" w:cs="Calibri"/>
          <w:sz w:val="18"/>
          <w:szCs w:val="18"/>
          <w:shd w:val="clear" w:color="auto" w:fill="D6E3BC"/>
          <w:lang w:eastAsia="en-GB"/>
        </w:rPr>
        <w:sym w:font="Wingdings" w:char="F04A"/>
      </w:r>
      <w:r w:rsidR="008F0174" w:rsidRPr="001A75CA">
        <w:rPr>
          <w:rFonts w:ascii="Arial Narrow" w:hAnsi="Arial Narrow" w:cs="Calibri"/>
          <w:sz w:val="18"/>
          <w:szCs w:val="18"/>
          <w:lang w:eastAsia="en-GB"/>
        </w:rPr>
        <w:t>; intermediate quality with some risk of bias = the remainder</w:t>
      </w:r>
    </w:p>
    <w:p w14:paraId="73C7093A" w14:textId="7594FCC9" w:rsidR="00A74345" w:rsidRDefault="00A74345" w:rsidP="001A75CA">
      <w:pPr>
        <w:pStyle w:val="Heading2"/>
        <w:tabs>
          <w:tab w:val="left" w:pos="1134"/>
        </w:tabs>
      </w:pPr>
      <w:bookmarkStart w:id="246" w:name="_Toc418179903"/>
      <w:r>
        <w:t>B.4.i</w:t>
      </w:r>
      <w:r w:rsidR="00BA5B10">
        <w:tab/>
      </w:r>
      <w:r>
        <w:t xml:space="preserve">Characteristics of the </w:t>
      </w:r>
      <w:r w:rsidR="009E6366">
        <w:t>E</w:t>
      </w:r>
      <w:r>
        <w:t>vidence</w:t>
      </w:r>
      <w:r w:rsidR="00A211F4">
        <w:t>-</w:t>
      </w:r>
      <w:r>
        <w:t>base</w:t>
      </w:r>
      <w:bookmarkEnd w:id="246"/>
    </w:p>
    <w:p w14:paraId="35B9E1BE" w14:textId="752D917A" w:rsidR="003B239A" w:rsidRPr="008F0174" w:rsidRDefault="003B239A" w:rsidP="003B239A">
      <w:pPr>
        <w:rPr>
          <w:rFonts w:asciiTheme="minorHAnsi" w:hAnsiTheme="minorHAnsi"/>
        </w:rPr>
      </w:pPr>
      <w:r w:rsidRPr="008F0174">
        <w:rPr>
          <w:rFonts w:asciiTheme="minorHAnsi" w:hAnsiTheme="minorHAnsi"/>
        </w:rPr>
        <w:t xml:space="preserve">The </w:t>
      </w:r>
      <w:r w:rsidR="00FD37D3" w:rsidRPr="00FD37D3">
        <w:rPr>
          <w:rFonts w:asciiTheme="minorHAnsi" w:hAnsiTheme="minorHAnsi"/>
        </w:rPr>
        <w:t>CFTR</w:t>
      </w:r>
      <w:r w:rsidRPr="008F0174">
        <w:rPr>
          <w:rFonts w:asciiTheme="minorHAnsi" w:hAnsiTheme="minorHAnsi"/>
        </w:rPr>
        <w:t xml:space="preserve"> mutation tests used in the included studies could be clearly separated into three groups. The first group consisted of panel-based tests that used PCR amplification of specific mutations with different detection methodologies to detect common </w:t>
      </w:r>
      <w:r w:rsidR="00FD37D3" w:rsidRPr="00FD37D3">
        <w:rPr>
          <w:rFonts w:asciiTheme="minorHAnsi" w:hAnsiTheme="minorHAnsi"/>
        </w:rPr>
        <w:t>CFTR</w:t>
      </w:r>
      <w:r w:rsidRPr="008F0174">
        <w:rPr>
          <w:rFonts w:asciiTheme="minorHAnsi" w:hAnsiTheme="minorHAnsi"/>
        </w:rPr>
        <w:t xml:space="preserve"> mutation panels of between 12 and 100 mutations. The detection methodologies included amplification refractory mutation system (ARMS), reverse dot-blot hybridisation, allele-specific oligonucleotide hybridisation, oligonucleotide ligation assay</w:t>
      </w:r>
      <w:r w:rsidR="001E7633">
        <w:rPr>
          <w:rFonts w:asciiTheme="minorHAnsi" w:hAnsiTheme="minorHAnsi"/>
        </w:rPr>
        <w:t xml:space="preserve"> (OLA)</w:t>
      </w:r>
      <w:r w:rsidRPr="008F0174">
        <w:rPr>
          <w:rFonts w:asciiTheme="minorHAnsi" w:hAnsiTheme="minorHAnsi"/>
        </w:rPr>
        <w:t xml:space="preserve">, restriction fragment length polymorphism </w:t>
      </w:r>
      <w:r w:rsidR="007D030E">
        <w:rPr>
          <w:rFonts w:asciiTheme="minorHAnsi" w:hAnsiTheme="minorHAnsi"/>
        </w:rPr>
        <w:t xml:space="preserve">(RFLP) </w:t>
      </w:r>
      <w:r w:rsidRPr="008F0174">
        <w:rPr>
          <w:rFonts w:asciiTheme="minorHAnsi" w:hAnsiTheme="minorHAnsi"/>
        </w:rPr>
        <w:t>analysis and heteroduplex analysis. The second group were exon-scanning tests that used methodologies such as denaturing high</w:t>
      </w:r>
      <w:r w:rsidR="00A211F4">
        <w:rPr>
          <w:rFonts w:asciiTheme="minorHAnsi" w:hAnsiTheme="minorHAnsi"/>
        </w:rPr>
        <w:t>-</w:t>
      </w:r>
      <w:r w:rsidRPr="008F0174">
        <w:rPr>
          <w:rFonts w:asciiTheme="minorHAnsi" w:hAnsiTheme="minorHAnsi"/>
        </w:rPr>
        <w:t xml:space="preserve">performance liquid chromatography (DHPLC), single-stranded conformation polymorphism (SSCP) and denaturing gradient gel electrophoresis (DGGE) to screen PCR amplification products, usually covering all 27 </w:t>
      </w:r>
      <w:r w:rsidR="00FD37D3" w:rsidRPr="00FD37D3">
        <w:rPr>
          <w:rFonts w:asciiTheme="minorHAnsi" w:hAnsiTheme="minorHAnsi"/>
        </w:rPr>
        <w:t>CFTR</w:t>
      </w:r>
      <w:r w:rsidRPr="008F0174">
        <w:rPr>
          <w:rFonts w:asciiTheme="minorHAnsi" w:hAnsiTheme="minorHAnsi"/>
        </w:rPr>
        <w:t xml:space="preserve"> exons and the flanking regions. In most studies the PCR products that showed an abnormal pattern, indicating the presence of a mutation, were sequenced to confirm its presence. When a panel-based test was compared with an exon-based test plus DNA sequencing, the latter was considered to be an incomplete reference standard, as only those samples that had a </w:t>
      </w:r>
      <w:r w:rsidRPr="008F0174">
        <w:rPr>
          <w:rFonts w:asciiTheme="minorHAnsi" w:hAnsiTheme="minorHAnsi"/>
        </w:rPr>
        <w:lastRenderedPageBreak/>
        <w:t>mutation were sequenced. The third group of tests were DNA sequencing-based assays such as pyrosequencing and an automated sequencing assay.</w:t>
      </w:r>
    </w:p>
    <w:p w14:paraId="3716109D" w14:textId="4C67AD64" w:rsidR="003B239A" w:rsidRPr="008F0174" w:rsidRDefault="00A211F4" w:rsidP="003B239A">
      <w:r>
        <w:t>S</w:t>
      </w:r>
      <w:r w:rsidR="003B239A" w:rsidRPr="008F0174">
        <w:t>ummar</w:t>
      </w:r>
      <w:r>
        <w:t>ies</w:t>
      </w:r>
      <w:r w:rsidR="003B239A" w:rsidRPr="008F0174">
        <w:t xml:space="preserve"> of the characteristics of the diagnostic accuracy studies are shown in</w:t>
      </w:r>
      <w:r w:rsidR="003B239A">
        <w:t xml:space="preserve"> </w:t>
      </w:r>
      <w:r w:rsidR="002D4982">
        <w:fldChar w:fldCharType="begin"/>
      </w:r>
      <w:r w:rsidR="002D4982">
        <w:instrText xml:space="preserve"> REF _Ref413315598 \h </w:instrText>
      </w:r>
      <w:r w:rsidR="002D4982">
        <w:fldChar w:fldCharType="separate"/>
      </w:r>
      <w:r w:rsidR="00BB0E3E">
        <w:t xml:space="preserve">Table </w:t>
      </w:r>
      <w:r w:rsidR="00BB0E3E">
        <w:rPr>
          <w:noProof/>
        </w:rPr>
        <w:t>31</w:t>
      </w:r>
      <w:r w:rsidR="002D4982">
        <w:fldChar w:fldCharType="end"/>
      </w:r>
      <w:r w:rsidR="002D4982">
        <w:t xml:space="preserve"> </w:t>
      </w:r>
      <w:r w:rsidR="003B239A" w:rsidRPr="008F0174">
        <w:t>to</w:t>
      </w:r>
      <w:r w:rsidR="003B239A">
        <w:t xml:space="preserve"> </w:t>
      </w:r>
      <w:r w:rsidR="002D4982">
        <w:fldChar w:fldCharType="begin"/>
      </w:r>
      <w:r w:rsidR="002D4982">
        <w:instrText xml:space="preserve"> REF _Ref413315650 \h </w:instrText>
      </w:r>
      <w:r w:rsidR="002D4982">
        <w:fldChar w:fldCharType="separate"/>
      </w:r>
      <w:r w:rsidR="00BB0E3E">
        <w:t xml:space="preserve">Table </w:t>
      </w:r>
      <w:r w:rsidR="00BB0E3E">
        <w:rPr>
          <w:noProof/>
        </w:rPr>
        <w:t>40</w:t>
      </w:r>
      <w:r w:rsidR="002D4982">
        <w:fldChar w:fldCharType="end"/>
      </w:r>
      <w:r w:rsidR="003B239A">
        <w:t>.</w:t>
      </w:r>
      <w:r w:rsidR="003B239A" w:rsidRPr="008F0174">
        <w:t xml:space="preserve"> Further details about these characteristics are listed in </w:t>
      </w:r>
      <w:r w:rsidR="003B239A">
        <w:rPr>
          <w:highlight w:val="yellow"/>
        </w:rPr>
        <w:fldChar w:fldCharType="begin"/>
      </w:r>
      <w:r w:rsidR="003B239A">
        <w:instrText xml:space="preserve"> REF _Ref412211481 \h </w:instrText>
      </w:r>
      <w:r w:rsidR="003B239A">
        <w:rPr>
          <w:highlight w:val="yellow"/>
        </w:rPr>
      </w:r>
      <w:r w:rsidR="003B239A">
        <w:rPr>
          <w:highlight w:val="yellow"/>
        </w:rPr>
        <w:fldChar w:fldCharType="separate"/>
      </w:r>
      <w:r w:rsidR="00BB0E3E" w:rsidRPr="001A4A46">
        <w:t xml:space="preserve">Appendix </w:t>
      </w:r>
      <w:r w:rsidR="00BB0E3E">
        <w:rPr>
          <w:noProof/>
        </w:rPr>
        <w:t>D</w:t>
      </w:r>
      <w:r w:rsidR="003B239A">
        <w:rPr>
          <w:highlight w:val="yellow"/>
        </w:rPr>
        <w:fldChar w:fldCharType="end"/>
      </w:r>
      <w:r w:rsidR="003B239A" w:rsidRPr="008F0174">
        <w:t>.</w:t>
      </w:r>
    </w:p>
    <w:p w14:paraId="648821A9" w14:textId="01577F78" w:rsidR="003B239A" w:rsidRDefault="003B239A" w:rsidP="00022486">
      <w:pPr>
        <w:pStyle w:val="Caption"/>
        <w:ind w:left="1134" w:hanging="1134"/>
      </w:pPr>
      <w:bookmarkStart w:id="247" w:name="_Ref413315598"/>
      <w:bookmarkStart w:id="248" w:name="_Toc418179428"/>
      <w:r>
        <w:t xml:space="preserve">Table </w:t>
      </w:r>
      <w:fldSimple w:instr=" SEQ Table \* ARABIC ">
        <w:r w:rsidR="00BB0E3E">
          <w:rPr>
            <w:noProof/>
          </w:rPr>
          <w:t>31</w:t>
        </w:r>
      </w:fldSimple>
      <w:bookmarkEnd w:id="247"/>
      <w:r>
        <w:t xml:space="preserve"> </w:t>
      </w:r>
      <w:r>
        <w:tab/>
      </w:r>
      <w:r w:rsidRPr="006B3C6C">
        <w:t xml:space="preserve">Key features of the included evidence for diagnostic accuracy studies comparing </w:t>
      </w:r>
      <w:r w:rsidR="00FD37D3" w:rsidRPr="00FD37D3">
        <w:t>CFTR</w:t>
      </w:r>
      <w:r w:rsidRPr="006B3C6C">
        <w:t xml:space="preserve"> mutation testing with DNA sequencing in CF patients</w:t>
      </w:r>
      <w:bookmarkEnd w:id="248"/>
    </w:p>
    <w:tbl>
      <w:tblPr>
        <w:tblStyle w:val="TableGrid1"/>
        <w:tblW w:w="5000" w:type="pct"/>
        <w:tblLook w:val="04A0" w:firstRow="1" w:lastRow="0" w:firstColumn="1" w:lastColumn="0" w:noHBand="0" w:noVBand="1"/>
        <w:tblCaption w:val="Key features of the included evidence for diagnostic accuracy studies comparing CFTR mutation testing with DNA sequencing in CF patients"/>
        <w:tblDescription w:val="Key features of the included evidence for diagnostic accuracy studies comparing CFTR mutation testing with DNA sequencing in CF patients"/>
      </w:tblPr>
      <w:tblGrid>
        <w:gridCol w:w="1034"/>
        <w:gridCol w:w="1305"/>
        <w:gridCol w:w="1922"/>
        <w:gridCol w:w="1922"/>
        <w:gridCol w:w="1922"/>
        <w:gridCol w:w="1137"/>
      </w:tblGrid>
      <w:tr w:rsidR="003B239A" w:rsidRPr="008F0174" w14:paraId="6AC33063"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559" w:type="pct"/>
          </w:tcPr>
          <w:p w14:paraId="55804D4D"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6" w:type="pct"/>
          </w:tcPr>
          <w:p w14:paraId="362254F2" w14:textId="4073BB9B"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B3AD2">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5E2196D0"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Patient population</w:t>
            </w:r>
          </w:p>
        </w:tc>
        <w:tc>
          <w:tcPr>
            <w:tcW w:w="1040" w:type="pct"/>
          </w:tcPr>
          <w:p w14:paraId="49A38DAB"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227EA660"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5" w:type="pct"/>
          </w:tcPr>
          <w:p w14:paraId="6FC16EC3"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1EAEE9FA" w14:textId="77777777" w:rsidTr="004245A0">
        <w:tc>
          <w:tcPr>
            <w:tcW w:w="559" w:type="pct"/>
          </w:tcPr>
          <w:p w14:paraId="5D24486A" w14:textId="3CB79063"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Tomaiuolo, Spina &amp; Castaldo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A211F4">
              <w:rPr>
                <w:rFonts w:ascii="Arial Narrow" w:eastAsiaTheme="minorHAnsi" w:hAnsi="Arial Narrow" w:cstheme="minorHAnsi"/>
                <w:sz w:val="20"/>
                <w:szCs w:val="20"/>
                <w:lang w:eastAsia="en-US"/>
              </w:rPr>
              <w:t>)</w:t>
            </w:r>
          </w:p>
          <w:p w14:paraId="53FAED6A" w14:textId="77777777"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6" w:type="pct"/>
          </w:tcPr>
          <w:p w14:paraId="5C72CC5B"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3B169886"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6CE621DF" w14:textId="70B42492" w:rsidR="003B239A" w:rsidRPr="008F0174" w:rsidRDefault="003B239A" w:rsidP="001A75CA">
            <w:pPr>
              <w:tabs>
                <w:tab w:val="left" w:pos="1167"/>
              </w:tabs>
              <w:spacing w:after="40" w:line="240" w:lineRule="auto"/>
              <w:jc w:val="left"/>
              <w:rPr>
                <w:rFonts w:ascii="Arial Narrow" w:hAnsi="Arial Narrow"/>
                <w:sz w:val="20"/>
                <w:szCs w:val="20"/>
                <w:lang w:eastAsia="en-US"/>
              </w:rPr>
            </w:pPr>
            <w:r w:rsidRPr="008F0174">
              <w:rPr>
                <w:rFonts w:ascii="Arial Narrow" w:hAnsi="Arial Narrow"/>
                <w:sz w:val="20"/>
                <w:szCs w:val="20"/>
                <w:lang w:eastAsia="en-US"/>
              </w:rPr>
              <w:t xml:space="preserve">N=129 </w:t>
            </w:r>
            <w:r w:rsidR="00A96154">
              <w:rPr>
                <w:rFonts w:ascii="Arial Narrow" w:hAnsi="Arial Narrow"/>
                <w:sz w:val="20"/>
                <w:szCs w:val="20"/>
                <w:lang w:eastAsia="en-US"/>
              </w:rPr>
              <w:br/>
            </w:r>
            <w:r w:rsidRPr="008F0174">
              <w:rPr>
                <w:rFonts w:ascii="Arial Narrow" w:hAnsi="Arial Narrow"/>
                <w:sz w:val="20"/>
                <w:szCs w:val="20"/>
                <w:lang w:eastAsia="en-US"/>
              </w:rPr>
              <w:t>chromosomes from 85 DNA samples from CF subjects with known mutations</w:t>
            </w:r>
          </w:p>
        </w:tc>
        <w:tc>
          <w:tcPr>
            <w:tcW w:w="1040" w:type="pct"/>
          </w:tcPr>
          <w:p w14:paraId="53AE5601" w14:textId="77777777" w:rsidR="003B239A" w:rsidRPr="008F0174" w:rsidRDefault="003B239A" w:rsidP="001A75CA">
            <w:pPr>
              <w:tabs>
                <w:tab w:val="left" w:pos="746"/>
              </w:tabs>
              <w:spacing w:after="40" w:line="240" w:lineRule="auto"/>
              <w:jc w:val="left"/>
              <w:rPr>
                <w:rFonts w:ascii="Arial Narrow" w:hAnsi="Arial Narrow"/>
                <w:sz w:val="20"/>
                <w:szCs w:val="20"/>
              </w:rPr>
            </w:pPr>
            <w:r w:rsidRPr="008F0174">
              <w:rPr>
                <w:rFonts w:ascii="Arial Narrow" w:hAnsi="Arial Narrow"/>
                <w:sz w:val="20"/>
                <w:szCs w:val="20"/>
              </w:rPr>
              <w:t>CF(12) ARMS kit</w:t>
            </w:r>
          </w:p>
          <w:p w14:paraId="62265714" w14:textId="77777777" w:rsidR="003B239A" w:rsidRPr="008F0174" w:rsidRDefault="003B239A" w:rsidP="001A75CA">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OLA PCR kit (31)</w:t>
            </w:r>
          </w:p>
          <w:p w14:paraId="73E777A0" w14:textId="77777777" w:rsidR="003B239A" w:rsidRPr="008F0174" w:rsidRDefault="003B239A" w:rsidP="001A75CA">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ASOH dot-blot (13)</w:t>
            </w:r>
          </w:p>
          <w:p w14:paraId="11E51B68" w14:textId="32F100D3" w:rsidR="003B239A" w:rsidRPr="008F0174" w:rsidRDefault="003B239A" w:rsidP="001A75CA">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INNO-LiPA reverse dot</w:t>
            </w:r>
            <w:r w:rsidR="005509F9">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blot CF kit (30)</w:t>
            </w:r>
          </w:p>
        </w:tc>
        <w:tc>
          <w:tcPr>
            <w:tcW w:w="1040" w:type="pct"/>
          </w:tcPr>
          <w:p w14:paraId="1D591603" w14:textId="2F7DA94C"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DGGE of the whole </w:t>
            </w:r>
            <w:r w:rsidR="00FD37D3" w:rsidRPr="00FD37D3">
              <w:rPr>
                <w:rFonts w:ascii="Arial Narrow" w:hAnsi="Arial Narrow"/>
                <w:snapToGrid w:val="0"/>
                <w:sz w:val="20"/>
                <w:lang w:eastAsia="en-US"/>
              </w:rPr>
              <w:t>CFTR</w:t>
            </w:r>
            <w:r w:rsidRPr="008F0174">
              <w:rPr>
                <w:rFonts w:ascii="Arial Narrow" w:hAnsi="Arial Narrow"/>
                <w:snapToGrid w:val="0"/>
                <w:sz w:val="20"/>
                <w:lang w:eastAsia="en-US"/>
              </w:rPr>
              <w:t xml:space="preserve"> coding region followed by DNA sequencing confirmation </w:t>
            </w:r>
          </w:p>
        </w:tc>
        <w:tc>
          <w:tcPr>
            <w:tcW w:w="615" w:type="pct"/>
          </w:tcPr>
          <w:p w14:paraId="7DAE3186"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Sensitivity</w:t>
            </w:r>
          </w:p>
        </w:tc>
      </w:tr>
      <w:tr w:rsidR="003B239A" w:rsidRPr="008F0174" w14:paraId="64082448" w14:textId="77777777" w:rsidTr="004245A0">
        <w:tc>
          <w:tcPr>
            <w:tcW w:w="559" w:type="pct"/>
          </w:tcPr>
          <w:p w14:paraId="3752DEE2" w14:textId="30318431"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Houdayer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1998</w:t>
            </w:r>
            <w:r w:rsidR="00A211F4">
              <w:rPr>
                <w:rFonts w:ascii="Arial Narrow" w:eastAsiaTheme="minorHAnsi" w:hAnsi="Arial Narrow" w:cstheme="minorHAnsi"/>
                <w:sz w:val="20"/>
                <w:szCs w:val="20"/>
                <w:lang w:eastAsia="en-US"/>
              </w:rPr>
              <w:t>)</w:t>
            </w:r>
          </w:p>
          <w:p w14:paraId="013D4D63" w14:textId="77777777"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France</w:t>
            </w:r>
          </w:p>
        </w:tc>
        <w:tc>
          <w:tcPr>
            <w:tcW w:w="706" w:type="pct"/>
          </w:tcPr>
          <w:p w14:paraId="27CE74CE"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3663D243"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2E862800" w14:textId="02D49D35" w:rsidR="003B239A" w:rsidRPr="008F0174" w:rsidRDefault="003B239A" w:rsidP="001A75CA">
            <w:pPr>
              <w:tabs>
                <w:tab w:val="left" w:pos="1167"/>
              </w:tabs>
              <w:spacing w:after="40" w:line="240" w:lineRule="auto"/>
              <w:jc w:val="left"/>
              <w:rPr>
                <w:rFonts w:ascii="Arial Narrow" w:eastAsiaTheme="minorHAnsi" w:hAnsi="Arial Narrow"/>
                <w:sz w:val="20"/>
                <w:szCs w:val="20"/>
                <w:lang w:eastAsia="en-US"/>
              </w:rPr>
            </w:pPr>
            <w:r w:rsidRPr="008F0174">
              <w:rPr>
                <w:rFonts w:ascii="Arial Narrow" w:hAnsi="Arial Narrow"/>
                <w:sz w:val="20"/>
                <w:szCs w:val="20"/>
                <w:lang w:eastAsia="en-US"/>
              </w:rPr>
              <w:t>N=40</w:t>
            </w:r>
            <w:r w:rsidRPr="008F0174">
              <w:rPr>
                <w:rFonts w:ascii="Arial Narrow" w:hAnsi="Arial Narrow"/>
                <w:sz w:val="20"/>
                <w:szCs w:val="20"/>
                <w:lang w:eastAsia="en-US"/>
              </w:rPr>
              <w:br/>
              <w:t xml:space="preserve">DNA samples of known </w:t>
            </w:r>
            <w:r w:rsidR="00FD37D3" w:rsidRPr="00FD37D3">
              <w:rPr>
                <w:rFonts w:ascii="Arial Narrow" w:hAnsi="Arial Narrow"/>
                <w:sz w:val="20"/>
                <w:szCs w:val="20"/>
                <w:lang w:eastAsia="en-US"/>
              </w:rPr>
              <w:t>CFTR</w:t>
            </w:r>
            <w:r w:rsidRPr="008F0174">
              <w:rPr>
                <w:rFonts w:ascii="Arial Narrow" w:hAnsi="Arial Narrow"/>
                <w:sz w:val="20"/>
                <w:szCs w:val="20"/>
                <w:lang w:eastAsia="en-US"/>
              </w:rPr>
              <w:t xml:space="preserve"> mutations</w:t>
            </w:r>
          </w:p>
        </w:tc>
        <w:tc>
          <w:tcPr>
            <w:tcW w:w="1040" w:type="pct"/>
          </w:tcPr>
          <w:p w14:paraId="6BB94716" w14:textId="77777777" w:rsidR="003B239A" w:rsidRPr="008F0174" w:rsidRDefault="003B239A" w:rsidP="001A75CA">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CF(12) ARMS kit</w:t>
            </w:r>
          </w:p>
        </w:tc>
        <w:tc>
          <w:tcPr>
            <w:tcW w:w="1040" w:type="pct"/>
          </w:tcPr>
          <w:p w14:paraId="3DE914F2"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DNA typing and sequencing by two genetic testing laboratories</w:t>
            </w:r>
          </w:p>
        </w:tc>
        <w:tc>
          <w:tcPr>
            <w:tcW w:w="615" w:type="pct"/>
          </w:tcPr>
          <w:p w14:paraId="31D56ECB"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Sensitivity</w:t>
            </w:r>
          </w:p>
        </w:tc>
      </w:tr>
      <w:tr w:rsidR="003B239A" w:rsidRPr="008F0174" w14:paraId="7F711510" w14:textId="77777777" w:rsidTr="004245A0">
        <w:tc>
          <w:tcPr>
            <w:tcW w:w="559" w:type="pct"/>
          </w:tcPr>
          <w:p w14:paraId="2764C363" w14:textId="62B97E7C"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Ravnik-Glava</w:t>
            </w:r>
            <w:r w:rsidR="003B3AD2">
              <w:rPr>
                <w:rFonts w:ascii="Arial Narrow" w:eastAsiaTheme="minorHAnsi" w:hAnsi="Arial Narrow" w:cstheme="minorHAnsi"/>
                <w:sz w:val="20"/>
                <w:szCs w:val="20"/>
                <w:lang w:eastAsia="en-US"/>
              </w:rPr>
              <w:t>c</w:t>
            </w:r>
            <w:r w:rsidRPr="008F0174">
              <w:rPr>
                <w:rFonts w:ascii="Arial Narrow" w:eastAsiaTheme="minorHAnsi" w:hAnsi="Arial Narrow" w:cstheme="minorHAnsi"/>
                <w:sz w:val="20"/>
                <w:szCs w:val="20"/>
                <w:lang w:eastAsia="en-US"/>
              </w:rPr>
              <w:t xml:space="preserve">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1994</w:t>
            </w:r>
            <w:r w:rsidR="00A211F4">
              <w:rPr>
                <w:rFonts w:ascii="Arial Narrow" w:eastAsiaTheme="minorHAnsi" w:hAnsi="Arial Narrow" w:cstheme="minorHAnsi"/>
                <w:sz w:val="20"/>
                <w:szCs w:val="20"/>
                <w:lang w:eastAsia="en-US"/>
              </w:rPr>
              <w:t>)</w:t>
            </w:r>
          </w:p>
          <w:p w14:paraId="5FA86FA6" w14:textId="77777777" w:rsidR="003B239A" w:rsidRPr="008F0174" w:rsidRDefault="003B239A" w:rsidP="001A75CA">
            <w:pPr>
              <w:spacing w:after="40" w:line="240" w:lineRule="auto"/>
              <w:jc w:val="left"/>
              <w:rPr>
                <w:rFonts w:ascii="Arial Narrow" w:hAnsi="Arial Narrow" w:cstheme="minorHAnsi"/>
                <w:sz w:val="20"/>
                <w:szCs w:val="20"/>
              </w:rPr>
            </w:pPr>
            <w:r w:rsidRPr="008F0174">
              <w:rPr>
                <w:rFonts w:ascii="Arial Narrow" w:eastAsiaTheme="minorHAnsi" w:hAnsi="Arial Narrow" w:cstheme="minorHAnsi"/>
                <w:sz w:val="20"/>
                <w:szCs w:val="20"/>
                <w:lang w:eastAsia="en-US"/>
              </w:rPr>
              <w:t>USA</w:t>
            </w:r>
          </w:p>
        </w:tc>
        <w:tc>
          <w:tcPr>
            <w:tcW w:w="706" w:type="pct"/>
          </w:tcPr>
          <w:p w14:paraId="5BD02678"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5B60AA66"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040" w:type="pct"/>
          </w:tcPr>
          <w:p w14:paraId="2675FEF8" w14:textId="319FB081" w:rsidR="003B239A" w:rsidRPr="008F0174" w:rsidRDefault="003B239A" w:rsidP="001A75CA">
            <w:pPr>
              <w:tabs>
                <w:tab w:val="left" w:pos="89"/>
              </w:tabs>
              <w:spacing w:after="40" w:line="240" w:lineRule="auto"/>
              <w:jc w:val="left"/>
              <w:rPr>
                <w:rFonts w:ascii="Arial Narrow" w:hAnsi="Arial Narrow"/>
                <w:sz w:val="20"/>
                <w:szCs w:val="20"/>
              </w:rPr>
            </w:pPr>
            <w:r w:rsidRPr="008F0174">
              <w:rPr>
                <w:rFonts w:ascii="Arial Narrow" w:hAnsi="Arial Narrow"/>
                <w:sz w:val="20"/>
                <w:szCs w:val="20"/>
              </w:rPr>
              <w:t xml:space="preserve">N=133 </w:t>
            </w:r>
            <w:r w:rsidRPr="008F0174">
              <w:rPr>
                <w:rFonts w:ascii="Arial Narrow" w:hAnsi="Arial Narrow"/>
                <w:sz w:val="20"/>
                <w:szCs w:val="20"/>
              </w:rPr>
              <w:br/>
              <w:t xml:space="preserve">DNA samples of known </w:t>
            </w:r>
            <w:r w:rsidR="00FD37D3" w:rsidRPr="00FD37D3">
              <w:rPr>
                <w:rFonts w:ascii="Arial Narrow" w:hAnsi="Arial Narrow"/>
                <w:sz w:val="20"/>
                <w:szCs w:val="20"/>
              </w:rPr>
              <w:t>CFTR</w:t>
            </w:r>
            <w:r w:rsidRPr="008F0174">
              <w:rPr>
                <w:rFonts w:ascii="Arial Narrow" w:hAnsi="Arial Narrow"/>
                <w:sz w:val="20"/>
                <w:szCs w:val="20"/>
              </w:rPr>
              <w:t xml:space="preserve"> mutations</w:t>
            </w:r>
          </w:p>
        </w:tc>
        <w:tc>
          <w:tcPr>
            <w:tcW w:w="1040" w:type="pct"/>
          </w:tcPr>
          <w:p w14:paraId="17C349DC" w14:textId="77777777" w:rsidR="003B239A" w:rsidRPr="008F0174" w:rsidRDefault="003B239A" w:rsidP="001A75CA">
            <w:pPr>
              <w:tabs>
                <w:tab w:val="left" w:pos="73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SSCP (all exons)</w:t>
            </w:r>
          </w:p>
        </w:tc>
        <w:tc>
          <w:tcPr>
            <w:tcW w:w="1040" w:type="pct"/>
          </w:tcPr>
          <w:p w14:paraId="39F547A0"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DNA samples of known mutations obtained from previous study</w:t>
            </w:r>
          </w:p>
        </w:tc>
        <w:tc>
          <w:tcPr>
            <w:tcW w:w="615" w:type="pct"/>
          </w:tcPr>
          <w:p w14:paraId="11C9A2A3"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Sensitivity</w:t>
            </w:r>
          </w:p>
        </w:tc>
      </w:tr>
      <w:tr w:rsidR="003B239A" w:rsidRPr="008F0174" w14:paraId="25A1DC1B" w14:textId="77777777" w:rsidTr="004245A0">
        <w:tc>
          <w:tcPr>
            <w:tcW w:w="559" w:type="pct"/>
          </w:tcPr>
          <w:p w14:paraId="3041FC74" w14:textId="0136411A"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Ravnik-Glava</w:t>
            </w:r>
            <w:r w:rsidR="003B3AD2">
              <w:rPr>
                <w:rFonts w:ascii="Arial Narrow" w:eastAsiaTheme="minorHAnsi" w:hAnsi="Arial Narrow" w:cstheme="minorHAnsi"/>
                <w:sz w:val="20"/>
                <w:szCs w:val="20"/>
                <w:lang w:eastAsia="en-US"/>
              </w:rPr>
              <w:t>c</w:t>
            </w:r>
            <w:r w:rsidRPr="008F0174">
              <w:rPr>
                <w:rFonts w:ascii="Arial Narrow" w:eastAsiaTheme="minorHAnsi" w:hAnsi="Arial Narrow" w:cstheme="minorHAnsi"/>
                <w:sz w:val="20"/>
                <w:szCs w:val="20"/>
                <w:lang w:eastAsia="en-US"/>
              </w:rPr>
              <w:t xml:space="preserve">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2002</w:t>
            </w:r>
            <w:r w:rsidR="00A211F4">
              <w:rPr>
                <w:rFonts w:ascii="Arial Narrow" w:eastAsiaTheme="minorHAnsi" w:hAnsi="Arial Narrow" w:cstheme="minorHAnsi"/>
                <w:sz w:val="20"/>
                <w:szCs w:val="20"/>
                <w:lang w:eastAsia="en-US"/>
              </w:rPr>
              <w:t>)</w:t>
            </w:r>
          </w:p>
          <w:p w14:paraId="6E7EA882" w14:textId="77777777" w:rsidR="003B239A" w:rsidRPr="008F0174" w:rsidRDefault="003B239A" w:rsidP="001A75CA">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6" w:type="pct"/>
          </w:tcPr>
          <w:p w14:paraId="0C13702D"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0C32605"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040" w:type="pct"/>
          </w:tcPr>
          <w:p w14:paraId="39966615" w14:textId="56430BD2" w:rsidR="003B239A" w:rsidRPr="008F0174" w:rsidRDefault="003B239A" w:rsidP="001A75CA">
            <w:pPr>
              <w:tabs>
                <w:tab w:val="left" w:pos="1167"/>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 xml:space="preserve">N=73 </w:t>
            </w:r>
            <w:r w:rsidRPr="008F0174">
              <w:rPr>
                <w:rFonts w:ascii="Arial Narrow" w:eastAsiaTheme="minorHAnsi" w:hAnsi="Arial Narrow"/>
                <w:sz w:val="20"/>
                <w:szCs w:val="20"/>
                <w:lang w:eastAsia="en-US"/>
              </w:rPr>
              <w:br/>
              <w:t xml:space="preserve">DNA samples of known </w:t>
            </w:r>
            <w:r w:rsidR="00FD37D3" w:rsidRPr="00FD37D3">
              <w:rPr>
                <w:rFonts w:ascii="Arial Narrow" w:eastAsiaTheme="minorHAnsi" w:hAnsi="Arial Narrow"/>
                <w:sz w:val="20"/>
                <w:szCs w:val="20"/>
                <w:lang w:eastAsia="en-US"/>
              </w:rPr>
              <w:t>CFTR</w:t>
            </w:r>
            <w:r w:rsidRPr="008F0174">
              <w:rPr>
                <w:rFonts w:ascii="Arial Narrow" w:eastAsiaTheme="minorHAnsi" w:hAnsi="Arial Narrow"/>
                <w:sz w:val="20"/>
                <w:szCs w:val="20"/>
                <w:lang w:eastAsia="en-US"/>
              </w:rPr>
              <w:t xml:space="preserve"> mutations</w:t>
            </w:r>
          </w:p>
        </w:tc>
        <w:tc>
          <w:tcPr>
            <w:tcW w:w="1040" w:type="pct"/>
          </w:tcPr>
          <w:p w14:paraId="59D70C6B" w14:textId="77777777" w:rsidR="003B239A" w:rsidRPr="008F0174" w:rsidRDefault="003B239A" w:rsidP="001A75CA">
            <w:pPr>
              <w:tabs>
                <w:tab w:val="left" w:pos="73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DHPLC (all exons)</w:t>
            </w:r>
          </w:p>
        </w:tc>
        <w:tc>
          <w:tcPr>
            <w:tcW w:w="1040" w:type="pct"/>
          </w:tcPr>
          <w:p w14:paraId="2A044814"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DNA samples of known mutations obtained from previous study</w:t>
            </w:r>
          </w:p>
        </w:tc>
        <w:tc>
          <w:tcPr>
            <w:tcW w:w="615" w:type="pct"/>
          </w:tcPr>
          <w:p w14:paraId="014DEDA1" w14:textId="77777777"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Sensitivity</w:t>
            </w:r>
          </w:p>
        </w:tc>
      </w:tr>
    </w:tbl>
    <w:p w14:paraId="4D85CE80" w14:textId="69A21648"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t xml:space="preserve">ARMS = amplification refractory mutation system; ASOH = allele-specific oligonucleotide hybridisation; CF = cystic fibrosis; </w:t>
      </w:r>
      <w:r w:rsidR="00FD37D3" w:rsidRPr="001A75CA">
        <w:rPr>
          <w:rFonts w:ascii="Arial Narrow" w:hAnsi="Arial Narrow"/>
          <w:sz w:val="18"/>
          <w:szCs w:val="18"/>
        </w:rPr>
        <w:t>CFTR</w:t>
      </w:r>
      <w:r w:rsidRPr="001A75CA">
        <w:rPr>
          <w:rFonts w:ascii="Arial Narrow" w:hAnsi="Arial Narrow"/>
          <w:sz w:val="18"/>
          <w:szCs w:val="18"/>
        </w:rPr>
        <w:t xml:space="preserve"> = cystic fibrosis transmembrane conductance regulator; </w:t>
      </w:r>
      <w:r w:rsidR="00A211F4" w:rsidRPr="001A75CA">
        <w:rPr>
          <w:rFonts w:ascii="Arial Narrow" w:hAnsi="Arial Narrow"/>
          <w:sz w:val="18"/>
          <w:szCs w:val="18"/>
        </w:rPr>
        <w:t xml:space="preserve">DGGE = denaturing gradient gel electrophoresis; </w:t>
      </w:r>
      <w:r w:rsidRPr="001A75CA">
        <w:rPr>
          <w:rFonts w:ascii="Arial Narrow" w:hAnsi="Arial Narrow"/>
          <w:sz w:val="18"/>
          <w:szCs w:val="18"/>
        </w:rPr>
        <w:t>DHPLC = denaturing high</w:t>
      </w:r>
      <w:r w:rsidR="00A211F4" w:rsidRPr="001A75CA">
        <w:rPr>
          <w:rFonts w:ascii="Arial Narrow" w:hAnsi="Arial Narrow"/>
          <w:sz w:val="18"/>
          <w:szCs w:val="18"/>
        </w:rPr>
        <w:t>-</w:t>
      </w:r>
      <w:r w:rsidRPr="001A75CA">
        <w:rPr>
          <w:rFonts w:ascii="Arial Narrow" w:hAnsi="Arial Narrow"/>
          <w:sz w:val="18"/>
          <w:szCs w:val="18"/>
        </w:rPr>
        <w:t>performance liquid chromatography; DNA = deoxyribonucleic acid; OLA = oligonucleotide ligation assay; PCR = polymerase chain reaction; SSCP = single-stranded conformation polymorphism</w:t>
      </w:r>
    </w:p>
    <w:p w14:paraId="214FEFE9" w14:textId="77777777" w:rsidR="003B239A" w:rsidRDefault="003B239A" w:rsidP="00A71F83">
      <w:pPr>
        <w:pStyle w:val="Caption"/>
        <w:ind w:left="1134" w:hanging="1134"/>
      </w:pPr>
      <w:bookmarkStart w:id="249" w:name="_Toc418179429"/>
      <w:r>
        <w:t xml:space="preserve">Table </w:t>
      </w:r>
      <w:fldSimple w:instr=" SEQ Table \* ARABIC ">
        <w:r w:rsidR="00BB0E3E">
          <w:rPr>
            <w:noProof/>
          </w:rPr>
          <w:t>32</w:t>
        </w:r>
      </w:fldSimple>
      <w:r>
        <w:t xml:space="preserve"> </w:t>
      </w:r>
      <w:r>
        <w:tab/>
      </w:r>
      <w:r w:rsidRPr="00802B06">
        <w:t>Key features of the included evidence for diagnostic accuracy studies comparing DNA sequencing with clinical diagnosis in CF patients</w:t>
      </w:r>
      <w:bookmarkEnd w:id="249"/>
    </w:p>
    <w:tbl>
      <w:tblPr>
        <w:tblStyle w:val="TableGrid1"/>
        <w:tblW w:w="5000" w:type="pct"/>
        <w:tblLook w:val="04A0" w:firstRow="1" w:lastRow="0" w:firstColumn="1" w:lastColumn="0" w:noHBand="0" w:noVBand="1"/>
        <w:tblCaption w:val="Key features of the included evidence for diagnostic accuracy studies comparing DNA sequencing with clinical diagnosis in CF patients"/>
        <w:tblDescription w:val="Key features of the included evidence for diagnostic accuracy studies comparing DNA sequencing with clinical diagnosis in CF patients"/>
      </w:tblPr>
      <w:tblGrid>
        <w:gridCol w:w="1034"/>
        <w:gridCol w:w="1305"/>
        <w:gridCol w:w="1922"/>
        <w:gridCol w:w="1922"/>
        <w:gridCol w:w="1922"/>
        <w:gridCol w:w="1137"/>
      </w:tblGrid>
      <w:tr w:rsidR="003B239A" w:rsidRPr="008F0174" w14:paraId="19EBC9F0"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12B392EB"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6" w:type="pct"/>
          </w:tcPr>
          <w:p w14:paraId="0E17E99C" w14:textId="0A3DB897"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D40537">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4669CDE7"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Patient population</w:t>
            </w:r>
          </w:p>
        </w:tc>
        <w:tc>
          <w:tcPr>
            <w:tcW w:w="1040" w:type="pct"/>
          </w:tcPr>
          <w:p w14:paraId="640CF4A7"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60128D6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5" w:type="pct"/>
          </w:tcPr>
          <w:p w14:paraId="42C85182"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33180CE5" w14:textId="77777777" w:rsidTr="009B1AA7">
        <w:tc>
          <w:tcPr>
            <w:tcW w:w="559" w:type="pct"/>
          </w:tcPr>
          <w:p w14:paraId="05AEAA46" w14:textId="0CF49871"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Strom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A211F4">
              <w:rPr>
                <w:rFonts w:ascii="Arial Narrow" w:eastAsiaTheme="minorHAnsi" w:hAnsi="Arial Narrow" w:cstheme="minorHAnsi"/>
                <w:sz w:val="20"/>
                <w:szCs w:val="20"/>
                <w:lang w:eastAsia="en-US"/>
              </w:rPr>
              <w:t>)</w:t>
            </w:r>
          </w:p>
          <w:p w14:paraId="18C6E7BE"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6" w:type="pct"/>
          </w:tcPr>
          <w:p w14:paraId="21B5333A"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III-1</w:t>
            </w:r>
          </w:p>
          <w:p w14:paraId="3F7AEB52"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69A28BEB" w14:textId="49EBD7A5" w:rsidR="003B239A" w:rsidRPr="008F0174" w:rsidRDefault="003B239A" w:rsidP="001A75CA">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N=14 </w:t>
            </w:r>
            <w:r w:rsidR="00A96154">
              <w:rPr>
                <w:rFonts w:ascii="Arial Narrow" w:hAnsi="Arial Narrow"/>
                <w:sz w:val="20"/>
                <w:szCs w:val="20"/>
                <w:lang w:eastAsia="en-US"/>
              </w:rPr>
              <w:br/>
            </w:r>
            <w:r w:rsidRPr="008F0174">
              <w:rPr>
                <w:rFonts w:ascii="Arial Narrow" w:hAnsi="Arial Narrow"/>
                <w:sz w:val="20"/>
                <w:szCs w:val="20"/>
                <w:lang w:eastAsia="en-US"/>
              </w:rPr>
              <w:t>chromosomes from 7 confirmed CF patients</w:t>
            </w:r>
          </w:p>
        </w:tc>
        <w:tc>
          <w:tcPr>
            <w:tcW w:w="1040" w:type="pct"/>
          </w:tcPr>
          <w:p w14:paraId="1BDE9C20" w14:textId="7CDF2E5A" w:rsidR="003B239A" w:rsidRPr="008F0174" w:rsidRDefault="003B239A" w:rsidP="001A75CA">
            <w:pPr>
              <w:tabs>
                <w:tab w:val="left" w:pos="746"/>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Automated DNA sequence analysis</w:t>
            </w:r>
            <w:r w:rsidR="00EF5868">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 xml:space="preserve"> based assay (991)</w:t>
            </w:r>
          </w:p>
        </w:tc>
        <w:tc>
          <w:tcPr>
            <w:tcW w:w="1040" w:type="pct"/>
          </w:tcPr>
          <w:p w14:paraId="461844BA" w14:textId="19022710"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Confirmed CF patients</w:t>
            </w:r>
            <w:r w:rsidR="00EF5868">
              <w:rPr>
                <w:rFonts w:ascii="Arial Narrow" w:hAnsi="Arial Narrow"/>
                <w:snapToGrid w:val="0"/>
                <w:sz w:val="20"/>
                <w:lang w:eastAsia="en-US"/>
              </w:rPr>
              <w:t>;</w:t>
            </w:r>
            <w:r w:rsidRPr="008F0174">
              <w:rPr>
                <w:rFonts w:ascii="Arial Narrow" w:hAnsi="Arial Narrow"/>
                <w:snapToGrid w:val="0"/>
                <w:sz w:val="20"/>
                <w:lang w:eastAsia="en-US"/>
              </w:rPr>
              <w:t xml:space="preserve"> no diagnostic criteria </w:t>
            </w:r>
            <w:r w:rsidR="004D7BFA">
              <w:rPr>
                <w:rFonts w:ascii="Arial Narrow" w:hAnsi="Arial Narrow"/>
                <w:snapToGrid w:val="0"/>
                <w:sz w:val="20"/>
                <w:lang w:eastAsia="en-US"/>
              </w:rPr>
              <w:t xml:space="preserve">were </w:t>
            </w:r>
            <w:r w:rsidRPr="008F0174">
              <w:rPr>
                <w:rFonts w:ascii="Arial Narrow" w:hAnsi="Arial Narrow"/>
                <w:snapToGrid w:val="0"/>
                <w:sz w:val="20"/>
                <w:lang w:eastAsia="en-US"/>
              </w:rPr>
              <w:t>provided</w:t>
            </w:r>
            <w:r w:rsidR="004D7BFA">
              <w:rPr>
                <w:rFonts w:ascii="Arial Narrow" w:hAnsi="Arial Narrow"/>
                <w:snapToGrid w:val="0"/>
                <w:sz w:val="20"/>
                <w:lang w:eastAsia="en-US"/>
              </w:rPr>
              <w:t>.</w:t>
            </w:r>
          </w:p>
        </w:tc>
        <w:tc>
          <w:tcPr>
            <w:tcW w:w="615" w:type="pct"/>
          </w:tcPr>
          <w:p w14:paraId="2C1169E4"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6E9C309D" w14:textId="77777777" w:rsidTr="009B1AA7">
        <w:tc>
          <w:tcPr>
            <w:tcW w:w="559" w:type="pct"/>
          </w:tcPr>
          <w:p w14:paraId="3CB38874" w14:textId="0567A55F" w:rsidR="003B239A" w:rsidRPr="008F0174" w:rsidRDefault="003B239A" w:rsidP="001A75CA">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Bickmann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2009</w:t>
            </w:r>
            <w:r w:rsidR="00A211F4">
              <w:rPr>
                <w:rFonts w:ascii="Arial Narrow" w:eastAsiaTheme="minorHAnsi" w:hAnsi="Arial Narrow" w:cstheme="minorHAnsi"/>
                <w:sz w:val="20"/>
                <w:szCs w:val="20"/>
                <w:lang w:eastAsia="en-US"/>
              </w:rPr>
              <w:t>)</w:t>
            </w:r>
          </w:p>
          <w:p w14:paraId="4E86AD1F" w14:textId="77777777" w:rsidR="003B239A" w:rsidRPr="008F0174" w:rsidRDefault="003B239A" w:rsidP="001A75CA">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Germany</w:t>
            </w:r>
          </w:p>
        </w:tc>
        <w:tc>
          <w:tcPr>
            <w:tcW w:w="706" w:type="pct"/>
          </w:tcPr>
          <w:p w14:paraId="1FAC5614" w14:textId="77777777" w:rsidR="003B239A" w:rsidRPr="008F0174" w:rsidRDefault="003B239A" w:rsidP="001A75CA">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316F129C" w14:textId="77777777" w:rsidR="003B239A" w:rsidRPr="008F0174" w:rsidRDefault="003B239A" w:rsidP="001A75CA">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0D29C03E" w14:textId="77BCB047" w:rsidR="003B239A" w:rsidRPr="008F0174" w:rsidRDefault="003B239A" w:rsidP="001A75CA">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sz w:val="20"/>
                <w:szCs w:val="20"/>
                <w:lang w:eastAsia="en-US"/>
              </w:rPr>
              <w:t xml:space="preserve">N=184 </w:t>
            </w:r>
            <w:r w:rsidR="00A96154">
              <w:rPr>
                <w:rFonts w:ascii="Arial Narrow" w:eastAsiaTheme="minorHAnsi" w:hAnsi="Arial Narrow"/>
                <w:sz w:val="20"/>
                <w:szCs w:val="20"/>
                <w:lang w:eastAsia="en-US"/>
              </w:rPr>
              <w:br/>
            </w:r>
            <w:r w:rsidRPr="008F0174">
              <w:rPr>
                <w:rFonts w:ascii="Arial Narrow" w:eastAsiaTheme="minorHAnsi" w:hAnsi="Arial Narrow"/>
                <w:sz w:val="20"/>
                <w:szCs w:val="20"/>
                <w:lang w:eastAsia="en-US"/>
              </w:rPr>
              <w:t>chromosomes</w:t>
            </w:r>
            <w:r w:rsidRPr="008F0174">
              <w:rPr>
                <w:rFonts w:ascii="Arial Narrow" w:eastAsiaTheme="minorHAnsi" w:hAnsi="Arial Narrow" w:cstheme="minorHAnsi"/>
                <w:sz w:val="20"/>
                <w:szCs w:val="20"/>
                <w:lang w:eastAsia="en-US"/>
              </w:rPr>
              <w:t xml:space="preserve"> from 92 CF patients</w:t>
            </w:r>
          </w:p>
        </w:tc>
        <w:tc>
          <w:tcPr>
            <w:tcW w:w="1040" w:type="pct"/>
          </w:tcPr>
          <w:p w14:paraId="15C0CEA3" w14:textId="77777777" w:rsidR="003B239A" w:rsidRPr="008F0174" w:rsidRDefault="003B239A" w:rsidP="001A75CA">
            <w:pPr>
              <w:keepNext/>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Pyrosequencing panel assay (46)</w:t>
            </w:r>
          </w:p>
          <w:p w14:paraId="20C3FAF7" w14:textId="77777777" w:rsidR="003B239A" w:rsidRPr="008F0174" w:rsidRDefault="003B239A" w:rsidP="001A75CA">
            <w:pPr>
              <w:keepNext/>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Pyrosequencing plus conventional DNA sequencing (all exons)</w:t>
            </w:r>
          </w:p>
        </w:tc>
        <w:tc>
          <w:tcPr>
            <w:tcW w:w="1040" w:type="pct"/>
          </w:tcPr>
          <w:p w14:paraId="197F8E9B" w14:textId="4023193E"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CF patients had typical symptoms and positive sweat test results</w:t>
            </w:r>
            <w:r w:rsidR="00204C72">
              <w:rPr>
                <w:rFonts w:ascii="Arial Narrow" w:hAnsi="Arial Narrow"/>
                <w:snapToGrid w:val="0"/>
                <w:sz w:val="20"/>
                <w:lang w:eastAsia="en-US"/>
              </w:rPr>
              <w:t>.</w:t>
            </w:r>
          </w:p>
        </w:tc>
        <w:tc>
          <w:tcPr>
            <w:tcW w:w="615" w:type="pct"/>
          </w:tcPr>
          <w:p w14:paraId="4D8E7E9D"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3D57A01A" w14:textId="77777777" w:rsidTr="009B1AA7">
        <w:tc>
          <w:tcPr>
            <w:tcW w:w="559" w:type="pct"/>
          </w:tcPr>
          <w:p w14:paraId="7901E03B" w14:textId="51455FFA"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Kanavakis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A211F4">
              <w:rPr>
                <w:rFonts w:ascii="Arial Narrow" w:eastAsiaTheme="minorHAnsi" w:hAnsi="Arial Narrow" w:cstheme="minorHAnsi"/>
                <w:sz w:val="20"/>
                <w:szCs w:val="20"/>
                <w:lang w:eastAsia="en-US"/>
              </w:rPr>
              <w:t>)</w:t>
            </w:r>
          </w:p>
          <w:p w14:paraId="58043889"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Greece</w:t>
            </w:r>
          </w:p>
        </w:tc>
        <w:tc>
          <w:tcPr>
            <w:tcW w:w="706" w:type="pct"/>
          </w:tcPr>
          <w:p w14:paraId="34F9B869"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B246969"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6EECD61B" w14:textId="1CC37DBE" w:rsidR="003B239A" w:rsidRPr="008F0174" w:rsidRDefault="003B239A" w:rsidP="001A75CA">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N=874 </w:t>
            </w:r>
            <w:r w:rsidR="00A96154">
              <w:rPr>
                <w:rFonts w:ascii="Arial Narrow" w:hAnsi="Arial Narrow"/>
                <w:sz w:val="20"/>
                <w:szCs w:val="20"/>
                <w:lang w:eastAsia="en-US"/>
              </w:rPr>
              <w:br/>
            </w:r>
            <w:r w:rsidRPr="008F0174">
              <w:rPr>
                <w:rFonts w:ascii="Arial Narrow" w:hAnsi="Arial Narrow"/>
                <w:sz w:val="20"/>
                <w:szCs w:val="20"/>
                <w:lang w:eastAsia="en-US"/>
              </w:rPr>
              <w:t>chromosomes from 437 CF patients</w:t>
            </w:r>
          </w:p>
        </w:tc>
        <w:tc>
          <w:tcPr>
            <w:tcW w:w="1040" w:type="pct"/>
          </w:tcPr>
          <w:p w14:paraId="0EDEB87B" w14:textId="77777777" w:rsidR="003B239A" w:rsidRPr="008F0174" w:rsidRDefault="003B239A" w:rsidP="001A75CA">
            <w:pPr>
              <w:tabs>
                <w:tab w:val="left" w:pos="746"/>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DGGE plus DNA sequencing (all exons)</w:t>
            </w:r>
          </w:p>
        </w:tc>
        <w:tc>
          <w:tcPr>
            <w:tcW w:w="1040" w:type="pct"/>
          </w:tcPr>
          <w:p w14:paraId="1158051A" w14:textId="1E139724"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Diagnostic criteria involved positive sweat tests and typical clinical findings</w:t>
            </w:r>
            <w:r w:rsidR="00204C72">
              <w:rPr>
                <w:rFonts w:ascii="Arial Narrow" w:hAnsi="Arial Narrow"/>
                <w:snapToGrid w:val="0"/>
                <w:sz w:val="20"/>
                <w:lang w:eastAsia="en-US"/>
              </w:rPr>
              <w:t>.</w:t>
            </w:r>
          </w:p>
        </w:tc>
        <w:tc>
          <w:tcPr>
            <w:tcW w:w="615" w:type="pct"/>
          </w:tcPr>
          <w:p w14:paraId="78C875AF"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1385D1D3" w14:textId="77777777" w:rsidTr="009B1AA7">
        <w:tc>
          <w:tcPr>
            <w:tcW w:w="559" w:type="pct"/>
          </w:tcPr>
          <w:p w14:paraId="65A5E414" w14:textId="5F96A1A5"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Bonizzato 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1995</w:t>
            </w:r>
            <w:r w:rsidR="00A211F4">
              <w:rPr>
                <w:rFonts w:ascii="Arial Narrow" w:eastAsiaTheme="minorHAnsi" w:hAnsi="Arial Narrow" w:cstheme="minorHAnsi"/>
                <w:sz w:val="20"/>
                <w:szCs w:val="20"/>
                <w:lang w:eastAsia="en-US"/>
              </w:rPr>
              <w:t>)</w:t>
            </w:r>
          </w:p>
          <w:p w14:paraId="282BBCEB" w14:textId="711FE826"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Gasparini </w:t>
            </w:r>
            <w:r w:rsidRPr="008F0174">
              <w:rPr>
                <w:rFonts w:ascii="Arial Narrow" w:eastAsiaTheme="minorHAnsi" w:hAnsi="Arial Narrow" w:cstheme="minorHAnsi"/>
                <w:sz w:val="20"/>
                <w:szCs w:val="20"/>
                <w:lang w:eastAsia="en-US"/>
              </w:rPr>
              <w:lastRenderedPageBreak/>
              <w:t xml:space="preserve">et al. </w:t>
            </w:r>
            <w:r w:rsidR="00A211F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1993</w:t>
            </w:r>
            <w:r w:rsidR="00A211F4">
              <w:rPr>
                <w:rFonts w:ascii="Arial Narrow" w:eastAsiaTheme="minorHAnsi" w:hAnsi="Arial Narrow" w:cstheme="minorHAnsi"/>
                <w:sz w:val="20"/>
                <w:szCs w:val="20"/>
                <w:lang w:eastAsia="en-US"/>
              </w:rPr>
              <w:t>)</w:t>
            </w:r>
          </w:p>
          <w:p w14:paraId="30FB3B32"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6" w:type="pct"/>
          </w:tcPr>
          <w:p w14:paraId="311AAD01"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lastRenderedPageBreak/>
              <w:t>Level III-2</w:t>
            </w:r>
          </w:p>
          <w:p w14:paraId="676BCFE9"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2E14019A" w14:textId="12BBB5DF"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N=225 </w:t>
            </w:r>
            <w:r w:rsidR="00A96154">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chromosomes from 133 CF patients</w:t>
            </w:r>
          </w:p>
        </w:tc>
        <w:tc>
          <w:tcPr>
            <w:tcW w:w="1040" w:type="pct"/>
          </w:tcPr>
          <w:p w14:paraId="508E3042" w14:textId="77777777" w:rsidR="003B239A" w:rsidRPr="008F0174" w:rsidRDefault="003B239A" w:rsidP="001A75CA">
            <w:pPr>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RFLP, RNA-SSCP or DGGE and DNA sequencing (99)</w:t>
            </w:r>
          </w:p>
        </w:tc>
        <w:tc>
          <w:tcPr>
            <w:tcW w:w="1040" w:type="pct"/>
          </w:tcPr>
          <w:p w14:paraId="79DE4078" w14:textId="5B40D3ED"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Diagnosis was confirmed by at least two positive sweat tests</w:t>
            </w:r>
            <w:r w:rsidR="00204C72">
              <w:rPr>
                <w:rFonts w:ascii="Arial Narrow" w:hAnsi="Arial Narrow"/>
                <w:snapToGrid w:val="0"/>
                <w:sz w:val="20"/>
                <w:lang w:eastAsia="en-US"/>
              </w:rPr>
              <w:t>.</w:t>
            </w:r>
          </w:p>
        </w:tc>
        <w:tc>
          <w:tcPr>
            <w:tcW w:w="615" w:type="pct"/>
          </w:tcPr>
          <w:p w14:paraId="5E5C3C65"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bl>
    <w:p w14:paraId="0FCF4B0C" w14:textId="02A147BD"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lastRenderedPageBreak/>
        <w:t>CF = cystic fibrosis; DGGE = denaturing gradient gel electrophoresis; DNA = deoxyribonucleic acid; RFLP = restriction fragment length polymorphism; RNA = ribonucleic acid; SSCP = single-stranded conformation polymorphism</w:t>
      </w:r>
    </w:p>
    <w:p w14:paraId="1E7EB21A" w14:textId="00A0C80E" w:rsidR="003B239A" w:rsidRDefault="003B239A" w:rsidP="00022486">
      <w:pPr>
        <w:pStyle w:val="Caption"/>
        <w:ind w:left="1134" w:hanging="1134"/>
      </w:pPr>
      <w:bookmarkStart w:id="250" w:name="_Toc418179430"/>
      <w:r>
        <w:t xml:space="preserve">Table </w:t>
      </w:r>
      <w:fldSimple w:instr=" SEQ Table \* ARABIC ">
        <w:r w:rsidR="00BB0E3E">
          <w:rPr>
            <w:noProof/>
          </w:rPr>
          <w:t>33</w:t>
        </w:r>
      </w:fldSimple>
      <w:r>
        <w:t xml:space="preserve"> </w:t>
      </w:r>
      <w:r>
        <w:tab/>
      </w:r>
      <w:r w:rsidRPr="000642EC">
        <w:t xml:space="preserve">Key features of the included evidence for diagnostic accuracy studies comparing </w:t>
      </w:r>
      <w:r w:rsidR="00FD37D3" w:rsidRPr="00FD37D3">
        <w:t>CFTR</w:t>
      </w:r>
      <w:r w:rsidRPr="000642EC">
        <w:t xml:space="preserve"> mutation testing with clinical diagnosis in CF patients</w:t>
      </w:r>
      <w:bookmarkEnd w:id="250"/>
    </w:p>
    <w:tbl>
      <w:tblPr>
        <w:tblStyle w:val="TableGrid1"/>
        <w:tblW w:w="5000" w:type="pct"/>
        <w:tblLook w:val="04A0" w:firstRow="1" w:lastRow="0" w:firstColumn="1" w:lastColumn="0" w:noHBand="0" w:noVBand="1"/>
        <w:tblCaption w:val="Key features of the included evidence for diagnostic accuracy studies comparing CFTR mutation testing with clinical diagnosis in CF patients"/>
        <w:tblDescription w:val="Key features of the included evidence for diagnostic accuracy studies comparing CFTR mutation testing with clinical diagnosis in CF patients"/>
      </w:tblPr>
      <w:tblGrid>
        <w:gridCol w:w="1034"/>
        <w:gridCol w:w="1303"/>
        <w:gridCol w:w="1922"/>
        <w:gridCol w:w="1922"/>
        <w:gridCol w:w="1922"/>
        <w:gridCol w:w="1139"/>
      </w:tblGrid>
      <w:tr w:rsidR="003B239A" w:rsidRPr="008F0174" w14:paraId="5674C146" w14:textId="77777777" w:rsidTr="0042252D">
        <w:trPr>
          <w:cnfStyle w:val="100000000000" w:firstRow="1" w:lastRow="0" w:firstColumn="0" w:lastColumn="0" w:oddVBand="0" w:evenVBand="0" w:oddHBand="0" w:evenHBand="0" w:firstRowFirstColumn="0" w:firstRowLastColumn="0" w:lastRowFirstColumn="0" w:lastRowLastColumn="0"/>
          <w:tblHeader/>
        </w:trPr>
        <w:tc>
          <w:tcPr>
            <w:tcW w:w="559" w:type="pct"/>
          </w:tcPr>
          <w:p w14:paraId="7D833F65"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2F240F7C" w14:textId="0049D69C"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D40537">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1572E363" w14:textId="77777777" w:rsidR="003B239A" w:rsidRPr="008F0174" w:rsidRDefault="00CF0B20" w:rsidP="001A75CA">
            <w:pPr>
              <w:keepNext/>
              <w:spacing w:after="40" w:line="240" w:lineRule="auto"/>
              <w:jc w:val="left"/>
              <w:rPr>
                <w:rFonts w:ascii="Arial Narrow" w:hAnsi="Arial Narrow"/>
                <w:b/>
                <w:snapToGrid w:val="0"/>
                <w:sz w:val="20"/>
                <w:szCs w:val="20"/>
                <w:lang w:eastAsia="en-US"/>
              </w:rPr>
            </w:pPr>
            <w:r>
              <w:rPr>
                <w:rFonts w:ascii="Arial Narrow" w:hAnsi="Arial Narrow"/>
                <w:b/>
                <w:snapToGrid w:val="0"/>
                <w:sz w:val="20"/>
                <w:szCs w:val="20"/>
                <w:lang w:eastAsia="en-US"/>
              </w:rPr>
              <w:t>P</w:t>
            </w:r>
            <w:r w:rsidR="003B239A" w:rsidRPr="008F0174">
              <w:rPr>
                <w:rFonts w:ascii="Arial Narrow" w:hAnsi="Arial Narrow"/>
                <w:b/>
                <w:snapToGrid w:val="0"/>
                <w:sz w:val="20"/>
                <w:szCs w:val="20"/>
                <w:lang w:eastAsia="en-US"/>
              </w:rPr>
              <w:t>opulation</w:t>
            </w:r>
          </w:p>
        </w:tc>
        <w:tc>
          <w:tcPr>
            <w:tcW w:w="1040" w:type="pct"/>
          </w:tcPr>
          <w:p w14:paraId="738A108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12A9C4E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15F4412B"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71276C8F" w14:textId="77777777" w:rsidTr="009B1AA7">
        <w:tc>
          <w:tcPr>
            <w:tcW w:w="559" w:type="pct"/>
          </w:tcPr>
          <w:p w14:paraId="58276C2D" w14:textId="5B0631DA"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Bonizzato et al. </w:t>
            </w:r>
            <w:r w:rsidR="00EF5868">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1999</w:t>
            </w:r>
            <w:r w:rsidR="00EF5868">
              <w:rPr>
                <w:rFonts w:ascii="Arial Narrow" w:eastAsiaTheme="minorHAnsi" w:hAnsi="Arial Narrow" w:cstheme="minorHAnsi"/>
                <w:sz w:val="20"/>
                <w:szCs w:val="20"/>
                <w:lang w:eastAsia="en-US"/>
              </w:rPr>
              <w:t>)</w:t>
            </w:r>
          </w:p>
          <w:p w14:paraId="7B6DDAB4"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5" w:type="pct"/>
          </w:tcPr>
          <w:p w14:paraId="406C1BDC"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0E759321"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4F9A020C" w14:textId="463CE94E"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N=806 </w:t>
            </w:r>
            <w:r w:rsidR="00A96154">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chromosomes from 403 CF patients</w:t>
            </w:r>
          </w:p>
        </w:tc>
        <w:tc>
          <w:tcPr>
            <w:tcW w:w="1040" w:type="pct"/>
          </w:tcPr>
          <w:p w14:paraId="624D74E0" w14:textId="77777777" w:rsidR="003B239A" w:rsidRPr="008F0174" w:rsidRDefault="003B239A" w:rsidP="001A75CA">
            <w:pPr>
              <w:keepNext/>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Reverse dot-blot hybridisation (15)</w:t>
            </w:r>
          </w:p>
        </w:tc>
        <w:tc>
          <w:tcPr>
            <w:tcW w:w="1040" w:type="pct"/>
          </w:tcPr>
          <w:p w14:paraId="5089B281" w14:textId="70C53F1B"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Diagnosis of CF was by sweat test</w:t>
            </w:r>
            <w:r w:rsidR="00204C72">
              <w:rPr>
                <w:rFonts w:ascii="Arial Narrow" w:hAnsi="Arial Narrow"/>
                <w:snapToGrid w:val="0"/>
                <w:sz w:val="20"/>
                <w:lang w:eastAsia="en-US"/>
              </w:rPr>
              <w:t>.</w:t>
            </w:r>
          </w:p>
        </w:tc>
        <w:tc>
          <w:tcPr>
            <w:tcW w:w="616" w:type="pct"/>
          </w:tcPr>
          <w:p w14:paraId="4D91E5BD"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6BA1EBE5" w14:textId="77777777" w:rsidTr="009B1AA7">
        <w:tc>
          <w:tcPr>
            <w:tcW w:w="559" w:type="pct"/>
          </w:tcPr>
          <w:p w14:paraId="107C8F2E" w14:textId="56506A14" w:rsidR="003B239A" w:rsidRPr="008F0174" w:rsidRDefault="003B239A" w:rsidP="001A75CA">
            <w:pPr>
              <w:spacing w:after="40" w:line="240" w:lineRule="auto"/>
              <w:ind w:right="-34"/>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Lay-Son et al. </w:t>
            </w:r>
            <w:r w:rsidR="00EF5868">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2011</w:t>
            </w:r>
            <w:r w:rsidR="00EF5868">
              <w:rPr>
                <w:rFonts w:ascii="Arial Narrow" w:eastAsiaTheme="minorHAnsi" w:hAnsi="Arial Narrow" w:cstheme="minorHAnsi"/>
                <w:sz w:val="20"/>
                <w:szCs w:val="20"/>
                <w:lang w:eastAsia="en-US"/>
              </w:rPr>
              <w:t>)</w:t>
            </w:r>
          </w:p>
          <w:p w14:paraId="158D9A7A"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Chile</w:t>
            </w:r>
          </w:p>
        </w:tc>
        <w:tc>
          <w:tcPr>
            <w:tcW w:w="705" w:type="pct"/>
          </w:tcPr>
          <w:p w14:paraId="746BE7B9"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AA5A741"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700E5CF9" w14:textId="29CF1F24" w:rsidR="003B239A" w:rsidRPr="008F0174" w:rsidRDefault="003B239A" w:rsidP="001A75CA">
            <w:pPr>
              <w:tabs>
                <w:tab w:val="left" w:pos="744"/>
              </w:tabs>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N=578 </w:t>
            </w:r>
            <w:r w:rsidR="00A96154">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chromosomes from 289 CF patients</w:t>
            </w:r>
          </w:p>
        </w:tc>
        <w:tc>
          <w:tcPr>
            <w:tcW w:w="1040" w:type="pct"/>
          </w:tcPr>
          <w:p w14:paraId="7211C007" w14:textId="3961E15F" w:rsidR="003B239A" w:rsidRPr="008F0174" w:rsidRDefault="003B239A" w:rsidP="001A75CA">
            <w:pPr>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 xml:space="preserve">OLA assay or INNO-LiPA </w:t>
            </w:r>
            <w:r w:rsidR="00FD37D3" w:rsidRPr="00FD37D3">
              <w:rPr>
                <w:rFonts w:ascii="Arial Narrow" w:eastAsiaTheme="minorHAnsi" w:hAnsi="Arial Narrow"/>
                <w:sz w:val="20"/>
                <w:szCs w:val="20"/>
                <w:lang w:eastAsia="en-US"/>
              </w:rPr>
              <w:t>CFTR</w:t>
            </w:r>
            <w:r w:rsidRPr="008F0174">
              <w:rPr>
                <w:rFonts w:ascii="Arial Narrow" w:eastAsiaTheme="minorHAnsi" w:hAnsi="Arial Narrow"/>
                <w:sz w:val="20"/>
                <w:szCs w:val="20"/>
                <w:lang w:eastAsia="en-US"/>
              </w:rPr>
              <w:t xml:space="preserve">19/ </w:t>
            </w:r>
            <w:r w:rsidR="00FD37D3" w:rsidRPr="00FD37D3">
              <w:rPr>
                <w:rFonts w:ascii="Arial Narrow" w:eastAsiaTheme="minorHAnsi" w:hAnsi="Arial Narrow"/>
                <w:sz w:val="20"/>
                <w:szCs w:val="20"/>
                <w:lang w:eastAsia="en-US"/>
              </w:rPr>
              <w:t>CFTR</w:t>
            </w:r>
            <w:r w:rsidRPr="008F0174">
              <w:rPr>
                <w:rFonts w:ascii="Arial Narrow" w:eastAsiaTheme="minorHAnsi" w:hAnsi="Arial Narrow"/>
                <w:sz w:val="20"/>
                <w:szCs w:val="20"/>
                <w:lang w:eastAsia="en-US"/>
              </w:rPr>
              <w:t>17+Tn Update reverse dot</w:t>
            </w:r>
            <w:r w:rsidR="00EF5868">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blot hybridisation (32</w:t>
            </w:r>
            <w:r w:rsidR="00EF5868">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36)</w:t>
            </w:r>
          </w:p>
        </w:tc>
        <w:tc>
          <w:tcPr>
            <w:tcW w:w="1040" w:type="pct"/>
          </w:tcPr>
          <w:p w14:paraId="2E00CB40" w14:textId="2B22FBFC"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Clinical diagnostic criteria </w:t>
            </w:r>
            <w:r w:rsidR="00204C72">
              <w:rPr>
                <w:rFonts w:ascii="Arial Narrow" w:hAnsi="Arial Narrow"/>
                <w:snapToGrid w:val="0"/>
                <w:sz w:val="20"/>
                <w:lang w:eastAsia="en-US"/>
              </w:rPr>
              <w:t xml:space="preserve">were </w:t>
            </w:r>
            <w:r w:rsidRPr="008F0174">
              <w:rPr>
                <w:rFonts w:ascii="Arial Narrow" w:hAnsi="Arial Narrow"/>
                <w:snapToGrid w:val="0"/>
                <w:sz w:val="20"/>
                <w:lang w:eastAsia="en-US"/>
              </w:rPr>
              <w:t>not described</w:t>
            </w:r>
            <w:r w:rsidR="00204C72">
              <w:rPr>
                <w:rFonts w:ascii="Arial Narrow" w:hAnsi="Arial Narrow"/>
                <w:snapToGrid w:val="0"/>
                <w:sz w:val="20"/>
                <w:lang w:eastAsia="en-US"/>
              </w:rPr>
              <w:t>.</w:t>
            </w:r>
          </w:p>
        </w:tc>
        <w:tc>
          <w:tcPr>
            <w:tcW w:w="616" w:type="pct"/>
          </w:tcPr>
          <w:p w14:paraId="6F820FB8"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37C211D4" w14:textId="77777777" w:rsidTr="009B1AA7">
        <w:tc>
          <w:tcPr>
            <w:tcW w:w="559" w:type="pct"/>
          </w:tcPr>
          <w:p w14:paraId="3DE39951" w14:textId="7B0FC9C2"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Wall, Cai </w:t>
            </w:r>
            <w:r w:rsidR="00D11940">
              <w:rPr>
                <w:rFonts w:ascii="Arial Narrow" w:eastAsiaTheme="minorHAnsi" w:hAnsi="Arial Narrow" w:cstheme="minorHAnsi"/>
                <w:sz w:val="20"/>
                <w:szCs w:val="20"/>
                <w:lang w:eastAsia="en-US"/>
              </w:rPr>
              <w:t>&amp;</w:t>
            </w:r>
            <w:r w:rsidR="00D11940" w:rsidRPr="008F0174">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 xml:space="preserve">Chehab </w:t>
            </w:r>
            <w:r w:rsidR="00EF5868">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1995</w:t>
            </w:r>
            <w:r w:rsidR="00EF5868">
              <w:rPr>
                <w:rFonts w:ascii="Arial Narrow" w:eastAsiaTheme="minorHAnsi" w:hAnsi="Arial Narrow" w:cstheme="minorHAnsi"/>
                <w:sz w:val="20"/>
                <w:szCs w:val="20"/>
                <w:lang w:eastAsia="en-US"/>
              </w:rPr>
              <w:t>)</w:t>
            </w:r>
          </w:p>
          <w:p w14:paraId="5F7D8C45"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5" w:type="pct"/>
          </w:tcPr>
          <w:p w14:paraId="6E7B16B8"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03238104"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041926C9" w14:textId="09EA7EB3" w:rsidR="003B239A" w:rsidRPr="008F0174" w:rsidRDefault="003B239A" w:rsidP="001A75CA">
            <w:pPr>
              <w:tabs>
                <w:tab w:val="left" w:pos="89"/>
              </w:tabs>
              <w:spacing w:after="40" w:line="240" w:lineRule="auto"/>
              <w:ind w:right="-57"/>
              <w:jc w:val="left"/>
              <w:rPr>
                <w:rFonts w:ascii="Arial Narrow" w:hAnsi="Arial Narrow"/>
                <w:sz w:val="20"/>
                <w:szCs w:val="20"/>
                <w:lang w:eastAsia="en-US"/>
              </w:rPr>
            </w:pPr>
            <w:r w:rsidRPr="008F0174">
              <w:rPr>
                <w:rFonts w:ascii="Arial Narrow" w:eastAsiaTheme="minorHAnsi" w:hAnsi="Arial Narrow"/>
                <w:sz w:val="20"/>
                <w:szCs w:val="20"/>
                <w:lang w:eastAsia="en-US"/>
              </w:rPr>
              <w:t xml:space="preserve">N=246 </w:t>
            </w:r>
            <w:r w:rsidR="00A96154">
              <w:rPr>
                <w:rFonts w:ascii="Arial Narrow" w:eastAsiaTheme="minorHAnsi" w:hAnsi="Arial Narrow"/>
                <w:sz w:val="20"/>
                <w:szCs w:val="20"/>
                <w:lang w:eastAsia="en-US"/>
              </w:rPr>
              <w:br/>
            </w:r>
            <w:r w:rsidRPr="008F0174">
              <w:rPr>
                <w:rFonts w:ascii="Arial Narrow" w:eastAsiaTheme="minorHAnsi" w:hAnsi="Arial Narrow"/>
                <w:sz w:val="20"/>
                <w:szCs w:val="20"/>
                <w:lang w:eastAsia="en-US"/>
              </w:rPr>
              <w:t>chromosomes from 123 CF patients</w:t>
            </w:r>
          </w:p>
        </w:tc>
        <w:tc>
          <w:tcPr>
            <w:tcW w:w="1040" w:type="pct"/>
          </w:tcPr>
          <w:p w14:paraId="53F1A691" w14:textId="77777777" w:rsidR="003B239A" w:rsidRPr="008F0174" w:rsidRDefault="003B239A" w:rsidP="001A75CA">
            <w:pPr>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Reverse dot-blot hybridisation (31)</w:t>
            </w:r>
          </w:p>
        </w:tc>
        <w:tc>
          <w:tcPr>
            <w:tcW w:w="1040" w:type="pct"/>
          </w:tcPr>
          <w:p w14:paraId="788FE653" w14:textId="27BC05EC"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CF </w:t>
            </w:r>
            <w:r w:rsidR="00204C72">
              <w:rPr>
                <w:rFonts w:ascii="Arial Narrow" w:hAnsi="Arial Narrow"/>
                <w:snapToGrid w:val="0"/>
                <w:sz w:val="20"/>
                <w:lang w:eastAsia="en-US"/>
              </w:rPr>
              <w:t xml:space="preserve">was </w:t>
            </w:r>
            <w:r w:rsidRPr="008F0174">
              <w:rPr>
                <w:rFonts w:ascii="Arial Narrow" w:hAnsi="Arial Narrow"/>
                <w:snapToGrid w:val="0"/>
                <w:sz w:val="20"/>
                <w:lang w:eastAsia="en-US"/>
              </w:rPr>
              <w:t>diagnosed by clinical criteria as well as abnormal sweat chloride levels</w:t>
            </w:r>
            <w:r w:rsidR="00204C72">
              <w:rPr>
                <w:rFonts w:ascii="Arial Narrow" w:hAnsi="Arial Narrow"/>
                <w:snapToGrid w:val="0"/>
                <w:sz w:val="20"/>
                <w:lang w:eastAsia="en-US"/>
              </w:rPr>
              <w:t>.</w:t>
            </w:r>
          </w:p>
        </w:tc>
        <w:tc>
          <w:tcPr>
            <w:tcW w:w="616" w:type="pct"/>
          </w:tcPr>
          <w:p w14:paraId="4383F104"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4D66E88B" w14:textId="77777777" w:rsidTr="009B1AA7">
        <w:tc>
          <w:tcPr>
            <w:tcW w:w="559" w:type="pct"/>
          </w:tcPr>
          <w:p w14:paraId="2B32B0A8" w14:textId="2E1D61F2"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Fren</w:t>
            </w:r>
            <w:r w:rsidR="00D11940">
              <w:rPr>
                <w:rFonts w:ascii="Arial Narrow" w:eastAsiaTheme="minorHAnsi" w:hAnsi="Arial Narrow" w:cstheme="minorHAnsi"/>
                <w:sz w:val="20"/>
                <w:szCs w:val="20"/>
                <w:lang w:eastAsia="en-US"/>
              </w:rPr>
              <w:t>t</w:t>
            </w:r>
            <w:r w:rsidRPr="008F0174">
              <w:rPr>
                <w:rFonts w:ascii="Arial Narrow" w:eastAsiaTheme="minorHAnsi" w:hAnsi="Arial Narrow" w:cstheme="minorHAnsi"/>
                <w:sz w:val="20"/>
                <w:szCs w:val="20"/>
                <w:lang w:eastAsia="en-US"/>
              </w:rPr>
              <w:t xml:space="preserve">escu </w:t>
            </w:r>
            <w:r w:rsidR="00D11940">
              <w:rPr>
                <w:rFonts w:ascii="Arial Narrow" w:eastAsiaTheme="minorHAnsi" w:hAnsi="Arial Narrow" w:cstheme="minorHAnsi"/>
                <w:sz w:val="20"/>
                <w:szCs w:val="20"/>
                <w:lang w:eastAsia="en-US"/>
              </w:rPr>
              <w:t>&amp;</w:t>
            </w:r>
            <w:r w:rsidR="00D11940" w:rsidRPr="008F0174">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Budi</w:t>
            </w:r>
            <w:r w:rsidR="00D11940">
              <w:rPr>
                <w:rFonts w:ascii="Arial Narrow" w:eastAsiaTheme="minorHAnsi" w:hAnsi="Arial Narrow" w:cstheme="minorHAnsi"/>
                <w:sz w:val="20"/>
                <w:szCs w:val="20"/>
                <w:lang w:eastAsia="en-US"/>
              </w:rPr>
              <w:t>s</w:t>
            </w:r>
            <w:r w:rsidRPr="008F0174">
              <w:rPr>
                <w:rFonts w:ascii="Arial Narrow" w:eastAsiaTheme="minorHAnsi" w:hAnsi="Arial Narrow" w:cstheme="minorHAnsi"/>
                <w:sz w:val="20"/>
                <w:szCs w:val="20"/>
                <w:lang w:eastAsia="en-US"/>
              </w:rPr>
              <w:t xml:space="preserve">an </w:t>
            </w:r>
            <w:r w:rsidR="00EF5868">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2009</w:t>
            </w:r>
            <w:r w:rsidR="00EF5868">
              <w:rPr>
                <w:rFonts w:ascii="Arial Narrow" w:eastAsiaTheme="minorHAnsi" w:hAnsi="Arial Narrow" w:cstheme="minorHAnsi"/>
                <w:sz w:val="20"/>
                <w:szCs w:val="20"/>
                <w:lang w:eastAsia="en-US"/>
              </w:rPr>
              <w:t>)</w:t>
            </w:r>
          </w:p>
          <w:p w14:paraId="52AFF12D"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Romania</w:t>
            </w:r>
          </w:p>
        </w:tc>
        <w:tc>
          <w:tcPr>
            <w:tcW w:w="705" w:type="pct"/>
          </w:tcPr>
          <w:p w14:paraId="42C42483"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79B99545"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5FA0768B" w14:textId="040B4B9C"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N=42 </w:t>
            </w:r>
            <w:r w:rsidR="00A96154">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chromosomes from 21 patients with CF</w:t>
            </w:r>
          </w:p>
        </w:tc>
        <w:tc>
          <w:tcPr>
            <w:tcW w:w="1040" w:type="pct"/>
          </w:tcPr>
          <w:p w14:paraId="29F0A3B7" w14:textId="77777777" w:rsidR="003B239A" w:rsidRPr="008F0174" w:rsidRDefault="003B239A" w:rsidP="001A75CA">
            <w:pPr>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Multiplex PCR, heteroduplex analysis and RFLP (18)</w:t>
            </w:r>
          </w:p>
        </w:tc>
        <w:tc>
          <w:tcPr>
            <w:tcW w:w="1040" w:type="pct"/>
          </w:tcPr>
          <w:p w14:paraId="0FC56891" w14:textId="64075952"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Diagnosis was based on clinical symptoms and sweat test values</w:t>
            </w:r>
            <w:r w:rsidR="00204C72">
              <w:rPr>
                <w:rFonts w:ascii="Arial Narrow" w:hAnsi="Arial Narrow"/>
                <w:snapToGrid w:val="0"/>
                <w:sz w:val="20"/>
                <w:lang w:eastAsia="en-US"/>
              </w:rPr>
              <w:t>.</w:t>
            </w:r>
          </w:p>
        </w:tc>
        <w:tc>
          <w:tcPr>
            <w:tcW w:w="616" w:type="pct"/>
          </w:tcPr>
          <w:p w14:paraId="23494849"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643979D4" w14:textId="77777777" w:rsidTr="009B1AA7">
        <w:tc>
          <w:tcPr>
            <w:tcW w:w="559" w:type="pct"/>
          </w:tcPr>
          <w:p w14:paraId="7FF3F608" w14:textId="3843434D"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Heim, Sugarman </w:t>
            </w:r>
            <w:r w:rsidR="00D11940">
              <w:rPr>
                <w:rFonts w:ascii="Arial Narrow" w:eastAsiaTheme="minorHAnsi" w:hAnsi="Arial Narrow" w:cstheme="minorHAnsi"/>
                <w:sz w:val="20"/>
                <w:szCs w:val="20"/>
                <w:lang w:eastAsia="en-US"/>
              </w:rPr>
              <w:t>&amp;</w:t>
            </w:r>
            <w:r w:rsidR="00D11940" w:rsidRPr="008F0174">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 xml:space="preserve">Allitto </w:t>
            </w:r>
            <w:r w:rsidR="00EF5868">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2001</w:t>
            </w:r>
            <w:r w:rsidR="00EF5868">
              <w:rPr>
                <w:rFonts w:ascii="Arial Narrow" w:eastAsiaTheme="minorHAnsi" w:hAnsi="Arial Narrow" w:cstheme="minorHAnsi"/>
                <w:sz w:val="20"/>
                <w:szCs w:val="20"/>
                <w:lang w:eastAsia="en-US"/>
              </w:rPr>
              <w:t>)</w:t>
            </w:r>
          </w:p>
          <w:p w14:paraId="4D32936E"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5" w:type="pct"/>
          </w:tcPr>
          <w:p w14:paraId="284ECCFC"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721ABA35" w14:textId="77777777" w:rsidR="003B239A" w:rsidRPr="008F0174" w:rsidRDefault="003B239A" w:rsidP="001A75CA">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040" w:type="pct"/>
          </w:tcPr>
          <w:p w14:paraId="06667B38" w14:textId="40604416" w:rsidR="003B239A" w:rsidRPr="008F0174" w:rsidRDefault="003B239A" w:rsidP="001A75CA">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N=5,840 </w:t>
            </w:r>
            <w:r w:rsidR="00A96154">
              <w:rPr>
                <w:rFonts w:ascii="Arial Narrow" w:hAnsi="Arial Narrow"/>
                <w:sz w:val="20"/>
                <w:szCs w:val="20"/>
                <w:lang w:eastAsia="en-US"/>
              </w:rPr>
              <w:br/>
            </w:r>
            <w:r w:rsidRPr="008F0174">
              <w:rPr>
                <w:rFonts w:ascii="Arial Narrow" w:hAnsi="Arial Narrow"/>
                <w:sz w:val="20"/>
                <w:szCs w:val="20"/>
                <w:lang w:eastAsia="en-US"/>
              </w:rPr>
              <w:t>chromosomes from 2,920 patients with CF</w:t>
            </w:r>
          </w:p>
        </w:tc>
        <w:tc>
          <w:tcPr>
            <w:tcW w:w="1040" w:type="pct"/>
          </w:tcPr>
          <w:p w14:paraId="2491BF7B" w14:textId="77777777" w:rsidR="003B239A" w:rsidRPr="008F0174" w:rsidRDefault="003B239A" w:rsidP="001A75CA">
            <w:pPr>
              <w:tabs>
                <w:tab w:val="left" w:pos="883"/>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ASOH (93)</w:t>
            </w:r>
          </w:p>
        </w:tc>
        <w:tc>
          <w:tcPr>
            <w:tcW w:w="1040" w:type="pct"/>
          </w:tcPr>
          <w:p w14:paraId="066B84A4" w14:textId="1668440F" w:rsidR="003B239A" w:rsidRPr="008F0174" w:rsidRDefault="003B239A" w:rsidP="001A75CA">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Clinical diagnostic criteria </w:t>
            </w:r>
            <w:r w:rsidR="00204C72">
              <w:rPr>
                <w:rFonts w:ascii="Arial Narrow" w:hAnsi="Arial Narrow"/>
                <w:snapToGrid w:val="0"/>
                <w:sz w:val="20"/>
                <w:lang w:eastAsia="en-US"/>
              </w:rPr>
              <w:t xml:space="preserve">were </w:t>
            </w:r>
            <w:r w:rsidRPr="008F0174">
              <w:rPr>
                <w:rFonts w:ascii="Arial Narrow" w:hAnsi="Arial Narrow"/>
                <w:snapToGrid w:val="0"/>
                <w:sz w:val="20"/>
                <w:lang w:eastAsia="en-US"/>
              </w:rPr>
              <w:t>not described</w:t>
            </w:r>
            <w:r w:rsidR="00204C72">
              <w:rPr>
                <w:rFonts w:ascii="Arial Narrow" w:hAnsi="Arial Narrow"/>
                <w:snapToGrid w:val="0"/>
                <w:sz w:val="20"/>
                <w:lang w:eastAsia="en-US"/>
              </w:rPr>
              <w:t>.</w:t>
            </w:r>
          </w:p>
        </w:tc>
        <w:tc>
          <w:tcPr>
            <w:tcW w:w="616" w:type="pct"/>
          </w:tcPr>
          <w:p w14:paraId="65CC2878"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bl>
    <w:p w14:paraId="0C03ABFC" w14:textId="0779B845"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t xml:space="preserve">ASOH = allele-specific oligonucleotide hybridisation; CF = cystic fibrosis; </w:t>
      </w:r>
      <w:r w:rsidR="00FD37D3" w:rsidRPr="001A75CA">
        <w:rPr>
          <w:rFonts w:ascii="Arial Narrow" w:hAnsi="Arial Narrow"/>
          <w:sz w:val="18"/>
          <w:szCs w:val="18"/>
        </w:rPr>
        <w:t>CFTR</w:t>
      </w:r>
      <w:r w:rsidRPr="001A75CA">
        <w:rPr>
          <w:rFonts w:ascii="Arial Narrow" w:hAnsi="Arial Narrow"/>
          <w:sz w:val="18"/>
          <w:szCs w:val="18"/>
        </w:rPr>
        <w:t xml:space="preserve"> = cystic fibrosis transmembrane conductance regulator; OLA = oligonucleotide ligation assay; PCR = polymerase chain reaction; RFLP = restriction fragment length polymorphism</w:t>
      </w:r>
    </w:p>
    <w:p w14:paraId="03E9A097" w14:textId="2F79D6C9" w:rsidR="003B239A" w:rsidRDefault="003B239A" w:rsidP="00A71F83">
      <w:pPr>
        <w:pStyle w:val="Caption"/>
        <w:ind w:left="1134" w:hanging="1134"/>
      </w:pPr>
      <w:bookmarkStart w:id="251" w:name="_Toc418179431"/>
      <w:r>
        <w:t xml:space="preserve">Table </w:t>
      </w:r>
      <w:fldSimple w:instr=" SEQ Table \* ARABIC ">
        <w:r w:rsidR="00BB0E3E">
          <w:rPr>
            <w:noProof/>
          </w:rPr>
          <w:t>34</w:t>
        </w:r>
      </w:fldSimple>
      <w:r>
        <w:t xml:space="preserve"> </w:t>
      </w:r>
      <w:r>
        <w:tab/>
      </w:r>
      <w:r w:rsidRPr="00B414CF">
        <w:t xml:space="preserve">Key features of the included evidence for diagnostic accuracy studies comparing </w:t>
      </w:r>
      <w:r w:rsidR="00FD37D3" w:rsidRPr="00FD37D3">
        <w:t>CFTR</w:t>
      </w:r>
      <w:r w:rsidRPr="00B414CF">
        <w:t xml:space="preserve"> mutation testing with DNA </w:t>
      </w:r>
      <w:r w:rsidR="0093618D">
        <w:t>sequen</w:t>
      </w:r>
      <w:r w:rsidR="00CF0B20">
        <w:t>cing in men</w:t>
      </w:r>
      <w:r w:rsidR="0093618D">
        <w:t xml:space="preserve"> with CBAV</w:t>
      </w:r>
      <w:r w:rsidRPr="00B414CF">
        <w:t>D</w:t>
      </w:r>
      <w:bookmarkEnd w:id="251"/>
    </w:p>
    <w:tbl>
      <w:tblPr>
        <w:tblStyle w:val="TableGrid1"/>
        <w:tblW w:w="5000" w:type="pct"/>
        <w:tblLook w:val="04A0" w:firstRow="1" w:lastRow="0" w:firstColumn="1" w:lastColumn="0" w:noHBand="0" w:noVBand="1"/>
        <w:tblCaption w:val="Key features of the included evidence for diagnostic accuracy studies comparing CFTR mutation testing with DNA sequencing in men with CBAVD"/>
        <w:tblDescription w:val="Key features of the included evidence for diagnostic accuracy studies comparing CFTR mutation testing with DNA sequencing in men with CBAVD"/>
      </w:tblPr>
      <w:tblGrid>
        <w:gridCol w:w="1034"/>
        <w:gridCol w:w="1303"/>
        <w:gridCol w:w="1922"/>
        <w:gridCol w:w="1922"/>
        <w:gridCol w:w="1922"/>
        <w:gridCol w:w="1139"/>
      </w:tblGrid>
      <w:tr w:rsidR="003B239A" w:rsidRPr="008F0174" w14:paraId="1207940F"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34C2839E"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2540182C" w14:textId="639ED3A1"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D40537">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26EC064F" w14:textId="77777777" w:rsidR="003B239A" w:rsidRPr="008F0174" w:rsidRDefault="00541BBA" w:rsidP="001A75CA">
            <w:pPr>
              <w:keepNext/>
              <w:spacing w:after="40" w:line="240" w:lineRule="auto"/>
              <w:jc w:val="left"/>
              <w:rPr>
                <w:rFonts w:ascii="Arial Narrow" w:hAnsi="Arial Narrow"/>
                <w:b/>
                <w:snapToGrid w:val="0"/>
                <w:sz w:val="20"/>
                <w:szCs w:val="20"/>
                <w:lang w:eastAsia="en-US"/>
              </w:rPr>
            </w:pPr>
            <w:r>
              <w:rPr>
                <w:rFonts w:ascii="Arial Narrow" w:hAnsi="Arial Narrow"/>
                <w:b/>
                <w:snapToGrid w:val="0"/>
                <w:sz w:val="20"/>
                <w:szCs w:val="20"/>
                <w:lang w:eastAsia="en-US"/>
              </w:rPr>
              <w:t>P</w:t>
            </w:r>
            <w:r w:rsidR="003B239A" w:rsidRPr="008F0174">
              <w:rPr>
                <w:rFonts w:ascii="Arial Narrow" w:hAnsi="Arial Narrow"/>
                <w:b/>
                <w:snapToGrid w:val="0"/>
                <w:sz w:val="20"/>
                <w:szCs w:val="20"/>
                <w:lang w:eastAsia="en-US"/>
              </w:rPr>
              <w:t>opulation</w:t>
            </w:r>
          </w:p>
        </w:tc>
        <w:tc>
          <w:tcPr>
            <w:tcW w:w="1040" w:type="pct"/>
          </w:tcPr>
          <w:p w14:paraId="47BAD2A0"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652F1A5E"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5B13649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468A8BB8" w14:textId="77777777" w:rsidTr="0042252D">
        <w:tc>
          <w:tcPr>
            <w:tcW w:w="559" w:type="pct"/>
          </w:tcPr>
          <w:p w14:paraId="47C7BFB1" w14:textId="126B9297" w:rsidR="003B239A" w:rsidRPr="008F0174" w:rsidRDefault="003B239A" w:rsidP="001A75CA">
            <w:pPr>
              <w:spacing w:after="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Giuliani et al. </w:t>
            </w:r>
            <w:r w:rsidR="00A96154">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2010</w:t>
            </w:r>
            <w:r w:rsidR="00A96154">
              <w:rPr>
                <w:rFonts w:ascii="Arial Narrow" w:eastAsiaTheme="minorHAnsi" w:hAnsi="Arial Narrow" w:cstheme="minorHAnsi"/>
                <w:sz w:val="20"/>
                <w:szCs w:val="20"/>
                <w:lang w:eastAsia="en-US"/>
              </w:rPr>
              <w:t>)</w:t>
            </w:r>
          </w:p>
          <w:p w14:paraId="5511C4A3" w14:textId="77777777" w:rsidR="003B239A" w:rsidRPr="008F0174" w:rsidRDefault="003B239A" w:rsidP="001A75CA">
            <w:pPr>
              <w:spacing w:after="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5" w:type="pct"/>
          </w:tcPr>
          <w:p w14:paraId="25B18B2A" w14:textId="77777777" w:rsidR="003B239A" w:rsidRPr="008F0174" w:rsidRDefault="003B239A" w:rsidP="001A75CA">
            <w:pPr>
              <w:spacing w:after="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27349DF4" w14:textId="77777777" w:rsidR="003B239A" w:rsidRPr="008F0174" w:rsidRDefault="003B239A" w:rsidP="001A75CA">
            <w:pPr>
              <w:spacing w:after="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1468EE79" w14:textId="5F29B9E7" w:rsidR="003B239A" w:rsidRPr="008F0174" w:rsidRDefault="003B239A" w:rsidP="001A75CA">
            <w:pPr>
              <w:tabs>
                <w:tab w:val="left" w:pos="89"/>
              </w:tabs>
              <w:spacing w:after="0" w:line="240" w:lineRule="auto"/>
              <w:ind w:right="-57"/>
              <w:jc w:val="left"/>
              <w:rPr>
                <w:rFonts w:ascii="Arial Narrow" w:hAnsi="Arial Narrow"/>
                <w:sz w:val="20"/>
                <w:szCs w:val="20"/>
                <w:lang w:eastAsia="en-US"/>
              </w:rPr>
            </w:pPr>
            <w:r w:rsidRPr="008F0174">
              <w:rPr>
                <w:rFonts w:ascii="Arial Narrow" w:hAnsi="Arial Narrow"/>
                <w:sz w:val="20"/>
                <w:szCs w:val="20"/>
                <w:lang w:eastAsia="en-US"/>
              </w:rPr>
              <w:t>N=46</w:t>
            </w:r>
            <w:r w:rsidR="00A96154">
              <w:rPr>
                <w:rFonts w:ascii="Arial Narrow" w:hAnsi="Arial Narrow"/>
                <w:sz w:val="20"/>
                <w:szCs w:val="20"/>
                <w:lang w:eastAsia="en-US"/>
              </w:rPr>
              <w:t xml:space="preserve"> </w:t>
            </w:r>
            <w:r w:rsidR="00A96154">
              <w:rPr>
                <w:rFonts w:ascii="Arial Narrow" w:hAnsi="Arial Narrow"/>
                <w:sz w:val="20"/>
                <w:szCs w:val="20"/>
                <w:lang w:eastAsia="en-US"/>
              </w:rPr>
              <w:br/>
            </w:r>
            <w:r w:rsidRPr="008F0174">
              <w:rPr>
                <w:rFonts w:ascii="Arial Narrow" w:hAnsi="Arial Narrow"/>
                <w:sz w:val="20"/>
                <w:szCs w:val="20"/>
                <w:lang w:eastAsia="en-US"/>
              </w:rPr>
              <w:t>chromosomes from 23 CBAVD patients</w:t>
            </w:r>
          </w:p>
        </w:tc>
        <w:tc>
          <w:tcPr>
            <w:tcW w:w="1040" w:type="pct"/>
          </w:tcPr>
          <w:p w14:paraId="18914777" w14:textId="3D04A55F" w:rsidR="003B239A" w:rsidRPr="008F0174" w:rsidRDefault="003B239A" w:rsidP="001A75CA">
            <w:pPr>
              <w:tabs>
                <w:tab w:val="left" w:pos="744"/>
              </w:tabs>
              <w:spacing w:after="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 xml:space="preserve">INNO-LiPA </w:t>
            </w:r>
            <w:r w:rsidR="00FD37D3" w:rsidRPr="00FD37D3">
              <w:rPr>
                <w:rFonts w:ascii="Arial Narrow" w:eastAsiaTheme="minorHAnsi" w:hAnsi="Arial Narrow"/>
                <w:sz w:val="20"/>
                <w:szCs w:val="20"/>
                <w:lang w:eastAsia="en-US"/>
              </w:rPr>
              <w:t>CFTR</w:t>
            </w:r>
            <w:r w:rsidRPr="008F0174">
              <w:rPr>
                <w:rFonts w:ascii="Arial Narrow" w:eastAsiaTheme="minorHAnsi" w:hAnsi="Arial Narrow"/>
                <w:sz w:val="20"/>
                <w:szCs w:val="20"/>
                <w:lang w:eastAsia="en-US"/>
              </w:rPr>
              <w:t>19, 17 + Tn and Italian Regional Kits reverse dot-blot hybridisation (58)</w:t>
            </w:r>
          </w:p>
        </w:tc>
        <w:tc>
          <w:tcPr>
            <w:tcW w:w="1040" w:type="pct"/>
          </w:tcPr>
          <w:p w14:paraId="186F59DA" w14:textId="77777777" w:rsidR="003B239A" w:rsidRPr="008F0174" w:rsidRDefault="003B239A" w:rsidP="001A75CA">
            <w:pPr>
              <w:keepNext/>
              <w:spacing w:after="40" w:line="240" w:lineRule="auto"/>
              <w:jc w:val="left"/>
              <w:rPr>
                <w:rFonts w:ascii="Arial Narrow" w:hAnsi="Arial Narrow"/>
                <w:snapToGrid w:val="0"/>
                <w:sz w:val="20"/>
                <w:szCs w:val="20"/>
                <w:lang w:eastAsia="en-US"/>
              </w:rPr>
            </w:pPr>
            <w:r w:rsidRPr="008F0174">
              <w:rPr>
                <w:rFonts w:ascii="Arial Narrow" w:hAnsi="Arial Narrow"/>
                <w:snapToGrid w:val="0"/>
                <w:sz w:val="20"/>
                <w:szCs w:val="20"/>
                <w:lang w:eastAsia="en-US"/>
              </w:rPr>
              <w:t>DHPLC with DNA sequencing confirmation</w:t>
            </w:r>
          </w:p>
          <w:p w14:paraId="02D6CDD3" w14:textId="77777777" w:rsidR="003B239A" w:rsidRPr="008F0174" w:rsidRDefault="003B239A" w:rsidP="001A75CA">
            <w:pPr>
              <w:keepNext/>
              <w:spacing w:after="40" w:line="240" w:lineRule="auto"/>
              <w:jc w:val="left"/>
              <w:rPr>
                <w:rFonts w:ascii="Arial Narrow" w:hAnsi="Arial Narrow"/>
                <w:snapToGrid w:val="0"/>
                <w:sz w:val="20"/>
                <w:szCs w:val="20"/>
                <w:lang w:eastAsia="en-US"/>
              </w:rPr>
            </w:pPr>
            <w:r w:rsidRPr="008F0174">
              <w:rPr>
                <w:rFonts w:ascii="Arial Narrow" w:hAnsi="Arial Narrow"/>
                <w:snapToGrid w:val="0"/>
                <w:sz w:val="20"/>
                <w:szCs w:val="20"/>
                <w:lang w:eastAsia="en-US"/>
              </w:rPr>
              <w:t>DHPLC with DNA sequencing confirmation plus MLPA</w:t>
            </w:r>
          </w:p>
        </w:tc>
        <w:tc>
          <w:tcPr>
            <w:tcW w:w="616" w:type="pct"/>
          </w:tcPr>
          <w:p w14:paraId="05A2D206"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p w14:paraId="525FF6C4" w14:textId="77777777" w:rsidR="003B239A" w:rsidRPr="008F0174" w:rsidRDefault="003B239A" w:rsidP="001A75CA">
            <w:pPr>
              <w:spacing w:after="40" w:line="240" w:lineRule="auto"/>
              <w:ind w:right="-57"/>
              <w:jc w:val="left"/>
              <w:rPr>
                <w:rFonts w:ascii="Arial Narrow" w:hAnsi="Arial Narrow"/>
                <w:sz w:val="20"/>
                <w:szCs w:val="20"/>
              </w:rPr>
            </w:pPr>
            <w:r w:rsidRPr="008F0174">
              <w:rPr>
                <w:rFonts w:ascii="Arial Narrow" w:hAnsi="Arial Narrow"/>
                <w:sz w:val="20"/>
                <w:szCs w:val="20"/>
              </w:rPr>
              <w:t>Specificity</w:t>
            </w:r>
          </w:p>
        </w:tc>
      </w:tr>
    </w:tbl>
    <w:p w14:paraId="4C1EEA2F" w14:textId="1582E7F8"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t xml:space="preserve">CBAVD = congenital bilateral absence of the vas deferens; </w:t>
      </w:r>
      <w:r w:rsidR="00FD37D3" w:rsidRPr="001A75CA">
        <w:rPr>
          <w:rFonts w:ascii="Arial Narrow" w:hAnsi="Arial Narrow"/>
          <w:sz w:val="18"/>
          <w:szCs w:val="18"/>
        </w:rPr>
        <w:t>CFTR</w:t>
      </w:r>
      <w:r w:rsidRPr="001A75CA">
        <w:rPr>
          <w:rFonts w:ascii="Arial Narrow" w:hAnsi="Arial Narrow"/>
          <w:sz w:val="18"/>
          <w:szCs w:val="18"/>
        </w:rPr>
        <w:t xml:space="preserve"> = cystic fibrosis transmembrane conductance regulator; DHPLC = denaturing high</w:t>
      </w:r>
      <w:r w:rsidR="003D1530" w:rsidRPr="001A75CA">
        <w:rPr>
          <w:rFonts w:ascii="Arial Narrow" w:hAnsi="Arial Narrow"/>
          <w:sz w:val="18"/>
          <w:szCs w:val="18"/>
        </w:rPr>
        <w:t>-</w:t>
      </w:r>
      <w:r w:rsidRPr="001A75CA">
        <w:rPr>
          <w:rFonts w:ascii="Arial Narrow" w:hAnsi="Arial Narrow"/>
          <w:sz w:val="18"/>
          <w:szCs w:val="18"/>
        </w:rPr>
        <w:t>performance liquid chromatography; DNA = deoxyribonucleic acid</w:t>
      </w:r>
      <w:r w:rsidR="003D1530" w:rsidRPr="001A75CA">
        <w:rPr>
          <w:rFonts w:ascii="Arial Narrow" w:hAnsi="Arial Narrow"/>
          <w:sz w:val="18"/>
          <w:szCs w:val="18"/>
        </w:rPr>
        <w:t>; MLPA + multiplex ligation-dependent probe amplification</w:t>
      </w:r>
    </w:p>
    <w:p w14:paraId="590AECD5" w14:textId="77777777" w:rsidR="003B239A" w:rsidRDefault="003B239A" w:rsidP="00022486">
      <w:pPr>
        <w:pStyle w:val="Caption"/>
        <w:ind w:left="1134" w:hanging="1134"/>
      </w:pPr>
      <w:bookmarkStart w:id="252" w:name="_Toc418179432"/>
      <w:r>
        <w:lastRenderedPageBreak/>
        <w:t xml:space="preserve">Table </w:t>
      </w:r>
      <w:fldSimple w:instr=" SEQ Table \* ARABIC ">
        <w:r w:rsidR="00BB0E3E">
          <w:rPr>
            <w:noProof/>
          </w:rPr>
          <w:t>35</w:t>
        </w:r>
      </w:fldSimple>
      <w:r>
        <w:t xml:space="preserve"> </w:t>
      </w:r>
      <w:r>
        <w:tab/>
      </w:r>
      <w:r w:rsidRPr="00896CFC">
        <w:t>Key features of the included evidence for diagnostic accuracy studies comparing DNA sequencing with clinical</w:t>
      </w:r>
      <w:r w:rsidR="00CF0B20">
        <w:t xml:space="preserve"> diagnosis in men </w:t>
      </w:r>
      <w:r w:rsidR="0093618D">
        <w:t xml:space="preserve">with </w:t>
      </w:r>
      <w:r w:rsidR="00CF0B20">
        <w:t>CAVD/</w:t>
      </w:r>
      <w:r w:rsidR="0093618D">
        <w:t>CBAV</w:t>
      </w:r>
      <w:r w:rsidRPr="00896CFC">
        <w:t>D</w:t>
      </w:r>
      <w:bookmarkEnd w:id="252"/>
    </w:p>
    <w:tbl>
      <w:tblPr>
        <w:tblStyle w:val="TableGrid1"/>
        <w:tblW w:w="5000" w:type="pct"/>
        <w:tblLook w:val="04A0" w:firstRow="1" w:lastRow="0" w:firstColumn="1" w:lastColumn="0" w:noHBand="0" w:noVBand="1"/>
        <w:tblCaption w:val="Key features of the included evidence for diagnostic accuracy studies comparing DNA sequencing with clinical diagnosis in men with CAVD/CBAVD"/>
        <w:tblDescription w:val="Key features of the included evidence for diagnostic accuracy studies comparing DNA sequencing with clinical diagnosis in men with CAVD/CBAVD"/>
      </w:tblPr>
      <w:tblGrid>
        <w:gridCol w:w="1034"/>
        <w:gridCol w:w="1303"/>
        <w:gridCol w:w="1922"/>
        <w:gridCol w:w="1922"/>
        <w:gridCol w:w="1922"/>
        <w:gridCol w:w="1139"/>
      </w:tblGrid>
      <w:tr w:rsidR="003B239A" w:rsidRPr="008F0174" w14:paraId="1DEDC887"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132C8677"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2E2F49F7" w14:textId="5A09C4BF"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D40537">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67354E30" w14:textId="77777777" w:rsidR="003B239A" w:rsidRPr="008F0174" w:rsidRDefault="00541BBA" w:rsidP="001A75CA">
            <w:pPr>
              <w:keepNext/>
              <w:spacing w:after="40" w:line="240" w:lineRule="auto"/>
              <w:jc w:val="left"/>
              <w:rPr>
                <w:rFonts w:ascii="Arial Narrow" w:hAnsi="Arial Narrow"/>
                <w:b/>
                <w:snapToGrid w:val="0"/>
                <w:sz w:val="20"/>
                <w:szCs w:val="20"/>
                <w:lang w:eastAsia="en-US"/>
              </w:rPr>
            </w:pPr>
            <w:r>
              <w:rPr>
                <w:rFonts w:ascii="Arial Narrow" w:hAnsi="Arial Narrow"/>
                <w:b/>
                <w:snapToGrid w:val="0"/>
                <w:sz w:val="20"/>
                <w:szCs w:val="20"/>
                <w:lang w:eastAsia="en-US"/>
              </w:rPr>
              <w:t>P</w:t>
            </w:r>
            <w:r w:rsidR="003B239A" w:rsidRPr="008F0174">
              <w:rPr>
                <w:rFonts w:ascii="Arial Narrow" w:hAnsi="Arial Narrow"/>
                <w:b/>
                <w:snapToGrid w:val="0"/>
                <w:sz w:val="20"/>
                <w:szCs w:val="20"/>
                <w:lang w:eastAsia="en-US"/>
              </w:rPr>
              <w:t>opulation</w:t>
            </w:r>
          </w:p>
        </w:tc>
        <w:tc>
          <w:tcPr>
            <w:tcW w:w="1040" w:type="pct"/>
          </w:tcPr>
          <w:p w14:paraId="03056FE4"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Index test </w:t>
            </w:r>
          </w:p>
        </w:tc>
        <w:tc>
          <w:tcPr>
            <w:tcW w:w="1040" w:type="pct"/>
          </w:tcPr>
          <w:p w14:paraId="02A23940"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247B014E"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2C8D678B" w14:textId="77777777" w:rsidTr="0042252D">
        <w:tc>
          <w:tcPr>
            <w:tcW w:w="559" w:type="pct"/>
          </w:tcPr>
          <w:p w14:paraId="4632A1E8" w14:textId="24846538" w:rsidR="003B239A" w:rsidRPr="008F0174" w:rsidRDefault="003B239A" w:rsidP="00D40537">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Danziger et al. </w:t>
            </w:r>
            <w:r w:rsidR="005509F9">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2004</w:t>
            </w:r>
            <w:r w:rsidR="005509F9">
              <w:rPr>
                <w:rFonts w:ascii="Arial Narrow" w:eastAsiaTheme="minorHAnsi" w:hAnsi="Arial Narrow" w:cstheme="minorHAnsi"/>
                <w:sz w:val="20"/>
                <w:szCs w:val="20"/>
                <w:lang w:eastAsia="en-US"/>
              </w:rPr>
              <w:t>)</w:t>
            </w:r>
          </w:p>
          <w:p w14:paraId="1F7A2A55" w14:textId="77777777" w:rsidR="003B239A" w:rsidRPr="008F0174" w:rsidRDefault="003B239A" w:rsidP="00D40537">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5" w:type="pct"/>
          </w:tcPr>
          <w:p w14:paraId="2CB6CBAF" w14:textId="77777777" w:rsidR="003B239A" w:rsidRPr="008F0174" w:rsidRDefault="003B239A" w:rsidP="00D40537">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7BB0B304" w14:textId="77777777" w:rsidR="003B239A" w:rsidRPr="008F0174" w:rsidRDefault="003B239A" w:rsidP="00D40537">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44D0945E" w14:textId="77777777" w:rsidR="003B239A" w:rsidRPr="008F0174" w:rsidRDefault="003B239A" w:rsidP="00D40537">
            <w:pPr>
              <w:keepNext/>
              <w:tabs>
                <w:tab w:val="left" w:pos="89"/>
              </w:tabs>
              <w:spacing w:after="40" w:line="240" w:lineRule="auto"/>
              <w:ind w:right="-57"/>
              <w:jc w:val="left"/>
              <w:rPr>
                <w:rFonts w:ascii="Arial Narrow" w:hAnsi="Arial Narrow"/>
                <w:sz w:val="20"/>
                <w:szCs w:val="20"/>
              </w:rPr>
            </w:pPr>
            <w:r w:rsidRPr="008F0174">
              <w:rPr>
                <w:rFonts w:ascii="Arial Narrow" w:hAnsi="Arial Narrow"/>
                <w:sz w:val="20"/>
                <w:szCs w:val="20"/>
                <w:lang w:eastAsia="en-US"/>
              </w:rPr>
              <w:t xml:space="preserve">N=16 </w:t>
            </w:r>
            <w:r w:rsidRPr="008F0174">
              <w:rPr>
                <w:rFonts w:ascii="Arial Narrow" w:hAnsi="Arial Narrow"/>
                <w:sz w:val="20"/>
                <w:szCs w:val="20"/>
                <w:lang w:eastAsia="en-US"/>
              </w:rPr>
              <w:br/>
              <w:t>male patients with CAVD (13 with CBAVD)</w:t>
            </w:r>
          </w:p>
        </w:tc>
        <w:tc>
          <w:tcPr>
            <w:tcW w:w="1040" w:type="pct"/>
          </w:tcPr>
          <w:p w14:paraId="10D8B3FE" w14:textId="77777777" w:rsidR="003B239A" w:rsidRPr="008F0174" w:rsidRDefault="003B239A" w:rsidP="00D40537">
            <w:pPr>
              <w:keepNext/>
              <w:tabs>
                <w:tab w:val="left" w:pos="315"/>
                <w:tab w:val="left" w:pos="883"/>
              </w:tabs>
              <w:spacing w:after="40" w:line="240" w:lineRule="auto"/>
              <w:ind w:right="-57"/>
              <w:jc w:val="left"/>
              <w:rPr>
                <w:rFonts w:ascii="Arial Narrow" w:hAnsi="Arial Narrow"/>
                <w:sz w:val="20"/>
                <w:szCs w:val="20"/>
              </w:rPr>
            </w:pPr>
            <w:r w:rsidRPr="008F0174">
              <w:rPr>
                <w:rFonts w:ascii="Arial Narrow" w:hAnsi="Arial Narrow"/>
                <w:sz w:val="20"/>
                <w:szCs w:val="20"/>
              </w:rPr>
              <w:t>mTTGE and DNA sequencing confirmation</w:t>
            </w:r>
          </w:p>
        </w:tc>
        <w:tc>
          <w:tcPr>
            <w:tcW w:w="1040" w:type="pct"/>
          </w:tcPr>
          <w:p w14:paraId="647DC295" w14:textId="477DB915" w:rsidR="003B239A" w:rsidRPr="008F0174" w:rsidRDefault="00D347D4" w:rsidP="00D40537">
            <w:pPr>
              <w:keepNext/>
              <w:spacing w:after="40" w:line="240" w:lineRule="auto"/>
              <w:jc w:val="left"/>
              <w:rPr>
                <w:rFonts w:ascii="Arial Narrow" w:hAnsi="Arial Narrow"/>
                <w:snapToGrid w:val="0"/>
                <w:sz w:val="20"/>
                <w:lang w:eastAsia="en-US"/>
              </w:rPr>
            </w:pPr>
            <w:r>
              <w:rPr>
                <w:rFonts w:ascii="Arial Narrow" w:hAnsi="Arial Narrow"/>
                <w:snapToGrid w:val="0"/>
                <w:sz w:val="20"/>
                <w:lang w:eastAsia="en-US"/>
              </w:rPr>
              <w:t>D</w:t>
            </w:r>
            <w:r w:rsidR="003B239A" w:rsidRPr="008F0174">
              <w:rPr>
                <w:rFonts w:ascii="Arial Narrow" w:hAnsi="Arial Narrow"/>
                <w:snapToGrid w:val="0"/>
                <w:sz w:val="20"/>
                <w:lang w:eastAsia="en-US"/>
              </w:rPr>
              <w:t>iagnosis of CAVD was based on physical examination findings</w:t>
            </w:r>
            <w:r w:rsidR="00790DDE">
              <w:rPr>
                <w:rFonts w:ascii="Arial Narrow" w:hAnsi="Arial Narrow"/>
                <w:snapToGrid w:val="0"/>
                <w:sz w:val="20"/>
                <w:lang w:eastAsia="en-US"/>
              </w:rPr>
              <w:t>.</w:t>
            </w:r>
          </w:p>
        </w:tc>
        <w:tc>
          <w:tcPr>
            <w:tcW w:w="616" w:type="pct"/>
          </w:tcPr>
          <w:p w14:paraId="479EA785" w14:textId="77777777" w:rsidR="003B239A" w:rsidRPr="008F0174" w:rsidRDefault="003B239A" w:rsidP="00D40537">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62B6AFC4" w14:textId="77777777" w:rsidTr="0042252D">
        <w:tc>
          <w:tcPr>
            <w:tcW w:w="559" w:type="pct"/>
          </w:tcPr>
          <w:p w14:paraId="47CA0B40" w14:textId="5950CB9F"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Gallati et al. </w:t>
            </w:r>
            <w:r w:rsidR="005509F9">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2009</w:t>
            </w:r>
            <w:r w:rsidR="005509F9">
              <w:rPr>
                <w:rFonts w:ascii="Arial Narrow" w:eastAsiaTheme="minorHAnsi" w:hAnsi="Arial Narrow" w:cstheme="minorHAnsi"/>
                <w:sz w:val="20"/>
                <w:szCs w:val="20"/>
                <w:lang w:eastAsia="en-US"/>
              </w:rPr>
              <w:t>)</w:t>
            </w:r>
          </w:p>
          <w:p w14:paraId="2D1E623B"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Switzerland</w:t>
            </w:r>
          </w:p>
        </w:tc>
        <w:tc>
          <w:tcPr>
            <w:tcW w:w="705" w:type="pct"/>
          </w:tcPr>
          <w:p w14:paraId="01AB2BF5"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1EC20429"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14266E8B" w14:textId="77777777" w:rsidR="003B239A" w:rsidRPr="008F0174" w:rsidRDefault="003B239A" w:rsidP="00D40537">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 25 </w:t>
            </w:r>
            <w:r w:rsidRPr="008F0174">
              <w:rPr>
                <w:rFonts w:ascii="Arial Narrow" w:hAnsi="Arial Narrow"/>
                <w:sz w:val="20"/>
                <w:szCs w:val="20"/>
                <w:lang w:eastAsia="en-US"/>
              </w:rPr>
              <w:br/>
              <w:t>azoospermic men diagnosed with CAVD</w:t>
            </w:r>
          </w:p>
        </w:tc>
        <w:tc>
          <w:tcPr>
            <w:tcW w:w="1040" w:type="pct"/>
          </w:tcPr>
          <w:p w14:paraId="216B8637" w14:textId="77777777" w:rsidR="003B239A" w:rsidRPr="008F0174" w:rsidRDefault="003B239A" w:rsidP="00D40537">
            <w:pPr>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 xml:space="preserve">SSCP and DNA sequencing </w:t>
            </w:r>
            <w:r w:rsidRPr="008F0174">
              <w:rPr>
                <w:rFonts w:ascii="Arial Narrow" w:hAnsi="Arial Narrow"/>
                <w:sz w:val="20"/>
                <w:szCs w:val="20"/>
              </w:rPr>
              <w:t>confirmation</w:t>
            </w:r>
          </w:p>
        </w:tc>
        <w:tc>
          <w:tcPr>
            <w:tcW w:w="1040" w:type="pct"/>
          </w:tcPr>
          <w:p w14:paraId="3508BCE7" w14:textId="4FDD176C" w:rsidR="003B239A" w:rsidRPr="008F0174" w:rsidRDefault="003B239A" w:rsidP="00D40537">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Diagnostic criteria for CAVD </w:t>
            </w:r>
            <w:r w:rsidR="00790DDE">
              <w:rPr>
                <w:rFonts w:ascii="Arial Narrow" w:hAnsi="Arial Narrow"/>
                <w:snapToGrid w:val="0"/>
                <w:sz w:val="20"/>
                <w:lang w:eastAsia="en-US"/>
              </w:rPr>
              <w:t xml:space="preserve">were </w:t>
            </w:r>
            <w:r w:rsidRPr="008F0174">
              <w:rPr>
                <w:rFonts w:ascii="Arial Narrow" w:hAnsi="Arial Narrow"/>
                <w:snapToGrid w:val="0"/>
                <w:sz w:val="20"/>
                <w:lang w:eastAsia="en-US"/>
              </w:rPr>
              <w:t>not described</w:t>
            </w:r>
            <w:r w:rsidR="00790DDE">
              <w:rPr>
                <w:rFonts w:ascii="Arial Narrow" w:hAnsi="Arial Narrow"/>
                <w:snapToGrid w:val="0"/>
                <w:sz w:val="20"/>
                <w:lang w:eastAsia="en-US"/>
              </w:rPr>
              <w:t>.</w:t>
            </w:r>
          </w:p>
        </w:tc>
        <w:tc>
          <w:tcPr>
            <w:tcW w:w="616" w:type="pct"/>
          </w:tcPr>
          <w:p w14:paraId="2B43CA5A" w14:textId="77777777" w:rsidR="003B239A" w:rsidRPr="008F0174" w:rsidRDefault="003B239A" w:rsidP="00D40537">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511653F2" w14:textId="77777777" w:rsidTr="0042252D">
        <w:tc>
          <w:tcPr>
            <w:tcW w:w="559" w:type="pct"/>
          </w:tcPr>
          <w:p w14:paraId="1581E093" w14:textId="289D91A4"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Giuliani et al. </w:t>
            </w:r>
            <w:r w:rsidR="005509F9">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2010</w:t>
            </w:r>
            <w:r w:rsidR="005509F9">
              <w:rPr>
                <w:rFonts w:ascii="Arial Narrow" w:eastAsiaTheme="minorHAnsi" w:hAnsi="Arial Narrow" w:cstheme="minorHAnsi"/>
                <w:sz w:val="20"/>
                <w:szCs w:val="20"/>
                <w:lang w:eastAsia="en-US"/>
              </w:rPr>
              <w:t>)</w:t>
            </w:r>
          </w:p>
          <w:p w14:paraId="3291303C"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5" w:type="pct"/>
          </w:tcPr>
          <w:p w14:paraId="06F4368E"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1DDA75F"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0F6AD3C9" w14:textId="77777777" w:rsidR="003B239A" w:rsidRPr="008F0174" w:rsidRDefault="003B239A" w:rsidP="00D40537">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N=23 </w:t>
            </w:r>
            <w:r w:rsidRPr="008F0174">
              <w:rPr>
                <w:rFonts w:ascii="Arial Narrow" w:hAnsi="Arial Narrow"/>
                <w:sz w:val="20"/>
                <w:szCs w:val="20"/>
                <w:lang w:eastAsia="en-US"/>
              </w:rPr>
              <w:br/>
              <w:t>CBAVD patients</w:t>
            </w:r>
          </w:p>
        </w:tc>
        <w:tc>
          <w:tcPr>
            <w:tcW w:w="1040" w:type="pct"/>
          </w:tcPr>
          <w:p w14:paraId="104B8B8E" w14:textId="77777777" w:rsidR="003B239A" w:rsidRPr="008F0174" w:rsidRDefault="003B239A" w:rsidP="00D40537">
            <w:pPr>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Reverse dot-blot, DHPLC and DNA sequencing</w:t>
            </w:r>
          </w:p>
        </w:tc>
        <w:tc>
          <w:tcPr>
            <w:tcW w:w="1040" w:type="pct"/>
          </w:tcPr>
          <w:p w14:paraId="3D358FA4" w14:textId="11210FDD" w:rsidR="003B239A" w:rsidRPr="008F0174" w:rsidRDefault="003B239A" w:rsidP="00D40537">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Clinical diagnosis of CBAVD was based on azoospermia with the absence of palpable vas deferens</w:t>
            </w:r>
            <w:r w:rsidR="00790DDE">
              <w:rPr>
                <w:rFonts w:ascii="Arial Narrow" w:hAnsi="Arial Narrow"/>
                <w:snapToGrid w:val="0"/>
                <w:sz w:val="20"/>
                <w:lang w:eastAsia="en-US"/>
              </w:rPr>
              <w:t>.</w:t>
            </w:r>
          </w:p>
        </w:tc>
        <w:tc>
          <w:tcPr>
            <w:tcW w:w="616" w:type="pct"/>
          </w:tcPr>
          <w:p w14:paraId="4AD4643D" w14:textId="77777777" w:rsidR="003B239A" w:rsidRPr="008F0174" w:rsidRDefault="003B239A" w:rsidP="00D40537">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3107230A" w14:textId="77777777" w:rsidTr="0042252D">
        <w:tc>
          <w:tcPr>
            <w:tcW w:w="559" w:type="pct"/>
          </w:tcPr>
          <w:p w14:paraId="609F584F" w14:textId="67ADE5D5"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Bareil et al. </w:t>
            </w:r>
            <w:r w:rsidR="005509F9">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2007</w:t>
            </w:r>
            <w:r w:rsidR="005509F9">
              <w:rPr>
                <w:rFonts w:ascii="Arial Narrow" w:eastAsiaTheme="minorHAnsi" w:hAnsi="Arial Narrow" w:cstheme="minorHAnsi"/>
                <w:sz w:val="20"/>
                <w:szCs w:val="20"/>
                <w:lang w:eastAsia="en-US"/>
              </w:rPr>
              <w:t>)</w:t>
            </w:r>
          </w:p>
          <w:p w14:paraId="5C0BB008"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France</w:t>
            </w:r>
          </w:p>
        </w:tc>
        <w:tc>
          <w:tcPr>
            <w:tcW w:w="705" w:type="pct"/>
          </w:tcPr>
          <w:p w14:paraId="476CFADF"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3AE1204B"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040" w:type="pct"/>
          </w:tcPr>
          <w:p w14:paraId="69A0AA92" w14:textId="77777777" w:rsidR="003B239A" w:rsidRPr="008F0174" w:rsidRDefault="003B239A" w:rsidP="00D40537">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N=182 </w:t>
            </w:r>
            <w:r w:rsidRPr="008F0174">
              <w:rPr>
                <w:rFonts w:ascii="Arial Narrow" w:hAnsi="Arial Narrow"/>
                <w:sz w:val="20"/>
                <w:szCs w:val="20"/>
                <w:lang w:eastAsia="en-US"/>
              </w:rPr>
              <w:br/>
              <w:t>samples from men with a clinical diagnosis of CBAVD</w:t>
            </w:r>
          </w:p>
        </w:tc>
        <w:tc>
          <w:tcPr>
            <w:tcW w:w="1040" w:type="pct"/>
          </w:tcPr>
          <w:p w14:paraId="53BC8E43" w14:textId="77777777" w:rsidR="003B239A" w:rsidRPr="008F0174" w:rsidRDefault="003B239A" w:rsidP="00D40537">
            <w:pPr>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DGGE or DHPLC and DNA sequencing confirmation</w:t>
            </w:r>
          </w:p>
        </w:tc>
        <w:tc>
          <w:tcPr>
            <w:tcW w:w="1040" w:type="pct"/>
          </w:tcPr>
          <w:p w14:paraId="03AA7769" w14:textId="00087035" w:rsidR="003B239A" w:rsidRPr="008F0174" w:rsidRDefault="003B239A" w:rsidP="00D40537">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Clinical diagnosis of CBAVD </w:t>
            </w:r>
            <w:r w:rsidR="00790DDE">
              <w:rPr>
                <w:rFonts w:ascii="Arial Narrow" w:hAnsi="Arial Narrow"/>
                <w:snapToGrid w:val="0"/>
                <w:sz w:val="20"/>
                <w:lang w:eastAsia="en-US"/>
              </w:rPr>
              <w:t xml:space="preserve">was </w:t>
            </w:r>
            <w:r w:rsidRPr="008F0174">
              <w:rPr>
                <w:rFonts w:ascii="Arial Narrow" w:hAnsi="Arial Narrow"/>
                <w:snapToGrid w:val="0"/>
                <w:sz w:val="20"/>
                <w:lang w:eastAsia="en-US"/>
              </w:rPr>
              <w:t>based on clinical examination with impalpable vas deferens</w:t>
            </w:r>
            <w:r w:rsidR="00790DDE">
              <w:rPr>
                <w:rFonts w:ascii="Arial Narrow" w:hAnsi="Arial Narrow"/>
                <w:snapToGrid w:val="0"/>
                <w:sz w:val="20"/>
                <w:lang w:eastAsia="en-US"/>
              </w:rPr>
              <w:t>.</w:t>
            </w:r>
          </w:p>
        </w:tc>
        <w:tc>
          <w:tcPr>
            <w:tcW w:w="616" w:type="pct"/>
          </w:tcPr>
          <w:p w14:paraId="3DB3AD2B" w14:textId="77777777" w:rsidR="003B239A" w:rsidRPr="008F0174" w:rsidRDefault="003B239A" w:rsidP="00D40537">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2112C87A" w14:textId="77777777" w:rsidTr="0042252D">
        <w:tc>
          <w:tcPr>
            <w:tcW w:w="559" w:type="pct"/>
          </w:tcPr>
          <w:p w14:paraId="79D7F6FE" w14:textId="3D323C1C"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Bernardino, Lima </w:t>
            </w:r>
            <w:r w:rsidR="00D40537">
              <w:rPr>
                <w:rFonts w:ascii="Arial Narrow" w:eastAsiaTheme="minorHAnsi" w:hAnsi="Arial Narrow" w:cstheme="minorHAnsi"/>
                <w:sz w:val="20"/>
                <w:szCs w:val="20"/>
                <w:lang w:eastAsia="en-US"/>
              </w:rPr>
              <w:t>&amp;</w:t>
            </w:r>
            <w:r w:rsidR="00D40537" w:rsidRPr="008F0174">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 xml:space="preserve">Zatz </w:t>
            </w:r>
            <w:r w:rsidR="005509F9">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5509F9">
              <w:rPr>
                <w:rFonts w:ascii="Arial Narrow" w:eastAsiaTheme="minorHAnsi" w:hAnsi="Arial Narrow" w:cstheme="minorHAnsi"/>
                <w:sz w:val="20"/>
                <w:szCs w:val="20"/>
                <w:lang w:eastAsia="en-US"/>
              </w:rPr>
              <w:t>)</w:t>
            </w:r>
          </w:p>
          <w:p w14:paraId="6D2B6F99"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Brazil</w:t>
            </w:r>
          </w:p>
        </w:tc>
        <w:tc>
          <w:tcPr>
            <w:tcW w:w="705" w:type="pct"/>
          </w:tcPr>
          <w:p w14:paraId="36652E34"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2AA50D6" w14:textId="77777777" w:rsidR="003B239A" w:rsidRPr="008F0174" w:rsidRDefault="003B239A" w:rsidP="00D40537">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040" w:type="pct"/>
          </w:tcPr>
          <w:p w14:paraId="3AEC1AAD" w14:textId="77777777" w:rsidR="003B239A" w:rsidRPr="008F0174" w:rsidRDefault="003B239A" w:rsidP="00D40537">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N=17 </w:t>
            </w:r>
            <w:r w:rsidRPr="008F0174">
              <w:rPr>
                <w:rFonts w:ascii="Arial Narrow" w:hAnsi="Arial Narrow"/>
                <w:sz w:val="20"/>
                <w:szCs w:val="20"/>
                <w:lang w:eastAsia="en-US"/>
              </w:rPr>
              <w:br/>
              <w:t>patients with CBAVD</w:t>
            </w:r>
          </w:p>
        </w:tc>
        <w:tc>
          <w:tcPr>
            <w:tcW w:w="1040" w:type="pct"/>
          </w:tcPr>
          <w:p w14:paraId="0EC83F22" w14:textId="77777777" w:rsidR="003B239A" w:rsidRPr="008F0174" w:rsidRDefault="003B239A" w:rsidP="00D40537">
            <w:pPr>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SSCP</w:t>
            </w:r>
            <w:r w:rsidRPr="008F0174">
              <w:rPr>
                <w:rFonts w:ascii="Arial Narrow" w:hAnsi="Arial Narrow"/>
                <w:sz w:val="20"/>
                <w:szCs w:val="20"/>
              </w:rPr>
              <w:t xml:space="preserve"> </w:t>
            </w:r>
            <w:r w:rsidRPr="008F0174">
              <w:rPr>
                <w:rFonts w:ascii="Arial Narrow" w:eastAsiaTheme="minorHAnsi" w:hAnsi="Arial Narrow"/>
                <w:sz w:val="20"/>
                <w:szCs w:val="20"/>
                <w:lang w:eastAsia="en-US"/>
              </w:rPr>
              <w:t xml:space="preserve">and DNA sequencing </w:t>
            </w:r>
            <w:r w:rsidRPr="008F0174">
              <w:rPr>
                <w:rFonts w:ascii="Arial Narrow" w:hAnsi="Arial Narrow"/>
                <w:sz w:val="20"/>
                <w:szCs w:val="20"/>
              </w:rPr>
              <w:t>confirmation</w:t>
            </w:r>
          </w:p>
        </w:tc>
        <w:tc>
          <w:tcPr>
            <w:tcW w:w="1040" w:type="pct"/>
          </w:tcPr>
          <w:p w14:paraId="332ABE7D" w14:textId="4A7F4BC2" w:rsidR="003B239A" w:rsidRPr="008F0174" w:rsidRDefault="003B239A" w:rsidP="00D40537">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Diagnosis of CBAVD was based on scrotal examination, ultrasound and semen analysis</w:t>
            </w:r>
            <w:r w:rsidR="00790DDE">
              <w:rPr>
                <w:rFonts w:ascii="Arial Narrow" w:hAnsi="Arial Narrow"/>
                <w:snapToGrid w:val="0"/>
                <w:sz w:val="20"/>
                <w:lang w:eastAsia="en-US"/>
              </w:rPr>
              <w:t>.</w:t>
            </w:r>
          </w:p>
        </w:tc>
        <w:tc>
          <w:tcPr>
            <w:tcW w:w="616" w:type="pct"/>
          </w:tcPr>
          <w:p w14:paraId="09DA91A9" w14:textId="77777777" w:rsidR="003B239A" w:rsidRPr="008F0174" w:rsidRDefault="003B239A" w:rsidP="00D40537">
            <w:pPr>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bl>
    <w:p w14:paraId="68A1C01E" w14:textId="609287F0"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t>CAVD = congenital absence of the vas deferens; CBAVD = congenital bilateral absence of the vas deferens; DGGE = denaturing gradient gel electrophoresis; DHPLC = denaturing high</w:t>
      </w:r>
      <w:r w:rsidR="00BB7B95" w:rsidRPr="001A75CA">
        <w:rPr>
          <w:rFonts w:ascii="Arial Narrow" w:hAnsi="Arial Narrow"/>
          <w:sz w:val="18"/>
          <w:szCs w:val="18"/>
        </w:rPr>
        <w:t>-</w:t>
      </w:r>
      <w:r w:rsidRPr="001A75CA">
        <w:rPr>
          <w:rFonts w:ascii="Arial Narrow" w:hAnsi="Arial Narrow"/>
          <w:sz w:val="18"/>
          <w:szCs w:val="18"/>
        </w:rPr>
        <w:t>performance liquid chromatography; DNA = deoxyribonucleic acid; mTTGE = modified temporal temperature gradient electrophoresis; SSCP = single-stranded conformation polymorphism</w:t>
      </w:r>
    </w:p>
    <w:p w14:paraId="205429E6" w14:textId="4E9E0D1F" w:rsidR="003B239A" w:rsidRDefault="003B239A" w:rsidP="00022486">
      <w:pPr>
        <w:pStyle w:val="Caption"/>
        <w:ind w:left="1134" w:hanging="1134"/>
      </w:pPr>
      <w:bookmarkStart w:id="253" w:name="_Toc418179433"/>
      <w:r>
        <w:lastRenderedPageBreak/>
        <w:t xml:space="preserve">Table </w:t>
      </w:r>
      <w:fldSimple w:instr=" SEQ Table \* ARABIC ">
        <w:r w:rsidR="00BB0E3E">
          <w:rPr>
            <w:noProof/>
          </w:rPr>
          <w:t>36</w:t>
        </w:r>
      </w:fldSimple>
      <w:r>
        <w:t xml:space="preserve"> </w:t>
      </w:r>
      <w:r>
        <w:tab/>
      </w:r>
      <w:r w:rsidRPr="00053D53">
        <w:t xml:space="preserve">Key features of the included evidence for diagnostic accuracy studies comparing </w:t>
      </w:r>
      <w:r w:rsidR="00FD37D3" w:rsidRPr="00FD37D3">
        <w:t>CFTR</w:t>
      </w:r>
      <w:r w:rsidRPr="00053D53">
        <w:t xml:space="preserve"> mutation testing with clinical</w:t>
      </w:r>
      <w:r w:rsidR="00CF0B20">
        <w:t xml:space="preserve"> diagnosis in men with CBAV</w:t>
      </w:r>
      <w:r w:rsidRPr="00053D53">
        <w:t>D</w:t>
      </w:r>
      <w:bookmarkEnd w:id="253"/>
    </w:p>
    <w:tbl>
      <w:tblPr>
        <w:tblStyle w:val="TableGrid1"/>
        <w:tblW w:w="5000" w:type="pct"/>
        <w:tblLook w:val="04A0" w:firstRow="1" w:lastRow="0" w:firstColumn="1" w:lastColumn="0" w:noHBand="0" w:noVBand="1"/>
        <w:tblCaption w:val="Key features of the included evidence for diagnostic accuracy studies comparing CFTR mutation testing with clinical diagnosis in men with CBAVD"/>
        <w:tblDescription w:val="Key features of the included evidence for diagnostic accuracy studies comparing CFTR mutation testing with clinical diagnosis in men with CBAVD"/>
      </w:tblPr>
      <w:tblGrid>
        <w:gridCol w:w="1034"/>
        <w:gridCol w:w="1303"/>
        <w:gridCol w:w="1922"/>
        <w:gridCol w:w="1922"/>
        <w:gridCol w:w="1922"/>
        <w:gridCol w:w="1139"/>
      </w:tblGrid>
      <w:tr w:rsidR="003B239A" w:rsidRPr="008F0174" w14:paraId="3D01172C"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57D81EB7"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191F3B3C" w14:textId="7075F6A0"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D0CE5">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5E301DB9" w14:textId="77777777" w:rsidR="003B239A" w:rsidRPr="008F0174" w:rsidRDefault="00541BBA" w:rsidP="001A75CA">
            <w:pPr>
              <w:keepNext/>
              <w:spacing w:after="40" w:line="240" w:lineRule="auto"/>
              <w:jc w:val="left"/>
              <w:rPr>
                <w:rFonts w:ascii="Arial Narrow" w:hAnsi="Arial Narrow"/>
                <w:b/>
                <w:snapToGrid w:val="0"/>
                <w:sz w:val="20"/>
                <w:szCs w:val="20"/>
                <w:lang w:eastAsia="en-US"/>
              </w:rPr>
            </w:pPr>
            <w:r>
              <w:rPr>
                <w:rFonts w:ascii="Arial Narrow" w:hAnsi="Arial Narrow"/>
                <w:b/>
                <w:snapToGrid w:val="0"/>
                <w:sz w:val="20"/>
                <w:szCs w:val="20"/>
                <w:lang w:eastAsia="en-US"/>
              </w:rPr>
              <w:t>P</w:t>
            </w:r>
            <w:r w:rsidR="003B239A" w:rsidRPr="008F0174">
              <w:rPr>
                <w:rFonts w:ascii="Arial Narrow" w:hAnsi="Arial Narrow"/>
                <w:b/>
                <w:snapToGrid w:val="0"/>
                <w:sz w:val="20"/>
                <w:szCs w:val="20"/>
                <w:lang w:eastAsia="en-US"/>
              </w:rPr>
              <w:t>opulation</w:t>
            </w:r>
          </w:p>
        </w:tc>
        <w:tc>
          <w:tcPr>
            <w:tcW w:w="1040" w:type="pct"/>
          </w:tcPr>
          <w:p w14:paraId="76F1337F"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1E51818E"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37E3E626"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7B0E5F59" w14:textId="77777777" w:rsidTr="0042252D">
        <w:tc>
          <w:tcPr>
            <w:tcW w:w="559" w:type="pct"/>
          </w:tcPr>
          <w:p w14:paraId="6DE2C4E1" w14:textId="2DFFAC01"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Wang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2002</w:t>
            </w:r>
            <w:r w:rsidR="00BB7B95">
              <w:rPr>
                <w:rFonts w:ascii="Arial Narrow" w:eastAsiaTheme="minorHAnsi" w:hAnsi="Arial Narrow" w:cstheme="minorHAnsi"/>
                <w:sz w:val="20"/>
                <w:szCs w:val="20"/>
                <w:lang w:eastAsia="en-US"/>
              </w:rPr>
              <w:t>)</w:t>
            </w:r>
          </w:p>
          <w:p w14:paraId="2FA7DA0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05" w:type="pct"/>
          </w:tcPr>
          <w:p w14:paraId="55644D21"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03EFDE3B"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242D3ED9" w14:textId="478F8CDD"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N=92 </w:t>
            </w:r>
            <w:r w:rsidR="00BB7B95">
              <w:rPr>
                <w:rFonts w:ascii="Arial Narrow" w:hAnsi="Arial Narrow"/>
                <w:sz w:val="20"/>
                <w:szCs w:val="20"/>
                <w:lang w:eastAsia="en-US"/>
              </w:rPr>
              <w:br/>
            </w:r>
            <w:r w:rsidRPr="008F0174">
              <w:rPr>
                <w:rFonts w:ascii="Arial Narrow" w:hAnsi="Arial Narrow"/>
                <w:sz w:val="20"/>
                <w:szCs w:val="20"/>
                <w:lang w:eastAsia="en-US"/>
              </w:rPr>
              <w:t>patients with CBAVD</w:t>
            </w:r>
          </w:p>
        </w:tc>
        <w:tc>
          <w:tcPr>
            <w:tcW w:w="1040" w:type="pct"/>
          </w:tcPr>
          <w:p w14:paraId="76D0D442" w14:textId="77777777" w:rsidR="003B239A" w:rsidRPr="008F0174" w:rsidRDefault="003B239A" w:rsidP="003D0CE5">
            <w:pPr>
              <w:keepNext/>
              <w:tabs>
                <w:tab w:val="left" w:pos="315"/>
              </w:tabs>
              <w:spacing w:after="40" w:line="240" w:lineRule="auto"/>
              <w:ind w:right="-57"/>
              <w:jc w:val="left"/>
              <w:rPr>
                <w:rFonts w:ascii="Arial Narrow" w:hAnsi="Arial Narrow"/>
                <w:sz w:val="20"/>
                <w:szCs w:val="20"/>
              </w:rPr>
            </w:pPr>
            <w:r w:rsidRPr="008F0174">
              <w:rPr>
                <w:rFonts w:ascii="Arial Narrow" w:hAnsi="Arial Narrow"/>
                <w:sz w:val="20"/>
                <w:szCs w:val="20"/>
              </w:rPr>
              <w:t>Restriction enzyme analysis (26)</w:t>
            </w:r>
          </w:p>
          <w:p w14:paraId="446BE87B" w14:textId="77777777" w:rsidR="003B239A" w:rsidRPr="008F0174" w:rsidRDefault="003B239A" w:rsidP="003D0CE5">
            <w:pPr>
              <w:keepNext/>
              <w:tabs>
                <w:tab w:val="left" w:pos="315"/>
              </w:tabs>
              <w:spacing w:after="40" w:line="240" w:lineRule="auto"/>
              <w:ind w:right="-57"/>
              <w:jc w:val="left"/>
              <w:rPr>
                <w:rFonts w:ascii="Arial Narrow" w:hAnsi="Arial Narrow"/>
                <w:sz w:val="20"/>
                <w:szCs w:val="20"/>
              </w:rPr>
            </w:pPr>
            <w:r w:rsidRPr="008F0174">
              <w:rPr>
                <w:rFonts w:ascii="Arial Narrow" w:hAnsi="Arial Narrow"/>
                <w:sz w:val="20"/>
                <w:szCs w:val="20"/>
              </w:rPr>
              <w:t>Multiplex PCR plus mass spectrometry (100)</w:t>
            </w:r>
          </w:p>
        </w:tc>
        <w:tc>
          <w:tcPr>
            <w:tcW w:w="1040" w:type="pct"/>
          </w:tcPr>
          <w:p w14:paraId="7AC27DF0" w14:textId="5329000E"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Diagnosis of CBAVD was made clinically by urologists</w:t>
            </w:r>
            <w:r w:rsidR="002D390C">
              <w:rPr>
                <w:rFonts w:ascii="Arial Narrow" w:hAnsi="Arial Narrow"/>
                <w:snapToGrid w:val="0"/>
                <w:sz w:val="20"/>
                <w:lang w:eastAsia="en-US"/>
              </w:rPr>
              <w:t>.</w:t>
            </w:r>
          </w:p>
        </w:tc>
        <w:tc>
          <w:tcPr>
            <w:tcW w:w="616" w:type="pct"/>
          </w:tcPr>
          <w:p w14:paraId="1266566D"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7F6AE1C8" w14:textId="77777777" w:rsidTr="0042252D">
        <w:tc>
          <w:tcPr>
            <w:tcW w:w="559" w:type="pct"/>
          </w:tcPr>
          <w:p w14:paraId="716CCBAC" w14:textId="0E7117A0"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Donat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1997</w:t>
            </w:r>
            <w:r w:rsidR="00BB7B95">
              <w:rPr>
                <w:rFonts w:ascii="Arial Narrow" w:eastAsiaTheme="minorHAnsi" w:hAnsi="Arial Narrow" w:cstheme="minorHAnsi"/>
                <w:sz w:val="20"/>
                <w:szCs w:val="20"/>
                <w:lang w:eastAsia="en-US"/>
              </w:rPr>
              <w:t>)</w:t>
            </w:r>
          </w:p>
          <w:p w14:paraId="75CE6683"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highlight w:val="yellow"/>
                <w:lang w:eastAsia="en-US"/>
              </w:rPr>
            </w:pPr>
            <w:r w:rsidRPr="008F0174">
              <w:rPr>
                <w:rFonts w:ascii="Arial Narrow" w:eastAsiaTheme="minorHAnsi" w:hAnsi="Arial Narrow" w:cstheme="minorHAnsi"/>
                <w:sz w:val="20"/>
                <w:szCs w:val="20"/>
                <w:lang w:eastAsia="en-US"/>
              </w:rPr>
              <w:t>UK</w:t>
            </w:r>
          </w:p>
        </w:tc>
        <w:tc>
          <w:tcPr>
            <w:tcW w:w="705" w:type="pct"/>
          </w:tcPr>
          <w:p w14:paraId="0A3FB87D"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4995417E"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7DFE4D72" w14:textId="691BDAF1"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N=30 </w:t>
            </w:r>
            <w:r w:rsidR="00BB7B95">
              <w:rPr>
                <w:rFonts w:ascii="Arial Narrow" w:hAnsi="Arial Narrow"/>
                <w:sz w:val="20"/>
                <w:szCs w:val="20"/>
                <w:lang w:eastAsia="en-US"/>
              </w:rPr>
              <w:br/>
            </w:r>
            <w:r w:rsidRPr="008F0174">
              <w:rPr>
                <w:rFonts w:ascii="Arial Narrow" w:hAnsi="Arial Narrow"/>
                <w:sz w:val="20"/>
                <w:szCs w:val="20"/>
                <w:lang w:eastAsia="en-US"/>
              </w:rPr>
              <w:t>patients with CBAVD</w:t>
            </w:r>
          </w:p>
        </w:tc>
        <w:tc>
          <w:tcPr>
            <w:tcW w:w="1040" w:type="pct"/>
          </w:tcPr>
          <w:p w14:paraId="1FEE03FB" w14:textId="77777777" w:rsidR="003B239A" w:rsidRPr="008F0174" w:rsidRDefault="003B239A" w:rsidP="003D0CE5">
            <w:pPr>
              <w:keepNext/>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Multiplex PCR with restriction enzyme analysis (14)</w:t>
            </w:r>
          </w:p>
        </w:tc>
        <w:tc>
          <w:tcPr>
            <w:tcW w:w="1040" w:type="pct"/>
          </w:tcPr>
          <w:p w14:paraId="091B6783" w14:textId="5DAD50A1" w:rsidR="003B239A" w:rsidRPr="008F0174" w:rsidRDefault="002D390C" w:rsidP="003D0CE5">
            <w:pPr>
              <w:keepNext/>
              <w:spacing w:after="40" w:line="240" w:lineRule="auto"/>
              <w:jc w:val="left"/>
              <w:rPr>
                <w:rFonts w:ascii="Arial Narrow" w:hAnsi="Arial Narrow"/>
                <w:snapToGrid w:val="0"/>
                <w:sz w:val="20"/>
                <w:lang w:eastAsia="en-US"/>
              </w:rPr>
            </w:pPr>
            <w:r>
              <w:rPr>
                <w:rFonts w:ascii="Arial Narrow" w:hAnsi="Arial Narrow"/>
                <w:snapToGrid w:val="0"/>
                <w:sz w:val="20"/>
                <w:lang w:eastAsia="en-US"/>
              </w:rPr>
              <w:t>C</w:t>
            </w:r>
            <w:r w:rsidR="003B239A" w:rsidRPr="008F0174">
              <w:rPr>
                <w:rFonts w:ascii="Arial Narrow" w:hAnsi="Arial Narrow"/>
                <w:snapToGrid w:val="0"/>
                <w:sz w:val="20"/>
                <w:lang w:eastAsia="en-US"/>
              </w:rPr>
              <w:t>linical diagnosis of CBAVD was made if azoospermia was confirmed and the vasa were impalpable</w:t>
            </w:r>
            <w:r w:rsidR="00D347D4">
              <w:rPr>
                <w:rFonts w:ascii="Arial Narrow" w:hAnsi="Arial Narrow"/>
                <w:snapToGrid w:val="0"/>
                <w:sz w:val="20"/>
                <w:lang w:eastAsia="en-US"/>
              </w:rPr>
              <w:t>.</w:t>
            </w:r>
          </w:p>
        </w:tc>
        <w:tc>
          <w:tcPr>
            <w:tcW w:w="616" w:type="pct"/>
          </w:tcPr>
          <w:p w14:paraId="7B5ED052"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35DB39DD" w14:textId="77777777" w:rsidTr="0042252D">
        <w:tc>
          <w:tcPr>
            <w:tcW w:w="559" w:type="pct"/>
          </w:tcPr>
          <w:p w14:paraId="4264A992" w14:textId="6560FF55"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Durieu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1995</w:t>
            </w:r>
            <w:r w:rsidR="00BB7B95">
              <w:rPr>
                <w:rFonts w:ascii="Arial Narrow" w:eastAsiaTheme="minorHAnsi" w:hAnsi="Arial Narrow" w:cstheme="minorHAnsi"/>
                <w:sz w:val="20"/>
                <w:szCs w:val="20"/>
                <w:lang w:eastAsia="en-US"/>
              </w:rPr>
              <w:t>)</w:t>
            </w:r>
          </w:p>
          <w:p w14:paraId="2ACA1FE1"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highlight w:val="yellow"/>
                <w:lang w:eastAsia="en-US"/>
              </w:rPr>
            </w:pPr>
            <w:r w:rsidRPr="008F0174">
              <w:rPr>
                <w:rFonts w:ascii="Arial Narrow" w:eastAsiaTheme="minorHAnsi" w:hAnsi="Arial Narrow" w:cstheme="minorHAnsi"/>
                <w:sz w:val="20"/>
                <w:szCs w:val="20"/>
                <w:lang w:eastAsia="en-US"/>
              </w:rPr>
              <w:t>France</w:t>
            </w:r>
          </w:p>
        </w:tc>
        <w:tc>
          <w:tcPr>
            <w:tcW w:w="705" w:type="pct"/>
          </w:tcPr>
          <w:p w14:paraId="2735CC6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55EFB188"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677AA2FE" w14:textId="6CAB3587"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N=14 </w:t>
            </w:r>
            <w:r w:rsidR="00BB7B95">
              <w:rPr>
                <w:rFonts w:ascii="Arial Narrow" w:hAnsi="Arial Narrow"/>
                <w:sz w:val="20"/>
                <w:szCs w:val="20"/>
                <w:lang w:eastAsia="en-US"/>
              </w:rPr>
              <w:br/>
            </w:r>
            <w:r w:rsidRPr="008F0174">
              <w:rPr>
                <w:rFonts w:ascii="Arial Narrow" w:hAnsi="Arial Narrow"/>
                <w:sz w:val="20"/>
                <w:szCs w:val="20"/>
                <w:lang w:eastAsia="en-US"/>
              </w:rPr>
              <w:t>CBAVD patients</w:t>
            </w:r>
          </w:p>
        </w:tc>
        <w:tc>
          <w:tcPr>
            <w:tcW w:w="1040" w:type="pct"/>
          </w:tcPr>
          <w:p w14:paraId="66CBDC63" w14:textId="77777777" w:rsidR="003B239A" w:rsidRPr="008F0174" w:rsidRDefault="003B239A" w:rsidP="003D0CE5">
            <w:pPr>
              <w:keepNext/>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PCR amplification with restriction enzyme or heteroduplex analysis (22)</w:t>
            </w:r>
          </w:p>
        </w:tc>
        <w:tc>
          <w:tcPr>
            <w:tcW w:w="1040" w:type="pct"/>
          </w:tcPr>
          <w:p w14:paraId="35D2B44E" w14:textId="27C7B32B" w:rsidR="003B239A" w:rsidRPr="008F0174" w:rsidRDefault="002D390C" w:rsidP="003D0CE5">
            <w:pPr>
              <w:keepNext/>
              <w:spacing w:after="40" w:line="240" w:lineRule="auto"/>
              <w:jc w:val="left"/>
              <w:rPr>
                <w:rFonts w:ascii="Arial Narrow" w:hAnsi="Arial Narrow"/>
                <w:snapToGrid w:val="0"/>
                <w:sz w:val="20"/>
                <w:lang w:eastAsia="en-US"/>
              </w:rPr>
            </w:pPr>
            <w:r>
              <w:rPr>
                <w:rFonts w:ascii="Arial Narrow" w:hAnsi="Arial Narrow"/>
                <w:snapToGrid w:val="0"/>
                <w:sz w:val="20"/>
                <w:lang w:eastAsia="en-US"/>
              </w:rPr>
              <w:t>C</w:t>
            </w:r>
            <w:r w:rsidR="003B239A" w:rsidRPr="008F0174">
              <w:rPr>
                <w:rFonts w:ascii="Arial Narrow" w:hAnsi="Arial Narrow"/>
                <w:snapToGrid w:val="0"/>
                <w:sz w:val="20"/>
                <w:lang w:eastAsia="en-US"/>
              </w:rPr>
              <w:t>linical diagnosis of CBAVD was made on azoospermia with non-palpable vas deferens</w:t>
            </w:r>
            <w:r w:rsidR="00D347D4">
              <w:rPr>
                <w:rFonts w:ascii="Arial Narrow" w:hAnsi="Arial Narrow"/>
                <w:snapToGrid w:val="0"/>
                <w:sz w:val="20"/>
                <w:lang w:eastAsia="en-US"/>
              </w:rPr>
              <w:t>.</w:t>
            </w:r>
          </w:p>
        </w:tc>
        <w:tc>
          <w:tcPr>
            <w:tcW w:w="616" w:type="pct"/>
          </w:tcPr>
          <w:p w14:paraId="6F5BF537"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0F65A3C8" w14:textId="77777777" w:rsidTr="0042252D">
        <w:tc>
          <w:tcPr>
            <w:tcW w:w="559" w:type="pct"/>
          </w:tcPr>
          <w:p w14:paraId="3647A8EE" w14:textId="3A30CAD4"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Giuliani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2010</w:t>
            </w:r>
            <w:r w:rsidR="00BB7B95">
              <w:rPr>
                <w:rFonts w:ascii="Arial Narrow" w:eastAsiaTheme="minorHAnsi" w:hAnsi="Arial Narrow" w:cstheme="minorHAnsi"/>
                <w:sz w:val="20"/>
                <w:szCs w:val="20"/>
                <w:lang w:eastAsia="en-US"/>
              </w:rPr>
              <w:t>)</w:t>
            </w:r>
          </w:p>
          <w:p w14:paraId="76287D8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5" w:type="pct"/>
          </w:tcPr>
          <w:p w14:paraId="0A64F120"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5D8311F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08544909" w14:textId="30ABBD72"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N=23 </w:t>
            </w:r>
            <w:r w:rsidR="00BB7B95">
              <w:rPr>
                <w:rFonts w:ascii="Arial Narrow" w:hAnsi="Arial Narrow"/>
                <w:sz w:val="20"/>
                <w:szCs w:val="20"/>
                <w:lang w:eastAsia="en-US"/>
              </w:rPr>
              <w:br/>
            </w:r>
            <w:r w:rsidRPr="008F0174">
              <w:rPr>
                <w:rFonts w:ascii="Arial Narrow" w:hAnsi="Arial Narrow"/>
                <w:sz w:val="20"/>
                <w:szCs w:val="20"/>
                <w:lang w:eastAsia="en-US"/>
              </w:rPr>
              <w:t>CBAVD patients</w:t>
            </w:r>
          </w:p>
        </w:tc>
        <w:tc>
          <w:tcPr>
            <w:tcW w:w="1040" w:type="pct"/>
          </w:tcPr>
          <w:p w14:paraId="248282C3" w14:textId="3F522D3B"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 xml:space="preserve">INNO-LiPA </w:t>
            </w:r>
            <w:r w:rsidR="00FD37D3" w:rsidRPr="00FD37D3">
              <w:rPr>
                <w:rFonts w:ascii="Arial Narrow" w:eastAsiaTheme="minorHAnsi" w:hAnsi="Arial Narrow"/>
                <w:sz w:val="20"/>
                <w:szCs w:val="20"/>
                <w:lang w:eastAsia="en-US"/>
              </w:rPr>
              <w:t>CFTR</w:t>
            </w:r>
            <w:r w:rsidRPr="008F0174">
              <w:rPr>
                <w:rFonts w:ascii="Arial Narrow" w:eastAsiaTheme="minorHAnsi" w:hAnsi="Arial Narrow"/>
                <w:sz w:val="20"/>
                <w:szCs w:val="20"/>
                <w:lang w:eastAsia="en-US"/>
              </w:rPr>
              <w:t>19, 17 + Tn and Italian Regional Kit reverse dot-blot hybridisation (58)</w:t>
            </w:r>
          </w:p>
        </w:tc>
        <w:tc>
          <w:tcPr>
            <w:tcW w:w="1040" w:type="pct"/>
          </w:tcPr>
          <w:p w14:paraId="3DDF37ED" w14:textId="5ED8572B"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Clinical diagnosis of CBAVD was based on azoospermia and absence of palpable vas deferens</w:t>
            </w:r>
            <w:r w:rsidR="00D347D4">
              <w:rPr>
                <w:rFonts w:ascii="Arial Narrow" w:hAnsi="Arial Narrow"/>
                <w:snapToGrid w:val="0"/>
                <w:sz w:val="20"/>
                <w:lang w:eastAsia="en-US"/>
              </w:rPr>
              <w:t>.</w:t>
            </w:r>
          </w:p>
        </w:tc>
        <w:tc>
          <w:tcPr>
            <w:tcW w:w="616" w:type="pct"/>
          </w:tcPr>
          <w:p w14:paraId="377144B5"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bl>
    <w:p w14:paraId="4948E2D5" w14:textId="33314D5E" w:rsidR="003B239A" w:rsidRPr="001A75CA" w:rsidRDefault="003B239A" w:rsidP="00A25EBB">
      <w:pPr>
        <w:keepNext/>
        <w:spacing w:before="40" w:line="240" w:lineRule="auto"/>
        <w:ind w:right="-57"/>
        <w:rPr>
          <w:rFonts w:ascii="Arial Narrow" w:hAnsi="Arial Narrow"/>
          <w:sz w:val="18"/>
          <w:szCs w:val="18"/>
        </w:rPr>
      </w:pPr>
      <w:r w:rsidRPr="001A75CA">
        <w:rPr>
          <w:rFonts w:ascii="Arial Narrow" w:hAnsi="Arial Narrow"/>
          <w:sz w:val="18"/>
          <w:szCs w:val="18"/>
        </w:rPr>
        <w:t>CBAVD = congenital bilateral absence of the vas deferens; PCR = polymerase chain reaction</w:t>
      </w:r>
    </w:p>
    <w:p w14:paraId="0C32E18B" w14:textId="242E03AF" w:rsidR="003B239A" w:rsidRDefault="003B239A" w:rsidP="00022486">
      <w:pPr>
        <w:pStyle w:val="Caption"/>
        <w:ind w:left="1134" w:hanging="1134"/>
      </w:pPr>
      <w:bookmarkStart w:id="254" w:name="_Toc418179434"/>
      <w:r>
        <w:t xml:space="preserve">Table </w:t>
      </w:r>
      <w:fldSimple w:instr=" SEQ Table \* ARABIC ">
        <w:r w:rsidR="00BB0E3E">
          <w:rPr>
            <w:noProof/>
          </w:rPr>
          <w:t>37</w:t>
        </w:r>
      </w:fldSimple>
      <w:r>
        <w:t xml:space="preserve"> </w:t>
      </w:r>
      <w:r>
        <w:tab/>
      </w:r>
      <w:r w:rsidRPr="007A3320">
        <w:t xml:space="preserve">Key features of the included evidence for diagnostic accuracy studies comparing </w:t>
      </w:r>
      <w:r w:rsidR="00FD37D3" w:rsidRPr="00FD37D3">
        <w:t>CFTR</w:t>
      </w:r>
      <w:r w:rsidRPr="007A3320">
        <w:t xml:space="preserve"> mutation testing with DNA sequencing in </w:t>
      </w:r>
      <w:r w:rsidR="00FD37D3" w:rsidRPr="00FD37D3">
        <w:t>CFTR</w:t>
      </w:r>
      <w:r w:rsidRPr="007A3320">
        <w:t xml:space="preserve"> mutation carriers</w:t>
      </w:r>
      <w:bookmarkEnd w:id="254"/>
    </w:p>
    <w:tbl>
      <w:tblPr>
        <w:tblStyle w:val="TableGrid1"/>
        <w:tblW w:w="5000" w:type="pct"/>
        <w:tblLook w:val="04A0" w:firstRow="1" w:lastRow="0" w:firstColumn="1" w:lastColumn="0" w:noHBand="0" w:noVBand="1"/>
        <w:tblCaption w:val="Key features of the included evidence for diagnostic accuracy studies comparing CFTR mutation testing with DNA sequencing in CFTR mutation carriers"/>
        <w:tblDescription w:val="Key features of the included evidence for diagnostic accuracy studies comparing CFTR mutation testing with DNA sequencing in CFTR mutation carriers"/>
      </w:tblPr>
      <w:tblGrid>
        <w:gridCol w:w="1034"/>
        <w:gridCol w:w="1305"/>
        <w:gridCol w:w="1922"/>
        <w:gridCol w:w="1922"/>
        <w:gridCol w:w="1922"/>
        <w:gridCol w:w="1137"/>
      </w:tblGrid>
      <w:tr w:rsidR="003B239A" w:rsidRPr="008F0174" w14:paraId="3B3105D2"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17035502"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6" w:type="pct"/>
          </w:tcPr>
          <w:p w14:paraId="75E0FA73" w14:textId="0571D356"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D0CE5">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52F50DFB" w14:textId="77777777" w:rsidR="003B239A" w:rsidRPr="008F0174" w:rsidRDefault="00541BBA" w:rsidP="001A75CA">
            <w:pPr>
              <w:keepNext/>
              <w:spacing w:after="40" w:line="240" w:lineRule="auto"/>
              <w:jc w:val="left"/>
              <w:rPr>
                <w:rFonts w:ascii="Arial Narrow" w:hAnsi="Arial Narrow"/>
                <w:b/>
                <w:snapToGrid w:val="0"/>
                <w:sz w:val="20"/>
                <w:szCs w:val="20"/>
                <w:lang w:eastAsia="en-US"/>
              </w:rPr>
            </w:pPr>
            <w:r>
              <w:rPr>
                <w:rFonts w:ascii="Arial Narrow" w:hAnsi="Arial Narrow"/>
                <w:b/>
                <w:snapToGrid w:val="0"/>
                <w:sz w:val="20"/>
                <w:szCs w:val="20"/>
                <w:lang w:eastAsia="en-US"/>
              </w:rPr>
              <w:t>P</w:t>
            </w:r>
            <w:r w:rsidR="003B239A" w:rsidRPr="008F0174">
              <w:rPr>
                <w:rFonts w:ascii="Arial Narrow" w:hAnsi="Arial Narrow"/>
                <w:b/>
                <w:snapToGrid w:val="0"/>
                <w:sz w:val="20"/>
                <w:szCs w:val="20"/>
                <w:lang w:eastAsia="en-US"/>
              </w:rPr>
              <w:t>opulation</w:t>
            </w:r>
          </w:p>
        </w:tc>
        <w:tc>
          <w:tcPr>
            <w:tcW w:w="1040" w:type="pct"/>
          </w:tcPr>
          <w:p w14:paraId="1E2627EF"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 (mutations detected)</w:t>
            </w:r>
          </w:p>
        </w:tc>
        <w:tc>
          <w:tcPr>
            <w:tcW w:w="1040" w:type="pct"/>
          </w:tcPr>
          <w:p w14:paraId="38D6B5D2"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5" w:type="pct"/>
          </w:tcPr>
          <w:p w14:paraId="200A0365"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2B7F9521" w14:textId="77777777" w:rsidTr="0042252D">
        <w:tc>
          <w:tcPr>
            <w:tcW w:w="559" w:type="pct"/>
          </w:tcPr>
          <w:p w14:paraId="62B911BE" w14:textId="067B3565" w:rsidR="003B239A" w:rsidRPr="008F0174" w:rsidRDefault="003B239A" w:rsidP="003D0CE5">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Tomaiuolo, Spina &amp; Castaldo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BB7B95">
              <w:rPr>
                <w:rFonts w:ascii="Arial Narrow" w:eastAsiaTheme="minorHAnsi" w:hAnsi="Arial Narrow" w:cstheme="minorHAnsi"/>
                <w:sz w:val="20"/>
                <w:szCs w:val="20"/>
                <w:lang w:eastAsia="en-US"/>
              </w:rPr>
              <w:t>)</w:t>
            </w:r>
          </w:p>
          <w:p w14:paraId="70EA98A9" w14:textId="77777777" w:rsidR="003B239A" w:rsidRPr="008F0174" w:rsidRDefault="003B239A" w:rsidP="003D0CE5">
            <w:pPr>
              <w:spacing w:after="40" w:line="240" w:lineRule="auto"/>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6" w:type="pct"/>
          </w:tcPr>
          <w:p w14:paraId="72EF8826" w14:textId="77777777" w:rsidR="003B239A" w:rsidRPr="008F0174" w:rsidRDefault="003B239A" w:rsidP="003D0CE5">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A470447" w14:textId="77777777" w:rsidR="003B239A" w:rsidRPr="008F0174" w:rsidRDefault="003B239A" w:rsidP="003D0CE5">
            <w:pPr>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417BF5FA" w14:textId="3FBC2A33" w:rsidR="003B239A" w:rsidRPr="008F0174" w:rsidRDefault="003B239A" w:rsidP="003D0CE5">
            <w:pPr>
              <w:tabs>
                <w:tab w:val="left" w:pos="1167"/>
              </w:tabs>
              <w:spacing w:after="40" w:line="240" w:lineRule="auto"/>
              <w:jc w:val="left"/>
              <w:rPr>
                <w:rFonts w:ascii="Arial Narrow" w:hAnsi="Arial Narrow"/>
                <w:sz w:val="20"/>
                <w:szCs w:val="20"/>
                <w:lang w:eastAsia="en-US"/>
              </w:rPr>
            </w:pPr>
            <w:r w:rsidRPr="008F0174">
              <w:rPr>
                <w:rFonts w:ascii="Arial Narrow" w:hAnsi="Arial Narrow"/>
                <w:sz w:val="20"/>
                <w:szCs w:val="20"/>
                <w:lang w:eastAsia="en-US"/>
              </w:rPr>
              <w:t xml:space="preserve">N=129 </w:t>
            </w:r>
            <w:r w:rsidR="00BB7B95">
              <w:rPr>
                <w:rFonts w:ascii="Arial Narrow" w:hAnsi="Arial Narrow"/>
                <w:sz w:val="20"/>
                <w:szCs w:val="20"/>
                <w:lang w:eastAsia="en-US"/>
              </w:rPr>
              <w:br/>
            </w:r>
            <w:r w:rsidRPr="008F0174">
              <w:rPr>
                <w:rFonts w:ascii="Arial Narrow" w:hAnsi="Arial Narrow"/>
                <w:sz w:val="20"/>
                <w:szCs w:val="20"/>
                <w:lang w:eastAsia="en-US"/>
              </w:rPr>
              <w:t>chromosomes from 85 DNA samples from CF subjects with known mutations</w:t>
            </w:r>
          </w:p>
        </w:tc>
        <w:tc>
          <w:tcPr>
            <w:tcW w:w="1040" w:type="pct"/>
          </w:tcPr>
          <w:p w14:paraId="4B985E06" w14:textId="77777777" w:rsidR="003B239A" w:rsidRPr="008F0174" w:rsidRDefault="003B239A" w:rsidP="003D0CE5">
            <w:pPr>
              <w:tabs>
                <w:tab w:val="left" w:pos="746"/>
              </w:tabs>
              <w:spacing w:after="40" w:line="240" w:lineRule="auto"/>
              <w:jc w:val="left"/>
              <w:rPr>
                <w:rFonts w:ascii="Arial Narrow" w:hAnsi="Arial Narrow"/>
                <w:sz w:val="20"/>
                <w:szCs w:val="20"/>
              </w:rPr>
            </w:pPr>
            <w:r w:rsidRPr="008F0174">
              <w:rPr>
                <w:rFonts w:ascii="Arial Narrow" w:hAnsi="Arial Narrow"/>
                <w:sz w:val="20"/>
                <w:szCs w:val="20"/>
              </w:rPr>
              <w:t>CF(12) ARMS kit</w:t>
            </w:r>
          </w:p>
          <w:p w14:paraId="2F5BDCBB" w14:textId="77777777" w:rsidR="003B239A" w:rsidRPr="008F0174" w:rsidRDefault="003B239A" w:rsidP="003D0CE5">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OLA PCR kit (31)</w:t>
            </w:r>
          </w:p>
          <w:p w14:paraId="722FAF86" w14:textId="77777777" w:rsidR="003B239A" w:rsidRPr="008F0174" w:rsidRDefault="003B239A" w:rsidP="003D0CE5">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ASOH dot-blot (13)</w:t>
            </w:r>
          </w:p>
          <w:p w14:paraId="2A6D8D5C" w14:textId="7AC548F4" w:rsidR="003B239A" w:rsidRPr="008F0174" w:rsidRDefault="003B239A" w:rsidP="003D0CE5">
            <w:pPr>
              <w:tabs>
                <w:tab w:val="left" w:pos="746"/>
              </w:tabs>
              <w:spacing w:after="40" w:line="240" w:lineRule="auto"/>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INNO-LiPA reverse dot</w:t>
            </w:r>
            <w:r w:rsidR="00BB7B95">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blot CF kit (30)</w:t>
            </w:r>
          </w:p>
        </w:tc>
        <w:tc>
          <w:tcPr>
            <w:tcW w:w="1040" w:type="pct"/>
          </w:tcPr>
          <w:p w14:paraId="47D4C8A1" w14:textId="0F664A3B"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 xml:space="preserve">DGGE of the whole </w:t>
            </w:r>
            <w:r w:rsidR="00FD37D3" w:rsidRPr="00FD37D3">
              <w:rPr>
                <w:rFonts w:ascii="Arial Narrow" w:hAnsi="Arial Narrow"/>
                <w:snapToGrid w:val="0"/>
                <w:sz w:val="20"/>
                <w:lang w:eastAsia="en-US"/>
              </w:rPr>
              <w:t>CFTR</w:t>
            </w:r>
            <w:r w:rsidRPr="008F0174">
              <w:rPr>
                <w:rFonts w:ascii="Arial Narrow" w:hAnsi="Arial Narrow"/>
                <w:snapToGrid w:val="0"/>
                <w:sz w:val="20"/>
                <w:lang w:eastAsia="en-US"/>
              </w:rPr>
              <w:t xml:space="preserve"> coding region followed by DNA sequencing confirmation </w:t>
            </w:r>
          </w:p>
        </w:tc>
        <w:tc>
          <w:tcPr>
            <w:tcW w:w="615" w:type="pct"/>
          </w:tcPr>
          <w:p w14:paraId="4921A9E5" w14:textId="77777777"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Sensitivity</w:t>
            </w:r>
          </w:p>
        </w:tc>
      </w:tr>
    </w:tbl>
    <w:p w14:paraId="5888CBC8" w14:textId="7D8CBA1D" w:rsidR="003B239A" w:rsidRPr="001A75CA" w:rsidRDefault="003B239A" w:rsidP="001A75CA">
      <w:pPr>
        <w:spacing w:before="40" w:line="240" w:lineRule="auto"/>
        <w:ind w:right="-57"/>
        <w:jc w:val="left"/>
        <w:rPr>
          <w:rFonts w:ascii="Arial Narrow" w:hAnsi="Arial Narrow"/>
          <w:sz w:val="18"/>
          <w:szCs w:val="18"/>
        </w:rPr>
      </w:pPr>
      <w:r w:rsidRPr="001A75CA">
        <w:rPr>
          <w:rFonts w:ascii="Arial Narrow" w:hAnsi="Arial Narrow"/>
          <w:sz w:val="18"/>
          <w:szCs w:val="18"/>
        </w:rPr>
        <w:t xml:space="preserve">ARMS = amplification refractory mutation system; ASOH = allele-specific oligonucleotide hybridisation; CF = cystic fibrosis; </w:t>
      </w:r>
      <w:r w:rsidR="00FD37D3" w:rsidRPr="001A75CA">
        <w:rPr>
          <w:rFonts w:ascii="Arial Narrow" w:hAnsi="Arial Narrow"/>
          <w:sz w:val="18"/>
          <w:szCs w:val="18"/>
        </w:rPr>
        <w:t>CFTR</w:t>
      </w:r>
      <w:r w:rsidRPr="001A75CA">
        <w:rPr>
          <w:rFonts w:ascii="Arial Narrow" w:hAnsi="Arial Narrow"/>
          <w:sz w:val="18"/>
          <w:szCs w:val="18"/>
        </w:rPr>
        <w:t xml:space="preserve"> = cystic fibrosis transmembrane conductance regulator; DGGE = denaturing gradient gel electrophoresis; DNA = deoxyribonucleic acid; OLA = oligonucleotide ligation assay; PCR = polymerase chain reaction</w:t>
      </w:r>
    </w:p>
    <w:p w14:paraId="12FEABB9" w14:textId="758542EB" w:rsidR="003B239A" w:rsidRDefault="003B239A" w:rsidP="00022486">
      <w:pPr>
        <w:pStyle w:val="Caption"/>
        <w:ind w:left="1134" w:hanging="1134"/>
      </w:pPr>
      <w:bookmarkStart w:id="255" w:name="_Toc418179435"/>
      <w:r>
        <w:lastRenderedPageBreak/>
        <w:t xml:space="preserve">Table </w:t>
      </w:r>
      <w:fldSimple w:instr=" SEQ Table \* ARABIC ">
        <w:r w:rsidR="00BB0E3E">
          <w:rPr>
            <w:noProof/>
          </w:rPr>
          <w:t>38</w:t>
        </w:r>
      </w:fldSimple>
      <w:r>
        <w:t xml:space="preserve"> </w:t>
      </w:r>
      <w:r>
        <w:tab/>
      </w:r>
      <w:r w:rsidRPr="00392342">
        <w:t xml:space="preserve">Key features of the included evidence for diagnostic accuracy studies comparing </w:t>
      </w:r>
      <w:r w:rsidR="00FD37D3" w:rsidRPr="00FD37D3">
        <w:t>CFTR</w:t>
      </w:r>
      <w:r w:rsidRPr="00392342">
        <w:t xml:space="preserve"> mutation testing with clinical diagnosis in fetuses with carrier parents</w:t>
      </w:r>
      <w:bookmarkEnd w:id="255"/>
    </w:p>
    <w:tbl>
      <w:tblPr>
        <w:tblStyle w:val="TableGrid1"/>
        <w:tblW w:w="5000" w:type="pct"/>
        <w:tblLook w:val="04A0" w:firstRow="1" w:lastRow="0" w:firstColumn="1" w:lastColumn="0" w:noHBand="0" w:noVBand="1"/>
        <w:tblCaption w:val="Key features of the included evidence for diagnostic accuracy studies comparing CFTR mutation testing with clinical diagnosis in fetuses with carrier parents"/>
        <w:tblDescription w:val="Key features of the included evidence for diagnostic accuracy studies comparing CFTR mutation testing with clinical diagnosis in fetuses with carrier parents"/>
      </w:tblPr>
      <w:tblGrid>
        <w:gridCol w:w="1034"/>
        <w:gridCol w:w="1303"/>
        <w:gridCol w:w="1922"/>
        <w:gridCol w:w="1922"/>
        <w:gridCol w:w="1922"/>
        <w:gridCol w:w="1139"/>
      </w:tblGrid>
      <w:tr w:rsidR="003B239A" w:rsidRPr="008F0174" w14:paraId="2288A314"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4F0E998B"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7E255251" w14:textId="1ACCE5F2"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D0CE5">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78D3F20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Patient population</w:t>
            </w:r>
          </w:p>
        </w:tc>
        <w:tc>
          <w:tcPr>
            <w:tcW w:w="1040" w:type="pct"/>
          </w:tcPr>
          <w:p w14:paraId="75F9A3AD" w14:textId="77777777"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w:t>
            </w:r>
          </w:p>
        </w:tc>
        <w:tc>
          <w:tcPr>
            <w:tcW w:w="1040" w:type="pct"/>
          </w:tcPr>
          <w:p w14:paraId="050924A7"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4ACFD76F"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2265F3A6" w14:textId="77777777" w:rsidTr="0042252D">
        <w:tc>
          <w:tcPr>
            <w:tcW w:w="559" w:type="pct"/>
          </w:tcPr>
          <w:p w14:paraId="6EE5035D" w14:textId="1191EB7B"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Kanavakis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BB7B95">
              <w:rPr>
                <w:rFonts w:ascii="Arial Narrow" w:eastAsiaTheme="minorHAnsi" w:hAnsi="Arial Narrow" w:cstheme="minorHAnsi"/>
                <w:sz w:val="20"/>
                <w:szCs w:val="20"/>
                <w:lang w:eastAsia="en-US"/>
              </w:rPr>
              <w:t>)</w:t>
            </w:r>
          </w:p>
          <w:p w14:paraId="62BF0377"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Greece</w:t>
            </w:r>
          </w:p>
        </w:tc>
        <w:tc>
          <w:tcPr>
            <w:tcW w:w="705" w:type="pct"/>
          </w:tcPr>
          <w:p w14:paraId="54F4CFA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4ECF61A8"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04E24D04" w14:textId="6D956670" w:rsidR="003B239A" w:rsidRPr="008F0174" w:rsidRDefault="003B239A" w:rsidP="003D0CE5">
            <w:pPr>
              <w:keepNext/>
              <w:tabs>
                <w:tab w:val="left" w:pos="89"/>
              </w:tabs>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N=115 </w:t>
            </w:r>
            <w:r w:rsidR="00BB7B95">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fetus samples from carrier parents</w:t>
            </w:r>
          </w:p>
        </w:tc>
        <w:tc>
          <w:tcPr>
            <w:tcW w:w="1040" w:type="pct"/>
          </w:tcPr>
          <w:p w14:paraId="78B143E7" w14:textId="419E2EAF" w:rsidR="003B239A" w:rsidRPr="008F0174" w:rsidRDefault="003B239A" w:rsidP="003D0CE5">
            <w:pPr>
              <w:keepNext/>
              <w:tabs>
                <w:tab w:val="left" w:pos="746"/>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DGGE and PCR</w:t>
            </w:r>
            <w:r w:rsidR="00BB7B95">
              <w:rPr>
                <w:rFonts w:ascii="Arial Narrow" w:eastAsiaTheme="minorHAnsi" w:hAnsi="Arial Narrow"/>
                <w:sz w:val="20"/>
                <w:szCs w:val="20"/>
                <w:lang w:eastAsia="en-US"/>
              </w:rPr>
              <w:t>-</w:t>
            </w:r>
            <w:r w:rsidRPr="008F0174">
              <w:rPr>
                <w:rFonts w:ascii="Arial Narrow" w:eastAsiaTheme="minorHAnsi" w:hAnsi="Arial Narrow"/>
                <w:sz w:val="20"/>
                <w:szCs w:val="20"/>
                <w:lang w:eastAsia="en-US"/>
              </w:rPr>
              <w:t>mediated site-directed mutagenesis</w:t>
            </w:r>
          </w:p>
        </w:tc>
        <w:tc>
          <w:tcPr>
            <w:tcW w:w="1040" w:type="pct"/>
          </w:tcPr>
          <w:p w14:paraId="4386F0A0" w14:textId="77777777"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Clinical diagnosis of child after birth</w:t>
            </w:r>
          </w:p>
        </w:tc>
        <w:tc>
          <w:tcPr>
            <w:tcW w:w="616" w:type="pct"/>
          </w:tcPr>
          <w:p w14:paraId="2AC9FFC5"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03AEE7CE" w14:textId="77777777" w:rsidTr="0042252D">
        <w:tc>
          <w:tcPr>
            <w:tcW w:w="559" w:type="pct"/>
          </w:tcPr>
          <w:p w14:paraId="3C40DAEE" w14:textId="6F2B7750"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Collazo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2014</w:t>
            </w:r>
            <w:r w:rsidR="00BB7B95">
              <w:rPr>
                <w:rFonts w:ascii="Arial Narrow" w:eastAsiaTheme="minorHAnsi" w:hAnsi="Arial Narrow" w:cstheme="minorHAnsi"/>
                <w:sz w:val="20"/>
                <w:szCs w:val="20"/>
                <w:lang w:eastAsia="en-US"/>
              </w:rPr>
              <w:t>)</w:t>
            </w:r>
          </w:p>
          <w:p w14:paraId="1F1BBC1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Cuba</w:t>
            </w:r>
          </w:p>
        </w:tc>
        <w:tc>
          <w:tcPr>
            <w:tcW w:w="705" w:type="pct"/>
          </w:tcPr>
          <w:p w14:paraId="060ACFB1"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67CE61E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738F12B7" w14:textId="1787D6D1"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Arial Narrow"/>
                <w:sz w:val="20"/>
                <w:szCs w:val="20"/>
                <w:lang w:eastAsia="en-US"/>
              </w:rPr>
              <w:t xml:space="preserve">N=72/108 </w:t>
            </w:r>
            <w:r w:rsidR="00BB7B95">
              <w:rPr>
                <w:rFonts w:ascii="Arial Narrow" w:eastAsiaTheme="minorHAnsi" w:hAnsi="Arial Narrow" w:cs="Arial Narrow"/>
                <w:sz w:val="20"/>
                <w:szCs w:val="20"/>
                <w:lang w:eastAsia="en-US"/>
              </w:rPr>
              <w:br/>
            </w:r>
            <w:r w:rsidRPr="008F0174">
              <w:rPr>
                <w:rFonts w:ascii="Arial Narrow" w:eastAsiaTheme="minorHAnsi" w:hAnsi="Arial Narrow" w:cs="Arial Narrow"/>
                <w:sz w:val="20"/>
                <w:szCs w:val="20"/>
                <w:lang w:eastAsia="en-US"/>
              </w:rPr>
              <w:t xml:space="preserve">fetus samples from </w:t>
            </w:r>
            <w:r w:rsidRPr="008F0174">
              <w:rPr>
                <w:rFonts w:ascii="Arial Narrow" w:eastAsiaTheme="minorHAnsi" w:hAnsi="Arial Narrow" w:cstheme="minorHAnsi"/>
                <w:sz w:val="20"/>
                <w:szCs w:val="20"/>
                <w:lang w:eastAsia="en-US"/>
              </w:rPr>
              <w:t>couples with some risk of having a child affected by CF</w:t>
            </w:r>
          </w:p>
        </w:tc>
        <w:tc>
          <w:tcPr>
            <w:tcW w:w="1040" w:type="pct"/>
          </w:tcPr>
          <w:p w14:paraId="52CDE5F9" w14:textId="77777777" w:rsidR="003B239A" w:rsidRPr="008F0174" w:rsidRDefault="003B239A" w:rsidP="003D0CE5">
            <w:pPr>
              <w:keepNext/>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ARMS and PCR-based restriction enzyme analysis</w:t>
            </w:r>
          </w:p>
        </w:tc>
        <w:tc>
          <w:tcPr>
            <w:tcW w:w="1040" w:type="pct"/>
          </w:tcPr>
          <w:p w14:paraId="3FFC6616" w14:textId="77777777" w:rsidR="003B239A" w:rsidRPr="008F0174" w:rsidRDefault="003B239A" w:rsidP="003D0CE5">
            <w:pPr>
              <w:keepNext/>
              <w:spacing w:after="40" w:line="240" w:lineRule="auto"/>
              <w:jc w:val="left"/>
              <w:rPr>
                <w:rFonts w:ascii="Arial Narrow" w:hAnsi="Arial Narrow"/>
                <w:snapToGrid w:val="0"/>
                <w:sz w:val="20"/>
                <w:lang w:eastAsia="en-US"/>
              </w:rPr>
            </w:pPr>
          </w:p>
        </w:tc>
        <w:tc>
          <w:tcPr>
            <w:tcW w:w="616" w:type="pct"/>
          </w:tcPr>
          <w:p w14:paraId="50E531A8"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Sensitivity</w:t>
            </w:r>
          </w:p>
        </w:tc>
      </w:tr>
      <w:tr w:rsidR="003B239A" w:rsidRPr="008F0174" w14:paraId="2CBBCDF4" w14:textId="77777777" w:rsidTr="0042252D">
        <w:tc>
          <w:tcPr>
            <w:tcW w:w="559" w:type="pct"/>
          </w:tcPr>
          <w:p w14:paraId="67FF8148" w14:textId="6C71CB22"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Castaldo et al.</w:t>
            </w:r>
            <w:r w:rsidR="00BB7B95">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2000</w:t>
            </w:r>
            <w:r w:rsidR="00BB7B95">
              <w:rPr>
                <w:rFonts w:ascii="Arial Narrow" w:eastAsiaTheme="minorHAnsi" w:hAnsi="Arial Narrow" w:cstheme="minorHAnsi"/>
                <w:sz w:val="20"/>
                <w:szCs w:val="20"/>
                <w:lang w:eastAsia="en-US"/>
              </w:rPr>
              <w:t>)</w:t>
            </w:r>
          </w:p>
          <w:p w14:paraId="500F90E1"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Italy</w:t>
            </w:r>
          </w:p>
        </w:tc>
        <w:tc>
          <w:tcPr>
            <w:tcW w:w="705" w:type="pct"/>
          </w:tcPr>
          <w:p w14:paraId="0035ECE5"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2FCDC8E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04A16393" w14:textId="3D4876A9" w:rsidR="003B239A" w:rsidRPr="008F0174" w:rsidRDefault="003B239A" w:rsidP="00D347D4">
            <w:pPr>
              <w:keepNext/>
              <w:spacing w:after="40" w:line="240" w:lineRule="auto"/>
              <w:ind w:right="-57"/>
              <w:jc w:val="left"/>
              <w:rPr>
                <w:rFonts w:ascii="Arial Narrow" w:eastAsiaTheme="minorHAnsi" w:hAnsi="Arial Narrow" w:cs="Arial Narrow"/>
                <w:sz w:val="20"/>
                <w:szCs w:val="20"/>
                <w:lang w:eastAsia="en-US"/>
              </w:rPr>
            </w:pPr>
            <w:r w:rsidRPr="008F0174">
              <w:rPr>
                <w:rFonts w:ascii="Arial Narrow" w:eastAsiaTheme="minorHAnsi" w:hAnsi="Arial Narrow" w:cs="Arial Narrow"/>
                <w:sz w:val="20"/>
                <w:szCs w:val="20"/>
                <w:lang w:eastAsia="en-US"/>
              </w:rPr>
              <w:t xml:space="preserve">N=33 </w:t>
            </w:r>
            <w:r w:rsidR="00BB7B95">
              <w:rPr>
                <w:rFonts w:ascii="Arial Narrow" w:eastAsiaTheme="minorHAnsi" w:hAnsi="Arial Narrow" w:cs="Arial Narrow"/>
                <w:sz w:val="20"/>
                <w:szCs w:val="20"/>
                <w:lang w:eastAsia="en-US"/>
              </w:rPr>
              <w:br/>
            </w:r>
            <w:r w:rsidRPr="008F0174">
              <w:rPr>
                <w:rFonts w:ascii="Arial Narrow" w:eastAsiaTheme="minorHAnsi" w:hAnsi="Arial Narrow" w:cs="Arial Narrow"/>
                <w:sz w:val="20"/>
                <w:szCs w:val="20"/>
                <w:lang w:eastAsia="en-US"/>
              </w:rPr>
              <w:t>fetus samples from 32 high</w:t>
            </w:r>
            <w:r w:rsidR="00BB7B95">
              <w:rPr>
                <w:rFonts w:ascii="Arial Narrow" w:eastAsiaTheme="minorHAnsi" w:hAnsi="Arial Narrow" w:cs="Arial Narrow"/>
                <w:sz w:val="20"/>
                <w:szCs w:val="20"/>
                <w:lang w:eastAsia="en-US"/>
              </w:rPr>
              <w:t>-</w:t>
            </w:r>
            <w:r w:rsidRPr="008F0174">
              <w:rPr>
                <w:rFonts w:ascii="Arial Narrow" w:eastAsiaTheme="minorHAnsi" w:hAnsi="Arial Narrow" w:cs="Arial Narrow"/>
                <w:sz w:val="20"/>
                <w:szCs w:val="20"/>
                <w:lang w:eastAsia="en-US"/>
              </w:rPr>
              <w:t>risk couples (</w:t>
            </w:r>
            <w:r w:rsidR="00D347D4">
              <w:rPr>
                <w:rFonts w:ascii="Arial Narrow" w:eastAsiaTheme="minorHAnsi" w:hAnsi="Arial Narrow" w:cs="Arial Narrow"/>
                <w:sz w:val="20"/>
                <w:szCs w:val="20"/>
                <w:lang w:eastAsia="en-US"/>
              </w:rPr>
              <w:t>1</w:t>
            </w:r>
            <w:r w:rsidR="00D347D4" w:rsidRPr="008F0174">
              <w:rPr>
                <w:rFonts w:ascii="Arial Narrow" w:eastAsiaTheme="minorHAnsi" w:hAnsi="Arial Narrow" w:cs="Arial Narrow"/>
                <w:sz w:val="20"/>
                <w:szCs w:val="20"/>
                <w:lang w:eastAsia="en-US"/>
              </w:rPr>
              <w:t xml:space="preserve"> </w:t>
            </w:r>
            <w:r w:rsidRPr="008F0174">
              <w:rPr>
                <w:rFonts w:ascii="Arial Narrow" w:eastAsiaTheme="minorHAnsi" w:hAnsi="Arial Narrow" w:cs="Arial Narrow"/>
                <w:sz w:val="20"/>
                <w:szCs w:val="20"/>
                <w:lang w:eastAsia="en-US"/>
              </w:rPr>
              <w:t>dizygotic twin pregnancy)</w:t>
            </w:r>
          </w:p>
        </w:tc>
        <w:tc>
          <w:tcPr>
            <w:tcW w:w="1040" w:type="pct"/>
          </w:tcPr>
          <w:p w14:paraId="3E75A07F" w14:textId="77777777" w:rsidR="003B239A" w:rsidRPr="008F0174" w:rsidRDefault="003B239A" w:rsidP="003D0CE5">
            <w:pPr>
              <w:keepNext/>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ASOH and STR genotyping</w:t>
            </w:r>
          </w:p>
        </w:tc>
        <w:tc>
          <w:tcPr>
            <w:tcW w:w="1040" w:type="pct"/>
          </w:tcPr>
          <w:p w14:paraId="419AF46A" w14:textId="77777777"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No reference standard</w:t>
            </w:r>
          </w:p>
        </w:tc>
        <w:tc>
          <w:tcPr>
            <w:tcW w:w="616" w:type="pct"/>
          </w:tcPr>
          <w:p w14:paraId="709F5CE6"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Yield</w:t>
            </w:r>
          </w:p>
        </w:tc>
      </w:tr>
      <w:tr w:rsidR="003B239A" w:rsidRPr="008F0174" w14:paraId="1F144C0F" w14:textId="77777777" w:rsidTr="0042252D">
        <w:tc>
          <w:tcPr>
            <w:tcW w:w="559" w:type="pct"/>
          </w:tcPr>
          <w:p w14:paraId="3BD8E0C8" w14:textId="7E559AA8"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Saker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2006</w:t>
            </w:r>
            <w:r w:rsidR="00BB7B95">
              <w:rPr>
                <w:rFonts w:ascii="Arial Narrow" w:eastAsiaTheme="minorHAnsi" w:hAnsi="Arial Narrow" w:cstheme="minorHAnsi"/>
                <w:sz w:val="20"/>
                <w:szCs w:val="20"/>
                <w:lang w:eastAsia="en-US"/>
              </w:rPr>
              <w:t>)</w:t>
            </w:r>
          </w:p>
          <w:p w14:paraId="0A343C04"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France</w:t>
            </w:r>
          </w:p>
        </w:tc>
        <w:tc>
          <w:tcPr>
            <w:tcW w:w="705" w:type="pct"/>
          </w:tcPr>
          <w:p w14:paraId="10EF1363"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3EC77DB4"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Some risk of bias</w:t>
            </w:r>
          </w:p>
        </w:tc>
        <w:tc>
          <w:tcPr>
            <w:tcW w:w="1040" w:type="pct"/>
          </w:tcPr>
          <w:p w14:paraId="062E39D6" w14:textId="72FDEFBD"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N=12 </w:t>
            </w:r>
            <w:r w:rsidR="00BB7B95">
              <w:rPr>
                <w:rFonts w:ascii="Arial Narrow" w:hAnsi="Arial Narrow"/>
                <w:sz w:val="20"/>
                <w:szCs w:val="20"/>
                <w:lang w:eastAsia="en-US"/>
              </w:rPr>
              <w:br/>
            </w:r>
            <w:r w:rsidRPr="008F0174">
              <w:rPr>
                <w:rFonts w:ascii="Arial Narrow" w:hAnsi="Arial Narrow"/>
                <w:sz w:val="20"/>
                <w:szCs w:val="20"/>
                <w:lang w:eastAsia="en-US"/>
              </w:rPr>
              <w:t>fetus samples from carrier couples</w:t>
            </w:r>
          </w:p>
        </w:tc>
        <w:tc>
          <w:tcPr>
            <w:tcW w:w="1040" w:type="pct"/>
          </w:tcPr>
          <w:p w14:paraId="366D793F" w14:textId="77777777" w:rsidR="003B239A" w:rsidRPr="008F0174" w:rsidRDefault="003B239A" w:rsidP="003D0CE5">
            <w:pPr>
              <w:keepNext/>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PCR and STR genotyping</w:t>
            </w:r>
          </w:p>
        </w:tc>
        <w:tc>
          <w:tcPr>
            <w:tcW w:w="1040" w:type="pct"/>
          </w:tcPr>
          <w:p w14:paraId="20D129B3" w14:textId="77777777"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No reference standard</w:t>
            </w:r>
          </w:p>
        </w:tc>
        <w:tc>
          <w:tcPr>
            <w:tcW w:w="616" w:type="pct"/>
          </w:tcPr>
          <w:p w14:paraId="13397A44"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Yield</w:t>
            </w:r>
          </w:p>
        </w:tc>
      </w:tr>
    </w:tbl>
    <w:p w14:paraId="68B6AE9E" w14:textId="1FFD0F35" w:rsidR="003B239A" w:rsidRPr="00B84351" w:rsidRDefault="003B239A" w:rsidP="001A75CA">
      <w:pPr>
        <w:keepNext/>
        <w:widowControl w:val="0"/>
        <w:spacing w:line="240" w:lineRule="auto"/>
        <w:jc w:val="left"/>
        <w:rPr>
          <w:rFonts w:ascii="Arial Narrow" w:hAnsi="Arial Narrow" w:cs="Arial"/>
          <w:snapToGrid w:val="0"/>
          <w:sz w:val="18"/>
          <w:szCs w:val="18"/>
          <w:lang w:eastAsia="en-US"/>
        </w:rPr>
      </w:pPr>
      <w:r w:rsidRPr="001A75CA">
        <w:rPr>
          <w:rFonts w:ascii="Arial Narrow" w:hAnsi="Arial Narrow"/>
          <w:sz w:val="18"/>
          <w:szCs w:val="18"/>
        </w:rPr>
        <w:t>ARMS = amplification refractory mutation system; ASOH = allele-specific oligonucleotide hybridisation; CF = cystic fibrosis; DGGE = denaturing gradient gel electrophoresis; PCR = polymerase chain reaction; STR = short tandem repeats</w:t>
      </w:r>
    </w:p>
    <w:p w14:paraId="4355D511" w14:textId="13B8BE8A" w:rsidR="003B239A" w:rsidRDefault="003B239A" w:rsidP="00022486">
      <w:pPr>
        <w:pStyle w:val="Caption"/>
        <w:ind w:left="1134" w:hanging="1134"/>
      </w:pPr>
      <w:bookmarkStart w:id="256" w:name="_Toc418179436"/>
      <w:r>
        <w:t xml:space="preserve">Table </w:t>
      </w:r>
      <w:fldSimple w:instr=" SEQ Table \* ARABIC ">
        <w:r w:rsidR="00BB0E3E">
          <w:rPr>
            <w:noProof/>
          </w:rPr>
          <w:t>39</w:t>
        </w:r>
      </w:fldSimple>
      <w:r>
        <w:t xml:space="preserve"> </w:t>
      </w:r>
      <w:r>
        <w:tab/>
      </w:r>
      <w:r w:rsidRPr="00E75B77">
        <w:t xml:space="preserve">Key features of the included evidence for diagnostic accuracy studies comparing </w:t>
      </w:r>
      <w:r w:rsidR="00FD37D3" w:rsidRPr="00FD37D3">
        <w:t>CFTR</w:t>
      </w:r>
      <w:r w:rsidRPr="00E75B77">
        <w:t xml:space="preserve"> mutation testing with clinical diagnosis in fetuses with FEB</w:t>
      </w:r>
      <w:bookmarkEnd w:id="256"/>
    </w:p>
    <w:tbl>
      <w:tblPr>
        <w:tblStyle w:val="TableGrid1"/>
        <w:tblW w:w="5000" w:type="pct"/>
        <w:tblLook w:val="04A0" w:firstRow="1" w:lastRow="0" w:firstColumn="1" w:lastColumn="0" w:noHBand="0" w:noVBand="1"/>
        <w:tblCaption w:val="Key features of the included evidence for diagnostic accuracy studies comparing CFTR mutation testing with clinical diagnosis in fetuses with FEB"/>
        <w:tblDescription w:val="Key features of the included evidence for diagnostic accuracy studies comparing CFTR mutation testing with clinical diagnosis in fetuses with FEB"/>
      </w:tblPr>
      <w:tblGrid>
        <w:gridCol w:w="1034"/>
        <w:gridCol w:w="1303"/>
        <w:gridCol w:w="1922"/>
        <w:gridCol w:w="1922"/>
        <w:gridCol w:w="1922"/>
        <w:gridCol w:w="1139"/>
      </w:tblGrid>
      <w:tr w:rsidR="003B239A" w:rsidRPr="008F0174" w14:paraId="765753F4"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4EDBB5B5"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05" w:type="pct"/>
          </w:tcPr>
          <w:p w14:paraId="5DD6B3FF" w14:textId="4A3D279D"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D0CE5">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040" w:type="pct"/>
          </w:tcPr>
          <w:p w14:paraId="10C43646"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Patient population</w:t>
            </w:r>
          </w:p>
        </w:tc>
        <w:tc>
          <w:tcPr>
            <w:tcW w:w="1040" w:type="pct"/>
          </w:tcPr>
          <w:p w14:paraId="5262DFD7" w14:textId="77777777"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Index test</w:t>
            </w:r>
          </w:p>
        </w:tc>
        <w:tc>
          <w:tcPr>
            <w:tcW w:w="1040" w:type="pct"/>
          </w:tcPr>
          <w:p w14:paraId="36320EBA"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Reference standard</w:t>
            </w:r>
          </w:p>
        </w:tc>
        <w:tc>
          <w:tcPr>
            <w:tcW w:w="616" w:type="pct"/>
          </w:tcPr>
          <w:p w14:paraId="396BC452"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16743FEC" w14:textId="77777777" w:rsidTr="0042252D">
        <w:tc>
          <w:tcPr>
            <w:tcW w:w="559" w:type="pct"/>
          </w:tcPr>
          <w:p w14:paraId="0F3CB380" w14:textId="1FC3A1CA"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Kanavakis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BB7B95">
              <w:rPr>
                <w:rFonts w:ascii="Arial Narrow" w:eastAsiaTheme="minorHAnsi" w:hAnsi="Arial Narrow" w:cstheme="minorHAnsi"/>
                <w:sz w:val="20"/>
                <w:szCs w:val="20"/>
                <w:lang w:eastAsia="en-US"/>
              </w:rPr>
              <w:t>)</w:t>
            </w:r>
          </w:p>
          <w:p w14:paraId="26BEF2B8"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Greece</w:t>
            </w:r>
          </w:p>
        </w:tc>
        <w:tc>
          <w:tcPr>
            <w:tcW w:w="705" w:type="pct"/>
          </w:tcPr>
          <w:p w14:paraId="06723FAF"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6801D0F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040" w:type="pct"/>
          </w:tcPr>
          <w:p w14:paraId="28B9D2D8" w14:textId="2F227410" w:rsidR="003B239A" w:rsidRPr="008F0174" w:rsidRDefault="003B239A" w:rsidP="003D0CE5">
            <w:pPr>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N=49 </w:t>
            </w:r>
            <w:r w:rsidR="00BB7B95">
              <w:rPr>
                <w:rFonts w:ascii="Arial Narrow" w:hAnsi="Arial Narrow"/>
                <w:sz w:val="20"/>
                <w:szCs w:val="20"/>
                <w:lang w:eastAsia="en-US"/>
              </w:rPr>
              <w:br/>
            </w:r>
            <w:r w:rsidRPr="008F0174">
              <w:rPr>
                <w:rFonts w:ascii="Arial Narrow" w:hAnsi="Arial Narrow"/>
                <w:sz w:val="20"/>
                <w:szCs w:val="20"/>
                <w:lang w:eastAsia="en-US"/>
              </w:rPr>
              <w:t>fetus samples for FEB detected by ultrasound</w:t>
            </w:r>
          </w:p>
        </w:tc>
        <w:tc>
          <w:tcPr>
            <w:tcW w:w="1040" w:type="pct"/>
          </w:tcPr>
          <w:p w14:paraId="7BDA76C4" w14:textId="77777777" w:rsidR="003B239A" w:rsidRPr="008F0174" w:rsidRDefault="003B239A" w:rsidP="003D0CE5">
            <w:pPr>
              <w:tabs>
                <w:tab w:val="left" w:pos="315"/>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DGGE and DNA sequencing confirmation</w:t>
            </w:r>
          </w:p>
        </w:tc>
        <w:tc>
          <w:tcPr>
            <w:tcW w:w="1040" w:type="pct"/>
          </w:tcPr>
          <w:p w14:paraId="070B364B" w14:textId="77777777" w:rsidR="003B239A" w:rsidRPr="008F0174" w:rsidRDefault="003B239A" w:rsidP="003D0CE5">
            <w:pPr>
              <w:keepNext/>
              <w:spacing w:after="40" w:line="240" w:lineRule="auto"/>
              <w:jc w:val="left"/>
              <w:rPr>
                <w:rFonts w:ascii="Arial Narrow" w:hAnsi="Arial Narrow"/>
                <w:snapToGrid w:val="0"/>
                <w:sz w:val="20"/>
                <w:lang w:eastAsia="en-US"/>
              </w:rPr>
            </w:pPr>
            <w:r w:rsidRPr="008F0174">
              <w:rPr>
                <w:rFonts w:ascii="Arial Narrow" w:hAnsi="Arial Narrow"/>
                <w:snapToGrid w:val="0"/>
                <w:sz w:val="20"/>
                <w:lang w:eastAsia="en-US"/>
              </w:rPr>
              <w:t>No reference standard</w:t>
            </w:r>
          </w:p>
        </w:tc>
        <w:tc>
          <w:tcPr>
            <w:tcW w:w="616" w:type="pct"/>
          </w:tcPr>
          <w:p w14:paraId="542E7CBD" w14:textId="77777777" w:rsidR="003B239A" w:rsidRPr="008F0174" w:rsidRDefault="003B239A" w:rsidP="003D0CE5">
            <w:pPr>
              <w:spacing w:after="40" w:line="240" w:lineRule="auto"/>
              <w:ind w:right="-57"/>
              <w:jc w:val="left"/>
              <w:rPr>
                <w:rFonts w:ascii="Arial Narrow" w:hAnsi="Arial Narrow"/>
                <w:sz w:val="20"/>
                <w:szCs w:val="20"/>
              </w:rPr>
            </w:pPr>
            <w:r w:rsidRPr="008F0174">
              <w:rPr>
                <w:rFonts w:ascii="Arial Narrow" w:hAnsi="Arial Narrow"/>
                <w:sz w:val="20"/>
                <w:szCs w:val="20"/>
              </w:rPr>
              <w:t>Yield</w:t>
            </w:r>
          </w:p>
        </w:tc>
      </w:tr>
    </w:tbl>
    <w:p w14:paraId="04C4EB5F" w14:textId="27259731" w:rsidR="003B239A" w:rsidRPr="00B84351" w:rsidRDefault="003B239A" w:rsidP="001A75CA">
      <w:pPr>
        <w:widowControl w:val="0"/>
        <w:spacing w:line="240" w:lineRule="auto"/>
        <w:jc w:val="left"/>
        <w:rPr>
          <w:rFonts w:ascii="Arial Narrow" w:hAnsi="Arial Narrow" w:cs="Arial"/>
          <w:snapToGrid w:val="0"/>
          <w:sz w:val="18"/>
          <w:szCs w:val="18"/>
          <w:lang w:eastAsia="en-US"/>
        </w:rPr>
      </w:pPr>
      <w:r w:rsidRPr="001A75CA">
        <w:rPr>
          <w:rFonts w:ascii="Arial Narrow" w:hAnsi="Arial Narrow"/>
          <w:sz w:val="18"/>
          <w:szCs w:val="18"/>
        </w:rPr>
        <w:t>DGGE = denaturing gradient gel electrophoresis; DNA = deoxyribonucleic acid; FEB = fetal echogenic bowel</w:t>
      </w:r>
    </w:p>
    <w:p w14:paraId="11865C8D" w14:textId="31727732" w:rsidR="003B239A" w:rsidRDefault="003B239A" w:rsidP="00022486">
      <w:pPr>
        <w:pStyle w:val="Caption"/>
        <w:ind w:left="1134" w:hanging="1134"/>
      </w:pPr>
      <w:bookmarkStart w:id="257" w:name="_Ref413315650"/>
      <w:bookmarkStart w:id="258" w:name="_Toc418179437"/>
      <w:r>
        <w:lastRenderedPageBreak/>
        <w:t xml:space="preserve">Table </w:t>
      </w:r>
      <w:fldSimple w:instr=" SEQ Table \* ARABIC ">
        <w:r w:rsidR="00BB0E3E">
          <w:rPr>
            <w:noProof/>
          </w:rPr>
          <w:t>40</w:t>
        </w:r>
      </w:fldSimple>
      <w:bookmarkEnd w:id="257"/>
      <w:r>
        <w:t xml:space="preserve"> </w:t>
      </w:r>
      <w:r>
        <w:tab/>
      </w:r>
      <w:r w:rsidRPr="00FD5D9C">
        <w:t xml:space="preserve">Key features of the included evidence for diagnostic accuracy studies that reported </w:t>
      </w:r>
      <w:r w:rsidR="00FD37D3" w:rsidRPr="00FD37D3">
        <w:t>CFTR</w:t>
      </w:r>
      <w:r w:rsidRPr="00FD5D9C">
        <w:t xml:space="preserve"> mutation test failure rates</w:t>
      </w:r>
      <w:bookmarkEnd w:id="258"/>
    </w:p>
    <w:tbl>
      <w:tblPr>
        <w:tblStyle w:val="TableGrid1"/>
        <w:tblW w:w="5000" w:type="pct"/>
        <w:tblLook w:val="04A0" w:firstRow="1" w:lastRow="0" w:firstColumn="1" w:lastColumn="0" w:noHBand="0" w:noVBand="1"/>
        <w:tblCaption w:val="Key features of the included evidence for diagnostic accuracy studies that reported CFTR mutation test failure rates"/>
        <w:tblDescription w:val="Key features of the included evidence for diagnostic accuracy studies that reported CFTR mutation test failure rates"/>
      </w:tblPr>
      <w:tblGrid>
        <w:gridCol w:w="1034"/>
        <w:gridCol w:w="1447"/>
        <w:gridCol w:w="2595"/>
        <w:gridCol w:w="2597"/>
        <w:gridCol w:w="1569"/>
      </w:tblGrid>
      <w:tr w:rsidR="003B239A" w:rsidRPr="008F0174" w14:paraId="2D3B2AE9"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559" w:type="pct"/>
          </w:tcPr>
          <w:p w14:paraId="6A995A2C"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Study</w:t>
            </w:r>
            <w:r w:rsidRPr="008F0174">
              <w:rPr>
                <w:rFonts w:ascii="Arial Narrow" w:hAnsi="Arial Narrow"/>
                <w:b/>
                <w:snapToGrid w:val="0"/>
                <w:sz w:val="20"/>
                <w:szCs w:val="20"/>
                <w:lang w:eastAsia="en-US"/>
              </w:rPr>
              <w:br/>
              <w:t>Country</w:t>
            </w:r>
          </w:p>
        </w:tc>
        <w:tc>
          <w:tcPr>
            <w:tcW w:w="783" w:type="pct"/>
          </w:tcPr>
          <w:p w14:paraId="182538BB" w14:textId="6825EE84"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 xml:space="preserve">Study </w:t>
            </w:r>
            <w:r w:rsidR="003D0CE5">
              <w:rPr>
                <w:rFonts w:ascii="Arial Narrow" w:hAnsi="Arial Narrow"/>
                <w:b/>
                <w:snapToGrid w:val="0"/>
                <w:sz w:val="20"/>
                <w:szCs w:val="20"/>
                <w:lang w:eastAsia="en-US"/>
              </w:rPr>
              <w:t>d</w:t>
            </w:r>
            <w:r w:rsidRPr="008F0174">
              <w:rPr>
                <w:rFonts w:ascii="Arial Narrow" w:hAnsi="Arial Narrow"/>
                <w:b/>
                <w:snapToGrid w:val="0"/>
                <w:sz w:val="20"/>
                <w:szCs w:val="20"/>
                <w:lang w:eastAsia="en-US"/>
              </w:rPr>
              <w:t>esign</w:t>
            </w:r>
            <w:r w:rsidRPr="008F0174">
              <w:rPr>
                <w:rFonts w:ascii="Arial Narrow" w:hAnsi="Arial Narrow"/>
                <w:b/>
                <w:snapToGrid w:val="0"/>
                <w:sz w:val="20"/>
                <w:szCs w:val="20"/>
                <w:lang w:eastAsia="en-US"/>
              </w:rPr>
              <w:br/>
              <w:t>Risk of bias</w:t>
            </w:r>
          </w:p>
        </w:tc>
        <w:tc>
          <w:tcPr>
            <w:tcW w:w="1404" w:type="pct"/>
          </w:tcPr>
          <w:p w14:paraId="66FE233D" w14:textId="77777777" w:rsidR="003B239A" w:rsidRPr="008F0174" w:rsidRDefault="003B239A" w:rsidP="001A75CA">
            <w:pPr>
              <w:keepNext/>
              <w:spacing w:after="40" w:line="240" w:lineRule="auto"/>
              <w:ind w:right="57"/>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Patient population</w:t>
            </w:r>
          </w:p>
        </w:tc>
        <w:tc>
          <w:tcPr>
            <w:tcW w:w="1405" w:type="pct"/>
          </w:tcPr>
          <w:p w14:paraId="3E9ADC0A" w14:textId="037ACCF8" w:rsidR="003B239A" w:rsidRPr="008F0174" w:rsidRDefault="00FD37D3" w:rsidP="001A75CA">
            <w:pPr>
              <w:keepNext/>
              <w:spacing w:after="40" w:line="240" w:lineRule="auto"/>
              <w:ind w:right="57"/>
              <w:jc w:val="left"/>
              <w:rPr>
                <w:rFonts w:ascii="Arial Narrow" w:hAnsi="Arial Narrow"/>
                <w:b/>
                <w:snapToGrid w:val="0"/>
                <w:sz w:val="20"/>
                <w:szCs w:val="20"/>
                <w:lang w:eastAsia="en-US"/>
              </w:rPr>
            </w:pPr>
            <w:r w:rsidRPr="00FD37D3">
              <w:rPr>
                <w:rFonts w:ascii="Arial Narrow" w:hAnsi="Arial Narrow"/>
                <w:b/>
                <w:snapToGrid w:val="0"/>
                <w:sz w:val="20"/>
                <w:szCs w:val="20"/>
                <w:lang w:eastAsia="en-US"/>
              </w:rPr>
              <w:t>CFTR</w:t>
            </w:r>
            <w:r w:rsidR="003B239A" w:rsidRPr="008F0174">
              <w:rPr>
                <w:rFonts w:ascii="Arial Narrow" w:hAnsi="Arial Narrow"/>
                <w:b/>
                <w:snapToGrid w:val="0"/>
                <w:sz w:val="20"/>
                <w:szCs w:val="20"/>
                <w:lang w:eastAsia="en-US"/>
              </w:rPr>
              <w:t xml:space="preserve"> mutation test</w:t>
            </w:r>
          </w:p>
        </w:tc>
        <w:tc>
          <w:tcPr>
            <w:tcW w:w="849" w:type="pct"/>
          </w:tcPr>
          <w:p w14:paraId="55F82F4B" w14:textId="77777777" w:rsidR="003B239A" w:rsidRPr="008F0174" w:rsidRDefault="003B239A" w:rsidP="001A75CA">
            <w:pPr>
              <w:keepNext/>
              <w:spacing w:after="40" w:line="240" w:lineRule="auto"/>
              <w:jc w:val="left"/>
              <w:rPr>
                <w:rFonts w:ascii="Arial Narrow" w:hAnsi="Arial Narrow"/>
                <w:b/>
                <w:snapToGrid w:val="0"/>
                <w:sz w:val="20"/>
                <w:szCs w:val="20"/>
                <w:lang w:eastAsia="en-US"/>
              </w:rPr>
            </w:pPr>
            <w:r w:rsidRPr="008F0174">
              <w:rPr>
                <w:rFonts w:ascii="Arial Narrow" w:hAnsi="Arial Narrow"/>
                <w:b/>
                <w:snapToGrid w:val="0"/>
                <w:sz w:val="20"/>
                <w:szCs w:val="20"/>
                <w:lang w:eastAsia="en-US"/>
              </w:rPr>
              <w:t>Key outcome(s)</w:t>
            </w:r>
          </w:p>
        </w:tc>
      </w:tr>
      <w:tr w:rsidR="003B239A" w:rsidRPr="008F0174" w14:paraId="26DC0435" w14:textId="77777777" w:rsidTr="0042252D">
        <w:tc>
          <w:tcPr>
            <w:tcW w:w="559" w:type="pct"/>
          </w:tcPr>
          <w:p w14:paraId="51E9FE3E" w14:textId="2D70953C"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Strom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2003</w:t>
            </w:r>
            <w:r w:rsidR="00BB7B95">
              <w:rPr>
                <w:rFonts w:ascii="Arial Narrow" w:eastAsiaTheme="minorHAnsi" w:hAnsi="Arial Narrow" w:cstheme="minorHAnsi"/>
                <w:sz w:val="20"/>
                <w:szCs w:val="20"/>
                <w:lang w:eastAsia="en-US"/>
              </w:rPr>
              <w:t>)</w:t>
            </w:r>
          </w:p>
          <w:p w14:paraId="18CB62F3" w14:textId="77777777" w:rsidR="003B239A" w:rsidRPr="008F0174" w:rsidRDefault="003B239A" w:rsidP="003D0CE5">
            <w:pPr>
              <w:keepNext/>
              <w:tabs>
                <w:tab w:val="left" w:pos="783"/>
              </w:tabs>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83" w:type="pct"/>
          </w:tcPr>
          <w:p w14:paraId="4D9FB04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III-2</w:t>
            </w:r>
          </w:p>
          <w:p w14:paraId="0239C5B9"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Low risk of bias</w:t>
            </w:r>
          </w:p>
        </w:tc>
        <w:tc>
          <w:tcPr>
            <w:tcW w:w="1404" w:type="pct"/>
          </w:tcPr>
          <w:p w14:paraId="7D62F357" w14:textId="30D47035"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Carrier screening program: no</w:t>
            </w:r>
            <w:r w:rsidR="00D347D4">
              <w:rPr>
                <w:rFonts w:ascii="Arial Narrow" w:hAnsi="Arial Narrow"/>
                <w:sz w:val="20"/>
                <w:szCs w:val="20"/>
                <w:lang w:eastAsia="en-US"/>
              </w:rPr>
              <w:t>.</w:t>
            </w:r>
            <w:r w:rsidRPr="008F0174">
              <w:rPr>
                <w:rFonts w:ascii="Arial Narrow" w:hAnsi="Arial Narrow"/>
                <w:sz w:val="20"/>
                <w:szCs w:val="20"/>
                <w:lang w:eastAsia="en-US"/>
              </w:rPr>
              <w:t xml:space="preserve"> of patients screened not reported</w:t>
            </w:r>
          </w:p>
        </w:tc>
        <w:tc>
          <w:tcPr>
            <w:tcW w:w="1405" w:type="pct"/>
          </w:tcPr>
          <w:p w14:paraId="581E4618"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CF testing for the ACMG panel using the Roche CF Gold Linear Array strips</w:t>
            </w:r>
          </w:p>
        </w:tc>
        <w:tc>
          <w:tcPr>
            <w:tcW w:w="849" w:type="pct"/>
          </w:tcPr>
          <w:p w14:paraId="1C73F072"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Failure rate</w:t>
            </w:r>
          </w:p>
        </w:tc>
      </w:tr>
      <w:tr w:rsidR="003B239A" w:rsidRPr="008F0174" w14:paraId="2978E79A" w14:textId="77777777" w:rsidTr="0042252D">
        <w:tc>
          <w:tcPr>
            <w:tcW w:w="559" w:type="pct"/>
          </w:tcPr>
          <w:p w14:paraId="619A20F8" w14:textId="234DDA74"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Strom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2004</w:t>
            </w:r>
            <w:r w:rsidR="00BB7B95">
              <w:rPr>
                <w:rFonts w:ascii="Arial Narrow" w:eastAsiaTheme="minorHAnsi" w:hAnsi="Arial Narrow" w:cstheme="minorHAnsi"/>
                <w:sz w:val="20"/>
                <w:szCs w:val="20"/>
                <w:lang w:eastAsia="en-US"/>
              </w:rPr>
              <w:t>)</w:t>
            </w:r>
          </w:p>
          <w:p w14:paraId="70EFC160"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83" w:type="pct"/>
          </w:tcPr>
          <w:p w14:paraId="38DA86AC"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326D45A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404" w:type="pct"/>
          </w:tcPr>
          <w:p w14:paraId="251526D4" w14:textId="123C353E"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N=1</w:t>
            </w:r>
            <w:r w:rsidR="00BB7B95">
              <w:rPr>
                <w:rFonts w:ascii="Arial Narrow" w:hAnsi="Arial Narrow"/>
                <w:sz w:val="20"/>
                <w:szCs w:val="20"/>
                <w:lang w:eastAsia="en-US"/>
              </w:rPr>
              <w:t>,</w:t>
            </w:r>
            <w:r w:rsidRPr="008F0174">
              <w:rPr>
                <w:rFonts w:ascii="Arial Narrow" w:hAnsi="Arial Narrow"/>
                <w:sz w:val="20"/>
                <w:szCs w:val="20"/>
                <w:lang w:eastAsia="en-US"/>
              </w:rPr>
              <w:t xml:space="preserve">092 </w:t>
            </w:r>
            <w:r w:rsidR="00BB7B95">
              <w:rPr>
                <w:rFonts w:ascii="Arial Narrow" w:hAnsi="Arial Narrow"/>
                <w:sz w:val="20"/>
                <w:szCs w:val="20"/>
                <w:lang w:eastAsia="en-US"/>
              </w:rPr>
              <w:br/>
            </w:r>
            <w:r w:rsidRPr="008F0174">
              <w:rPr>
                <w:rFonts w:ascii="Arial Narrow" w:hAnsi="Arial Narrow"/>
                <w:sz w:val="20"/>
                <w:szCs w:val="20"/>
                <w:lang w:eastAsia="en-US"/>
              </w:rPr>
              <w:t>patient samples previously tested with the CF Gold line probe assay chosen at random</w:t>
            </w:r>
          </w:p>
          <w:p w14:paraId="377F57BA" w14:textId="2153321B"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hAnsi="Arial Narrow"/>
                <w:sz w:val="20"/>
                <w:szCs w:val="20"/>
                <w:lang w:eastAsia="en-US"/>
              </w:rPr>
              <w:t>N=1</w:t>
            </w:r>
            <w:r w:rsidR="00BB7B95">
              <w:rPr>
                <w:rFonts w:ascii="Arial Narrow" w:hAnsi="Arial Narrow"/>
                <w:sz w:val="20"/>
                <w:szCs w:val="20"/>
                <w:lang w:eastAsia="en-US"/>
              </w:rPr>
              <w:t>,</w:t>
            </w:r>
            <w:r w:rsidRPr="008F0174">
              <w:rPr>
                <w:rFonts w:ascii="Arial Narrow" w:hAnsi="Arial Narrow"/>
                <w:sz w:val="20"/>
                <w:szCs w:val="20"/>
                <w:lang w:eastAsia="en-US"/>
              </w:rPr>
              <w:t xml:space="preserve">076 </w:t>
            </w:r>
            <w:r w:rsidR="00BB7B95">
              <w:rPr>
                <w:rFonts w:ascii="Arial Narrow" w:hAnsi="Arial Narrow"/>
                <w:sz w:val="20"/>
                <w:szCs w:val="20"/>
                <w:lang w:eastAsia="en-US"/>
              </w:rPr>
              <w:br/>
            </w:r>
            <w:r w:rsidRPr="008F0174">
              <w:rPr>
                <w:rFonts w:ascii="Arial Narrow" w:hAnsi="Arial Narrow"/>
                <w:sz w:val="20"/>
                <w:szCs w:val="20"/>
                <w:lang w:eastAsia="en-US"/>
              </w:rPr>
              <w:t>patient samples previously tested with the Applera CF OLA, Ver. 3.0, platform</w:t>
            </w:r>
          </w:p>
        </w:tc>
        <w:tc>
          <w:tcPr>
            <w:tcW w:w="1405" w:type="pct"/>
          </w:tcPr>
          <w:p w14:paraId="2B5543B4" w14:textId="0621A94C"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The CF Portrait</w:t>
            </w:r>
            <w:r w:rsidRPr="008F0174">
              <w:rPr>
                <w:rFonts w:ascii="Arial Narrow" w:eastAsiaTheme="minorHAnsi" w:hAnsi="Arial Narrow"/>
                <w:sz w:val="20"/>
                <w:szCs w:val="20"/>
                <w:vertAlign w:val="superscript"/>
                <w:lang w:eastAsia="en-US"/>
              </w:rPr>
              <w:t>TM</w:t>
            </w:r>
            <w:r w:rsidRPr="008F0174">
              <w:rPr>
                <w:rFonts w:ascii="Arial Narrow" w:eastAsiaTheme="minorHAnsi" w:hAnsi="Arial Narrow"/>
                <w:sz w:val="20"/>
                <w:szCs w:val="20"/>
                <w:lang w:eastAsia="en-US"/>
              </w:rPr>
              <w:t xml:space="preserve"> system multiplex PCR followed by automated hybridi</w:t>
            </w:r>
            <w:r w:rsidR="00BB7B95">
              <w:rPr>
                <w:rFonts w:ascii="Arial Narrow" w:eastAsiaTheme="minorHAnsi" w:hAnsi="Arial Narrow"/>
                <w:sz w:val="20"/>
                <w:szCs w:val="20"/>
                <w:lang w:eastAsia="en-US"/>
              </w:rPr>
              <w:t>s</w:t>
            </w:r>
            <w:r w:rsidRPr="008F0174">
              <w:rPr>
                <w:rFonts w:ascii="Arial Narrow" w:eastAsiaTheme="minorHAnsi" w:hAnsi="Arial Narrow"/>
                <w:sz w:val="20"/>
                <w:szCs w:val="20"/>
                <w:lang w:eastAsia="en-US"/>
              </w:rPr>
              <w:t>ation and detection</w:t>
            </w:r>
          </w:p>
          <w:p w14:paraId="01130EA9" w14:textId="77777777"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Roche CF Gold line probe strips</w:t>
            </w:r>
          </w:p>
          <w:p w14:paraId="53261AB2" w14:textId="77777777"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Applera CF OLA, Ver 3.0 assay</w:t>
            </w:r>
          </w:p>
        </w:tc>
        <w:tc>
          <w:tcPr>
            <w:tcW w:w="849" w:type="pct"/>
          </w:tcPr>
          <w:p w14:paraId="77DB0C6F"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Failure rates</w:t>
            </w:r>
          </w:p>
        </w:tc>
      </w:tr>
      <w:tr w:rsidR="003B239A" w:rsidRPr="008F0174" w14:paraId="3406E3F8" w14:textId="77777777" w:rsidTr="0042252D">
        <w:tc>
          <w:tcPr>
            <w:tcW w:w="559" w:type="pct"/>
          </w:tcPr>
          <w:p w14:paraId="1E59BA5E" w14:textId="474D4706"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Edelmann et al.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2004</w:t>
            </w:r>
            <w:r w:rsidR="00BB7B95">
              <w:rPr>
                <w:rFonts w:ascii="Arial Narrow" w:eastAsiaTheme="minorHAnsi" w:hAnsi="Arial Narrow" w:cstheme="minorHAnsi"/>
                <w:sz w:val="20"/>
                <w:szCs w:val="20"/>
                <w:lang w:eastAsia="en-US"/>
              </w:rPr>
              <w:t>)</w:t>
            </w:r>
          </w:p>
          <w:p w14:paraId="734F5D32"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USA</w:t>
            </w:r>
          </w:p>
        </w:tc>
        <w:tc>
          <w:tcPr>
            <w:tcW w:w="783" w:type="pct"/>
          </w:tcPr>
          <w:p w14:paraId="46B73815"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7DEF4D46"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404" w:type="pct"/>
          </w:tcPr>
          <w:p w14:paraId="607479DA" w14:textId="0FB5E9BD"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N=507 </w:t>
            </w:r>
            <w:r w:rsidR="00BB7B95">
              <w:rPr>
                <w:rFonts w:ascii="Arial Narrow" w:hAnsi="Arial Narrow"/>
                <w:sz w:val="20"/>
                <w:szCs w:val="20"/>
                <w:lang w:eastAsia="en-US"/>
              </w:rPr>
              <w:br/>
            </w:r>
            <w:r w:rsidRPr="008F0174">
              <w:rPr>
                <w:rFonts w:ascii="Arial Narrow" w:hAnsi="Arial Narrow"/>
                <w:sz w:val="20"/>
                <w:szCs w:val="20"/>
                <w:lang w:eastAsia="en-US"/>
              </w:rPr>
              <w:t>patients samples referred for CF screening and 12 proficiency samples</w:t>
            </w:r>
          </w:p>
        </w:tc>
        <w:tc>
          <w:tcPr>
            <w:tcW w:w="1405" w:type="pct"/>
          </w:tcPr>
          <w:p w14:paraId="6F73911C"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eMAP BeadChip assay</w:t>
            </w:r>
          </w:p>
          <w:p w14:paraId="3F92D51C"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 xml:space="preserve">multiplex PCR followed by ASOH </w:t>
            </w:r>
          </w:p>
        </w:tc>
        <w:tc>
          <w:tcPr>
            <w:tcW w:w="849" w:type="pct"/>
          </w:tcPr>
          <w:p w14:paraId="7F066969"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Failure rate</w:t>
            </w:r>
          </w:p>
        </w:tc>
      </w:tr>
      <w:tr w:rsidR="003B239A" w:rsidRPr="008F0174" w14:paraId="6C8BC40E" w14:textId="77777777" w:rsidTr="0042252D">
        <w:tc>
          <w:tcPr>
            <w:tcW w:w="559" w:type="pct"/>
          </w:tcPr>
          <w:p w14:paraId="076480A2" w14:textId="54686A40"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Axton </w:t>
            </w:r>
            <w:r w:rsidR="003D0CE5">
              <w:rPr>
                <w:rFonts w:ascii="Arial Narrow" w:eastAsiaTheme="minorHAnsi" w:hAnsi="Arial Narrow" w:cstheme="minorHAnsi"/>
                <w:sz w:val="20"/>
                <w:szCs w:val="20"/>
                <w:lang w:eastAsia="en-US"/>
              </w:rPr>
              <w:t>&amp;</w:t>
            </w:r>
            <w:r w:rsidR="003D0CE5" w:rsidRPr="008F0174">
              <w:rPr>
                <w:rFonts w:ascii="Arial Narrow" w:eastAsiaTheme="minorHAnsi" w:hAnsi="Arial Narrow" w:cstheme="minorHAnsi"/>
                <w:sz w:val="20"/>
                <w:szCs w:val="20"/>
                <w:lang w:eastAsia="en-US"/>
              </w:rPr>
              <w:t xml:space="preserve"> </w:t>
            </w:r>
            <w:r w:rsidRPr="008F0174">
              <w:rPr>
                <w:rFonts w:ascii="Arial Narrow" w:eastAsiaTheme="minorHAnsi" w:hAnsi="Arial Narrow" w:cstheme="minorHAnsi"/>
                <w:sz w:val="20"/>
                <w:szCs w:val="20"/>
                <w:lang w:eastAsia="en-US"/>
              </w:rPr>
              <w:t xml:space="preserve">Brock </w:t>
            </w:r>
            <w:r w:rsidR="00BB7B95">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1995</w:t>
            </w:r>
            <w:r w:rsidR="00BB7B95">
              <w:rPr>
                <w:rFonts w:ascii="Arial Narrow" w:eastAsiaTheme="minorHAnsi" w:hAnsi="Arial Narrow" w:cstheme="minorHAnsi"/>
                <w:sz w:val="20"/>
                <w:szCs w:val="20"/>
                <w:lang w:eastAsia="en-US"/>
              </w:rPr>
              <w:t>)</w:t>
            </w:r>
          </w:p>
          <w:p w14:paraId="35A76AAB"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UK</w:t>
            </w:r>
          </w:p>
        </w:tc>
        <w:tc>
          <w:tcPr>
            <w:tcW w:w="783" w:type="pct"/>
          </w:tcPr>
          <w:p w14:paraId="72B3F537"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7CD329AD"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High risk of bias</w:t>
            </w:r>
          </w:p>
        </w:tc>
        <w:tc>
          <w:tcPr>
            <w:tcW w:w="1404" w:type="pct"/>
          </w:tcPr>
          <w:p w14:paraId="4BF2C4DD" w14:textId="50D4A66A"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lang w:eastAsia="en-US"/>
              </w:rPr>
              <w:t xml:space="preserve">N=193 </w:t>
            </w:r>
            <w:r w:rsidR="00BB7B95">
              <w:rPr>
                <w:rFonts w:ascii="Arial Narrow" w:hAnsi="Arial Narrow"/>
                <w:sz w:val="20"/>
                <w:szCs w:val="20"/>
                <w:lang w:eastAsia="en-US"/>
              </w:rPr>
              <w:br/>
            </w:r>
            <w:r w:rsidRPr="008F0174">
              <w:rPr>
                <w:rFonts w:ascii="Arial Narrow" w:hAnsi="Arial Narrow"/>
                <w:sz w:val="20"/>
                <w:szCs w:val="20"/>
                <w:lang w:eastAsia="en-US"/>
              </w:rPr>
              <w:t>mouthwash samples from CF patients</w:t>
            </w:r>
          </w:p>
        </w:tc>
        <w:tc>
          <w:tcPr>
            <w:tcW w:w="1405" w:type="pct"/>
          </w:tcPr>
          <w:p w14:paraId="3B77253B" w14:textId="44C10872" w:rsidR="003B239A" w:rsidRPr="008F0174" w:rsidRDefault="003B239A" w:rsidP="003D0CE5">
            <w:pPr>
              <w:keepNext/>
              <w:tabs>
                <w:tab w:val="left" w:pos="89"/>
              </w:tabs>
              <w:spacing w:after="40" w:line="240" w:lineRule="auto"/>
              <w:ind w:right="57"/>
              <w:jc w:val="left"/>
              <w:rPr>
                <w:rFonts w:ascii="Arial Narrow" w:hAnsi="Arial Narrow"/>
                <w:sz w:val="20"/>
                <w:szCs w:val="20"/>
                <w:lang w:eastAsia="en-US"/>
              </w:rPr>
            </w:pPr>
            <w:r w:rsidRPr="008F0174">
              <w:rPr>
                <w:rFonts w:ascii="Arial Narrow" w:hAnsi="Arial Narrow"/>
                <w:sz w:val="20"/>
                <w:szCs w:val="20"/>
              </w:rPr>
              <w:t xml:space="preserve">Restriction generation PCR </w:t>
            </w:r>
          </w:p>
        </w:tc>
        <w:tc>
          <w:tcPr>
            <w:tcW w:w="849" w:type="pct"/>
          </w:tcPr>
          <w:p w14:paraId="64DC2531"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Failure rate</w:t>
            </w:r>
          </w:p>
        </w:tc>
      </w:tr>
      <w:tr w:rsidR="003B239A" w:rsidRPr="008F0174" w14:paraId="0BD85ACA" w14:textId="77777777" w:rsidTr="0042252D">
        <w:tc>
          <w:tcPr>
            <w:tcW w:w="559" w:type="pct"/>
          </w:tcPr>
          <w:p w14:paraId="48ED4592" w14:textId="420B154B"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Nagy et al. </w:t>
            </w:r>
            <w:r w:rsidR="007D183C">
              <w:rPr>
                <w:rFonts w:ascii="Arial Narrow" w:eastAsiaTheme="minorHAnsi" w:hAnsi="Arial Narrow" w:cstheme="minorHAnsi"/>
                <w:sz w:val="20"/>
                <w:szCs w:val="20"/>
                <w:lang w:eastAsia="en-US"/>
              </w:rPr>
              <w:t>(</w:t>
            </w:r>
            <w:r w:rsidRPr="008F0174">
              <w:rPr>
                <w:rFonts w:ascii="Arial Narrow" w:eastAsiaTheme="minorHAnsi" w:hAnsi="Arial Narrow" w:cstheme="minorHAnsi"/>
                <w:sz w:val="20"/>
                <w:szCs w:val="20"/>
                <w:lang w:eastAsia="en-US"/>
              </w:rPr>
              <w:t>2007</w:t>
            </w:r>
            <w:r w:rsidR="007D183C">
              <w:rPr>
                <w:rFonts w:ascii="Arial Narrow" w:eastAsiaTheme="minorHAnsi" w:hAnsi="Arial Narrow" w:cstheme="minorHAnsi"/>
                <w:sz w:val="20"/>
                <w:szCs w:val="20"/>
                <w:lang w:eastAsia="en-US"/>
              </w:rPr>
              <w:t>)</w:t>
            </w:r>
          </w:p>
          <w:p w14:paraId="5192CEE0"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Hungary</w:t>
            </w:r>
          </w:p>
        </w:tc>
        <w:tc>
          <w:tcPr>
            <w:tcW w:w="783" w:type="pct"/>
          </w:tcPr>
          <w:p w14:paraId="0817433E" w14:textId="77777777" w:rsidR="003B239A" w:rsidRPr="008F0174" w:rsidRDefault="003B239A" w:rsidP="003D0CE5">
            <w:pPr>
              <w:keepNext/>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Level IV</w:t>
            </w:r>
          </w:p>
          <w:p w14:paraId="7F7B4928" w14:textId="77777777"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cstheme="minorHAnsi"/>
                <w:sz w:val="20"/>
                <w:szCs w:val="20"/>
                <w:lang w:eastAsia="en-US"/>
              </w:rPr>
              <w:t>High risk of bias</w:t>
            </w:r>
          </w:p>
        </w:tc>
        <w:tc>
          <w:tcPr>
            <w:tcW w:w="1404" w:type="pct"/>
          </w:tcPr>
          <w:p w14:paraId="37B2871B" w14:textId="0901178A" w:rsidR="003B239A" w:rsidRPr="008F0174" w:rsidRDefault="003B239A" w:rsidP="003D0CE5">
            <w:pPr>
              <w:keepNext/>
              <w:tabs>
                <w:tab w:val="left" w:pos="744"/>
              </w:tabs>
              <w:spacing w:after="40" w:line="240" w:lineRule="auto"/>
              <w:ind w:right="57"/>
              <w:jc w:val="left"/>
              <w:rPr>
                <w:rFonts w:ascii="Arial Narrow" w:eastAsiaTheme="minorHAnsi" w:hAnsi="Arial Narrow" w:cstheme="minorHAnsi"/>
                <w:sz w:val="20"/>
                <w:szCs w:val="20"/>
                <w:lang w:eastAsia="en-US"/>
              </w:rPr>
            </w:pPr>
            <w:r w:rsidRPr="008F0174">
              <w:rPr>
                <w:rFonts w:ascii="Arial Narrow" w:eastAsiaTheme="minorHAnsi" w:hAnsi="Arial Narrow" w:cstheme="minorHAnsi"/>
                <w:sz w:val="20"/>
                <w:szCs w:val="20"/>
                <w:lang w:eastAsia="en-US"/>
              </w:rPr>
              <w:t xml:space="preserve">N=116 </w:t>
            </w:r>
            <w:r w:rsidR="00BB7B95">
              <w:rPr>
                <w:rFonts w:ascii="Arial Narrow" w:eastAsiaTheme="minorHAnsi" w:hAnsi="Arial Narrow" w:cstheme="minorHAnsi"/>
                <w:sz w:val="20"/>
                <w:szCs w:val="20"/>
                <w:lang w:eastAsia="en-US"/>
              </w:rPr>
              <w:br/>
            </w:r>
            <w:r w:rsidRPr="008F0174">
              <w:rPr>
                <w:rFonts w:ascii="Arial Narrow" w:eastAsiaTheme="minorHAnsi" w:hAnsi="Arial Narrow" w:cstheme="minorHAnsi"/>
                <w:sz w:val="20"/>
                <w:szCs w:val="20"/>
                <w:lang w:eastAsia="en-US"/>
              </w:rPr>
              <w:t>DNA samples</w:t>
            </w:r>
          </w:p>
        </w:tc>
        <w:tc>
          <w:tcPr>
            <w:tcW w:w="1405" w:type="pct"/>
          </w:tcPr>
          <w:p w14:paraId="56F5EF26" w14:textId="77777777"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sz w:val="20"/>
                <w:szCs w:val="20"/>
                <w:lang w:eastAsia="en-US"/>
              </w:rPr>
              <w:t>qPCR</w:t>
            </w:r>
            <w:r w:rsidRPr="008F0174">
              <w:rPr>
                <w:rFonts w:ascii="Arial Narrow" w:hAnsi="Arial Narrow"/>
                <w:sz w:val="20"/>
                <w:szCs w:val="20"/>
              </w:rPr>
              <w:t xml:space="preserve"> and m</w:t>
            </w:r>
            <w:r w:rsidRPr="008F0174">
              <w:rPr>
                <w:rFonts w:ascii="Arial Narrow" w:eastAsiaTheme="minorHAnsi" w:hAnsi="Arial Narrow"/>
                <w:sz w:val="20"/>
                <w:szCs w:val="20"/>
                <w:lang w:eastAsia="en-US"/>
              </w:rPr>
              <w:t>elting curve analysis</w:t>
            </w:r>
          </w:p>
          <w:p w14:paraId="33E46490" w14:textId="5A5847C5" w:rsidR="003B239A" w:rsidRPr="008F0174" w:rsidRDefault="003B239A" w:rsidP="003D0CE5">
            <w:pPr>
              <w:keepNext/>
              <w:tabs>
                <w:tab w:val="left" w:pos="744"/>
              </w:tabs>
              <w:spacing w:after="40" w:line="240" w:lineRule="auto"/>
              <w:ind w:right="57"/>
              <w:jc w:val="left"/>
              <w:rPr>
                <w:rFonts w:ascii="Arial Narrow" w:eastAsiaTheme="minorHAnsi" w:hAnsi="Arial Narrow"/>
                <w:sz w:val="20"/>
                <w:szCs w:val="20"/>
                <w:lang w:eastAsia="en-US"/>
              </w:rPr>
            </w:pPr>
            <w:r w:rsidRPr="008F0174">
              <w:rPr>
                <w:rFonts w:ascii="Arial Narrow" w:eastAsiaTheme="minorHAnsi" w:hAnsi="Arial Narrow" w:cstheme="minorHAnsi"/>
                <w:sz w:val="20"/>
                <w:szCs w:val="20"/>
                <w:lang w:eastAsia="en-US"/>
              </w:rPr>
              <w:t xml:space="preserve">Fluorescent PCR and DNA </w:t>
            </w:r>
            <w:r w:rsidR="00BB7B95">
              <w:rPr>
                <w:rFonts w:ascii="Arial Narrow" w:eastAsiaTheme="minorHAnsi" w:hAnsi="Arial Narrow" w:cstheme="minorHAnsi"/>
                <w:sz w:val="20"/>
                <w:szCs w:val="20"/>
                <w:lang w:eastAsia="en-US"/>
              </w:rPr>
              <w:t>f</w:t>
            </w:r>
            <w:r w:rsidRPr="008F0174">
              <w:rPr>
                <w:rFonts w:ascii="Arial Narrow" w:eastAsiaTheme="minorHAnsi" w:hAnsi="Arial Narrow" w:cstheme="minorHAnsi"/>
                <w:sz w:val="20"/>
                <w:szCs w:val="20"/>
                <w:lang w:eastAsia="en-US"/>
              </w:rPr>
              <w:t xml:space="preserve">ragment </w:t>
            </w:r>
            <w:r w:rsidR="00BB7B95">
              <w:rPr>
                <w:rFonts w:ascii="Arial Narrow" w:eastAsiaTheme="minorHAnsi" w:hAnsi="Arial Narrow" w:cstheme="minorHAnsi"/>
                <w:sz w:val="20"/>
                <w:szCs w:val="20"/>
                <w:lang w:eastAsia="en-US"/>
              </w:rPr>
              <w:t>a</w:t>
            </w:r>
            <w:r w:rsidRPr="008F0174">
              <w:rPr>
                <w:rFonts w:ascii="Arial Narrow" w:eastAsiaTheme="minorHAnsi" w:hAnsi="Arial Narrow" w:cstheme="minorHAnsi"/>
                <w:sz w:val="20"/>
                <w:szCs w:val="20"/>
                <w:lang w:eastAsia="en-US"/>
              </w:rPr>
              <w:t>nalysis</w:t>
            </w:r>
            <w:r w:rsidRPr="008F0174">
              <w:rPr>
                <w:rFonts w:ascii="Arial Narrow" w:eastAsiaTheme="minorHAnsi" w:hAnsi="Arial Narrow"/>
                <w:sz w:val="20"/>
                <w:szCs w:val="20"/>
                <w:lang w:eastAsia="en-US"/>
              </w:rPr>
              <w:t xml:space="preserve"> </w:t>
            </w:r>
          </w:p>
        </w:tc>
        <w:tc>
          <w:tcPr>
            <w:tcW w:w="849" w:type="pct"/>
          </w:tcPr>
          <w:p w14:paraId="5BF2C765" w14:textId="77777777" w:rsidR="003B239A" w:rsidRPr="008F0174" w:rsidRDefault="003B239A" w:rsidP="003D0CE5">
            <w:pPr>
              <w:keepNext/>
              <w:spacing w:after="40" w:line="240" w:lineRule="auto"/>
              <w:ind w:right="-57"/>
              <w:jc w:val="left"/>
              <w:rPr>
                <w:rFonts w:ascii="Arial Narrow" w:hAnsi="Arial Narrow"/>
                <w:sz w:val="20"/>
                <w:szCs w:val="20"/>
              </w:rPr>
            </w:pPr>
            <w:r w:rsidRPr="008F0174">
              <w:rPr>
                <w:rFonts w:ascii="Arial Narrow" w:hAnsi="Arial Narrow"/>
                <w:sz w:val="20"/>
                <w:szCs w:val="20"/>
              </w:rPr>
              <w:t>Failure rate</w:t>
            </w:r>
          </w:p>
        </w:tc>
      </w:tr>
    </w:tbl>
    <w:p w14:paraId="061FBCD8" w14:textId="5B18C9A3" w:rsidR="003B239A" w:rsidRPr="001A75CA" w:rsidRDefault="003B239A" w:rsidP="001A75CA">
      <w:pPr>
        <w:keepNext/>
        <w:spacing w:before="40" w:after="40" w:line="240" w:lineRule="auto"/>
        <w:ind w:right="-57"/>
        <w:jc w:val="left"/>
        <w:rPr>
          <w:rFonts w:ascii="Arial Narrow" w:hAnsi="Arial Narrow"/>
          <w:sz w:val="18"/>
          <w:szCs w:val="18"/>
        </w:rPr>
      </w:pPr>
      <w:r w:rsidRPr="001A75CA">
        <w:rPr>
          <w:rFonts w:ascii="Arial Narrow" w:hAnsi="Arial Narrow"/>
          <w:sz w:val="18"/>
          <w:szCs w:val="18"/>
        </w:rPr>
        <w:t>ACMG = American College of Medical Genetics; ASOH = allele-specific oligonucleotide hybridisation; CF = cystic fibrosis; DNA = deoxyribonucleic acid; eMAP = elongation mediated multiplexed analysis of polymorphisms; OLA = oligonucleotide ligation assay; PCR = polymerase chain reaction</w:t>
      </w:r>
      <w:r w:rsidR="009C3FEA">
        <w:rPr>
          <w:rFonts w:ascii="Arial Narrow" w:hAnsi="Arial Narrow"/>
          <w:sz w:val="18"/>
          <w:szCs w:val="18"/>
        </w:rPr>
        <w:t xml:space="preserve">; qPCR = quantitative real-time </w:t>
      </w:r>
      <w:r w:rsidR="00670000">
        <w:rPr>
          <w:rFonts w:ascii="Arial Narrow" w:hAnsi="Arial Narrow"/>
          <w:sz w:val="18"/>
          <w:szCs w:val="18"/>
        </w:rPr>
        <w:t>PCR</w:t>
      </w:r>
    </w:p>
    <w:p w14:paraId="0A9C6C8F" w14:textId="53BBBA60" w:rsidR="00A74345" w:rsidRDefault="00A74345">
      <w:pPr>
        <w:pStyle w:val="Heading2"/>
        <w:tabs>
          <w:tab w:val="left" w:pos="1134"/>
        </w:tabs>
      </w:pPr>
      <w:bookmarkStart w:id="259" w:name="_Toc418179904"/>
      <w:r>
        <w:t>B.5.i</w:t>
      </w:r>
      <w:r w:rsidR="00BA5B10">
        <w:tab/>
      </w:r>
      <w:r>
        <w:t xml:space="preserve">Outcome </w:t>
      </w:r>
      <w:r w:rsidR="009E6366">
        <w:t>M</w:t>
      </w:r>
      <w:r>
        <w:t xml:space="preserve">easures and </w:t>
      </w:r>
      <w:r w:rsidR="009E6366">
        <w:t>A</w:t>
      </w:r>
      <w:r>
        <w:t>nalysis</w:t>
      </w:r>
      <w:bookmarkEnd w:id="259"/>
    </w:p>
    <w:p w14:paraId="6D26A28F" w14:textId="1506B379" w:rsidR="003B239A" w:rsidRPr="001C3728" w:rsidRDefault="003B239A" w:rsidP="003B239A">
      <w:pPr>
        <w:rPr>
          <w:rFonts w:asciiTheme="minorHAnsi" w:hAnsiTheme="minorHAnsi"/>
        </w:rPr>
      </w:pPr>
      <w:r w:rsidRPr="001C3728">
        <w:rPr>
          <w:rFonts w:asciiTheme="minorHAnsi" w:hAnsiTheme="minorHAnsi"/>
        </w:rPr>
        <w:t xml:space="preserve">To assess the diagnostic accuracy of </w:t>
      </w:r>
      <w:r w:rsidR="00FD37D3" w:rsidRPr="00FD37D3">
        <w:rPr>
          <w:rFonts w:asciiTheme="minorHAnsi" w:hAnsiTheme="minorHAnsi"/>
        </w:rPr>
        <w:t>CFTR</w:t>
      </w:r>
      <w:r w:rsidRPr="004F3E80">
        <w:rPr>
          <w:rFonts w:asciiTheme="minorHAnsi" w:hAnsiTheme="minorHAnsi"/>
        </w:rPr>
        <w:t xml:space="preserve"> mutation testing</w:t>
      </w:r>
      <w:r w:rsidRPr="001C3728">
        <w:rPr>
          <w:rFonts w:asciiTheme="minorHAnsi" w:hAnsiTheme="minorHAnsi"/>
        </w:rPr>
        <w:t xml:space="preserve">, data </w:t>
      </w:r>
      <w:r>
        <w:rPr>
          <w:rFonts w:asciiTheme="minorHAnsi" w:hAnsiTheme="minorHAnsi"/>
        </w:rPr>
        <w:t>was</w:t>
      </w:r>
      <w:r w:rsidRPr="001C3728">
        <w:rPr>
          <w:rFonts w:asciiTheme="minorHAnsi" w:hAnsiTheme="minorHAnsi"/>
        </w:rPr>
        <w:t xml:space="preserve"> extracted into a classic 2×2 table</w:t>
      </w:r>
      <w:r>
        <w:rPr>
          <w:rFonts w:asciiTheme="minorHAnsi" w:hAnsiTheme="minorHAnsi"/>
        </w:rPr>
        <w:t xml:space="preserve"> (</w:t>
      </w:r>
      <w:r w:rsidR="001B24A7">
        <w:rPr>
          <w:rFonts w:asciiTheme="minorHAnsi" w:hAnsiTheme="minorHAnsi"/>
          <w:highlight w:val="yellow"/>
        </w:rPr>
        <w:fldChar w:fldCharType="begin"/>
      </w:r>
      <w:r w:rsidR="001B24A7">
        <w:rPr>
          <w:rFonts w:asciiTheme="minorHAnsi" w:hAnsiTheme="minorHAnsi"/>
        </w:rPr>
        <w:instrText xml:space="preserve"> REF _Ref413225379 \h </w:instrText>
      </w:r>
      <w:r w:rsidR="001B24A7">
        <w:rPr>
          <w:rFonts w:asciiTheme="minorHAnsi" w:hAnsiTheme="minorHAnsi"/>
          <w:highlight w:val="yellow"/>
        </w:rPr>
      </w:r>
      <w:r w:rsidR="001B24A7">
        <w:rPr>
          <w:rFonts w:asciiTheme="minorHAnsi" w:hAnsiTheme="minorHAnsi"/>
          <w:highlight w:val="yellow"/>
        </w:rPr>
        <w:fldChar w:fldCharType="separate"/>
      </w:r>
      <w:r w:rsidR="00BB0E3E">
        <w:t xml:space="preserve">Table </w:t>
      </w:r>
      <w:r w:rsidR="00BB0E3E">
        <w:rPr>
          <w:noProof/>
        </w:rPr>
        <w:t>41</w:t>
      </w:r>
      <w:r w:rsidR="001B24A7">
        <w:rPr>
          <w:rFonts w:asciiTheme="minorHAnsi" w:hAnsiTheme="minorHAnsi"/>
          <w:highlight w:val="yellow"/>
        </w:rPr>
        <w:fldChar w:fldCharType="end"/>
      </w:r>
      <w:r>
        <w:rPr>
          <w:rFonts w:asciiTheme="minorHAnsi" w:hAnsiTheme="minorHAnsi"/>
        </w:rPr>
        <w:t>)</w:t>
      </w:r>
      <w:r w:rsidRPr="001C3728">
        <w:rPr>
          <w:rFonts w:asciiTheme="minorHAnsi" w:hAnsiTheme="minorHAnsi"/>
        </w:rPr>
        <w:t>, in which the results of the index diagnostic test or the comparator were cross-classified against the results of the reference standard</w:t>
      </w:r>
      <w:r>
        <w:rPr>
          <w:rFonts w:asciiTheme="minorHAnsi" w:hAnsiTheme="minorHAnsi"/>
        </w:rPr>
        <w:t xml:space="preserve"> </w:t>
      </w:r>
      <w:r>
        <w:rPr>
          <w:rFonts w:asciiTheme="minorHAnsi" w:hAnsiTheme="minorHAnsi"/>
        </w:rPr>
        <w:fldChar w:fldCharType="begin"/>
      </w:r>
      <w:r w:rsidR="009A054F">
        <w:rPr>
          <w:rFonts w:asciiTheme="minorHAnsi" w:hAnsiTheme="minorHAnsi"/>
        </w:rPr>
        <w:instrText xml:space="preserve"> ADDIN EN.CITE &lt;EndNote&gt;&lt;Cite&gt;&lt;Author&gt;Armitage&lt;/Author&gt;&lt;Year&gt;2002&lt;/Year&gt;&lt;RecNum&gt;724&lt;/RecNum&gt;&lt;DisplayText&gt;(Armitage, Berry &amp;amp; Matthews 2002; Deeks 2001)&lt;/DisplayText&gt;&lt;record&gt;&lt;rec-number&gt;724&lt;/rec-number&gt;&lt;foreign-keys&gt;&lt;key app="EN" db-id="parffa0acae2voep5w3vv9rypas2tr522eef" timestamp="1430369561"&gt;724&lt;/key&gt;&lt;/foreign-keys&gt;&lt;ref-type name="Book"&gt;6&lt;/ref-type&gt;&lt;contributors&gt;&lt;authors&gt;&lt;author&gt;Armitage, P.&lt;/author&gt;&lt;author&gt;Berry,G.&lt;/author&gt;&lt;author&gt;Matthews, J.N.S&lt;/author&gt;&lt;/authors&gt;&lt;/contributors&gt;&lt;titles&gt;&lt;title&gt;Statistical methods in medical research&lt;/title&gt;&lt;/titles&gt;&lt;edition&gt;fourth&lt;/edition&gt;&lt;dates&gt;&lt;year&gt;2002&lt;/year&gt;&lt;/dates&gt;&lt;pub-location&gt;Oxford&lt;/pub-location&gt;&lt;publisher&gt;Blackwell Science&lt;/publisher&gt;&lt;urls&gt;&lt;/urls&gt;&lt;custom1&gt;yes&lt;/custom1&gt;&lt;/record&gt;&lt;/Cite&gt;&lt;Cite&gt;&lt;Author&gt;Deeks&lt;/Author&gt;&lt;Year&gt;2001&lt;/Year&gt;&lt;RecNum&gt;832&lt;/RecNum&gt;&lt;IDText&gt;248–282&lt;/IDText&gt;&lt;record&gt;&lt;rec-number&gt;832&lt;/rec-number&gt;&lt;foreign-keys&gt;&lt;key app="EN" db-id="parffa0acae2voep5w3vv9rypas2tr522eef" timestamp="1430369600"&gt;832&lt;/key&gt;&lt;/foreign-keys&gt;&lt;ref-type name="Book Section"&gt;5&lt;/ref-type&gt;&lt;contributors&gt;&lt;authors&gt;&lt;author&gt;Deeks, J. J.&lt;/author&gt;&lt;/authors&gt;&lt;secondary-authors&gt;&lt;author&gt;Egger, M.&lt;/author&gt;&lt;author&gt;Davey Smith, G.&lt;/author&gt;&lt;author&gt;Altman, D.G.&lt;/author&gt;&lt;/secondary-authors&gt;&lt;/contributors&gt;&lt;titles&gt;&lt;title&gt;Systematic reviews of evaluations of diagnostic and screening tests&lt;/title&gt;&lt;secondary-title&gt;Systematic Reviews in Healthcare: Meta-Analysis in Context&lt;/secondary-title&gt;&lt;/titles&gt;&lt;pages&gt;248–282&lt;/pages&gt;&lt;edition&gt;second&lt;/edition&gt;&lt;keywords&gt;&lt;keyword&gt;Review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pub-location&gt;London&lt;/pub-location&gt;&lt;publisher&gt;BMJ Publishing Group&lt;/publisher&gt;&lt;label&gt;Methodology; SR; diagnostic test; screening;SR&lt;/label&gt;&lt;urls&gt;&lt;/urls&gt;&lt;/record&gt;&lt;/Cite&gt;&lt;/EndNote&gt;</w:instrText>
      </w:r>
      <w:r>
        <w:rPr>
          <w:rFonts w:asciiTheme="minorHAnsi" w:hAnsiTheme="minorHAnsi"/>
        </w:rPr>
        <w:fldChar w:fldCharType="separate"/>
      </w:r>
      <w:r>
        <w:rPr>
          <w:rFonts w:asciiTheme="minorHAnsi" w:hAnsiTheme="minorHAnsi"/>
          <w:noProof/>
        </w:rPr>
        <w:t>(</w:t>
      </w:r>
      <w:hyperlink w:anchor="_ENREF_8" w:tooltip="Armitage, 2002 #724" w:history="1">
        <w:r w:rsidR="00B46ABF">
          <w:rPr>
            <w:rFonts w:asciiTheme="minorHAnsi" w:hAnsiTheme="minorHAnsi"/>
            <w:noProof/>
          </w:rPr>
          <w:t>Armitage, Berry &amp; Matthews 2002</w:t>
        </w:r>
      </w:hyperlink>
      <w:r>
        <w:rPr>
          <w:rFonts w:asciiTheme="minorHAnsi" w:hAnsiTheme="minorHAnsi"/>
          <w:noProof/>
        </w:rPr>
        <w:t xml:space="preserve">; </w:t>
      </w:r>
      <w:hyperlink w:anchor="_ENREF_33" w:tooltip="Deeks, 2001 #832" w:history="1">
        <w:r w:rsidR="00B46ABF">
          <w:rPr>
            <w:rFonts w:asciiTheme="minorHAnsi" w:hAnsiTheme="minorHAnsi"/>
            <w:noProof/>
          </w:rPr>
          <w:t>Deeks 2001</w:t>
        </w:r>
      </w:hyperlink>
      <w:r>
        <w:rPr>
          <w:rFonts w:asciiTheme="minorHAnsi" w:hAnsiTheme="minorHAnsi"/>
          <w:noProof/>
        </w:rPr>
        <w:t>)</w:t>
      </w:r>
      <w:r>
        <w:rPr>
          <w:rFonts w:asciiTheme="minorHAnsi" w:hAnsiTheme="minorHAnsi"/>
        </w:rPr>
        <w:fldChar w:fldCharType="end"/>
      </w:r>
      <w:r w:rsidRPr="001C3728">
        <w:rPr>
          <w:rFonts w:asciiTheme="minorHAnsi" w:hAnsiTheme="minorHAnsi"/>
        </w:rPr>
        <w:t>, and Bayes’ Theorem was applied:</w:t>
      </w:r>
    </w:p>
    <w:p w14:paraId="7E3738DD" w14:textId="7D085134" w:rsidR="003B239A" w:rsidRDefault="003B239A" w:rsidP="00541BBA">
      <w:pPr>
        <w:pStyle w:val="Caption"/>
      </w:pPr>
      <w:bookmarkStart w:id="260" w:name="_Ref413225379"/>
      <w:bookmarkStart w:id="261" w:name="_Toc418179438"/>
      <w:r>
        <w:t xml:space="preserve">Table </w:t>
      </w:r>
      <w:fldSimple w:instr=" SEQ Table \* ARABIC ">
        <w:r w:rsidR="00BB0E3E">
          <w:rPr>
            <w:noProof/>
          </w:rPr>
          <w:t>41</w:t>
        </w:r>
      </w:fldSimple>
      <w:bookmarkEnd w:id="260"/>
      <w:r>
        <w:tab/>
      </w:r>
      <w:r w:rsidRPr="00030715">
        <w:t xml:space="preserve">Diagnostic accuracy data extraction for </w:t>
      </w:r>
      <w:r w:rsidR="00FD37D3" w:rsidRPr="00FD37D3">
        <w:t>CFTR</w:t>
      </w:r>
      <w:r w:rsidRPr="00030715">
        <w:t xml:space="preserve"> mutation testing</w:t>
      </w:r>
      <w:bookmarkEnd w:id="261"/>
    </w:p>
    <w:tbl>
      <w:tblPr>
        <w:tblStyle w:val="TableGrid1"/>
        <w:tblW w:w="9180" w:type="dxa"/>
        <w:tblLayout w:type="fixed"/>
        <w:tblLook w:val="0000" w:firstRow="0" w:lastRow="0" w:firstColumn="0" w:lastColumn="0" w:noHBand="0" w:noVBand="0"/>
        <w:tblCaption w:val="Diagnostic accuracy data extraction for CFTR mutation testing"/>
        <w:tblDescription w:val="Diagnostic accuracy data extraction for CFTR mutation testing"/>
      </w:tblPr>
      <w:tblGrid>
        <w:gridCol w:w="2235"/>
        <w:gridCol w:w="708"/>
        <w:gridCol w:w="2268"/>
        <w:gridCol w:w="2410"/>
        <w:gridCol w:w="1559"/>
      </w:tblGrid>
      <w:tr w:rsidR="003B239A" w:rsidRPr="001C3728" w14:paraId="1126929B" w14:textId="77777777" w:rsidTr="00447183">
        <w:trPr>
          <w:trHeight w:val="177"/>
          <w:tblHeader/>
        </w:trPr>
        <w:tc>
          <w:tcPr>
            <w:tcW w:w="2235" w:type="dxa"/>
          </w:tcPr>
          <w:p w14:paraId="278D6C4D"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c>
          <w:tcPr>
            <w:tcW w:w="708" w:type="dxa"/>
          </w:tcPr>
          <w:p w14:paraId="77807CBE"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c>
          <w:tcPr>
            <w:tcW w:w="2268" w:type="dxa"/>
          </w:tcPr>
          <w:p w14:paraId="173E7CC3" w14:textId="77777777" w:rsidR="003B239A" w:rsidRPr="001C3728" w:rsidRDefault="003B239A" w:rsidP="001A75CA">
            <w:pPr>
              <w:pStyle w:val="Tabletext1"/>
              <w:keepNext/>
              <w:jc w:val="left"/>
              <w:rPr>
                <w:b/>
              </w:rPr>
            </w:pPr>
            <w:r w:rsidRPr="001C3728">
              <w:rPr>
                <w:b/>
              </w:rPr>
              <w:t>Reference standard</w:t>
            </w:r>
          </w:p>
        </w:tc>
        <w:tc>
          <w:tcPr>
            <w:tcW w:w="2410" w:type="dxa"/>
          </w:tcPr>
          <w:p w14:paraId="53450281" w14:textId="63E9E245" w:rsidR="003B239A" w:rsidRPr="001C3728" w:rsidRDefault="003B239A" w:rsidP="001A75CA">
            <w:pPr>
              <w:pStyle w:val="Tabletext1"/>
              <w:keepNext/>
              <w:jc w:val="left"/>
              <w:rPr>
                <w:b/>
              </w:rPr>
            </w:pPr>
            <w:r w:rsidRPr="001C3728">
              <w:t>(</w:t>
            </w:r>
            <w:r>
              <w:t>DNA sequencing</w:t>
            </w:r>
            <w:r>
              <w:br/>
              <w:t>± gene deletion analysis</w:t>
            </w:r>
            <w:r w:rsidRPr="001C3728">
              <w:t>)</w:t>
            </w:r>
          </w:p>
        </w:tc>
        <w:tc>
          <w:tcPr>
            <w:tcW w:w="1559" w:type="dxa"/>
          </w:tcPr>
          <w:p w14:paraId="197DFB83"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r>
      <w:tr w:rsidR="003B239A" w:rsidRPr="001C3728" w14:paraId="12725BE0" w14:textId="77777777" w:rsidTr="0042252D">
        <w:trPr>
          <w:trHeight w:val="310"/>
        </w:trPr>
        <w:tc>
          <w:tcPr>
            <w:tcW w:w="2235" w:type="dxa"/>
          </w:tcPr>
          <w:p w14:paraId="0FD2F8C3"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c>
          <w:tcPr>
            <w:tcW w:w="708" w:type="dxa"/>
          </w:tcPr>
          <w:p w14:paraId="2B9E0A03"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c>
          <w:tcPr>
            <w:tcW w:w="2268" w:type="dxa"/>
          </w:tcPr>
          <w:p w14:paraId="68F2DF44" w14:textId="77777777" w:rsidR="003B239A" w:rsidRPr="001C3728" w:rsidRDefault="003B239A" w:rsidP="001A75CA">
            <w:pPr>
              <w:pStyle w:val="Tabletext1"/>
              <w:keepNext/>
              <w:jc w:val="left"/>
            </w:pPr>
            <w:r w:rsidRPr="001C3728">
              <w:rPr>
                <w:i/>
              </w:rPr>
              <w:t>Disease +</w:t>
            </w:r>
          </w:p>
        </w:tc>
        <w:tc>
          <w:tcPr>
            <w:tcW w:w="2410" w:type="dxa"/>
          </w:tcPr>
          <w:p w14:paraId="486C2D29" w14:textId="77777777" w:rsidR="003B239A" w:rsidRPr="001C3728" w:rsidRDefault="003B239A" w:rsidP="001A75CA">
            <w:pPr>
              <w:pStyle w:val="Tabletext1"/>
              <w:keepNext/>
              <w:jc w:val="left"/>
            </w:pPr>
            <w:r w:rsidRPr="001C3728">
              <w:rPr>
                <w:i/>
              </w:rPr>
              <w:t>Disease –</w:t>
            </w:r>
          </w:p>
        </w:tc>
        <w:tc>
          <w:tcPr>
            <w:tcW w:w="1559" w:type="dxa"/>
          </w:tcPr>
          <w:p w14:paraId="790D6897"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r>
      <w:tr w:rsidR="003B239A" w:rsidRPr="001C3728" w14:paraId="2148A26F" w14:textId="77777777" w:rsidTr="0042252D">
        <w:trPr>
          <w:trHeight w:val="449"/>
        </w:trPr>
        <w:tc>
          <w:tcPr>
            <w:tcW w:w="2235" w:type="dxa"/>
          </w:tcPr>
          <w:p w14:paraId="483B4CF5" w14:textId="77777777" w:rsidR="003B239A" w:rsidRPr="001C3728" w:rsidRDefault="003B239A" w:rsidP="001A75CA">
            <w:pPr>
              <w:pStyle w:val="Tabletext1"/>
              <w:keepNext/>
              <w:jc w:val="left"/>
              <w:rPr>
                <w:b/>
              </w:rPr>
            </w:pPr>
            <w:r w:rsidRPr="001C3728">
              <w:rPr>
                <w:b/>
              </w:rPr>
              <w:t>Index test</w:t>
            </w:r>
          </w:p>
        </w:tc>
        <w:tc>
          <w:tcPr>
            <w:tcW w:w="708" w:type="dxa"/>
          </w:tcPr>
          <w:p w14:paraId="26042FC4" w14:textId="77777777" w:rsidR="003B239A" w:rsidRPr="001C3728" w:rsidRDefault="003B239A" w:rsidP="001A75CA">
            <w:pPr>
              <w:pStyle w:val="Tabletext1"/>
              <w:keepNext/>
              <w:jc w:val="left"/>
            </w:pPr>
            <w:r w:rsidRPr="001C3728">
              <w:rPr>
                <w:i/>
              </w:rPr>
              <w:t>Test +</w:t>
            </w:r>
          </w:p>
        </w:tc>
        <w:tc>
          <w:tcPr>
            <w:tcW w:w="2268" w:type="dxa"/>
          </w:tcPr>
          <w:p w14:paraId="09A9471A" w14:textId="77777777" w:rsidR="003B239A" w:rsidRPr="001C3728" w:rsidRDefault="003B239A" w:rsidP="001A75CA">
            <w:pPr>
              <w:pStyle w:val="Tabletext1"/>
              <w:keepNext/>
              <w:jc w:val="left"/>
            </w:pPr>
            <w:r w:rsidRPr="001C3728">
              <w:t>true positive</w:t>
            </w:r>
          </w:p>
        </w:tc>
        <w:tc>
          <w:tcPr>
            <w:tcW w:w="2410" w:type="dxa"/>
          </w:tcPr>
          <w:p w14:paraId="3E195C34" w14:textId="77777777" w:rsidR="003B239A" w:rsidRPr="001C3728" w:rsidRDefault="003B239A" w:rsidP="001A75CA">
            <w:pPr>
              <w:pStyle w:val="Tabletext1"/>
              <w:keepNext/>
              <w:jc w:val="left"/>
            </w:pPr>
            <w:r w:rsidRPr="001C3728">
              <w:t>false positive</w:t>
            </w:r>
          </w:p>
        </w:tc>
        <w:tc>
          <w:tcPr>
            <w:tcW w:w="1559" w:type="dxa"/>
          </w:tcPr>
          <w:p w14:paraId="6DF313B9" w14:textId="77777777" w:rsidR="003B239A" w:rsidRPr="001C3728" w:rsidRDefault="003B239A" w:rsidP="001A75CA">
            <w:pPr>
              <w:pStyle w:val="Tabletext1"/>
              <w:keepNext/>
              <w:jc w:val="left"/>
            </w:pPr>
            <w:r w:rsidRPr="001C3728">
              <w:t>Total test positive</w:t>
            </w:r>
          </w:p>
        </w:tc>
      </w:tr>
      <w:tr w:rsidR="003B239A" w:rsidRPr="001C3728" w14:paraId="71A8D6C7" w14:textId="77777777" w:rsidTr="0042252D">
        <w:trPr>
          <w:trHeight w:val="426"/>
        </w:trPr>
        <w:tc>
          <w:tcPr>
            <w:tcW w:w="2235" w:type="dxa"/>
          </w:tcPr>
          <w:p w14:paraId="7A8C4A79" w14:textId="4320437B" w:rsidR="003B239A" w:rsidRPr="001C3728" w:rsidRDefault="003B239A" w:rsidP="001A75CA">
            <w:pPr>
              <w:pStyle w:val="Tabletext1"/>
              <w:keepNext/>
              <w:jc w:val="left"/>
              <w:rPr>
                <w:rFonts w:ascii="Arial" w:hAnsi="Arial"/>
                <w:lang w:eastAsia="en-US"/>
              </w:rPr>
            </w:pPr>
            <w:r w:rsidRPr="001C3728">
              <w:rPr>
                <w:b/>
              </w:rPr>
              <w:t>(</w:t>
            </w:r>
            <w:r w:rsidR="00FD37D3" w:rsidRPr="00FD37D3">
              <w:rPr>
                <w:rFonts w:eastAsiaTheme="minorHAnsi" w:cs="Times New Roman"/>
                <w:b/>
                <w:lang w:eastAsia="en-US"/>
              </w:rPr>
              <w:t>CFTR</w:t>
            </w:r>
            <w:r w:rsidRPr="001024C1">
              <w:rPr>
                <w:rFonts w:eastAsiaTheme="minorHAnsi" w:cs="Times New Roman"/>
                <w:b/>
                <w:lang w:eastAsia="en-US"/>
              </w:rPr>
              <w:t xml:space="preserve"> mutation testing</w:t>
            </w:r>
            <w:r w:rsidRPr="001C3728">
              <w:rPr>
                <w:b/>
              </w:rPr>
              <w:t>)</w:t>
            </w:r>
          </w:p>
        </w:tc>
        <w:tc>
          <w:tcPr>
            <w:tcW w:w="708" w:type="dxa"/>
          </w:tcPr>
          <w:p w14:paraId="7311EF1A" w14:textId="77777777" w:rsidR="003B239A" w:rsidRPr="001C3728" w:rsidRDefault="003B239A" w:rsidP="001A75CA">
            <w:pPr>
              <w:pStyle w:val="Tabletext1"/>
              <w:keepNext/>
              <w:jc w:val="left"/>
            </w:pPr>
            <w:r w:rsidRPr="001C3728">
              <w:rPr>
                <w:i/>
              </w:rPr>
              <w:t>Test –</w:t>
            </w:r>
          </w:p>
        </w:tc>
        <w:tc>
          <w:tcPr>
            <w:tcW w:w="2268" w:type="dxa"/>
          </w:tcPr>
          <w:p w14:paraId="120EAF0F" w14:textId="77777777" w:rsidR="003B239A" w:rsidRPr="001C3728" w:rsidRDefault="003B239A" w:rsidP="001A75CA">
            <w:pPr>
              <w:pStyle w:val="Tabletext1"/>
              <w:keepNext/>
              <w:jc w:val="left"/>
            </w:pPr>
            <w:r w:rsidRPr="001C3728">
              <w:t>false negative</w:t>
            </w:r>
          </w:p>
        </w:tc>
        <w:tc>
          <w:tcPr>
            <w:tcW w:w="2410" w:type="dxa"/>
          </w:tcPr>
          <w:p w14:paraId="585E9A9B" w14:textId="77777777" w:rsidR="003B239A" w:rsidRPr="001C3728" w:rsidRDefault="003B239A" w:rsidP="001A75CA">
            <w:pPr>
              <w:pStyle w:val="Tabletext1"/>
              <w:keepNext/>
              <w:jc w:val="left"/>
            </w:pPr>
            <w:r w:rsidRPr="001C3728">
              <w:t>true negative</w:t>
            </w:r>
          </w:p>
        </w:tc>
        <w:tc>
          <w:tcPr>
            <w:tcW w:w="1559" w:type="dxa"/>
          </w:tcPr>
          <w:p w14:paraId="405E0313" w14:textId="77777777" w:rsidR="003B239A" w:rsidRPr="001C3728" w:rsidRDefault="003B239A" w:rsidP="001A75CA">
            <w:pPr>
              <w:pStyle w:val="Tabletext1"/>
              <w:keepNext/>
              <w:jc w:val="left"/>
            </w:pPr>
            <w:r w:rsidRPr="001C3728">
              <w:t>Total test negative</w:t>
            </w:r>
          </w:p>
        </w:tc>
      </w:tr>
      <w:tr w:rsidR="003B239A" w:rsidRPr="001C3728" w14:paraId="4C5606E1" w14:textId="77777777" w:rsidTr="0042252D">
        <w:trPr>
          <w:trHeight w:val="149"/>
        </w:trPr>
        <w:tc>
          <w:tcPr>
            <w:tcW w:w="2235" w:type="dxa"/>
          </w:tcPr>
          <w:p w14:paraId="75447931" w14:textId="77777777" w:rsidR="003B239A" w:rsidRPr="00DA63BE" w:rsidRDefault="003B239A" w:rsidP="001A75CA">
            <w:pPr>
              <w:pStyle w:val="Tabletext1"/>
              <w:keepNext/>
              <w:jc w:val="left"/>
              <w:rPr>
                <w:rFonts w:ascii="Arial" w:hAnsi="Arial"/>
                <w:color w:val="FFFFFF" w:themeColor="background1"/>
                <w:lang w:eastAsia="en-US"/>
              </w:rPr>
            </w:pPr>
            <w:r w:rsidRPr="00DA63BE">
              <w:rPr>
                <w:rFonts w:ascii="Arial" w:hAnsi="Arial"/>
                <w:color w:val="FFFFFF" w:themeColor="background1"/>
                <w:lang w:eastAsia="en-US"/>
              </w:rPr>
              <w:t>-</w:t>
            </w:r>
          </w:p>
        </w:tc>
        <w:tc>
          <w:tcPr>
            <w:tcW w:w="708" w:type="dxa"/>
          </w:tcPr>
          <w:p w14:paraId="5EEA3207" w14:textId="77777777" w:rsidR="003B239A" w:rsidRPr="00DA63BE" w:rsidRDefault="003B239A" w:rsidP="001A75CA">
            <w:pPr>
              <w:pStyle w:val="Tabletext1"/>
              <w:keepNext/>
              <w:jc w:val="left"/>
              <w:rPr>
                <w:color w:val="FFFFFF" w:themeColor="background1"/>
              </w:rPr>
            </w:pPr>
            <w:r w:rsidRPr="00DA63BE">
              <w:rPr>
                <w:color w:val="FFFFFF" w:themeColor="background1"/>
              </w:rPr>
              <w:t>-</w:t>
            </w:r>
          </w:p>
        </w:tc>
        <w:tc>
          <w:tcPr>
            <w:tcW w:w="2268" w:type="dxa"/>
          </w:tcPr>
          <w:p w14:paraId="598E1FAB" w14:textId="77777777" w:rsidR="003B239A" w:rsidRPr="001C3728" w:rsidRDefault="003B239A" w:rsidP="001A75CA">
            <w:pPr>
              <w:pStyle w:val="Tabletext1"/>
              <w:keepNext/>
              <w:jc w:val="left"/>
              <w:rPr>
                <w:highlight w:val="yellow"/>
              </w:rPr>
            </w:pPr>
            <w:r w:rsidRPr="001C3728">
              <w:t xml:space="preserve">Total with </w:t>
            </w:r>
            <w:r>
              <w:t>CF</w:t>
            </w:r>
          </w:p>
        </w:tc>
        <w:tc>
          <w:tcPr>
            <w:tcW w:w="2410" w:type="dxa"/>
          </w:tcPr>
          <w:p w14:paraId="3C61B6E4" w14:textId="77777777" w:rsidR="003B239A" w:rsidRPr="001C3728" w:rsidRDefault="003B239A" w:rsidP="001A75CA">
            <w:pPr>
              <w:pStyle w:val="Tabletext1"/>
              <w:keepNext/>
              <w:jc w:val="left"/>
              <w:rPr>
                <w:highlight w:val="yellow"/>
              </w:rPr>
            </w:pPr>
            <w:r w:rsidRPr="001C3728">
              <w:t xml:space="preserve">Total without </w:t>
            </w:r>
            <w:r>
              <w:t>CF</w:t>
            </w:r>
          </w:p>
        </w:tc>
        <w:tc>
          <w:tcPr>
            <w:tcW w:w="1559" w:type="dxa"/>
          </w:tcPr>
          <w:p w14:paraId="0BB22585" w14:textId="77777777" w:rsidR="003B239A" w:rsidRPr="001C3728" w:rsidRDefault="003B239A" w:rsidP="001A75CA">
            <w:pPr>
              <w:pStyle w:val="Tabletext1"/>
              <w:keepNext/>
              <w:jc w:val="left"/>
            </w:pPr>
            <w:r w:rsidRPr="00DA63BE">
              <w:rPr>
                <w:color w:val="FFFFFF" w:themeColor="background1"/>
              </w:rPr>
              <w:t>-</w:t>
            </w:r>
          </w:p>
        </w:tc>
      </w:tr>
    </w:tbl>
    <w:p w14:paraId="1B52BBFC" w14:textId="77777777" w:rsidR="003B239A" w:rsidRDefault="003B239A" w:rsidP="003B239A"/>
    <w:p w14:paraId="5448853C" w14:textId="77777777" w:rsidR="00D230B4" w:rsidRDefault="00D230B4">
      <w:pPr>
        <w:spacing w:after="0" w:line="240" w:lineRule="auto"/>
        <w:jc w:val="left"/>
        <w:rPr>
          <w:b/>
          <w:szCs w:val="24"/>
        </w:rPr>
      </w:pPr>
      <w:r>
        <w:br w:type="page"/>
      </w:r>
    </w:p>
    <w:p w14:paraId="500268A5" w14:textId="1C49BF9C" w:rsidR="003B239A" w:rsidRPr="001C3728" w:rsidRDefault="003B239A" w:rsidP="000C5D58">
      <w:pPr>
        <w:pStyle w:val="Heading3"/>
      </w:pPr>
      <w:r w:rsidRPr="001C3728">
        <w:lastRenderedPageBreak/>
        <w:t>Primary measures</w:t>
      </w:r>
    </w:p>
    <w:p w14:paraId="07756154" w14:textId="1E9A5267" w:rsidR="003B239A" w:rsidRPr="002B6708" w:rsidRDefault="0031526F" w:rsidP="003B239A">
      <w:pPr>
        <w:rPr>
          <w:rFonts w:asciiTheme="minorHAnsi" w:hAnsiTheme="minorHAnsi"/>
        </w:rPr>
      </w:pPr>
      <w:r>
        <w:t xml:space="preserve">Meta-analysis could not be conducted to determine the accuracy of CFTR mutation testing in patients with a high clinical suspicion of CF. </w:t>
      </w:r>
      <w:r w:rsidR="003B239A" w:rsidRPr="002B6708">
        <w:rPr>
          <w:rFonts w:asciiTheme="minorHAnsi" w:hAnsiTheme="minorHAnsi"/>
        </w:rPr>
        <w:t xml:space="preserve">The studies that compared </w:t>
      </w:r>
      <w:r w:rsidR="00FD37D3" w:rsidRPr="00FD37D3">
        <w:rPr>
          <w:rFonts w:asciiTheme="minorHAnsi" w:hAnsiTheme="minorHAnsi"/>
        </w:rPr>
        <w:t>CFTR</w:t>
      </w:r>
      <w:r w:rsidR="003B239A" w:rsidRPr="002B6708">
        <w:rPr>
          <w:rFonts w:asciiTheme="minorHAnsi" w:hAnsiTheme="minorHAnsi"/>
        </w:rPr>
        <w:t xml:space="preserve"> mutation testing with DNA sequencing methods used DNA samples from patients with known </w:t>
      </w:r>
      <w:r w:rsidR="00FD37D3" w:rsidRPr="00FD37D3">
        <w:rPr>
          <w:rFonts w:asciiTheme="minorHAnsi" w:hAnsiTheme="minorHAnsi"/>
        </w:rPr>
        <w:t>CFTR</w:t>
      </w:r>
      <w:r w:rsidR="003B239A" w:rsidRPr="002B6708">
        <w:rPr>
          <w:rFonts w:asciiTheme="minorHAnsi" w:hAnsiTheme="minorHAnsi"/>
        </w:rPr>
        <w:t xml:space="preserve"> mutations</w:t>
      </w:r>
      <w:r w:rsidR="00442CF1">
        <w:rPr>
          <w:rFonts w:asciiTheme="minorHAnsi" w:hAnsiTheme="minorHAnsi"/>
        </w:rPr>
        <w:t>,</w:t>
      </w:r>
      <w:r w:rsidR="003B239A" w:rsidRPr="002B6708">
        <w:rPr>
          <w:rFonts w:asciiTheme="minorHAnsi" w:hAnsiTheme="minorHAnsi"/>
        </w:rPr>
        <w:t xml:space="preserve"> and all were detected by DNA sequencing. Hence, there were no true negative results in these studies and only the sensitivity and false negative rate could be reported. Similar restrictions applied to the studies comparing </w:t>
      </w:r>
      <w:r w:rsidR="00FD37D3" w:rsidRPr="00FD37D3">
        <w:rPr>
          <w:rFonts w:asciiTheme="minorHAnsi" w:hAnsiTheme="minorHAnsi"/>
        </w:rPr>
        <w:t>CFTR</w:t>
      </w:r>
      <w:r w:rsidR="003B239A" w:rsidRPr="002B6708">
        <w:rPr>
          <w:rFonts w:asciiTheme="minorHAnsi" w:hAnsiTheme="minorHAnsi"/>
        </w:rPr>
        <w:t xml:space="preserve"> mutation testing or DNA sequencing </w:t>
      </w:r>
      <w:r w:rsidR="00442CF1">
        <w:rPr>
          <w:rFonts w:asciiTheme="minorHAnsi" w:hAnsiTheme="minorHAnsi"/>
        </w:rPr>
        <w:t>with</w:t>
      </w:r>
      <w:r w:rsidR="00442CF1" w:rsidRPr="002B6708">
        <w:rPr>
          <w:rFonts w:asciiTheme="minorHAnsi" w:hAnsiTheme="minorHAnsi"/>
        </w:rPr>
        <w:t xml:space="preserve"> </w:t>
      </w:r>
      <w:r w:rsidR="003B239A" w:rsidRPr="002B6708">
        <w:rPr>
          <w:rFonts w:asciiTheme="minorHAnsi" w:hAnsiTheme="minorHAnsi"/>
        </w:rPr>
        <w:t xml:space="preserve">clinical diagnosis. As all patients definitively diagnosed with CF are considered to have two </w:t>
      </w:r>
      <w:r w:rsidR="00FD37D3" w:rsidRPr="00FD37D3">
        <w:rPr>
          <w:rFonts w:asciiTheme="minorHAnsi" w:hAnsiTheme="minorHAnsi"/>
        </w:rPr>
        <w:t>CFTR</w:t>
      </w:r>
      <w:r w:rsidR="003B239A" w:rsidRPr="002B6708">
        <w:rPr>
          <w:rFonts w:asciiTheme="minorHAnsi" w:hAnsiTheme="minorHAnsi"/>
        </w:rPr>
        <w:t xml:space="preserve"> mutations, there could be no true negative results. As a consequence, only the sensitivity and false negative rate could be reported. </w:t>
      </w:r>
    </w:p>
    <w:p w14:paraId="3D238FC2" w14:textId="44E00219" w:rsidR="003B239A" w:rsidRPr="002B6708" w:rsidRDefault="003B239A" w:rsidP="003B239A">
      <w:pPr>
        <w:rPr>
          <w:rFonts w:asciiTheme="minorHAnsi" w:hAnsiTheme="minorHAnsi"/>
        </w:rPr>
      </w:pPr>
      <w:r w:rsidRPr="002B6708">
        <w:rPr>
          <w:rFonts w:asciiTheme="minorHAnsi" w:hAnsiTheme="minorHAnsi"/>
        </w:rPr>
        <w:t xml:space="preserve">Men with CBAVD are more likely to have </w:t>
      </w:r>
      <w:r w:rsidR="00FD37D3" w:rsidRPr="00FD37D3">
        <w:rPr>
          <w:rFonts w:asciiTheme="minorHAnsi" w:hAnsiTheme="minorHAnsi"/>
        </w:rPr>
        <w:t>CFTR</w:t>
      </w:r>
      <w:r w:rsidRPr="002B6708">
        <w:rPr>
          <w:rFonts w:asciiTheme="minorHAnsi" w:hAnsiTheme="minorHAnsi"/>
        </w:rPr>
        <w:t xml:space="preserve"> mutations that are not identifiable</w:t>
      </w:r>
      <w:r w:rsidR="00873BD9">
        <w:rPr>
          <w:rFonts w:asciiTheme="minorHAnsi" w:hAnsiTheme="minorHAnsi"/>
        </w:rPr>
        <w:t xml:space="preserve"> than </w:t>
      </w:r>
      <w:r w:rsidR="00442CF1">
        <w:rPr>
          <w:rFonts w:asciiTheme="minorHAnsi" w:hAnsiTheme="minorHAnsi"/>
        </w:rPr>
        <w:t xml:space="preserve">are </w:t>
      </w:r>
      <w:r w:rsidR="00873BD9">
        <w:rPr>
          <w:rFonts w:asciiTheme="minorHAnsi" w:hAnsiTheme="minorHAnsi"/>
        </w:rPr>
        <w:t>patients with classic CF symptoms</w:t>
      </w:r>
      <w:r w:rsidRPr="002B6708">
        <w:rPr>
          <w:rFonts w:asciiTheme="minorHAnsi" w:hAnsiTheme="minorHAnsi"/>
        </w:rPr>
        <w:t xml:space="preserve"> (see ‘Context’ in Section A). In fact, 25% of CBAVD patients have one and 28% have two </w:t>
      </w:r>
      <w:r w:rsidR="00FD37D3" w:rsidRPr="00FD37D3">
        <w:rPr>
          <w:rFonts w:asciiTheme="minorHAnsi" w:hAnsiTheme="minorHAnsi"/>
        </w:rPr>
        <w:t>CFTR</w:t>
      </w:r>
      <w:r w:rsidRPr="002B6708">
        <w:rPr>
          <w:rFonts w:asciiTheme="minorHAnsi" w:hAnsiTheme="minorHAnsi"/>
        </w:rPr>
        <w:t xml:space="preserve"> alleles for which a mutation cannot be identified using panel-based </w:t>
      </w:r>
      <w:r w:rsidR="00FD37D3" w:rsidRPr="00FD37D3">
        <w:rPr>
          <w:rFonts w:asciiTheme="minorHAnsi" w:hAnsiTheme="minorHAnsi"/>
        </w:rPr>
        <w:t>CFTR</w:t>
      </w:r>
      <w:r w:rsidRPr="002B6708">
        <w:rPr>
          <w:rFonts w:asciiTheme="minorHAnsi" w:hAnsiTheme="minorHAnsi"/>
        </w:rPr>
        <w:t xml:space="preserve"> mutation tests. Even after extensive DNA sequencing of all coding and flanking regions, a mutation could be detected on only one </w:t>
      </w:r>
      <w:r w:rsidR="00A21FD9" w:rsidRPr="00A21FD9">
        <w:rPr>
          <w:rFonts w:asciiTheme="minorHAnsi" w:hAnsiTheme="minorHAnsi"/>
          <w:i/>
        </w:rPr>
        <w:t>CFTR</w:t>
      </w:r>
      <w:r w:rsidRPr="002B6708">
        <w:rPr>
          <w:rFonts w:asciiTheme="minorHAnsi" w:hAnsiTheme="minorHAnsi"/>
        </w:rPr>
        <w:t xml:space="preserve"> gene in 16% of the CBAVD patients</w:t>
      </w:r>
      <w:r w:rsidR="00442CF1">
        <w:rPr>
          <w:rFonts w:asciiTheme="minorHAnsi" w:hAnsiTheme="minorHAnsi"/>
        </w:rPr>
        <w:t>,</w:t>
      </w:r>
      <w:r w:rsidRPr="002B6708">
        <w:rPr>
          <w:rFonts w:asciiTheme="minorHAnsi" w:hAnsiTheme="minorHAnsi"/>
        </w:rPr>
        <w:t xml:space="preserve"> and no mutati</w:t>
      </w:r>
      <w:r>
        <w:rPr>
          <w:rFonts w:asciiTheme="minorHAnsi" w:hAnsiTheme="minorHAnsi"/>
        </w:rPr>
        <w:t xml:space="preserve">ons could be identified in 13% </w:t>
      </w:r>
      <w:r>
        <w:rPr>
          <w:rFonts w:asciiTheme="minorHAnsi" w:hAnsiTheme="minorHAnsi"/>
        </w:rPr>
        <w:fldChar w:fldCharType="begin">
          <w:fldData xml:space="preserve">PEVuZE5vdGU+PENpdGU+PEF1dGhvcj5DbGF1c3RyZXM8L0F1dGhvcj48WWVhcj4yMDAwPC9ZZWFy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SHVtYW4gTXV0YXRpb248L2Z1bGwtdGl0bGU+PC9hbHQtcGVyaW9kaWNhbD48cGFnZXM+MTQzLTU2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</w:fldData>
        </w:fldChar>
      </w:r>
      <w:r>
        <w:rPr>
          <w:rFonts w:asciiTheme="minorHAnsi" w:hAnsiTheme="minorHAnsi"/>
        </w:rPr>
        <w:instrText xml:space="preserve"> ADDIN EN.CITE </w:instrText>
      </w:r>
      <w:r>
        <w:rPr>
          <w:rFonts w:asciiTheme="minorHAnsi" w:hAnsiTheme="minorHAnsi"/>
        </w:rPr>
        <w:fldChar w:fldCharType="begin">
          <w:fldData xml:space="preserve">PEVuZE5vdGU+PENpdGU+PEF1dGhvcj5DbGF1c3RyZXM8L0F1dGhvcj48WWVhcj4yMDAwPC9ZZWFy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</w:fldData>
        </w:fldChar>
      </w:r>
      <w:r>
        <w:rPr>
          <w:rFonts w:asciiTheme="minorHAnsi" w:hAnsiTheme="minorHAnsi"/>
        </w:rPr>
        <w:instrText xml:space="preserve"> ADDIN EN.CITE.DATA </w:instrText>
      </w:r>
      <w:r>
        <w:rPr>
          <w:rFonts w:asciiTheme="minorHAnsi" w:hAnsiTheme="minorHAnsi"/>
        </w:rPr>
      </w:r>
      <w:r>
        <w:rPr>
          <w:rFonts w:asciiTheme="minorHAnsi" w:hAnsiTheme="minorHAnsi"/>
        </w:rPr>
        <w:fldChar w:fldCharType="end"/>
      </w:r>
      <w:r>
        <w:rPr>
          <w:rFonts w:asciiTheme="minorHAnsi" w:hAnsiTheme="minorHAnsi"/>
        </w:rPr>
      </w:r>
      <w:r>
        <w:rPr>
          <w:rFonts w:asciiTheme="minorHAnsi" w:hAnsiTheme="minorHAnsi"/>
        </w:rPr>
        <w:fldChar w:fldCharType="separate"/>
      </w:r>
      <w:r>
        <w:rPr>
          <w:rFonts w:asciiTheme="minorHAnsi" w:hAnsiTheme="minorHAnsi"/>
          <w:noProof/>
        </w:rPr>
        <w:t>(</w:t>
      </w:r>
      <w:hyperlink w:anchor="_ENREF_23" w:tooltip="Claustres, 2000 #55" w:history="1">
        <w:r w:rsidR="00B46ABF">
          <w:rPr>
            <w:rFonts w:asciiTheme="minorHAnsi" w:hAnsiTheme="minorHAnsi"/>
            <w:noProof/>
          </w:rPr>
          <w:t>Claustres et al. 2000</w:t>
        </w:r>
      </w:hyperlink>
      <w:r>
        <w:rPr>
          <w:rFonts w:asciiTheme="minorHAnsi" w:hAnsiTheme="minorHAnsi"/>
          <w:noProof/>
        </w:rPr>
        <w:t>)</w:t>
      </w:r>
      <w:r>
        <w:rPr>
          <w:rFonts w:asciiTheme="minorHAnsi" w:hAnsiTheme="minorHAnsi"/>
        </w:rPr>
        <w:fldChar w:fldCharType="end"/>
      </w:r>
      <w:r w:rsidRPr="002B6708">
        <w:rPr>
          <w:rFonts w:asciiTheme="minorHAnsi" w:hAnsiTheme="minorHAnsi"/>
        </w:rPr>
        <w:t xml:space="preserve">. One study compared the accuracy of </w:t>
      </w:r>
      <w:r w:rsidR="00FD37D3" w:rsidRPr="00FD37D3">
        <w:rPr>
          <w:rFonts w:asciiTheme="minorHAnsi" w:hAnsiTheme="minorHAnsi"/>
        </w:rPr>
        <w:t>CFTR</w:t>
      </w:r>
      <w:r w:rsidRPr="002B6708">
        <w:rPr>
          <w:rFonts w:asciiTheme="minorHAnsi" w:hAnsiTheme="minorHAnsi"/>
        </w:rPr>
        <w:t xml:space="preserve"> mutation testing with a DNA sequencing method with or without a deletion/insertion detection method. In this study those CBAVD patients </w:t>
      </w:r>
      <w:r w:rsidR="00970509">
        <w:rPr>
          <w:rFonts w:asciiTheme="minorHAnsi" w:hAnsiTheme="minorHAnsi"/>
        </w:rPr>
        <w:t>who</w:t>
      </w:r>
      <w:r w:rsidR="00970509" w:rsidRPr="002B6708">
        <w:rPr>
          <w:rFonts w:asciiTheme="minorHAnsi" w:hAnsiTheme="minorHAnsi"/>
        </w:rPr>
        <w:t xml:space="preserve"> </w:t>
      </w:r>
      <w:r w:rsidRPr="002B6708">
        <w:rPr>
          <w:rFonts w:asciiTheme="minorHAnsi" w:hAnsiTheme="minorHAnsi"/>
        </w:rPr>
        <w:t>had no detectable mutations after DNA sequencing could be considered true negatives</w:t>
      </w:r>
      <w:r w:rsidR="00442CF1">
        <w:rPr>
          <w:rFonts w:asciiTheme="minorHAnsi" w:hAnsiTheme="minorHAnsi"/>
        </w:rPr>
        <w:t>,</w:t>
      </w:r>
      <w:r w:rsidRPr="002B6708">
        <w:rPr>
          <w:rFonts w:asciiTheme="minorHAnsi" w:hAnsiTheme="minorHAnsi"/>
        </w:rPr>
        <w:t xml:space="preserve"> and both sensitivity and specificity outcomes could be reported for this study. However, as all included patients had been clinically diagnosed with CBAVD, there were no true negatives in the studies that used clinical diagnosis as the reference standard. Therefore, only sensitivity and false negative rates could be reported.</w:t>
      </w:r>
    </w:p>
    <w:p w14:paraId="184EE0D1" w14:textId="6F3FB7EB" w:rsidR="003B239A" w:rsidRPr="001C3728" w:rsidRDefault="003B239A" w:rsidP="003B239A">
      <w:pPr>
        <w:rPr>
          <w:rFonts w:asciiTheme="minorHAnsi" w:hAnsiTheme="minorHAnsi"/>
        </w:rPr>
      </w:pPr>
      <w:r w:rsidRPr="001C3728">
        <w:rPr>
          <w:rFonts w:asciiTheme="minorHAnsi" w:hAnsiTheme="minorHAnsi"/>
        </w:rPr>
        <w:t xml:space="preserve">Test sensitivity was calculated as the proportion of people with </w:t>
      </w:r>
      <w:r>
        <w:rPr>
          <w:rFonts w:asciiTheme="minorHAnsi" w:hAnsiTheme="minorHAnsi"/>
        </w:rPr>
        <w:t>CF</w:t>
      </w:r>
      <w:r w:rsidRPr="001C3728">
        <w:rPr>
          <w:rFonts w:asciiTheme="minorHAnsi" w:hAnsiTheme="minorHAnsi"/>
        </w:rPr>
        <w:t xml:space="preserve"> (as determined by the reference standard) who had a positive test result using </w:t>
      </w:r>
      <w:r w:rsidR="00FD37D3" w:rsidRPr="00FD37D3">
        <w:rPr>
          <w:rFonts w:asciiTheme="minorHAnsi" w:hAnsiTheme="minorHAnsi"/>
        </w:rPr>
        <w:t>CFTR</w:t>
      </w:r>
      <w:r w:rsidRPr="009356B0">
        <w:rPr>
          <w:rFonts w:asciiTheme="minorHAnsi" w:hAnsiTheme="minorHAnsi"/>
        </w:rPr>
        <w:t xml:space="preserve"> mutation testing</w:t>
      </w:r>
      <w:r w:rsidRPr="001C3728">
        <w:rPr>
          <w:rFonts w:asciiTheme="minorHAnsi" w:hAnsiTheme="minorHAnsi"/>
        </w:rPr>
        <w:t>:</w:t>
      </w:r>
    </w:p>
    <w:p w14:paraId="25137583" w14:textId="77777777" w:rsidR="003B239A" w:rsidRPr="001C3728" w:rsidRDefault="003B239A" w:rsidP="003B239A">
      <w:pPr>
        <w:rPr>
          <w:rFonts w:ascii="Arial Narrow" w:hAnsi="Arial Narrow"/>
          <w:vertAlign w:val="superscript"/>
        </w:rPr>
      </w:pPr>
      <w:r w:rsidRPr="001C3728">
        <w:rPr>
          <w:rFonts w:ascii="Arial Narrow" w:hAnsi="Arial Narrow"/>
        </w:rPr>
        <w:t xml:space="preserve">Sensitivity (true positive rate) = number with true positive result / total with </w:t>
      </w:r>
      <w:r>
        <w:rPr>
          <w:rFonts w:ascii="Arial Narrow" w:hAnsi="Arial Narrow"/>
        </w:rPr>
        <w:t>CF</w:t>
      </w:r>
    </w:p>
    <w:p w14:paraId="768FF648" w14:textId="60BD4668" w:rsidR="003B239A" w:rsidRPr="001C3728" w:rsidRDefault="003B239A" w:rsidP="003B239A">
      <w:pPr>
        <w:rPr>
          <w:rFonts w:asciiTheme="minorHAnsi" w:hAnsiTheme="minorHAnsi"/>
        </w:rPr>
      </w:pPr>
      <w:r w:rsidRPr="001C3728">
        <w:rPr>
          <w:rFonts w:asciiTheme="minorHAnsi" w:hAnsiTheme="minorHAnsi"/>
        </w:rPr>
        <w:t xml:space="preserve">Test specificity was calculated as the proportion of people without </w:t>
      </w:r>
      <w:r>
        <w:rPr>
          <w:rFonts w:asciiTheme="minorHAnsi" w:hAnsiTheme="minorHAnsi"/>
        </w:rPr>
        <w:t>CF</w:t>
      </w:r>
      <w:r w:rsidRPr="001C3728">
        <w:rPr>
          <w:rFonts w:asciiTheme="minorHAnsi" w:hAnsiTheme="minorHAnsi"/>
        </w:rPr>
        <w:t xml:space="preserve"> (as determined by </w:t>
      </w:r>
      <w:r w:rsidR="00442CF1">
        <w:rPr>
          <w:rFonts w:asciiTheme="minorHAnsi" w:hAnsiTheme="minorHAnsi"/>
        </w:rPr>
        <w:t xml:space="preserve">the </w:t>
      </w:r>
      <w:r w:rsidRPr="001C3728">
        <w:rPr>
          <w:rFonts w:asciiTheme="minorHAnsi" w:hAnsiTheme="minorHAnsi"/>
        </w:rPr>
        <w:t xml:space="preserve">reference standard) who had a </w:t>
      </w:r>
      <w:r w:rsidR="00442CF1" w:rsidRPr="00B626FD">
        <w:rPr>
          <w:rFonts w:asciiTheme="minorHAnsi" w:hAnsiTheme="minorHAnsi"/>
        </w:rPr>
        <w:t>negative</w:t>
      </w:r>
      <w:r w:rsidR="00442CF1" w:rsidRPr="001C3728">
        <w:rPr>
          <w:rFonts w:asciiTheme="minorHAnsi" w:hAnsiTheme="minorHAnsi"/>
        </w:rPr>
        <w:t xml:space="preserve"> </w:t>
      </w:r>
      <w:r w:rsidRPr="001C3728">
        <w:rPr>
          <w:rFonts w:asciiTheme="minorHAnsi" w:hAnsiTheme="minorHAnsi"/>
        </w:rPr>
        <w:t xml:space="preserve">test result using </w:t>
      </w:r>
      <w:r w:rsidR="00FD37D3" w:rsidRPr="00FD37D3">
        <w:rPr>
          <w:rFonts w:asciiTheme="minorHAnsi" w:hAnsiTheme="minorHAnsi"/>
        </w:rPr>
        <w:t>CFTR</w:t>
      </w:r>
      <w:r w:rsidRPr="009356B0">
        <w:rPr>
          <w:rFonts w:asciiTheme="minorHAnsi" w:hAnsiTheme="minorHAnsi"/>
        </w:rPr>
        <w:t xml:space="preserve"> mutation testing</w:t>
      </w:r>
      <w:r w:rsidRPr="001C3728">
        <w:rPr>
          <w:rFonts w:asciiTheme="minorHAnsi" w:hAnsiTheme="minorHAnsi"/>
        </w:rPr>
        <w:t>:</w:t>
      </w:r>
    </w:p>
    <w:p w14:paraId="0BE8243E" w14:textId="77777777" w:rsidR="003B239A" w:rsidRPr="001C3728" w:rsidRDefault="003B239A" w:rsidP="003B239A">
      <w:pPr>
        <w:rPr>
          <w:rFonts w:ascii="Arial Narrow" w:hAnsi="Arial Narrow"/>
        </w:rPr>
      </w:pPr>
      <w:r w:rsidRPr="001C3728">
        <w:rPr>
          <w:rFonts w:ascii="Arial Narrow" w:hAnsi="Arial Narrow"/>
        </w:rPr>
        <w:t xml:space="preserve">Specificity (true negative rate) = number with true negative result / total without </w:t>
      </w:r>
      <w:r>
        <w:rPr>
          <w:rFonts w:ascii="Arial Narrow" w:hAnsi="Arial Narrow"/>
        </w:rPr>
        <w:t>CF</w:t>
      </w:r>
    </w:p>
    <w:p w14:paraId="63C30A34" w14:textId="77777777" w:rsidR="003B239A" w:rsidRPr="001C3728" w:rsidRDefault="003B239A" w:rsidP="003B239A">
      <w:pPr>
        <w:rPr>
          <w:rFonts w:asciiTheme="minorHAnsi" w:hAnsiTheme="minorHAnsi"/>
        </w:rPr>
      </w:pPr>
      <w:r w:rsidRPr="001C3728">
        <w:rPr>
          <w:rFonts w:asciiTheme="minorHAnsi" w:hAnsiTheme="minorHAnsi"/>
        </w:rPr>
        <w:t>The 95%CI was calcul</w:t>
      </w:r>
      <w:r w:rsidR="00873BD9">
        <w:rPr>
          <w:rFonts w:asciiTheme="minorHAnsi" w:hAnsiTheme="minorHAnsi"/>
        </w:rPr>
        <w:t>ated by exact binomial methods.</w:t>
      </w:r>
      <w:r w:rsidRPr="001C3728">
        <w:rPr>
          <w:rFonts w:asciiTheme="minorHAnsi" w:hAnsiTheme="minorHAnsi"/>
        </w:rPr>
        <w:t xml:space="preserve"> </w:t>
      </w:r>
      <w:r>
        <w:rPr>
          <w:rFonts w:asciiTheme="minorHAnsi" w:hAnsiTheme="minorHAnsi"/>
        </w:rPr>
        <w:t>Where possible the median sensitivity was calculated.</w:t>
      </w:r>
    </w:p>
    <w:p w14:paraId="4C6B691F" w14:textId="5842EF01" w:rsidR="00A74345" w:rsidRPr="00A74345" w:rsidRDefault="00A74345" w:rsidP="00B45FA8">
      <w:pPr>
        <w:pStyle w:val="Heading2"/>
      </w:pPr>
      <w:bookmarkStart w:id="262" w:name="_Toc418179905"/>
      <w:r>
        <w:t>B.6.i.</w:t>
      </w:r>
      <w:r w:rsidR="00BA5B10">
        <w:tab/>
      </w:r>
      <w:r>
        <w:t xml:space="preserve">Results of the </w:t>
      </w:r>
      <w:r w:rsidR="000C139C">
        <w:t>Test Accuracy Studies</w:t>
      </w:r>
      <w:bookmarkEnd w:id="262"/>
    </w:p>
    <w:p w14:paraId="2E0C0084" w14:textId="4BC2877F"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b/>
          <w:sz w:val="20"/>
          <w:szCs w:val="20"/>
        </w:rPr>
      </w:pPr>
      <w:r w:rsidRPr="001024C1">
        <w:rPr>
          <w:rFonts w:ascii="Arial Narrow" w:hAnsi="Arial Narrow" w:cs="Times New Roman"/>
          <w:b/>
          <w:sz w:val="20"/>
          <w:szCs w:val="20"/>
        </w:rPr>
        <w:t>Summary</w:t>
      </w:r>
      <w:r>
        <w:rPr>
          <w:rFonts w:ascii="Arial Narrow" w:hAnsi="Arial Narrow" w:cs="Times New Roman"/>
          <w:b/>
          <w:sz w:val="20"/>
          <w:szCs w:val="20"/>
        </w:rPr>
        <w:t xml:space="preserve"> –</w:t>
      </w:r>
      <w:r w:rsidR="00442CF1">
        <w:rPr>
          <w:rFonts w:ascii="Arial Narrow" w:hAnsi="Arial Narrow" w:cs="Times New Roman"/>
          <w:b/>
          <w:sz w:val="20"/>
          <w:szCs w:val="20"/>
        </w:rPr>
        <w:t xml:space="preserve"> </w:t>
      </w:r>
      <w:r w:rsidRPr="001024C1">
        <w:rPr>
          <w:rFonts w:ascii="Arial Narrow" w:hAnsi="Arial Narrow" w:cs="Times New Roman"/>
          <w:b/>
          <w:sz w:val="20"/>
          <w:szCs w:val="20"/>
        </w:rPr>
        <w:t xml:space="preserve">What is the diagnostic accuracy of </w:t>
      </w:r>
      <w:r w:rsidR="00FD37D3" w:rsidRPr="00FD37D3">
        <w:rPr>
          <w:rFonts w:ascii="Arial Narrow" w:hAnsi="Arial Narrow" w:cs="Times New Roman"/>
          <w:b/>
          <w:sz w:val="20"/>
          <w:szCs w:val="20"/>
        </w:rPr>
        <w:t>CFTR</w:t>
      </w:r>
      <w:r w:rsidRPr="001024C1">
        <w:rPr>
          <w:rFonts w:ascii="Arial Narrow" w:hAnsi="Arial Narrow" w:cs="Times New Roman"/>
          <w:b/>
          <w:sz w:val="20"/>
          <w:szCs w:val="20"/>
        </w:rPr>
        <w:t xml:space="preserve"> mutation testing in patients with a high clinical suspicion of CF</w:t>
      </w:r>
      <w:r w:rsidR="007152CC">
        <w:rPr>
          <w:rFonts w:ascii="Arial Narrow" w:hAnsi="Arial Narrow" w:cs="Times New Roman"/>
          <w:b/>
          <w:sz w:val="20"/>
          <w:szCs w:val="20"/>
        </w:rPr>
        <w:t xml:space="preserve"> (population group 1)</w:t>
      </w:r>
      <w:r w:rsidRPr="001024C1">
        <w:rPr>
          <w:rFonts w:ascii="Arial Narrow" w:hAnsi="Arial Narrow" w:cs="Times New Roman"/>
          <w:b/>
          <w:sz w:val="20"/>
          <w:szCs w:val="20"/>
        </w:rPr>
        <w:t xml:space="preserve">? </w:t>
      </w:r>
    </w:p>
    <w:p w14:paraId="1D7C8253" w14:textId="035CA945" w:rsidR="003B239A" w:rsidRPr="001024C1" w:rsidRDefault="00FD37D3"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u w:val="single"/>
        </w:rPr>
      </w:pPr>
      <w:r w:rsidRPr="00FD37D3">
        <w:rPr>
          <w:rFonts w:ascii="Arial Narrow" w:hAnsi="Arial Narrow" w:cs="Times New Roman"/>
          <w:sz w:val="20"/>
          <w:szCs w:val="20"/>
          <w:u w:val="single"/>
        </w:rPr>
        <w:t>CFTR</w:t>
      </w:r>
      <w:r w:rsidR="003B239A" w:rsidRPr="001024C1">
        <w:rPr>
          <w:rFonts w:ascii="Arial Narrow" w:hAnsi="Arial Narrow" w:cs="Times New Roman"/>
          <w:sz w:val="20"/>
          <w:szCs w:val="20"/>
          <w:u w:val="single"/>
        </w:rPr>
        <w:t xml:space="preserve"> mutation testing in patients with classical CF symptoms</w:t>
      </w:r>
    </w:p>
    <w:p w14:paraId="4CA070BC" w14:textId="00184DF8" w:rsidR="003B239A" w:rsidRPr="001024C1" w:rsidRDefault="003B239A"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rPr>
      </w:pPr>
      <w:r w:rsidRPr="001024C1">
        <w:rPr>
          <w:rFonts w:ascii="Arial Narrow" w:hAnsi="Arial Narrow" w:cs="Times New Roman"/>
          <w:sz w:val="20"/>
          <w:szCs w:val="20"/>
        </w:rPr>
        <w:t xml:space="preserve">Thirteen studies </w:t>
      </w:r>
      <w:r w:rsidR="00D420C3">
        <w:rPr>
          <w:rFonts w:ascii="Arial Narrow" w:hAnsi="Arial Narrow" w:cs="Times New Roman"/>
          <w:sz w:val="20"/>
          <w:szCs w:val="20"/>
        </w:rPr>
        <w:t xml:space="preserve">(k=13) </w:t>
      </w:r>
      <w:r w:rsidRPr="001024C1">
        <w:rPr>
          <w:rFonts w:ascii="Arial Narrow" w:hAnsi="Arial Narrow" w:cs="Times New Roman"/>
          <w:sz w:val="20"/>
          <w:szCs w:val="20"/>
        </w:rPr>
        <w:t xml:space="preserve">were included to determine the diagnostic accuracy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in CF patients. </w:t>
      </w:r>
    </w:p>
    <w:p w14:paraId="4211BA2F" w14:textId="0685399E" w:rsidR="003B239A" w:rsidRPr="001024C1" w:rsidRDefault="003B239A"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rPr>
      </w:pPr>
      <w:r w:rsidRPr="001024C1">
        <w:rPr>
          <w:rFonts w:ascii="Arial Narrow" w:hAnsi="Arial Narrow" w:cs="Times New Roman"/>
          <w:sz w:val="20"/>
          <w:szCs w:val="20"/>
        </w:rPr>
        <w:lastRenderedPageBreak/>
        <w:t xml:space="preserve">The median </w:t>
      </w:r>
      <w:r w:rsidR="00140229">
        <w:rPr>
          <w:rFonts w:ascii="Arial Narrow" w:hAnsi="Arial Narrow" w:cs="Times New Roman"/>
          <w:sz w:val="20"/>
          <w:szCs w:val="20"/>
        </w:rPr>
        <w:t xml:space="preserve">analytical </w:t>
      </w:r>
      <w:r w:rsidRPr="001024C1">
        <w:rPr>
          <w:rFonts w:ascii="Arial Narrow" w:hAnsi="Arial Narrow" w:cs="Times New Roman"/>
          <w:sz w:val="20"/>
          <w:szCs w:val="20"/>
        </w:rPr>
        <w:t xml:space="preserve">sensitivity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compared with DNA sequencing was 85% (range 71</w:t>
      </w:r>
      <w:r w:rsidR="00442CF1">
        <w:rPr>
          <w:rFonts w:ascii="Arial Narrow" w:hAnsi="Arial Narrow" w:cs="Times New Roman"/>
          <w:sz w:val="20"/>
          <w:szCs w:val="20"/>
        </w:rPr>
        <w:t>–</w:t>
      </w:r>
      <w:r w:rsidRPr="001024C1">
        <w:rPr>
          <w:rFonts w:ascii="Arial Narrow" w:hAnsi="Arial Narrow" w:cs="Times New Roman"/>
          <w:sz w:val="20"/>
          <w:szCs w:val="20"/>
        </w:rPr>
        <w:t>97; k=4) when all mutations were included in the analysis</w:t>
      </w:r>
      <w:r w:rsidR="00970509">
        <w:rPr>
          <w:rFonts w:ascii="Arial Narrow" w:hAnsi="Arial Narrow" w:cs="Times New Roman"/>
          <w:sz w:val="20"/>
          <w:szCs w:val="20"/>
        </w:rPr>
        <w:t>;</w:t>
      </w:r>
      <w:r w:rsidRPr="001024C1">
        <w:rPr>
          <w:rFonts w:ascii="Arial Narrow" w:hAnsi="Arial Narrow" w:cs="Times New Roman"/>
          <w:sz w:val="20"/>
          <w:szCs w:val="20"/>
        </w:rPr>
        <w:t xml:space="preserve"> and 97% (range </w:t>
      </w:r>
      <w:r w:rsidRPr="00594D7D">
        <w:rPr>
          <w:rFonts w:ascii="Arial Narrow" w:hAnsi="Arial Narrow" w:cs="Times New Roman"/>
          <w:sz w:val="20"/>
          <w:szCs w:val="20"/>
        </w:rPr>
        <w:t>90</w:t>
      </w:r>
      <w:r w:rsidR="00442CF1" w:rsidRPr="00594D7D">
        <w:rPr>
          <w:rFonts w:ascii="Arial Narrow" w:hAnsi="Arial Narrow" w:cs="Times New Roman"/>
          <w:sz w:val="20"/>
          <w:szCs w:val="20"/>
        </w:rPr>
        <w:t>–</w:t>
      </w:r>
      <w:r w:rsidRPr="00594D7D">
        <w:rPr>
          <w:rFonts w:ascii="Arial Narrow" w:hAnsi="Arial Narrow" w:cs="Times New Roman"/>
          <w:sz w:val="20"/>
          <w:szCs w:val="20"/>
        </w:rPr>
        <w:t>100</w:t>
      </w:r>
      <w:r w:rsidR="00594D7D">
        <w:rPr>
          <w:rFonts w:ascii="Arial Narrow" w:hAnsi="Arial Narrow" w:cs="Times New Roman"/>
          <w:sz w:val="20"/>
          <w:szCs w:val="20"/>
        </w:rPr>
        <w:t>; k=4</w:t>
      </w:r>
      <w:r w:rsidRPr="00594D7D">
        <w:rPr>
          <w:rFonts w:ascii="Arial Narrow" w:hAnsi="Arial Narrow" w:cs="Times New Roman"/>
          <w:sz w:val="20"/>
          <w:szCs w:val="20"/>
        </w:rPr>
        <w:t>)</w:t>
      </w:r>
      <w:r w:rsidRPr="001024C1">
        <w:rPr>
          <w:rFonts w:ascii="Arial Narrow" w:hAnsi="Arial Narrow" w:cs="Times New Roman"/>
          <w:sz w:val="20"/>
          <w:szCs w:val="20"/>
        </w:rPr>
        <w:t xml:space="preserve"> when only those mutations that could be detected by each test were included. These results indicate that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tests are highly accurate compared with DNA sequencing at detecting those mutations </w:t>
      </w:r>
      <w:r w:rsidR="00442CF1">
        <w:rPr>
          <w:rFonts w:ascii="Arial Narrow" w:hAnsi="Arial Narrow" w:cs="Times New Roman"/>
          <w:sz w:val="20"/>
          <w:szCs w:val="20"/>
        </w:rPr>
        <w:t xml:space="preserve">that </w:t>
      </w:r>
      <w:r w:rsidRPr="001024C1">
        <w:rPr>
          <w:rFonts w:ascii="Arial Narrow" w:hAnsi="Arial Narrow" w:cs="Times New Roman"/>
          <w:sz w:val="20"/>
          <w:szCs w:val="20"/>
        </w:rPr>
        <w:t>the tests were designed to recognise; only 3% of samples that should have been correctly identified were falsely negative.</w:t>
      </w:r>
    </w:p>
    <w:p w14:paraId="3D206767" w14:textId="5C12498B" w:rsidR="003B239A" w:rsidRPr="001024C1" w:rsidRDefault="003B239A"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rPr>
      </w:pPr>
      <w:r w:rsidRPr="001024C1">
        <w:rPr>
          <w:rFonts w:ascii="Arial Narrow" w:hAnsi="Arial Narrow" w:cs="Times New Roman"/>
          <w:sz w:val="20"/>
          <w:szCs w:val="20"/>
        </w:rPr>
        <w:t xml:space="preserve">The median </w:t>
      </w:r>
      <w:r w:rsidR="00140229">
        <w:rPr>
          <w:rFonts w:ascii="Arial Narrow" w:hAnsi="Arial Narrow" w:cs="Times New Roman"/>
          <w:sz w:val="20"/>
          <w:szCs w:val="20"/>
        </w:rPr>
        <w:t xml:space="preserve">clinical </w:t>
      </w:r>
      <w:r w:rsidRPr="001024C1">
        <w:rPr>
          <w:rFonts w:ascii="Arial Narrow" w:hAnsi="Arial Narrow" w:cs="Times New Roman"/>
          <w:sz w:val="20"/>
          <w:szCs w:val="20"/>
        </w:rPr>
        <w:t xml:space="preserve">sensitivity of panel-based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tests compared with clinical diagnosis was 80% (range 52</w:t>
      </w:r>
      <w:r w:rsidR="00442CF1">
        <w:rPr>
          <w:rFonts w:ascii="Arial Narrow" w:hAnsi="Arial Narrow" w:cs="Times New Roman"/>
          <w:sz w:val="20"/>
          <w:szCs w:val="20"/>
        </w:rPr>
        <w:t>–</w:t>
      </w:r>
      <w:r w:rsidRPr="001024C1">
        <w:rPr>
          <w:rFonts w:ascii="Arial Narrow" w:hAnsi="Arial Narrow" w:cs="Times New Roman"/>
          <w:sz w:val="20"/>
          <w:szCs w:val="20"/>
        </w:rPr>
        <w:t>91; k=5)</w:t>
      </w:r>
      <w:r w:rsidR="00970509">
        <w:rPr>
          <w:rFonts w:ascii="Arial Narrow" w:hAnsi="Arial Narrow" w:cs="Times New Roman"/>
          <w:sz w:val="20"/>
          <w:szCs w:val="20"/>
        </w:rPr>
        <w:t>;</w:t>
      </w:r>
      <w:r w:rsidRPr="001024C1">
        <w:rPr>
          <w:rFonts w:ascii="Arial Narrow" w:hAnsi="Arial Narrow" w:cs="Times New Roman"/>
          <w:sz w:val="20"/>
          <w:szCs w:val="20"/>
        </w:rPr>
        <w:t xml:space="preserve"> and 91% (range 86</w:t>
      </w:r>
      <w:r w:rsidR="00442CF1">
        <w:rPr>
          <w:rFonts w:ascii="Arial Narrow" w:hAnsi="Arial Narrow" w:cs="Times New Roman"/>
          <w:sz w:val="20"/>
          <w:szCs w:val="20"/>
        </w:rPr>
        <w:t>–</w:t>
      </w:r>
      <w:r w:rsidRPr="001024C1">
        <w:rPr>
          <w:rFonts w:ascii="Arial Narrow" w:hAnsi="Arial Narrow" w:cs="Times New Roman"/>
          <w:sz w:val="20"/>
          <w:szCs w:val="20"/>
        </w:rPr>
        <w:t xml:space="preserve">100; k=4) for DNA sequencing compared with clinical diagnosis. This difference is largely due to the reduced number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mutations that can be detected by the panel-based assays. Overall, 20% and 9% of all clinically diagnosed CF patients had one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that could not be detected using panel-based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tests and DNA sequencing, respectively.</w:t>
      </w:r>
    </w:p>
    <w:p w14:paraId="1F2BBB74" w14:textId="51F585BA" w:rsidR="003B239A" w:rsidRPr="001024C1" w:rsidRDefault="00FD37D3"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u w:val="single"/>
        </w:rPr>
      </w:pPr>
      <w:r w:rsidRPr="00FD37D3">
        <w:rPr>
          <w:rFonts w:ascii="Arial Narrow" w:hAnsi="Arial Narrow" w:cs="Times New Roman"/>
          <w:sz w:val="20"/>
          <w:szCs w:val="20"/>
          <w:u w:val="single"/>
        </w:rPr>
        <w:t>CFTR</w:t>
      </w:r>
      <w:r w:rsidR="00D2661C">
        <w:rPr>
          <w:rFonts w:ascii="Arial Narrow" w:hAnsi="Arial Narrow" w:cs="Times New Roman"/>
          <w:sz w:val="20"/>
          <w:szCs w:val="20"/>
          <w:u w:val="single"/>
        </w:rPr>
        <w:t xml:space="preserve"> mutation testing in men diagnosed with CBAV</w:t>
      </w:r>
      <w:r w:rsidR="003B239A" w:rsidRPr="001024C1">
        <w:rPr>
          <w:rFonts w:ascii="Arial Narrow" w:hAnsi="Arial Narrow" w:cs="Times New Roman"/>
          <w:sz w:val="20"/>
          <w:szCs w:val="20"/>
          <w:u w:val="single"/>
        </w:rPr>
        <w:t>D</w:t>
      </w:r>
    </w:p>
    <w:p w14:paraId="6BC30D3B" w14:textId="5318102E" w:rsidR="003B239A" w:rsidRPr="001024C1" w:rsidRDefault="003B239A"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rPr>
      </w:pPr>
      <w:r w:rsidRPr="001024C1">
        <w:rPr>
          <w:rFonts w:ascii="Arial Narrow" w:hAnsi="Arial Narrow" w:cs="Times New Roman"/>
          <w:sz w:val="20"/>
          <w:szCs w:val="20"/>
        </w:rPr>
        <w:t xml:space="preserve">Eight studies were included to determine the diagnostic accuracy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in </w:t>
      </w:r>
      <w:r w:rsidR="00D2661C">
        <w:rPr>
          <w:rFonts w:ascii="Arial Narrow" w:hAnsi="Arial Narrow" w:cs="Times New Roman"/>
          <w:sz w:val="20"/>
          <w:szCs w:val="20"/>
        </w:rPr>
        <w:t>men</w:t>
      </w:r>
      <w:r w:rsidRPr="001024C1">
        <w:rPr>
          <w:rFonts w:ascii="Arial Narrow" w:hAnsi="Arial Narrow" w:cs="Times New Roman"/>
          <w:sz w:val="20"/>
          <w:szCs w:val="20"/>
        </w:rPr>
        <w:t xml:space="preserve"> with CBAVD.</w:t>
      </w:r>
    </w:p>
    <w:p w14:paraId="34DF8433" w14:textId="59EDA8B5" w:rsidR="003B239A" w:rsidRPr="001024C1" w:rsidRDefault="003B239A" w:rsidP="000D04B6">
      <w:pPr>
        <w:pBdr>
          <w:top w:val="single" w:sz="4" w:space="4" w:color="auto"/>
          <w:left w:val="single" w:sz="4" w:space="4" w:color="auto"/>
          <w:bottom w:val="single" w:sz="4" w:space="4" w:color="auto"/>
          <w:right w:val="single" w:sz="4" w:space="4" w:color="auto"/>
        </w:pBdr>
        <w:spacing w:before="120" w:after="120" w:line="240" w:lineRule="auto"/>
        <w:rPr>
          <w:rFonts w:ascii="Arial Narrow" w:hAnsi="Arial Narrow" w:cs="Times New Roman"/>
          <w:sz w:val="20"/>
          <w:szCs w:val="20"/>
        </w:rPr>
      </w:pPr>
      <w:r w:rsidRPr="001024C1">
        <w:rPr>
          <w:rFonts w:ascii="Arial Narrow" w:hAnsi="Arial Narrow" w:cs="Times New Roman"/>
          <w:sz w:val="20"/>
          <w:szCs w:val="20"/>
        </w:rPr>
        <w:t xml:space="preserve">One study compared panel-based testing with exon-scanning testing plus DNA sequencing confirmation and MLPA deletion detection. The panel-based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 was able to detect the mutations included in the panel that were present among the 23 </w:t>
      </w:r>
      <w:r w:rsidR="00D2661C">
        <w:rPr>
          <w:rFonts w:ascii="Arial Narrow" w:hAnsi="Arial Narrow" w:cs="Times New Roman"/>
          <w:sz w:val="20"/>
          <w:szCs w:val="20"/>
        </w:rPr>
        <w:t>men with CBAVD</w:t>
      </w:r>
      <w:r w:rsidRPr="001024C1">
        <w:rPr>
          <w:rFonts w:ascii="Arial Narrow" w:hAnsi="Arial Narrow" w:cs="Times New Roman"/>
          <w:sz w:val="20"/>
          <w:szCs w:val="20"/>
        </w:rPr>
        <w:t xml:space="preserve"> (sensitivity = 100%). However, the </w:t>
      </w:r>
      <w:r w:rsidR="00140229">
        <w:rPr>
          <w:rFonts w:ascii="Arial Narrow" w:hAnsi="Arial Narrow" w:cs="Times New Roman"/>
          <w:sz w:val="20"/>
          <w:szCs w:val="20"/>
        </w:rPr>
        <w:t xml:space="preserve">analytical </w:t>
      </w:r>
      <w:r w:rsidRPr="001024C1">
        <w:rPr>
          <w:rFonts w:ascii="Arial Narrow" w:hAnsi="Arial Narrow" w:cs="Times New Roman"/>
          <w:sz w:val="20"/>
          <w:szCs w:val="20"/>
        </w:rPr>
        <w:t xml:space="preserve">sensitivity of the panel-based test to detect all mutations was 94% (95%CI 81, 99) when compared </w:t>
      </w:r>
      <w:r w:rsidR="00E27902">
        <w:rPr>
          <w:rFonts w:ascii="Arial Narrow" w:hAnsi="Arial Narrow" w:cs="Times New Roman"/>
          <w:sz w:val="20"/>
          <w:szCs w:val="20"/>
        </w:rPr>
        <w:t>with</w:t>
      </w:r>
      <w:r w:rsidR="00E27902" w:rsidRPr="001024C1">
        <w:rPr>
          <w:rFonts w:ascii="Arial Narrow" w:hAnsi="Arial Narrow" w:cs="Times New Roman"/>
          <w:sz w:val="20"/>
          <w:szCs w:val="20"/>
        </w:rPr>
        <w:t xml:space="preserve"> </w:t>
      </w:r>
      <w:r w:rsidRPr="001024C1">
        <w:rPr>
          <w:rFonts w:ascii="Arial Narrow" w:hAnsi="Arial Narrow" w:cs="Times New Roman"/>
          <w:sz w:val="20"/>
          <w:szCs w:val="20"/>
        </w:rPr>
        <w:t>DNA sequencing</w:t>
      </w:r>
      <w:r w:rsidR="00970509">
        <w:rPr>
          <w:rFonts w:ascii="Arial Narrow" w:hAnsi="Arial Narrow" w:cs="Times New Roman"/>
          <w:sz w:val="20"/>
          <w:szCs w:val="20"/>
        </w:rPr>
        <w:t>;</w:t>
      </w:r>
      <w:r w:rsidRPr="001024C1">
        <w:rPr>
          <w:rFonts w:ascii="Arial Narrow" w:hAnsi="Arial Narrow" w:cs="Times New Roman"/>
          <w:sz w:val="20"/>
          <w:szCs w:val="20"/>
        </w:rPr>
        <w:t xml:space="preserve"> and 89% (95%CI 75, 97) when compared with DNA sequencing plus MPLA. The specificity of the assay compared with DNA sequencing with or without MPLC was 100% as there were no false positive results.</w:t>
      </w:r>
    </w:p>
    <w:p w14:paraId="7DDF646D" w14:textId="6E234858" w:rsidR="003B239A" w:rsidRDefault="003B239A" w:rsidP="000D04B6">
      <w:pPr>
        <w:pBdr>
          <w:top w:val="single" w:sz="4" w:space="4" w:color="auto"/>
          <w:left w:val="single" w:sz="4" w:space="4" w:color="auto"/>
          <w:bottom w:val="single" w:sz="4" w:space="4" w:color="auto"/>
          <w:right w:val="single" w:sz="4" w:space="4" w:color="auto"/>
        </w:pBdr>
        <w:spacing w:line="240" w:lineRule="auto"/>
        <w:rPr>
          <w:rFonts w:ascii="Arial Narrow" w:hAnsi="Arial Narrow" w:cs="Times New Roman"/>
          <w:sz w:val="20"/>
          <w:szCs w:val="20"/>
        </w:rPr>
      </w:pPr>
      <w:r w:rsidRPr="001024C1">
        <w:rPr>
          <w:rFonts w:ascii="Arial Narrow" w:hAnsi="Arial Narrow" w:cs="Times New Roman"/>
          <w:sz w:val="20"/>
          <w:szCs w:val="20"/>
        </w:rPr>
        <w:t xml:space="preserve">The median </w:t>
      </w:r>
      <w:r w:rsidR="00140229">
        <w:rPr>
          <w:rFonts w:ascii="Arial Narrow" w:hAnsi="Arial Narrow" w:cs="Times New Roman"/>
          <w:sz w:val="20"/>
          <w:szCs w:val="20"/>
        </w:rPr>
        <w:t xml:space="preserve">clinical </w:t>
      </w:r>
      <w:r w:rsidRPr="001024C1">
        <w:rPr>
          <w:rFonts w:ascii="Arial Narrow" w:hAnsi="Arial Narrow" w:cs="Times New Roman"/>
          <w:sz w:val="20"/>
          <w:szCs w:val="20"/>
        </w:rPr>
        <w:t xml:space="preserve">sensitivity of exon-scanning testing plus DNA sequencing confirmation was higher than for panel-based testing when compared </w:t>
      </w:r>
      <w:r w:rsidR="00E27902">
        <w:rPr>
          <w:rFonts w:ascii="Arial Narrow" w:hAnsi="Arial Narrow" w:cs="Times New Roman"/>
          <w:sz w:val="20"/>
          <w:szCs w:val="20"/>
        </w:rPr>
        <w:t xml:space="preserve">with </w:t>
      </w:r>
      <w:r w:rsidRPr="001024C1">
        <w:rPr>
          <w:rFonts w:ascii="Arial Narrow" w:hAnsi="Arial Narrow" w:cs="Times New Roman"/>
          <w:sz w:val="20"/>
          <w:szCs w:val="20"/>
        </w:rPr>
        <w:t xml:space="preserve">clinical diagnosis (64% </w:t>
      </w:r>
      <w:r w:rsidR="008A67CB">
        <w:rPr>
          <w:rFonts w:ascii="Arial Narrow" w:hAnsi="Arial Narrow" w:cs="Times New Roman"/>
          <w:sz w:val="20"/>
          <w:szCs w:val="20"/>
        </w:rPr>
        <w:t>[</w:t>
      </w:r>
      <w:r w:rsidRPr="001024C1">
        <w:rPr>
          <w:rFonts w:ascii="Arial Narrow" w:hAnsi="Arial Narrow" w:cs="Times New Roman"/>
          <w:sz w:val="20"/>
          <w:szCs w:val="20"/>
        </w:rPr>
        <w:t>range 47</w:t>
      </w:r>
      <w:r w:rsidR="00E27902">
        <w:rPr>
          <w:rFonts w:ascii="Arial Narrow" w:hAnsi="Arial Narrow" w:cs="Times New Roman"/>
          <w:sz w:val="20"/>
          <w:szCs w:val="20"/>
        </w:rPr>
        <w:t>–</w:t>
      </w:r>
      <w:r w:rsidRPr="001024C1">
        <w:rPr>
          <w:rFonts w:ascii="Arial Narrow" w:hAnsi="Arial Narrow" w:cs="Times New Roman"/>
          <w:sz w:val="20"/>
          <w:szCs w:val="20"/>
        </w:rPr>
        <w:t>88</w:t>
      </w:r>
      <w:r w:rsidR="008A67CB">
        <w:rPr>
          <w:rFonts w:ascii="Arial Narrow" w:hAnsi="Arial Narrow" w:cs="Times New Roman"/>
          <w:sz w:val="20"/>
          <w:szCs w:val="20"/>
        </w:rPr>
        <w:t>]</w:t>
      </w:r>
      <w:r w:rsidRPr="001024C1">
        <w:rPr>
          <w:rFonts w:ascii="Arial Narrow" w:hAnsi="Arial Narrow" w:cs="Times New Roman"/>
          <w:sz w:val="20"/>
          <w:szCs w:val="20"/>
        </w:rPr>
        <w:t xml:space="preserve"> k=5</w:t>
      </w:r>
      <w:r w:rsidR="008A67CB">
        <w:rPr>
          <w:rFonts w:ascii="Arial Narrow" w:hAnsi="Arial Narrow" w:cs="Times New Roman"/>
          <w:sz w:val="20"/>
          <w:szCs w:val="20"/>
        </w:rPr>
        <w:t>,</w:t>
      </w:r>
      <w:r w:rsidRPr="001024C1">
        <w:rPr>
          <w:rFonts w:ascii="Arial Narrow" w:hAnsi="Arial Narrow" w:cs="Times New Roman"/>
          <w:sz w:val="20"/>
          <w:szCs w:val="20"/>
        </w:rPr>
        <w:t xml:space="preserve"> versus 52% </w:t>
      </w:r>
      <w:r w:rsidR="008A67CB">
        <w:rPr>
          <w:rFonts w:ascii="Arial Narrow" w:hAnsi="Arial Narrow" w:cs="Times New Roman"/>
          <w:sz w:val="20"/>
          <w:szCs w:val="20"/>
        </w:rPr>
        <w:t>[</w:t>
      </w:r>
      <w:r w:rsidRPr="001024C1">
        <w:rPr>
          <w:rFonts w:ascii="Arial Narrow" w:hAnsi="Arial Narrow" w:cs="Times New Roman"/>
          <w:sz w:val="20"/>
          <w:szCs w:val="20"/>
        </w:rPr>
        <w:t>range 45</w:t>
      </w:r>
      <w:r w:rsidR="00E27902">
        <w:rPr>
          <w:rFonts w:ascii="Arial Narrow" w:hAnsi="Arial Narrow" w:cs="Times New Roman"/>
          <w:sz w:val="20"/>
          <w:szCs w:val="20"/>
        </w:rPr>
        <w:t>–</w:t>
      </w:r>
      <w:r w:rsidRPr="001024C1">
        <w:rPr>
          <w:rFonts w:ascii="Arial Narrow" w:hAnsi="Arial Narrow" w:cs="Times New Roman"/>
          <w:sz w:val="20"/>
          <w:szCs w:val="20"/>
        </w:rPr>
        <w:t>72</w:t>
      </w:r>
      <w:r w:rsidR="008A67CB">
        <w:rPr>
          <w:rFonts w:ascii="Arial Narrow" w:hAnsi="Arial Narrow" w:cs="Times New Roman"/>
          <w:sz w:val="20"/>
          <w:szCs w:val="20"/>
        </w:rPr>
        <w:t>]</w:t>
      </w:r>
      <w:r w:rsidRPr="001024C1">
        <w:rPr>
          <w:rFonts w:ascii="Arial Narrow" w:hAnsi="Arial Narrow" w:cs="Times New Roman"/>
          <w:sz w:val="20"/>
          <w:szCs w:val="20"/>
        </w:rPr>
        <w:t xml:space="preserve"> k=4 for </w:t>
      </w:r>
      <w:r w:rsidR="00A21FD9" w:rsidRPr="00A21FD9">
        <w:rPr>
          <w:rFonts w:ascii="Arial Narrow" w:hAnsi="Arial Narrow" w:cs="Times New Roman"/>
          <w:i/>
          <w:sz w:val="20"/>
          <w:szCs w:val="20"/>
        </w:rPr>
        <w:t>CFTR</w:t>
      </w:r>
      <w:r w:rsidRPr="001024C1">
        <w:rPr>
          <w:rFonts w:ascii="Arial Narrow" w:hAnsi="Arial Narrow" w:cs="Times New Roman"/>
          <w:sz w:val="20"/>
          <w:szCs w:val="20"/>
        </w:rPr>
        <w:t xml:space="preserve"> genes</w:t>
      </w:r>
      <w:r w:rsidR="00E27902">
        <w:rPr>
          <w:rFonts w:ascii="Arial Narrow" w:hAnsi="Arial Narrow" w:cs="Times New Roman"/>
          <w:sz w:val="20"/>
          <w:szCs w:val="20"/>
        </w:rPr>
        <w:t>;</w:t>
      </w:r>
      <w:r w:rsidRPr="001024C1">
        <w:rPr>
          <w:rFonts w:ascii="Arial Narrow" w:hAnsi="Arial Narrow" w:cs="Times New Roman"/>
          <w:sz w:val="20"/>
          <w:szCs w:val="20"/>
        </w:rPr>
        <w:t xml:space="preserve"> and 75% </w:t>
      </w:r>
      <w:r w:rsidR="008A67CB">
        <w:rPr>
          <w:rFonts w:ascii="Arial Narrow" w:hAnsi="Arial Narrow" w:cs="Times New Roman"/>
          <w:sz w:val="20"/>
          <w:szCs w:val="20"/>
        </w:rPr>
        <w:t>[</w:t>
      </w:r>
      <w:r w:rsidRPr="001024C1">
        <w:rPr>
          <w:rFonts w:ascii="Arial Narrow" w:hAnsi="Arial Narrow" w:cs="Times New Roman"/>
          <w:sz w:val="20"/>
          <w:szCs w:val="20"/>
        </w:rPr>
        <w:t>range 59</w:t>
      </w:r>
      <w:r w:rsidR="00E27902">
        <w:rPr>
          <w:rFonts w:ascii="Arial Narrow" w:hAnsi="Arial Narrow" w:cs="Times New Roman"/>
          <w:sz w:val="20"/>
          <w:szCs w:val="20"/>
        </w:rPr>
        <w:t>–</w:t>
      </w:r>
      <w:r w:rsidRPr="001024C1">
        <w:rPr>
          <w:rFonts w:ascii="Arial Narrow" w:hAnsi="Arial Narrow" w:cs="Times New Roman"/>
          <w:sz w:val="20"/>
          <w:szCs w:val="20"/>
        </w:rPr>
        <w:t>100</w:t>
      </w:r>
      <w:r w:rsidR="008A67CB">
        <w:rPr>
          <w:rFonts w:ascii="Arial Narrow" w:hAnsi="Arial Narrow" w:cs="Times New Roman"/>
          <w:sz w:val="20"/>
          <w:szCs w:val="20"/>
        </w:rPr>
        <w:t>]</w:t>
      </w:r>
      <w:r w:rsidRPr="001024C1">
        <w:rPr>
          <w:rFonts w:ascii="Arial Narrow" w:hAnsi="Arial Narrow" w:cs="Times New Roman"/>
          <w:sz w:val="20"/>
          <w:szCs w:val="20"/>
        </w:rPr>
        <w:t xml:space="preserve"> k=5</w:t>
      </w:r>
      <w:r w:rsidR="00E27902">
        <w:rPr>
          <w:rFonts w:ascii="Arial Narrow" w:hAnsi="Arial Narrow" w:cs="Times New Roman"/>
          <w:sz w:val="20"/>
          <w:szCs w:val="20"/>
        </w:rPr>
        <w:t>,</w:t>
      </w:r>
      <w:r w:rsidRPr="001024C1">
        <w:rPr>
          <w:rFonts w:ascii="Arial Narrow" w:hAnsi="Arial Narrow" w:cs="Times New Roman"/>
          <w:sz w:val="20"/>
          <w:szCs w:val="20"/>
        </w:rPr>
        <w:t xml:space="preserve"> versus 70% </w:t>
      </w:r>
      <w:r w:rsidR="008A67CB">
        <w:rPr>
          <w:rFonts w:ascii="Arial Narrow" w:hAnsi="Arial Narrow" w:cs="Times New Roman"/>
          <w:sz w:val="20"/>
          <w:szCs w:val="20"/>
        </w:rPr>
        <w:t>[</w:t>
      </w:r>
      <w:r w:rsidRPr="001024C1">
        <w:rPr>
          <w:rFonts w:ascii="Arial Narrow" w:hAnsi="Arial Narrow" w:cs="Times New Roman"/>
          <w:sz w:val="20"/>
          <w:szCs w:val="20"/>
        </w:rPr>
        <w:t>range 64</w:t>
      </w:r>
      <w:r w:rsidR="00E27902">
        <w:rPr>
          <w:rFonts w:ascii="Arial Narrow" w:hAnsi="Arial Narrow" w:cs="Times New Roman"/>
          <w:sz w:val="20"/>
          <w:szCs w:val="20"/>
        </w:rPr>
        <w:t>–</w:t>
      </w:r>
      <w:r w:rsidRPr="001024C1">
        <w:rPr>
          <w:rFonts w:ascii="Arial Narrow" w:hAnsi="Arial Narrow" w:cs="Times New Roman"/>
          <w:sz w:val="20"/>
          <w:szCs w:val="20"/>
        </w:rPr>
        <w:t>100</w:t>
      </w:r>
      <w:r w:rsidR="008A67CB">
        <w:rPr>
          <w:rFonts w:ascii="Arial Narrow" w:hAnsi="Arial Narrow" w:cs="Times New Roman"/>
          <w:sz w:val="20"/>
          <w:szCs w:val="20"/>
        </w:rPr>
        <w:t>]</w:t>
      </w:r>
      <w:r w:rsidRPr="001024C1">
        <w:rPr>
          <w:rFonts w:ascii="Arial Narrow" w:hAnsi="Arial Narrow" w:cs="Times New Roman"/>
          <w:sz w:val="20"/>
          <w:szCs w:val="20"/>
        </w:rPr>
        <w:t xml:space="preserve"> k=4 for patients having at least one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These values are much lower than in CF patients due to the large proportion of</w:t>
      </w:r>
      <w:r w:rsidR="00D2661C">
        <w:rPr>
          <w:rFonts w:ascii="Arial Narrow" w:hAnsi="Arial Narrow" w:cs="Times New Roman"/>
          <w:sz w:val="20"/>
          <w:szCs w:val="20"/>
        </w:rPr>
        <w:t xml:space="preserve"> men</w:t>
      </w:r>
      <w:r w:rsidRPr="001024C1">
        <w:rPr>
          <w:rFonts w:ascii="Arial Narrow" w:hAnsi="Arial Narrow" w:cs="Times New Roman"/>
          <w:sz w:val="20"/>
          <w:szCs w:val="20"/>
        </w:rPr>
        <w:t xml:space="preserve"> (median 25%, range 0</w:t>
      </w:r>
      <w:r w:rsidR="00E27902">
        <w:rPr>
          <w:rFonts w:ascii="Arial Narrow" w:hAnsi="Arial Narrow" w:cs="Times New Roman"/>
          <w:sz w:val="20"/>
          <w:szCs w:val="20"/>
        </w:rPr>
        <w:t>–</w:t>
      </w:r>
      <w:r w:rsidRPr="001024C1">
        <w:rPr>
          <w:rFonts w:ascii="Arial Narrow" w:hAnsi="Arial Narrow" w:cs="Times New Roman"/>
          <w:sz w:val="20"/>
          <w:szCs w:val="20"/>
        </w:rPr>
        <w:t>41) and chromosomes (median 36%</w:t>
      </w:r>
      <w:r w:rsidR="008A67CB">
        <w:rPr>
          <w:rFonts w:ascii="Arial Narrow" w:hAnsi="Arial Narrow" w:cs="Times New Roman"/>
          <w:sz w:val="20"/>
          <w:szCs w:val="20"/>
        </w:rPr>
        <w:t>;</w:t>
      </w:r>
      <w:r w:rsidRPr="001024C1">
        <w:rPr>
          <w:rFonts w:ascii="Arial Narrow" w:hAnsi="Arial Narrow" w:cs="Times New Roman"/>
          <w:sz w:val="20"/>
          <w:szCs w:val="20"/>
        </w:rPr>
        <w:t xml:space="preserve"> range 12</w:t>
      </w:r>
      <w:r w:rsidR="00E27902">
        <w:rPr>
          <w:rFonts w:ascii="Arial Narrow" w:hAnsi="Arial Narrow" w:cs="Times New Roman"/>
          <w:sz w:val="20"/>
          <w:szCs w:val="20"/>
        </w:rPr>
        <w:t>–</w:t>
      </w:r>
      <w:r w:rsidRPr="001024C1">
        <w:rPr>
          <w:rFonts w:ascii="Arial Narrow" w:hAnsi="Arial Narrow" w:cs="Times New Roman"/>
          <w:sz w:val="20"/>
          <w:szCs w:val="20"/>
        </w:rPr>
        <w:t xml:space="preserve">53) for which a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could not be identified.</w:t>
      </w:r>
    </w:p>
    <w:p w14:paraId="7E1CA9DF" w14:textId="39B7F858"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b/>
          <w:sz w:val="20"/>
          <w:szCs w:val="20"/>
        </w:rPr>
      </w:pPr>
      <w:r w:rsidRPr="001024C1">
        <w:rPr>
          <w:rFonts w:ascii="Arial Narrow" w:hAnsi="Arial Narrow" w:cs="Times New Roman"/>
          <w:b/>
          <w:sz w:val="20"/>
          <w:szCs w:val="20"/>
        </w:rPr>
        <w:t xml:space="preserve">What is the diagnostic accuracy of </w:t>
      </w:r>
      <w:r w:rsidR="00FD37D3" w:rsidRPr="00FD37D3">
        <w:rPr>
          <w:rFonts w:ascii="Arial Narrow" w:hAnsi="Arial Narrow" w:cs="Times New Roman"/>
          <w:b/>
          <w:sz w:val="20"/>
          <w:szCs w:val="20"/>
        </w:rPr>
        <w:t>CFTR</w:t>
      </w:r>
      <w:r w:rsidRPr="001024C1">
        <w:rPr>
          <w:rFonts w:ascii="Arial Narrow" w:hAnsi="Arial Narrow" w:cs="Times New Roman"/>
          <w:b/>
          <w:sz w:val="20"/>
          <w:szCs w:val="20"/>
        </w:rPr>
        <w:t xml:space="preserve"> mutation testing in parents of a fetus suspected of CF</w:t>
      </w:r>
      <w:r w:rsidR="007152CC">
        <w:rPr>
          <w:rFonts w:ascii="Arial Narrow" w:hAnsi="Arial Narrow" w:cs="Times New Roman"/>
          <w:b/>
          <w:sz w:val="20"/>
          <w:szCs w:val="20"/>
        </w:rPr>
        <w:t xml:space="preserve"> (population group 2)</w:t>
      </w:r>
      <w:r w:rsidRPr="001024C1">
        <w:rPr>
          <w:rFonts w:ascii="Arial Narrow" w:hAnsi="Arial Narrow" w:cs="Times New Roman"/>
          <w:b/>
          <w:sz w:val="20"/>
          <w:szCs w:val="20"/>
        </w:rPr>
        <w:t>?</w:t>
      </w:r>
    </w:p>
    <w:p w14:paraId="2CADCF04" w14:textId="1F36D245" w:rsidR="003B239A" w:rsidRDefault="003B239A" w:rsidP="000D04B6">
      <w:pPr>
        <w:pBdr>
          <w:top w:val="single" w:sz="4" w:space="4" w:color="auto"/>
          <w:left w:val="single" w:sz="4" w:space="4" w:color="auto"/>
          <w:bottom w:val="single" w:sz="4" w:space="4" w:color="auto"/>
          <w:right w:val="single" w:sz="4" w:space="4" w:color="auto"/>
        </w:pBdr>
        <w:spacing w:line="240" w:lineRule="auto"/>
        <w:rPr>
          <w:rFonts w:ascii="Arial Narrow" w:hAnsi="Arial Narrow" w:cs="Times New Roman"/>
          <w:bCs/>
          <w:sz w:val="20"/>
          <w:szCs w:val="20"/>
        </w:rPr>
      </w:pPr>
      <w:r w:rsidRPr="001024C1">
        <w:rPr>
          <w:rFonts w:ascii="Arial Narrow" w:hAnsi="Arial Narrow" w:cs="Times New Roman"/>
          <w:bCs/>
          <w:sz w:val="20"/>
          <w:szCs w:val="20"/>
        </w:rPr>
        <w:t xml:space="preserve">One study that met the inclusion criteria reported on the diagnostic accuracy of four different panel-based </w:t>
      </w:r>
      <w:r w:rsidR="00FD37D3" w:rsidRPr="00FD37D3">
        <w:rPr>
          <w:rFonts w:ascii="Arial Narrow" w:hAnsi="Arial Narrow" w:cs="Times New Roman"/>
          <w:bCs/>
          <w:sz w:val="20"/>
          <w:szCs w:val="20"/>
        </w:rPr>
        <w:t>CFTR</w:t>
      </w:r>
      <w:r w:rsidRPr="001024C1">
        <w:rPr>
          <w:rFonts w:ascii="Arial Narrow" w:hAnsi="Arial Narrow" w:cs="Times New Roman"/>
          <w:bCs/>
          <w:sz w:val="20"/>
          <w:szCs w:val="20"/>
        </w:rPr>
        <w:t xml:space="preserve"> mutation tests compared with exon-scanning </w:t>
      </w:r>
      <w:r w:rsidR="00FD37D3" w:rsidRPr="00FD37D3">
        <w:rPr>
          <w:rFonts w:ascii="Arial Narrow" w:hAnsi="Arial Narrow" w:cs="Times New Roman"/>
          <w:bCs/>
          <w:sz w:val="20"/>
          <w:szCs w:val="20"/>
        </w:rPr>
        <w:t>CFTR</w:t>
      </w:r>
      <w:r w:rsidRPr="001024C1">
        <w:rPr>
          <w:rFonts w:ascii="Arial Narrow" w:hAnsi="Arial Narrow" w:cs="Times New Roman"/>
          <w:bCs/>
          <w:sz w:val="20"/>
          <w:szCs w:val="20"/>
        </w:rPr>
        <w:t xml:space="preserve"> mutation testing plus DNA sequencing confirmation in known </w:t>
      </w:r>
      <w:r w:rsidR="00FD37D3" w:rsidRPr="00FD37D3">
        <w:rPr>
          <w:rFonts w:ascii="Arial Narrow" w:hAnsi="Arial Narrow" w:cs="Times New Roman"/>
          <w:bCs/>
          <w:sz w:val="20"/>
          <w:szCs w:val="20"/>
        </w:rPr>
        <w:t>CFTR</w:t>
      </w:r>
      <w:r w:rsidRPr="001024C1">
        <w:rPr>
          <w:rFonts w:ascii="Arial Narrow" w:hAnsi="Arial Narrow" w:cs="Times New Roman"/>
          <w:bCs/>
          <w:sz w:val="20"/>
          <w:szCs w:val="20"/>
        </w:rPr>
        <w:t xml:space="preserve"> mutation carriers</w:t>
      </w:r>
      <w:r w:rsidR="00566CEF">
        <w:rPr>
          <w:rFonts w:ascii="Arial Narrow" w:hAnsi="Arial Narrow" w:cs="Times New Roman"/>
          <w:bCs/>
          <w:sz w:val="20"/>
          <w:szCs w:val="20"/>
        </w:rPr>
        <w:t>,</w:t>
      </w:r>
      <w:r w:rsidRPr="001024C1">
        <w:rPr>
          <w:rFonts w:ascii="Arial Narrow" w:hAnsi="Arial Narrow" w:cs="Times New Roman"/>
          <w:bCs/>
          <w:sz w:val="20"/>
          <w:szCs w:val="20"/>
        </w:rPr>
        <w:t xml:space="preserve"> and was included to inform on the testing of parents with a fetus at risk of CF due to </w:t>
      </w:r>
      <w:r w:rsidR="00970509">
        <w:rPr>
          <w:rFonts w:ascii="Arial Narrow" w:hAnsi="Arial Narrow" w:cs="Times New Roman"/>
          <w:bCs/>
          <w:sz w:val="20"/>
          <w:szCs w:val="20"/>
        </w:rPr>
        <w:t xml:space="preserve">having </w:t>
      </w:r>
      <w:r w:rsidRPr="001024C1">
        <w:rPr>
          <w:rFonts w:ascii="Arial Narrow" w:hAnsi="Arial Narrow" w:cs="Times New Roman"/>
          <w:bCs/>
          <w:sz w:val="20"/>
          <w:szCs w:val="20"/>
        </w:rPr>
        <w:t>a previous child clinically diagnosed with CF. The panel-based tests had a sensitivity of 100% compared with DNA sequencing for those mutations that could be detected</w:t>
      </w:r>
      <w:r w:rsidR="00970509">
        <w:rPr>
          <w:rFonts w:ascii="Arial Narrow" w:hAnsi="Arial Narrow" w:cs="Times New Roman"/>
          <w:bCs/>
          <w:sz w:val="20"/>
          <w:szCs w:val="20"/>
        </w:rPr>
        <w:t>;</w:t>
      </w:r>
      <w:r w:rsidRPr="001024C1">
        <w:rPr>
          <w:rFonts w:ascii="Arial Narrow" w:hAnsi="Arial Narrow" w:cs="Times New Roman"/>
          <w:bCs/>
          <w:sz w:val="20"/>
          <w:szCs w:val="20"/>
        </w:rPr>
        <w:t xml:space="preserve"> and 92% when all mutations were included in the analysis. These results suggest that the </w:t>
      </w:r>
      <w:r w:rsidR="00FD37D3" w:rsidRPr="00FD37D3">
        <w:rPr>
          <w:rFonts w:ascii="Arial Narrow" w:hAnsi="Arial Narrow" w:cs="Times New Roman"/>
          <w:bCs/>
          <w:sz w:val="20"/>
          <w:szCs w:val="20"/>
        </w:rPr>
        <w:t>CFTR</w:t>
      </w:r>
      <w:r w:rsidRPr="001024C1">
        <w:rPr>
          <w:rFonts w:ascii="Arial Narrow" w:hAnsi="Arial Narrow" w:cs="Times New Roman"/>
          <w:bCs/>
          <w:sz w:val="20"/>
          <w:szCs w:val="20"/>
        </w:rPr>
        <w:t xml:space="preserve"> mutation carried by most parents presenting with a fetus suspected of having CF could be identified by panel-based testing</w:t>
      </w:r>
      <w:r w:rsidR="00566CEF">
        <w:rPr>
          <w:rFonts w:ascii="Arial Narrow" w:hAnsi="Arial Narrow" w:cs="Times New Roman"/>
          <w:bCs/>
          <w:sz w:val="20"/>
          <w:szCs w:val="20"/>
        </w:rPr>
        <w:t>;</w:t>
      </w:r>
      <w:r w:rsidRPr="001024C1">
        <w:rPr>
          <w:rFonts w:ascii="Arial Narrow" w:hAnsi="Arial Narrow" w:cs="Times New Roman"/>
          <w:bCs/>
          <w:sz w:val="20"/>
          <w:szCs w:val="20"/>
        </w:rPr>
        <w:t xml:space="preserve"> </w:t>
      </w:r>
      <w:r w:rsidR="00566CEF">
        <w:rPr>
          <w:rFonts w:ascii="Arial Narrow" w:hAnsi="Arial Narrow" w:cs="Times New Roman"/>
          <w:bCs/>
          <w:sz w:val="20"/>
          <w:szCs w:val="20"/>
        </w:rPr>
        <w:t>h</w:t>
      </w:r>
      <w:r w:rsidRPr="001024C1">
        <w:rPr>
          <w:rFonts w:ascii="Arial Narrow" w:hAnsi="Arial Narrow" w:cs="Times New Roman"/>
          <w:bCs/>
          <w:sz w:val="20"/>
          <w:szCs w:val="20"/>
        </w:rPr>
        <w:t xml:space="preserve">owever, 8% of parents </w:t>
      </w:r>
      <w:r w:rsidR="00970509">
        <w:rPr>
          <w:rFonts w:ascii="Arial Narrow" w:hAnsi="Arial Narrow" w:cs="Times New Roman"/>
          <w:bCs/>
          <w:sz w:val="20"/>
          <w:szCs w:val="20"/>
        </w:rPr>
        <w:t>would</w:t>
      </w:r>
      <w:r w:rsidR="00970509" w:rsidRPr="001024C1">
        <w:rPr>
          <w:rFonts w:ascii="Arial Narrow" w:hAnsi="Arial Narrow" w:cs="Times New Roman"/>
          <w:bCs/>
          <w:sz w:val="20"/>
          <w:szCs w:val="20"/>
        </w:rPr>
        <w:t xml:space="preserve"> </w:t>
      </w:r>
      <w:r w:rsidRPr="001024C1">
        <w:rPr>
          <w:rFonts w:ascii="Arial Narrow" w:hAnsi="Arial Narrow" w:cs="Times New Roman"/>
          <w:bCs/>
          <w:sz w:val="20"/>
          <w:szCs w:val="20"/>
        </w:rPr>
        <w:t>require further testing.</w:t>
      </w:r>
    </w:p>
    <w:p w14:paraId="22EBA1CC" w14:textId="30249B2B"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b/>
          <w:bCs/>
          <w:sz w:val="20"/>
          <w:szCs w:val="20"/>
        </w:rPr>
      </w:pPr>
      <w:r w:rsidRPr="001024C1">
        <w:rPr>
          <w:rFonts w:ascii="Arial Narrow" w:hAnsi="Arial Narrow" w:cs="Times New Roman"/>
          <w:b/>
          <w:bCs/>
          <w:sz w:val="20"/>
          <w:szCs w:val="20"/>
        </w:rPr>
        <w:t xml:space="preserve">What is the diagnostic accuracy of </w:t>
      </w:r>
      <w:r w:rsidR="00FD37D3" w:rsidRPr="00FD37D3">
        <w:rPr>
          <w:rFonts w:ascii="Arial Narrow" w:hAnsi="Arial Narrow" w:cs="Times New Roman"/>
          <w:b/>
          <w:bCs/>
          <w:sz w:val="20"/>
          <w:szCs w:val="20"/>
        </w:rPr>
        <w:t>CFTR</w:t>
      </w:r>
      <w:r w:rsidRPr="001024C1">
        <w:rPr>
          <w:rFonts w:ascii="Arial Narrow" w:hAnsi="Arial Narrow" w:cs="Times New Roman"/>
          <w:b/>
          <w:bCs/>
          <w:sz w:val="20"/>
          <w:szCs w:val="20"/>
        </w:rPr>
        <w:t xml:space="preserve"> mutation testing in fetuses where both parents are CF carriers</w:t>
      </w:r>
      <w:r w:rsidR="007152CC">
        <w:rPr>
          <w:rFonts w:ascii="Arial Narrow" w:hAnsi="Arial Narrow" w:cs="Times New Roman"/>
          <w:b/>
          <w:bCs/>
          <w:sz w:val="20"/>
          <w:szCs w:val="20"/>
        </w:rPr>
        <w:t xml:space="preserve"> (population group 2a)</w:t>
      </w:r>
      <w:r w:rsidRPr="001024C1">
        <w:rPr>
          <w:rFonts w:ascii="Arial Narrow" w:hAnsi="Arial Narrow" w:cs="Times New Roman"/>
          <w:b/>
          <w:bCs/>
          <w:sz w:val="20"/>
          <w:szCs w:val="20"/>
        </w:rPr>
        <w:t>?</w:t>
      </w:r>
    </w:p>
    <w:p w14:paraId="44AAE4AD" w14:textId="6523D63A" w:rsidR="003B239A" w:rsidRDefault="003B239A" w:rsidP="000D04B6">
      <w:pPr>
        <w:pBdr>
          <w:top w:val="single" w:sz="4" w:space="4" w:color="auto"/>
          <w:left w:val="single" w:sz="4" w:space="4" w:color="auto"/>
          <w:bottom w:val="single" w:sz="4" w:space="4" w:color="auto"/>
          <w:right w:val="single" w:sz="4" w:space="4" w:color="auto"/>
        </w:pBdr>
        <w:spacing w:line="240" w:lineRule="auto"/>
        <w:rPr>
          <w:rFonts w:ascii="Arial Narrow" w:hAnsi="Arial Narrow" w:cs="Times New Roman"/>
          <w:sz w:val="20"/>
          <w:szCs w:val="20"/>
        </w:rPr>
      </w:pPr>
      <w:r w:rsidRPr="001024C1">
        <w:rPr>
          <w:rFonts w:ascii="Arial Narrow" w:hAnsi="Arial Narrow" w:cs="Times New Roman"/>
          <w:sz w:val="20"/>
          <w:szCs w:val="20"/>
        </w:rPr>
        <w:t xml:space="preserve">Four studies reported on the accuracy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in fetuses from carrier parents. Only </w:t>
      </w:r>
      <w:r w:rsidR="00CC4BBD">
        <w:rPr>
          <w:rFonts w:ascii="Arial Narrow" w:hAnsi="Arial Narrow" w:cs="Times New Roman"/>
          <w:sz w:val="20"/>
          <w:szCs w:val="20"/>
        </w:rPr>
        <w:t>2</w:t>
      </w:r>
      <w:r w:rsidR="00CC4BBD" w:rsidRPr="001024C1">
        <w:rPr>
          <w:rFonts w:ascii="Arial Narrow" w:hAnsi="Arial Narrow" w:cs="Times New Roman"/>
          <w:sz w:val="20"/>
          <w:szCs w:val="20"/>
        </w:rPr>
        <w:t xml:space="preserve"> </w:t>
      </w:r>
      <w:r w:rsidRPr="001024C1">
        <w:rPr>
          <w:rFonts w:ascii="Arial Narrow" w:hAnsi="Arial Narrow" w:cs="Times New Roman"/>
          <w:sz w:val="20"/>
          <w:szCs w:val="20"/>
        </w:rPr>
        <w:t>studies reported that there were no false negative results (</w:t>
      </w:r>
      <w:r w:rsidR="00CC4BBD">
        <w:rPr>
          <w:rFonts w:ascii="Arial Narrow" w:hAnsi="Arial Narrow" w:cs="Times New Roman"/>
          <w:sz w:val="20"/>
          <w:szCs w:val="20"/>
        </w:rPr>
        <w:t xml:space="preserve">i.e. </w:t>
      </w:r>
      <w:r w:rsidRPr="001024C1">
        <w:rPr>
          <w:rFonts w:ascii="Arial Narrow" w:hAnsi="Arial Narrow" w:cs="Times New Roman"/>
          <w:sz w:val="20"/>
          <w:szCs w:val="20"/>
        </w:rPr>
        <w:t xml:space="preserve">all fetuses diagnosed as either carriers or normal were born without CF; sensitivity = 100%), and only </w:t>
      </w:r>
      <w:r w:rsidR="00CC4BBD">
        <w:rPr>
          <w:rFonts w:ascii="Arial Narrow" w:hAnsi="Arial Narrow" w:cs="Times New Roman"/>
          <w:sz w:val="20"/>
          <w:szCs w:val="20"/>
        </w:rPr>
        <w:t>1</w:t>
      </w:r>
      <w:r w:rsidR="00CC4BBD" w:rsidRPr="001024C1">
        <w:rPr>
          <w:rFonts w:ascii="Arial Narrow" w:hAnsi="Arial Narrow" w:cs="Times New Roman"/>
          <w:sz w:val="20"/>
          <w:szCs w:val="20"/>
        </w:rPr>
        <w:t xml:space="preserve"> </w:t>
      </w:r>
      <w:r w:rsidRPr="001024C1">
        <w:rPr>
          <w:rFonts w:ascii="Arial Narrow" w:hAnsi="Arial Narrow" w:cs="Times New Roman"/>
          <w:sz w:val="20"/>
          <w:szCs w:val="20"/>
        </w:rPr>
        <w:t xml:space="preserve">study reported on the fate of the fetuses diagnosed with CF (all fetuses were aborted). The results suggest that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compared </w:t>
      </w:r>
      <w:r w:rsidR="00CC4BBD">
        <w:rPr>
          <w:rFonts w:ascii="Arial Narrow" w:hAnsi="Arial Narrow" w:cs="Times New Roman"/>
          <w:sz w:val="20"/>
          <w:szCs w:val="20"/>
        </w:rPr>
        <w:t>with</w:t>
      </w:r>
      <w:r w:rsidR="00CC4BBD" w:rsidRPr="001024C1">
        <w:rPr>
          <w:rFonts w:ascii="Arial Narrow" w:hAnsi="Arial Narrow" w:cs="Times New Roman"/>
          <w:sz w:val="20"/>
          <w:szCs w:val="20"/>
        </w:rPr>
        <w:t xml:space="preserve"> </w:t>
      </w:r>
      <w:r w:rsidRPr="001024C1">
        <w:rPr>
          <w:rFonts w:ascii="Arial Narrow" w:hAnsi="Arial Narrow" w:cs="Times New Roman"/>
          <w:sz w:val="20"/>
          <w:szCs w:val="20"/>
        </w:rPr>
        <w:t>clinical diagnosis after birth in fetuses with carrier parents is likely to be highly sensitive</w:t>
      </w:r>
      <w:r w:rsidR="00CC4BBD">
        <w:rPr>
          <w:rFonts w:ascii="Arial Narrow" w:hAnsi="Arial Narrow" w:cs="Times New Roman"/>
          <w:sz w:val="20"/>
          <w:szCs w:val="20"/>
        </w:rPr>
        <w:t>,</w:t>
      </w:r>
      <w:r w:rsidRPr="001024C1">
        <w:rPr>
          <w:rFonts w:ascii="Arial Narrow" w:hAnsi="Arial Narrow" w:cs="Times New Roman"/>
          <w:sz w:val="20"/>
          <w:szCs w:val="20"/>
        </w:rPr>
        <w:t xml:space="preserve"> but the specificity cannot be determined as most fetuses from carrier parents diagnosed as having CF are aborted.</w:t>
      </w:r>
    </w:p>
    <w:p w14:paraId="6B13AB52" w14:textId="076192D2"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b/>
          <w:sz w:val="20"/>
          <w:szCs w:val="20"/>
        </w:rPr>
      </w:pPr>
      <w:r w:rsidRPr="001024C1">
        <w:rPr>
          <w:rFonts w:ascii="Arial Narrow" w:hAnsi="Arial Narrow" w:cs="Times New Roman"/>
          <w:b/>
          <w:sz w:val="20"/>
          <w:szCs w:val="20"/>
        </w:rPr>
        <w:t xml:space="preserve">What is the diagnostic accuracy of </w:t>
      </w:r>
      <w:r w:rsidR="00FD37D3" w:rsidRPr="00FD37D3">
        <w:rPr>
          <w:rFonts w:ascii="Arial Narrow" w:hAnsi="Arial Narrow" w:cs="Times New Roman"/>
          <w:b/>
          <w:sz w:val="20"/>
          <w:szCs w:val="20"/>
        </w:rPr>
        <w:t>CFTR</w:t>
      </w:r>
      <w:r w:rsidRPr="001024C1">
        <w:rPr>
          <w:rFonts w:ascii="Arial Narrow" w:hAnsi="Arial Narrow" w:cs="Times New Roman"/>
          <w:b/>
          <w:sz w:val="20"/>
          <w:szCs w:val="20"/>
        </w:rPr>
        <w:t xml:space="preserve"> mutation testing in fetuses diagnosed with </w:t>
      </w:r>
      <w:r w:rsidR="00D2661C">
        <w:rPr>
          <w:rFonts w:ascii="Arial Narrow" w:hAnsi="Arial Narrow" w:cs="Times New Roman"/>
          <w:b/>
          <w:sz w:val="20"/>
          <w:szCs w:val="20"/>
        </w:rPr>
        <w:t>an echogenic bowel</w:t>
      </w:r>
      <w:r w:rsidR="007152CC">
        <w:rPr>
          <w:rFonts w:ascii="Arial Narrow" w:hAnsi="Arial Narrow" w:cs="Times New Roman"/>
          <w:b/>
          <w:sz w:val="20"/>
          <w:szCs w:val="20"/>
        </w:rPr>
        <w:t xml:space="preserve"> (population group 2b)</w:t>
      </w:r>
      <w:r w:rsidRPr="001024C1">
        <w:rPr>
          <w:rFonts w:ascii="Arial Narrow" w:hAnsi="Arial Narrow" w:cs="Times New Roman"/>
          <w:b/>
          <w:sz w:val="20"/>
          <w:szCs w:val="20"/>
        </w:rPr>
        <w:t>?</w:t>
      </w:r>
    </w:p>
    <w:p w14:paraId="6CA046E6" w14:textId="2ADE55F3" w:rsidR="003B239A" w:rsidRDefault="003B239A" w:rsidP="000D04B6">
      <w:pPr>
        <w:pBdr>
          <w:top w:val="single" w:sz="4" w:space="4" w:color="auto"/>
          <w:left w:val="single" w:sz="4" w:space="4" w:color="auto"/>
          <w:bottom w:val="single" w:sz="4" w:space="4" w:color="auto"/>
          <w:right w:val="single" w:sz="4" w:space="4" w:color="auto"/>
        </w:pBdr>
        <w:spacing w:line="240" w:lineRule="auto"/>
        <w:rPr>
          <w:rFonts w:ascii="Arial Narrow" w:hAnsi="Arial Narrow" w:cs="Times New Roman"/>
          <w:sz w:val="20"/>
          <w:szCs w:val="20"/>
        </w:rPr>
      </w:pPr>
      <w:r w:rsidRPr="001024C1">
        <w:rPr>
          <w:rFonts w:ascii="Arial Narrow" w:hAnsi="Arial Narrow" w:cs="Times New Roman"/>
          <w:sz w:val="20"/>
          <w:szCs w:val="20"/>
        </w:rPr>
        <w:t xml:space="preserve">One study reported on the use of exon-scanning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plus DNA sequencing confirmation to diagnose CF in fetuses with </w:t>
      </w:r>
      <w:r w:rsidR="00D2661C">
        <w:rPr>
          <w:rFonts w:ascii="Arial Narrow" w:hAnsi="Arial Narrow" w:cs="Times New Roman"/>
          <w:sz w:val="20"/>
          <w:szCs w:val="20"/>
        </w:rPr>
        <w:t>an echogenic bowel</w:t>
      </w:r>
      <w:r w:rsidRPr="001024C1">
        <w:rPr>
          <w:rFonts w:ascii="Arial Narrow" w:hAnsi="Arial Narrow" w:cs="Times New Roman"/>
          <w:sz w:val="20"/>
          <w:szCs w:val="20"/>
        </w:rPr>
        <w:t xml:space="preserve">; however, no clinical outcomes were reported for the fetuses. Thus, the accuracy of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testing compared </w:t>
      </w:r>
      <w:r w:rsidR="00CC4BBD">
        <w:rPr>
          <w:rFonts w:ascii="Arial Narrow" w:hAnsi="Arial Narrow" w:cs="Times New Roman"/>
          <w:sz w:val="20"/>
          <w:szCs w:val="20"/>
        </w:rPr>
        <w:t>with</w:t>
      </w:r>
      <w:r w:rsidR="00CC4BBD" w:rsidRPr="001024C1">
        <w:rPr>
          <w:rFonts w:ascii="Arial Narrow" w:hAnsi="Arial Narrow" w:cs="Times New Roman"/>
          <w:sz w:val="20"/>
          <w:szCs w:val="20"/>
        </w:rPr>
        <w:t xml:space="preserve"> </w:t>
      </w:r>
      <w:r w:rsidRPr="001024C1">
        <w:rPr>
          <w:rFonts w:ascii="Arial Narrow" w:hAnsi="Arial Narrow" w:cs="Times New Roman"/>
          <w:sz w:val="20"/>
          <w:szCs w:val="20"/>
        </w:rPr>
        <w:t xml:space="preserve">clinical diagnosis after birth in fetuses with </w:t>
      </w:r>
      <w:r w:rsidR="00D2661C">
        <w:rPr>
          <w:rFonts w:ascii="Arial Narrow" w:hAnsi="Arial Narrow" w:cs="Times New Roman"/>
          <w:sz w:val="20"/>
          <w:szCs w:val="20"/>
        </w:rPr>
        <w:t>an echogenic bowel</w:t>
      </w:r>
      <w:r w:rsidRPr="001024C1">
        <w:rPr>
          <w:rFonts w:ascii="Arial Narrow" w:hAnsi="Arial Narrow" w:cs="Times New Roman"/>
          <w:sz w:val="20"/>
          <w:szCs w:val="20"/>
        </w:rPr>
        <w:t xml:space="preserve"> could not be determined.</w:t>
      </w:r>
    </w:p>
    <w:p w14:paraId="5BCCC4CA" w14:textId="67B159E5"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b/>
          <w:sz w:val="20"/>
          <w:szCs w:val="20"/>
        </w:rPr>
      </w:pPr>
      <w:r w:rsidRPr="001024C1">
        <w:rPr>
          <w:rFonts w:ascii="Arial Narrow" w:hAnsi="Arial Narrow" w:cs="Times New Roman"/>
          <w:b/>
          <w:sz w:val="20"/>
          <w:szCs w:val="20"/>
        </w:rPr>
        <w:t xml:space="preserve">Test failure rates and the limitations of </w:t>
      </w:r>
      <w:r w:rsidR="00FD37D3" w:rsidRPr="00FD37D3">
        <w:rPr>
          <w:rFonts w:ascii="Arial Narrow" w:hAnsi="Arial Narrow" w:cs="Times New Roman"/>
          <w:b/>
          <w:sz w:val="20"/>
          <w:szCs w:val="20"/>
        </w:rPr>
        <w:t>CFTR</w:t>
      </w:r>
      <w:r w:rsidRPr="001024C1">
        <w:rPr>
          <w:rFonts w:ascii="Arial Narrow" w:hAnsi="Arial Narrow" w:cs="Times New Roman"/>
          <w:b/>
          <w:sz w:val="20"/>
          <w:szCs w:val="20"/>
        </w:rPr>
        <w:t xml:space="preserve"> mutation testing </w:t>
      </w:r>
    </w:p>
    <w:p w14:paraId="59A64E20" w14:textId="1764336F" w:rsidR="003B239A" w:rsidRPr="001024C1" w:rsidRDefault="003B239A" w:rsidP="000D04B6">
      <w:pPr>
        <w:pBdr>
          <w:top w:val="single" w:sz="4" w:space="4" w:color="auto"/>
          <w:left w:val="single" w:sz="4" w:space="4" w:color="auto"/>
          <w:bottom w:val="single" w:sz="4" w:space="4" w:color="auto"/>
          <w:right w:val="single" w:sz="4" w:space="4" w:color="auto"/>
        </w:pBdr>
        <w:spacing w:after="120" w:line="240" w:lineRule="auto"/>
        <w:rPr>
          <w:rFonts w:ascii="Arial Narrow" w:hAnsi="Arial Narrow" w:cs="Times New Roman"/>
          <w:sz w:val="20"/>
          <w:szCs w:val="20"/>
        </w:rPr>
      </w:pPr>
      <w:r w:rsidRPr="001024C1">
        <w:rPr>
          <w:rFonts w:ascii="Arial Narrow" w:hAnsi="Arial Narrow" w:cs="Times New Roman"/>
          <w:sz w:val="20"/>
          <w:szCs w:val="20"/>
        </w:rPr>
        <w:t xml:space="preserve">Five studies reported on the failure rates of </w:t>
      </w:r>
      <w:r w:rsidR="00970509">
        <w:rPr>
          <w:rFonts w:ascii="Arial Narrow" w:hAnsi="Arial Narrow" w:cs="Times New Roman"/>
          <w:sz w:val="20"/>
          <w:szCs w:val="20"/>
        </w:rPr>
        <w:t>seven</w:t>
      </w:r>
      <w:r w:rsidR="00CC4BBD" w:rsidRPr="001024C1">
        <w:rPr>
          <w:rFonts w:ascii="Arial Narrow" w:hAnsi="Arial Narrow" w:cs="Times New Roman"/>
          <w:sz w:val="20"/>
          <w:szCs w:val="20"/>
        </w:rPr>
        <w:t xml:space="preserve"> </w:t>
      </w:r>
      <w:r w:rsidRPr="001024C1">
        <w:rPr>
          <w:rFonts w:ascii="Arial Narrow" w:hAnsi="Arial Narrow" w:cs="Times New Roman"/>
          <w:sz w:val="20"/>
          <w:szCs w:val="20"/>
        </w:rPr>
        <w:t xml:space="preserve">panel-based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tests (median 4.5%, range 0.0001</w:t>
      </w:r>
      <w:r w:rsidR="00CC4BBD">
        <w:rPr>
          <w:rFonts w:ascii="Arial Narrow" w:hAnsi="Arial Narrow" w:cs="Times New Roman"/>
          <w:sz w:val="20"/>
          <w:szCs w:val="20"/>
        </w:rPr>
        <w:t>–</w:t>
      </w:r>
      <w:r w:rsidRPr="001024C1">
        <w:rPr>
          <w:rFonts w:ascii="Arial Narrow" w:hAnsi="Arial Narrow" w:cs="Times New Roman"/>
          <w:sz w:val="20"/>
          <w:szCs w:val="20"/>
        </w:rPr>
        <w:t>9), suggesting that</w:t>
      </w:r>
      <w:r w:rsidR="00970509">
        <w:rPr>
          <w:rFonts w:ascii="Arial Narrow" w:hAnsi="Arial Narrow" w:cs="Times New Roman"/>
          <w:sz w:val="20"/>
          <w:szCs w:val="20"/>
        </w:rPr>
        <w:t>,</w:t>
      </w:r>
      <w:r w:rsidRPr="001024C1">
        <w:rPr>
          <w:rFonts w:ascii="Arial Narrow" w:hAnsi="Arial Narrow" w:cs="Times New Roman"/>
          <w:sz w:val="20"/>
          <w:szCs w:val="20"/>
        </w:rPr>
        <w:t xml:space="preserve"> in diagnostic laboratories using panel tests, about 4.5% of tests would need to be repeated.</w:t>
      </w:r>
    </w:p>
    <w:p w14:paraId="5C100C2C" w14:textId="379015EF" w:rsidR="003B239A" w:rsidRDefault="003B239A" w:rsidP="000D04B6">
      <w:pPr>
        <w:pBdr>
          <w:top w:val="single" w:sz="4" w:space="4" w:color="auto"/>
          <w:left w:val="single" w:sz="4" w:space="4" w:color="auto"/>
          <w:bottom w:val="single" w:sz="4" w:space="4" w:color="auto"/>
          <w:right w:val="single" w:sz="4" w:space="4" w:color="auto"/>
        </w:pBdr>
        <w:spacing w:line="240" w:lineRule="auto"/>
      </w:pPr>
      <w:r w:rsidRPr="001024C1">
        <w:rPr>
          <w:rFonts w:ascii="Arial Narrow" w:hAnsi="Arial Narrow" w:cs="Times New Roman"/>
          <w:sz w:val="20"/>
          <w:szCs w:val="20"/>
        </w:rPr>
        <w:lastRenderedPageBreak/>
        <w:t xml:space="preserve">In summary, a panel-based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test will not detect any mutation other than those included in the </w:t>
      </w:r>
      <w:r w:rsidR="00FD37D3" w:rsidRPr="00FD37D3">
        <w:rPr>
          <w:rFonts w:ascii="Arial Narrow" w:hAnsi="Arial Narrow" w:cs="Times New Roman"/>
          <w:sz w:val="20"/>
          <w:szCs w:val="20"/>
        </w:rPr>
        <w:t>CFTR</w:t>
      </w:r>
      <w:r w:rsidRPr="001024C1">
        <w:rPr>
          <w:rFonts w:ascii="Arial Narrow" w:hAnsi="Arial Narrow" w:cs="Times New Roman"/>
          <w:sz w:val="20"/>
          <w:szCs w:val="20"/>
        </w:rPr>
        <w:t xml:space="preserve"> mutation panel. Both panel-based and exon-scanning tests, as well as DNA sequencing-based tests</w:t>
      </w:r>
      <w:r w:rsidR="00CC4BBD">
        <w:rPr>
          <w:rFonts w:ascii="Arial Narrow" w:hAnsi="Arial Narrow" w:cs="Times New Roman"/>
          <w:sz w:val="20"/>
          <w:szCs w:val="20"/>
        </w:rPr>
        <w:t>,</w:t>
      </w:r>
      <w:r w:rsidRPr="001024C1">
        <w:rPr>
          <w:rFonts w:ascii="Arial Narrow" w:hAnsi="Arial Narrow" w:cs="Times New Roman"/>
          <w:sz w:val="20"/>
          <w:szCs w:val="20"/>
        </w:rPr>
        <w:t xml:space="preserve"> cannot detect large deletion or insertion mutations, which occur in about 2% of CF patients worldwide. Methods such as MLPA are required to detect these rare deletion/insertion mutations. Even extensive DNA sequencing of all exons and flanking regions plus deletion/insertion analysis will not detect all mutations. Thus, in the case of a negative result, it is important for the diagnostic laboratory to explain the scope of the mutation testing that was undertaken and the likelihood of the patient being truly negative to the clinician requesting the test.</w:t>
      </w:r>
    </w:p>
    <w:p w14:paraId="6EAFD90F" w14:textId="3E8A1B2C" w:rsidR="003B239A" w:rsidRPr="001024C1" w:rsidRDefault="00D2661C" w:rsidP="003B239A">
      <w:pPr>
        <w:spacing w:before="240"/>
        <w:rPr>
          <w:rFonts w:asciiTheme="minorHAnsi" w:hAnsiTheme="minorHAnsi"/>
        </w:rPr>
      </w:pPr>
      <w:r>
        <w:rPr>
          <w:rFonts w:asciiTheme="minorHAnsi" w:hAnsiTheme="minorHAnsi"/>
        </w:rPr>
        <w:t xml:space="preserve">The accuracy of </w:t>
      </w:r>
      <w:r w:rsidR="00FD37D3" w:rsidRPr="00FD37D3">
        <w:rPr>
          <w:rFonts w:asciiTheme="minorHAnsi" w:hAnsiTheme="minorHAnsi"/>
        </w:rPr>
        <w:t>CFTR</w:t>
      </w:r>
      <w:r>
        <w:rPr>
          <w:rFonts w:asciiTheme="minorHAnsi" w:hAnsiTheme="minorHAnsi"/>
        </w:rPr>
        <w:t xml:space="preserve"> mutation testing was assessed in a number of different populations. </w:t>
      </w:r>
      <w:r w:rsidR="003B239A" w:rsidRPr="001024C1">
        <w:rPr>
          <w:rFonts w:asciiTheme="minorHAnsi" w:hAnsiTheme="minorHAnsi"/>
        </w:rPr>
        <w:t>A summary of the diagnostic accuracy data</w:t>
      </w:r>
      <w:r>
        <w:rPr>
          <w:rFonts w:asciiTheme="minorHAnsi" w:hAnsiTheme="minorHAnsi"/>
        </w:rPr>
        <w:t>, divided by population group,</w:t>
      </w:r>
      <w:r w:rsidR="003B239A" w:rsidRPr="001024C1">
        <w:rPr>
          <w:rFonts w:asciiTheme="minorHAnsi" w:hAnsiTheme="minorHAnsi"/>
        </w:rPr>
        <w:t xml:space="preserve"> is presented in </w:t>
      </w:r>
      <w:r w:rsidR="001B24A7">
        <w:rPr>
          <w:rFonts w:asciiTheme="minorHAnsi" w:hAnsiTheme="minorHAnsi"/>
          <w:highlight w:val="yellow"/>
        </w:rPr>
        <w:fldChar w:fldCharType="begin"/>
      </w:r>
      <w:r w:rsidR="001B24A7">
        <w:rPr>
          <w:rFonts w:asciiTheme="minorHAnsi" w:hAnsiTheme="minorHAnsi"/>
        </w:rPr>
        <w:instrText xml:space="preserve"> REF _Ref413225393 \h </w:instrText>
      </w:r>
      <w:r w:rsidR="001B24A7">
        <w:rPr>
          <w:rFonts w:asciiTheme="minorHAnsi" w:hAnsiTheme="minorHAnsi"/>
          <w:highlight w:val="yellow"/>
        </w:rPr>
      </w:r>
      <w:r w:rsidR="001B24A7">
        <w:rPr>
          <w:rFonts w:asciiTheme="minorHAnsi" w:hAnsiTheme="minorHAnsi"/>
          <w:highlight w:val="yellow"/>
        </w:rPr>
        <w:fldChar w:fldCharType="separate"/>
      </w:r>
      <w:r w:rsidR="00BB0E3E">
        <w:t xml:space="preserve">Table </w:t>
      </w:r>
      <w:r w:rsidR="00BB0E3E">
        <w:rPr>
          <w:noProof/>
        </w:rPr>
        <w:t>42</w:t>
      </w:r>
      <w:r w:rsidR="001B24A7">
        <w:rPr>
          <w:rFonts w:asciiTheme="minorHAnsi" w:hAnsiTheme="minorHAnsi"/>
          <w:highlight w:val="yellow"/>
        </w:rPr>
        <w:fldChar w:fldCharType="end"/>
      </w:r>
      <w:r w:rsidR="003B239A" w:rsidRPr="001024C1">
        <w:rPr>
          <w:rFonts w:asciiTheme="minorHAnsi" w:hAnsiTheme="minorHAnsi"/>
        </w:rPr>
        <w:t>.</w:t>
      </w:r>
    </w:p>
    <w:p w14:paraId="6B2715EC" w14:textId="77777777" w:rsidR="003B239A" w:rsidRDefault="003B239A" w:rsidP="003B239A">
      <w:pPr>
        <w:pStyle w:val="Caption"/>
      </w:pPr>
      <w:bookmarkStart w:id="263" w:name="_Ref413225393"/>
      <w:bookmarkStart w:id="264" w:name="_Ref413225411"/>
      <w:bookmarkStart w:id="265" w:name="_Toc418179439"/>
      <w:r>
        <w:t xml:space="preserve">Table </w:t>
      </w:r>
      <w:fldSimple w:instr=" SEQ Table \* ARABIC ">
        <w:r w:rsidR="00BB0E3E">
          <w:rPr>
            <w:noProof/>
          </w:rPr>
          <w:t>42</w:t>
        </w:r>
      </w:fldSimple>
      <w:bookmarkEnd w:id="263"/>
      <w:r>
        <w:t xml:space="preserve"> </w:t>
      </w:r>
      <w:r>
        <w:tab/>
      </w:r>
      <w:r w:rsidRPr="00667801">
        <w:t>Summary of diagnostic accuracy data</w:t>
      </w:r>
      <w:bookmarkEnd w:id="264"/>
      <w:bookmarkEnd w:id="265"/>
    </w:p>
    <w:tbl>
      <w:tblPr>
        <w:tblStyle w:val="TableGrid212"/>
        <w:tblW w:w="4755" w:type="pct"/>
        <w:tblLayout w:type="fixed"/>
        <w:tblLook w:val="04A0" w:firstRow="1" w:lastRow="0" w:firstColumn="1" w:lastColumn="0" w:noHBand="0" w:noVBand="1"/>
        <w:tblCaption w:val="Summary of diagnostic accuracy data"/>
        <w:tblDescription w:val="Summary of diagnostic accuracy data"/>
      </w:tblPr>
      <w:tblGrid>
        <w:gridCol w:w="1242"/>
        <w:gridCol w:w="2127"/>
        <w:gridCol w:w="1985"/>
        <w:gridCol w:w="1700"/>
        <w:gridCol w:w="1735"/>
      </w:tblGrid>
      <w:tr w:rsidR="003B239A" w:rsidRPr="001024C1" w14:paraId="4B5AAC2B" w14:textId="77777777" w:rsidTr="001A75CA">
        <w:trPr>
          <w:tblHeader/>
        </w:trPr>
        <w:tc>
          <w:tcPr>
            <w:tcW w:w="707" w:type="pct"/>
            <w:tcBorders>
              <w:right w:val="single" w:sz="4" w:space="0" w:color="auto"/>
            </w:tcBorders>
          </w:tcPr>
          <w:p w14:paraId="5580FA24" w14:textId="77777777" w:rsidR="003B239A" w:rsidRPr="001024C1" w:rsidRDefault="003B239A" w:rsidP="001A75CA">
            <w:pPr>
              <w:keepNext/>
              <w:spacing w:after="40" w:line="240" w:lineRule="auto"/>
              <w:jc w:val="left"/>
              <w:rPr>
                <w:rFonts w:ascii="Arial Narrow" w:eastAsiaTheme="minorHAnsi" w:hAnsi="Arial Narrow" w:cs="Times New Roman"/>
                <w:b/>
                <w:sz w:val="20"/>
                <w:szCs w:val="20"/>
                <w:lang w:eastAsia="en-US"/>
              </w:rPr>
            </w:pPr>
            <w:r w:rsidRPr="001024C1">
              <w:rPr>
                <w:rFonts w:ascii="Arial Narrow" w:eastAsiaTheme="minorHAnsi" w:hAnsi="Arial Narrow" w:cs="Times New Roman"/>
                <w:b/>
                <w:sz w:val="20"/>
                <w:szCs w:val="20"/>
                <w:lang w:eastAsia="en-US"/>
              </w:rPr>
              <w:t>Patient population</w:t>
            </w:r>
          </w:p>
        </w:tc>
        <w:tc>
          <w:tcPr>
            <w:tcW w:w="1210" w:type="pct"/>
            <w:tcBorders>
              <w:left w:val="single" w:sz="4" w:space="0" w:color="auto"/>
              <w:right w:val="single" w:sz="4" w:space="0" w:color="auto"/>
            </w:tcBorders>
          </w:tcPr>
          <w:p w14:paraId="07CC4E2F" w14:textId="600D864A" w:rsidR="003B239A" w:rsidRPr="001024C1" w:rsidRDefault="00FD37D3" w:rsidP="001A75CA">
            <w:pPr>
              <w:keepNext/>
              <w:spacing w:after="40" w:line="240" w:lineRule="auto"/>
              <w:ind w:right="-57"/>
              <w:jc w:val="left"/>
              <w:rPr>
                <w:rFonts w:ascii="Arial Narrow" w:eastAsiaTheme="minorHAnsi" w:hAnsi="Arial Narrow" w:cs="Times New Roman"/>
                <w:b/>
                <w:sz w:val="20"/>
                <w:szCs w:val="20"/>
                <w:lang w:eastAsia="en-US"/>
              </w:rPr>
            </w:pPr>
            <w:r w:rsidRPr="00FD37D3">
              <w:rPr>
                <w:rFonts w:ascii="Arial Narrow" w:eastAsiaTheme="minorHAnsi" w:hAnsi="Arial Narrow" w:cs="Times New Roman"/>
                <w:b/>
                <w:sz w:val="20"/>
                <w:szCs w:val="20"/>
                <w:lang w:eastAsia="en-US"/>
              </w:rPr>
              <w:t>CFTR</w:t>
            </w:r>
            <w:r w:rsidR="003B239A" w:rsidRPr="001024C1">
              <w:rPr>
                <w:rFonts w:ascii="Arial Narrow" w:eastAsiaTheme="minorHAnsi" w:hAnsi="Arial Narrow" w:cs="Times New Roman"/>
                <w:b/>
                <w:sz w:val="20"/>
                <w:szCs w:val="20"/>
                <w:lang w:eastAsia="en-US"/>
              </w:rPr>
              <w:t xml:space="preserve"> mutation testing compared </w:t>
            </w:r>
            <w:r w:rsidR="007A3C21">
              <w:rPr>
                <w:rFonts w:ascii="Arial Narrow" w:eastAsiaTheme="minorHAnsi" w:hAnsi="Arial Narrow" w:cs="Times New Roman"/>
                <w:b/>
                <w:sz w:val="20"/>
                <w:szCs w:val="20"/>
                <w:lang w:eastAsia="en-US"/>
              </w:rPr>
              <w:t>with</w:t>
            </w:r>
            <w:r w:rsidR="007A3C21" w:rsidRPr="001024C1">
              <w:rPr>
                <w:rFonts w:ascii="Arial Narrow" w:eastAsiaTheme="minorHAnsi" w:hAnsi="Arial Narrow" w:cs="Times New Roman"/>
                <w:b/>
                <w:sz w:val="20"/>
                <w:szCs w:val="20"/>
                <w:lang w:eastAsia="en-US"/>
              </w:rPr>
              <w:t xml:space="preserve"> </w:t>
            </w:r>
            <w:r w:rsidR="003B239A" w:rsidRPr="001024C1">
              <w:rPr>
                <w:rFonts w:ascii="Arial Narrow" w:eastAsiaTheme="minorHAnsi" w:hAnsi="Arial Narrow" w:cs="Times New Roman"/>
                <w:b/>
                <w:sz w:val="20"/>
                <w:szCs w:val="20"/>
                <w:lang w:eastAsia="en-US"/>
              </w:rPr>
              <w:t>DNA sequencing</w:t>
            </w:r>
            <w:r w:rsidR="007A3C21">
              <w:rPr>
                <w:rFonts w:ascii="Arial Narrow" w:eastAsiaTheme="minorHAnsi" w:hAnsi="Arial Narrow" w:cs="Times New Roman"/>
                <w:b/>
                <w:sz w:val="20"/>
                <w:szCs w:val="20"/>
                <w:lang w:eastAsia="en-US"/>
              </w:rPr>
              <w:br/>
            </w:r>
            <w:r w:rsidR="003B239A" w:rsidRPr="001024C1">
              <w:rPr>
                <w:rFonts w:ascii="Arial Narrow" w:eastAsiaTheme="minorHAnsi" w:hAnsi="Arial Narrow" w:cs="Times New Roman"/>
                <w:b/>
                <w:sz w:val="20"/>
                <w:szCs w:val="20"/>
                <w:lang w:eastAsia="en-US"/>
              </w:rPr>
              <w:t>(detectable mutations</w:t>
            </w:r>
            <w:r w:rsidR="00F52281">
              <w:rPr>
                <w:rFonts w:ascii="Arial Narrow" w:eastAsiaTheme="minorHAnsi" w:hAnsi="Arial Narrow" w:cs="Times New Roman"/>
                <w:b/>
                <w:sz w:val="20"/>
                <w:szCs w:val="20"/>
                <w:lang w:eastAsia="en-US"/>
              </w:rPr>
              <w:t xml:space="preserve"> </w:t>
            </w:r>
            <w:r w:rsidR="003B239A" w:rsidRPr="001024C1">
              <w:rPr>
                <w:rFonts w:ascii="Arial Narrow" w:eastAsiaTheme="minorHAnsi" w:hAnsi="Arial Narrow" w:cs="Times New Roman"/>
                <w:b/>
                <w:sz w:val="20"/>
                <w:szCs w:val="20"/>
                <w:vertAlign w:val="superscript"/>
                <w:lang w:eastAsia="en-US"/>
              </w:rPr>
              <w:t>a</w:t>
            </w:r>
            <w:r w:rsidR="003B239A" w:rsidRPr="001024C1">
              <w:rPr>
                <w:rFonts w:ascii="Arial Narrow" w:eastAsiaTheme="minorHAnsi" w:hAnsi="Arial Narrow" w:cs="Times New Roman"/>
                <w:b/>
                <w:sz w:val="20"/>
                <w:szCs w:val="20"/>
                <w:lang w:eastAsia="en-US"/>
              </w:rPr>
              <w:t>)</w:t>
            </w:r>
          </w:p>
        </w:tc>
        <w:tc>
          <w:tcPr>
            <w:tcW w:w="1129" w:type="pct"/>
            <w:tcBorders>
              <w:left w:val="single" w:sz="4" w:space="0" w:color="auto"/>
              <w:right w:val="single" w:sz="4" w:space="0" w:color="auto"/>
            </w:tcBorders>
          </w:tcPr>
          <w:p w14:paraId="064D793A" w14:textId="64318C68" w:rsidR="003B239A" w:rsidRPr="001024C1" w:rsidRDefault="00FD37D3" w:rsidP="001A75CA">
            <w:pPr>
              <w:keepNext/>
              <w:tabs>
                <w:tab w:val="left" w:pos="1167"/>
              </w:tabs>
              <w:spacing w:after="40" w:line="240" w:lineRule="auto"/>
              <w:ind w:right="-57"/>
              <w:jc w:val="left"/>
              <w:rPr>
                <w:rFonts w:ascii="Arial Narrow" w:eastAsiaTheme="minorHAnsi" w:hAnsi="Arial Narrow" w:cs="Times New Roman"/>
                <w:b/>
                <w:sz w:val="20"/>
                <w:szCs w:val="20"/>
                <w:lang w:eastAsia="en-US"/>
              </w:rPr>
            </w:pPr>
            <w:r w:rsidRPr="00FD37D3">
              <w:rPr>
                <w:rFonts w:ascii="Arial Narrow" w:eastAsiaTheme="minorHAnsi" w:hAnsi="Arial Narrow" w:cs="Times New Roman"/>
                <w:b/>
                <w:sz w:val="20"/>
                <w:szCs w:val="20"/>
                <w:lang w:eastAsia="en-US"/>
              </w:rPr>
              <w:t>CFTR</w:t>
            </w:r>
            <w:r w:rsidR="003B239A" w:rsidRPr="001024C1">
              <w:rPr>
                <w:rFonts w:ascii="Arial Narrow" w:eastAsiaTheme="minorHAnsi" w:hAnsi="Arial Narrow" w:cs="Times New Roman"/>
                <w:b/>
                <w:sz w:val="20"/>
                <w:szCs w:val="20"/>
                <w:lang w:eastAsia="en-US"/>
              </w:rPr>
              <w:t xml:space="preserve"> mutation testing compared </w:t>
            </w:r>
            <w:r w:rsidR="007A3C21">
              <w:rPr>
                <w:rFonts w:ascii="Arial Narrow" w:eastAsiaTheme="minorHAnsi" w:hAnsi="Arial Narrow" w:cs="Times New Roman"/>
                <w:b/>
                <w:sz w:val="20"/>
                <w:szCs w:val="20"/>
                <w:lang w:eastAsia="en-US"/>
              </w:rPr>
              <w:t>with</w:t>
            </w:r>
            <w:r w:rsidR="007A3C21" w:rsidRPr="001024C1">
              <w:rPr>
                <w:rFonts w:ascii="Arial Narrow" w:eastAsiaTheme="minorHAnsi" w:hAnsi="Arial Narrow" w:cs="Times New Roman"/>
                <w:b/>
                <w:sz w:val="20"/>
                <w:szCs w:val="20"/>
                <w:lang w:eastAsia="en-US"/>
              </w:rPr>
              <w:t xml:space="preserve"> </w:t>
            </w:r>
            <w:r w:rsidR="003B239A" w:rsidRPr="001024C1">
              <w:rPr>
                <w:rFonts w:ascii="Arial Narrow" w:eastAsiaTheme="minorHAnsi" w:hAnsi="Arial Narrow" w:cs="Times New Roman"/>
                <w:b/>
                <w:sz w:val="20"/>
                <w:szCs w:val="20"/>
                <w:lang w:eastAsia="en-US"/>
              </w:rPr>
              <w:t>DNA sequencing</w:t>
            </w:r>
            <w:r w:rsidR="007A3C21">
              <w:rPr>
                <w:rFonts w:ascii="Arial Narrow" w:eastAsiaTheme="minorHAnsi" w:hAnsi="Arial Narrow" w:cs="Times New Roman"/>
                <w:b/>
                <w:sz w:val="20"/>
                <w:szCs w:val="20"/>
                <w:lang w:eastAsia="en-US"/>
              </w:rPr>
              <w:br/>
            </w:r>
            <w:r w:rsidR="003B239A" w:rsidRPr="001024C1">
              <w:rPr>
                <w:rFonts w:ascii="Arial Narrow" w:eastAsiaTheme="minorHAnsi" w:hAnsi="Arial Narrow" w:cs="Times New Roman"/>
                <w:b/>
                <w:sz w:val="20"/>
                <w:szCs w:val="20"/>
                <w:lang w:eastAsia="en-US"/>
              </w:rPr>
              <w:t>(all mutations</w:t>
            </w:r>
            <w:r w:rsidR="00F52281">
              <w:rPr>
                <w:rFonts w:ascii="Arial Narrow" w:eastAsiaTheme="minorHAnsi" w:hAnsi="Arial Narrow" w:cs="Times New Roman"/>
                <w:b/>
                <w:sz w:val="20"/>
                <w:szCs w:val="20"/>
                <w:lang w:eastAsia="en-US"/>
              </w:rPr>
              <w:t xml:space="preserve"> </w:t>
            </w:r>
            <w:r w:rsidR="003B239A" w:rsidRPr="001024C1">
              <w:rPr>
                <w:rFonts w:ascii="Arial Narrow" w:eastAsiaTheme="minorHAnsi" w:hAnsi="Arial Narrow" w:cs="Times New Roman"/>
                <w:b/>
                <w:sz w:val="20"/>
                <w:szCs w:val="20"/>
                <w:vertAlign w:val="superscript"/>
                <w:lang w:eastAsia="en-US"/>
              </w:rPr>
              <w:t>b</w:t>
            </w:r>
            <w:r w:rsidR="003B239A" w:rsidRPr="001024C1">
              <w:rPr>
                <w:rFonts w:ascii="Arial Narrow" w:eastAsiaTheme="minorHAnsi" w:hAnsi="Arial Narrow" w:cs="Times New Roman"/>
                <w:b/>
                <w:sz w:val="20"/>
                <w:szCs w:val="20"/>
                <w:lang w:eastAsia="en-US"/>
              </w:rPr>
              <w:t>)</w:t>
            </w:r>
          </w:p>
        </w:tc>
        <w:tc>
          <w:tcPr>
            <w:tcW w:w="967" w:type="pct"/>
            <w:tcBorders>
              <w:left w:val="single" w:sz="4" w:space="0" w:color="auto"/>
              <w:right w:val="single" w:sz="4" w:space="0" w:color="auto"/>
            </w:tcBorders>
          </w:tcPr>
          <w:p w14:paraId="6530568C" w14:textId="5BE4664C" w:rsidR="003B239A" w:rsidRPr="001024C1" w:rsidRDefault="00FD37D3" w:rsidP="001A75CA">
            <w:pPr>
              <w:keepNext/>
              <w:tabs>
                <w:tab w:val="left" w:pos="1167"/>
              </w:tabs>
              <w:spacing w:after="40" w:line="240" w:lineRule="auto"/>
              <w:ind w:right="-57"/>
              <w:jc w:val="left"/>
              <w:rPr>
                <w:rFonts w:ascii="Arial Narrow" w:eastAsiaTheme="minorHAnsi" w:hAnsi="Arial Narrow" w:cs="Times New Roman"/>
                <w:b/>
                <w:sz w:val="20"/>
                <w:szCs w:val="20"/>
                <w:lang w:eastAsia="en-US"/>
              </w:rPr>
            </w:pPr>
            <w:r w:rsidRPr="00FD37D3">
              <w:rPr>
                <w:rFonts w:ascii="Arial Narrow" w:eastAsiaTheme="minorHAnsi" w:hAnsi="Arial Narrow" w:cs="Times New Roman"/>
                <w:b/>
                <w:sz w:val="20"/>
                <w:szCs w:val="20"/>
                <w:lang w:eastAsia="en-US"/>
              </w:rPr>
              <w:t>CFTR</w:t>
            </w:r>
            <w:r w:rsidR="003B239A" w:rsidRPr="001024C1">
              <w:rPr>
                <w:rFonts w:ascii="Arial Narrow" w:eastAsiaTheme="minorHAnsi" w:hAnsi="Arial Narrow" w:cs="Times New Roman"/>
                <w:b/>
                <w:sz w:val="20"/>
                <w:szCs w:val="20"/>
                <w:lang w:eastAsia="en-US"/>
              </w:rPr>
              <w:t xml:space="preserve"> mutation testing compared </w:t>
            </w:r>
            <w:r w:rsidR="007A3C21">
              <w:rPr>
                <w:rFonts w:ascii="Arial Narrow" w:eastAsiaTheme="minorHAnsi" w:hAnsi="Arial Narrow" w:cs="Times New Roman"/>
                <w:b/>
                <w:sz w:val="20"/>
                <w:szCs w:val="20"/>
                <w:lang w:eastAsia="en-US"/>
              </w:rPr>
              <w:t>with</w:t>
            </w:r>
            <w:r w:rsidR="007A3C21" w:rsidRPr="001024C1">
              <w:rPr>
                <w:rFonts w:ascii="Arial Narrow" w:eastAsiaTheme="minorHAnsi" w:hAnsi="Arial Narrow" w:cs="Times New Roman"/>
                <w:b/>
                <w:sz w:val="20"/>
                <w:szCs w:val="20"/>
                <w:lang w:eastAsia="en-US"/>
              </w:rPr>
              <w:t xml:space="preserve"> </w:t>
            </w:r>
            <w:r w:rsidR="003B239A" w:rsidRPr="001024C1">
              <w:rPr>
                <w:rFonts w:ascii="Arial Narrow" w:eastAsiaTheme="minorHAnsi" w:hAnsi="Arial Narrow" w:cs="Times New Roman"/>
                <w:b/>
                <w:sz w:val="20"/>
                <w:szCs w:val="20"/>
                <w:lang w:eastAsia="en-US"/>
              </w:rPr>
              <w:t>clinical diagnosis</w:t>
            </w:r>
          </w:p>
        </w:tc>
        <w:tc>
          <w:tcPr>
            <w:tcW w:w="988" w:type="pct"/>
            <w:tcBorders>
              <w:left w:val="single" w:sz="4" w:space="0" w:color="auto"/>
            </w:tcBorders>
          </w:tcPr>
          <w:p w14:paraId="0A7526B5" w14:textId="64354D65" w:rsidR="003B239A" w:rsidRPr="001024C1" w:rsidRDefault="003B239A" w:rsidP="001A75CA">
            <w:pPr>
              <w:keepNext/>
              <w:tabs>
                <w:tab w:val="left" w:pos="746"/>
              </w:tabs>
              <w:spacing w:after="40" w:line="240" w:lineRule="auto"/>
              <w:ind w:right="-57"/>
              <w:jc w:val="left"/>
              <w:rPr>
                <w:rFonts w:ascii="Arial Narrow" w:eastAsiaTheme="minorHAnsi" w:hAnsi="Arial Narrow" w:cs="Times New Roman"/>
                <w:b/>
                <w:sz w:val="20"/>
                <w:szCs w:val="20"/>
                <w:lang w:eastAsia="en-US"/>
              </w:rPr>
            </w:pPr>
            <w:r w:rsidRPr="001024C1">
              <w:rPr>
                <w:rFonts w:ascii="Arial Narrow" w:eastAsiaTheme="minorHAnsi" w:hAnsi="Arial Narrow" w:cs="Times New Roman"/>
                <w:b/>
                <w:sz w:val="20"/>
                <w:szCs w:val="20"/>
                <w:lang w:eastAsia="en-US"/>
              </w:rPr>
              <w:t xml:space="preserve">DNA sequencing compared </w:t>
            </w:r>
            <w:r w:rsidR="00D420C3">
              <w:rPr>
                <w:rFonts w:ascii="Arial Narrow" w:eastAsiaTheme="minorHAnsi" w:hAnsi="Arial Narrow" w:cs="Times New Roman"/>
                <w:b/>
                <w:sz w:val="20"/>
                <w:szCs w:val="20"/>
                <w:lang w:eastAsia="en-US"/>
              </w:rPr>
              <w:t>wit</w:t>
            </w:r>
            <w:r w:rsidR="00970509">
              <w:rPr>
                <w:rFonts w:ascii="Arial Narrow" w:eastAsiaTheme="minorHAnsi" w:hAnsi="Arial Narrow" w:cs="Times New Roman"/>
                <w:b/>
                <w:sz w:val="20"/>
                <w:szCs w:val="20"/>
                <w:lang w:eastAsia="en-US"/>
              </w:rPr>
              <w:t>h</w:t>
            </w:r>
            <w:r w:rsidR="007A3C21" w:rsidRPr="001024C1">
              <w:rPr>
                <w:rFonts w:ascii="Arial Narrow" w:eastAsiaTheme="minorHAnsi" w:hAnsi="Arial Narrow" w:cs="Times New Roman"/>
                <w:b/>
                <w:sz w:val="20"/>
                <w:szCs w:val="20"/>
                <w:lang w:eastAsia="en-US"/>
              </w:rPr>
              <w:t xml:space="preserve"> </w:t>
            </w:r>
            <w:r w:rsidRPr="001024C1">
              <w:rPr>
                <w:rFonts w:ascii="Arial Narrow" w:eastAsiaTheme="minorHAnsi" w:hAnsi="Arial Narrow" w:cs="Times New Roman"/>
                <w:b/>
                <w:sz w:val="20"/>
                <w:szCs w:val="20"/>
                <w:lang w:eastAsia="en-US"/>
              </w:rPr>
              <w:t>clinical diagnosis</w:t>
            </w:r>
          </w:p>
        </w:tc>
      </w:tr>
      <w:tr w:rsidR="003B239A" w:rsidRPr="001024C1" w14:paraId="27759DC3" w14:textId="77777777" w:rsidTr="001A75CA">
        <w:trPr>
          <w:trHeight w:val="433"/>
        </w:trPr>
        <w:tc>
          <w:tcPr>
            <w:tcW w:w="707" w:type="pct"/>
            <w:tcBorders>
              <w:bottom w:val="single" w:sz="4" w:space="0" w:color="auto"/>
              <w:right w:val="single" w:sz="4" w:space="0" w:color="auto"/>
            </w:tcBorders>
          </w:tcPr>
          <w:p w14:paraId="708BD339" w14:textId="77777777" w:rsidR="003B239A" w:rsidRPr="001024C1" w:rsidRDefault="003B239A" w:rsidP="001A75CA">
            <w:pPr>
              <w:spacing w:after="40" w:line="240" w:lineRule="auto"/>
              <w:jc w:val="left"/>
              <w:rPr>
                <w:rFonts w:ascii="Arial Narrow" w:eastAsiaTheme="minorHAnsi" w:hAnsi="Arial Narrow" w:cstheme="minorHAnsi"/>
                <w:sz w:val="20"/>
                <w:szCs w:val="20"/>
                <w:lang w:eastAsia="en-US"/>
              </w:rPr>
            </w:pPr>
            <w:r w:rsidRPr="001024C1">
              <w:rPr>
                <w:rFonts w:ascii="Arial Narrow" w:eastAsiaTheme="minorHAnsi" w:hAnsi="Arial Narrow" w:cstheme="minorHAnsi"/>
                <w:sz w:val="20"/>
                <w:szCs w:val="20"/>
                <w:lang w:eastAsia="en-US"/>
              </w:rPr>
              <w:t>Alleles from patients diagnosed with CF</w:t>
            </w:r>
          </w:p>
        </w:tc>
        <w:tc>
          <w:tcPr>
            <w:tcW w:w="1210" w:type="pct"/>
            <w:tcBorders>
              <w:left w:val="single" w:sz="4" w:space="0" w:color="auto"/>
              <w:bottom w:val="single" w:sz="4" w:space="0" w:color="auto"/>
              <w:right w:val="single" w:sz="4" w:space="0" w:color="auto"/>
            </w:tcBorders>
          </w:tcPr>
          <w:p w14:paraId="3F33173C" w14:textId="19547254"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97%</w:t>
            </w:r>
            <w:r w:rsidRPr="001024C1">
              <w:rPr>
                <w:rFonts w:ascii="Arial Narrow" w:eastAsiaTheme="minorHAnsi" w:hAnsi="Arial Narrow" w:cs="Times New Roman"/>
                <w:sz w:val="20"/>
                <w:szCs w:val="20"/>
                <w:lang w:eastAsia="en-US"/>
              </w:rPr>
              <w:br/>
              <w:t>(range 90</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100); k=4</w:t>
            </w:r>
            <w:r w:rsidRPr="001024C1">
              <w:rPr>
                <w:rFonts w:ascii="Arial Narrow" w:eastAsiaTheme="minorHAnsi" w:hAnsi="Arial Narrow" w:cs="Times New Roman"/>
                <w:sz w:val="20"/>
                <w:szCs w:val="20"/>
                <w:lang w:eastAsia="en-US"/>
              </w:rPr>
              <w:br/>
              <w:t>3% false negatives</w:t>
            </w:r>
          </w:p>
        </w:tc>
        <w:tc>
          <w:tcPr>
            <w:tcW w:w="1129" w:type="pct"/>
            <w:tcBorders>
              <w:left w:val="single" w:sz="4" w:space="0" w:color="auto"/>
              <w:bottom w:val="single" w:sz="4" w:space="0" w:color="auto"/>
              <w:right w:val="single" w:sz="4" w:space="0" w:color="auto"/>
            </w:tcBorders>
          </w:tcPr>
          <w:p w14:paraId="260F376F" w14:textId="7D6AEC0C" w:rsidR="003B239A" w:rsidRPr="001024C1" w:rsidRDefault="003B239A" w:rsidP="001A75CA">
            <w:pPr>
              <w:tabs>
                <w:tab w:val="left" w:pos="746"/>
              </w:tabs>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Median sensitivity = 85%</w:t>
            </w:r>
            <w:r w:rsidRPr="001024C1">
              <w:rPr>
                <w:rFonts w:ascii="Arial Narrow" w:eastAsiaTheme="minorHAnsi" w:hAnsi="Arial Narrow" w:cs="Times New Roman"/>
                <w:sz w:val="20"/>
                <w:szCs w:val="20"/>
                <w:lang w:eastAsia="en-US"/>
              </w:rPr>
              <w:br/>
              <w:t>(range 71</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97); k=4</w:t>
            </w:r>
            <w:r w:rsidRPr="001024C1">
              <w:rPr>
                <w:rFonts w:ascii="Arial Narrow" w:eastAsiaTheme="minorHAnsi" w:hAnsi="Arial Narrow" w:cs="Times New Roman"/>
                <w:sz w:val="20"/>
                <w:szCs w:val="20"/>
                <w:lang w:eastAsia="en-US"/>
              </w:rPr>
              <w:br/>
              <w:t>18% false negatives</w:t>
            </w:r>
          </w:p>
        </w:tc>
        <w:tc>
          <w:tcPr>
            <w:tcW w:w="967" w:type="pct"/>
            <w:tcBorders>
              <w:left w:val="single" w:sz="4" w:space="0" w:color="auto"/>
              <w:bottom w:val="single" w:sz="4" w:space="0" w:color="auto"/>
              <w:right w:val="single" w:sz="4" w:space="0" w:color="auto"/>
            </w:tcBorders>
          </w:tcPr>
          <w:p w14:paraId="30CE609C" w14:textId="1C7BAAC6"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80%</w:t>
            </w:r>
            <w:r w:rsidRPr="001024C1">
              <w:rPr>
                <w:rFonts w:ascii="Arial Narrow" w:eastAsiaTheme="minorHAnsi" w:hAnsi="Arial Narrow" w:cs="Times New Roman"/>
                <w:sz w:val="20"/>
                <w:szCs w:val="20"/>
                <w:lang w:eastAsia="en-US"/>
              </w:rPr>
              <w:br/>
              <w:t>(range 52</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91); k=5</w:t>
            </w:r>
            <w:r w:rsidRPr="001024C1">
              <w:rPr>
                <w:rFonts w:ascii="Arial Narrow" w:eastAsiaTheme="minorHAnsi" w:hAnsi="Arial Narrow" w:cs="Times New Roman"/>
                <w:sz w:val="20"/>
                <w:szCs w:val="20"/>
                <w:lang w:eastAsia="en-US"/>
              </w:rPr>
              <w:br/>
              <w:t>20% false negatives</w:t>
            </w:r>
          </w:p>
        </w:tc>
        <w:tc>
          <w:tcPr>
            <w:tcW w:w="988" w:type="pct"/>
            <w:tcBorders>
              <w:left w:val="single" w:sz="4" w:space="0" w:color="auto"/>
              <w:bottom w:val="single" w:sz="4" w:space="0" w:color="auto"/>
            </w:tcBorders>
          </w:tcPr>
          <w:p w14:paraId="785D1EDB" w14:textId="434F434A"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92%</w:t>
            </w:r>
            <w:r w:rsidRPr="001024C1">
              <w:rPr>
                <w:rFonts w:ascii="Arial Narrow" w:eastAsiaTheme="minorHAnsi" w:hAnsi="Arial Narrow" w:cs="Times New Roman"/>
                <w:sz w:val="20"/>
                <w:szCs w:val="20"/>
                <w:lang w:eastAsia="en-US"/>
              </w:rPr>
              <w:br/>
              <w:t>(range 90</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100); k=4</w:t>
            </w:r>
            <w:r w:rsidRPr="001024C1">
              <w:rPr>
                <w:rFonts w:ascii="Arial Narrow" w:eastAsiaTheme="minorHAnsi" w:hAnsi="Arial Narrow" w:cs="Times New Roman"/>
                <w:sz w:val="20"/>
                <w:szCs w:val="20"/>
                <w:lang w:eastAsia="en-US"/>
              </w:rPr>
              <w:br/>
              <w:t>8% false negatives</w:t>
            </w:r>
          </w:p>
        </w:tc>
      </w:tr>
      <w:tr w:rsidR="003B239A" w:rsidRPr="001024C1" w14:paraId="0BFF6238" w14:textId="77777777" w:rsidTr="001A75CA">
        <w:trPr>
          <w:trHeight w:val="455"/>
        </w:trPr>
        <w:tc>
          <w:tcPr>
            <w:tcW w:w="707" w:type="pct"/>
            <w:tcBorders>
              <w:bottom w:val="nil"/>
              <w:right w:val="single" w:sz="4" w:space="0" w:color="auto"/>
            </w:tcBorders>
          </w:tcPr>
          <w:p w14:paraId="66321263" w14:textId="77777777" w:rsidR="003B239A" w:rsidRPr="001024C1" w:rsidRDefault="003B239A" w:rsidP="001A75CA">
            <w:pPr>
              <w:spacing w:after="40" w:line="240" w:lineRule="auto"/>
              <w:jc w:val="left"/>
              <w:rPr>
                <w:rFonts w:ascii="Arial Narrow" w:eastAsiaTheme="minorHAnsi" w:hAnsi="Arial Narrow" w:cstheme="minorHAnsi"/>
                <w:sz w:val="20"/>
                <w:szCs w:val="20"/>
                <w:lang w:eastAsia="en-US"/>
              </w:rPr>
            </w:pPr>
            <w:r w:rsidRPr="001024C1">
              <w:rPr>
                <w:rFonts w:ascii="Arial Narrow" w:eastAsiaTheme="minorHAnsi" w:hAnsi="Arial Narrow" w:cstheme="minorHAnsi"/>
                <w:sz w:val="20"/>
                <w:szCs w:val="20"/>
                <w:lang w:eastAsia="en-US"/>
              </w:rPr>
              <w:t xml:space="preserve">Alleles from </w:t>
            </w:r>
            <w:r w:rsidR="00D2661C">
              <w:rPr>
                <w:rFonts w:ascii="Arial Narrow" w:eastAsiaTheme="minorHAnsi" w:hAnsi="Arial Narrow" w:cstheme="minorHAnsi"/>
                <w:sz w:val="20"/>
                <w:szCs w:val="20"/>
                <w:lang w:eastAsia="en-US"/>
              </w:rPr>
              <w:t>men</w:t>
            </w:r>
            <w:r w:rsidRPr="001024C1">
              <w:rPr>
                <w:rFonts w:ascii="Arial Narrow" w:eastAsiaTheme="minorHAnsi" w:hAnsi="Arial Narrow" w:cstheme="minorHAnsi"/>
                <w:sz w:val="20"/>
                <w:szCs w:val="20"/>
                <w:lang w:eastAsia="en-US"/>
              </w:rPr>
              <w:t xml:space="preserve"> diagnosed with CBAVD</w:t>
            </w:r>
          </w:p>
        </w:tc>
        <w:tc>
          <w:tcPr>
            <w:tcW w:w="1210" w:type="pct"/>
            <w:tcBorders>
              <w:left w:val="single" w:sz="4" w:space="0" w:color="auto"/>
              <w:bottom w:val="nil"/>
              <w:right w:val="single" w:sz="4" w:space="0" w:color="auto"/>
            </w:tcBorders>
          </w:tcPr>
          <w:p w14:paraId="29F843EC" w14:textId="52D5488C"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Sensitivity =100%</w:t>
            </w:r>
            <w:r w:rsidRPr="001024C1">
              <w:rPr>
                <w:rFonts w:ascii="Arial Narrow" w:eastAsiaTheme="minorHAnsi" w:hAnsi="Arial Narrow" w:cs="Times New Roman"/>
                <w:sz w:val="20"/>
                <w:szCs w:val="20"/>
                <w:lang w:eastAsia="en-US"/>
              </w:rPr>
              <w:br/>
              <w:t>[95%CI 89, 100]; k=1</w:t>
            </w:r>
            <w:r w:rsidRPr="001024C1">
              <w:rPr>
                <w:rFonts w:ascii="Arial Narrow" w:eastAsiaTheme="minorHAnsi" w:hAnsi="Arial Narrow" w:cs="Times New Roman"/>
                <w:sz w:val="20"/>
                <w:szCs w:val="20"/>
                <w:lang w:eastAsia="en-US"/>
              </w:rPr>
              <w:br/>
              <w:t>No false negatives</w:t>
            </w:r>
          </w:p>
          <w:p w14:paraId="3452740D" w14:textId="5B4CF474"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hAnsi="Arial Narrow" w:cs="Times New Roman"/>
                <w:sz w:val="20"/>
                <w:szCs w:val="20"/>
              </w:rPr>
              <w:t>Specificity = 100%</w:t>
            </w:r>
            <w:r w:rsidRPr="001024C1">
              <w:rPr>
                <w:rFonts w:ascii="Arial Narrow" w:hAnsi="Arial Narrow" w:cs="Times New Roman"/>
                <w:sz w:val="20"/>
                <w:szCs w:val="20"/>
              </w:rPr>
              <w:br/>
              <w:t>[95%CI 72, 100]; k=1</w:t>
            </w:r>
            <w:r w:rsidRPr="001024C1">
              <w:rPr>
                <w:rFonts w:ascii="Arial Narrow" w:hAnsi="Arial Narrow" w:cs="Times New Roman"/>
                <w:sz w:val="20"/>
                <w:szCs w:val="20"/>
              </w:rPr>
              <w:br/>
              <w:t>No false positives</w:t>
            </w:r>
          </w:p>
        </w:tc>
        <w:tc>
          <w:tcPr>
            <w:tcW w:w="1129" w:type="pct"/>
            <w:tcBorders>
              <w:left w:val="single" w:sz="4" w:space="0" w:color="auto"/>
              <w:bottom w:val="nil"/>
              <w:right w:val="single" w:sz="4" w:space="0" w:color="auto"/>
            </w:tcBorders>
          </w:tcPr>
          <w:p w14:paraId="5A3ADCDB" w14:textId="324AFEED"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Sensitivity = 94%</w:t>
            </w:r>
            <w:r w:rsidRPr="001024C1">
              <w:rPr>
                <w:rFonts w:ascii="Arial Narrow" w:eastAsiaTheme="minorHAnsi" w:hAnsi="Arial Narrow" w:cs="Times New Roman"/>
                <w:sz w:val="20"/>
                <w:szCs w:val="20"/>
                <w:lang w:eastAsia="en-US"/>
              </w:rPr>
              <w:br/>
              <w:t>[95%CI 81, 99]; k=1</w:t>
            </w:r>
            <w:r w:rsidRPr="001024C1">
              <w:rPr>
                <w:rFonts w:ascii="Arial Narrow" w:eastAsiaTheme="minorHAnsi" w:hAnsi="Arial Narrow" w:cs="Times New Roman"/>
                <w:sz w:val="20"/>
                <w:szCs w:val="20"/>
                <w:lang w:eastAsia="en-US"/>
              </w:rPr>
              <w:br/>
              <w:t>6% false negatives</w:t>
            </w:r>
          </w:p>
          <w:p w14:paraId="1F379800" w14:textId="02229C73"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hAnsi="Arial Narrow" w:cs="Times New Roman"/>
                <w:sz w:val="20"/>
                <w:szCs w:val="20"/>
              </w:rPr>
              <w:t>Specificity = 100%</w:t>
            </w:r>
            <w:r w:rsidRPr="001024C1">
              <w:rPr>
                <w:rFonts w:ascii="Arial Narrow" w:hAnsi="Arial Narrow" w:cs="Times New Roman"/>
                <w:sz w:val="20"/>
                <w:szCs w:val="20"/>
              </w:rPr>
              <w:br/>
              <w:t>[95%CI 72, 100]; k=1</w:t>
            </w:r>
            <w:r w:rsidRPr="001024C1">
              <w:rPr>
                <w:rFonts w:ascii="Arial Narrow" w:hAnsi="Arial Narrow" w:cs="Times New Roman"/>
                <w:sz w:val="20"/>
                <w:szCs w:val="20"/>
              </w:rPr>
              <w:br/>
              <w:t xml:space="preserve">No </w:t>
            </w:r>
            <w:r w:rsidRPr="001024C1">
              <w:rPr>
                <w:rFonts w:ascii="Arial Narrow" w:eastAsiaTheme="minorHAnsi" w:hAnsi="Arial Narrow" w:cs="Times New Roman"/>
                <w:sz w:val="20"/>
                <w:szCs w:val="20"/>
                <w:lang w:eastAsia="en-US"/>
              </w:rPr>
              <w:t>false positives</w:t>
            </w:r>
          </w:p>
        </w:tc>
        <w:tc>
          <w:tcPr>
            <w:tcW w:w="967" w:type="pct"/>
            <w:tcBorders>
              <w:left w:val="single" w:sz="4" w:space="0" w:color="auto"/>
              <w:bottom w:val="nil"/>
              <w:right w:val="single" w:sz="4" w:space="0" w:color="auto"/>
            </w:tcBorders>
          </w:tcPr>
          <w:p w14:paraId="32CEF4B1" w14:textId="029E1740"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52%</w:t>
            </w:r>
            <w:r w:rsidRPr="001024C1">
              <w:rPr>
                <w:rFonts w:ascii="Arial Narrow" w:eastAsiaTheme="minorHAnsi" w:hAnsi="Arial Narrow" w:cs="Times New Roman"/>
                <w:sz w:val="20"/>
                <w:szCs w:val="20"/>
                <w:lang w:eastAsia="en-US"/>
              </w:rPr>
              <w:br/>
              <w:t>(range 45</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72); k=4</w:t>
            </w:r>
            <w:r w:rsidRPr="001024C1">
              <w:rPr>
                <w:rFonts w:ascii="Arial Narrow" w:eastAsiaTheme="minorHAnsi" w:hAnsi="Arial Narrow" w:cs="Times New Roman"/>
                <w:sz w:val="20"/>
                <w:szCs w:val="20"/>
                <w:lang w:eastAsia="en-US"/>
              </w:rPr>
              <w:br/>
              <w:t>48% false negatives</w:t>
            </w:r>
          </w:p>
        </w:tc>
        <w:tc>
          <w:tcPr>
            <w:tcW w:w="988" w:type="pct"/>
            <w:tcBorders>
              <w:left w:val="single" w:sz="4" w:space="0" w:color="auto"/>
              <w:bottom w:val="nil"/>
            </w:tcBorders>
          </w:tcPr>
          <w:p w14:paraId="488E0916" w14:textId="312FDF0B"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Median sensitivity = 64%</w:t>
            </w:r>
            <w:r w:rsidRPr="001024C1">
              <w:rPr>
                <w:rFonts w:ascii="Arial Narrow" w:eastAsiaTheme="minorHAnsi" w:hAnsi="Arial Narrow" w:cs="Times New Roman"/>
                <w:sz w:val="20"/>
                <w:szCs w:val="20"/>
                <w:lang w:eastAsia="en-US"/>
              </w:rPr>
              <w:br/>
              <w:t>(range 47</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88); k=5</w:t>
            </w:r>
            <w:r w:rsidRPr="001024C1">
              <w:rPr>
                <w:rFonts w:ascii="Arial Narrow" w:eastAsiaTheme="minorHAnsi" w:hAnsi="Arial Narrow" w:cs="Times New Roman"/>
                <w:sz w:val="20"/>
                <w:szCs w:val="20"/>
                <w:lang w:eastAsia="en-US"/>
              </w:rPr>
              <w:br/>
              <w:t>36% false negatives</w:t>
            </w:r>
          </w:p>
        </w:tc>
      </w:tr>
      <w:tr w:rsidR="003B239A" w:rsidRPr="001024C1" w14:paraId="56D906BB" w14:textId="77777777" w:rsidTr="001A75CA">
        <w:trPr>
          <w:trHeight w:val="455"/>
        </w:trPr>
        <w:tc>
          <w:tcPr>
            <w:tcW w:w="707" w:type="pct"/>
            <w:tcBorders>
              <w:top w:val="nil"/>
              <w:right w:val="single" w:sz="4" w:space="0" w:color="auto"/>
            </w:tcBorders>
          </w:tcPr>
          <w:p w14:paraId="5F67ADEC" w14:textId="77777777" w:rsidR="003B239A" w:rsidRPr="001024C1" w:rsidRDefault="003B239A" w:rsidP="001A75CA">
            <w:pPr>
              <w:spacing w:after="40" w:line="240" w:lineRule="auto"/>
              <w:jc w:val="left"/>
              <w:rPr>
                <w:rFonts w:ascii="Arial Narrow" w:eastAsiaTheme="minorHAnsi" w:hAnsi="Arial Narrow" w:cstheme="minorHAnsi"/>
                <w:color w:val="FFFFFF" w:themeColor="background1"/>
                <w:sz w:val="20"/>
                <w:szCs w:val="20"/>
                <w:lang w:eastAsia="en-US"/>
              </w:rPr>
            </w:pPr>
            <w:r w:rsidRPr="001024C1">
              <w:rPr>
                <w:rFonts w:ascii="Arial Narrow" w:eastAsiaTheme="minorHAnsi" w:hAnsi="Arial Narrow" w:cstheme="minorHAnsi"/>
                <w:color w:val="FFFFFF" w:themeColor="background1"/>
                <w:sz w:val="20"/>
                <w:szCs w:val="20"/>
                <w:lang w:eastAsia="en-US"/>
              </w:rPr>
              <w:t>Alleles from patients diagnosed with CBAVD</w:t>
            </w:r>
          </w:p>
        </w:tc>
        <w:tc>
          <w:tcPr>
            <w:tcW w:w="1210" w:type="pct"/>
            <w:tcBorders>
              <w:top w:val="nil"/>
              <w:left w:val="single" w:sz="4" w:space="0" w:color="auto"/>
              <w:right w:val="single" w:sz="4" w:space="0" w:color="auto"/>
            </w:tcBorders>
          </w:tcPr>
          <w:p w14:paraId="27881DB0" w14:textId="77777777" w:rsidR="003B239A" w:rsidRPr="001024C1" w:rsidRDefault="003B239A" w:rsidP="001A75CA">
            <w:pPr>
              <w:spacing w:after="40" w:line="240" w:lineRule="auto"/>
              <w:ind w:right="-57"/>
              <w:jc w:val="left"/>
              <w:rPr>
                <w:rFonts w:ascii="Arial Narrow" w:hAnsi="Arial Narrow" w:cs="Times New Roman"/>
                <w:b/>
                <w:sz w:val="20"/>
                <w:szCs w:val="20"/>
              </w:rPr>
            </w:pPr>
            <w:r w:rsidRPr="001024C1">
              <w:rPr>
                <w:rFonts w:ascii="Arial Narrow" w:hAnsi="Arial Narrow" w:cs="Times New Roman"/>
                <w:b/>
                <w:sz w:val="20"/>
                <w:szCs w:val="20"/>
              </w:rPr>
              <w:t>DNA sequencing plus MLPA</w:t>
            </w:r>
          </w:p>
          <w:p w14:paraId="2BE7B272" w14:textId="148C845D"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Sensitivity =100%</w:t>
            </w:r>
            <w:r w:rsidRPr="001024C1">
              <w:rPr>
                <w:rFonts w:ascii="Arial Narrow" w:eastAsiaTheme="minorHAnsi" w:hAnsi="Arial Narrow" w:cs="Times New Roman"/>
                <w:sz w:val="20"/>
                <w:szCs w:val="20"/>
                <w:lang w:eastAsia="en-US"/>
              </w:rPr>
              <w:br/>
              <w:t>[95%CI 89, 100]; k=1</w:t>
            </w:r>
            <w:r w:rsidRPr="001024C1">
              <w:rPr>
                <w:rFonts w:ascii="Arial Narrow" w:eastAsiaTheme="minorHAnsi" w:hAnsi="Arial Narrow" w:cs="Times New Roman"/>
                <w:sz w:val="20"/>
                <w:szCs w:val="20"/>
                <w:lang w:eastAsia="en-US"/>
              </w:rPr>
              <w:br/>
              <w:t>No false negatives</w:t>
            </w:r>
          </w:p>
          <w:p w14:paraId="72B57A28" w14:textId="6DBEAEC9"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Specificity = 100%</w:t>
            </w:r>
            <w:r w:rsidRPr="001024C1">
              <w:rPr>
                <w:rFonts w:ascii="Arial Narrow" w:eastAsiaTheme="minorHAnsi" w:hAnsi="Arial Narrow" w:cs="Times New Roman"/>
                <w:sz w:val="20"/>
                <w:szCs w:val="20"/>
                <w:lang w:eastAsia="en-US"/>
              </w:rPr>
              <w:br/>
              <w:t>[95%CI 66, 100]; k=1</w:t>
            </w:r>
            <w:r w:rsidRPr="001024C1">
              <w:rPr>
                <w:rFonts w:ascii="Arial Narrow" w:eastAsiaTheme="minorHAnsi" w:hAnsi="Arial Narrow" w:cs="Times New Roman"/>
                <w:sz w:val="20"/>
                <w:szCs w:val="20"/>
                <w:lang w:eastAsia="en-US"/>
              </w:rPr>
              <w:br/>
              <w:t>No false positives</w:t>
            </w:r>
          </w:p>
        </w:tc>
        <w:tc>
          <w:tcPr>
            <w:tcW w:w="1129" w:type="pct"/>
            <w:tcBorders>
              <w:top w:val="nil"/>
              <w:left w:val="single" w:sz="4" w:space="0" w:color="auto"/>
              <w:right w:val="single" w:sz="4" w:space="0" w:color="auto"/>
            </w:tcBorders>
          </w:tcPr>
          <w:p w14:paraId="371C39F5" w14:textId="77777777" w:rsidR="003B239A" w:rsidRPr="001024C1" w:rsidRDefault="003B239A" w:rsidP="001A75CA">
            <w:pPr>
              <w:spacing w:after="40" w:line="240" w:lineRule="auto"/>
              <w:ind w:right="-57"/>
              <w:jc w:val="left"/>
              <w:rPr>
                <w:rFonts w:ascii="Arial Narrow" w:hAnsi="Arial Narrow" w:cs="Times New Roman"/>
                <w:b/>
                <w:sz w:val="20"/>
                <w:szCs w:val="20"/>
              </w:rPr>
            </w:pPr>
            <w:r w:rsidRPr="001024C1">
              <w:rPr>
                <w:rFonts w:ascii="Arial Narrow" w:hAnsi="Arial Narrow" w:cs="Times New Roman"/>
                <w:b/>
                <w:sz w:val="20"/>
                <w:szCs w:val="20"/>
              </w:rPr>
              <w:t>DNA sequencing plus MLPA</w:t>
            </w:r>
          </w:p>
          <w:p w14:paraId="50E8355C" w14:textId="47444E67" w:rsidR="003B239A" w:rsidRPr="001024C1" w:rsidRDefault="003B239A" w:rsidP="001A75CA">
            <w:pPr>
              <w:spacing w:after="40" w:line="240" w:lineRule="auto"/>
              <w:jc w:val="left"/>
              <w:rPr>
                <w:rFonts w:ascii="Arial Narrow" w:hAnsi="Arial Narrow" w:cs="Times New Roman"/>
                <w:sz w:val="20"/>
                <w:szCs w:val="20"/>
              </w:rPr>
            </w:pPr>
            <w:r w:rsidRPr="001024C1">
              <w:rPr>
                <w:rFonts w:ascii="Arial Narrow" w:hAnsi="Arial Narrow" w:cs="Times New Roman"/>
                <w:sz w:val="20"/>
                <w:szCs w:val="20"/>
              </w:rPr>
              <w:t>Sensitivity = 89%</w:t>
            </w:r>
            <w:r w:rsidRPr="001024C1">
              <w:rPr>
                <w:rFonts w:ascii="Arial Narrow" w:hAnsi="Arial Narrow" w:cs="Times New Roman"/>
                <w:sz w:val="20"/>
                <w:szCs w:val="20"/>
              </w:rPr>
              <w:br/>
              <w:t>[95%CI 75, 97]; k=1</w:t>
            </w:r>
            <w:r w:rsidRPr="001024C1">
              <w:rPr>
                <w:rFonts w:ascii="Arial Narrow" w:hAnsi="Arial Narrow" w:cs="Times New Roman"/>
                <w:sz w:val="20"/>
                <w:szCs w:val="20"/>
              </w:rPr>
              <w:br/>
              <w:t>11</w:t>
            </w:r>
            <w:r w:rsidRPr="001024C1">
              <w:rPr>
                <w:rFonts w:ascii="Arial Narrow" w:eastAsiaTheme="minorHAnsi" w:hAnsi="Arial Narrow" w:cs="Times New Roman"/>
                <w:sz w:val="20"/>
                <w:szCs w:val="20"/>
                <w:lang w:eastAsia="en-US"/>
              </w:rPr>
              <w:t>% false negatives</w:t>
            </w:r>
          </w:p>
          <w:p w14:paraId="7753DD97" w14:textId="2280A926"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hAnsi="Arial Narrow" w:cs="Times New Roman"/>
                <w:sz w:val="20"/>
                <w:szCs w:val="20"/>
              </w:rPr>
              <w:t>Specificity = 100%</w:t>
            </w:r>
            <w:r w:rsidRPr="001024C1">
              <w:rPr>
                <w:rFonts w:ascii="Arial Narrow" w:hAnsi="Arial Narrow" w:cs="Times New Roman"/>
                <w:sz w:val="20"/>
                <w:szCs w:val="20"/>
              </w:rPr>
              <w:br/>
              <w:t>[95%CI 66, 100]; k=1</w:t>
            </w:r>
            <w:r w:rsidRPr="001024C1">
              <w:rPr>
                <w:rFonts w:ascii="Arial Narrow" w:hAnsi="Arial Narrow" w:cs="Times New Roman"/>
                <w:sz w:val="20"/>
                <w:szCs w:val="20"/>
              </w:rPr>
              <w:br/>
              <w:t xml:space="preserve">No </w:t>
            </w:r>
            <w:r w:rsidRPr="001024C1">
              <w:rPr>
                <w:rFonts w:ascii="Arial Narrow" w:eastAsiaTheme="minorHAnsi" w:hAnsi="Arial Narrow" w:cs="Times New Roman"/>
                <w:sz w:val="20"/>
                <w:szCs w:val="20"/>
                <w:lang w:eastAsia="en-US"/>
              </w:rPr>
              <w:t>false positives</w:t>
            </w:r>
          </w:p>
        </w:tc>
        <w:tc>
          <w:tcPr>
            <w:tcW w:w="967" w:type="pct"/>
            <w:tcBorders>
              <w:top w:val="nil"/>
              <w:left w:val="single" w:sz="4" w:space="0" w:color="auto"/>
              <w:right w:val="single" w:sz="4" w:space="0" w:color="auto"/>
            </w:tcBorders>
          </w:tcPr>
          <w:p w14:paraId="6768DB85" w14:textId="77777777" w:rsidR="003B239A" w:rsidRPr="001024C1" w:rsidRDefault="003B239A" w:rsidP="001A75CA">
            <w:pPr>
              <w:spacing w:after="40" w:line="240" w:lineRule="auto"/>
              <w:jc w:val="left"/>
              <w:rPr>
                <w:rFonts w:ascii="Arial Narrow" w:eastAsiaTheme="minorHAnsi" w:hAnsi="Arial Narrow" w:cs="Times New Roman"/>
                <w:color w:val="FFFFFF" w:themeColor="background1"/>
                <w:sz w:val="20"/>
                <w:szCs w:val="20"/>
                <w:lang w:eastAsia="en-US"/>
              </w:rPr>
            </w:pPr>
            <w:r w:rsidRPr="001024C1">
              <w:rPr>
                <w:rFonts w:ascii="Arial Narrow" w:eastAsiaTheme="minorHAnsi" w:hAnsi="Arial Narrow" w:cs="Times New Roman"/>
                <w:color w:val="FFFFFF" w:themeColor="background1"/>
                <w:sz w:val="20"/>
                <w:szCs w:val="20"/>
                <w:lang w:eastAsia="en-US"/>
              </w:rPr>
              <w:t>-</w:t>
            </w:r>
          </w:p>
        </w:tc>
        <w:tc>
          <w:tcPr>
            <w:tcW w:w="988" w:type="pct"/>
            <w:tcBorders>
              <w:top w:val="nil"/>
              <w:left w:val="single" w:sz="4" w:space="0" w:color="auto"/>
            </w:tcBorders>
          </w:tcPr>
          <w:p w14:paraId="3CBA6C49" w14:textId="77777777" w:rsidR="003B239A" w:rsidRPr="001024C1" w:rsidRDefault="003B239A" w:rsidP="001A75CA">
            <w:pPr>
              <w:spacing w:after="40" w:line="240" w:lineRule="auto"/>
              <w:jc w:val="left"/>
              <w:rPr>
                <w:rFonts w:ascii="Arial Narrow" w:eastAsiaTheme="minorHAnsi" w:hAnsi="Arial Narrow" w:cs="Times New Roman"/>
                <w:color w:val="FFFFFF" w:themeColor="background1"/>
                <w:sz w:val="20"/>
                <w:szCs w:val="20"/>
                <w:lang w:eastAsia="en-US"/>
              </w:rPr>
            </w:pPr>
            <w:r w:rsidRPr="001024C1">
              <w:rPr>
                <w:rFonts w:ascii="Arial Narrow" w:eastAsiaTheme="minorHAnsi" w:hAnsi="Arial Narrow" w:cs="Times New Roman"/>
                <w:color w:val="FFFFFF" w:themeColor="background1"/>
                <w:sz w:val="20"/>
                <w:szCs w:val="20"/>
                <w:lang w:eastAsia="en-US"/>
              </w:rPr>
              <w:t>-</w:t>
            </w:r>
          </w:p>
        </w:tc>
      </w:tr>
      <w:tr w:rsidR="003B239A" w:rsidRPr="001024C1" w14:paraId="6FA991E4" w14:textId="77777777" w:rsidTr="001A75CA">
        <w:trPr>
          <w:trHeight w:val="194"/>
        </w:trPr>
        <w:tc>
          <w:tcPr>
            <w:tcW w:w="707" w:type="pct"/>
            <w:tcBorders>
              <w:right w:val="single" w:sz="4" w:space="0" w:color="auto"/>
            </w:tcBorders>
          </w:tcPr>
          <w:p w14:paraId="5EE42872" w14:textId="77777777" w:rsidR="003B239A" w:rsidRPr="001024C1" w:rsidRDefault="00C9528C" w:rsidP="001A75CA">
            <w:pPr>
              <w:spacing w:after="40" w:line="240" w:lineRule="auto"/>
              <w:jc w:val="left"/>
              <w:rPr>
                <w:rFonts w:ascii="Arial Narrow" w:hAnsi="Arial Narrow" w:cstheme="minorHAnsi"/>
                <w:sz w:val="20"/>
                <w:szCs w:val="20"/>
              </w:rPr>
            </w:pPr>
            <w:r>
              <w:rPr>
                <w:rFonts w:ascii="Arial Narrow" w:hAnsi="Arial Narrow" w:cstheme="minorHAnsi"/>
                <w:sz w:val="20"/>
                <w:szCs w:val="20"/>
              </w:rPr>
              <w:t xml:space="preserve">Men </w:t>
            </w:r>
            <w:r w:rsidR="003B239A" w:rsidRPr="001024C1">
              <w:rPr>
                <w:rFonts w:ascii="Arial Narrow" w:hAnsi="Arial Narrow" w:cstheme="minorHAnsi"/>
                <w:sz w:val="20"/>
                <w:szCs w:val="20"/>
              </w:rPr>
              <w:t>diagnosed with CBAVD</w:t>
            </w:r>
          </w:p>
        </w:tc>
        <w:tc>
          <w:tcPr>
            <w:tcW w:w="1210" w:type="pct"/>
            <w:tcBorders>
              <w:left w:val="single" w:sz="4" w:space="0" w:color="auto"/>
              <w:right w:val="single" w:sz="4" w:space="0" w:color="auto"/>
            </w:tcBorders>
          </w:tcPr>
          <w:p w14:paraId="71F0888F" w14:textId="77777777"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hAnsi="Arial Narrow" w:cs="Times New Roman"/>
                <w:sz w:val="20"/>
                <w:szCs w:val="20"/>
              </w:rPr>
              <w:t>-</w:t>
            </w:r>
          </w:p>
        </w:tc>
        <w:tc>
          <w:tcPr>
            <w:tcW w:w="1129" w:type="pct"/>
            <w:tcBorders>
              <w:left w:val="single" w:sz="4" w:space="0" w:color="auto"/>
              <w:right w:val="single" w:sz="4" w:space="0" w:color="auto"/>
            </w:tcBorders>
          </w:tcPr>
          <w:p w14:paraId="33B3CC69" w14:textId="77777777"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hAnsi="Arial Narrow" w:cs="Times New Roman"/>
                <w:sz w:val="20"/>
                <w:szCs w:val="20"/>
              </w:rPr>
              <w:t>-</w:t>
            </w:r>
          </w:p>
        </w:tc>
        <w:tc>
          <w:tcPr>
            <w:tcW w:w="967" w:type="pct"/>
            <w:tcBorders>
              <w:left w:val="single" w:sz="4" w:space="0" w:color="auto"/>
              <w:right w:val="single" w:sz="4" w:space="0" w:color="auto"/>
            </w:tcBorders>
          </w:tcPr>
          <w:p w14:paraId="13B5B8BB" w14:textId="5AF1EB43"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70%</w:t>
            </w:r>
            <w:r w:rsidRPr="001024C1">
              <w:rPr>
                <w:rFonts w:ascii="Arial Narrow" w:eastAsiaTheme="minorHAnsi" w:hAnsi="Arial Narrow" w:cs="Times New Roman"/>
                <w:sz w:val="20"/>
                <w:szCs w:val="20"/>
                <w:lang w:eastAsia="en-US"/>
              </w:rPr>
              <w:br/>
              <w:t>(range 64</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100); k=4</w:t>
            </w:r>
            <w:r w:rsidRPr="001024C1">
              <w:rPr>
                <w:rFonts w:ascii="Arial Narrow" w:eastAsiaTheme="minorHAnsi" w:hAnsi="Arial Narrow" w:cs="Times New Roman"/>
                <w:sz w:val="20"/>
                <w:szCs w:val="20"/>
                <w:lang w:eastAsia="en-US"/>
              </w:rPr>
              <w:br/>
              <w:t>30% false negatives</w:t>
            </w:r>
          </w:p>
        </w:tc>
        <w:tc>
          <w:tcPr>
            <w:tcW w:w="988" w:type="pct"/>
            <w:tcBorders>
              <w:left w:val="single" w:sz="4" w:space="0" w:color="auto"/>
            </w:tcBorders>
          </w:tcPr>
          <w:p w14:paraId="3D7C9694" w14:textId="2F98EE4A"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75%</w:t>
            </w:r>
            <w:r w:rsidRPr="001024C1">
              <w:rPr>
                <w:rFonts w:ascii="Arial Narrow" w:eastAsiaTheme="minorHAnsi" w:hAnsi="Arial Narrow" w:cs="Times New Roman"/>
                <w:sz w:val="20"/>
                <w:szCs w:val="20"/>
                <w:lang w:eastAsia="en-US"/>
              </w:rPr>
              <w:br/>
              <w:t>(range 59</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100); k=5</w:t>
            </w:r>
            <w:r w:rsidRPr="001024C1">
              <w:rPr>
                <w:rFonts w:ascii="Arial Narrow" w:eastAsiaTheme="minorHAnsi" w:hAnsi="Arial Narrow" w:cs="Times New Roman"/>
                <w:sz w:val="20"/>
                <w:szCs w:val="20"/>
                <w:lang w:eastAsia="en-US"/>
              </w:rPr>
              <w:br/>
              <w:t>25% false negatives</w:t>
            </w:r>
          </w:p>
        </w:tc>
      </w:tr>
      <w:tr w:rsidR="003B239A" w:rsidRPr="001024C1" w14:paraId="2405AC53" w14:textId="77777777" w:rsidTr="001A75CA">
        <w:trPr>
          <w:trHeight w:val="64"/>
        </w:trPr>
        <w:tc>
          <w:tcPr>
            <w:tcW w:w="707" w:type="pct"/>
            <w:tcBorders>
              <w:right w:val="single" w:sz="4" w:space="0" w:color="auto"/>
            </w:tcBorders>
          </w:tcPr>
          <w:p w14:paraId="574EC7C5" w14:textId="4C714916" w:rsidR="003B239A" w:rsidRPr="001024C1" w:rsidRDefault="00FD37D3" w:rsidP="001A75CA">
            <w:pPr>
              <w:spacing w:after="40" w:line="240" w:lineRule="auto"/>
              <w:jc w:val="left"/>
              <w:rPr>
                <w:rFonts w:ascii="Arial Narrow" w:eastAsiaTheme="minorHAnsi" w:hAnsi="Arial Narrow" w:cstheme="minorHAnsi"/>
                <w:sz w:val="20"/>
                <w:szCs w:val="20"/>
                <w:lang w:eastAsia="en-US"/>
              </w:rPr>
            </w:pPr>
            <w:r w:rsidRPr="00FD37D3">
              <w:rPr>
                <w:rFonts w:ascii="Arial Narrow" w:eastAsiaTheme="minorHAnsi" w:hAnsi="Arial Narrow" w:cstheme="minorHAnsi"/>
                <w:sz w:val="20"/>
                <w:szCs w:val="20"/>
                <w:lang w:eastAsia="en-US"/>
              </w:rPr>
              <w:t>CFTR</w:t>
            </w:r>
            <w:r w:rsidR="003B239A" w:rsidRPr="001024C1">
              <w:rPr>
                <w:rFonts w:ascii="Arial Narrow" w:eastAsiaTheme="minorHAnsi" w:hAnsi="Arial Narrow" w:cstheme="minorHAnsi"/>
                <w:sz w:val="20"/>
                <w:szCs w:val="20"/>
                <w:lang w:eastAsia="en-US"/>
              </w:rPr>
              <w:t xml:space="preserve"> mutation carriers with known mutations</w:t>
            </w:r>
          </w:p>
        </w:tc>
        <w:tc>
          <w:tcPr>
            <w:tcW w:w="1210" w:type="pct"/>
            <w:tcBorders>
              <w:left w:val="single" w:sz="4" w:space="0" w:color="auto"/>
              <w:right w:val="single" w:sz="4" w:space="0" w:color="auto"/>
            </w:tcBorders>
          </w:tcPr>
          <w:p w14:paraId="0452B8CC" w14:textId="57C54A14"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100%</w:t>
            </w:r>
            <w:r w:rsidRPr="001024C1">
              <w:rPr>
                <w:rFonts w:ascii="Arial Narrow" w:eastAsiaTheme="minorHAnsi" w:hAnsi="Arial Narrow" w:cs="Times New Roman"/>
                <w:sz w:val="20"/>
                <w:szCs w:val="20"/>
                <w:lang w:eastAsia="en-US"/>
              </w:rPr>
              <w:br/>
              <w:t>(range 100</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100); k=1;</w:t>
            </w:r>
            <w:r w:rsidRPr="001024C1">
              <w:rPr>
                <w:rFonts w:ascii="Arial Narrow" w:eastAsiaTheme="minorHAnsi" w:hAnsi="Arial Narrow" w:cs="Times New Roman"/>
                <w:sz w:val="20"/>
                <w:szCs w:val="20"/>
                <w:lang w:eastAsia="en-US"/>
              </w:rPr>
              <w:br/>
              <w:t xml:space="preserve">4 </w:t>
            </w:r>
            <w:r w:rsidR="00FD37D3" w:rsidRPr="00FD37D3">
              <w:rPr>
                <w:rFonts w:ascii="Arial Narrow" w:eastAsiaTheme="minorHAnsi" w:hAnsi="Arial Narrow" w:cs="Times New Roman"/>
                <w:sz w:val="20"/>
                <w:szCs w:val="20"/>
                <w:lang w:eastAsia="en-US"/>
              </w:rPr>
              <w:t>CFTR</w:t>
            </w:r>
            <w:r w:rsidRPr="001024C1">
              <w:rPr>
                <w:rFonts w:ascii="Arial Narrow" w:eastAsiaTheme="minorHAnsi" w:hAnsi="Arial Narrow" w:cs="Times New Roman"/>
                <w:sz w:val="20"/>
                <w:szCs w:val="20"/>
                <w:lang w:eastAsia="en-US"/>
              </w:rPr>
              <w:t xml:space="preserve"> mutation tests</w:t>
            </w:r>
            <w:r w:rsidRPr="001024C1">
              <w:rPr>
                <w:rFonts w:ascii="Arial Narrow" w:eastAsiaTheme="minorHAnsi" w:hAnsi="Arial Narrow" w:cs="Times New Roman"/>
                <w:sz w:val="20"/>
                <w:szCs w:val="20"/>
                <w:lang w:eastAsia="en-US"/>
              </w:rPr>
              <w:br/>
              <w:t>2% false negatives</w:t>
            </w:r>
          </w:p>
        </w:tc>
        <w:tc>
          <w:tcPr>
            <w:tcW w:w="1129" w:type="pct"/>
            <w:tcBorders>
              <w:left w:val="single" w:sz="4" w:space="0" w:color="auto"/>
              <w:right w:val="single" w:sz="4" w:space="0" w:color="auto"/>
            </w:tcBorders>
          </w:tcPr>
          <w:p w14:paraId="7488109F" w14:textId="13271A40"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Median sensitivity = 92%</w:t>
            </w:r>
            <w:r w:rsidRPr="001024C1">
              <w:rPr>
                <w:rFonts w:ascii="Arial Narrow" w:eastAsiaTheme="minorHAnsi" w:hAnsi="Arial Narrow" w:cs="Times New Roman"/>
                <w:sz w:val="20"/>
                <w:szCs w:val="20"/>
                <w:lang w:eastAsia="en-US"/>
              </w:rPr>
              <w:br/>
              <w:t>(range 88</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96); k=1;</w:t>
            </w:r>
            <w:r w:rsidRPr="001024C1">
              <w:rPr>
                <w:rFonts w:ascii="Arial Narrow" w:eastAsiaTheme="minorHAnsi" w:hAnsi="Arial Narrow" w:cs="Times New Roman"/>
                <w:sz w:val="20"/>
                <w:szCs w:val="20"/>
                <w:lang w:eastAsia="en-US"/>
              </w:rPr>
              <w:br/>
              <w:t xml:space="preserve">4 </w:t>
            </w:r>
            <w:r w:rsidR="00FD37D3" w:rsidRPr="00FD37D3">
              <w:rPr>
                <w:rFonts w:ascii="Arial Narrow" w:eastAsiaTheme="minorHAnsi" w:hAnsi="Arial Narrow" w:cs="Times New Roman"/>
                <w:sz w:val="20"/>
                <w:szCs w:val="20"/>
                <w:lang w:eastAsia="en-US"/>
              </w:rPr>
              <w:t>CFTR</w:t>
            </w:r>
            <w:r w:rsidRPr="001024C1">
              <w:rPr>
                <w:rFonts w:ascii="Arial Narrow" w:eastAsiaTheme="minorHAnsi" w:hAnsi="Arial Narrow" w:cs="Times New Roman"/>
                <w:sz w:val="20"/>
                <w:szCs w:val="20"/>
                <w:lang w:eastAsia="en-US"/>
              </w:rPr>
              <w:t xml:space="preserve"> mutation tests</w:t>
            </w:r>
            <w:r w:rsidRPr="001024C1">
              <w:rPr>
                <w:rFonts w:ascii="Arial Narrow" w:eastAsiaTheme="minorHAnsi" w:hAnsi="Arial Narrow" w:cs="Times New Roman"/>
                <w:sz w:val="20"/>
                <w:szCs w:val="20"/>
                <w:lang w:eastAsia="en-US"/>
              </w:rPr>
              <w:br/>
              <w:t>8% false negatives</w:t>
            </w:r>
          </w:p>
        </w:tc>
        <w:tc>
          <w:tcPr>
            <w:tcW w:w="967" w:type="pct"/>
            <w:tcBorders>
              <w:left w:val="single" w:sz="4" w:space="0" w:color="auto"/>
              <w:right w:val="single" w:sz="4" w:space="0" w:color="auto"/>
            </w:tcBorders>
          </w:tcPr>
          <w:p w14:paraId="22F28B8A" w14:textId="77777777"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w:t>
            </w:r>
          </w:p>
        </w:tc>
        <w:tc>
          <w:tcPr>
            <w:tcW w:w="988" w:type="pct"/>
            <w:tcBorders>
              <w:left w:val="single" w:sz="4" w:space="0" w:color="auto"/>
            </w:tcBorders>
          </w:tcPr>
          <w:p w14:paraId="4DDFF6A3" w14:textId="77777777" w:rsidR="003B239A" w:rsidRPr="001024C1" w:rsidRDefault="003B239A" w:rsidP="001A75CA">
            <w:pPr>
              <w:spacing w:after="40" w:line="240" w:lineRule="auto"/>
              <w:ind w:right="-57"/>
              <w:jc w:val="left"/>
              <w:rPr>
                <w:rFonts w:ascii="Arial Narrow" w:hAnsi="Arial Narrow" w:cs="Times New Roman"/>
                <w:sz w:val="20"/>
                <w:szCs w:val="20"/>
              </w:rPr>
            </w:pPr>
            <w:r w:rsidRPr="001024C1">
              <w:rPr>
                <w:rFonts w:ascii="Arial Narrow" w:eastAsiaTheme="minorHAnsi" w:hAnsi="Arial Narrow" w:cs="Times New Roman"/>
                <w:sz w:val="20"/>
                <w:szCs w:val="20"/>
                <w:lang w:eastAsia="en-US"/>
              </w:rPr>
              <w:t>-</w:t>
            </w:r>
          </w:p>
        </w:tc>
      </w:tr>
      <w:tr w:rsidR="003B239A" w:rsidRPr="001024C1" w14:paraId="4592DF4C" w14:textId="77777777" w:rsidTr="001A75CA">
        <w:trPr>
          <w:cantSplit/>
          <w:trHeight w:val="64"/>
        </w:trPr>
        <w:tc>
          <w:tcPr>
            <w:tcW w:w="707" w:type="pct"/>
            <w:tcBorders>
              <w:right w:val="single" w:sz="4" w:space="0" w:color="auto"/>
            </w:tcBorders>
          </w:tcPr>
          <w:p w14:paraId="08B0AF38" w14:textId="0ED82954" w:rsidR="003B239A" w:rsidRPr="001024C1" w:rsidRDefault="003B239A" w:rsidP="001A75CA">
            <w:pPr>
              <w:spacing w:after="40" w:line="240" w:lineRule="auto"/>
              <w:jc w:val="left"/>
              <w:rPr>
                <w:rFonts w:ascii="Arial Narrow" w:eastAsiaTheme="minorHAnsi" w:hAnsi="Arial Narrow" w:cstheme="minorHAnsi"/>
                <w:sz w:val="20"/>
                <w:szCs w:val="20"/>
                <w:lang w:eastAsia="en-US"/>
              </w:rPr>
            </w:pPr>
            <w:r w:rsidRPr="001024C1">
              <w:rPr>
                <w:rFonts w:ascii="Arial Narrow" w:eastAsiaTheme="minorHAnsi" w:hAnsi="Arial Narrow" w:cstheme="minorHAnsi"/>
                <w:sz w:val="20"/>
                <w:szCs w:val="20"/>
                <w:lang w:eastAsia="en-US"/>
              </w:rPr>
              <w:t xml:space="preserve">Fetuses with </w:t>
            </w:r>
            <w:r w:rsidR="00FD37D3" w:rsidRPr="00FD37D3">
              <w:rPr>
                <w:rFonts w:ascii="Arial Narrow" w:eastAsiaTheme="minorHAnsi" w:hAnsi="Arial Narrow" w:cstheme="minorHAnsi"/>
                <w:sz w:val="20"/>
                <w:szCs w:val="20"/>
                <w:lang w:eastAsia="en-US"/>
              </w:rPr>
              <w:t>CFTR</w:t>
            </w:r>
            <w:r w:rsidRPr="001024C1">
              <w:rPr>
                <w:rFonts w:ascii="Arial Narrow" w:eastAsiaTheme="minorHAnsi" w:hAnsi="Arial Narrow" w:cstheme="minorHAnsi"/>
                <w:sz w:val="20"/>
                <w:szCs w:val="20"/>
                <w:lang w:eastAsia="en-US"/>
              </w:rPr>
              <w:t xml:space="preserve"> mutation carrier parents</w:t>
            </w:r>
          </w:p>
        </w:tc>
        <w:tc>
          <w:tcPr>
            <w:tcW w:w="1210" w:type="pct"/>
            <w:tcBorders>
              <w:left w:val="single" w:sz="4" w:space="0" w:color="auto"/>
              <w:right w:val="single" w:sz="4" w:space="0" w:color="auto"/>
            </w:tcBorders>
          </w:tcPr>
          <w:p w14:paraId="7D3E9A42"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w:t>
            </w:r>
          </w:p>
        </w:tc>
        <w:tc>
          <w:tcPr>
            <w:tcW w:w="1129" w:type="pct"/>
            <w:tcBorders>
              <w:left w:val="single" w:sz="4" w:space="0" w:color="auto"/>
              <w:right w:val="single" w:sz="4" w:space="0" w:color="auto"/>
            </w:tcBorders>
          </w:tcPr>
          <w:p w14:paraId="65B0C88A"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w:t>
            </w:r>
          </w:p>
        </w:tc>
        <w:tc>
          <w:tcPr>
            <w:tcW w:w="967" w:type="pct"/>
            <w:tcBorders>
              <w:left w:val="single" w:sz="4" w:space="0" w:color="auto"/>
              <w:right w:val="single" w:sz="4" w:space="0" w:color="auto"/>
            </w:tcBorders>
          </w:tcPr>
          <w:p w14:paraId="4A0A4BFF" w14:textId="77777777"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Median sensitivity = 100%; k=2</w:t>
            </w:r>
          </w:p>
          <w:p w14:paraId="081244C4" w14:textId="68128BC4" w:rsidR="003B239A" w:rsidRPr="001024C1" w:rsidRDefault="003B239A" w:rsidP="001A75CA">
            <w:pPr>
              <w:spacing w:after="40" w:line="240" w:lineRule="auto"/>
              <w:ind w:right="-57"/>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Yield (k=4):</w:t>
            </w:r>
            <w:r w:rsidRPr="001024C1">
              <w:rPr>
                <w:rFonts w:ascii="Arial Narrow" w:eastAsiaTheme="minorHAnsi" w:hAnsi="Arial Narrow" w:cs="Times New Roman"/>
                <w:sz w:val="20"/>
                <w:szCs w:val="20"/>
                <w:lang w:eastAsia="en-US"/>
              </w:rPr>
              <w:br/>
              <w:t>8</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22% with CF</w:t>
            </w:r>
            <w:r w:rsidRPr="001024C1">
              <w:rPr>
                <w:rFonts w:ascii="Arial Narrow" w:eastAsiaTheme="minorHAnsi" w:hAnsi="Arial Narrow" w:cs="Times New Roman"/>
                <w:sz w:val="20"/>
                <w:szCs w:val="20"/>
                <w:lang w:eastAsia="en-US"/>
              </w:rPr>
              <w:br/>
              <w:t>38</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58% were carriers</w:t>
            </w:r>
            <w:r w:rsidRPr="001024C1">
              <w:rPr>
                <w:rFonts w:ascii="Arial Narrow" w:eastAsiaTheme="minorHAnsi" w:hAnsi="Arial Narrow" w:cs="Times New Roman"/>
                <w:sz w:val="20"/>
                <w:szCs w:val="20"/>
                <w:lang w:eastAsia="en-US"/>
              </w:rPr>
              <w:br/>
              <w:t>24</w:t>
            </w:r>
            <w:r w:rsidR="00DD685A">
              <w:rPr>
                <w:rFonts w:ascii="Arial Narrow" w:eastAsiaTheme="minorHAnsi" w:hAnsi="Arial Narrow" w:cs="Times New Roman"/>
                <w:sz w:val="20"/>
                <w:szCs w:val="20"/>
                <w:lang w:eastAsia="en-US"/>
              </w:rPr>
              <w:t>–</w:t>
            </w:r>
            <w:r w:rsidRPr="001024C1">
              <w:rPr>
                <w:rFonts w:ascii="Arial Narrow" w:eastAsiaTheme="minorHAnsi" w:hAnsi="Arial Narrow" w:cs="Times New Roman"/>
                <w:sz w:val="20"/>
                <w:szCs w:val="20"/>
                <w:lang w:eastAsia="en-US"/>
              </w:rPr>
              <w:t>33% were normal</w:t>
            </w:r>
          </w:p>
        </w:tc>
        <w:tc>
          <w:tcPr>
            <w:tcW w:w="988" w:type="pct"/>
            <w:tcBorders>
              <w:left w:val="single" w:sz="4" w:space="0" w:color="auto"/>
            </w:tcBorders>
          </w:tcPr>
          <w:p w14:paraId="3FE4BF7C"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w:t>
            </w:r>
          </w:p>
        </w:tc>
      </w:tr>
      <w:tr w:rsidR="003B239A" w:rsidRPr="001024C1" w14:paraId="2E69BCF4" w14:textId="77777777" w:rsidTr="001A75CA">
        <w:trPr>
          <w:trHeight w:val="64"/>
        </w:trPr>
        <w:tc>
          <w:tcPr>
            <w:tcW w:w="707" w:type="pct"/>
            <w:tcBorders>
              <w:right w:val="single" w:sz="4" w:space="0" w:color="auto"/>
            </w:tcBorders>
          </w:tcPr>
          <w:p w14:paraId="2E8D4BFD" w14:textId="77777777" w:rsidR="003B239A" w:rsidRPr="001024C1" w:rsidRDefault="003B239A" w:rsidP="001A75CA">
            <w:pPr>
              <w:spacing w:after="40" w:line="240" w:lineRule="auto"/>
              <w:jc w:val="left"/>
              <w:rPr>
                <w:rFonts w:ascii="Arial Narrow" w:eastAsiaTheme="minorHAnsi" w:hAnsi="Arial Narrow" w:cstheme="minorHAnsi"/>
                <w:sz w:val="20"/>
                <w:szCs w:val="20"/>
                <w:lang w:eastAsia="en-US"/>
              </w:rPr>
            </w:pPr>
            <w:r w:rsidRPr="001024C1">
              <w:rPr>
                <w:rFonts w:ascii="Arial Narrow" w:eastAsiaTheme="minorHAnsi" w:hAnsi="Arial Narrow" w:cstheme="minorHAnsi"/>
                <w:sz w:val="20"/>
                <w:szCs w:val="20"/>
                <w:lang w:eastAsia="en-US"/>
              </w:rPr>
              <w:t>Fetuses with FEB</w:t>
            </w:r>
          </w:p>
        </w:tc>
        <w:tc>
          <w:tcPr>
            <w:tcW w:w="1210" w:type="pct"/>
            <w:tcBorders>
              <w:left w:val="single" w:sz="4" w:space="0" w:color="auto"/>
              <w:right w:val="single" w:sz="4" w:space="0" w:color="auto"/>
            </w:tcBorders>
          </w:tcPr>
          <w:p w14:paraId="7DA8F988"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w:t>
            </w:r>
          </w:p>
        </w:tc>
        <w:tc>
          <w:tcPr>
            <w:tcW w:w="1129" w:type="pct"/>
            <w:tcBorders>
              <w:left w:val="single" w:sz="4" w:space="0" w:color="auto"/>
              <w:right w:val="single" w:sz="4" w:space="0" w:color="auto"/>
            </w:tcBorders>
          </w:tcPr>
          <w:p w14:paraId="5679C154"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w:t>
            </w:r>
          </w:p>
        </w:tc>
        <w:tc>
          <w:tcPr>
            <w:tcW w:w="967" w:type="pct"/>
            <w:tcBorders>
              <w:left w:val="single" w:sz="4" w:space="0" w:color="auto"/>
              <w:right w:val="single" w:sz="4" w:space="0" w:color="auto"/>
            </w:tcBorders>
          </w:tcPr>
          <w:p w14:paraId="17FA9526" w14:textId="2A88DACF"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t>Yield (k=1):</w:t>
            </w:r>
            <w:r w:rsidRPr="001024C1">
              <w:rPr>
                <w:rFonts w:ascii="Arial Narrow" w:eastAsiaTheme="minorHAnsi" w:hAnsi="Arial Narrow" w:cs="Times New Roman"/>
                <w:sz w:val="20"/>
                <w:szCs w:val="20"/>
                <w:lang w:eastAsia="en-US"/>
              </w:rPr>
              <w:br/>
              <w:t>0% with CF</w:t>
            </w:r>
            <w:r w:rsidRPr="001024C1">
              <w:rPr>
                <w:rFonts w:ascii="Arial Narrow" w:eastAsiaTheme="minorHAnsi" w:hAnsi="Arial Narrow" w:cs="Times New Roman"/>
                <w:sz w:val="20"/>
                <w:szCs w:val="20"/>
                <w:lang w:eastAsia="en-US"/>
              </w:rPr>
              <w:br/>
              <w:t>6% were carriers</w:t>
            </w:r>
            <w:r w:rsidRPr="001024C1">
              <w:rPr>
                <w:rFonts w:ascii="Arial Narrow" w:eastAsiaTheme="minorHAnsi" w:hAnsi="Arial Narrow" w:cs="Times New Roman"/>
                <w:sz w:val="20"/>
                <w:szCs w:val="20"/>
                <w:lang w:eastAsia="en-US"/>
              </w:rPr>
              <w:br/>
            </w:r>
            <w:r w:rsidRPr="001024C1">
              <w:rPr>
                <w:rFonts w:ascii="Arial Narrow" w:eastAsiaTheme="minorHAnsi" w:hAnsi="Arial Narrow" w:cs="Times New Roman"/>
                <w:sz w:val="20"/>
                <w:szCs w:val="20"/>
                <w:lang w:eastAsia="en-US"/>
              </w:rPr>
              <w:lastRenderedPageBreak/>
              <w:t>94% were normal</w:t>
            </w:r>
          </w:p>
        </w:tc>
        <w:tc>
          <w:tcPr>
            <w:tcW w:w="988" w:type="pct"/>
            <w:tcBorders>
              <w:left w:val="single" w:sz="4" w:space="0" w:color="auto"/>
            </w:tcBorders>
          </w:tcPr>
          <w:p w14:paraId="0338A049" w14:textId="77777777" w:rsidR="003B239A" w:rsidRPr="001024C1" w:rsidRDefault="003B239A" w:rsidP="001A75CA">
            <w:pPr>
              <w:spacing w:after="40" w:line="240" w:lineRule="auto"/>
              <w:jc w:val="left"/>
              <w:rPr>
                <w:rFonts w:ascii="Arial Narrow" w:eastAsiaTheme="minorHAnsi" w:hAnsi="Arial Narrow" w:cs="Times New Roman"/>
                <w:sz w:val="20"/>
                <w:szCs w:val="20"/>
                <w:lang w:eastAsia="en-US"/>
              </w:rPr>
            </w:pPr>
            <w:r w:rsidRPr="001024C1">
              <w:rPr>
                <w:rFonts w:ascii="Arial Narrow" w:eastAsiaTheme="minorHAnsi" w:hAnsi="Arial Narrow" w:cs="Times New Roman"/>
                <w:sz w:val="20"/>
                <w:szCs w:val="20"/>
                <w:lang w:eastAsia="en-US"/>
              </w:rPr>
              <w:lastRenderedPageBreak/>
              <w:t>-</w:t>
            </w:r>
          </w:p>
        </w:tc>
      </w:tr>
    </w:tbl>
    <w:p w14:paraId="2982AB78" w14:textId="5D1C3E63" w:rsidR="003B239A" w:rsidRPr="001A75CA" w:rsidRDefault="003B239A" w:rsidP="001A75CA">
      <w:pPr>
        <w:spacing w:after="0" w:line="240" w:lineRule="auto"/>
        <w:ind w:right="-57"/>
        <w:jc w:val="left"/>
        <w:rPr>
          <w:rFonts w:ascii="Arial Narrow" w:hAnsi="Arial Narrow"/>
          <w:sz w:val="18"/>
          <w:szCs w:val="18"/>
        </w:rPr>
      </w:pPr>
      <w:r w:rsidRPr="001A75CA">
        <w:rPr>
          <w:rFonts w:ascii="Arial Narrow" w:hAnsi="Arial Narrow"/>
          <w:sz w:val="18"/>
          <w:szCs w:val="18"/>
          <w:vertAlign w:val="superscript"/>
        </w:rPr>
        <w:lastRenderedPageBreak/>
        <w:t>a</w:t>
      </w:r>
      <w:r w:rsidRPr="001A75CA">
        <w:rPr>
          <w:rFonts w:ascii="Arial Narrow" w:hAnsi="Arial Narrow"/>
          <w:sz w:val="18"/>
          <w:szCs w:val="18"/>
        </w:rPr>
        <w:t xml:space="preserve"> Many </w:t>
      </w:r>
      <w:r w:rsidR="00FD37D3" w:rsidRPr="001A75CA">
        <w:rPr>
          <w:rFonts w:ascii="Arial Narrow" w:hAnsi="Arial Narrow"/>
          <w:sz w:val="18"/>
          <w:szCs w:val="18"/>
        </w:rPr>
        <w:t>CFTR</w:t>
      </w:r>
      <w:r w:rsidRPr="001A75CA">
        <w:rPr>
          <w:rFonts w:ascii="Arial Narrow" w:hAnsi="Arial Narrow"/>
          <w:sz w:val="18"/>
          <w:szCs w:val="18"/>
        </w:rPr>
        <w:t xml:space="preserve"> mutation tests only detect a limited number of </w:t>
      </w:r>
      <w:r w:rsidR="00FD37D3" w:rsidRPr="001A75CA">
        <w:rPr>
          <w:rFonts w:ascii="Arial Narrow" w:hAnsi="Arial Narrow"/>
          <w:sz w:val="18"/>
          <w:szCs w:val="18"/>
        </w:rPr>
        <w:t>CFTR</w:t>
      </w:r>
      <w:r w:rsidRPr="001A75CA">
        <w:rPr>
          <w:rFonts w:ascii="Arial Narrow" w:hAnsi="Arial Narrow"/>
          <w:sz w:val="18"/>
          <w:szCs w:val="18"/>
        </w:rPr>
        <w:t xml:space="preserve"> mutations</w:t>
      </w:r>
      <w:r w:rsidR="00D420C3" w:rsidRPr="001A75CA">
        <w:rPr>
          <w:rFonts w:ascii="Arial Narrow" w:hAnsi="Arial Narrow"/>
          <w:sz w:val="18"/>
          <w:szCs w:val="18"/>
        </w:rPr>
        <w:t>,</w:t>
      </w:r>
      <w:r w:rsidRPr="001A75CA">
        <w:rPr>
          <w:rFonts w:ascii="Arial Narrow" w:hAnsi="Arial Narrow"/>
          <w:sz w:val="18"/>
          <w:szCs w:val="18"/>
        </w:rPr>
        <w:t xml:space="preserve"> and only those that could be detected by the test were included in the analysis. </w:t>
      </w:r>
    </w:p>
    <w:p w14:paraId="14F8E85F" w14:textId="00665346" w:rsidR="003B239A" w:rsidRPr="001A75CA" w:rsidRDefault="003B239A" w:rsidP="001A75CA">
      <w:pPr>
        <w:spacing w:after="0" w:line="240" w:lineRule="auto"/>
        <w:ind w:right="-57"/>
        <w:jc w:val="left"/>
        <w:rPr>
          <w:rFonts w:ascii="Arial Narrow" w:hAnsi="Arial Narrow"/>
          <w:sz w:val="18"/>
          <w:szCs w:val="18"/>
        </w:rPr>
      </w:pPr>
      <w:r w:rsidRPr="001A75CA">
        <w:rPr>
          <w:rFonts w:ascii="Arial Narrow" w:hAnsi="Arial Narrow"/>
          <w:sz w:val="18"/>
          <w:szCs w:val="18"/>
          <w:vertAlign w:val="superscript"/>
        </w:rPr>
        <w:t xml:space="preserve">b </w:t>
      </w:r>
      <w:r w:rsidRPr="001A75CA">
        <w:rPr>
          <w:rFonts w:ascii="Arial Narrow" w:hAnsi="Arial Narrow"/>
          <w:sz w:val="18"/>
          <w:szCs w:val="18"/>
        </w:rPr>
        <w:t xml:space="preserve">All mutations detectable by DNA sequencing are included in </w:t>
      </w:r>
      <w:r w:rsidR="00624B2C">
        <w:rPr>
          <w:rFonts w:ascii="Arial Narrow" w:hAnsi="Arial Narrow"/>
          <w:sz w:val="18"/>
          <w:szCs w:val="18"/>
        </w:rPr>
        <w:t xml:space="preserve">the </w:t>
      </w:r>
      <w:r w:rsidRPr="001A75CA">
        <w:rPr>
          <w:rFonts w:ascii="Arial Narrow" w:hAnsi="Arial Narrow"/>
          <w:sz w:val="18"/>
          <w:szCs w:val="18"/>
        </w:rPr>
        <w:t>analysis</w:t>
      </w:r>
      <w:r w:rsidR="00DD685A" w:rsidRPr="001A75CA">
        <w:rPr>
          <w:rFonts w:ascii="Arial Narrow" w:hAnsi="Arial Narrow"/>
          <w:sz w:val="18"/>
          <w:szCs w:val="18"/>
        </w:rPr>
        <w:t>.</w:t>
      </w:r>
    </w:p>
    <w:p w14:paraId="2BF74CD2" w14:textId="5F3F13A9" w:rsidR="003B239A" w:rsidRPr="001A75CA" w:rsidRDefault="003B239A" w:rsidP="001A75CA">
      <w:pPr>
        <w:spacing w:after="0" w:line="240" w:lineRule="auto"/>
        <w:ind w:right="-57"/>
        <w:jc w:val="left"/>
        <w:rPr>
          <w:rFonts w:ascii="Arial Narrow" w:hAnsi="Arial Narrow"/>
          <w:sz w:val="18"/>
          <w:szCs w:val="18"/>
        </w:rPr>
      </w:pPr>
      <w:r w:rsidRPr="001A75CA">
        <w:rPr>
          <w:rFonts w:ascii="Arial Narrow" w:hAnsi="Arial Narrow"/>
          <w:sz w:val="18"/>
          <w:szCs w:val="18"/>
        </w:rPr>
        <w:t xml:space="preserve">CBAVD = congenital bilateral absence of the vas deferens; CF = cystic fibrosis; </w:t>
      </w:r>
      <w:r w:rsidR="00FD37D3" w:rsidRPr="001A75CA">
        <w:rPr>
          <w:rFonts w:ascii="Arial Narrow" w:hAnsi="Arial Narrow"/>
          <w:sz w:val="18"/>
          <w:szCs w:val="18"/>
        </w:rPr>
        <w:t>CFTR</w:t>
      </w:r>
      <w:r w:rsidRPr="001A75CA">
        <w:rPr>
          <w:rFonts w:ascii="Arial Narrow" w:hAnsi="Arial Narrow"/>
          <w:sz w:val="18"/>
          <w:szCs w:val="18"/>
        </w:rPr>
        <w:t xml:space="preserve"> = cystic fibrosis transmembrane conductance regulator; CI = confidence interval; DNA = deoxyribonucleic acid; FEB = fetal echogenic bowel; k = number of studies; MLPA = multiple ligation-dependent probe amplification</w:t>
      </w:r>
    </w:p>
    <w:p w14:paraId="494AD2A1" w14:textId="07F1F33F" w:rsidR="003B239A" w:rsidRPr="00FE563B" w:rsidRDefault="00FD37D3" w:rsidP="000C5D58">
      <w:pPr>
        <w:pStyle w:val="Heading3"/>
      </w:pPr>
      <w:r w:rsidRPr="00FD37D3">
        <w:t>CFTR</w:t>
      </w:r>
      <w:r w:rsidR="003B239A" w:rsidRPr="00FE563B">
        <w:t xml:space="preserve"> mutation testing in patients with classical CF symptoms</w:t>
      </w:r>
    </w:p>
    <w:p w14:paraId="567F491F" w14:textId="02834D8A" w:rsidR="003B239A" w:rsidRPr="00FE563B" w:rsidRDefault="003B239A" w:rsidP="003B239A">
      <w:pPr>
        <w:rPr>
          <w:rFonts w:asciiTheme="minorHAnsi" w:hAnsiTheme="minorHAnsi"/>
        </w:rPr>
      </w:pPr>
      <w:r w:rsidRPr="00FE563B">
        <w:rPr>
          <w:rFonts w:asciiTheme="minorHAnsi" w:hAnsiTheme="minorHAnsi"/>
        </w:rPr>
        <w:t xml:space="preserve">Four studies compared the accuracy of </w:t>
      </w:r>
      <w:r w:rsidR="00FD37D3" w:rsidRPr="00FD37D3">
        <w:rPr>
          <w:rFonts w:asciiTheme="minorHAnsi" w:hAnsiTheme="minorHAnsi"/>
        </w:rPr>
        <w:t>CFTR</w:t>
      </w:r>
      <w:r w:rsidRPr="00FE563B">
        <w:rPr>
          <w:rFonts w:asciiTheme="minorHAnsi" w:hAnsiTheme="minorHAnsi"/>
        </w:rPr>
        <w:t xml:space="preserve"> mutation testing with DNA sequencing in CF patients. Three studies used DNA samples from patients who had had their genotype determined previously by DNA sequencing</w:t>
      </w:r>
      <w:r w:rsidR="00573F73">
        <w:rPr>
          <w:rFonts w:asciiTheme="minorHAnsi" w:hAnsiTheme="minorHAnsi"/>
        </w:rPr>
        <w:t>,</w:t>
      </w:r>
      <w:r w:rsidRPr="00FE563B">
        <w:rPr>
          <w:rFonts w:asciiTheme="minorHAnsi" w:hAnsiTheme="minorHAnsi"/>
        </w:rPr>
        <w:t xml:space="preserve"> and </w:t>
      </w:r>
      <w:r w:rsidR="00573F73">
        <w:rPr>
          <w:rFonts w:asciiTheme="minorHAnsi" w:hAnsiTheme="minorHAnsi"/>
        </w:rPr>
        <w:t>1</w:t>
      </w:r>
      <w:r w:rsidRPr="00FE563B">
        <w:rPr>
          <w:rFonts w:asciiTheme="minorHAnsi" w:hAnsiTheme="minorHAnsi"/>
        </w:rPr>
        <w:t xml:space="preserve"> study </w:t>
      </w:r>
      <w:r>
        <w:rPr>
          <w:rFonts w:asciiTheme="minorHAnsi" w:hAnsiTheme="minorHAnsi"/>
        </w:rPr>
        <w:fldChar w:fldCharType="begin"/>
      </w:r>
      <w:r>
        <w:rPr>
          <w:rFonts w:asciiTheme="minorHAnsi" w:hAnsiTheme="minorHAnsi"/>
        </w:rPr>
        <w:instrText xml:space="preserve"> ADDIN EN.CITE &lt;EndNote&gt;&lt;Cite&gt;&lt;Author&gt;Tomaiuolo&lt;/Author&gt;&lt;Year&gt;2003&lt;/Year&gt;&lt;RecNum&gt;191&lt;/RecNum&gt;&lt;IDText&gt;26-32&lt;/IDText&gt;&lt;DisplayText&gt;(Tomaiuolo, Spina &amp;amp; Castaldo 2003)&lt;/DisplayText&gt;&lt;record&gt;&lt;rec-number&gt;191&lt;/rec-number&gt;&lt;foreign-keys&gt;&lt;key app="EN" db-id="5e2rp22rqfe5frezsr6x0stksezpdvzfpfav" timestamp="1424405695"&gt;191&lt;/key&gt;&lt;/foreign-keys&gt;&lt;ref-type name="Journal Article"&gt;17&lt;/ref-type&gt;&lt;contributors&gt;&lt;authors&gt;&lt;author&gt;Tomaiuolo, R.&lt;/author&gt;&lt;author&gt;Spina, M.&lt;/author&gt;&lt;author&gt;Castaldo, G.&lt;/author&gt;&lt;/authors&gt;&lt;/contributors&gt;&lt;auth-address&gt;Dipto. di Biochimica Biotecnol. Med., CEINGE Scarl, Universita di Napoli Federico II, via S. Pansini 5, 80131 Naples, Italy&amp;#xD;Facolta di Scienze Matematiche, Fisiche e Naturali, Università del Molise, Isernia, Italy&lt;/auth-address&gt;&lt;titles&gt;&lt;title&gt;Molecular diagnosis of cystic fibrosis: Comparison of four analytical procedures&lt;/title&gt;&lt;secondary-title&gt;Clinical Chemistry and Laboratory Medicine&lt;/secondary-title&gt;&lt;/titles&gt;&lt;periodical&gt;&lt;full-title&gt;Clinical Chemistry and Laboratory Medicine&lt;/full-title&gt;&lt;/periodical&gt;&lt;pages&gt;26-32&lt;/pages&gt;&lt;volume&gt;41&lt;/volume&gt;&lt;number&gt;1&lt;/number&gt;&lt;keywords&gt;&lt;keyword&gt;Allele-specific oligonucleotide dot-blot (ASO dot-blot)&lt;/keyword&gt;&lt;keyword&gt;Amplification refractory mutation system (ARMS)&lt;/keyword&gt;&lt;keyword&gt;Cystic fibrosis&lt;/keyword&gt;&lt;keyword&gt;Molecular diagnosis&lt;/keyword&gt;&lt;keyword&gt;Oligonucleotide ligation assay (OLA)&lt;/keyword&gt;&lt;keyword&gt;Reverse dot-blot&lt;/keyword&gt;&lt;/keywords&gt;&lt;dates&gt;&lt;year&gt;2003&lt;/year&gt;&lt;/dates&gt;&lt;urls&gt;&lt;related-urls&gt;&lt;url&gt;http://www.scopus.com/inward/record.url?eid=2-s2.0-0037214955&amp;amp;partnerID=40&amp;amp;md5=ed31ea94476122de5be5ce8c074e7328&lt;/url&gt;&lt;url&gt;http://www.degruyter.com/view/j/cclm.2003.41.issue-1/cclm.2003.006/cclm.2003.006.xml&lt;/url&gt;&lt;/related-urls&gt;&lt;/urls&gt;&lt;remote-database-name&gt;Scopus&lt;/remote-database-name&gt;&lt;/record&gt;&lt;/Cite&gt;&lt;/EndNote&gt;</w:instrText>
      </w:r>
      <w:r>
        <w:rPr>
          <w:rFonts w:asciiTheme="minorHAnsi" w:hAnsiTheme="minorHAnsi"/>
        </w:rPr>
        <w:fldChar w:fldCharType="separate"/>
      </w:r>
      <w:r>
        <w:rPr>
          <w:rFonts w:asciiTheme="minorHAnsi" w:hAnsiTheme="minorHAnsi"/>
          <w:noProof/>
        </w:rPr>
        <w:t>(</w:t>
      </w:r>
      <w:hyperlink w:anchor="_ENREF_124" w:tooltip="Tomaiuolo, 2003 #191" w:history="1">
        <w:r w:rsidR="00B46ABF">
          <w:rPr>
            <w:rFonts w:asciiTheme="minorHAnsi" w:hAnsiTheme="minorHAnsi"/>
            <w:noProof/>
          </w:rPr>
          <w:t>Tomaiuolo, Spina &amp; Castaldo 2003</w:t>
        </w:r>
      </w:hyperlink>
      <w:r>
        <w:rPr>
          <w:rFonts w:asciiTheme="minorHAnsi" w:hAnsiTheme="minorHAnsi"/>
          <w:noProof/>
        </w:rPr>
        <w:t>)</w:t>
      </w:r>
      <w:r>
        <w:rPr>
          <w:rFonts w:asciiTheme="minorHAnsi" w:hAnsiTheme="minorHAnsi"/>
        </w:rPr>
        <w:fldChar w:fldCharType="end"/>
      </w:r>
      <w:r>
        <w:rPr>
          <w:rFonts w:asciiTheme="minorHAnsi" w:hAnsiTheme="minorHAnsi"/>
        </w:rPr>
        <w:t xml:space="preserve"> </w:t>
      </w:r>
      <w:r w:rsidRPr="00FE563B">
        <w:rPr>
          <w:rFonts w:asciiTheme="minorHAnsi" w:hAnsiTheme="minorHAnsi"/>
        </w:rPr>
        <w:t xml:space="preserve">used DNA sequencing to confirm the presence of mutations detected by DGGE exon scanning of the whole </w:t>
      </w:r>
      <w:r w:rsidR="00FD37D3" w:rsidRPr="00FD37D3">
        <w:rPr>
          <w:rFonts w:asciiTheme="minorHAnsi" w:hAnsiTheme="minorHAnsi"/>
        </w:rPr>
        <w:t>CFTR</w:t>
      </w:r>
      <w:r w:rsidRPr="00FE563B">
        <w:rPr>
          <w:rFonts w:asciiTheme="minorHAnsi" w:hAnsiTheme="minorHAnsi"/>
        </w:rPr>
        <w:t xml:space="preserve"> coding region. Two studies used four different panel-based </w:t>
      </w:r>
      <w:r w:rsidR="00FD37D3" w:rsidRPr="00FD37D3">
        <w:rPr>
          <w:rFonts w:asciiTheme="minorHAnsi" w:hAnsiTheme="minorHAnsi"/>
        </w:rPr>
        <w:t>CFTR</w:t>
      </w:r>
      <w:r w:rsidRPr="00FE563B">
        <w:rPr>
          <w:rFonts w:asciiTheme="minorHAnsi" w:hAnsiTheme="minorHAnsi"/>
        </w:rPr>
        <w:t xml:space="preserve"> mutation index tests</w:t>
      </w:r>
      <w:r w:rsidR="00573F73">
        <w:rPr>
          <w:rFonts w:asciiTheme="minorHAnsi" w:hAnsiTheme="minorHAnsi"/>
        </w:rPr>
        <w:t>,</w:t>
      </w:r>
      <w:r w:rsidRPr="00FE563B">
        <w:rPr>
          <w:rFonts w:asciiTheme="minorHAnsi" w:hAnsiTheme="minorHAnsi"/>
        </w:rPr>
        <w:t xml:space="preserve"> detecting between 12 and 31 specific mutations</w:t>
      </w:r>
      <w:r w:rsidR="00573F73">
        <w:rPr>
          <w:rFonts w:asciiTheme="minorHAnsi" w:hAnsiTheme="minorHAnsi"/>
        </w:rPr>
        <w:t>,</w:t>
      </w:r>
      <w:r w:rsidRPr="00FE563B">
        <w:rPr>
          <w:rFonts w:asciiTheme="minorHAnsi" w:hAnsiTheme="minorHAnsi"/>
        </w:rPr>
        <w:t xml:space="preserve"> and </w:t>
      </w:r>
      <w:r w:rsidR="00573F73">
        <w:rPr>
          <w:rFonts w:asciiTheme="minorHAnsi" w:hAnsiTheme="minorHAnsi"/>
        </w:rPr>
        <w:t>2</w:t>
      </w:r>
      <w:r w:rsidR="00573F73" w:rsidRPr="00FE563B">
        <w:rPr>
          <w:rFonts w:asciiTheme="minorHAnsi" w:hAnsiTheme="minorHAnsi"/>
        </w:rPr>
        <w:t xml:space="preserve"> </w:t>
      </w:r>
      <w:r w:rsidRPr="00FE563B">
        <w:rPr>
          <w:rFonts w:asciiTheme="minorHAnsi" w:hAnsiTheme="minorHAnsi"/>
        </w:rPr>
        <w:t xml:space="preserve">studies used exon-scanning </w:t>
      </w:r>
      <w:r w:rsidR="00FD37D3" w:rsidRPr="00FD37D3">
        <w:rPr>
          <w:rFonts w:asciiTheme="minorHAnsi" w:hAnsiTheme="minorHAnsi"/>
        </w:rPr>
        <w:t>CFTR</w:t>
      </w:r>
      <w:r w:rsidRPr="00FE563B">
        <w:rPr>
          <w:rFonts w:asciiTheme="minorHAnsi" w:hAnsiTheme="minorHAnsi"/>
        </w:rPr>
        <w:t xml:space="preserve"> mutation index tests to detect the known mutations without DNA sequencing confirmation. When all mutations were included in the analysis, the median sensitivity (85%; range 71</w:t>
      </w:r>
      <w:r w:rsidR="00573F73">
        <w:rPr>
          <w:rFonts w:asciiTheme="minorHAnsi" w:hAnsiTheme="minorHAnsi"/>
        </w:rPr>
        <w:t>–</w:t>
      </w:r>
      <w:r w:rsidRPr="00FE563B">
        <w:rPr>
          <w:rFonts w:asciiTheme="minorHAnsi" w:hAnsiTheme="minorHAnsi"/>
        </w:rPr>
        <w:t xml:space="preserve">97) reflected the inability of panel-based </w:t>
      </w:r>
      <w:r w:rsidR="00FD37D3" w:rsidRPr="00FD37D3">
        <w:rPr>
          <w:rFonts w:asciiTheme="minorHAnsi" w:hAnsiTheme="minorHAnsi"/>
        </w:rPr>
        <w:t>CFTR</w:t>
      </w:r>
      <w:r w:rsidRPr="00FE563B">
        <w:rPr>
          <w:rFonts w:asciiTheme="minorHAnsi" w:hAnsiTheme="minorHAnsi"/>
        </w:rPr>
        <w:t xml:space="preserve"> mutation tests to detect mutations not included in the </w:t>
      </w:r>
      <w:r w:rsidR="00FD37D3" w:rsidRPr="00FD37D3">
        <w:rPr>
          <w:rFonts w:asciiTheme="minorHAnsi" w:hAnsiTheme="minorHAnsi"/>
        </w:rPr>
        <w:t>CFTR</w:t>
      </w:r>
      <w:r w:rsidRPr="00FE563B">
        <w:rPr>
          <w:rFonts w:asciiTheme="minorHAnsi" w:hAnsiTheme="minorHAnsi"/>
        </w:rPr>
        <w:t xml:space="preserve"> mutation panel used </w:t>
      </w:r>
      <w:r w:rsidR="00573F73">
        <w:rPr>
          <w:rFonts w:asciiTheme="minorHAnsi" w:hAnsiTheme="minorHAnsi"/>
        </w:rPr>
        <w:t>in</w:t>
      </w:r>
      <w:r w:rsidR="00573F73" w:rsidRPr="00FE563B">
        <w:rPr>
          <w:rFonts w:asciiTheme="minorHAnsi" w:hAnsiTheme="minorHAnsi"/>
        </w:rPr>
        <w:t xml:space="preserve"> </w:t>
      </w:r>
      <w:r w:rsidRPr="00FE563B">
        <w:rPr>
          <w:rFonts w:asciiTheme="minorHAnsi" w:hAnsiTheme="minorHAnsi"/>
        </w:rPr>
        <w:t>the t</w:t>
      </w:r>
      <w:r w:rsidR="00C9528C">
        <w:rPr>
          <w:rFonts w:asciiTheme="minorHAnsi" w:hAnsiTheme="minorHAnsi"/>
        </w:rPr>
        <w:t>est. W</w:t>
      </w:r>
      <w:r w:rsidRPr="00FE563B">
        <w:rPr>
          <w:rFonts w:asciiTheme="minorHAnsi" w:hAnsiTheme="minorHAnsi"/>
        </w:rPr>
        <w:t>hen only those mutations that could be detected were included in the analysis</w:t>
      </w:r>
      <w:r w:rsidR="00573F73">
        <w:rPr>
          <w:rFonts w:asciiTheme="minorHAnsi" w:hAnsiTheme="minorHAnsi"/>
        </w:rPr>
        <w:t>,</w:t>
      </w:r>
      <w:r w:rsidRPr="00FE563B">
        <w:rPr>
          <w:rFonts w:asciiTheme="minorHAnsi" w:hAnsiTheme="minorHAnsi"/>
        </w:rPr>
        <w:t xml:space="preserve"> the median sensitivity increased to 97% (range 90</w:t>
      </w:r>
      <w:r w:rsidR="00573F73">
        <w:rPr>
          <w:rFonts w:asciiTheme="minorHAnsi" w:hAnsiTheme="minorHAnsi"/>
        </w:rPr>
        <w:t>–</w:t>
      </w:r>
      <w:r w:rsidRPr="00FE563B">
        <w:rPr>
          <w:rFonts w:asciiTheme="minorHAnsi" w:hAnsiTheme="minorHAnsi"/>
        </w:rPr>
        <w:t xml:space="preserve">100; </w:t>
      </w:r>
      <w:r w:rsidR="00573F73">
        <w:rPr>
          <w:rFonts w:asciiTheme="minorHAnsi" w:hAnsiTheme="minorHAnsi"/>
        </w:rPr>
        <w:t xml:space="preserve">see </w:t>
      </w:r>
      <w:r>
        <w:rPr>
          <w:rFonts w:asciiTheme="minorHAnsi" w:hAnsiTheme="minorHAnsi"/>
          <w:highlight w:val="yellow"/>
        </w:rPr>
        <w:fldChar w:fldCharType="begin"/>
      </w:r>
      <w:r>
        <w:rPr>
          <w:rFonts w:asciiTheme="minorHAnsi" w:hAnsiTheme="minorHAnsi"/>
        </w:rPr>
        <w:instrText xml:space="preserve"> REF _Ref412450905 \h </w:instrText>
      </w:r>
      <w:r>
        <w:rPr>
          <w:rFonts w:asciiTheme="minorHAnsi" w:hAnsiTheme="minorHAnsi"/>
          <w:highlight w:val="yellow"/>
        </w:rPr>
      </w:r>
      <w:r>
        <w:rPr>
          <w:rFonts w:asciiTheme="minorHAnsi" w:hAnsiTheme="minorHAnsi"/>
          <w:highlight w:val="yellow"/>
        </w:rPr>
        <w:fldChar w:fldCharType="separate"/>
      </w:r>
      <w:r w:rsidR="00BB0E3E">
        <w:t xml:space="preserve">Table </w:t>
      </w:r>
      <w:r w:rsidR="00BB0E3E">
        <w:rPr>
          <w:noProof/>
        </w:rPr>
        <w:t>88</w:t>
      </w:r>
      <w:r>
        <w:rPr>
          <w:rFonts w:asciiTheme="minorHAnsi" w:hAnsiTheme="minorHAnsi"/>
          <w:highlight w:val="yellow"/>
        </w:rPr>
        <w:fldChar w:fldCharType="end"/>
      </w:r>
      <w:r w:rsidRPr="00FE563B">
        <w:rPr>
          <w:rFonts w:asciiTheme="minorHAnsi" w:hAnsiTheme="minorHAnsi"/>
        </w:rPr>
        <w:t xml:space="preserve"> in </w:t>
      </w:r>
      <w:r>
        <w:rPr>
          <w:rFonts w:asciiTheme="minorHAnsi" w:hAnsiTheme="minorHAnsi"/>
          <w:highlight w:val="yellow"/>
        </w:rPr>
        <w:fldChar w:fldCharType="begin"/>
      </w:r>
      <w:r>
        <w:rPr>
          <w:rFonts w:asciiTheme="minorHAnsi" w:hAnsiTheme="minorHAnsi"/>
        </w:rPr>
        <w:instrText xml:space="preserve"> REF _Ref412211481 \h </w:instrText>
      </w:r>
      <w:r>
        <w:rPr>
          <w:rFonts w:asciiTheme="minorHAnsi" w:hAnsiTheme="minorHAnsi"/>
          <w:highlight w:val="yellow"/>
        </w:rPr>
      </w:r>
      <w:r>
        <w:rPr>
          <w:rFonts w:asciiTheme="minorHAnsi" w:hAnsiTheme="minorHAnsi"/>
          <w:highlight w:val="yellow"/>
        </w:rPr>
        <w:fldChar w:fldCharType="separate"/>
      </w:r>
      <w:r w:rsidR="00BB0E3E" w:rsidRPr="001A4A46">
        <w:t xml:space="preserve">Appendix </w:t>
      </w:r>
      <w:r w:rsidR="00BB0E3E">
        <w:rPr>
          <w:noProof/>
        </w:rPr>
        <w:t>D</w:t>
      </w:r>
      <w:r>
        <w:rPr>
          <w:rFonts w:asciiTheme="minorHAnsi" w:hAnsiTheme="minorHAnsi"/>
          <w:highlight w:val="yellow"/>
        </w:rPr>
        <w:fldChar w:fldCharType="end"/>
      </w:r>
      <w:r w:rsidRPr="00FE563B">
        <w:rPr>
          <w:rFonts w:asciiTheme="minorHAnsi" w:hAnsiTheme="minorHAnsi"/>
        </w:rPr>
        <w:t xml:space="preserve">). These results indicate that </w:t>
      </w:r>
      <w:r w:rsidR="00FD37D3" w:rsidRPr="00FD37D3">
        <w:rPr>
          <w:rFonts w:asciiTheme="minorHAnsi" w:hAnsiTheme="minorHAnsi"/>
        </w:rPr>
        <w:t>CFTR</w:t>
      </w:r>
      <w:r w:rsidRPr="00FE563B">
        <w:rPr>
          <w:rFonts w:asciiTheme="minorHAnsi" w:hAnsiTheme="minorHAnsi"/>
        </w:rPr>
        <w:t xml:space="preserve"> mutation tests are highly accurate compared with DNA sequencing at detecting those mutations </w:t>
      </w:r>
      <w:r w:rsidR="00573F73">
        <w:rPr>
          <w:rFonts w:asciiTheme="minorHAnsi" w:hAnsiTheme="minorHAnsi"/>
        </w:rPr>
        <w:t xml:space="preserve">that </w:t>
      </w:r>
      <w:r w:rsidRPr="00FE563B">
        <w:rPr>
          <w:rFonts w:asciiTheme="minorHAnsi" w:hAnsiTheme="minorHAnsi"/>
        </w:rPr>
        <w:t>the tests were designed to recognise; only 3% of samples that should have been correctly identified were falsely negative.</w:t>
      </w:r>
    </w:p>
    <w:p w14:paraId="6C2513E9" w14:textId="28D7CFDB" w:rsidR="003B239A" w:rsidRPr="00FE563B" w:rsidRDefault="003B239A" w:rsidP="003B239A">
      <w:pPr>
        <w:rPr>
          <w:rFonts w:asciiTheme="minorHAnsi" w:hAnsiTheme="minorHAnsi"/>
        </w:rPr>
      </w:pPr>
      <w:r w:rsidRPr="00FE563B">
        <w:rPr>
          <w:rFonts w:asciiTheme="minorHAnsi" w:hAnsiTheme="minorHAnsi"/>
        </w:rPr>
        <w:t xml:space="preserve">The </w:t>
      </w:r>
      <w:r w:rsidR="00C11642">
        <w:rPr>
          <w:rFonts w:asciiTheme="minorHAnsi" w:hAnsiTheme="minorHAnsi"/>
        </w:rPr>
        <w:t>4</w:t>
      </w:r>
      <w:r w:rsidR="00C11642" w:rsidRPr="00FE563B">
        <w:rPr>
          <w:rFonts w:asciiTheme="minorHAnsi" w:hAnsiTheme="minorHAnsi"/>
        </w:rPr>
        <w:t xml:space="preserve"> </w:t>
      </w:r>
      <w:r w:rsidRPr="00FE563B">
        <w:rPr>
          <w:rFonts w:asciiTheme="minorHAnsi" w:hAnsiTheme="minorHAnsi"/>
        </w:rPr>
        <w:t xml:space="preserve">studies comparing DNA sequencing with clinical diagnosis in CF patients used different DNA sequencing methods designed to detect different numbers of </w:t>
      </w:r>
      <w:r w:rsidR="00FD37D3" w:rsidRPr="00FD37D3">
        <w:rPr>
          <w:rFonts w:asciiTheme="minorHAnsi" w:hAnsiTheme="minorHAnsi"/>
        </w:rPr>
        <w:t>CFTR</w:t>
      </w:r>
      <w:r w:rsidRPr="00FE563B">
        <w:rPr>
          <w:rFonts w:asciiTheme="minorHAnsi" w:hAnsiTheme="minorHAnsi"/>
        </w:rPr>
        <w:t xml:space="preserve"> mutations (</w:t>
      </w:r>
      <w:r w:rsidR="00C11642">
        <w:rPr>
          <w:rFonts w:asciiTheme="minorHAnsi" w:hAnsiTheme="minorHAnsi"/>
        </w:rPr>
        <w:t xml:space="preserve">see </w:t>
      </w:r>
      <w:r>
        <w:rPr>
          <w:rFonts w:asciiTheme="minorHAnsi" w:hAnsiTheme="minorHAnsi"/>
          <w:highlight w:val="yellow"/>
        </w:rPr>
        <w:fldChar w:fldCharType="begin"/>
      </w:r>
      <w:r>
        <w:rPr>
          <w:rFonts w:asciiTheme="minorHAnsi" w:hAnsiTheme="minorHAnsi"/>
        </w:rPr>
        <w:instrText xml:space="preserve"> REF _Ref412450937 \h </w:instrText>
      </w:r>
      <w:r>
        <w:rPr>
          <w:rFonts w:asciiTheme="minorHAnsi" w:hAnsiTheme="minorHAnsi"/>
          <w:highlight w:val="yellow"/>
        </w:rPr>
      </w:r>
      <w:r>
        <w:rPr>
          <w:rFonts w:asciiTheme="minorHAnsi" w:hAnsiTheme="minorHAnsi"/>
          <w:highlight w:val="yellow"/>
        </w:rPr>
        <w:fldChar w:fldCharType="separate"/>
      </w:r>
      <w:r w:rsidR="00BB0E3E">
        <w:t xml:space="preserve">Table </w:t>
      </w:r>
      <w:r w:rsidR="00BB0E3E">
        <w:rPr>
          <w:noProof/>
        </w:rPr>
        <w:t>89</w:t>
      </w:r>
      <w:r>
        <w:rPr>
          <w:rFonts w:asciiTheme="minorHAnsi" w:hAnsiTheme="minorHAnsi"/>
          <w:highlight w:val="yellow"/>
        </w:rPr>
        <w:fldChar w:fldCharType="end"/>
      </w:r>
      <w:r w:rsidRPr="00FE563B">
        <w:rPr>
          <w:rFonts w:asciiTheme="minorHAnsi" w:hAnsiTheme="minorHAnsi"/>
        </w:rPr>
        <w:t xml:space="preserve"> in </w:t>
      </w:r>
      <w:r>
        <w:rPr>
          <w:rFonts w:asciiTheme="minorHAnsi" w:hAnsiTheme="minorHAnsi"/>
          <w:highlight w:val="yellow"/>
        </w:rPr>
        <w:fldChar w:fldCharType="begin"/>
      </w:r>
      <w:r>
        <w:rPr>
          <w:rFonts w:asciiTheme="minorHAnsi" w:hAnsiTheme="minorHAnsi"/>
        </w:rPr>
        <w:instrText xml:space="preserve"> REF _Ref412211481 \h </w:instrText>
      </w:r>
      <w:r>
        <w:rPr>
          <w:rFonts w:asciiTheme="minorHAnsi" w:hAnsiTheme="minorHAnsi"/>
          <w:highlight w:val="yellow"/>
        </w:rPr>
      </w:r>
      <w:r>
        <w:rPr>
          <w:rFonts w:asciiTheme="minorHAnsi" w:hAnsiTheme="minorHAnsi"/>
          <w:highlight w:val="yellow"/>
        </w:rPr>
        <w:fldChar w:fldCharType="separate"/>
      </w:r>
      <w:r w:rsidR="00BB0E3E" w:rsidRPr="001A4A46">
        <w:t xml:space="preserve">Appendix </w:t>
      </w:r>
      <w:r w:rsidR="00BB0E3E">
        <w:rPr>
          <w:noProof/>
        </w:rPr>
        <w:t>D</w:t>
      </w:r>
      <w:r>
        <w:rPr>
          <w:rFonts w:asciiTheme="minorHAnsi" w:hAnsiTheme="minorHAnsi"/>
          <w:highlight w:val="yellow"/>
        </w:rPr>
        <w:fldChar w:fldCharType="end"/>
      </w:r>
      <w:r w:rsidRPr="00FE563B">
        <w:rPr>
          <w:rFonts w:asciiTheme="minorHAnsi" w:hAnsiTheme="minorHAnsi"/>
        </w:rPr>
        <w:t>). Strom et al. (</w:t>
      </w:r>
      <w:r w:rsidRPr="009D5AC1">
        <w:rPr>
          <w:rFonts w:asciiTheme="minorHAnsi" w:hAnsiTheme="minorHAnsi"/>
        </w:rPr>
        <w:t>2003</w:t>
      </w:r>
      <w:r w:rsidRPr="00FE563B">
        <w:rPr>
          <w:rFonts w:asciiTheme="minorHAnsi" w:hAnsiTheme="minorHAnsi"/>
        </w:rPr>
        <w:t xml:space="preserve">) used an automated DNA sequence analysis assay that could detect 991 different </w:t>
      </w:r>
      <w:r w:rsidR="00FD37D3" w:rsidRPr="00FD37D3">
        <w:rPr>
          <w:rFonts w:asciiTheme="minorHAnsi" w:hAnsiTheme="minorHAnsi"/>
        </w:rPr>
        <w:t>CFTR</w:t>
      </w:r>
      <w:r w:rsidRPr="00FE563B">
        <w:rPr>
          <w:rFonts w:asciiTheme="minorHAnsi" w:hAnsiTheme="minorHAnsi"/>
        </w:rPr>
        <w:t xml:space="preserve"> mutations, whereas Bickmann et al. (</w:t>
      </w:r>
      <w:r w:rsidRPr="009D5AC1">
        <w:rPr>
          <w:rFonts w:asciiTheme="minorHAnsi" w:hAnsiTheme="minorHAnsi"/>
        </w:rPr>
        <w:t>2009</w:t>
      </w:r>
      <w:r w:rsidRPr="00FE563B">
        <w:rPr>
          <w:rFonts w:asciiTheme="minorHAnsi" w:hAnsiTheme="minorHAnsi"/>
        </w:rPr>
        <w:t xml:space="preserve">) used both a pyrosequencing panel assay designed to detect only 46 common mutations </w:t>
      </w:r>
      <w:r w:rsidR="004D5C3B">
        <w:rPr>
          <w:rFonts w:asciiTheme="minorHAnsi" w:hAnsiTheme="minorHAnsi"/>
        </w:rPr>
        <w:t>(</w:t>
      </w:r>
      <w:r w:rsidR="00C11642">
        <w:rPr>
          <w:rFonts w:asciiTheme="minorHAnsi" w:hAnsiTheme="minorHAnsi"/>
        </w:rPr>
        <w:t>al</w:t>
      </w:r>
      <w:r w:rsidRPr="00FE563B">
        <w:rPr>
          <w:rFonts w:asciiTheme="minorHAnsi" w:hAnsiTheme="minorHAnsi"/>
        </w:rPr>
        <w:t>though the assay could easily be adapted to detect most mutations</w:t>
      </w:r>
      <w:r w:rsidR="004D5C3B">
        <w:rPr>
          <w:rFonts w:asciiTheme="minorHAnsi" w:hAnsiTheme="minorHAnsi"/>
        </w:rPr>
        <w:t>)</w:t>
      </w:r>
      <w:r w:rsidRPr="00FE563B">
        <w:rPr>
          <w:rFonts w:asciiTheme="minorHAnsi" w:hAnsiTheme="minorHAnsi"/>
        </w:rPr>
        <w:t xml:space="preserve"> and conventional DNA sequencing. Kanavakis et al. (2003) used a DGGE exon-scanning </w:t>
      </w:r>
      <w:r w:rsidR="00FD37D3" w:rsidRPr="00FD37D3">
        <w:rPr>
          <w:rFonts w:asciiTheme="minorHAnsi" w:hAnsiTheme="minorHAnsi"/>
        </w:rPr>
        <w:t>CFTR</w:t>
      </w:r>
      <w:r w:rsidRPr="00FE563B">
        <w:rPr>
          <w:rFonts w:asciiTheme="minorHAnsi" w:hAnsiTheme="minorHAnsi"/>
        </w:rPr>
        <w:t xml:space="preserve"> mutation test covering all 27 exons and neighbouring intronic regions of the </w:t>
      </w:r>
      <w:r w:rsidR="00A21FD9" w:rsidRPr="00A21FD9">
        <w:rPr>
          <w:rFonts w:asciiTheme="minorHAnsi" w:hAnsiTheme="minorHAnsi"/>
          <w:i/>
        </w:rPr>
        <w:t>CFTR</w:t>
      </w:r>
      <w:r w:rsidRPr="00FE563B">
        <w:rPr>
          <w:rFonts w:asciiTheme="minorHAnsi" w:hAnsiTheme="minorHAnsi"/>
        </w:rPr>
        <w:t xml:space="preserve"> gene, </w:t>
      </w:r>
      <w:r w:rsidRPr="004D5C3B">
        <w:rPr>
          <w:rFonts w:asciiTheme="minorHAnsi" w:hAnsiTheme="minorHAnsi"/>
        </w:rPr>
        <w:t>plus DNA sequencing of all samples</w:t>
      </w:r>
      <w:r w:rsidR="00E61CED" w:rsidRPr="004D5C3B">
        <w:rPr>
          <w:rFonts w:asciiTheme="minorHAnsi" w:hAnsiTheme="minorHAnsi"/>
        </w:rPr>
        <w:t>,</w:t>
      </w:r>
      <w:r w:rsidRPr="004D5C3B">
        <w:rPr>
          <w:rFonts w:asciiTheme="minorHAnsi" w:hAnsiTheme="minorHAnsi"/>
        </w:rPr>
        <w:t xml:space="preserve"> </w:t>
      </w:r>
      <w:r w:rsidR="00E61CED" w:rsidRPr="004D5C3B">
        <w:rPr>
          <w:rFonts w:asciiTheme="minorHAnsi" w:hAnsiTheme="minorHAnsi"/>
        </w:rPr>
        <w:t xml:space="preserve">which </w:t>
      </w:r>
      <w:r w:rsidRPr="004D5C3B">
        <w:rPr>
          <w:rFonts w:asciiTheme="minorHAnsi" w:hAnsiTheme="minorHAnsi"/>
        </w:rPr>
        <w:t>show</w:t>
      </w:r>
      <w:r w:rsidR="00E61CED" w:rsidRPr="004D5C3B">
        <w:rPr>
          <w:rFonts w:asciiTheme="minorHAnsi" w:hAnsiTheme="minorHAnsi"/>
        </w:rPr>
        <w:t>ed</w:t>
      </w:r>
      <w:r w:rsidRPr="004D5C3B">
        <w:rPr>
          <w:rFonts w:asciiTheme="minorHAnsi" w:hAnsiTheme="minorHAnsi"/>
        </w:rPr>
        <w:t xml:space="preserve"> a shift in mobility and </w:t>
      </w:r>
      <w:r w:rsidR="00E61CED" w:rsidRPr="004D5C3B">
        <w:rPr>
          <w:rFonts w:asciiTheme="minorHAnsi" w:hAnsiTheme="minorHAnsi"/>
        </w:rPr>
        <w:t xml:space="preserve">did </w:t>
      </w:r>
      <w:r w:rsidRPr="004D5C3B">
        <w:rPr>
          <w:rFonts w:asciiTheme="minorHAnsi" w:hAnsiTheme="minorHAnsi"/>
        </w:rPr>
        <w:t>not present a pattern of a known mutation.</w:t>
      </w:r>
      <w:r w:rsidRPr="00FE563B">
        <w:rPr>
          <w:rFonts w:asciiTheme="minorHAnsi" w:hAnsiTheme="minorHAnsi"/>
        </w:rPr>
        <w:t xml:space="preserve"> The </w:t>
      </w:r>
      <w:r w:rsidR="00015F6A">
        <w:rPr>
          <w:rFonts w:asciiTheme="minorHAnsi" w:hAnsiTheme="minorHAnsi"/>
        </w:rPr>
        <w:t>4</w:t>
      </w:r>
      <w:r w:rsidR="00015F6A" w:rsidRPr="00FE563B">
        <w:rPr>
          <w:rFonts w:asciiTheme="minorHAnsi" w:hAnsiTheme="minorHAnsi"/>
        </w:rPr>
        <w:t xml:space="preserve">th </w:t>
      </w:r>
      <w:r w:rsidRPr="00FE563B">
        <w:rPr>
          <w:rFonts w:asciiTheme="minorHAnsi" w:hAnsiTheme="minorHAnsi"/>
        </w:rPr>
        <w:t xml:space="preserve">study used DNA sequencing to search for 99 common </w:t>
      </w:r>
      <w:r w:rsidR="00FD37D3" w:rsidRPr="00FD37D3">
        <w:rPr>
          <w:rFonts w:asciiTheme="minorHAnsi" w:hAnsiTheme="minorHAnsi"/>
        </w:rPr>
        <w:t>CFTR</w:t>
      </w:r>
      <w:r w:rsidRPr="00FE563B">
        <w:rPr>
          <w:rFonts w:asciiTheme="minorHAnsi" w:hAnsiTheme="minorHAnsi"/>
        </w:rPr>
        <w:t xml:space="preserve"> mutations </w:t>
      </w:r>
      <w:r>
        <w:rPr>
          <w:rFonts w:asciiTheme="minorHAnsi" w:hAnsiTheme="minorHAnsi"/>
        </w:rPr>
        <w:fldChar w:fldCharType="begin">
          <w:fldData xml:space="preserve">PEVuZE5vdGU+PENpdGU+PEF1dGhvcj5Cb25penphdG88L0F1dGhvcj48WWVhcj4xOTk1PC9ZZWFy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</w:fldData>
        </w:fldChar>
      </w:r>
      <w:r w:rsidR="009A054F">
        <w:rPr>
          <w:rFonts w:asciiTheme="minorHAnsi" w:hAnsiTheme="minorHAnsi"/>
        </w:rPr>
        <w:instrText xml:space="preserve"> ADDIN EN.CITE </w:instrText>
      </w:r>
      <w:r w:rsidR="009A054F">
        <w:rPr>
          <w:rFonts w:asciiTheme="minorHAnsi" w:hAnsiTheme="minorHAnsi"/>
        </w:rPr>
        <w:fldChar w:fldCharType="begin">
          <w:fldData xml:space="preserve">PEVuZE5vdGU+PENpdGU+PEF1dGhvcj5Cb25penphdG88L0F1dGhvcj48WWVhcj4xOTk1PC9ZZWFy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</w:fldData>
        </w:fldChar>
      </w:r>
      <w:r w:rsidR="009A054F">
        <w:rPr>
          <w:rFonts w:asciiTheme="minorHAnsi" w:hAnsiTheme="minorHAnsi"/>
        </w:rPr>
        <w:instrText xml:space="preserve"> ADDIN EN.CITE.DATA </w:instrText>
      </w:r>
      <w:r w:rsidR="009A054F">
        <w:rPr>
          <w:rFonts w:asciiTheme="minorHAnsi" w:hAnsiTheme="minorHAnsi"/>
        </w:rPr>
      </w:r>
      <w:r w:rsidR="009A054F">
        <w:rPr>
          <w:rFonts w:asciiTheme="minorHAnsi" w:hAnsiTheme="minorHAnsi"/>
        </w:rPr>
        <w:fldChar w:fldCharType="end"/>
      </w:r>
      <w:r>
        <w:rPr>
          <w:rFonts w:asciiTheme="minorHAnsi" w:hAnsiTheme="minorHAnsi"/>
        </w:rPr>
      </w:r>
      <w:r>
        <w:rPr>
          <w:rFonts w:asciiTheme="minorHAnsi" w:hAnsiTheme="minorHAnsi"/>
        </w:rPr>
        <w:fldChar w:fldCharType="separate"/>
      </w:r>
      <w:r>
        <w:rPr>
          <w:rFonts w:asciiTheme="minorHAnsi" w:hAnsiTheme="minorHAnsi"/>
          <w:noProof/>
        </w:rPr>
        <w:t>(</w:t>
      </w:r>
      <w:hyperlink w:anchor="_ENREF_16" w:tooltip="Bonizzato, 1995 #25" w:history="1">
        <w:r w:rsidR="00B46ABF">
          <w:rPr>
            <w:rFonts w:asciiTheme="minorHAnsi" w:hAnsiTheme="minorHAnsi"/>
            <w:noProof/>
          </w:rPr>
          <w:t>Bonizzato et al. 1995</w:t>
        </w:r>
      </w:hyperlink>
      <w:r>
        <w:rPr>
          <w:rFonts w:asciiTheme="minorHAnsi" w:hAnsiTheme="minorHAnsi"/>
          <w:noProof/>
        </w:rPr>
        <w:t xml:space="preserve">; </w:t>
      </w:r>
      <w:hyperlink w:anchor="_ENREF_41" w:tooltip="Gasparini, 1993 #664" w:history="1">
        <w:r w:rsidR="00B46ABF">
          <w:rPr>
            <w:rFonts w:asciiTheme="minorHAnsi" w:hAnsiTheme="minorHAnsi"/>
            <w:noProof/>
          </w:rPr>
          <w:t>Gasparini et al. 1993</w:t>
        </w:r>
      </w:hyperlink>
      <w:r>
        <w:rPr>
          <w:rFonts w:asciiTheme="minorHAnsi" w:hAnsiTheme="minorHAnsi"/>
          <w:noProof/>
        </w:rPr>
        <w:t>)</w:t>
      </w:r>
      <w:r>
        <w:rPr>
          <w:rFonts w:asciiTheme="minorHAnsi" w:hAnsiTheme="minorHAnsi"/>
        </w:rPr>
        <w:fldChar w:fldCharType="end"/>
      </w:r>
      <w:r w:rsidRPr="00FE563B">
        <w:rPr>
          <w:rFonts w:asciiTheme="minorHAnsi" w:hAnsiTheme="minorHAnsi"/>
        </w:rPr>
        <w:t>. The median sensitivity of DNA sequencing compared with clinical diagnosis was 92% (range 90</w:t>
      </w:r>
      <w:r w:rsidR="00E61CED">
        <w:rPr>
          <w:rFonts w:asciiTheme="minorHAnsi" w:hAnsiTheme="minorHAnsi"/>
        </w:rPr>
        <w:t>–</w:t>
      </w:r>
      <w:r w:rsidRPr="00FE563B">
        <w:rPr>
          <w:rFonts w:asciiTheme="minorHAnsi" w:hAnsiTheme="minorHAnsi"/>
        </w:rPr>
        <w:t xml:space="preserve">100), indicating that 8% of patients diagnosed with CF had an unidentified </w:t>
      </w:r>
      <w:r w:rsidR="00FD37D3" w:rsidRPr="00FD37D3">
        <w:rPr>
          <w:rFonts w:asciiTheme="minorHAnsi" w:hAnsiTheme="minorHAnsi"/>
        </w:rPr>
        <w:t>CFTR</w:t>
      </w:r>
      <w:r w:rsidRPr="00FE563B">
        <w:rPr>
          <w:rFonts w:asciiTheme="minorHAnsi" w:hAnsiTheme="minorHAnsi"/>
        </w:rPr>
        <w:t xml:space="preserve"> mutation after DNA sequence </w:t>
      </w:r>
      <w:r w:rsidRPr="00A660C4">
        <w:rPr>
          <w:rFonts w:asciiTheme="minorHAnsi" w:hAnsiTheme="minorHAnsi"/>
        </w:rPr>
        <w:t>analysis (</w:t>
      </w:r>
      <w:r w:rsidR="00A660C4">
        <w:rPr>
          <w:rFonts w:asciiTheme="minorHAnsi" w:hAnsiTheme="minorHAnsi"/>
        </w:rPr>
        <w:fldChar w:fldCharType="begin"/>
      </w:r>
      <w:r w:rsidR="00A660C4">
        <w:rPr>
          <w:rFonts w:asciiTheme="minorHAnsi" w:hAnsiTheme="minorHAnsi"/>
        </w:rPr>
        <w:instrText xml:space="preserve"> REF _Ref413225393 \h </w:instrText>
      </w:r>
      <w:r w:rsidR="00A660C4">
        <w:rPr>
          <w:rFonts w:asciiTheme="minorHAnsi" w:hAnsiTheme="minorHAnsi"/>
        </w:rPr>
      </w:r>
      <w:r w:rsidR="00A660C4">
        <w:rPr>
          <w:rFonts w:asciiTheme="minorHAnsi" w:hAnsiTheme="minorHAnsi"/>
        </w:rPr>
        <w:fldChar w:fldCharType="separate"/>
      </w:r>
      <w:r w:rsidR="00BB0E3E">
        <w:t xml:space="preserve">Table </w:t>
      </w:r>
      <w:r w:rsidR="00BB0E3E">
        <w:rPr>
          <w:noProof/>
        </w:rPr>
        <w:t>42</w:t>
      </w:r>
      <w:r w:rsidR="00A660C4">
        <w:rPr>
          <w:rFonts w:asciiTheme="minorHAnsi" w:hAnsiTheme="minorHAnsi"/>
        </w:rPr>
        <w:fldChar w:fldCharType="end"/>
      </w:r>
      <w:r w:rsidRPr="00A660C4">
        <w:rPr>
          <w:rFonts w:asciiTheme="minorHAnsi" w:hAnsiTheme="minorHAnsi"/>
        </w:rPr>
        <w:t>). This false</w:t>
      </w:r>
      <w:r w:rsidRPr="00FE563B">
        <w:rPr>
          <w:rFonts w:asciiTheme="minorHAnsi" w:hAnsiTheme="minorHAnsi"/>
        </w:rPr>
        <w:t xml:space="preserve"> negative rate is predictable</w:t>
      </w:r>
      <w:r w:rsidR="00E61CED">
        <w:rPr>
          <w:rFonts w:asciiTheme="minorHAnsi" w:hAnsiTheme="minorHAnsi"/>
        </w:rPr>
        <w:t>,</w:t>
      </w:r>
      <w:r w:rsidRPr="00FE563B">
        <w:rPr>
          <w:rFonts w:asciiTheme="minorHAnsi" w:hAnsiTheme="minorHAnsi"/>
        </w:rPr>
        <w:t xml:space="preserve"> as it is estimated that 2% of CF patients have large deletion/insertion mutations that cannot be detected by DNA sequencing</w:t>
      </w:r>
      <w:r w:rsidR="004D5C3B">
        <w:rPr>
          <w:rFonts w:asciiTheme="minorHAnsi" w:hAnsiTheme="minorHAnsi"/>
        </w:rPr>
        <w:t>,</w:t>
      </w:r>
      <w:r w:rsidRPr="00FE563B">
        <w:rPr>
          <w:rFonts w:asciiTheme="minorHAnsi" w:hAnsiTheme="minorHAnsi"/>
        </w:rPr>
        <w:t xml:space="preserve"> and up to 5% have an as</w:t>
      </w:r>
      <w:r w:rsidR="00E61CED">
        <w:rPr>
          <w:rFonts w:asciiTheme="minorHAnsi" w:hAnsiTheme="minorHAnsi"/>
        </w:rPr>
        <w:t>-</w:t>
      </w:r>
      <w:r w:rsidRPr="00FE563B">
        <w:rPr>
          <w:rFonts w:asciiTheme="minorHAnsi" w:hAnsiTheme="minorHAnsi"/>
        </w:rPr>
        <w:t>yet</w:t>
      </w:r>
      <w:r w:rsidR="00E61CED">
        <w:rPr>
          <w:rFonts w:asciiTheme="minorHAnsi" w:hAnsiTheme="minorHAnsi"/>
        </w:rPr>
        <w:t>-</w:t>
      </w:r>
      <w:r w:rsidRPr="00FE563B">
        <w:rPr>
          <w:rFonts w:asciiTheme="minorHAnsi" w:hAnsiTheme="minorHAnsi"/>
        </w:rPr>
        <w:t xml:space="preserve">unidentifiable </w:t>
      </w:r>
      <w:r w:rsidR="00FD37D3" w:rsidRPr="00FD37D3">
        <w:rPr>
          <w:rFonts w:asciiTheme="minorHAnsi" w:hAnsiTheme="minorHAnsi"/>
        </w:rPr>
        <w:t>CFTR</w:t>
      </w:r>
      <w:r w:rsidRPr="00FE563B">
        <w:rPr>
          <w:rFonts w:asciiTheme="minorHAnsi" w:hAnsiTheme="minorHAnsi"/>
        </w:rPr>
        <w:t xml:space="preserve"> mutation </w:t>
      </w:r>
      <w:r>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 </w:instrText>
      </w:r>
      <w:r w:rsidR="009A054F">
        <w:rPr>
          <w:rFonts w:asciiTheme="minorHAnsi" w:hAnsiTheme="minorHAnsi"/>
        </w:rPr>
        <w:fldChar w:fldCharType="begin">
          <w:fldData xml:space="preserve">PEVuZE5vdGU+PENpdGU+PEF1dGhvcj5DYXN0ZWxsYW5pPC9BdXRob3I+PFllYXI+MjAwODwvWWVh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</w:fldData>
        </w:fldChar>
      </w:r>
      <w:r w:rsidR="009A054F">
        <w:rPr>
          <w:rFonts w:asciiTheme="minorHAnsi" w:hAnsiTheme="minorHAnsi"/>
        </w:rPr>
        <w:instrText xml:space="preserve"> ADDIN EN.CITE.DATA </w:instrText>
      </w:r>
      <w:r w:rsidR="009A054F">
        <w:rPr>
          <w:rFonts w:asciiTheme="minorHAnsi" w:hAnsiTheme="minorHAnsi"/>
        </w:rPr>
      </w:r>
      <w:r w:rsidR="009A054F">
        <w:rPr>
          <w:rFonts w:asciiTheme="minorHAnsi" w:hAnsiTheme="minorHAnsi"/>
        </w:rPr>
        <w:fldChar w:fldCharType="end"/>
      </w:r>
      <w:r>
        <w:rPr>
          <w:rFonts w:asciiTheme="minorHAnsi" w:hAnsiTheme="minorHAnsi"/>
        </w:rPr>
      </w:r>
      <w:r>
        <w:rPr>
          <w:rFonts w:asciiTheme="minorHAnsi" w:hAnsiTheme="minorHAnsi"/>
        </w:rPr>
        <w:fldChar w:fldCharType="separate"/>
      </w:r>
      <w:r>
        <w:rPr>
          <w:rFonts w:asciiTheme="minorHAnsi" w:hAnsiTheme="minorHAnsi"/>
          <w:noProof/>
        </w:rPr>
        <w:t>(</w:t>
      </w:r>
      <w:hyperlink w:anchor="_ENREF_22" w:tooltip="Castellani, 2008 #163" w:history="1">
        <w:r w:rsidR="00B46ABF">
          <w:rPr>
            <w:rFonts w:asciiTheme="minorHAnsi" w:hAnsiTheme="minorHAnsi"/>
            <w:noProof/>
          </w:rPr>
          <w:t>Castellani et al. 2008</w:t>
        </w:r>
      </w:hyperlink>
      <w:r>
        <w:rPr>
          <w:rFonts w:asciiTheme="minorHAnsi" w:hAnsiTheme="minorHAnsi"/>
          <w:noProof/>
        </w:rPr>
        <w:t>)</w:t>
      </w:r>
      <w:r>
        <w:rPr>
          <w:rFonts w:asciiTheme="minorHAnsi" w:hAnsiTheme="minorHAnsi"/>
        </w:rPr>
        <w:fldChar w:fldCharType="end"/>
      </w:r>
      <w:r w:rsidRPr="00FE563B">
        <w:rPr>
          <w:rFonts w:asciiTheme="minorHAnsi" w:hAnsiTheme="minorHAnsi"/>
        </w:rPr>
        <w:t xml:space="preserve">. </w:t>
      </w:r>
    </w:p>
    <w:p w14:paraId="6579AFD4" w14:textId="262E9DC3" w:rsidR="003B239A" w:rsidRDefault="003B239A" w:rsidP="003B239A">
      <w:pPr>
        <w:rPr>
          <w:rFonts w:asciiTheme="minorHAnsi" w:hAnsiTheme="minorHAnsi"/>
        </w:rPr>
      </w:pPr>
      <w:r w:rsidRPr="00FE563B">
        <w:rPr>
          <w:rFonts w:asciiTheme="minorHAnsi" w:hAnsiTheme="minorHAnsi"/>
        </w:rPr>
        <w:lastRenderedPageBreak/>
        <w:t xml:space="preserve">Five studies compared the accuracy of panel-based </w:t>
      </w:r>
      <w:r w:rsidR="00FD37D3" w:rsidRPr="00FD37D3">
        <w:rPr>
          <w:rFonts w:asciiTheme="minorHAnsi" w:hAnsiTheme="minorHAnsi"/>
        </w:rPr>
        <w:t>CFTR</w:t>
      </w:r>
      <w:r w:rsidRPr="00FE563B">
        <w:rPr>
          <w:rFonts w:asciiTheme="minorHAnsi" w:hAnsiTheme="minorHAnsi"/>
        </w:rPr>
        <w:t xml:space="preserve"> mutation testing with clinical diagnosis of CF (</w:t>
      </w:r>
      <w:r w:rsidR="004D5C3B">
        <w:rPr>
          <w:rFonts w:asciiTheme="minorHAnsi" w:hAnsiTheme="minorHAnsi"/>
        </w:rPr>
        <w:t xml:space="preserve">see </w:t>
      </w:r>
      <w:r>
        <w:rPr>
          <w:rFonts w:asciiTheme="minorHAnsi" w:hAnsiTheme="minorHAnsi"/>
          <w:highlight w:val="yellow"/>
        </w:rPr>
        <w:fldChar w:fldCharType="begin"/>
      </w:r>
      <w:r>
        <w:rPr>
          <w:rFonts w:asciiTheme="minorHAnsi" w:hAnsiTheme="minorHAnsi"/>
        </w:rPr>
        <w:instrText xml:space="preserve"> REF _Ref412451421 \h </w:instrText>
      </w:r>
      <w:r>
        <w:rPr>
          <w:rFonts w:asciiTheme="minorHAnsi" w:hAnsiTheme="minorHAnsi"/>
          <w:highlight w:val="yellow"/>
        </w:rPr>
      </w:r>
      <w:r>
        <w:rPr>
          <w:rFonts w:asciiTheme="minorHAnsi" w:hAnsiTheme="minorHAnsi"/>
          <w:highlight w:val="yellow"/>
        </w:rPr>
        <w:fldChar w:fldCharType="separate"/>
      </w:r>
      <w:r w:rsidR="00BB0E3E">
        <w:t xml:space="preserve">Table </w:t>
      </w:r>
      <w:r w:rsidR="00BB0E3E">
        <w:rPr>
          <w:noProof/>
        </w:rPr>
        <w:t>90</w:t>
      </w:r>
      <w:r>
        <w:rPr>
          <w:rFonts w:asciiTheme="minorHAnsi" w:hAnsiTheme="minorHAnsi"/>
          <w:highlight w:val="yellow"/>
        </w:rPr>
        <w:fldChar w:fldCharType="end"/>
      </w:r>
      <w:r>
        <w:rPr>
          <w:rFonts w:asciiTheme="minorHAnsi" w:hAnsiTheme="minorHAnsi"/>
        </w:rPr>
        <w:t xml:space="preserve"> </w:t>
      </w:r>
      <w:r w:rsidRPr="00FE563B">
        <w:rPr>
          <w:rFonts w:asciiTheme="minorHAnsi" w:hAnsiTheme="minorHAnsi"/>
        </w:rPr>
        <w:t xml:space="preserve">in </w:t>
      </w:r>
      <w:r>
        <w:rPr>
          <w:rFonts w:asciiTheme="minorHAnsi" w:hAnsiTheme="minorHAnsi"/>
          <w:highlight w:val="yellow"/>
        </w:rPr>
        <w:fldChar w:fldCharType="begin"/>
      </w:r>
      <w:r>
        <w:rPr>
          <w:rFonts w:asciiTheme="minorHAnsi" w:hAnsiTheme="minorHAnsi"/>
        </w:rPr>
        <w:instrText xml:space="preserve"> REF _Ref412211481 \h </w:instrText>
      </w:r>
      <w:r>
        <w:rPr>
          <w:rFonts w:asciiTheme="minorHAnsi" w:hAnsiTheme="minorHAnsi"/>
          <w:highlight w:val="yellow"/>
        </w:rPr>
      </w:r>
      <w:r>
        <w:rPr>
          <w:rFonts w:asciiTheme="minorHAnsi" w:hAnsiTheme="minorHAnsi"/>
          <w:highlight w:val="yellow"/>
        </w:rPr>
        <w:fldChar w:fldCharType="separate"/>
      </w:r>
      <w:r w:rsidR="00BB0E3E" w:rsidRPr="001A4A46">
        <w:t xml:space="preserve">Appendix </w:t>
      </w:r>
      <w:r w:rsidR="00BB0E3E">
        <w:rPr>
          <w:noProof/>
        </w:rPr>
        <w:t>D</w:t>
      </w:r>
      <w:r>
        <w:rPr>
          <w:rFonts w:asciiTheme="minorHAnsi" w:hAnsiTheme="minorHAnsi"/>
          <w:highlight w:val="yellow"/>
        </w:rPr>
        <w:fldChar w:fldCharType="end"/>
      </w:r>
      <w:r w:rsidRPr="00FE563B">
        <w:rPr>
          <w:rFonts w:asciiTheme="minorHAnsi" w:hAnsiTheme="minorHAnsi"/>
        </w:rPr>
        <w:t xml:space="preserve">). The studies used tests that detected between 15 and 93 </w:t>
      </w:r>
      <w:r w:rsidR="00FD37D3" w:rsidRPr="00FD37D3">
        <w:rPr>
          <w:rFonts w:asciiTheme="minorHAnsi" w:hAnsiTheme="minorHAnsi"/>
        </w:rPr>
        <w:t>CFTR</w:t>
      </w:r>
      <w:r w:rsidRPr="00FE563B">
        <w:rPr>
          <w:rFonts w:asciiTheme="minorHAnsi" w:hAnsiTheme="minorHAnsi"/>
        </w:rPr>
        <w:t xml:space="preserve"> mutations. The median sensitivity of panel-based tests compared with clinical diagnosis was 80% (range 52</w:t>
      </w:r>
      <w:r w:rsidR="00E61CED">
        <w:rPr>
          <w:rFonts w:asciiTheme="minorHAnsi" w:hAnsiTheme="minorHAnsi"/>
        </w:rPr>
        <w:t>–</w:t>
      </w:r>
      <w:r w:rsidRPr="00FE563B">
        <w:rPr>
          <w:rFonts w:asciiTheme="minorHAnsi" w:hAnsiTheme="minorHAnsi"/>
        </w:rPr>
        <w:t>91;</w:t>
      </w:r>
      <w:r w:rsidR="00E61CED">
        <w:rPr>
          <w:rFonts w:asciiTheme="minorHAnsi" w:hAnsiTheme="minorHAnsi"/>
        </w:rPr>
        <w:t xml:space="preserve"> see</w:t>
      </w:r>
      <w:r w:rsidRPr="00FE563B">
        <w:rPr>
          <w:rFonts w:asciiTheme="minorHAnsi" w:hAnsiTheme="minorHAnsi"/>
        </w:rPr>
        <w:t xml:space="preserve"> </w:t>
      </w:r>
      <w:r w:rsidR="00A660C4">
        <w:rPr>
          <w:rFonts w:asciiTheme="minorHAnsi" w:hAnsiTheme="minorHAnsi"/>
          <w:highlight w:val="yellow"/>
        </w:rPr>
        <w:fldChar w:fldCharType="begin"/>
      </w:r>
      <w:r w:rsidR="00A660C4">
        <w:rPr>
          <w:rFonts w:asciiTheme="minorHAnsi" w:hAnsiTheme="minorHAnsi"/>
        </w:rPr>
        <w:instrText xml:space="preserve"> REF _Ref413225393 \h </w:instrText>
      </w:r>
      <w:r w:rsidR="00A660C4">
        <w:rPr>
          <w:rFonts w:asciiTheme="minorHAnsi" w:hAnsiTheme="minorHAnsi"/>
          <w:highlight w:val="yellow"/>
        </w:rPr>
      </w:r>
      <w:r w:rsidR="00A660C4">
        <w:rPr>
          <w:rFonts w:asciiTheme="minorHAnsi" w:hAnsiTheme="minorHAnsi"/>
          <w:highlight w:val="yellow"/>
        </w:rPr>
        <w:fldChar w:fldCharType="separate"/>
      </w:r>
      <w:r w:rsidR="00BB0E3E">
        <w:t xml:space="preserve">Table </w:t>
      </w:r>
      <w:r w:rsidR="00BB0E3E">
        <w:rPr>
          <w:noProof/>
        </w:rPr>
        <w:t>42</w:t>
      </w:r>
      <w:r w:rsidR="00A660C4">
        <w:rPr>
          <w:rFonts w:asciiTheme="minorHAnsi" w:hAnsiTheme="minorHAnsi"/>
          <w:highlight w:val="yellow"/>
        </w:rPr>
        <w:fldChar w:fldCharType="end"/>
      </w:r>
      <w:r w:rsidR="00A660C4">
        <w:rPr>
          <w:rFonts w:asciiTheme="minorHAnsi" w:hAnsiTheme="minorHAnsi"/>
        </w:rPr>
        <w:t>)</w:t>
      </w:r>
      <w:r w:rsidRPr="00FE563B">
        <w:rPr>
          <w:rFonts w:asciiTheme="minorHAnsi" w:hAnsiTheme="minorHAnsi"/>
        </w:rPr>
        <w:t>. This was lower than for DNA sequencing compared with clinical diagnosis (92%</w:t>
      </w:r>
      <w:r w:rsidR="009D3069">
        <w:rPr>
          <w:rFonts w:asciiTheme="minorHAnsi" w:hAnsiTheme="minorHAnsi"/>
        </w:rPr>
        <w:t>;</w:t>
      </w:r>
      <w:r w:rsidRPr="00FE563B">
        <w:rPr>
          <w:rFonts w:asciiTheme="minorHAnsi" w:hAnsiTheme="minorHAnsi"/>
        </w:rPr>
        <w:t xml:space="preserve"> range 90</w:t>
      </w:r>
      <w:r w:rsidR="00E61CED">
        <w:rPr>
          <w:rFonts w:asciiTheme="minorHAnsi" w:hAnsiTheme="minorHAnsi"/>
        </w:rPr>
        <w:t>–</w:t>
      </w:r>
      <w:r w:rsidRPr="00FE563B">
        <w:rPr>
          <w:rFonts w:asciiTheme="minorHAnsi" w:hAnsiTheme="minorHAnsi"/>
        </w:rPr>
        <w:t xml:space="preserve">100) and is likely due to the reduced number of </w:t>
      </w:r>
      <w:r w:rsidR="00FD37D3" w:rsidRPr="00FD37D3">
        <w:rPr>
          <w:rFonts w:asciiTheme="minorHAnsi" w:hAnsiTheme="minorHAnsi"/>
        </w:rPr>
        <w:t>CFTR</w:t>
      </w:r>
      <w:r w:rsidRPr="00FE563B">
        <w:rPr>
          <w:rFonts w:asciiTheme="minorHAnsi" w:hAnsiTheme="minorHAnsi"/>
        </w:rPr>
        <w:t xml:space="preserve"> mutations that could be detected by the panel-based assays. Thus, 20% of all clinically diagnosed CF patients had</w:t>
      </w:r>
      <w:r w:rsidR="00AC19C7">
        <w:rPr>
          <w:rFonts w:asciiTheme="minorHAnsi" w:hAnsiTheme="minorHAnsi"/>
        </w:rPr>
        <w:t xml:space="preserve"> at least one</w:t>
      </w:r>
      <w:r w:rsidRPr="00FE563B">
        <w:rPr>
          <w:rFonts w:asciiTheme="minorHAnsi" w:hAnsiTheme="minorHAnsi"/>
        </w:rPr>
        <w:t xml:space="preserve"> </w:t>
      </w:r>
      <w:r w:rsidR="00FD37D3" w:rsidRPr="00FD37D3">
        <w:rPr>
          <w:rFonts w:asciiTheme="minorHAnsi" w:hAnsiTheme="minorHAnsi"/>
        </w:rPr>
        <w:t>CFTR</w:t>
      </w:r>
      <w:r w:rsidRPr="00FE563B">
        <w:rPr>
          <w:rFonts w:asciiTheme="minorHAnsi" w:hAnsiTheme="minorHAnsi"/>
        </w:rPr>
        <w:t xml:space="preserve"> mutation that could not be detected using panel-based tests.</w:t>
      </w:r>
      <w:r w:rsidR="00DF5916">
        <w:rPr>
          <w:rFonts w:asciiTheme="minorHAnsi" w:hAnsiTheme="minorHAnsi"/>
        </w:rPr>
        <w:t xml:space="preserve"> </w:t>
      </w:r>
    </w:p>
    <w:p w14:paraId="085B3E4C" w14:textId="1AD286BB" w:rsidR="00D876C9" w:rsidRPr="00FE563B" w:rsidRDefault="00D876C9" w:rsidP="003B239A">
      <w:pPr>
        <w:rPr>
          <w:rFonts w:asciiTheme="minorHAnsi" w:hAnsiTheme="minorHAnsi"/>
        </w:rPr>
      </w:pPr>
      <w:r>
        <w:rPr>
          <w:rFonts w:asciiTheme="minorHAnsi" w:hAnsiTheme="minorHAnsi"/>
        </w:rPr>
        <w:t>In patients with CF symptoms the accuracy of the test would have little impact on health outcomes, given that it is clinical diagnosis that influences treatment decisions. However, those with the specific G551D mutation</w:t>
      </w:r>
      <w:r w:rsidR="0019403F">
        <w:rPr>
          <w:rFonts w:asciiTheme="minorHAnsi" w:hAnsiTheme="minorHAnsi"/>
        </w:rPr>
        <w:t xml:space="preserve"> (which is common and would be tested for on a panel-based test)</w:t>
      </w:r>
      <w:r>
        <w:rPr>
          <w:rFonts w:asciiTheme="minorHAnsi" w:hAnsiTheme="minorHAnsi"/>
        </w:rPr>
        <w:t xml:space="preserve"> may be eligible for the drug </w:t>
      </w:r>
      <w:r w:rsidR="00E61CED">
        <w:rPr>
          <w:rFonts w:asciiTheme="minorHAnsi" w:hAnsiTheme="minorHAnsi"/>
        </w:rPr>
        <w:t>i</w:t>
      </w:r>
      <w:r>
        <w:rPr>
          <w:rFonts w:asciiTheme="minorHAnsi" w:hAnsiTheme="minorHAnsi"/>
        </w:rPr>
        <w:t>vacaftor, and other mutation</w:t>
      </w:r>
      <w:r w:rsidR="00E61CED">
        <w:rPr>
          <w:rFonts w:asciiTheme="minorHAnsi" w:hAnsiTheme="minorHAnsi"/>
        </w:rPr>
        <w:t>-</w:t>
      </w:r>
      <w:r>
        <w:rPr>
          <w:rFonts w:asciiTheme="minorHAnsi" w:hAnsiTheme="minorHAnsi"/>
        </w:rPr>
        <w:t>specific drugs might become available in the future. Other groups could benefit from mutation testing as it would allow family planning options for themselves, or allow cascade screening for family members to detect carriers, if they are planning on having children.</w:t>
      </w:r>
    </w:p>
    <w:p w14:paraId="2F719AC4" w14:textId="721FFE34" w:rsidR="003B239A" w:rsidRPr="00FE563B" w:rsidRDefault="00FD37D3" w:rsidP="00AE4152">
      <w:pPr>
        <w:pStyle w:val="Heading4"/>
      </w:pPr>
      <w:r w:rsidRPr="00FD37D3">
        <w:t>CFTR</w:t>
      </w:r>
      <w:r w:rsidR="003B239A" w:rsidRPr="00FE563B">
        <w:t xml:space="preserve"> mutation testing in patients diagnosed with CBAVD</w:t>
      </w:r>
    </w:p>
    <w:p w14:paraId="344B0AAD" w14:textId="712FF8BE" w:rsidR="003B239A" w:rsidRPr="00FE563B" w:rsidRDefault="003B239A" w:rsidP="003B239A">
      <w:pPr>
        <w:rPr>
          <w:rFonts w:asciiTheme="minorHAnsi" w:hAnsiTheme="minorHAnsi"/>
        </w:rPr>
      </w:pPr>
      <w:r w:rsidRPr="00FE563B">
        <w:rPr>
          <w:rFonts w:asciiTheme="minorHAnsi" w:hAnsiTheme="minorHAnsi"/>
        </w:rPr>
        <w:t xml:space="preserve">A study by Giuliani et al. (2010) compared the accuracy of a panel-based </w:t>
      </w:r>
      <w:r w:rsidR="00FD37D3" w:rsidRPr="00FD37D3">
        <w:rPr>
          <w:rFonts w:asciiTheme="minorHAnsi" w:hAnsiTheme="minorHAnsi"/>
        </w:rPr>
        <w:t>CFTR</w:t>
      </w:r>
      <w:r w:rsidRPr="00FE563B">
        <w:rPr>
          <w:rFonts w:asciiTheme="minorHAnsi" w:hAnsiTheme="minorHAnsi"/>
        </w:rPr>
        <w:t xml:space="preserve"> mutation test using a reverse dot-blot hybridisation detection system </w:t>
      </w:r>
      <w:r w:rsidR="00E61CED">
        <w:rPr>
          <w:rFonts w:asciiTheme="minorHAnsi" w:hAnsiTheme="minorHAnsi"/>
        </w:rPr>
        <w:t>against</w:t>
      </w:r>
      <w:r w:rsidR="00E61CED" w:rsidRPr="00FE563B">
        <w:rPr>
          <w:rFonts w:asciiTheme="minorHAnsi" w:hAnsiTheme="minorHAnsi"/>
        </w:rPr>
        <w:t xml:space="preserve"> </w:t>
      </w:r>
      <w:r w:rsidR="0010693A">
        <w:rPr>
          <w:rFonts w:asciiTheme="minorHAnsi" w:hAnsiTheme="minorHAnsi"/>
        </w:rPr>
        <w:t xml:space="preserve">a </w:t>
      </w:r>
      <w:r w:rsidRPr="00FE563B">
        <w:rPr>
          <w:rFonts w:asciiTheme="minorHAnsi" w:hAnsiTheme="minorHAnsi"/>
        </w:rPr>
        <w:t xml:space="preserve">DHPLC exon-scanning </w:t>
      </w:r>
      <w:r w:rsidR="00FD37D3" w:rsidRPr="00FD37D3">
        <w:rPr>
          <w:rFonts w:asciiTheme="minorHAnsi" w:hAnsiTheme="minorHAnsi"/>
        </w:rPr>
        <w:t>CFTR</w:t>
      </w:r>
      <w:r w:rsidRPr="00FE563B">
        <w:rPr>
          <w:rFonts w:asciiTheme="minorHAnsi" w:hAnsiTheme="minorHAnsi"/>
        </w:rPr>
        <w:t xml:space="preserve"> mutation test plus DNA sequencing confirmation and MLPA for detection of large deletion/insertion mutations. The </w:t>
      </w:r>
      <w:r w:rsidR="00A21FD9" w:rsidRPr="00A21FD9">
        <w:rPr>
          <w:rFonts w:asciiTheme="minorHAnsi" w:hAnsiTheme="minorHAnsi"/>
          <w:i/>
        </w:rPr>
        <w:t>CFTR</w:t>
      </w:r>
      <w:r w:rsidRPr="00FE563B">
        <w:rPr>
          <w:rFonts w:asciiTheme="minorHAnsi" w:hAnsiTheme="minorHAnsi"/>
        </w:rPr>
        <w:t xml:space="preserve"> gene was sequenced for those exons where DHPLC detected a mutation but not in those patients where no mutations were detected; therefore, not all patients were tested with the evidentiary standard. The </w:t>
      </w:r>
      <w:r w:rsidR="00FD37D3" w:rsidRPr="00FD37D3">
        <w:rPr>
          <w:rFonts w:asciiTheme="minorHAnsi" w:hAnsiTheme="minorHAnsi"/>
        </w:rPr>
        <w:t>CFTR</w:t>
      </w:r>
      <w:r w:rsidRPr="00FE563B">
        <w:rPr>
          <w:rFonts w:asciiTheme="minorHAnsi" w:hAnsiTheme="minorHAnsi"/>
        </w:rPr>
        <w:t xml:space="preserve"> mutation test used </w:t>
      </w:r>
      <w:r w:rsidR="00E61CED">
        <w:rPr>
          <w:rFonts w:asciiTheme="minorHAnsi" w:hAnsiTheme="minorHAnsi"/>
        </w:rPr>
        <w:t>two</w:t>
      </w:r>
      <w:r w:rsidR="00E61CED" w:rsidRPr="00FE563B">
        <w:rPr>
          <w:rFonts w:asciiTheme="minorHAnsi" w:hAnsiTheme="minorHAnsi"/>
        </w:rPr>
        <w:t xml:space="preserve"> </w:t>
      </w:r>
      <w:r w:rsidRPr="00FE563B">
        <w:rPr>
          <w:rFonts w:asciiTheme="minorHAnsi" w:hAnsiTheme="minorHAnsi"/>
        </w:rPr>
        <w:t xml:space="preserve">common mutation panels that detected 36 </w:t>
      </w:r>
      <w:r w:rsidR="00FD37D3" w:rsidRPr="00FD37D3">
        <w:rPr>
          <w:rFonts w:asciiTheme="minorHAnsi" w:hAnsiTheme="minorHAnsi"/>
        </w:rPr>
        <w:t>CFTR</w:t>
      </w:r>
      <w:r w:rsidRPr="00FE563B">
        <w:rPr>
          <w:rFonts w:asciiTheme="minorHAnsi" w:hAnsiTheme="minorHAnsi"/>
        </w:rPr>
        <w:t xml:space="preserve"> mutations plus IVS8-T5 polymorphism</w:t>
      </w:r>
      <w:r w:rsidR="00E61CED">
        <w:rPr>
          <w:rFonts w:asciiTheme="minorHAnsi" w:hAnsiTheme="minorHAnsi"/>
        </w:rPr>
        <w:t>,</w:t>
      </w:r>
      <w:r w:rsidRPr="00FE563B">
        <w:rPr>
          <w:rFonts w:asciiTheme="minorHAnsi" w:hAnsiTheme="minorHAnsi"/>
        </w:rPr>
        <w:t xml:space="preserve"> and a third panel that detected a further 21 </w:t>
      </w:r>
      <w:r w:rsidR="00FD37D3" w:rsidRPr="00FD37D3">
        <w:rPr>
          <w:rFonts w:asciiTheme="minorHAnsi" w:hAnsiTheme="minorHAnsi"/>
        </w:rPr>
        <w:t>CFTR</w:t>
      </w:r>
      <w:r w:rsidRPr="00FE563B">
        <w:rPr>
          <w:rFonts w:asciiTheme="minorHAnsi" w:hAnsiTheme="minorHAnsi"/>
        </w:rPr>
        <w:t xml:space="preserve"> mutations commonly found in Italy; the test was able to detect all of the mutations included in the panels that were present among the 23 CBAVD patients (sensitivity = 100% for detectable mutations;</w:t>
      </w:r>
      <w:r w:rsidR="00E61CED">
        <w:rPr>
          <w:rFonts w:asciiTheme="minorHAnsi" w:hAnsiTheme="minorHAnsi"/>
        </w:rPr>
        <w:t xml:space="preserve"> see</w:t>
      </w:r>
      <w:r w:rsidRPr="00FE563B">
        <w:rPr>
          <w:rFonts w:asciiTheme="minorHAnsi" w:hAnsiTheme="minorHAnsi"/>
        </w:rPr>
        <w:t xml:space="preserve"> </w:t>
      </w:r>
      <w:r w:rsidR="00A660C4">
        <w:rPr>
          <w:rFonts w:asciiTheme="minorHAnsi" w:hAnsiTheme="minorHAnsi"/>
          <w:highlight w:val="yellow"/>
        </w:rPr>
        <w:fldChar w:fldCharType="begin"/>
      </w:r>
      <w:r w:rsidR="00A660C4">
        <w:rPr>
          <w:rFonts w:asciiTheme="minorHAnsi" w:hAnsiTheme="minorHAnsi"/>
        </w:rPr>
        <w:instrText xml:space="preserve"> REF _Ref413225393 \h </w:instrText>
      </w:r>
      <w:r w:rsidR="00A660C4">
        <w:rPr>
          <w:rFonts w:asciiTheme="minorHAnsi" w:hAnsiTheme="minorHAnsi"/>
          <w:highlight w:val="yellow"/>
        </w:rPr>
      </w:r>
      <w:r w:rsidR="00A660C4">
        <w:rPr>
          <w:rFonts w:asciiTheme="minorHAnsi" w:hAnsiTheme="minorHAnsi"/>
          <w:highlight w:val="yellow"/>
        </w:rPr>
        <w:fldChar w:fldCharType="separate"/>
      </w:r>
      <w:r w:rsidR="00BB0E3E">
        <w:t xml:space="preserve">Table </w:t>
      </w:r>
      <w:r w:rsidR="00BB0E3E">
        <w:rPr>
          <w:noProof/>
        </w:rPr>
        <w:t>42</w:t>
      </w:r>
      <w:r w:rsidR="00A660C4">
        <w:rPr>
          <w:rFonts w:asciiTheme="minorHAnsi" w:hAnsiTheme="minorHAnsi"/>
          <w:highlight w:val="yellow"/>
        </w:rPr>
        <w:fldChar w:fldCharType="end"/>
      </w:r>
      <w:r w:rsidRPr="00FE563B">
        <w:rPr>
          <w:rFonts w:asciiTheme="minorHAnsi" w:hAnsiTheme="minorHAnsi"/>
        </w:rPr>
        <w:t xml:space="preserve">). However, there were two mutations detected by DHPLC plus DNA sequencing and two large deletions detected by </w:t>
      </w:r>
      <w:r w:rsidRPr="009D5AC1">
        <w:rPr>
          <w:rFonts w:asciiTheme="minorHAnsi" w:hAnsiTheme="minorHAnsi"/>
        </w:rPr>
        <w:t>MLPA that could not be detected by the reverse dot-blot assay (</w:t>
      </w:r>
      <w:r w:rsidR="00E61CED">
        <w:rPr>
          <w:rFonts w:asciiTheme="minorHAnsi" w:hAnsiTheme="minorHAnsi"/>
        </w:rPr>
        <w:t xml:space="preserve">see </w:t>
      </w:r>
      <w:r w:rsidRPr="009D5AC1">
        <w:rPr>
          <w:rFonts w:asciiTheme="minorHAnsi" w:hAnsiTheme="minorHAnsi"/>
        </w:rPr>
        <w:fldChar w:fldCharType="begin"/>
      </w:r>
      <w:r w:rsidRPr="009D5AC1">
        <w:rPr>
          <w:rFonts w:asciiTheme="minorHAnsi" w:hAnsiTheme="minorHAnsi"/>
        </w:rPr>
        <w:instrText xml:space="preserve"> REF _Ref412451511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t xml:space="preserve">Table </w:t>
      </w:r>
      <w:r w:rsidR="00BB0E3E">
        <w:rPr>
          <w:noProof/>
        </w:rPr>
        <w:t>91</w:t>
      </w:r>
      <w:r w:rsidRPr="009D5AC1">
        <w:rPr>
          <w:rFonts w:asciiTheme="minorHAnsi" w:hAnsiTheme="minorHAnsi"/>
        </w:rPr>
        <w:fldChar w:fldCharType="end"/>
      </w:r>
      <w:r w:rsidRPr="009D5AC1">
        <w:rPr>
          <w:rFonts w:asciiTheme="minorHAnsi" w:hAnsiTheme="minorHAnsi"/>
        </w:rPr>
        <w:t xml:space="preserve"> in </w:t>
      </w:r>
      <w:r w:rsidRPr="009D5AC1">
        <w:rPr>
          <w:rFonts w:asciiTheme="minorHAnsi" w:hAnsiTheme="minorHAnsi"/>
        </w:rPr>
        <w:fldChar w:fldCharType="begin"/>
      </w:r>
      <w:r w:rsidRPr="009D5AC1">
        <w:rPr>
          <w:rFonts w:asciiTheme="minorHAnsi" w:hAnsiTheme="minorHAnsi"/>
        </w:rPr>
        <w:instrText xml:space="preserve"> REF _Ref412211481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rsidRPr="001A4A46">
        <w:t xml:space="preserve">Appendix </w:t>
      </w:r>
      <w:r w:rsidR="00BB0E3E">
        <w:t>D</w:t>
      </w:r>
      <w:r w:rsidRPr="009D5AC1">
        <w:rPr>
          <w:rFonts w:asciiTheme="minorHAnsi" w:hAnsiTheme="minorHAnsi"/>
        </w:rPr>
        <w:fldChar w:fldCharType="end"/>
      </w:r>
      <w:r w:rsidRPr="009D5AC1">
        <w:rPr>
          <w:rFonts w:asciiTheme="minorHAnsi" w:hAnsiTheme="minorHAnsi"/>
        </w:rPr>
        <w:t>). Thus</w:t>
      </w:r>
      <w:r w:rsidRPr="00FE563B">
        <w:rPr>
          <w:rFonts w:asciiTheme="minorHAnsi" w:hAnsiTheme="minorHAnsi"/>
        </w:rPr>
        <w:t xml:space="preserve">, the sensitivity of the reverse dot-blot assay compared </w:t>
      </w:r>
      <w:r w:rsidR="00E61CED">
        <w:rPr>
          <w:rFonts w:asciiTheme="minorHAnsi" w:hAnsiTheme="minorHAnsi"/>
        </w:rPr>
        <w:t>with</w:t>
      </w:r>
      <w:r w:rsidR="00E61CED" w:rsidRPr="00FE563B">
        <w:rPr>
          <w:rFonts w:asciiTheme="minorHAnsi" w:hAnsiTheme="minorHAnsi"/>
        </w:rPr>
        <w:t xml:space="preserve"> </w:t>
      </w:r>
      <w:r w:rsidRPr="00FE563B">
        <w:rPr>
          <w:rFonts w:asciiTheme="minorHAnsi" w:hAnsiTheme="minorHAnsi"/>
        </w:rPr>
        <w:t>DNA sequencing was 94% (95%CI 81, 99)</w:t>
      </w:r>
      <w:r w:rsidR="00E61CED">
        <w:rPr>
          <w:rFonts w:asciiTheme="minorHAnsi" w:hAnsiTheme="minorHAnsi"/>
        </w:rPr>
        <w:t>,</w:t>
      </w:r>
      <w:r w:rsidRPr="00FE563B">
        <w:rPr>
          <w:rFonts w:asciiTheme="minorHAnsi" w:hAnsiTheme="minorHAnsi"/>
        </w:rPr>
        <w:t xml:space="preserve"> and 89% (95%CI 75, 97) when compared with the evidentiary standard (DNA sequencing plus MPLA). The specificity of the assay compared with DNA sequencing with or without MPLC was 100% as there were no false positive results (</w:t>
      </w:r>
      <w:r w:rsidR="00E61CED">
        <w:rPr>
          <w:rFonts w:asciiTheme="minorHAnsi" w:hAnsiTheme="minorHAnsi"/>
        </w:rPr>
        <w:t xml:space="preserve">see </w:t>
      </w:r>
      <w:r w:rsidRPr="009D5AC1">
        <w:rPr>
          <w:rFonts w:asciiTheme="minorHAnsi" w:hAnsiTheme="minorHAnsi"/>
        </w:rPr>
        <w:fldChar w:fldCharType="begin"/>
      </w:r>
      <w:r w:rsidRPr="009D5AC1">
        <w:rPr>
          <w:rFonts w:asciiTheme="minorHAnsi" w:hAnsiTheme="minorHAnsi"/>
        </w:rPr>
        <w:instrText xml:space="preserve"> REF _Ref412451511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t xml:space="preserve">Table </w:t>
      </w:r>
      <w:r w:rsidR="00BB0E3E">
        <w:rPr>
          <w:noProof/>
        </w:rPr>
        <w:t>91</w:t>
      </w:r>
      <w:r w:rsidRPr="009D5AC1">
        <w:rPr>
          <w:rFonts w:asciiTheme="minorHAnsi" w:hAnsiTheme="minorHAnsi"/>
        </w:rPr>
        <w:fldChar w:fldCharType="end"/>
      </w:r>
      <w:r w:rsidRPr="009D5AC1">
        <w:rPr>
          <w:rFonts w:asciiTheme="minorHAnsi" w:hAnsiTheme="minorHAnsi"/>
        </w:rPr>
        <w:t xml:space="preserve"> in </w:t>
      </w:r>
      <w:r w:rsidRPr="009D5AC1">
        <w:rPr>
          <w:rFonts w:asciiTheme="minorHAnsi" w:hAnsiTheme="minorHAnsi"/>
        </w:rPr>
        <w:fldChar w:fldCharType="begin"/>
      </w:r>
      <w:r w:rsidRPr="009D5AC1">
        <w:rPr>
          <w:rFonts w:asciiTheme="minorHAnsi" w:hAnsiTheme="minorHAnsi"/>
        </w:rPr>
        <w:instrText xml:space="preserve"> REF _Ref412211481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rsidRPr="001A4A46">
        <w:t xml:space="preserve">Appendix </w:t>
      </w:r>
      <w:r w:rsidR="00BB0E3E">
        <w:t>D</w:t>
      </w:r>
      <w:r w:rsidRPr="009D5AC1">
        <w:rPr>
          <w:rFonts w:asciiTheme="minorHAnsi" w:hAnsiTheme="minorHAnsi"/>
        </w:rPr>
        <w:fldChar w:fldCharType="end"/>
      </w:r>
      <w:r w:rsidRPr="009D5AC1">
        <w:rPr>
          <w:rFonts w:asciiTheme="minorHAnsi" w:hAnsiTheme="minorHAnsi"/>
        </w:rPr>
        <w:t>).</w:t>
      </w:r>
    </w:p>
    <w:p w14:paraId="3DE54E8A" w14:textId="18410116" w:rsidR="003B239A" w:rsidRPr="00FE563B" w:rsidRDefault="003B239A" w:rsidP="003B239A">
      <w:pPr>
        <w:rPr>
          <w:rFonts w:asciiTheme="minorHAnsi" w:hAnsiTheme="minorHAnsi"/>
        </w:rPr>
      </w:pPr>
      <w:r w:rsidRPr="00FE563B">
        <w:rPr>
          <w:rFonts w:asciiTheme="minorHAnsi" w:hAnsiTheme="minorHAnsi"/>
        </w:rPr>
        <w:t xml:space="preserve">Five studies compared the accuracy of an exon-scanning </w:t>
      </w:r>
      <w:r w:rsidR="00FD37D3" w:rsidRPr="00FD37D3">
        <w:rPr>
          <w:rFonts w:asciiTheme="minorHAnsi" w:hAnsiTheme="minorHAnsi"/>
        </w:rPr>
        <w:t>CFTR</w:t>
      </w:r>
      <w:r w:rsidRPr="00FE563B">
        <w:rPr>
          <w:rFonts w:asciiTheme="minorHAnsi" w:hAnsiTheme="minorHAnsi"/>
        </w:rPr>
        <w:t xml:space="preserve"> mutation test plus DNA sequencing confirmation </w:t>
      </w:r>
      <w:r w:rsidR="0010693A">
        <w:rPr>
          <w:rFonts w:asciiTheme="minorHAnsi" w:hAnsiTheme="minorHAnsi"/>
        </w:rPr>
        <w:t>against</w:t>
      </w:r>
      <w:r w:rsidR="0010693A" w:rsidRPr="00FE563B">
        <w:rPr>
          <w:rFonts w:asciiTheme="minorHAnsi" w:hAnsiTheme="minorHAnsi"/>
        </w:rPr>
        <w:t xml:space="preserve"> </w:t>
      </w:r>
      <w:r w:rsidRPr="00FE563B">
        <w:rPr>
          <w:rFonts w:asciiTheme="minorHAnsi" w:hAnsiTheme="minorHAnsi"/>
        </w:rPr>
        <w:t>clinical diagnosis of CBAVD (</w:t>
      </w:r>
      <w:r w:rsidR="0010693A">
        <w:rPr>
          <w:rFonts w:asciiTheme="minorHAnsi" w:hAnsiTheme="minorHAnsi"/>
        </w:rPr>
        <w:t xml:space="preserve">see </w:t>
      </w:r>
      <w:r w:rsidRPr="009D5AC1">
        <w:rPr>
          <w:rFonts w:asciiTheme="minorHAnsi" w:hAnsiTheme="minorHAnsi"/>
        </w:rPr>
        <w:fldChar w:fldCharType="begin"/>
      </w:r>
      <w:r w:rsidRPr="009D5AC1">
        <w:rPr>
          <w:rFonts w:asciiTheme="minorHAnsi" w:hAnsiTheme="minorHAnsi"/>
        </w:rPr>
        <w:instrText xml:space="preserve"> REF _Ref412451543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t xml:space="preserve">Table </w:t>
      </w:r>
      <w:r w:rsidR="00BB0E3E">
        <w:rPr>
          <w:noProof/>
        </w:rPr>
        <w:t>92</w:t>
      </w:r>
      <w:r w:rsidRPr="009D5AC1">
        <w:rPr>
          <w:rFonts w:asciiTheme="minorHAnsi" w:hAnsiTheme="minorHAnsi"/>
        </w:rPr>
        <w:fldChar w:fldCharType="end"/>
      </w:r>
      <w:r w:rsidRPr="009D5AC1">
        <w:rPr>
          <w:rFonts w:asciiTheme="minorHAnsi" w:hAnsiTheme="minorHAnsi"/>
        </w:rPr>
        <w:t xml:space="preserve"> in </w:t>
      </w:r>
      <w:r w:rsidRPr="009D5AC1">
        <w:rPr>
          <w:rFonts w:asciiTheme="minorHAnsi" w:hAnsiTheme="minorHAnsi"/>
        </w:rPr>
        <w:fldChar w:fldCharType="begin"/>
      </w:r>
      <w:r w:rsidRPr="009D5AC1">
        <w:rPr>
          <w:rFonts w:asciiTheme="minorHAnsi" w:hAnsiTheme="minorHAnsi"/>
        </w:rPr>
        <w:instrText xml:space="preserve"> REF _Ref412211481 \h </w:instrText>
      </w:r>
      <w:r>
        <w:rPr>
          <w:rFonts w:asciiTheme="minorHAnsi" w:hAnsiTheme="minorHAnsi"/>
        </w:rPr>
        <w:instrText xml:space="preserve"> \* MERGEFORMAT </w:instrText>
      </w:r>
      <w:r w:rsidRPr="009D5AC1">
        <w:rPr>
          <w:rFonts w:asciiTheme="minorHAnsi" w:hAnsiTheme="minorHAnsi"/>
        </w:rPr>
      </w:r>
      <w:r w:rsidRPr="009D5AC1">
        <w:rPr>
          <w:rFonts w:asciiTheme="minorHAnsi" w:hAnsiTheme="minorHAnsi"/>
        </w:rPr>
        <w:fldChar w:fldCharType="separate"/>
      </w:r>
      <w:r w:rsidR="00BB0E3E" w:rsidRPr="001A4A46">
        <w:t xml:space="preserve">Appendix </w:t>
      </w:r>
      <w:r w:rsidR="00BB0E3E">
        <w:t>D</w:t>
      </w:r>
      <w:r w:rsidRPr="009D5AC1">
        <w:rPr>
          <w:rFonts w:asciiTheme="minorHAnsi" w:hAnsiTheme="minorHAnsi"/>
        </w:rPr>
        <w:fldChar w:fldCharType="end"/>
      </w:r>
      <w:r w:rsidRPr="00FE563B">
        <w:rPr>
          <w:rFonts w:asciiTheme="minorHAnsi" w:hAnsiTheme="minorHAnsi"/>
        </w:rPr>
        <w:t xml:space="preserve">). The </w:t>
      </w:r>
      <w:r w:rsidR="00A21FD9" w:rsidRPr="00A21FD9">
        <w:rPr>
          <w:rFonts w:asciiTheme="minorHAnsi" w:hAnsiTheme="minorHAnsi"/>
          <w:i/>
        </w:rPr>
        <w:t>CFTR</w:t>
      </w:r>
      <w:r w:rsidRPr="00FE563B">
        <w:rPr>
          <w:rFonts w:asciiTheme="minorHAnsi" w:hAnsiTheme="minorHAnsi"/>
        </w:rPr>
        <w:t xml:space="preserve"> genes in those patients where a mutation was not detected were not sequenced</w:t>
      </w:r>
      <w:r w:rsidR="0010693A">
        <w:rPr>
          <w:rFonts w:asciiTheme="minorHAnsi" w:hAnsiTheme="minorHAnsi"/>
        </w:rPr>
        <w:t>,</w:t>
      </w:r>
      <w:r w:rsidRPr="00FE563B">
        <w:rPr>
          <w:rFonts w:asciiTheme="minorHAnsi" w:hAnsiTheme="minorHAnsi"/>
        </w:rPr>
        <w:t xml:space="preserve"> as DNA sequencing was only carried </w:t>
      </w:r>
      <w:r w:rsidR="00D2153A">
        <w:rPr>
          <w:rFonts w:asciiTheme="minorHAnsi" w:hAnsiTheme="minorHAnsi"/>
        </w:rPr>
        <w:t>out to confirm the presence of at least one</w:t>
      </w:r>
      <w:r w:rsidRPr="00FE563B">
        <w:rPr>
          <w:rFonts w:asciiTheme="minorHAnsi" w:hAnsiTheme="minorHAnsi"/>
        </w:rPr>
        <w:t xml:space="preserve"> mutation. Four studies compared panel-based </w:t>
      </w:r>
      <w:r w:rsidR="00FD37D3" w:rsidRPr="00FD37D3">
        <w:rPr>
          <w:rFonts w:asciiTheme="minorHAnsi" w:hAnsiTheme="minorHAnsi"/>
        </w:rPr>
        <w:t>CFTR</w:t>
      </w:r>
      <w:r w:rsidRPr="00FE563B">
        <w:rPr>
          <w:rFonts w:asciiTheme="minorHAnsi" w:hAnsiTheme="minorHAnsi"/>
        </w:rPr>
        <w:t xml:space="preserve"> mutation tests designed to detect between 14 and 100 mutations with clinical diagnosis of CBAVD (</w:t>
      </w:r>
      <w:r w:rsidR="0010693A">
        <w:rPr>
          <w:rFonts w:asciiTheme="minorHAnsi" w:hAnsiTheme="minorHAnsi"/>
        </w:rPr>
        <w:t xml:space="preserve">see </w:t>
      </w:r>
      <w:r w:rsidRPr="003D6A82">
        <w:rPr>
          <w:rFonts w:asciiTheme="minorHAnsi" w:hAnsiTheme="minorHAnsi"/>
        </w:rPr>
        <w:fldChar w:fldCharType="begin"/>
      </w:r>
      <w:r w:rsidRPr="003D6A82">
        <w:rPr>
          <w:rFonts w:asciiTheme="minorHAnsi" w:hAnsiTheme="minorHAnsi"/>
        </w:rPr>
        <w:instrText xml:space="preserve"> REF _Ref412451949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t xml:space="preserve">Table </w:t>
      </w:r>
      <w:r w:rsidR="00BB0E3E">
        <w:rPr>
          <w:noProof/>
        </w:rPr>
        <w:t>93</w:t>
      </w:r>
      <w:r w:rsidRPr="003D6A82">
        <w:rPr>
          <w:rFonts w:asciiTheme="minorHAnsi" w:hAnsiTheme="minorHAnsi"/>
        </w:rPr>
        <w:fldChar w:fldCharType="end"/>
      </w:r>
      <w:r w:rsidRPr="003D6A82">
        <w:rPr>
          <w:rFonts w:asciiTheme="minorHAnsi" w:hAnsiTheme="minorHAnsi"/>
        </w:rPr>
        <w:t xml:space="preserve"> in </w:t>
      </w:r>
      <w:r w:rsidRPr="003D6A82">
        <w:rPr>
          <w:rFonts w:asciiTheme="minorHAnsi" w:hAnsiTheme="minorHAnsi"/>
        </w:rPr>
        <w:fldChar w:fldCharType="begin"/>
      </w:r>
      <w:r w:rsidRPr="003D6A82">
        <w:rPr>
          <w:rFonts w:asciiTheme="minorHAnsi" w:hAnsiTheme="minorHAnsi"/>
        </w:rPr>
        <w:instrText xml:space="preserve"> REF _Ref412211481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rsidRPr="001A4A46">
        <w:t xml:space="preserve">Appendix </w:t>
      </w:r>
      <w:r w:rsidR="00BB0E3E">
        <w:t>D</w:t>
      </w:r>
      <w:r w:rsidRPr="003D6A82">
        <w:rPr>
          <w:rFonts w:asciiTheme="minorHAnsi" w:hAnsiTheme="minorHAnsi"/>
        </w:rPr>
        <w:fldChar w:fldCharType="end"/>
      </w:r>
      <w:r w:rsidRPr="00FE563B">
        <w:rPr>
          <w:rFonts w:asciiTheme="minorHAnsi" w:hAnsiTheme="minorHAnsi"/>
        </w:rPr>
        <w:t xml:space="preserve">). The median sensitivity of exon-scanning </w:t>
      </w:r>
      <w:r w:rsidR="00FD37D3" w:rsidRPr="00FD37D3">
        <w:rPr>
          <w:rFonts w:asciiTheme="minorHAnsi" w:hAnsiTheme="minorHAnsi"/>
        </w:rPr>
        <w:t>CFTR</w:t>
      </w:r>
      <w:r w:rsidRPr="00FE563B">
        <w:rPr>
          <w:rFonts w:asciiTheme="minorHAnsi" w:hAnsiTheme="minorHAnsi"/>
        </w:rPr>
        <w:t xml:space="preserve"> mutation </w:t>
      </w:r>
      <w:r w:rsidRPr="00FE563B">
        <w:rPr>
          <w:rFonts w:asciiTheme="minorHAnsi" w:hAnsiTheme="minorHAnsi"/>
        </w:rPr>
        <w:lastRenderedPageBreak/>
        <w:t xml:space="preserve">testing plus DNA sequencing confirmation (75% </w:t>
      </w:r>
      <w:r w:rsidR="00AE31F2">
        <w:rPr>
          <w:rFonts w:asciiTheme="minorHAnsi" w:hAnsiTheme="minorHAnsi"/>
        </w:rPr>
        <w:t>[</w:t>
      </w:r>
      <w:r w:rsidRPr="00FE563B">
        <w:rPr>
          <w:rFonts w:asciiTheme="minorHAnsi" w:hAnsiTheme="minorHAnsi"/>
        </w:rPr>
        <w:t>range 59</w:t>
      </w:r>
      <w:r w:rsidR="0010693A">
        <w:rPr>
          <w:rFonts w:asciiTheme="minorHAnsi" w:hAnsiTheme="minorHAnsi"/>
        </w:rPr>
        <w:t>–</w:t>
      </w:r>
      <w:r w:rsidRPr="00FE563B">
        <w:rPr>
          <w:rFonts w:asciiTheme="minorHAnsi" w:hAnsiTheme="minorHAnsi"/>
        </w:rPr>
        <w:t>100</w:t>
      </w:r>
      <w:r w:rsidR="00AE31F2">
        <w:rPr>
          <w:rFonts w:asciiTheme="minorHAnsi" w:hAnsiTheme="minorHAnsi"/>
        </w:rPr>
        <w:t>]</w:t>
      </w:r>
      <w:r w:rsidRPr="00FE563B">
        <w:rPr>
          <w:rFonts w:asciiTheme="minorHAnsi" w:hAnsiTheme="minorHAnsi"/>
        </w:rPr>
        <w:t xml:space="preserve"> in patients having at least one </w:t>
      </w:r>
      <w:r w:rsidR="00FD37D3" w:rsidRPr="00FD37D3">
        <w:rPr>
          <w:rFonts w:asciiTheme="minorHAnsi" w:hAnsiTheme="minorHAnsi"/>
        </w:rPr>
        <w:t>CFTR</w:t>
      </w:r>
      <w:r w:rsidRPr="00FE563B">
        <w:rPr>
          <w:rFonts w:asciiTheme="minorHAnsi" w:hAnsiTheme="minorHAnsi"/>
        </w:rPr>
        <w:t xml:space="preserve"> mutation</w:t>
      </w:r>
      <w:r w:rsidR="0010693A">
        <w:rPr>
          <w:rFonts w:asciiTheme="minorHAnsi" w:hAnsiTheme="minorHAnsi"/>
        </w:rPr>
        <w:t>;</w:t>
      </w:r>
      <w:r w:rsidRPr="00FE563B">
        <w:rPr>
          <w:rFonts w:asciiTheme="minorHAnsi" w:hAnsiTheme="minorHAnsi"/>
        </w:rPr>
        <w:t xml:space="preserve"> and 64% </w:t>
      </w:r>
      <w:r w:rsidR="00AE31F2">
        <w:rPr>
          <w:rFonts w:asciiTheme="minorHAnsi" w:hAnsiTheme="minorHAnsi"/>
        </w:rPr>
        <w:t>[</w:t>
      </w:r>
      <w:r w:rsidRPr="00FE563B">
        <w:rPr>
          <w:rFonts w:asciiTheme="minorHAnsi" w:hAnsiTheme="minorHAnsi"/>
        </w:rPr>
        <w:t>range 47</w:t>
      </w:r>
      <w:r w:rsidR="0010693A">
        <w:rPr>
          <w:rFonts w:asciiTheme="minorHAnsi" w:hAnsiTheme="minorHAnsi"/>
        </w:rPr>
        <w:t>–</w:t>
      </w:r>
      <w:r w:rsidRPr="00FE563B">
        <w:rPr>
          <w:rFonts w:asciiTheme="minorHAnsi" w:hAnsiTheme="minorHAnsi"/>
        </w:rPr>
        <w:t>88</w:t>
      </w:r>
      <w:r w:rsidR="00AE31F2">
        <w:rPr>
          <w:rFonts w:asciiTheme="minorHAnsi" w:hAnsiTheme="minorHAnsi"/>
        </w:rPr>
        <w:t>]</w:t>
      </w:r>
      <w:r w:rsidRPr="00FE563B">
        <w:rPr>
          <w:rFonts w:asciiTheme="minorHAnsi" w:hAnsiTheme="minorHAnsi"/>
        </w:rPr>
        <w:t xml:space="preserve"> per chromosome) was higher than for panel-based </w:t>
      </w:r>
      <w:r w:rsidR="00FD37D3" w:rsidRPr="00FD37D3">
        <w:rPr>
          <w:rFonts w:asciiTheme="minorHAnsi" w:hAnsiTheme="minorHAnsi"/>
        </w:rPr>
        <w:t>CFTR</w:t>
      </w:r>
      <w:r w:rsidRPr="00FE563B">
        <w:rPr>
          <w:rFonts w:asciiTheme="minorHAnsi" w:hAnsiTheme="minorHAnsi"/>
        </w:rPr>
        <w:t xml:space="preserve"> mutation testing (70% </w:t>
      </w:r>
      <w:r w:rsidR="00AE31F2">
        <w:rPr>
          <w:rFonts w:asciiTheme="minorHAnsi" w:hAnsiTheme="minorHAnsi"/>
        </w:rPr>
        <w:t>[</w:t>
      </w:r>
      <w:r w:rsidRPr="00FE563B">
        <w:rPr>
          <w:rFonts w:asciiTheme="minorHAnsi" w:hAnsiTheme="minorHAnsi"/>
        </w:rPr>
        <w:t>range 64</w:t>
      </w:r>
      <w:r w:rsidR="0010693A">
        <w:rPr>
          <w:rFonts w:asciiTheme="minorHAnsi" w:hAnsiTheme="minorHAnsi"/>
        </w:rPr>
        <w:t>–</w:t>
      </w:r>
      <w:r w:rsidRPr="00FE563B">
        <w:rPr>
          <w:rFonts w:asciiTheme="minorHAnsi" w:hAnsiTheme="minorHAnsi"/>
        </w:rPr>
        <w:t>100</w:t>
      </w:r>
      <w:r w:rsidR="00AE31F2">
        <w:rPr>
          <w:rFonts w:asciiTheme="minorHAnsi" w:hAnsiTheme="minorHAnsi"/>
        </w:rPr>
        <w:t>]</w:t>
      </w:r>
      <w:r w:rsidRPr="00FE563B">
        <w:rPr>
          <w:rFonts w:asciiTheme="minorHAnsi" w:hAnsiTheme="minorHAnsi"/>
        </w:rPr>
        <w:t xml:space="preserve"> in patients having at least one </w:t>
      </w:r>
      <w:r w:rsidR="00FD37D3" w:rsidRPr="00FD37D3">
        <w:rPr>
          <w:rFonts w:asciiTheme="minorHAnsi" w:hAnsiTheme="minorHAnsi"/>
        </w:rPr>
        <w:t>CFTR</w:t>
      </w:r>
      <w:r w:rsidRPr="00FE563B">
        <w:rPr>
          <w:rFonts w:asciiTheme="minorHAnsi" w:hAnsiTheme="minorHAnsi"/>
        </w:rPr>
        <w:t xml:space="preserve"> mutation</w:t>
      </w:r>
      <w:r w:rsidR="0010693A">
        <w:rPr>
          <w:rFonts w:asciiTheme="minorHAnsi" w:hAnsiTheme="minorHAnsi"/>
        </w:rPr>
        <w:t>;</w:t>
      </w:r>
      <w:r w:rsidRPr="00FE563B">
        <w:rPr>
          <w:rFonts w:asciiTheme="minorHAnsi" w:hAnsiTheme="minorHAnsi"/>
        </w:rPr>
        <w:t xml:space="preserve"> and 52% </w:t>
      </w:r>
      <w:r w:rsidR="00EB2C29">
        <w:rPr>
          <w:rFonts w:asciiTheme="minorHAnsi" w:hAnsiTheme="minorHAnsi"/>
        </w:rPr>
        <w:t>[</w:t>
      </w:r>
      <w:r w:rsidRPr="00FE563B">
        <w:rPr>
          <w:rFonts w:asciiTheme="minorHAnsi" w:hAnsiTheme="minorHAnsi"/>
        </w:rPr>
        <w:t>range 45</w:t>
      </w:r>
      <w:r w:rsidR="0010693A">
        <w:rPr>
          <w:rFonts w:asciiTheme="minorHAnsi" w:hAnsiTheme="minorHAnsi"/>
        </w:rPr>
        <w:t>–</w:t>
      </w:r>
      <w:r w:rsidRPr="00FE563B">
        <w:rPr>
          <w:rFonts w:asciiTheme="minorHAnsi" w:hAnsiTheme="minorHAnsi"/>
        </w:rPr>
        <w:t>72</w:t>
      </w:r>
      <w:r w:rsidR="00EB2C29">
        <w:rPr>
          <w:rFonts w:asciiTheme="minorHAnsi" w:hAnsiTheme="minorHAnsi"/>
        </w:rPr>
        <w:t>]</w:t>
      </w:r>
      <w:r w:rsidRPr="00FE563B">
        <w:rPr>
          <w:rFonts w:asciiTheme="minorHAnsi" w:hAnsiTheme="minorHAnsi"/>
        </w:rPr>
        <w:t xml:space="preserve"> per chromosome) when compared with clinical diagnosis (</w:t>
      </w:r>
      <w:r w:rsidR="0010693A">
        <w:rPr>
          <w:rFonts w:asciiTheme="minorHAnsi" w:hAnsiTheme="minorHAnsi"/>
        </w:rPr>
        <w:t xml:space="preserve">see </w:t>
      </w:r>
      <w:r w:rsidR="00A660C4">
        <w:rPr>
          <w:rFonts w:asciiTheme="minorHAnsi" w:hAnsiTheme="minorHAnsi"/>
          <w:highlight w:val="yellow"/>
        </w:rPr>
        <w:fldChar w:fldCharType="begin"/>
      </w:r>
      <w:r w:rsidR="00A660C4">
        <w:rPr>
          <w:rFonts w:asciiTheme="minorHAnsi" w:hAnsiTheme="minorHAnsi"/>
        </w:rPr>
        <w:instrText xml:space="preserve"> REF _Ref413225393 \h </w:instrText>
      </w:r>
      <w:r w:rsidR="00A660C4">
        <w:rPr>
          <w:rFonts w:asciiTheme="minorHAnsi" w:hAnsiTheme="minorHAnsi"/>
          <w:highlight w:val="yellow"/>
        </w:rPr>
      </w:r>
      <w:r w:rsidR="00A660C4">
        <w:rPr>
          <w:rFonts w:asciiTheme="minorHAnsi" w:hAnsiTheme="minorHAnsi"/>
          <w:highlight w:val="yellow"/>
        </w:rPr>
        <w:fldChar w:fldCharType="separate"/>
      </w:r>
      <w:r w:rsidR="00BB0E3E">
        <w:t xml:space="preserve">Table </w:t>
      </w:r>
      <w:r w:rsidR="00BB0E3E">
        <w:rPr>
          <w:noProof/>
        </w:rPr>
        <w:t>42</w:t>
      </w:r>
      <w:r w:rsidR="00A660C4">
        <w:rPr>
          <w:rFonts w:asciiTheme="minorHAnsi" w:hAnsiTheme="minorHAnsi"/>
          <w:highlight w:val="yellow"/>
        </w:rPr>
        <w:fldChar w:fldCharType="end"/>
      </w:r>
      <w:r w:rsidRPr="00FE563B">
        <w:rPr>
          <w:rFonts w:asciiTheme="minorHAnsi" w:hAnsiTheme="minorHAnsi"/>
        </w:rPr>
        <w:t>). These values are much lower than in CF patients due to the large proportion of patients (median 25%</w:t>
      </w:r>
      <w:r w:rsidR="00AE31F2">
        <w:rPr>
          <w:rFonts w:asciiTheme="minorHAnsi" w:hAnsiTheme="minorHAnsi"/>
        </w:rPr>
        <w:t>;</w:t>
      </w:r>
      <w:r w:rsidRPr="00FE563B">
        <w:rPr>
          <w:rFonts w:asciiTheme="minorHAnsi" w:hAnsiTheme="minorHAnsi"/>
        </w:rPr>
        <w:t xml:space="preserve"> range 0</w:t>
      </w:r>
      <w:r w:rsidR="0010693A">
        <w:rPr>
          <w:rFonts w:asciiTheme="minorHAnsi" w:hAnsiTheme="minorHAnsi"/>
        </w:rPr>
        <w:t>–</w:t>
      </w:r>
      <w:r w:rsidRPr="00FE563B">
        <w:rPr>
          <w:rFonts w:asciiTheme="minorHAnsi" w:hAnsiTheme="minorHAnsi"/>
        </w:rPr>
        <w:t>41)</w:t>
      </w:r>
      <w:r w:rsidR="0010693A">
        <w:rPr>
          <w:rFonts w:asciiTheme="minorHAnsi" w:hAnsiTheme="minorHAnsi"/>
        </w:rPr>
        <w:t xml:space="preserve"> </w:t>
      </w:r>
      <w:r w:rsidRPr="00FE563B">
        <w:rPr>
          <w:rFonts w:asciiTheme="minorHAnsi" w:hAnsiTheme="minorHAnsi"/>
        </w:rPr>
        <w:t>and chromosomes (median 36%</w:t>
      </w:r>
      <w:r w:rsidR="00AE31F2">
        <w:rPr>
          <w:rFonts w:asciiTheme="minorHAnsi" w:hAnsiTheme="minorHAnsi"/>
        </w:rPr>
        <w:t>;</w:t>
      </w:r>
      <w:r w:rsidRPr="00FE563B">
        <w:rPr>
          <w:rFonts w:asciiTheme="minorHAnsi" w:hAnsiTheme="minorHAnsi"/>
        </w:rPr>
        <w:t xml:space="preserve"> range 12</w:t>
      </w:r>
      <w:r w:rsidR="0010693A">
        <w:rPr>
          <w:rFonts w:asciiTheme="minorHAnsi" w:hAnsiTheme="minorHAnsi"/>
        </w:rPr>
        <w:t>–</w:t>
      </w:r>
      <w:r w:rsidRPr="00FE563B">
        <w:rPr>
          <w:rFonts w:asciiTheme="minorHAnsi" w:hAnsiTheme="minorHAnsi"/>
        </w:rPr>
        <w:t xml:space="preserve">53) for which a </w:t>
      </w:r>
      <w:r w:rsidR="00FD37D3" w:rsidRPr="00FD37D3">
        <w:rPr>
          <w:rFonts w:asciiTheme="minorHAnsi" w:hAnsiTheme="minorHAnsi"/>
        </w:rPr>
        <w:t>CFTR</w:t>
      </w:r>
      <w:r w:rsidRPr="00FE563B">
        <w:rPr>
          <w:rFonts w:asciiTheme="minorHAnsi" w:hAnsiTheme="minorHAnsi"/>
        </w:rPr>
        <w:t xml:space="preserve"> mutation could not be identified and therefore received a false-negative result. </w:t>
      </w:r>
    </w:p>
    <w:p w14:paraId="2102C6BF" w14:textId="45C203D9" w:rsidR="003B239A" w:rsidRPr="00FE563B" w:rsidRDefault="00FD37D3" w:rsidP="00B45FA8">
      <w:pPr>
        <w:pStyle w:val="Heading4"/>
      </w:pPr>
      <w:r w:rsidRPr="00AE4511">
        <w:t>CFTR</w:t>
      </w:r>
      <w:r w:rsidR="003B239A" w:rsidRPr="00AE4511">
        <w:t xml:space="preserve"> mutation testing in parents with a fetus suspected of CF</w:t>
      </w:r>
    </w:p>
    <w:p w14:paraId="028F5339" w14:textId="5C248A92" w:rsidR="003B239A" w:rsidRPr="00FE563B" w:rsidRDefault="003B239A" w:rsidP="003B239A">
      <w:pPr>
        <w:rPr>
          <w:rFonts w:asciiTheme="minorHAnsi" w:hAnsiTheme="minorHAnsi"/>
        </w:rPr>
      </w:pPr>
      <w:r w:rsidRPr="00FE563B">
        <w:rPr>
          <w:rFonts w:asciiTheme="minorHAnsi" w:hAnsiTheme="minorHAnsi"/>
        </w:rPr>
        <w:t xml:space="preserve">One study met the inclusion criteria and reported on the diagnostic accuracy of </w:t>
      </w:r>
      <w:r w:rsidR="00FD37D3" w:rsidRPr="00FD37D3">
        <w:rPr>
          <w:rFonts w:asciiTheme="minorHAnsi" w:hAnsiTheme="minorHAnsi"/>
        </w:rPr>
        <w:t>CFTR</w:t>
      </w:r>
      <w:r w:rsidRPr="00FE563B">
        <w:rPr>
          <w:rFonts w:asciiTheme="minorHAnsi" w:hAnsiTheme="minorHAnsi"/>
        </w:rPr>
        <w:t xml:space="preserve"> mutation testing compared with DNA sequencing of known </w:t>
      </w:r>
      <w:r w:rsidR="00FD37D3" w:rsidRPr="00FD37D3">
        <w:rPr>
          <w:rFonts w:asciiTheme="minorHAnsi" w:hAnsiTheme="minorHAnsi"/>
        </w:rPr>
        <w:t>CFTR</w:t>
      </w:r>
      <w:r w:rsidRPr="00FE563B">
        <w:rPr>
          <w:rFonts w:asciiTheme="minorHAnsi" w:hAnsiTheme="minorHAnsi"/>
        </w:rPr>
        <w:t xml:space="preserve"> mutation carriers. This provides the only evidence that can inform on the testing of parents with a fetus at risk of CF due to a previous child being clinically diagnosed with CF. The study by Tomaiuolo, Spina &amp; Castaldo (</w:t>
      </w:r>
      <w:r w:rsidRPr="003D6A82">
        <w:rPr>
          <w:rFonts w:asciiTheme="minorHAnsi" w:hAnsiTheme="minorHAnsi"/>
        </w:rPr>
        <w:t>2003) investigated</w:t>
      </w:r>
      <w:r w:rsidRPr="00FE563B">
        <w:rPr>
          <w:rFonts w:asciiTheme="minorHAnsi" w:hAnsiTheme="minorHAnsi"/>
        </w:rPr>
        <w:t xml:space="preserve"> the accuracy of four different panel-based </w:t>
      </w:r>
      <w:r w:rsidR="00FD37D3" w:rsidRPr="00FD37D3">
        <w:rPr>
          <w:rFonts w:asciiTheme="minorHAnsi" w:hAnsiTheme="minorHAnsi"/>
        </w:rPr>
        <w:t>CFTR</w:t>
      </w:r>
      <w:r w:rsidRPr="00FE563B">
        <w:rPr>
          <w:rFonts w:asciiTheme="minorHAnsi" w:hAnsiTheme="minorHAnsi"/>
        </w:rPr>
        <w:t xml:space="preserve"> mutation tests designed to detect between 12 and 31 </w:t>
      </w:r>
      <w:r w:rsidR="00FD37D3" w:rsidRPr="00FD37D3">
        <w:rPr>
          <w:rFonts w:asciiTheme="minorHAnsi" w:hAnsiTheme="minorHAnsi"/>
        </w:rPr>
        <w:t>CFTR</w:t>
      </w:r>
      <w:r w:rsidRPr="00FE563B">
        <w:rPr>
          <w:rFonts w:asciiTheme="minorHAnsi" w:hAnsiTheme="minorHAnsi"/>
        </w:rPr>
        <w:t xml:space="preserve"> mutations compared </w:t>
      </w:r>
      <w:r w:rsidR="00AE4511">
        <w:rPr>
          <w:rFonts w:asciiTheme="minorHAnsi" w:hAnsiTheme="minorHAnsi"/>
        </w:rPr>
        <w:t>with</w:t>
      </w:r>
      <w:r w:rsidR="00AE4511" w:rsidRPr="00FE563B">
        <w:rPr>
          <w:rFonts w:asciiTheme="minorHAnsi" w:hAnsiTheme="minorHAnsi"/>
        </w:rPr>
        <w:t xml:space="preserve"> </w:t>
      </w:r>
      <w:r w:rsidRPr="00FE563B">
        <w:rPr>
          <w:rFonts w:asciiTheme="minorHAnsi" w:hAnsiTheme="minorHAnsi"/>
        </w:rPr>
        <w:t xml:space="preserve">DGGE exon-scanning </w:t>
      </w:r>
      <w:r w:rsidR="00FD37D3" w:rsidRPr="00FD37D3">
        <w:rPr>
          <w:rFonts w:asciiTheme="minorHAnsi" w:hAnsiTheme="minorHAnsi"/>
        </w:rPr>
        <w:t>CFTR</w:t>
      </w:r>
      <w:r w:rsidRPr="00FE563B">
        <w:rPr>
          <w:rFonts w:asciiTheme="minorHAnsi" w:hAnsiTheme="minorHAnsi"/>
        </w:rPr>
        <w:t xml:space="preserve"> mutation testing plus DNA sequencing confirmation in 25 </w:t>
      </w:r>
      <w:r w:rsidR="00FD37D3" w:rsidRPr="00FD37D3">
        <w:rPr>
          <w:rFonts w:asciiTheme="minorHAnsi" w:hAnsiTheme="minorHAnsi"/>
        </w:rPr>
        <w:t>CFTR</w:t>
      </w:r>
      <w:r w:rsidR="00015F6A">
        <w:rPr>
          <w:rFonts w:asciiTheme="minorHAnsi" w:hAnsiTheme="minorHAnsi"/>
        </w:rPr>
        <w:t>-</w:t>
      </w:r>
      <w:r w:rsidRPr="00FE563B">
        <w:rPr>
          <w:rFonts w:asciiTheme="minorHAnsi" w:hAnsiTheme="minorHAnsi"/>
        </w:rPr>
        <w:t xml:space="preserve">mutation carriers with known mutations. The panel-based tests had a sensitivity of 100% compared with DNA sequencing for those mutations that could be detected by the test. When the </w:t>
      </w:r>
      <w:r w:rsidR="00FD37D3" w:rsidRPr="00FD37D3">
        <w:rPr>
          <w:rFonts w:asciiTheme="minorHAnsi" w:hAnsiTheme="minorHAnsi"/>
        </w:rPr>
        <w:t>CFTR</w:t>
      </w:r>
      <w:r w:rsidRPr="00FE563B">
        <w:rPr>
          <w:rFonts w:asciiTheme="minorHAnsi" w:hAnsiTheme="minorHAnsi"/>
        </w:rPr>
        <w:t xml:space="preserve"> mutations not included in the panels were included in the analysis, the median sensitivity decreased to 92%; 4% (1/25) of patients had a false negative result in two of the tests and 12% (3/25) of patients in the other two. These results suggest that the </w:t>
      </w:r>
      <w:r w:rsidR="00FD37D3" w:rsidRPr="00FD37D3">
        <w:rPr>
          <w:rFonts w:asciiTheme="minorHAnsi" w:hAnsiTheme="minorHAnsi"/>
        </w:rPr>
        <w:t>CFTR</w:t>
      </w:r>
      <w:r w:rsidRPr="00FE563B">
        <w:rPr>
          <w:rFonts w:asciiTheme="minorHAnsi" w:hAnsiTheme="minorHAnsi"/>
        </w:rPr>
        <w:t xml:space="preserve"> mutation carried by most carrier parents could be identified by panel-based </w:t>
      </w:r>
      <w:r w:rsidR="00FD37D3" w:rsidRPr="00FD37D3">
        <w:rPr>
          <w:rFonts w:asciiTheme="minorHAnsi" w:hAnsiTheme="minorHAnsi"/>
        </w:rPr>
        <w:t>CFTR</w:t>
      </w:r>
      <w:r w:rsidRPr="00FE563B">
        <w:rPr>
          <w:rFonts w:asciiTheme="minorHAnsi" w:hAnsiTheme="minorHAnsi"/>
        </w:rPr>
        <w:t xml:space="preserve"> mutation testing. However, at least 8% of parents will require further testing</w:t>
      </w:r>
      <w:r w:rsidR="00D2153A">
        <w:rPr>
          <w:rFonts w:asciiTheme="minorHAnsi" w:hAnsiTheme="minorHAnsi"/>
        </w:rPr>
        <w:t xml:space="preserve"> if there is a strong suspicion of their carrier status</w:t>
      </w:r>
      <w:r w:rsidRPr="00FE563B">
        <w:rPr>
          <w:rFonts w:asciiTheme="minorHAnsi" w:hAnsiTheme="minorHAnsi"/>
        </w:rPr>
        <w:t>.</w:t>
      </w:r>
    </w:p>
    <w:p w14:paraId="4F787046" w14:textId="00E4DE9B" w:rsidR="003B239A" w:rsidRPr="00FE563B" w:rsidRDefault="00FD37D3" w:rsidP="00B45FA8">
      <w:pPr>
        <w:pStyle w:val="Heading4"/>
      </w:pPr>
      <w:r w:rsidRPr="00FD37D3">
        <w:t>CFTR</w:t>
      </w:r>
      <w:r w:rsidR="003B239A" w:rsidRPr="00FE563B">
        <w:t xml:space="preserve"> mutation testing in fetuses where both parents are CF carriers</w:t>
      </w:r>
    </w:p>
    <w:p w14:paraId="5A77FA9B" w14:textId="28A71498" w:rsidR="003B239A" w:rsidRPr="00FE563B" w:rsidRDefault="003B239A" w:rsidP="003B239A">
      <w:pPr>
        <w:rPr>
          <w:rFonts w:asciiTheme="minorHAnsi" w:hAnsiTheme="minorHAnsi"/>
        </w:rPr>
      </w:pPr>
      <w:r w:rsidRPr="00FE563B">
        <w:rPr>
          <w:rFonts w:asciiTheme="minorHAnsi" w:hAnsiTheme="minorHAnsi"/>
        </w:rPr>
        <w:t xml:space="preserve">Four studies reported on the accuracy of </w:t>
      </w:r>
      <w:r w:rsidR="00FD37D3" w:rsidRPr="00FD37D3">
        <w:rPr>
          <w:rFonts w:asciiTheme="minorHAnsi" w:hAnsiTheme="minorHAnsi"/>
        </w:rPr>
        <w:t>CFTR</w:t>
      </w:r>
      <w:r w:rsidRPr="00FE563B">
        <w:rPr>
          <w:rFonts w:asciiTheme="minorHAnsi" w:hAnsiTheme="minorHAnsi"/>
        </w:rPr>
        <w:t xml:space="preserve"> mutation testing in fetuses from carrier parents (</w:t>
      </w:r>
      <w:r w:rsidR="006C4B81">
        <w:rPr>
          <w:rFonts w:asciiTheme="minorHAnsi" w:hAnsiTheme="minorHAnsi"/>
        </w:rPr>
        <w:t xml:space="preserve">see </w:t>
      </w:r>
      <w:r w:rsidRPr="003D6A82">
        <w:rPr>
          <w:rFonts w:asciiTheme="minorHAnsi" w:hAnsiTheme="minorHAnsi"/>
        </w:rPr>
        <w:fldChar w:fldCharType="begin"/>
      </w:r>
      <w:r w:rsidRPr="003D6A82">
        <w:rPr>
          <w:rFonts w:asciiTheme="minorHAnsi" w:hAnsiTheme="minorHAnsi"/>
        </w:rPr>
        <w:instrText xml:space="preserve"> REF _Ref412452027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t xml:space="preserve">Table </w:t>
      </w:r>
      <w:r w:rsidR="00BB0E3E">
        <w:rPr>
          <w:noProof/>
        </w:rPr>
        <w:t>94</w:t>
      </w:r>
      <w:r w:rsidRPr="003D6A82">
        <w:rPr>
          <w:rFonts w:asciiTheme="minorHAnsi" w:hAnsiTheme="minorHAnsi"/>
        </w:rPr>
        <w:fldChar w:fldCharType="end"/>
      </w:r>
      <w:r w:rsidRPr="003D6A82">
        <w:rPr>
          <w:rFonts w:asciiTheme="minorHAnsi" w:hAnsiTheme="minorHAnsi"/>
        </w:rPr>
        <w:t xml:space="preserve"> in </w:t>
      </w:r>
      <w:r w:rsidRPr="003D6A82">
        <w:rPr>
          <w:rFonts w:asciiTheme="minorHAnsi" w:hAnsiTheme="minorHAnsi"/>
        </w:rPr>
        <w:fldChar w:fldCharType="begin"/>
      </w:r>
      <w:r w:rsidRPr="003D6A82">
        <w:rPr>
          <w:rFonts w:asciiTheme="minorHAnsi" w:hAnsiTheme="minorHAnsi"/>
        </w:rPr>
        <w:instrText xml:space="preserve"> REF _Ref412211481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rsidRPr="001A4A46">
        <w:t xml:space="preserve">Appendix </w:t>
      </w:r>
      <w:r w:rsidR="00BB0E3E">
        <w:t>D</w:t>
      </w:r>
      <w:r w:rsidRPr="003D6A82">
        <w:rPr>
          <w:rFonts w:asciiTheme="minorHAnsi" w:hAnsiTheme="minorHAnsi"/>
        </w:rPr>
        <w:fldChar w:fldCharType="end"/>
      </w:r>
      <w:r w:rsidRPr="00FE563B">
        <w:rPr>
          <w:rFonts w:asciiTheme="minorHAnsi" w:hAnsiTheme="minorHAnsi"/>
        </w:rPr>
        <w:t xml:space="preserve">). However, only </w:t>
      </w:r>
      <w:r w:rsidR="006C4B81">
        <w:rPr>
          <w:rFonts w:asciiTheme="minorHAnsi" w:hAnsiTheme="minorHAnsi"/>
        </w:rPr>
        <w:t>2</w:t>
      </w:r>
      <w:r w:rsidR="006C4B81" w:rsidRPr="00FE563B">
        <w:rPr>
          <w:rFonts w:asciiTheme="minorHAnsi" w:hAnsiTheme="minorHAnsi"/>
        </w:rPr>
        <w:t xml:space="preserve"> </w:t>
      </w:r>
      <w:r w:rsidRPr="00FE563B">
        <w:rPr>
          <w:rFonts w:asciiTheme="minorHAnsi" w:hAnsiTheme="minorHAnsi"/>
        </w:rPr>
        <w:t xml:space="preserve">studies reported </w:t>
      </w:r>
      <w:r w:rsidR="00FB52C6">
        <w:rPr>
          <w:rFonts w:asciiTheme="minorHAnsi" w:hAnsiTheme="minorHAnsi"/>
        </w:rPr>
        <w:t>on the rate of</w:t>
      </w:r>
      <w:r w:rsidRPr="00FE563B">
        <w:rPr>
          <w:rFonts w:asciiTheme="minorHAnsi" w:hAnsiTheme="minorHAnsi"/>
        </w:rPr>
        <w:t xml:space="preserve"> false negative results (</w:t>
      </w:r>
      <w:r w:rsidR="00015F6A">
        <w:rPr>
          <w:rFonts w:asciiTheme="minorHAnsi" w:hAnsiTheme="minorHAnsi"/>
        </w:rPr>
        <w:t xml:space="preserve">indicating that </w:t>
      </w:r>
      <w:r w:rsidR="00FB52C6">
        <w:rPr>
          <w:rFonts w:asciiTheme="minorHAnsi" w:hAnsiTheme="minorHAnsi"/>
        </w:rPr>
        <w:t xml:space="preserve">there were no false negatives, i.e. </w:t>
      </w:r>
      <w:r w:rsidRPr="00FE563B">
        <w:rPr>
          <w:rFonts w:asciiTheme="minorHAnsi" w:hAnsiTheme="minorHAnsi"/>
        </w:rPr>
        <w:t xml:space="preserve">all fetuses diagnosed as either carriers or normal were born without CF; sensitivity = 100%), and only </w:t>
      </w:r>
      <w:r w:rsidR="006C4B81">
        <w:rPr>
          <w:rFonts w:asciiTheme="minorHAnsi" w:hAnsiTheme="minorHAnsi"/>
        </w:rPr>
        <w:t>1</w:t>
      </w:r>
      <w:r w:rsidR="006C4B81" w:rsidRPr="00FE563B">
        <w:rPr>
          <w:rFonts w:asciiTheme="minorHAnsi" w:hAnsiTheme="minorHAnsi"/>
        </w:rPr>
        <w:t xml:space="preserve"> </w:t>
      </w:r>
      <w:r w:rsidRPr="00FE563B">
        <w:rPr>
          <w:rFonts w:asciiTheme="minorHAnsi" w:hAnsiTheme="minorHAnsi"/>
        </w:rPr>
        <w:t xml:space="preserve">study reported the fate of the fetuses diagnosed with CF (all fetuses were aborted). In these </w:t>
      </w:r>
      <w:r w:rsidR="006C4B81">
        <w:rPr>
          <w:rFonts w:asciiTheme="minorHAnsi" w:hAnsiTheme="minorHAnsi"/>
        </w:rPr>
        <w:t>4</w:t>
      </w:r>
      <w:r w:rsidR="006C4B81" w:rsidRPr="00FE563B">
        <w:rPr>
          <w:rFonts w:asciiTheme="minorHAnsi" w:hAnsiTheme="minorHAnsi"/>
        </w:rPr>
        <w:t xml:space="preserve"> </w:t>
      </w:r>
      <w:r w:rsidRPr="00FE563B">
        <w:rPr>
          <w:rFonts w:asciiTheme="minorHAnsi" w:hAnsiTheme="minorHAnsi"/>
        </w:rPr>
        <w:t>studies 8</w:t>
      </w:r>
      <w:r w:rsidR="006C4B81">
        <w:rPr>
          <w:rFonts w:asciiTheme="minorHAnsi" w:hAnsiTheme="minorHAnsi"/>
        </w:rPr>
        <w:t>–</w:t>
      </w:r>
      <w:r w:rsidRPr="00FE563B">
        <w:rPr>
          <w:rFonts w:asciiTheme="minorHAnsi" w:hAnsiTheme="minorHAnsi"/>
        </w:rPr>
        <w:t>22% of the fetuses were diagnosed with CF, 38</w:t>
      </w:r>
      <w:r w:rsidR="006C4B81">
        <w:rPr>
          <w:rFonts w:asciiTheme="minorHAnsi" w:hAnsiTheme="minorHAnsi"/>
        </w:rPr>
        <w:t>–</w:t>
      </w:r>
      <w:r w:rsidRPr="00FE563B">
        <w:rPr>
          <w:rFonts w:asciiTheme="minorHAnsi" w:hAnsiTheme="minorHAnsi"/>
        </w:rPr>
        <w:t xml:space="preserve">58% were diagnosed as </w:t>
      </w:r>
      <w:r w:rsidR="00FD37D3" w:rsidRPr="00FD37D3">
        <w:rPr>
          <w:rFonts w:asciiTheme="minorHAnsi" w:hAnsiTheme="minorHAnsi"/>
        </w:rPr>
        <w:t>CFTR</w:t>
      </w:r>
      <w:r w:rsidRPr="00FE563B">
        <w:rPr>
          <w:rFonts w:asciiTheme="minorHAnsi" w:hAnsiTheme="minorHAnsi"/>
        </w:rPr>
        <w:t xml:space="preserve"> mutation carriers and 24</w:t>
      </w:r>
      <w:r w:rsidR="006C4B81">
        <w:rPr>
          <w:rFonts w:asciiTheme="minorHAnsi" w:hAnsiTheme="minorHAnsi"/>
        </w:rPr>
        <w:t>–</w:t>
      </w:r>
      <w:r w:rsidRPr="00FE563B">
        <w:rPr>
          <w:rFonts w:asciiTheme="minorHAnsi" w:hAnsiTheme="minorHAnsi"/>
        </w:rPr>
        <w:t xml:space="preserve">33% were normal. These results appear to roughly fit within the expected parameters for the Mendelian inheritance patterns of a recessive trait. The results suggest that </w:t>
      </w:r>
      <w:r w:rsidR="00FD37D3" w:rsidRPr="00FD37D3">
        <w:rPr>
          <w:rFonts w:asciiTheme="minorHAnsi" w:hAnsiTheme="minorHAnsi"/>
        </w:rPr>
        <w:t>CFTR</w:t>
      </w:r>
      <w:r w:rsidRPr="00FE563B">
        <w:rPr>
          <w:rFonts w:asciiTheme="minorHAnsi" w:hAnsiTheme="minorHAnsi"/>
        </w:rPr>
        <w:t xml:space="preserve"> mutation testing</w:t>
      </w:r>
      <w:r w:rsidR="0060082F">
        <w:rPr>
          <w:rFonts w:asciiTheme="minorHAnsi" w:hAnsiTheme="minorHAnsi"/>
        </w:rPr>
        <w:t xml:space="preserve"> in fetuses with carrier parents is likely to be highly sensitive</w:t>
      </w:r>
      <w:r w:rsidRPr="00FE563B">
        <w:rPr>
          <w:rFonts w:asciiTheme="minorHAnsi" w:hAnsiTheme="minorHAnsi"/>
        </w:rPr>
        <w:t xml:space="preserve"> comp</w:t>
      </w:r>
      <w:r w:rsidR="0060082F">
        <w:rPr>
          <w:rFonts w:asciiTheme="minorHAnsi" w:hAnsiTheme="minorHAnsi"/>
        </w:rPr>
        <w:t xml:space="preserve">ared </w:t>
      </w:r>
      <w:r w:rsidR="0007021D">
        <w:rPr>
          <w:rFonts w:asciiTheme="minorHAnsi" w:hAnsiTheme="minorHAnsi"/>
        </w:rPr>
        <w:t xml:space="preserve">with </w:t>
      </w:r>
      <w:r w:rsidR="0060082F">
        <w:rPr>
          <w:rFonts w:asciiTheme="minorHAnsi" w:hAnsiTheme="minorHAnsi"/>
        </w:rPr>
        <w:t>clinical diagnosis after birth</w:t>
      </w:r>
      <w:r w:rsidRPr="00FE563B">
        <w:rPr>
          <w:rFonts w:asciiTheme="minorHAnsi" w:hAnsiTheme="minorHAnsi"/>
        </w:rPr>
        <w:t xml:space="preserve">, as no false negative results were recorded in </w:t>
      </w:r>
      <w:r w:rsidR="0007021D">
        <w:rPr>
          <w:rFonts w:asciiTheme="minorHAnsi" w:hAnsiTheme="minorHAnsi"/>
        </w:rPr>
        <w:t>2</w:t>
      </w:r>
      <w:r w:rsidR="0007021D" w:rsidRPr="00FE563B">
        <w:rPr>
          <w:rFonts w:asciiTheme="minorHAnsi" w:hAnsiTheme="minorHAnsi"/>
        </w:rPr>
        <w:t xml:space="preserve"> </w:t>
      </w:r>
      <w:r w:rsidRPr="00FE563B">
        <w:rPr>
          <w:rFonts w:asciiTheme="minorHAnsi" w:hAnsiTheme="minorHAnsi"/>
        </w:rPr>
        <w:t>studies</w:t>
      </w:r>
      <w:r w:rsidR="0007021D">
        <w:rPr>
          <w:rFonts w:asciiTheme="minorHAnsi" w:hAnsiTheme="minorHAnsi"/>
        </w:rPr>
        <w:t>;</w:t>
      </w:r>
      <w:r w:rsidRPr="00FE563B">
        <w:rPr>
          <w:rFonts w:asciiTheme="minorHAnsi" w:hAnsiTheme="minorHAnsi"/>
        </w:rPr>
        <w:t xml:space="preserve"> </w:t>
      </w:r>
      <w:r w:rsidR="0007021D">
        <w:rPr>
          <w:rFonts w:asciiTheme="minorHAnsi" w:hAnsiTheme="minorHAnsi"/>
        </w:rPr>
        <w:t>however,</w:t>
      </w:r>
      <w:r w:rsidR="0007021D" w:rsidRPr="00FE563B">
        <w:rPr>
          <w:rFonts w:asciiTheme="minorHAnsi" w:hAnsiTheme="minorHAnsi"/>
        </w:rPr>
        <w:t xml:space="preserve"> </w:t>
      </w:r>
      <w:r w:rsidRPr="00FE563B">
        <w:rPr>
          <w:rFonts w:asciiTheme="minorHAnsi" w:hAnsiTheme="minorHAnsi"/>
        </w:rPr>
        <w:t>the specificity cannot be determined</w:t>
      </w:r>
      <w:r w:rsidR="00015F6A">
        <w:rPr>
          <w:rFonts w:asciiTheme="minorHAnsi" w:hAnsiTheme="minorHAnsi"/>
        </w:rPr>
        <w:t>,</w:t>
      </w:r>
      <w:r w:rsidRPr="00FE563B">
        <w:rPr>
          <w:rFonts w:asciiTheme="minorHAnsi" w:hAnsiTheme="minorHAnsi"/>
        </w:rPr>
        <w:t xml:space="preserve"> as most fetuses from carrier parents diagnosed as having CF are aborted (</w:t>
      </w:r>
      <w:r w:rsidR="00015F6A">
        <w:rPr>
          <w:rFonts w:asciiTheme="minorHAnsi" w:hAnsiTheme="minorHAnsi"/>
        </w:rPr>
        <w:t xml:space="preserve">see </w:t>
      </w:r>
      <w:r>
        <w:rPr>
          <w:rFonts w:asciiTheme="minorHAnsi" w:hAnsiTheme="minorHAnsi"/>
        </w:rPr>
        <w:fldChar w:fldCharType="begin"/>
      </w:r>
      <w:r>
        <w:rPr>
          <w:rFonts w:asciiTheme="minorHAnsi" w:hAnsiTheme="minorHAnsi"/>
        </w:rPr>
        <w:instrText xml:space="preserve"> REF _Ref412105967 \h </w:instrText>
      </w:r>
      <w:r>
        <w:rPr>
          <w:rFonts w:asciiTheme="minorHAnsi" w:hAnsiTheme="minorHAnsi"/>
        </w:rPr>
      </w:r>
      <w:r>
        <w:rPr>
          <w:rFonts w:asciiTheme="minorHAnsi" w:hAnsiTheme="minorHAnsi"/>
        </w:rPr>
        <w:fldChar w:fldCharType="separate"/>
      </w:r>
      <w:r w:rsidR="00BB0E3E">
        <w:t xml:space="preserve">Table </w:t>
      </w:r>
      <w:r w:rsidR="00BB0E3E">
        <w:rPr>
          <w:noProof/>
        </w:rPr>
        <w:t>44</w:t>
      </w:r>
      <w:r>
        <w:rPr>
          <w:rFonts w:asciiTheme="minorHAnsi" w:hAnsiTheme="minorHAnsi"/>
        </w:rPr>
        <w:fldChar w:fldCharType="end"/>
      </w:r>
      <w:r>
        <w:rPr>
          <w:rFonts w:asciiTheme="minorHAnsi" w:hAnsiTheme="minorHAnsi"/>
        </w:rPr>
        <w:t xml:space="preserve"> and </w:t>
      </w:r>
      <w:r w:rsidRPr="001950BC">
        <w:rPr>
          <w:rFonts w:asciiTheme="minorHAnsi" w:hAnsiTheme="minorHAnsi"/>
        </w:rPr>
        <w:fldChar w:fldCharType="begin"/>
      </w:r>
      <w:r w:rsidRPr="001950BC">
        <w:rPr>
          <w:rFonts w:asciiTheme="minorHAnsi" w:hAnsiTheme="minorHAnsi"/>
        </w:rPr>
        <w:instrText xml:space="preserve"> REF _Ref412105976 \h </w:instrText>
      </w:r>
      <w:r w:rsidRPr="001950BC">
        <w:rPr>
          <w:rFonts w:asciiTheme="minorHAnsi" w:hAnsiTheme="minorHAnsi"/>
        </w:rPr>
      </w:r>
      <w:r w:rsidRPr="001950BC">
        <w:rPr>
          <w:rFonts w:asciiTheme="minorHAnsi" w:hAnsiTheme="minorHAnsi"/>
        </w:rPr>
        <w:fldChar w:fldCharType="separate"/>
      </w:r>
      <w:r w:rsidR="00BB0E3E" w:rsidRPr="001950BC">
        <w:t xml:space="preserve">Table </w:t>
      </w:r>
      <w:r w:rsidR="00BB0E3E">
        <w:rPr>
          <w:noProof/>
        </w:rPr>
        <w:t>45</w:t>
      </w:r>
      <w:r w:rsidRPr="001950BC">
        <w:rPr>
          <w:rFonts w:asciiTheme="minorHAnsi" w:hAnsiTheme="minorHAnsi"/>
        </w:rPr>
        <w:fldChar w:fldCharType="end"/>
      </w:r>
      <w:r>
        <w:rPr>
          <w:rFonts w:asciiTheme="minorHAnsi" w:hAnsiTheme="minorHAnsi"/>
        </w:rPr>
        <w:t xml:space="preserve"> in </w:t>
      </w:r>
      <w:r w:rsidR="0060353B">
        <w:rPr>
          <w:rFonts w:asciiTheme="minorHAnsi" w:hAnsiTheme="minorHAnsi"/>
        </w:rPr>
        <w:t>s</w:t>
      </w:r>
      <w:r w:rsidR="0060082F">
        <w:rPr>
          <w:rFonts w:asciiTheme="minorHAnsi" w:hAnsiTheme="minorHAnsi"/>
        </w:rPr>
        <w:t>ection B.6.ii</w:t>
      </w:r>
      <w:r w:rsidRPr="00FE563B">
        <w:rPr>
          <w:rFonts w:asciiTheme="minorHAnsi" w:hAnsiTheme="minorHAnsi"/>
        </w:rPr>
        <w:t>)</w:t>
      </w:r>
      <w:r>
        <w:rPr>
          <w:rFonts w:asciiTheme="minorHAnsi" w:hAnsiTheme="minorHAnsi"/>
        </w:rPr>
        <w:t>.</w:t>
      </w:r>
    </w:p>
    <w:p w14:paraId="47D60099" w14:textId="2CCDCC68" w:rsidR="003B239A" w:rsidRPr="00FE563B" w:rsidRDefault="00FD37D3" w:rsidP="00B45FA8">
      <w:pPr>
        <w:pStyle w:val="Heading4"/>
      </w:pPr>
      <w:r w:rsidRPr="00FD37D3">
        <w:t>CFTR</w:t>
      </w:r>
      <w:r w:rsidR="003B239A" w:rsidRPr="00FE563B">
        <w:t xml:space="preserve"> mutation testing in fetuses with FEB</w:t>
      </w:r>
    </w:p>
    <w:p w14:paraId="77E1C3D2" w14:textId="1840909F" w:rsidR="003B239A" w:rsidRPr="00FE563B" w:rsidRDefault="003B239A" w:rsidP="003B239A">
      <w:pPr>
        <w:rPr>
          <w:rFonts w:asciiTheme="minorHAnsi" w:hAnsiTheme="minorHAnsi"/>
        </w:rPr>
      </w:pPr>
      <w:r w:rsidRPr="00FE563B">
        <w:rPr>
          <w:rFonts w:asciiTheme="minorHAnsi" w:hAnsiTheme="minorHAnsi"/>
        </w:rPr>
        <w:t xml:space="preserve">One study reported on the use of DGGE exon-scanning </w:t>
      </w:r>
      <w:r w:rsidR="00FD37D3" w:rsidRPr="00FD37D3">
        <w:rPr>
          <w:rFonts w:asciiTheme="minorHAnsi" w:hAnsiTheme="minorHAnsi"/>
        </w:rPr>
        <w:t>CFTR</w:t>
      </w:r>
      <w:r w:rsidRPr="00FE563B">
        <w:rPr>
          <w:rFonts w:asciiTheme="minorHAnsi" w:hAnsiTheme="minorHAnsi"/>
        </w:rPr>
        <w:t xml:space="preserve"> mutation testing plus DNA sequencing confirmation to diagnose CF in fetuses with FEB </w:t>
      </w:r>
      <w:r w:rsidRPr="003D6A82">
        <w:rPr>
          <w:rFonts w:asciiTheme="minorHAnsi" w:hAnsiTheme="minorHAnsi"/>
        </w:rPr>
        <w:t>(</w:t>
      </w:r>
      <w:r w:rsidR="00FA0C65">
        <w:rPr>
          <w:rFonts w:asciiTheme="minorHAnsi" w:hAnsiTheme="minorHAnsi"/>
        </w:rPr>
        <w:t xml:space="preserve">see </w:t>
      </w:r>
      <w:r w:rsidRPr="003D6A82">
        <w:rPr>
          <w:rFonts w:asciiTheme="minorHAnsi" w:hAnsiTheme="minorHAnsi"/>
        </w:rPr>
        <w:fldChar w:fldCharType="begin"/>
      </w:r>
      <w:r w:rsidRPr="003D6A82">
        <w:rPr>
          <w:rFonts w:asciiTheme="minorHAnsi" w:hAnsiTheme="minorHAnsi"/>
        </w:rPr>
        <w:instrText xml:space="preserve"> REF _Ref412452133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t xml:space="preserve">Table </w:t>
      </w:r>
      <w:r w:rsidR="00BB0E3E">
        <w:rPr>
          <w:noProof/>
        </w:rPr>
        <w:t>95</w:t>
      </w:r>
      <w:r w:rsidRPr="003D6A82">
        <w:rPr>
          <w:rFonts w:asciiTheme="minorHAnsi" w:hAnsiTheme="minorHAnsi"/>
        </w:rPr>
        <w:fldChar w:fldCharType="end"/>
      </w:r>
      <w:r w:rsidRPr="003D6A82">
        <w:rPr>
          <w:rFonts w:asciiTheme="minorHAnsi" w:hAnsiTheme="minorHAnsi"/>
        </w:rPr>
        <w:t xml:space="preserve"> in </w:t>
      </w:r>
      <w:r w:rsidRPr="003D6A82">
        <w:rPr>
          <w:rFonts w:asciiTheme="minorHAnsi" w:hAnsiTheme="minorHAnsi"/>
        </w:rPr>
        <w:fldChar w:fldCharType="begin"/>
      </w:r>
      <w:r w:rsidRPr="003D6A82">
        <w:rPr>
          <w:rFonts w:asciiTheme="minorHAnsi" w:hAnsiTheme="minorHAnsi"/>
        </w:rPr>
        <w:instrText xml:space="preserve"> REF _Ref412211481 \h </w:instrText>
      </w:r>
      <w:r>
        <w:rPr>
          <w:rFonts w:asciiTheme="minorHAnsi" w:hAnsiTheme="minorHAnsi"/>
        </w:rPr>
        <w:instrText xml:space="preserve"> \* MERGEFORMAT </w:instrText>
      </w:r>
      <w:r w:rsidRPr="003D6A82">
        <w:rPr>
          <w:rFonts w:asciiTheme="minorHAnsi" w:hAnsiTheme="minorHAnsi"/>
        </w:rPr>
      </w:r>
      <w:r w:rsidRPr="003D6A82">
        <w:rPr>
          <w:rFonts w:asciiTheme="minorHAnsi" w:hAnsiTheme="minorHAnsi"/>
        </w:rPr>
        <w:fldChar w:fldCharType="separate"/>
      </w:r>
      <w:r w:rsidR="00BB0E3E" w:rsidRPr="001A4A46">
        <w:t xml:space="preserve">Appendix </w:t>
      </w:r>
      <w:r w:rsidR="00BB0E3E">
        <w:t>D</w:t>
      </w:r>
      <w:r w:rsidRPr="003D6A82">
        <w:rPr>
          <w:rFonts w:asciiTheme="minorHAnsi" w:hAnsiTheme="minorHAnsi"/>
        </w:rPr>
        <w:fldChar w:fldCharType="end"/>
      </w:r>
      <w:r w:rsidRPr="00FE563B">
        <w:rPr>
          <w:rFonts w:asciiTheme="minorHAnsi" w:hAnsiTheme="minorHAnsi"/>
        </w:rPr>
        <w:t xml:space="preserve">); however, no clinical </w:t>
      </w:r>
      <w:r w:rsidRPr="00FE563B">
        <w:rPr>
          <w:rFonts w:asciiTheme="minorHAnsi" w:hAnsiTheme="minorHAnsi"/>
        </w:rPr>
        <w:lastRenderedPageBreak/>
        <w:t>outcomes were reported for the fetuses</w:t>
      </w:r>
      <w:r w:rsidR="00FA0C65">
        <w:rPr>
          <w:rFonts w:asciiTheme="minorHAnsi" w:hAnsiTheme="minorHAnsi"/>
        </w:rPr>
        <w:t>,</w:t>
      </w:r>
      <w:r w:rsidR="00DD42BE">
        <w:rPr>
          <w:rFonts w:asciiTheme="minorHAnsi" w:hAnsiTheme="minorHAnsi"/>
        </w:rPr>
        <w:t xml:space="preserve"> </w:t>
      </w:r>
      <w:r w:rsidR="00FA0C65">
        <w:rPr>
          <w:rFonts w:asciiTheme="minorHAnsi" w:hAnsiTheme="minorHAnsi"/>
        </w:rPr>
        <w:t>as</w:t>
      </w:r>
      <w:r w:rsidR="00DD42BE">
        <w:rPr>
          <w:rFonts w:asciiTheme="minorHAnsi" w:hAnsiTheme="minorHAnsi"/>
        </w:rPr>
        <w:t xml:space="preserve"> there was no reference standard against which to determine the accuracy of the testing</w:t>
      </w:r>
      <w:r w:rsidRPr="00FE563B">
        <w:rPr>
          <w:rFonts w:asciiTheme="minorHAnsi" w:hAnsiTheme="minorHAnsi"/>
        </w:rPr>
        <w:t xml:space="preserve">. Most of the fetuses (94%; 46/49) had no detectable </w:t>
      </w:r>
      <w:r w:rsidR="00FD37D3" w:rsidRPr="00FD37D3">
        <w:rPr>
          <w:rFonts w:asciiTheme="minorHAnsi" w:hAnsiTheme="minorHAnsi"/>
        </w:rPr>
        <w:t>CFTR</w:t>
      </w:r>
      <w:r w:rsidRPr="00FE563B">
        <w:rPr>
          <w:rFonts w:asciiTheme="minorHAnsi" w:hAnsiTheme="minorHAnsi"/>
        </w:rPr>
        <w:t xml:space="preserve"> mutations and</w:t>
      </w:r>
      <w:r w:rsidR="00C9528C">
        <w:rPr>
          <w:rFonts w:asciiTheme="minorHAnsi" w:hAnsiTheme="minorHAnsi"/>
        </w:rPr>
        <w:t xml:space="preserve"> the remaining</w:t>
      </w:r>
      <w:r w:rsidRPr="00FE563B">
        <w:rPr>
          <w:rFonts w:asciiTheme="minorHAnsi" w:hAnsiTheme="minorHAnsi"/>
        </w:rPr>
        <w:t xml:space="preserve"> 6% (3/49) were found to be carriers with one </w:t>
      </w:r>
      <w:r w:rsidR="00FD37D3" w:rsidRPr="00FD37D3">
        <w:rPr>
          <w:rFonts w:asciiTheme="minorHAnsi" w:hAnsiTheme="minorHAnsi"/>
        </w:rPr>
        <w:t>CFTR</w:t>
      </w:r>
      <w:r w:rsidRPr="00FE563B">
        <w:rPr>
          <w:rFonts w:asciiTheme="minorHAnsi" w:hAnsiTheme="minorHAnsi"/>
        </w:rPr>
        <w:t xml:space="preserve"> mutation. No fetus was diagnosed with CF; this was likely due to the small size of the study and the low rate of CF among fetuses diagnosed with FEB (2</w:t>
      </w:r>
      <w:r w:rsidR="00FA0C65">
        <w:rPr>
          <w:rFonts w:asciiTheme="minorHAnsi" w:hAnsiTheme="minorHAnsi"/>
        </w:rPr>
        <w:t>–</w:t>
      </w:r>
      <w:r w:rsidRPr="00FE563B">
        <w:rPr>
          <w:rFonts w:asciiTheme="minorHAnsi" w:hAnsiTheme="minorHAnsi"/>
        </w:rPr>
        <w:t>13%,</w:t>
      </w:r>
      <w:r w:rsidR="00FA0C65">
        <w:rPr>
          <w:rFonts w:asciiTheme="minorHAnsi" w:hAnsiTheme="minorHAnsi"/>
        </w:rPr>
        <w:t xml:space="preserve"> see</w:t>
      </w:r>
      <w:r w:rsidRPr="00FE563B">
        <w:rPr>
          <w:rFonts w:asciiTheme="minorHAnsi" w:hAnsiTheme="minorHAnsi"/>
        </w:rPr>
        <w:t xml:space="preserve"> </w:t>
      </w:r>
      <w:r>
        <w:rPr>
          <w:rFonts w:asciiTheme="minorHAnsi" w:hAnsiTheme="minorHAnsi"/>
          <w:highlight w:val="yellow"/>
        </w:rPr>
        <w:fldChar w:fldCharType="begin"/>
      </w:r>
      <w:r>
        <w:rPr>
          <w:rFonts w:asciiTheme="minorHAnsi" w:hAnsiTheme="minorHAnsi"/>
        </w:rPr>
        <w:instrText xml:space="preserve"> REF _Ref412105967 \h </w:instrText>
      </w:r>
      <w:r>
        <w:rPr>
          <w:rFonts w:asciiTheme="minorHAnsi" w:hAnsiTheme="minorHAnsi"/>
          <w:highlight w:val="yellow"/>
        </w:rPr>
      </w:r>
      <w:r>
        <w:rPr>
          <w:rFonts w:asciiTheme="minorHAnsi" w:hAnsiTheme="minorHAnsi"/>
          <w:highlight w:val="yellow"/>
        </w:rPr>
        <w:fldChar w:fldCharType="separate"/>
      </w:r>
      <w:r w:rsidR="00BB0E3E">
        <w:t xml:space="preserve">Table </w:t>
      </w:r>
      <w:r w:rsidR="00BB0E3E">
        <w:rPr>
          <w:noProof/>
        </w:rPr>
        <w:t>44</w:t>
      </w:r>
      <w:r>
        <w:rPr>
          <w:rFonts w:asciiTheme="minorHAnsi" w:hAnsiTheme="minorHAnsi"/>
          <w:highlight w:val="yellow"/>
        </w:rPr>
        <w:fldChar w:fldCharType="end"/>
      </w:r>
      <w:r w:rsidR="00DD42BE">
        <w:rPr>
          <w:rFonts w:asciiTheme="minorHAnsi" w:hAnsiTheme="minorHAnsi"/>
        </w:rPr>
        <w:t xml:space="preserve"> in </w:t>
      </w:r>
      <w:r w:rsidR="00A156DF">
        <w:rPr>
          <w:rFonts w:asciiTheme="minorHAnsi" w:hAnsiTheme="minorHAnsi"/>
        </w:rPr>
        <w:t>s</w:t>
      </w:r>
      <w:r w:rsidR="00DD42BE">
        <w:rPr>
          <w:rFonts w:asciiTheme="minorHAnsi" w:hAnsiTheme="minorHAnsi"/>
        </w:rPr>
        <w:t>ection B.6.ii</w:t>
      </w:r>
      <w:r w:rsidRPr="00FE563B">
        <w:rPr>
          <w:rFonts w:asciiTheme="minorHAnsi" w:hAnsiTheme="minorHAnsi"/>
        </w:rPr>
        <w:t xml:space="preserve">). The accuracy of </w:t>
      </w:r>
      <w:r w:rsidR="00FD37D3" w:rsidRPr="00FD37D3">
        <w:rPr>
          <w:rFonts w:asciiTheme="minorHAnsi" w:hAnsiTheme="minorHAnsi"/>
        </w:rPr>
        <w:t>CFTR</w:t>
      </w:r>
      <w:r w:rsidRPr="00FE563B">
        <w:rPr>
          <w:rFonts w:asciiTheme="minorHAnsi" w:hAnsiTheme="minorHAnsi"/>
        </w:rPr>
        <w:t xml:space="preserve"> mutation testing compared </w:t>
      </w:r>
      <w:r w:rsidR="00FA0C65">
        <w:rPr>
          <w:rFonts w:asciiTheme="minorHAnsi" w:hAnsiTheme="minorHAnsi"/>
        </w:rPr>
        <w:t>with</w:t>
      </w:r>
      <w:r w:rsidR="00FA0C65" w:rsidRPr="00FE563B">
        <w:rPr>
          <w:rFonts w:asciiTheme="minorHAnsi" w:hAnsiTheme="minorHAnsi"/>
        </w:rPr>
        <w:t xml:space="preserve"> </w:t>
      </w:r>
      <w:r w:rsidRPr="00FE563B">
        <w:rPr>
          <w:rFonts w:asciiTheme="minorHAnsi" w:hAnsiTheme="minorHAnsi"/>
        </w:rPr>
        <w:t>clinical diagnosis after</w:t>
      </w:r>
      <w:r w:rsidR="00C9528C">
        <w:rPr>
          <w:rFonts w:asciiTheme="minorHAnsi" w:hAnsiTheme="minorHAnsi"/>
        </w:rPr>
        <w:t xml:space="preserve"> birth in fetuses with FEB could not</w:t>
      </w:r>
      <w:r w:rsidRPr="00FE563B">
        <w:rPr>
          <w:rFonts w:asciiTheme="minorHAnsi" w:hAnsiTheme="minorHAnsi"/>
        </w:rPr>
        <w:t xml:space="preserve"> be determined.</w:t>
      </w:r>
    </w:p>
    <w:p w14:paraId="2B22521E" w14:textId="1E146D23" w:rsidR="003B239A" w:rsidRPr="00FE563B" w:rsidRDefault="003B239A" w:rsidP="00B45FA8">
      <w:pPr>
        <w:pStyle w:val="Heading4"/>
      </w:pPr>
      <w:r w:rsidRPr="00FE563B">
        <w:t xml:space="preserve">Test failure rates, mutation identification errors and the limitations of </w:t>
      </w:r>
      <w:r w:rsidR="00FD37D3" w:rsidRPr="00FD37D3">
        <w:t>CFTR</w:t>
      </w:r>
      <w:r w:rsidRPr="00FE563B">
        <w:t xml:space="preserve"> mutation testing </w:t>
      </w:r>
    </w:p>
    <w:p w14:paraId="5EB50211" w14:textId="7FF8EB8A" w:rsidR="003B239A" w:rsidRPr="00FE563B" w:rsidRDefault="003B239A" w:rsidP="003B239A">
      <w:pPr>
        <w:rPr>
          <w:rFonts w:asciiTheme="minorHAnsi" w:hAnsiTheme="minorHAnsi"/>
        </w:rPr>
      </w:pPr>
      <w:r w:rsidRPr="00FE563B">
        <w:rPr>
          <w:rFonts w:asciiTheme="minorHAnsi" w:hAnsiTheme="minorHAnsi"/>
        </w:rPr>
        <w:t xml:space="preserve">Five studies reported on the test failure rates of seven different panel-based </w:t>
      </w:r>
      <w:r w:rsidR="00FD37D3" w:rsidRPr="00FD37D3">
        <w:rPr>
          <w:rFonts w:asciiTheme="minorHAnsi" w:hAnsiTheme="minorHAnsi"/>
        </w:rPr>
        <w:t>CFTR</w:t>
      </w:r>
      <w:r w:rsidRPr="00FE563B">
        <w:rPr>
          <w:rFonts w:asciiTheme="minorHAnsi" w:hAnsiTheme="minorHAnsi"/>
        </w:rPr>
        <w:t xml:space="preserve"> mutation tests. The test failures were resolved by either repeating the test or sequencing the appropriate amplicon for all seven tests. The median failure rate was 4.5% (range 0.0001</w:t>
      </w:r>
      <w:r w:rsidR="00FA0C65">
        <w:rPr>
          <w:rFonts w:asciiTheme="minorHAnsi" w:hAnsiTheme="minorHAnsi"/>
        </w:rPr>
        <w:t>–</w:t>
      </w:r>
      <w:r w:rsidRPr="00FE563B">
        <w:rPr>
          <w:rFonts w:asciiTheme="minorHAnsi" w:hAnsiTheme="minorHAnsi"/>
        </w:rPr>
        <w:t xml:space="preserve">9), suggesting that in diagnostic laboratories using panel-based </w:t>
      </w:r>
      <w:r w:rsidR="00FD37D3" w:rsidRPr="00FD37D3">
        <w:rPr>
          <w:rFonts w:asciiTheme="minorHAnsi" w:hAnsiTheme="minorHAnsi"/>
        </w:rPr>
        <w:t>CFTR</w:t>
      </w:r>
      <w:r w:rsidRPr="00FE563B">
        <w:rPr>
          <w:rFonts w:asciiTheme="minorHAnsi" w:hAnsiTheme="minorHAnsi"/>
        </w:rPr>
        <w:t xml:space="preserve"> mutation tests, about 4.5% of tests would need to be repeated. </w:t>
      </w:r>
    </w:p>
    <w:p w14:paraId="611D36B7" w14:textId="74289E96" w:rsidR="003B239A" w:rsidRPr="00FE563B" w:rsidRDefault="003B239A" w:rsidP="003B239A">
      <w:pPr>
        <w:rPr>
          <w:rFonts w:asciiTheme="minorHAnsi" w:hAnsiTheme="minorHAnsi"/>
        </w:rPr>
      </w:pPr>
      <w:r w:rsidRPr="00FE563B">
        <w:rPr>
          <w:rFonts w:asciiTheme="minorHAnsi" w:hAnsiTheme="minorHAnsi"/>
        </w:rPr>
        <w:t xml:space="preserve">There were very few false negative and no false positive results in the included studies that were due to mutation identification errors. The largest number of identification errors arose from </w:t>
      </w:r>
      <w:r w:rsidR="00FA0C65">
        <w:rPr>
          <w:rFonts w:asciiTheme="minorHAnsi" w:hAnsiTheme="minorHAnsi"/>
        </w:rPr>
        <w:t>2</w:t>
      </w:r>
      <w:r w:rsidR="00FA0C65" w:rsidRPr="00FE563B">
        <w:rPr>
          <w:rFonts w:asciiTheme="minorHAnsi" w:hAnsiTheme="minorHAnsi"/>
        </w:rPr>
        <w:t xml:space="preserve"> </w:t>
      </w:r>
      <w:r w:rsidRPr="00FE563B">
        <w:rPr>
          <w:rFonts w:asciiTheme="minorHAnsi" w:hAnsiTheme="minorHAnsi"/>
        </w:rPr>
        <w:t xml:space="preserve">studies that used a panel-based </w:t>
      </w:r>
      <w:r w:rsidR="00FD37D3" w:rsidRPr="00FD37D3">
        <w:rPr>
          <w:rFonts w:asciiTheme="minorHAnsi" w:hAnsiTheme="minorHAnsi"/>
        </w:rPr>
        <w:t>CFTR</w:t>
      </w:r>
      <w:r w:rsidRPr="00FE563B">
        <w:rPr>
          <w:rFonts w:asciiTheme="minorHAnsi" w:hAnsiTheme="minorHAnsi"/>
        </w:rPr>
        <w:t xml:space="preserve"> mutation test with ARMS detection technology</w:t>
      </w:r>
      <w:r w:rsidR="00C47717">
        <w:rPr>
          <w:rFonts w:asciiTheme="minorHAnsi" w:hAnsiTheme="minorHAnsi"/>
        </w:rPr>
        <w:t>, which</w:t>
      </w:r>
      <w:r w:rsidR="00DF5916">
        <w:rPr>
          <w:rFonts w:asciiTheme="minorHAnsi" w:hAnsiTheme="minorHAnsi"/>
        </w:rPr>
        <w:t xml:space="preserve"> </w:t>
      </w:r>
      <w:r w:rsidRPr="00FE563B">
        <w:rPr>
          <w:rFonts w:asciiTheme="minorHAnsi" w:hAnsiTheme="minorHAnsi"/>
        </w:rPr>
        <w:t>cannot distinguish between the heterozygous and homozygous state. In both studies 5% of the samples were homozygous and</w:t>
      </w:r>
      <w:r w:rsidR="00C47717">
        <w:rPr>
          <w:rFonts w:asciiTheme="minorHAnsi" w:hAnsiTheme="minorHAnsi"/>
        </w:rPr>
        <w:t>,</w:t>
      </w:r>
      <w:r w:rsidRPr="00FE563B">
        <w:rPr>
          <w:rFonts w:asciiTheme="minorHAnsi" w:hAnsiTheme="minorHAnsi"/>
        </w:rPr>
        <w:t xml:space="preserve"> therefore, the second mutation could not be de</w:t>
      </w:r>
      <w:r>
        <w:rPr>
          <w:rFonts w:asciiTheme="minorHAnsi" w:hAnsiTheme="minorHAnsi"/>
        </w:rPr>
        <w:t xml:space="preserve">termined using ARMS </w:t>
      </w:r>
      <w:r w:rsidRPr="003D6A82">
        <w:rPr>
          <w:rFonts w:asciiTheme="minorHAnsi" w:hAnsiTheme="minorHAnsi"/>
        </w:rPr>
        <w:t xml:space="preserve">technology </w:t>
      </w:r>
      <w:r>
        <w:rPr>
          <w:rFonts w:asciiTheme="minorHAnsi" w:hAnsiTheme="minorHAnsi"/>
        </w:rPr>
        <w:fldChar w:fldCharType="begin">
          <w:fldData xml:space="preserve">PEVuZE5vdGU+PENpdGU+PEF1dGhvcj5Ib3VkYXllcjwvQXV0aG9yPjxZZWFyPjE5OTg8L1llYXI+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</w:fldData>
        </w:fldChar>
      </w:r>
      <w:r w:rsidR="009A054F">
        <w:rPr>
          <w:rFonts w:asciiTheme="minorHAnsi" w:hAnsiTheme="minorHAnsi"/>
        </w:rPr>
        <w:instrText xml:space="preserve"> ADDIN EN.CITE </w:instrText>
      </w:r>
      <w:r w:rsidR="009A054F">
        <w:rPr>
          <w:rFonts w:asciiTheme="minorHAnsi" w:hAnsiTheme="minorHAnsi"/>
        </w:rPr>
        <w:fldChar w:fldCharType="begin">
          <w:fldData xml:space="preserve">PEVuZE5vdGU+PENpdGU+PEF1dGhvcj5Ib3VkYXllcjwvQXV0aG9yPjxZZWFyPjE5OTg8L1llYXI+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</w:fldData>
        </w:fldChar>
      </w:r>
      <w:r w:rsidR="009A054F">
        <w:rPr>
          <w:rFonts w:asciiTheme="minorHAnsi" w:hAnsiTheme="minorHAnsi"/>
        </w:rPr>
        <w:instrText xml:space="preserve"> ADDIN EN.CITE.DATA </w:instrText>
      </w:r>
      <w:r w:rsidR="009A054F">
        <w:rPr>
          <w:rFonts w:asciiTheme="minorHAnsi" w:hAnsiTheme="minorHAnsi"/>
        </w:rPr>
      </w:r>
      <w:r w:rsidR="009A054F">
        <w:rPr>
          <w:rFonts w:asciiTheme="minorHAnsi" w:hAnsiTheme="minorHAnsi"/>
        </w:rPr>
        <w:fldChar w:fldCharType="end"/>
      </w:r>
      <w:r>
        <w:rPr>
          <w:rFonts w:asciiTheme="minorHAnsi" w:hAnsiTheme="minorHAnsi"/>
        </w:rPr>
      </w:r>
      <w:r>
        <w:rPr>
          <w:rFonts w:asciiTheme="minorHAnsi" w:hAnsiTheme="minorHAnsi"/>
        </w:rPr>
        <w:fldChar w:fldCharType="separate"/>
      </w:r>
      <w:r>
        <w:rPr>
          <w:rFonts w:asciiTheme="minorHAnsi" w:hAnsiTheme="minorHAnsi"/>
          <w:noProof/>
        </w:rPr>
        <w:t>(</w:t>
      </w:r>
      <w:hyperlink w:anchor="_ENREF_54" w:tooltip="Houdayer, 1998 #899" w:history="1">
        <w:r w:rsidR="00B46ABF">
          <w:rPr>
            <w:rFonts w:asciiTheme="minorHAnsi" w:hAnsiTheme="minorHAnsi"/>
            <w:noProof/>
          </w:rPr>
          <w:t>Houdayer et al. 1998</w:t>
        </w:r>
      </w:hyperlink>
      <w:r>
        <w:rPr>
          <w:rFonts w:asciiTheme="minorHAnsi" w:hAnsiTheme="minorHAnsi"/>
          <w:noProof/>
        </w:rPr>
        <w:t xml:space="preserve">; </w:t>
      </w:r>
      <w:hyperlink w:anchor="_ENREF_124" w:tooltip="Tomaiuolo, 2003 #191" w:history="1">
        <w:r w:rsidR="00B46ABF">
          <w:rPr>
            <w:rFonts w:asciiTheme="minorHAnsi" w:hAnsiTheme="minorHAnsi"/>
            <w:noProof/>
          </w:rPr>
          <w:t>Tomaiuolo, Spina &amp; Castaldo 2003</w:t>
        </w:r>
      </w:hyperlink>
      <w:r>
        <w:rPr>
          <w:rFonts w:asciiTheme="minorHAnsi" w:hAnsiTheme="minorHAnsi"/>
          <w:noProof/>
        </w:rPr>
        <w:t>)</w:t>
      </w:r>
      <w:r>
        <w:rPr>
          <w:rFonts w:asciiTheme="minorHAnsi" w:hAnsiTheme="minorHAnsi"/>
        </w:rPr>
        <w:fldChar w:fldCharType="end"/>
      </w:r>
      <w:r w:rsidRPr="003D6A82">
        <w:rPr>
          <w:rFonts w:asciiTheme="minorHAnsi" w:hAnsiTheme="minorHAnsi"/>
        </w:rPr>
        <w:t>.</w:t>
      </w:r>
      <w:r w:rsidRPr="00FE563B">
        <w:rPr>
          <w:rFonts w:asciiTheme="minorHAnsi" w:hAnsiTheme="minorHAnsi"/>
        </w:rPr>
        <w:t xml:space="preserve"> </w:t>
      </w:r>
    </w:p>
    <w:p w14:paraId="38C903F1" w14:textId="35666CE3" w:rsidR="003B239A" w:rsidRPr="00FE563B" w:rsidRDefault="003B239A" w:rsidP="003B239A">
      <w:pPr>
        <w:rPr>
          <w:rFonts w:asciiTheme="minorHAnsi" w:hAnsiTheme="minorHAnsi"/>
        </w:rPr>
      </w:pPr>
      <w:r w:rsidRPr="00FE563B">
        <w:rPr>
          <w:rFonts w:asciiTheme="minorHAnsi" w:hAnsiTheme="minorHAnsi"/>
        </w:rPr>
        <w:t>Ravnik-Glavač</w:t>
      </w:r>
      <w:r w:rsidR="006C693C">
        <w:rPr>
          <w:rFonts w:asciiTheme="minorHAnsi" w:hAnsiTheme="minorHAnsi"/>
        </w:rPr>
        <w:t>,</w:t>
      </w:r>
      <w:r w:rsidRPr="00FE563B">
        <w:rPr>
          <w:rFonts w:asciiTheme="minorHAnsi" w:hAnsiTheme="minorHAnsi"/>
        </w:rPr>
        <w:t xml:space="preserve"> </w:t>
      </w:r>
      <w:r w:rsidR="006C693C" w:rsidRPr="00FE563B">
        <w:rPr>
          <w:rFonts w:asciiTheme="minorHAnsi" w:hAnsiTheme="minorHAnsi"/>
        </w:rPr>
        <w:t>Glavač</w:t>
      </w:r>
      <w:r w:rsidR="00DF5916">
        <w:rPr>
          <w:rFonts w:asciiTheme="minorHAnsi" w:hAnsiTheme="minorHAnsi"/>
        </w:rPr>
        <w:t xml:space="preserve"> </w:t>
      </w:r>
      <w:r w:rsidR="006C693C">
        <w:rPr>
          <w:rFonts w:asciiTheme="minorHAnsi" w:hAnsiTheme="minorHAnsi"/>
        </w:rPr>
        <w:t xml:space="preserve">&amp; Dean </w:t>
      </w:r>
      <w:r w:rsidRPr="00FE563B">
        <w:rPr>
          <w:rFonts w:asciiTheme="minorHAnsi" w:hAnsiTheme="minorHAnsi"/>
        </w:rPr>
        <w:t xml:space="preserve">(1994) found that the SSCP exon-scanning </w:t>
      </w:r>
      <w:r w:rsidR="00FD37D3" w:rsidRPr="00FD37D3">
        <w:rPr>
          <w:rFonts w:asciiTheme="minorHAnsi" w:hAnsiTheme="minorHAnsi"/>
        </w:rPr>
        <w:t>CFTR</w:t>
      </w:r>
      <w:r w:rsidRPr="00FE563B">
        <w:rPr>
          <w:rFonts w:asciiTheme="minorHAnsi" w:hAnsiTheme="minorHAnsi"/>
        </w:rPr>
        <w:t xml:space="preserve"> mutation test requires optimisation for best performance and that there was no optimal condition suitable for all exons. In their laboratory a 10% gel with 1.3% cross-linking in the presence of glycerol had a sensitivity of 100% for most exons</w:t>
      </w:r>
      <w:r w:rsidR="004E58F7" w:rsidRPr="00FE563B">
        <w:rPr>
          <w:rFonts w:asciiTheme="minorHAnsi" w:hAnsiTheme="minorHAnsi"/>
        </w:rPr>
        <w:t xml:space="preserve"> </w:t>
      </w:r>
      <w:r w:rsidRPr="00FE563B">
        <w:rPr>
          <w:rFonts w:asciiTheme="minorHAnsi" w:hAnsiTheme="minorHAnsi"/>
        </w:rPr>
        <w:t xml:space="preserve">and </w:t>
      </w:r>
      <w:r>
        <w:rPr>
          <w:rFonts w:asciiTheme="minorHAnsi" w:hAnsiTheme="minorHAnsi"/>
        </w:rPr>
        <w:t>80</w:t>
      </w:r>
      <w:r w:rsidR="00B66E7F">
        <w:rPr>
          <w:rFonts w:asciiTheme="minorHAnsi" w:hAnsiTheme="minorHAnsi"/>
        </w:rPr>
        <w:t>–</w:t>
      </w:r>
      <w:r>
        <w:rPr>
          <w:rFonts w:asciiTheme="minorHAnsi" w:hAnsiTheme="minorHAnsi"/>
        </w:rPr>
        <w:t>98% for exons 4, 7, and 13. U</w:t>
      </w:r>
      <w:r w:rsidRPr="00FE563B">
        <w:rPr>
          <w:rFonts w:asciiTheme="minorHAnsi" w:hAnsiTheme="minorHAnsi"/>
        </w:rPr>
        <w:t>nder these conditions only 3% (4/133)</w:t>
      </w:r>
      <w:r w:rsidR="00DD42BE">
        <w:rPr>
          <w:rFonts w:asciiTheme="minorHAnsi" w:hAnsiTheme="minorHAnsi"/>
        </w:rPr>
        <w:t xml:space="preserve"> of</w:t>
      </w:r>
      <w:r w:rsidRPr="00FE563B">
        <w:rPr>
          <w:rFonts w:asciiTheme="minorHAnsi" w:hAnsiTheme="minorHAnsi"/>
        </w:rPr>
        <w:t xml:space="preserve"> known mutations were missed. Ravnik-Glavač et al. (2002) found that the DHPLC exon-scanning </w:t>
      </w:r>
      <w:r w:rsidR="00FD37D3" w:rsidRPr="00FD37D3">
        <w:rPr>
          <w:rFonts w:asciiTheme="minorHAnsi" w:hAnsiTheme="minorHAnsi"/>
        </w:rPr>
        <w:t>CFTR</w:t>
      </w:r>
      <w:r w:rsidRPr="00FE563B">
        <w:rPr>
          <w:rFonts w:asciiTheme="minorHAnsi" w:hAnsiTheme="minorHAnsi"/>
        </w:rPr>
        <w:t xml:space="preserve"> mutation test was dependent on denaturation conditions</w:t>
      </w:r>
      <w:r w:rsidR="001E7633">
        <w:rPr>
          <w:rFonts w:asciiTheme="minorHAnsi" w:hAnsiTheme="minorHAnsi"/>
        </w:rPr>
        <w:t>, and</w:t>
      </w:r>
      <w:r w:rsidRPr="00FE563B">
        <w:rPr>
          <w:rFonts w:asciiTheme="minorHAnsi" w:hAnsiTheme="minorHAnsi"/>
        </w:rPr>
        <w:t xml:space="preserve"> that 10% (7/73) of </w:t>
      </w:r>
      <w:r w:rsidR="00FD37D3" w:rsidRPr="00FD37D3">
        <w:rPr>
          <w:rFonts w:asciiTheme="minorHAnsi" w:hAnsiTheme="minorHAnsi"/>
        </w:rPr>
        <w:t>CFTR</w:t>
      </w:r>
      <w:r w:rsidRPr="00FE563B">
        <w:rPr>
          <w:rFonts w:asciiTheme="minorHAnsi" w:hAnsiTheme="minorHAnsi"/>
        </w:rPr>
        <w:t xml:space="preserve"> mutations were not detected at the recommended denaturation temperature. However, when the melting temperature was optimised for each amplicon</w:t>
      </w:r>
      <w:r w:rsidR="00C3573F">
        <w:rPr>
          <w:rFonts w:asciiTheme="minorHAnsi" w:hAnsiTheme="minorHAnsi"/>
        </w:rPr>
        <w:t>,</w:t>
      </w:r>
      <w:r w:rsidRPr="00FE563B">
        <w:rPr>
          <w:rFonts w:asciiTheme="minorHAnsi" w:hAnsiTheme="minorHAnsi"/>
        </w:rPr>
        <w:t xml:space="preserve"> they could detect all </w:t>
      </w:r>
      <w:r w:rsidR="00FD37D3" w:rsidRPr="00FD37D3">
        <w:rPr>
          <w:rFonts w:asciiTheme="minorHAnsi" w:hAnsiTheme="minorHAnsi"/>
        </w:rPr>
        <w:t>CFTR</w:t>
      </w:r>
      <w:r w:rsidRPr="00FE563B">
        <w:rPr>
          <w:rFonts w:asciiTheme="minorHAnsi" w:hAnsiTheme="minorHAnsi"/>
        </w:rPr>
        <w:t xml:space="preserve"> mutations.</w:t>
      </w:r>
    </w:p>
    <w:p w14:paraId="12A8F8E3" w14:textId="22E794F3" w:rsidR="003B239A" w:rsidRPr="00FE563B" w:rsidRDefault="003B239A" w:rsidP="003B239A">
      <w:pPr>
        <w:rPr>
          <w:rFonts w:asciiTheme="minorHAnsi" w:hAnsiTheme="minorHAnsi"/>
        </w:rPr>
      </w:pPr>
      <w:r w:rsidRPr="00FE563B">
        <w:rPr>
          <w:rFonts w:asciiTheme="minorHAnsi" w:hAnsiTheme="minorHAnsi"/>
        </w:rPr>
        <w:t xml:space="preserve">Only </w:t>
      </w:r>
      <w:r w:rsidR="001E7633">
        <w:rPr>
          <w:rFonts w:asciiTheme="minorHAnsi" w:hAnsiTheme="minorHAnsi"/>
        </w:rPr>
        <w:t>2</w:t>
      </w:r>
      <w:r w:rsidR="001E7633" w:rsidRPr="00FE563B">
        <w:rPr>
          <w:rFonts w:asciiTheme="minorHAnsi" w:hAnsiTheme="minorHAnsi"/>
        </w:rPr>
        <w:t xml:space="preserve"> </w:t>
      </w:r>
      <w:r w:rsidRPr="00FE563B">
        <w:rPr>
          <w:rFonts w:asciiTheme="minorHAnsi" w:hAnsiTheme="minorHAnsi"/>
        </w:rPr>
        <w:t xml:space="preserve">other included studies reported misidentification errors. One level IV study reported that a panel-based </w:t>
      </w:r>
      <w:r w:rsidR="00FD37D3" w:rsidRPr="00FD37D3">
        <w:rPr>
          <w:rFonts w:asciiTheme="minorHAnsi" w:hAnsiTheme="minorHAnsi"/>
        </w:rPr>
        <w:t>CFTR</w:t>
      </w:r>
      <w:r w:rsidRPr="00FE563B">
        <w:rPr>
          <w:rFonts w:asciiTheme="minorHAnsi" w:hAnsiTheme="minorHAnsi"/>
        </w:rPr>
        <w:t xml:space="preserve"> mutation test using an </w:t>
      </w:r>
      <w:r w:rsidRPr="003D6A82">
        <w:rPr>
          <w:rFonts w:asciiTheme="minorHAnsi" w:hAnsiTheme="minorHAnsi"/>
        </w:rPr>
        <w:t>oligonucleotide ligation</w:t>
      </w:r>
      <w:r w:rsidR="001E7633">
        <w:rPr>
          <w:rFonts w:asciiTheme="minorHAnsi" w:hAnsiTheme="minorHAnsi"/>
        </w:rPr>
        <w:t>-</w:t>
      </w:r>
      <w:r w:rsidRPr="003D6A82">
        <w:rPr>
          <w:rFonts w:asciiTheme="minorHAnsi" w:hAnsiTheme="minorHAnsi"/>
        </w:rPr>
        <w:t xml:space="preserve">based detection assay made 0.7% (7/1076) miscalls of the IVS8 5T/7T/9T polymorphism </w:t>
      </w:r>
      <w:r>
        <w:rPr>
          <w:rFonts w:asciiTheme="minorHAnsi" w:hAnsiTheme="minorHAnsi"/>
        </w:rPr>
        <w:fldChar w:fldCharType="begin"/>
      </w:r>
      <w:r w:rsidR="009A054F">
        <w:rPr>
          <w:rFonts w:asciiTheme="minorHAnsi" w:hAnsiTheme="minorHAnsi"/>
        </w:rPr>
        <w:instrText xml:space="preserve"> ADDIN EN.CITE &lt;EndNote&gt;&lt;Cite&gt;&lt;Author&gt;Strom&lt;/Author&gt;&lt;Year&gt;2004&lt;/Year&gt;&lt;RecNum&gt;1049&lt;/RecNum&gt;&lt;IDText&gt;836-845&lt;/IDText&gt;&lt;DisplayText&gt;(Strom et al. 2004)&lt;/DisplayText&gt;&lt;record&gt;&lt;rec-number&gt;1049&lt;/rec-number&gt;&lt;foreign-keys&gt;&lt;key app="EN" db-id="parffa0acae2voep5w3vv9rypas2tr522eef" timestamp="1430369663"&gt;1049&lt;/key&gt;&lt;/foreign-keys&gt;&lt;ref-type name="Journal Article"&gt;17&lt;/ref-type&gt;&lt;contributors&gt;&lt;authors&gt;&lt;author&gt;Strom, C. M.&lt;/author&gt;&lt;author&gt;Clark, D. D.&lt;/author&gt;&lt;author&gt;Hantash, F. M.&lt;/author&gt;&lt;author&gt;Rea, L.&lt;/author&gt;&lt;author&gt;Anderson, B.&lt;/author&gt;&lt;author&gt;Maul, D.&lt;/author&gt;&lt;author&gt;Huang, D.&lt;/author&gt;&lt;author&gt;Traul, D.&lt;/author&gt;&lt;author&gt;Tubman, C. C.&lt;/author&gt;&lt;author&gt;Garcia, R.&lt;/author&gt;&lt;author&gt;Hess, P. P.&lt;/author&gt;&lt;author&gt;Wang, H.&lt;/author&gt;&lt;author&gt;Crossley, B.&lt;/author&gt;&lt;author&gt;Woodruff, E.&lt;/author&gt;&lt;author&gt;Chen, R.&lt;/author&gt;&lt;author&gt;Killeen, M.&lt;/author&gt;&lt;author&gt;Sun, W.&lt;/author&gt;&lt;author&gt;Beer, J.&lt;/author&gt;&lt;author&gt;Avens, H.&lt;/author&gt;&lt;author&gt;Polisky, B.&lt;/author&gt;&lt;author&gt;Jenison, R. D.&lt;/author&gt;&lt;/authors&gt;&lt;/contributors&gt;&lt;auth-address&gt;Nichols Institute, Quest Diagnostics, San Juan Capistrano, CA, United States&amp;#xD;Thermo Electron, Inc., Point Care Rapid Diagnostics, 331 S. 104th St., Louisville, CO 80027, United States&amp;#xD;2505 Meridian Pkwy, Durham, NC, United States&amp;#xD;Sirna Therapeutics, 2945 Wilderness Place, Boulder, CO, United States&lt;/auth-address&gt;&lt;titles&gt;&lt;title&gt;Direct visualization of cystic fibrosis transmembrane regulator mutations in the clinical laboratory setting&lt;/title&gt;&lt;secondary-title&gt;Clinical Chemistry&lt;/secondary-title&gt;&lt;/titles&gt;&lt;periodical&gt;&lt;full-title&gt;Clinical Chemistry&lt;/full-title&gt;&lt;/periodical&gt;&lt;pages&gt;836-845&lt;/pages&gt;&lt;volume&gt;50&lt;/volume&gt;&lt;number&gt;5&lt;/number&gt;&lt;dates&gt;&lt;year&gt;2004&lt;/year&gt;&lt;/dates&gt;&lt;urls&gt;&lt;related-urls&gt;&lt;url&gt;http://www.scopus.com/inward/record.url?eid=2-s2.0-11144353926&amp;amp;partnerID=40&amp;amp;md5=e44844ebf56654eda727073d038b911d&lt;/url&gt;&lt;url&gt;http://www.clinchem.org/content/50/5/836.full.pdf&lt;/url&gt;&lt;/related-urls&gt;&lt;/urls&gt;&lt;remote-database-name&gt;Scopus&lt;/remote-database-name&gt;&lt;/record&gt;&lt;/Cite&gt;&lt;/EndNote&gt;</w:instrText>
      </w:r>
      <w:r>
        <w:rPr>
          <w:rFonts w:asciiTheme="minorHAnsi" w:hAnsiTheme="minorHAnsi"/>
        </w:rPr>
        <w:fldChar w:fldCharType="separate"/>
      </w:r>
      <w:r>
        <w:rPr>
          <w:rFonts w:asciiTheme="minorHAnsi" w:hAnsiTheme="minorHAnsi"/>
          <w:noProof/>
        </w:rPr>
        <w:t>(</w:t>
      </w:r>
      <w:hyperlink w:anchor="_ENREF_118" w:tooltip="Strom, 2004 #1049" w:history="1">
        <w:r w:rsidR="00B46ABF">
          <w:rPr>
            <w:rFonts w:asciiTheme="minorHAnsi" w:hAnsiTheme="minorHAnsi"/>
            <w:noProof/>
          </w:rPr>
          <w:t>Strom et al. 2004</w:t>
        </w:r>
      </w:hyperlink>
      <w:r>
        <w:rPr>
          <w:rFonts w:asciiTheme="minorHAnsi" w:hAnsiTheme="minorHAnsi"/>
          <w:noProof/>
        </w:rPr>
        <w:t>)</w:t>
      </w:r>
      <w:r>
        <w:rPr>
          <w:rFonts w:asciiTheme="minorHAnsi" w:hAnsiTheme="minorHAnsi"/>
        </w:rPr>
        <w:fldChar w:fldCharType="end"/>
      </w:r>
      <w:r w:rsidRPr="003D6A82">
        <w:rPr>
          <w:rFonts w:asciiTheme="minorHAnsi" w:hAnsiTheme="minorHAnsi"/>
        </w:rPr>
        <w:t>. Another</w:t>
      </w:r>
      <w:r w:rsidRPr="00FE563B">
        <w:rPr>
          <w:rFonts w:asciiTheme="minorHAnsi" w:hAnsiTheme="minorHAnsi"/>
        </w:rPr>
        <w:t xml:space="preserve"> level IV study by Nagy et al</w:t>
      </w:r>
      <w:r w:rsidR="001E7633">
        <w:rPr>
          <w:rFonts w:asciiTheme="minorHAnsi" w:hAnsiTheme="minorHAnsi"/>
        </w:rPr>
        <w:t>.</w:t>
      </w:r>
      <w:r w:rsidRPr="00FE563B">
        <w:rPr>
          <w:rFonts w:asciiTheme="minorHAnsi" w:hAnsiTheme="minorHAnsi"/>
        </w:rPr>
        <w:t xml:space="preserve"> </w:t>
      </w:r>
      <w:r w:rsidRPr="003D6A82">
        <w:rPr>
          <w:rFonts w:asciiTheme="minorHAnsi" w:hAnsiTheme="minorHAnsi"/>
        </w:rPr>
        <w:t>(2007) reported</w:t>
      </w:r>
      <w:r w:rsidRPr="00FE563B">
        <w:rPr>
          <w:rFonts w:asciiTheme="minorHAnsi" w:hAnsiTheme="minorHAnsi"/>
        </w:rPr>
        <w:t xml:space="preserve"> that their panel-based </w:t>
      </w:r>
      <w:r w:rsidR="00FD37D3" w:rsidRPr="00FD37D3">
        <w:rPr>
          <w:rFonts w:asciiTheme="minorHAnsi" w:hAnsiTheme="minorHAnsi"/>
        </w:rPr>
        <w:t>CFTR</w:t>
      </w:r>
      <w:r w:rsidRPr="00FE563B">
        <w:rPr>
          <w:rFonts w:asciiTheme="minorHAnsi" w:hAnsiTheme="minorHAnsi"/>
        </w:rPr>
        <w:t xml:space="preserve"> mutation test using fluorescent PCR and fragment analysis did not recogni</w:t>
      </w:r>
      <w:r w:rsidR="001E7633">
        <w:rPr>
          <w:rFonts w:asciiTheme="minorHAnsi" w:hAnsiTheme="minorHAnsi"/>
        </w:rPr>
        <w:t>s</w:t>
      </w:r>
      <w:r w:rsidRPr="00FE563B">
        <w:rPr>
          <w:rFonts w:asciiTheme="minorHAnsi" w:hAnsiTheme="minorHAnsi"/>
        </w:rPr>
        <w:t>e a one</w:t>
      </w:r>
      <w:r w:rsidR="001E7633">
        <w:rPr>
          <w:rFonts w:asciiTheme="minorHAnsi" w:hAnsiTheme="minorHAnsi"/>
        </w:rPr>
        <w:t>-</w:t>
      </w:r>
      <w:r w:rsidRPr="00FE563B">
        <w:rPr>
          <w:rFonts w:asciiTheme="minorHAnsi" w:hAnsiTheme="minorHAnsi"/>
        </w:rPr>
        <w:t>base</w:t>
      </w:r>
      <w:r w:rsidR="001E7633">
        <w:rPr>
          <w:rFonts w:asciiTheme="minorHAnsi" w:hAnsiTheme="minorHAnsi"/>
        </w:rPr>
        <w:t>-</w:t>
      </w:r>
      <w:r w:rsidRPr="00FE563B">
        <w:rPr>
          <w:rFonts w:asciiTheme="minorHAnsi" w:hAnsiTheme="minorHAnsi"/>
        </w:rPr>
        <w:t xml:space="preserve">pair difference and could not detect the F508Cdel mutation (caused by the deletion of a T). </w:t>
      </w:r>
    </w:p>
    <w:p w14:paraId="7760E91D" w14:textId="77777777" w:rsidR="003B239A" w:rsidRPr="00FE563B" w:rsidRDefault="003B239A" w:rsidP="00B45FA8">
      <w:pPr>
        <w:pStyle w:val="Heading4"/>
      </w:pPr>
      <w:r w:rsidRPr="00FE563B">
        <w:t>Conclusion</w:t>
      </w:r>
    </w:p>
    <w:p w14:paraId="5BDBF6C5" w14:textId="2F3F93A0" w:rsidR="003B239A" w:rsidRPr="00FE563B" w:rsidRDefault="003B239A" w:rsidP="003B239A">
      <w:pPr>
        <w:rPr>
          <w:rFonts w:asciiTheme="minorHAnsi" w:hAnsiTheme="minorHAnsi"/>
        </w:rPr>
      </w:pPr>
      <w:r w:rsidRPr="00FE563B">
        <w:rPr>
          <w:rFonts w:asciiTheme="minorHAnsi" w:hAnsiTheme="minorHAnsi"/>
        </w:rPr>
        <w:t xml:space="preserve">In summary, a panel-based </w:t>
      </w:r>
      <w:r w:rsidR="00FD37D3" w:rsidRPr="00FD37D3">
        <w:rPr>
          <w:rFonts w:asciiTheme="minorHAnsi" w:hAnsiTheme="minorHAnsi"/>
        </w:rPr>
        <w:t>CFTR</w:t>
      </w:r>
      <w:r w:rsidRPr="00FE563B">
        <w:rPr>
          <w:rFonts w:asciiTheme="minorHAnsi" w:hAnsiTheme="minorHAnsi"/>
        </w:rPr>
        <w:t xml:space="preserve"> mutation test will not detect any mutation other than those included in the </w:t>
      </w:r>
      <w:r w:rsidR="00FD37D3" w:rsidRPr="00FD37D3">
        <w:rPr>
          <w:rFonts w:asciiTheme="minorHAnsi" w:hAnsiTheme="minorHAnsi"/>
        </w:rPr>
        <w:t>CFTR</w:t>
      </w:r>
      <w:r w:rsidRPr="00FE563B">
        <w:rPr>
          <w:rFonts w:asciiTheme="minorHAnsi" w:hAnsiTheme="minorHAnsi"/>
        </w:rPr>
        <w:t xml:space="preserve"> mutation panel used by the test. Both panel-based and exon-scanning </w:t>
      </w:r>
      <w:r w:rsidR="00FD37D3" w:rsidRPr="00FD37D3">
        <w:rPr>
          <w:rFonts w:asciiTheme="minorHAnsi" w:hAnsiTheme="minorHAnsi"/>
        </w:rPr>
        <w:t>CFTR</w:t>
      </w:r>
      <w:r w:rsidRPr="00FE563B">
        <w:rPr>
          <w:rFonts w:asciiTheme="minorHAnsi" w:hAnsiTheme="minorHAnsi"/>
        </w:rPr>
        <w:t xml:space="preserve"> mutation tests, as well as DNA sequencing-based tests</w:t>
      </w:r>
      <w:r w:rsidR="001E7633">
        <w:rPr>
          <w:rFonts w:asciiTheme="minorHAnsi" w:hAnsiTheme="minorHAnsi"/>
        </w:rPr>
        <w:t>,</w:t>
      </w:r>
      <w:r w:rsidRPr="00FE563B">
        <w:rPr>
          <w:rFonts w:asciiTheme="minorHAnsi" w:hAnsiTheme="minorHAnsi"/>
        </w:rPr>
        <w:t xml:space="preserve"> cannot detect large deletion or insertion </w:t>
      </w:r>
      <w:r w:rsidRPr="00FE563B">
        <w:rPr>
          <w:rFonts w:asciiTheme="minorHAnsi" w:hAnsiTheme="minorHAnsi"/>
        </w:rPr>
        <w:lastRenderedPageBreak/>
        <w:t>mutations, which occur in about 2% of CF patients worldwide</w:t>
      </w:r>
      <w:r w:rsidRPr="00FE563B">
        <w:rPr>
          <w:rFonts w:asciiTheme="minorHAnsi" w:hAnsiTheme="minorHAnsi"/>
          <w:vertAlign w:val="superscript"/>
        </w:rPr>
        <w:footnoteReference w:id="9"/>
      </w:r>
      <w:r w:rsidRPr="00FE563B">
        <w:rPr>
          <w:rFonts w:asciiTheme="minorHAnsi" w:hAnsiTheme="minorHAnsi"/>
        </w:rPr>
        <w:t xml:space="preserve">. Methods such as MLPA are required to detect these rare mutations. Even extensive DNA sequencing of all exons and flanking regions plus deletion/insertion analysis will not detect all mutations. Thus, in the case of a negative result, it is important for the diagnostic laboratory to explain the scope of the mutation testing that was undertaken and the likelihood of the patient being truly negative to the clinician requesting the test. </w:t>
      </w:r>
    </w:p>
    <w:p w14:paraId="2096B983" w14:textId="159C95CD" w:rsidR="003B239A" w:rsidRPr="00FE563B" w:rsidRDefault="003B239A" w:rsidP="003B239A">
      <w:pPr>
        <w:rPr>
          <w:rFonts w:asciiTheme="minorHAnsi" w:hAnsiTheme="minorHAnsi"/>
        </w:rPr>
      </w:pPr>
      <w:r w:rsidRPr="00FE563B">
        <w:t>This was highlighted by the results of the extern</w:t>
      </w:r>
      <w:r>
        <w:t>al European QAP for CF in 2014</w:t>
      </w:r>
      <w:r>
        <w:rPr>
          <w:rStyle w:val="FootnoteReference"/>
        </w:rPr>
        <w:footnoteReference w:id="10"/>
      </w:r>
      <w:r w:rsidRPr="00FE563B">
        <w:t xml:space="preserve">, which reported that </w:t>
      </w:r>
      <w:r w:rsidRPr="00FE563B">
        <w:rPr>
          <w:rFonts w:asciiTheme="minorHAnsi" w:hAnsiTheme="minorHAnsi"/>
        </w:rPr>
        <w:t>27% (3/11) of Australian laboratories did not correctly report the results. Two laboratories did not interpret the results correctly and one laboratory made an error in the risk calculation. This could lead to future problems, especially for falsely</w:t>
      </w:r>
      <w:r w:rsidR="001E7633">
        <w:rPr>
          <w:rFonts w:asciiTheme="minorHAnsi" w:hAnsiTheme="minorHAnsi"/>
        </w:rPr>
        <w:t xml:space="preserve"> </w:t>
      </w:r>
      <w:r w:rsidRPr="00FE563B">
        <w:rPr>
          <w:rFonts w:asciiTheme="minorHAnsi" w:hAnsiTheme="minorHAnsi"/>
        </w:rPr>
        <w:t xml:space="preserve">negative </w:t>
      </w:r>
      <w:r w:rsidR="00FD37D3" w:rsidRPr="00FD37D3">
        <w:rPr>
          <w:rFonts w:asciiTheme="minorHAnsi" w:hAnsiTheme="minorHAnsi"/>
        </w:rPr>
        <w:t>CFTR</w:t>
      </w:r>
      <w:r w:rsidRPr="00FE563B">
        <w:rPr>
          <w:rFonts w:asciiTheme="minorHAnsi" w:hAnsiTheme="minorHAnsi"/>
        </w:rPr>
        <w:t xml:space="preserve"> mutation carriers</w:t>
      </w:r>
      <w:r w:rsidR="0019403F">
        <w:rPr>
          <w:rFonts w:asciiTheme="minorHAnsi" w:hAnsiTheme="minorHAnsi"/>
        </w:rPr>
        <w:t>, and emphasises the importance of proper pre- and post-test counselling to make patients aware that the tests are not 100</w:t>
      </w:r>
      <w:r w:rsidR="001E7633">
        <w:rPr>
          <w:rFonts w:asciiTheme="minorHAnsi" w:hAnsiTheme="minorHAnsi"/>
        </w:rPr>
        <w:t>%</w:t>
      </w:r>
      <w:r w:rsidR="0019403F">
        <w:rPr>
          <w:rFonts w:asciiTheme="minorHAnsi" w:hAnsiTheme="minorHAnsi"/>
        </w:rPr>
        <w:t xml:space="preserve"> specific</w:t>
      </w:r>
      <w:r w:rsidRPr="00FE563B">
        <w:rPr>
          <w:rFonts w:asciiTheme="minorHAnsi" w:hAnsiTheme="minorHAnsi"/>
        </w:rPr>
        <w:t>.</w:t>
      </w:r>
    </w:p>
    <w:p w14:paraId="5157972D" w14:textId="332B9724" w:rsidR="00A74345" w:rsidRPr="00A660C4" w:rsidRDefault="003D4D22" w:rsidP="003B239A">
      <w:pPr>
        <w:pStyle w:val="Heading2"/>
        <w:rPr>
          <w:u w:val="single"/>
        </w:rPr>
      </w:pPr>
      <w:bookmarkStart w:id="266" w:name="_Toc418179906"/>
      <w:r w:rsidRPr="008B4411">
        <w:rPr>
          <w:u w:val="single"/>
        </w:rPr>
        <w:t xml:space="preserve">Linked Evidence – Change </w:t>
      </w:r>
      <w:r w:rsidR="00DB788E" w:rsidRPr="008B4411">
        <w:rPr>
          <w:u w:val="single"/>
        </w:rPr>
        <w:t>i</w:t>
      </w:r>
      <w:r w:rsidRPr="008B4411">
        <w:rPr>
          <w:u w:val="single"/>
        </w:rPr>
        <w:t>n M</w:t>
      </w:r>
      <w:r w:rsidR="003B239A" w:rsidRPr="008B4411">
        <w:rPr>
          <w:u w:val="single"/>
        </w:rPr>
        <w:t>anagement</w:t>
      </w:r>
      <w:bookmarkEnd w:id="266"/>
    </w:p>
    <w:p w14:paraId="284F8938" w14:textId="72880FFB" w:rsidR="003B239A" w:rsidRPr="003B239A" w:rsidRDefault="00652CFD" w:rsidP="001A75CA">
      <w:pPr>
        <w:pStyle w:val="Heading2"/>
        <w:ind w:left="1134" w:hanging="1134"/>
      </w:pPr>
      <w:bookmarkStart w:id="267" w:name="_Toc418179907"/>
      <w:r>
        <w:t>B.3</w:t>
      </w:r>
      <w:r w:rsidR="00A60735">
        <w:t>–</w:t>
      </w:r>
      <w:r w:rsidR="00305C31">
        <w:t>5</w:t>
      </w:r>
      <w:r>
        <w:t>.ii</w:t>
      </w:r>
      <w:r w:rsidR="00BA5B10">
        <w:tab/>
      </w:r>
      <w:r>
        <w:t xml:space="preserve">Risk of </w:t>
      </w:r>
      <w:r w:rsidR="006C1FF5">
        <w:t>B</w:t>
      </w:r>
      <w:r>
        <w:t xml:space="preserve">ias </w:t>
      </w:r>
      <w:r w:rsidR="006C1FF5">
        <w:t>A</w:t>
      </w:r>
      <w:r>
        <w:t>ssessment</w:t>
      </w:r>
      <w:r w:rsidR="00DD42BE">
        <w:t xml:space="preserve">, </w:t>
      </w:r>
      <w:r w:rsidR="006C1FF5">
        <w:t>C</w:t>
      </w:r>
      <w:r w:rsidR="00DD42BE">
        <w:t xml:space="preserve">haracteristics of the </w:t>
      </w:r>
      <w:r w:rsidR="006C1FF5">
        <w:t>E</w:t>
      </w:r>
      <w:r w:rsidR="00DD42BE">
        <w:t>vidence</w:t>
      </w:r>
      <w:r w:rsidR="00A67EDF">
        <w:t>-</w:t>
      </w:r>
      <w:r w:rsidR="00DD42BE">
        <w:t xml:space="preserve">base and </w:t>
      </w:r>
      <w:r w:rsidR="006C1FF5">
        <w:t>O</w:t>
      </w:r>
      <w:r w:rsidR="00DD42BE">
        <w:t xml:space="preserve">utcome </w:t>
      </w:r>
      <w:r w:rsidR="006C1FF5">
        <w:t>M</w:t>
      </w:r>
      <w:r w:rsidR="00DD42BE">
        <w:t>easures</w:t>
      </w:r>
      <w:bookmarkEnd w:id="267"/>
    </w:p>
    <w:p w14:paraId="0E4FE417" w14:textId="1C7D0C89" w:rsidR="00CD5237" w:rsidRDefault="00261BE0" w:rsidP="00CD5237">
      <w:r>
        <w:rPr>
          <w:szCs w:val="24"/>
        </w:rPr>
        <w:t xml:space="preserve">Nine studies were included on the impact of prenatal </w:t>
      </w:r>
      <w:r w:rsidR="00FD37D3" w:rsidRPr="00FD37D3">
        <w:rPr>
          <w:szCs w:val="24"/>
        </w:rPr>
        <w:t>CFTR</w:t>
      </w:r>
      <w:r>
        <w:rPr>
          <w:szCs w:val="24"/>
        </w:rPr>
        <w:t xml:space="preserve"> testing on TOP rates and CF birth rates. To assess the quality of the studies, the </w:t>
      </w:r>
      <w:r w:rsidR="008055FC">
        <w:rPr>
          <w:szCs w:val="24"/>
        </w:rPr>
        <w:t>Institute of Health Economics (</w:t>
      </w:r>
      <w:r>
        <w:rPr>
          <w:szCs w:val="24"/>
        </w:rPr>
        <w:t>IHE</w:t>
      </w:r>
      <w:r w:rsidR="008055FC">
        <w:rPr>
          <w:szCs w:val="24"/>
        </w:rPr>
        <w:t>)</w:t>
      </w:r>
      <w:r>
        <w:rPr>
          <w:szCs w:val="24"/>
        </w:rPr>
        <w:t xml:space="preserve"> checklist</w:t>
      </w:r>
      <w:r w:rsidR="00305C31">
        <w:rPr>
          <w:szCs w:val="24"/>
        </w:rPr>
        <w:t xml:space="preserve"> for case series</w:t>
      </w:r>
      <w:r>
        <w:rPr>
          <w:szCs w:val="24"/>
        </w:rPr>
        <w:t xml:space="preserve"> was used</w:t>
      </w:r>
      <w:r w:rsidR="009E0177">
        <w:rPr>
          <w:szCs w:val="24"/>
        </w:rPr>
        <w:t>,</w:t>
      </w:r>
      <w:r>
        <w:rPr>
          <w:szCs w:val="24"/>
        </w:rPr>
        <w:t xml:space="preserve"> as none of the studies had a valid comparator</w:t>
      </w:r>
      <w:r w:rsidR="00305C31">
        <w:rPr>
          <w:szCs w:val="24"/>
        </w:rPr>
        <w:t xml:space="preserve"> </w:t>
      </w:r>
      <w:r w:rsidR="00305C31">
        <w:fldChar w:fldCharType="begin"/>
      </w:r>
      <w:r w:rsidR="00305C31">
        <w:instrText xml:space="preserve"> ADDIN EN.CITE &lt;EndNote&gt;&lt;Cite&gt;&lt;Author&gt;Moga&lt;/Author&gt;&lt;Year&gt;2012&lt;/Year&gt;&lt;RecNum&gt;49&lt;/RecNum&gt;&lt;DisplayText&gt;(Moga et al. 2012)&lt;/DisplayText&gt;&lt;record&gt;&lt;rec-number&gt;49&lt;/rec-number&gt;&lt;foreign-keys&gt;&lt;key app="EN" db-id="s205ztsw6v99t1ee2r6vpat820d0x9tefftv"&gt;49&lt;/key&gt;&lt;/foreign-keys&gt;&lt;ref-type name="Report"&gt;27&lt;/ref-type&gt;&lt;contributors&gt;&lt;authors&gt;&lt;author&gt;Moga, C.&lt;/author&gt;&lt;author&gt;Guo, B.&lt;/author&gt;&lt;author&gt;Schopflocher, D.&lt;/author&gt;&lt;author&gt;Harstall, C.&lt;/author&gt;&lt;/authors&gt;&lt;/contributors&gt;&lt;titles&gt;&lt;title&gt;Development of a quality appraisal tool for case series studies using a modified Delphi technique&lt;/title&gt;&lt;/titles&gt;&lt;dates&gt;&lt;year&gt;2012&lt;/year&gt;&lt;/dates&gt;&lt;pub-location&gt;Alberta, Canada&lt;/pub-location&gt;&lt;publisher&gt;Institute of Health Economics&lt;/publisher&gt;&lt;urls&gt;&lt;/urls&gt;&lt;/record&gt;&lt;/Cite&gt;&lt;/EndNote&gt;</w:instrText>
      </w:r>
      <w:r w:rsidR="00305C31">
        <w:fldChar w:fldCharType="separate"/>
      </w:r>
      <w:r w:rsidR="00305C31">
        <w:rPr>
          <w:noProof/>
        </w:rPr>
        <w:t>(</w:t>
      </w:r>
      <w:hyperlink w:anchor="_ENREF_79" w:tooltip="Moga, 2012 #49" w:history="1">
        <w:r w:rsidR="00B46ABF">
          <w:rPr>
            <w:noProof/>
          </w:rPr>
          <w:t>Moga et al. 2012</w:t>
        </w:r>
      </w:hyperlink>
      <w:r w:rsidR="00305C31">
        <w:rPr>
          <w:noProof/>
        </w:rPr>
        <w:t>)</w:t>
      </w:r>
      <w:r w:rsidR="00305C31">
        <w:fldChar w:fldCharType="end"/>
      </w:r>
      <w:r>
        <w:rPr>
          <w:szCs w:val="24"/>
        </w:rPr>
        <w:t>.</w:t>
      </w:r>
      <w:r w:rsidR="00CC47B0">
        <w:rPr>
          <w:szCs w:val="24"/>
        </w:rPr>
        <w:t xml:space="preserve"> As all studies were non-comparative, they were included as level IV evidence. </w:t>
      </w:r>
      <w:r w:rsidR="00087AEE">
        <w:rPr>
          <w:szCs w:val="24"/>
        </w:rPr>
        <w:t>Six</w:t>
      </w:r>
      <w:r w:rsidR="00CC47B0">
        <w:rPr>
          <w:szCs w:val="24"/>
        </w:rPr>
        <w:t xml:space="preserve"> of these studies included pregnan</w:t>
      </w:r>
      <w:r w:rsidR="00E753CF">
        <w:rPr>
          <w:szCs w:val="24"/>
        </w:rPr>
        <w:t xml:space="preserve">t women where </w:t>
      </w:r>
      <w:r w:rsidR="00305C31">
        <w:rPr>
          <w:szCs w:val="24"/>
        </w:rPr>
        <w:t>a</w:t>
      </w:r>
      <w:r w:rsidR="00C3573F">
        <w:rPr>
          <w:szCs w:val="24"/>
        </w:rPr>
        <w:t>n</w:t>
      </w:r>
      <w:r w:rsidR="00305C31">
        <w:rPr>
          <w:szCs w:val="24"/>
        </w:rPr>
        <w:t xml:space="preserve"> </w:t>
      </w:r>
      <w:r w:rsidR="00E753CF">
        <w:rPr>
          <w:szCs w:val="24"/>
        </w:rPr>
        <w:t xml:space="preserve">FEB </w:t>
      </w:r>
      <w:r w:rsidR="00CC47B0">
        <w:rPr>
          <w:szCs w:val="24"/>
        </w:rPr>
        <w:t xml:space="preserve">was detected, </w:t>
      </w:r>
      <w:r w:rsidR="008055FC">
        <w:rPr>
          <w:szCs w:val="24"/>
        </w:rPr>
        <w:t xml:space="preserve">and 4 </w:t>
      </w:r>
      <w:r w:rsidR="00CC47B0">
        <w:rPr>
          <w:szCs w:val="24"/>
        </w:rPr>
        <w:t>studies included pregnant women with a 1:4 ri</w:t>
      </w:r>
      <w:r w:rsidR="00087AEE">
        <w:rPr>
          <w:szCs w:val="24"/>
        </w:rPr>
        <w:t>sk of having a fetus with CF (</w:t>
      </w:r>
      <w:r w:rsidR="008055FC">
        <w:rPr>
          <w:szCs w:val="24"/>
        </w:rPr>
        <w:t xml:space="preserve">1 </w:t>
      </w:r>
      <w:r w:rsidR="00CC47B0">
        <w:rPr>
          <w:szCs w:val="24"/>
        </w:rPr>
        <w:t>study included both groups</w:t>
      </w:r>
      <w:r w:rsidR="008055FC">
        <w:rPr>
          <w:szCs w:val="24"/>
        </w:rPr>
        <w:t>,</w:t>
      </w:r>
      <w:r w:rsidR="00087AEE">
        <w:rPr>
          <w:szCs w:val="24"/>
        </w:rPr>
        <w:t xml:space="preserve"> </w:t>
      </w:r>
      <w:r w:rsidR="00E753CF">
        <w:rPr>
          <w:szCs w:val="24"/>
        </w:rPr>
        <w:t>FEB and high</w:t>
      </w:r>
      <w:r w:rsidR="008055FC">
        <w:rPr>
          <w:szCs w:val="24"/>
        </w:rPr>
        <w:t>-</w:t>
      </w:r>
      <w:r w:rsidR="00E753CF">
        <w:rPr>
          <w:szCs w:val="24"/>
        </w:rPr>
        <w:t>risk)</w:t>
      </w:r>
      <w:r w:rsidR="00CC47B0">
        <w:rPr>
          <w:szCs w:val="24"/>
        </w:rPr>
        <w:t xml:space="preserve">. The quality/risk of bias scores of the included studies are shown in </w:t>
      </w:r>
      <w:r w:rsidR="002808E8">
        <w:rPr>
          <w:szCs w:val="24"/>
          <w:highlight w:val="yellow"/>
        </w:rPr>
        <w:fldChar w:fldCharType="begin"/>
      </w:r>
      <w:r w:rsidR="002808E8">
        <w:rPr>
          <w:szCs w:val="24"/>
        </w:rPr>
        <w:instrText xml:space="preserve"> REF _Ref412106744 \h </w:instrText>
      </w:r>
      <w:r w:rsidR="002808E8">
        <w:rPr>
          <w:szCs w:val="24"/>
          <w:highlight w:val="yellow"/>
        </w:rPr>
      </w:r>
      <w:r w:rsidR="002808E8">
        <w:rPr>
          <w:szCs w:val="24"/>
          <w:highlight w:val="yellow"/>
        </w:rPr>
        <w:fldChar w:fldCharType="separate"/>
      </w:r>
      <w:r w:rsidR="00BB0E3E">
        <w:t xml:space="preserve">Table </w:t>
      </w:r>
      <w:r w:rsidR="00BB0E3E">
        <w:rPr>
          <w:noProof/>
        </w:rPr>
        <w:t>43</w:t>
      </w:r>
      <w:r w:rsidR="002808E8">
        <w:rPr>
          <w:szCs w:val="24"/>
          <w:highlight w:val="yellow"/>
        </w:rPr>
        <w:fldChar w:fldCharType="end"/>
      </w:r>
      <w:r w:rsidR="00711482">
        <w:rPr>
          <w:szCs w:val="24"/>
        </w:rPr>
        <w:t xml:space="preserve">, in order of quality (highest to lowest). In case of multiple studies with the same quality score, the study with the bigger study population </w:t>
      </w:r>
      <w:r w:rsidR="008055FC">
        <w:rPr>
          <w:szCs w:val="24"/>
        </w:rPr>
        <w:t xml:space="preserve">is </w:t>
      </w:r>
      <w:r w:rsidR="00873BD9">
        <w:rPr>
          <w:szCs w:val="24"/>
        </w:rPr>
        <w:t>listed first</w:t>
      </w:r>
      <w:r w:rsidR="00711482">
        <w:rPr>
          <w:szCs w:val="24"/>
        </w:rPr>
        <w:t>.</w:t>
      </w:r>
      <w:r w:rsidR="00CD5237">
        <w:rPr>
          <w:szCs w:val="24"/>
        </w:rPr>
        <w:t xml:space="preserve"> The study of Scotet et al. (2003) included both groups (FEB and carrier parents), with separate results. </w:t>
      </w:r>
      <w:r w:rsidR="00CD5237">
        <w:t xml:space="preserve">See </w:t>
      </w:r>
      <w:r w:rsidR="00CD5237">
        <w:fldChar w:fldCharType="begin"/>
      </w:r>
      <w:r w:rsidR="00CD5237">
        <w:instrText xml:space="preserve"> REF _Ref364237249 \h </w:instrText>
      </w:r>
      <w:r w:rsidR="00CD5237">
        <w:fldChar w:fldCharType="separate"/>
      </w:r>
      <w:r w:rsidR="00BB0E3E" w:rsidRPr="00183E4D">
        <w:t xml:space="preserve">Appendix </w:t>
      </w:r>
      <w:r w:rsidR="00BB0E3E">
        <w:rPr>
          <w:noProof/>
        </w:rPr>
        <w:t>C</w:t>
      </w:r>
      <w:r w:rsidR="00CD5237">
        <w:fldChar w:fldCharType="end"/>
      </w:r>
      <w:r w:rsidR="00CD5237">
        <w:t xml:space="preserve"> for more detailed information of the individual studies included in the evidence</w:t>
      </w:r>
      <w:r w:rsidR="008055FC">
        <w:t>-</w:t>
      </w:r>
      <w:r w:rsidR="00CD5237">
        <w:t>base.</w:t>
      </w:r>
    </w:p>
    <w:p w14:paraId="29EE096B" w14:textId="77777777" w:rsidR="002808E8" w:rsidRDefault="002808E8" w:rsidP="00A25EBB">
      <w:pPr>
        <w:pStyle w:val="Caption"/>
      </w:pPr>
      <w:bookmarkStart w:id="268" w:name="_Ref412106744"/>
      <w:bookmarkStart w:id="269" w:name="_Toc418179440"/>
      <w:r>
        <w:lastRenderedPageBreak/>
        <w:t xml:space="preserve">Table </w:t>
      </w:r>
      <w:fldSimple w:instr=" SEQ Table \* ARABIC ">
        <w:r w:rsidR="00BB0E3E">
          <w:rPr>
            <w:noProof/>
          </w:rPr>
          <w:t>43</w:t>
        </w:r>
      </w:fldSimple>
      <w:bookmarkEnd w:id="268"/>
      <w:r>
        <w:t xml:space="preserve"> </w:t>
      </w:r>
      <w:r w:rsidR="00332C77">
        <w:tab/>
      </w:r>
      <w:r>
        <w:t>Study quality</w:t>
      </w:r>
      <w:r w:rsidR="00CD5237">
        <w:t xml:space="preserve"> and key features of the included evidence</w:t>
      </w:r>
      <w:r>
        <w:t xml:space="preserve"> for change in management studies</w:t>
      </w:r>
      <w:bookmarkEnd w:id="269"/>
    </w:p>
    <w:tbl>
      <w:tblPr>
        <w:tblStyle w:val="TableGrid"/>
        <w:tblW w:w="0" w:type="auto"/>
        <w:tblLook w:val="04A0" w:firstRow="1" w:lastRow="0" w:firstColumn="1" w:lastColumn="0" w:noHBand="0" w:noVBand="1"/>
        <w:tblCaption w:val="Study quality for change in management studies"/>
        <w:tblDescription w:val="Study quality for change in management studies"/>
      </w:tblPr>
      <w:tblGrid>
        <w:gridCol w:w="2399"/>
        <w:gridCol w:w="2093"/>
        <w:gridCol w:w="2419"/>
        <w:gridCol w:w="2331"/>
      </w:tblGrid>
      <w:tr w:rsidR="003E0EC0" w14:paraId="290107BD" w14:textId="77777777" w:rsidTr="001E20E9">
        <w:trPr>
          <w:tblHeader/>
        </w:trPr>
        <w:tc>
          <w:tcPr>
            <w:tcW w:w="2399" w:type="dxa"/>
            <w:tcBorders>
              <w:top w:val="single" w:sz="4" w:space="0" w:color="auto"/>
              <w:left w:val="single" w:sz="4" w:space="0" w:color="auto"/>
              <w:bottom w:val="single" w:sz="4" w:space="0" w:color="auto"/>
              <w:right w:val="nil"/>
            </w:tcBorders>
          </w:tcPr>
          <w:p w14:paraId="2BEC1727" w14:textId="77777777" w:rsidR="003E0EC0" w:rsidRDefault="003E0EC0" w:rsidP="001E20E9">
            <w:pPr>
              <w:pStyle w:val="Caption"/>
              <w:ind w:left="0"/>
              <w:rPr>
                <w:lang w:eastAsia="en-GB"/>
              </w:rPr>
            </w:pPr>
            <w:r>
              <w:rPr>
                <w:lang w:eastAsia="en-GB"/>
              </w:rPr>
              <w:t>Study</w:t>
            </w:r>
          </w:p>
        </w:tc>
        <w:tc>
          <w:tcPr>
            <w:tcW w:w="2093" w:type="dxa"/>
            <w:tcBorders>
              <w:top w:val="single" w:sz="4" w:space="0" w:color="auto"/>
              <w:left w:val="nil"/>
              <w:bottom w:val="single" w:sz="4" w:space="0" w:color="auto"/>
              <w:right w:val="nil"/>
            </w:tcBorders>
          </w:tcPr>
          <w:p w14:paraId="1B40FF5F" w14:textId="77777777" w:rsidR="003E0EC0" w:rsidRDefault="003E0EC0" w:rsidP="001E20E9">
            <w:pPr>
              <w:pStyle w:val="Caption"/>
              <w:ind w:left="0"/>
              <w:jc w:val="left"/>
              <w:rPr>
                <w:lang w:eastAsia="en-GB"/>
              </w:rPr>
            </w:pPr>
            <w:r>
              <w:rPr>
                <w:lang w:eastAsia="en-GB"/>
              </w:rPr>
              <w:t>N (tested)</w:t>
            </w:r>
          </w:p>
        </w:tc>
        <w:tc>
          <w:tcPr>
            <w:tcW w:w="2419" w:type="dxa"/>
            <w:tcBorders>
              <w:top w:val="single" w:sz="4" w:space="0" w:color="auto"/>
              <w:left w:val="nil"/>
              <w:bottom w:val="single" w:sz="4" w:space="0" w:color="auto"/>
              <w:right w:val="nil"/>
            </w:tcBorders>
          </w:tcPr>
          <w:p w14:paraId="2791AEF0" w14:textId="77777777" w:rsidR="003E0EC0" w:rsidRDefault="003E0EC0" w:rsidP="001E20E9">
            <w:pPr>
              <w:pStyle w:val="Caption"/>
              <w:ind w:left="0"/>
              <w:jc w:val="left"/>
              <w:rPr>
                <w:lang w:eastAsia="en-GB"/>
              </w:rPr>
            </w:pPr>
            <w:r>
              <w:rPr>
                <w:lang w:eastAsia="en-GB"/>
              </w:rPr>
              <w:t>Indication (population)</w:t>
            </w:r>
          </w:p>
        </w:tc>
        <w:tc>
          <w:tcPr>
            <w:tcW w:w="2331" w:type="dxa"/>
            <w:tcBorders>
              <w:top w:val="single" w:sz="4" w:space="0" w:color="auto"/>
              <w:left w:val="nil"/>
              <w:bottom w:val="single" w:sz="4" w:space="0" w:color="auto"/>
              <w:right w:val="single" w:sz="4" w:space="0" w:color="auto"/>
            </w:tcBorders>
          </w:tcPr>
          <w:p w14:paraId="1AF0F559" w14:textId="77777777" w:rsidR="003E0EC0" w:rsidRDefault="003E0EC0" w:rsidP="001E20E9">
            <w:pPr>
              <w:pStyle w:val="Caption"/>
              <w:ind w:left="0"/>
              <w:jc w:val="left"/>
              <w:rPr>
                <w:lang w:eastAsia="en-GB"/>
              </w:rPr>
            </w:pPr>
            <w:r>
              <w:rPr>
                <w:lang w:eastAsia="en-GB"/>
              </w:rPr>
              <w:t>Study quality</w:t>
            </w:r>
          </w:p>
        </w:tc>
      </w:tr>
      <w:tr w:rsidR="003E0EC0" w14:paraId="6694437A" w14:textId="77777777" w:rsidTr="001E20E9">
        <w:tc>
          <w:tcPr>
            <w:tcW w:w="2399" w:type="dxa"/>
            <w:tcBorders>
              <w:top w:val="single" w:sz="4" w:space="0" w:color="auto"/>
              <w:left w:val="single" w:sz="4" w:space="0" w:color="auto"/>
              <w:bottom w:val="single" w:sz="4" w:space="0" w:color="auto"/>
              <w:right w:val="nil"/>
            </w:tcBorders>
          </w:tcPr>
          <w:p w14:paraId="27929E2D" w14:textId="0DAB7763" w:rsidR="003E0EC0" w:rsidRDefault="003E0EC0" w:rsidP="001E20E9">
            <w:pPr>
              <w:pStyle w:val="Tabletext1"/>
              <w:keepNext/>
              <w:ind w:left="0"/>
              <w:jc w:val="left"/>
              <w:rPr>
                <w:lang w:eastAsia="en-GB"/>
              </w:rPr>
            </w:pPr>
            <w:r>
              <w:rPr>
                <w:lang w:eastAsia="en-GB"/>
              </w:rPr>
              <w:t xml:space="preserve">Ghose et al. </w:t>
            </w:r>
            <w:r w:rsidR="008055FC">
              <w:rPr>
                <w:lang w:eastAsia="en-GB"/>
              </w:rPr>
              <w:t>(</w:t>
            </w:r>
            <w:r>
              <w:rPr>
                <w:lang w:eastAsia="en-GB"/>
              </w:rPr>
              <w:t>2000</w:t>
            </w:r>
            <w:r w:rsidR="008055FC">
              <w:rPr>
                <w:lang w:eastAsia="en-GB"/>
              </w:rPr>
              <w:t>)</w:t>
            </w:r>
          </w:p>
        </w:tc>
        <w:tc>
          <w:tcPr>
            <w:tcW w:w="2093" w:type="dxa"/>
            <w:tcBorders>
              <w:top w:val="single" w:sz="4" w:space="0" w:color="auto"/>
              <w:left w:val="nil"/>
              <w:bottom w:val="single" w:sz="4" w:space="0" w:color="auto"/>
              <w:right w:val="nil"/>
            </w:tcBorders>
          </w:tcPr>
          <w:p w14:paraId="3ECAE6E2" w14:textId="77777777" w:rsidR="003E0EC0" w:rsidRDefault="003E0EC0" w:rsidP="001E20E9">
            <w:pPr>
              <w:pStyle w:val="Tabletext1"/>
              <w:keepNext/>
              <w:ind w:left="0"/>
              <w:jc w:val="left"/>
              <w:rPr>
                <w:lang w:eastAsia="en-GB"/>
              </w:rPr>
            </w:pPr>
            <w:r>
              <w:rPr>
                <w:snapToGrid w:val="0"/>
              </w:rPr>
              <w:t>48</w:t>
            </w:r>
          </w:p>
        </w:tc>
        <w:tc>
          <w:tcPr>
            <w:tcW w:w="2419" w:type="dxa"/>
            <w:tcBorders>
              <w:top w:val="single" w:sz="4" w:space="0" w:color="auto"/>
              <w:left w:val="nil"/>
              <w:bottom w:val="single" w:sz="4" w:space="0" w:color="auto"/>
              <w:right w:val="nil"/>
            </w:tcBorders>
          </w:tcPr>
          <w:p w14:paraId="09085155" w14:textId="77777777" w:rsidR="003E0EC0" w:rsidRDefault="003E0EC0" w:rsidP="001E20E9">
            <w:pPr>
              <w:pStyle w:val="Tabletext1"/>
              <w:keepNext/>
              <w:ind w:left="0"/>
              <w:jc w:val="left"/>
              <w:rPr>
                <w:lang w:eastAsia="en-GB"/>
              </w:rPr>
            </w:pPr>
            <w:r>
              <w:rPr>
                <w:lang w:eastAsia="en-GB"/>
              </w:rPr>
              <w:t>FEB</w:t>
            </w:r>
          </w:p>
        </w:tc>
        <w:tc>
          <w:tcPr>
            <w:tcW w:w="2331" w:type="dxa"/>
            <w:tcBorders>
              <w:top w:val="single" w:sz="4" w:space="0" w:color="auto"/>
              <w:left w:val="nil"/>
              <w:bottom w:val="single" w:sz="4" w:space="0" w:color="auto"/>
              <w:right w:val="single" w:sz="4" w:space="0" w:color="auto"/>
            </w:tcBorders>
          </w:tcPr>
          <w:p w14:paraId="1F24EC91" w14:textId="77777777" w:rsidR="003E0EC0" w:rsidRDefault="003E0EC0" w:rsidP="001E20E9">
            <w:pPr>
              <w:pStyle w:val="Tabletext1"/>
              <w:keepNext/>
              <w:ind w:left="0"/>
              <w:jc w:val="left"/>
              <w:rPr>
                <w:lang w:eastAsia="en-GB"/>
              </w:rPr>
            </w:pPr>
            <w:r>
              <w:rPr>
                <w:lang w:eastAsia="en-GB"/>
              </w:rPr>
              <w:t>15/18 (high)</w:t>
            </w:r>
          </w:p>
        </w:tc>
      </w:tr>
      <w:tr w:rsidR="003E0EC0" w14:paraId="4801F57D" w14:textId="77777777" w:rsidTr="001E20E9">
        <w:tc>
          <w:tcPr>
            <w:tcW w:w="2399" w:type="dxa"/>
            <w:tcBorders>
              <w:top w:val="single" w:sz="4" w:space="0" w:color="auto"/>
              <w:left w:val="single" w:sz="4" w:space="0" w:color="auto"/>
              <w:bottom w:val="single" w:sz="4" w:space="0" w:color="auto"/>
              <w:right w:val="nil"/>
            </w:tcBorders>
          </w:tcPr>
          <w:p w14:paraId="60ED8020" w14:textId="298AAB36" w:rsidR="003E0EC0" w:rsidRDefault="003E0EC0" w:rsidP="001E20E9">
            <w:pPr>
              <w:pStyle w:val="Tabletext1"/>
              <w:keepNext/>
              <w:ind w:left="0"/>
              <w:jc w:val="left"/>
              <w:rPr>
                <w:lang w:eastAsia="en-GB"/>
              </w:rPr>
            </w:pPr>
            <w:r>
              <w:rPr>
                <w:lang w:eastAsia="en-GB"/>
              </w:rPr>
              <w:t xml:space="preserve">Muller et al. </w:t>
            </w:r>
            <w:r w:rsidR="008055FC">
              <w:rPr>
                <w:lang w:eastAsia="en-GB"/>
              </w:rPr>
              <w:t>(</w:t>
            </w:r>
            <w:r>
              <w:rPr>
                <w:lang w:eastAsia="en-GB"/>
              </w:rPr>
              <w:t>2002</w:t>
            </w:r>
            <w:r w:rsidR="008055FC">
              <w:rPr>
                <w:lang w:eastAsia="en-GB"/>
              </w:rPr>
              <w:t>)</w:t>
            </w:r>
          </w:p>
        </w:tc>
        <w:tc>
          <w:tcPr>
            <w:tcW w:w="2093" w:type="dxa"/>
            <w:tcBorders>
              <w:top w:val="single" w:sz="4" w:space="0" w:color="auto"/>
              <w:left w:val="nil"/>
              <w:bottom w:val="single" w:sz="4" w:space="0" w:color="auto"/>
              <w:right w:val="nil"/>
            </w:tcBorders>
          </w:tcPr>
          <w:p w14:paraId="12593F8B" w14:textId="77777777" w:rsidR="003E0EC0" w:rsidRDefault="003E0EC0" w:rsidP="001E20E9">
            <w:pPr>
              <w:pStyle w:val="Tabletext1"/>
              <w:keepNext/>
              <w:ind w:left="0"/>
              <w:jc w:val="left"/>
              <w:rPr>
                <w:lang w:eastAsia="en-GB"/>
              </w:rPr>
            </w:pPr>
            <w:r w:rsidRPr="005C1A10">
              <w:rPr>
                <w:snapToGrid w:val="0"/>
              </w:rPr>
              <w:t>641</w:t>
            </w:r>
          </w:p>
        </w:tc>
        <w:tc>
          <w:tcPr>
            <w:tcW w:w="2419" w:type="dxa"/>
            <w:tcBorders>
              <w:top w:val="single" w:sz="4" w:space="0" w:color="auto"/>
              <w:left w:val="nil"/>
              <w:bottom w:val="single" w:sz="4" w:space="0" w:color="auto"/>
              <w:right w:val="nil"/>
            </w:tcBorders>
          </w:tcPr>
          <w:p w14:paraId="04E76AE7" w14:textId="77777777" w:rsidR="003E0EC0" w:rsidRDefault="003E0EC0" w:rsidP="001E20E9">
            <w:pPr>
              <w:pStyle w:val="Tabletext1"/>
              <w:keepNext/>
              <w:ind w:left="0"/>
              <w:jc w:val="left"/>
              <w:rPr>
                <w:lang w:eastAsia="en-GB"/>
              </w:rPr>
            </w:pPr>
            <w:r>
              <w:rPr>
                <w:lang w:eastAsia="en-GB"/>
              </w:rPr>
              <w:t>FEB</w:t>
            </w:r>
          </w:p>
        </w:tc>
        <w:tc>
          <w:tcPr>
            <w:tcW w:w="2331" w:type="dxa"/>
            <w:tcBorders>
              <w:top w:val="single" w:sz="4" w:space="0" w:color="auto"/>
              <w:left w:val="nil"/>
              <w:bottom w:val="single" w:sz="4" w:space="0" w:color="auto"/>
              <w:right w:val="single" w:sz="4" w:space="0" w:color="auto"/>
            </w:tcBorders>
          </w:tcPr>
          <w:p w14:paraId="3CFCC442" w14:textId="77777777" w:rsidR="003E0EC0" w:rsidRDefault="003E0EC0" w:rsidP="001E20E9">
            <w:pPr>
              <w:pStyle w:val="Tabletext1"/>
              <w:keepNext/>
              <w:ind w:left="0"/>
              <w:jc w:val="left"/>
              <w:rPr>
                <w:lang w:eastAsia="en-GB"/>
              </w:rPr>
            </w:pPr>
            <w:r>
              <w:rPr>
                <w:lang w:eastAsia="en-GB"/>
              </w:rPr>
              <w:t>14.5/18 (high)</w:t>
            </w:r>
          </w:p>
        </w:tc>
      </w:tr>
      <w:tr w:rsidR="003E0EC0" w14:paraId="3D5F1DE9" w14:textId="77777777" w:rsidTr="001E20E9">
        <w:tc>
          <w:tcPr>
            <w:tcW w:w="2399" w:type="dxa"/>
            <w:tcBorders>
              <w:top w:val="single" w:sz="4" w:space="0" w:color="auto"/>
              <w:left w:val="single" w:sz="4" w:space="0" w:color="auto"/>
              <w:bottom w:val="single" w:sz="4" w:space="0" w:color="auto"/>
              <w:right w:val="nil"/>
            </w:tcBorders>
          </w:tcPr>
          <w:p w14:paraId="0E338A44" w14:textId="1DC7EAE6" w:rsidR="003E0EC0" w:rsidRDefault="003E0EC0" w:rsidP="001E20E9">
            <w:pPr>
              <w:pStyle w:val="Tabletext1"/>
              <w:keepNext/>
              <w:ind w:left="0"/>
              <w:jc w:val="left"/>
              <w:rPr>
                <w:lang w:eastAsia="en-GB"/>
              </w:rPr>
            </w:pPr>
            <w:r>
              <w:rPr>
                <w:lang w:eastAsia="en-GB"/>
              </w:rPr>
              <w:t xml:space="preserve">Scotet et al. </w:t>
            </w:r>
            <w:r w:rsidR="008055FC">
              <w:rPr>
                <w:lang w:eastAsia="en-GB"/>
              </w:rPr>
              <w:t>(</w:t>
            </w:r>
            <w:r>
              <w:rPr>
                <w:lang w:eastAsia="en-GB"/>
              </w:rPr>
              <w:t>2008</w:t>
            </w:r>
            <w:r w:rsidR="008055FC">
              <w:rPr>
                <w:lang w:eastAsia="en-GB"/>
              </w:rPr>
              <w:t>)</w:t>
            </w:r>
          </w:p>
        </w:tc>
        <w:tc>
          <w:tcPr>
            <w:tcW w:w="2093" w:type="dxa"/>
            <w:tcBorders>
              <w:top w:val="single" w:sz="4" w:space="0" w:color="auto"/>
              <w:left w:val="nil"/>
              <w:bottom w:val="single" w:sz="4" w:space="0" w:color="auto"/>
              <w:right w:val="nil"/>
            </w:tcBorders>
          </w:tcPr>
          <w:p w14:paraId="6A4BFB9D" w14:textId="77777777" w:rsidR="003E0EC0" w:rsidRDefault="00CD5237" w:rsidP="001E20E9">
            <w:pPr>
              <w:pStyle w:val="Tabletext1"/>
              <w:keepNext/>
              <w:ind w:left="0"/>
              <w:jc w:val="left"/>
              <w:rPr>
                <w:lang w:eastAsia="en-GB"/>
              </w:rPr>
            </w:pPr>
            <w:r>
              <w:rPr>
                <w:snapToGrid w:val="0"/>
              </w:rPr>
              <w:t>268</w:t>
            </w:r>
          </w:p>
        </w:tc>
        <w:tc>
          <w:tcPr>
            <w:tcW w:w="2419" w:type="dxa"/>
            <w:tcBorders>
              <w:top w:val="single" w:sz="4" w:space="0" w:color="auto"/>
              <w:left w:val="nil"/>
              <w:bottom w:val="single" w:sz="4" w:space="0" w:color="auto"/>
              <w:right w:val="nil"/>
            </w:tcBorders>
          </w:tcPr>
          <w:p w14:paraId="0000969F" w14:textId="77777777" w:rsidR="003E0EC0" w:rsidRDefault="003E0EC0" w:rsidP="001E20E9">
            <w:pPr>
              <w:pStyle w:val="Tabletext1"/>
              <w:keepNext/>
              <w:ind w:left="0"/>
              <w:jc w:val="left"/>
              <w:rPr>
                <w:lang w:eastAsia="en-GB"/>
              </w:rPr>
            </w:pPr>
            <w:r>
              <w:rPr>
                <w:lang w:eastAsia="en-GB"/>
              </w:rPr>
              <w:t>1:4 risk of CF</w:t>
            </w:r>
          </w:p>
        </w:tc>
        <w:tc>
          <w:tcPr>
            <w:tcW w:w="2331" w:type="dxa"/>
            <w:tcBorders>
              <w:top w:val="single" w:sz="4" w:space="0" w:color="auto"/>
              <w:left w:val="nil"/>
              <w:bottom w:val="single" w:sz="4" w:space="0" w:color="auto"/>
              <w:right w:val="single" w:sz="4" w:space="0" w:color="auto"/>
            </w:tcBorders>
          </w:tcPr>
          <w:p w14:paraId="319F0A69" w14:textId="77777777" w:rsidR="003E0EC0" w:rsidRDefault="003E0EC0" w:rsidP="001E20E9">
            <w:pPr>
              <w:pStyle w:val="Tabletext1"/>
              <w:keepNext/>
              <w:ind w:left="0"/>
              <w:jc w:val="left"/>
              <w:rPr>
                <w:lang w:eastAsia="en-GB"/>
              </w:rPr>
            </w:pPr>
            <w:r>
              <w:rPr>
                <w:lang w:eastAsia="en-GB"/>
              </w:rPr>
              <w:t>14.5/18 (high)</w:t>
            </w:r>
          </w:p>
        </w:tc>
      </w:tr>
      <w:tr w:rsidR="003E0EC0" w14:paraId="7D7FB1C0" w14:textId="77777777" w:rsidTr="001E20E9">
        <w:tc>
          <w:tcPr>
            <w:tcW w:w="2399" w:type="dxa"/>
            <w:tcBorders>
              <w:top w:val="single" w:sz="4" w:space="0" w:color="auto"/>
              <w:left w:val="single" w:sz="4" w:space="0" w:color="auto"/>
              <w:bottom w:val="single" w:sz="4" w:space="0" w:color="auto"/>
              <w:right w:val="nil"/>
            </w:tcBorders>
          </w:tcPr>
          <w:p w14:paraId="050B4B04" w14:textId="05A66ABB" w:rsidR="003E0EC0" w:rsidRDefault="00EF6116" w:rsidP="001E20E9">
            <w:pPr>
              <w:pStyle w:val="Tabletext1"/>
              <w:keepNext/>
              <w:ind w:left="0"/>
              <w:jc w:val="left"/>
              <w:rPr>
                <w:lang w:eastAsia="en-GB"/>
              </w:rPr>
            </w:pPr>
            <w:r>
              <w:rPr>
                <w:lang w:eastAsia="en-GB"/>
              </w:rPr>
              <w:t>d</w:t>
            </w:r>
            <w:r w:rsidR="003E0EC0">
              <w:rPr>
                <w:lang w:eastAsia="en-GB"/>
              </w:rPr>
              <w:t xml:space="preserve">e Becdelievre et al. </w:t>
            </w:r>
            <w:r w:rsidR="008055FC">
              <w:rPr>
                <w:lang w:eastAsia="en-GB"/>
              </w:rPr>
              <w:t>(</w:t>
            </w:r>
            <w:r w:rsidR="003E0EC0">
              <w:rPr>
                <w:lang w:eastAsia="en-GB"/>
              </w:rPr>
              <w:t>2011</w:t>
            </w:r>
            <w:r w:rsidR="008055FC">
              <w:rPr>
                <w:lang w:eastAsia="en-GB"/>
              </w:rPr>
              <w:t>)</w:t>
            </w:r>
          </w:p>
        </w:tc>
        <w:tc>
          <w:tcPr>
            <w:tcW w:w="2093" w:type="dxa"/>
            <w:tcBorders>
              <w:top w:val="single" w:sz="4" w:space="0" w:color="auto"/>
              <w:left w:val="nil"/>
              <w:bottom w:val="single" w:sz="4" w:space="0" w:color="auto"/>
              <w:right w:val="nil"/>
            </w:tcBorders>
          </w:tcPr>
          <w:p w14:paraId="1D4983FD" w14:textId="77777777" w:rsidR="003E0EC0" w:rsidRDefault="003E0EC0" w:rsidP="001E20E9">
            <w:pPr>
              <w:pStyle w:val="Tabletext1"/>
              <w:keepNext/>
              <w:ind w:left="0"/>
              <w:jc w:val="left"/>
              <w:rPr>
                <w:lang w:eastAsia="en-GB"/>
              </w:rPr>
            </w:pPr>
            <w:r>
              <w:rPr>
                <w:snapToGrid w:val="0"/>
              </w:rPr>
              <w:t>694</w:t>
            </w:r>
          </w:p>
        </w:tc>
        <w:tc>
          <w:tcPr>
            <w:tcW w:w="2419" w:type="dxa"/>
            <w:tcBorders>
              <w:top w:val="single" w:sz="4" w:space="0" w:color="auto"/>
              <w:left w:val="nil"/>
              <w:bottom w:val="single" w:sz="4" w:space="0" w:color="auto"/>
              <w:right w:val="nil"/>
            </w:tcBorders>
          </w:tcPr>
          <w:p w14:paraId="285948D8" w14:textId="77777777" w:rsidR="003E0EC0" w:rsidRDefault="003E0EC0" w:rsidP="001E20E9">
            <w:pPr>
              <w:pStyle w:val="Tabletext1"/>
              <w:keepNext/>
              <w:ind w:left="0"/>
              <w:jc w:val="left"/>
              <w:rPr>
                <w:lang w:eastAsia="en-GB"/>
              </w:rPr>
            </w:pPr>
            <w:r>
              <w:rPr>
                <w:lang w:eastAsia="en-GB"/>
              </w:rPr>
              <w:t>FEB</w:t>
            </w:r>
          </w:p>
        </w:tc>
        <w:tc>
          <w:tcPr>
            <w:tcW w:w="2331" w:type="dxa"/>
            <w:tcBorders>
              <w:top w:val="single" w:sz="4" w:space="0" w:color="auto"/>
              <w:left w:val="nil"/>
              <w:bottom w:val="single" w:sz="4" w:space="0" w:color="auto"/>
              <w:right w:val="single" w:sz="4" w:space="0" w:color="auto"/>
            </w:tcBorders>
          </w:tcPr>
          <w:p w14:paraId="044C4856" w14:textId="77777777" w:rsidR="003E0EC0" w:rsidRDefault="003E0EC0" w:rsidP="001E20E9">
            <w:pPr>
              <w:pStyle w:val="Tabletext1"/>
              <w:keepNext/>
              <w:ind w:left="0"/>
              <w:jc w:val="left"/>
              <w:rPr>
                <w:lang w:eastAsia="en-GB"/>
              </w:rPr>
            </w:pPr>
            <w:r>
              <w:rPr>
                <w:lang w:eastAsia="en-GB"/>
              </w:rPr>
              <w:t>14/18 (high)</w:t>
            </w:r>
          </w:p>
        </w:tc>
      </w:tr>
      <w:tr w:rsidR="003E0EC0" w14:paraId="4BEFBEBD" w14:textId="77777777" w:rsidTr="001E20E9">
        <w:tc>
          <w:tcPr>
            <w:tcW w:w="2399" w:type="dxa"/>
            <w:tcBorders>
              <w:top w:val="single" w:sz="4" w:space="0" w:color="auto"/>
              <w:left w:val="single" w:sz="4" w:space="0" w:color="auto"/>
              <w:bottom w:val="single" w:sz="4" w:space="0" w:color="auto"/>
              <w:right w:val="nil"/>
            </w:tcBorders>
          </w:tcPr>
          <w:p w14:paraId="26D320E4" w14:textId="2701FDFE" w:rsidR="003E0EC0" w:rsidRDefault="003E0EC0" w:rsidP="001E20E9">
            <w:pPr>
              <w:pStyle w:val="Tabletext1"/>
              <w:keepNext/>
              <w:ind w:left="0"/>
              <w:jc w:val="left"/>
              <w:rPr>
                <w:lang w:eastAsia="en-GB"/>
              </w:rPr>
            </w:pPr>
            <w:r>
              <w:rPr>
                <w:lang w:eastAsia="en-GB"/>
              </w:rPr>
              <w:t xml:space="preserve">Ameratunga et al. </w:t>
            </w:r>
            <w:r w:rsidR="008055FC">
              <w:rPr>
                <w:lang w:eastAsia="en-GB"/>
              </w:rPr>
              <w:t>(</w:t>
            </w:r>
            <w:r>
              <w:rPr>
                <w:lang w:eastAsia="en-GB"/>
              </w:rPr>
              <w:t>2012</w:t>
            </w:r>
            <w:r w:rsidR="008055FC">
              <w:rPr>
                <w:lang w:eastAsia="en-GB"/>
              </w:rPr>
              <w:t>)</w:t>
            </w:r>
          </w:p>
        </w:tc>
        <w:tc>
          <w:tcPr>
            <w:tcW w:w="2093" w:type="dxa"/>
            <w:tcBorders>
              <w:top w:val="single" w:sz="4" w:space="0" w:color="auto"/>
              <w:left w:val="nil"/>
              <w:bottom w:val="single" w:sz="4" w:space="0" w:color="auto"/>
              <w:right w:val="nil"/>
            </w:tcBorders>
          </w:tcPr>
          <w:p w14:paraId="0CA19456" w14:textId="77777777" w:rsidR="003E0EC0" w:rsidRDefault="003E0EC0" w:rsidP="001E20E9">
            <w:pPr>
              <w:pStyle w:val="Tabletext1"/>
              <w:keepNext/>
              <w:ind w:left="0"/>
              <w:jc w:val="left"/>
              <w:rPr>
                <w:lang w:eastAsia="en-GB"/>
              </w:rPr>
            </w:pPr>
            <w:r>
              <w:rPr>
                <w:snapToGrid w:val="0"/>
              </w:rPr>
              <w:t>33</w:t>
            </w:r>
          </w:p>
        </w:tc>
        <w:tc>
          <w:tcPr>
            <w:tcW w:w="2419" w:type="dxa"/>
            <w:tcBorders>
              <w:top w:val="single" w:sz="4" w:space="0" w:color="auto"/>
              <w:left w:val="nil"/>
              <w:bottom w:val="single" w:sz="4" w:space="0" w:color="auto"/>
              <w:right w:val="nil"/>
            </w:tcBorders>
          </w:tcPr>
          <w:p w14:paraId="2DC461FD" w14:textId="77777777" w:rsidR="003E0EC0" w:rsidRDefault="003E0EC0" w:rsidP="001E20E9">
            <w:pPr>
              <w:pStyle w:val="Tabletext1"/>
              <w:keepNext/>
              <w:ind w:left="0"/>
              <w:jc w:val="left"/>
              <w:rPr>
                <w:lang w:eastAsia="en-GB"/>
              </w:rPr>
            </w:pPr>
            <w:r>
              <w:rPr>
                <w:lang w:eastAsia="en-GB"/>
              </w:rPr>
              <w:t>FEB</w:t>
            </w:r>
          </w:p>
        </w:tc>
        <w:tc>
          <w:tcPr>
            <w:tcW w:w="2331" w:type="dxa"/>
            <w:tcBorders>
              <w:top w:val="single" w:sz="4" w:space="0" w:color="auto"/>
              <w:left w:val="nil"/>
              <w:bottom w:val="single" w:sz="4" w:space="0" w:color="auto"/>
              <w:right w:val="single" w:sz="4" w:space="0" w:color="auto"/>
            </w:tcBorders>
          </w:tcPr>
          <w:p w14:paraId="61EFE9F8" w14:textId="77777777" w:rsidR="003E0EC0" w:rsidRDefault="003E0EC0" w:rsidP="001E20E9">
            <w:pPr>
              <w:pStyle w:val="Tabletext1"/>
              <w:keepNext/>
              <w:ind w:left="0"/>
              <w:jc w:val="left"/>
              <w:rPr>
                <w:lang w:eastAsia="en-GB"/>
              </w:rPr>
            </w:pPr>
            <w:r>
              <w:rPr>
                <w:lang w:eastAsia="en-GB"/>
              </w:rPr>
              <w:t>14/18 (high)</w:t>
            </w:r>
          </w:p>
        </w:tc>
      </w:tr>
      <w:tr w:rsidR="003E0EC0" w14:paraId="77FDCBE8" w14:textId="77777777" w:rsidTr="001E20E9">
        <w:tc>
          <w:tcPr>
            <w:tcW w:w="2399" w:type="dxa"/>
            <w:tcBorders>
              <w:top w:val="single" w:sz="4" w:space="0" w:color="auto"/>
              <w:left w:val="single" w:sz="4" w:space="0" w:color="auto"/>
              <w:bottom w:val="single" w:sz="4" w:space="0" w:color="auto"/>
              <w:right w:val="nil"/>
            </w:tcBorders>
          </w:tcPr>
          <w:p w14:paraId="477524DD" w14:textId="65AAD376" w:rsidR="003E0EC0" w:rsidRDefault="003E0EC0" w:rsidP="001E20E9">
            <w:pPr>
              <w:pStyle w:val="Tabletext1"/>
              <w:keepNext/>
              <w:ind w:left="0"/>
              <w:jc w:val="left"/>
              <w:rPr>
                <w:lang w:eastAsia="en-GB"/>
              </w:rPr>
            </w:pPr>
            <w:r>
              <w:rPr>
                <w:lang w:eastAsia="en-GB"/>
              </w:rPr>
              <w:t xml:space="preserve">Tomaiuolo et al. </w:t>
            </w:r>
            <w:r w:rsidR="008055FC">
              <w:rPr>
                <w:lang w:eastAsia="en-GB"/>
              </w:rPr>
              <w:t>(</w:t>
            </w:r>
            <w:r>
              <w:rPr>
                <w:lang w:eastAsia="en-GB"/>
              </w:rPr>
              <w:t>2013</w:t>
            </w:r>
            <w:r w:rsidR="008055FC">
              <w:rPr>
                <w:lang w:eastAsia="en-GB"/>
              </w:rPr>
              <w:t>)</w:t>
            </w:r>
          </w:p>
        </w:tc>
        <w:tc>
          <w:tcPr>
            <w:tcW w:w="2093" w:type="dxa"/>
            <w:tcBorders>
              <w:top w:val="single" w:sz="4" w:space="0" w:color="auto"/>
              <w:left w:val="nil"/>
              <w:bottom w:val="single" w:sz="4" w:space="0" w:color="auto"/>
              <w:right w:val="nil"/>
            </w:tcBorders>
          </w:tcPr>
          <w:p w14:paraId="741401B5" w14:textId="77777777" w:rsidR="003E0EC0" w:rsidRDefault="00CD5237" w:rsidP="001E20E9">
            <w:pPr>
              <w:pStyle w:val="Tabletext1"/>
              <w:keepNext/>
              <w:ind w:left="0"/>
              <w:jc w:val="left"/>
              <w:rPr>
                <w:lang w:eastAsia="en-GB"/>
              </w:rPr>
            </w:pPr>
            <w:r>
              <w:rPr>
                <w:lang w:eastAsia="en-GB"/>
              </w:rPr>
              <w:t>149</w:t>
            </w:r>
          </w:p>
        </w:tc>
        <w:tc>
          <w:tcPr>
            <w:tcW w:w="2419" w:type="dxa"/>
            <w:tcBorders>
              <w:top w:val="single" w:sz="4" w:space="0" w:color="auto"/>
              <w:left w:val="nil"/>
              <w:bottom w:val="single" w:sz="4" w:space="0" w:color="auto"/>
              <w:right w:val="nil"/>
            </w:tcBorders>
          </w:tcPr>
          <w:p w14:paraId="3E926B46" w14:textId="77777777" w:rsidR="003E0EC0" w:rsidRDefault="003E0EC0" w:rsidP="001E20E9">
            <w:pPr>
              <w:pStyle w:val="Tabletext1"/>
              <w:keepNext/>
              <w:ind w:left="0"/>
              <w:jc w:val="left"/>
              <w:rPr>
                <w:lang w:eastAsia="en-GB"/>
              </w:rPr>
            </w:pPr>
            <w:r>
              <w:rPr>
                <w:lang w:eastAsia="en-GB"/>
              </w:rPr>
              <w:t>1:4 risk of CF</w:t>
            </w:r>
          </w:p>
        </w:tc>
        <w:tc>
          <w:tcPr>
            <w:tcW w:w="2331" w:type="dxa"/>
            <w:tcBorders>
              <w:top w:val="single" w:sz="4" w:space="0" w:color="auto"/>
              <w:left w:val="nil"/>
              <w:bottom w:val="single" w:sz="4" w:space="0" w:color="auto"/>
              <w:right w:val="single" w:sz="4" w:space="0" w:color="auto"/>
            </w:tcBorders>
          </w:tcPr>
          <w:p w14:paraId="122A3346" w14:textId="77777777" w:rsidR="003E0EC0" w:rsidRDefault="003E0EC0" w:rsidP="001E20E9">
            <w:pPr>
              <w:pStyle w:val="Tabletext1"/>
              <w:keepNext/>
              <w:ind w:left="0"/>
              <w:jc w:val="left"/>
              <w:rPr>
                <w:lang w:eastAsia="en-GB"/>
              </w:rPr>
            </w:pPr>
            <w:r>
              <w:rPr>
                <w:lang w:eastAsia="en-GB"/>
              </w:rPr>
              <w:t>13/18 (medium)</w:t>
            </w:r>
          </w:p>
        </w:tc>
      </w:tr>
      <w:tr w:rsidR="003E0EC0" w14:paraId="33F1AF02" w14:textId="77777777" w:rsidTr="001E20E9">
        <w:tc>
          <w:tcPr>
            <w:tcW w:w="2399" w:type="dxa"/>
            <w:tcBorders>
              <w:top w:val="single" w:sz="4" w:space="0" w:color="auto"/>
              <w:left w:val="single" w:sz="4" w:space="0" w:color="auto"/>
              <w:bottom w:val="single" w:sz="4" w:space="0" w:color="auto"/>
              <w:right w:val="nil"/>
            </w:tcBorders>
          </w:tcPr>
          <w:p w14:paraId="5E848E6C" w14:textId="5BE5BDF5" w:rsidR="003E0EC0" w:rsidRDefault="003E0EC0" w:rsidP="001E20E9">
            <w:pPr>
              <w:pStyle w:val="Tabletext1"/>
              <w:keepNext/>
              <w:ind w:left="0"/>
              <w:jc w:val="left"/>
              <w:rPr>
                <w:lang w:eastAsia="en-GB"/>
              </w:rPr>
            </w:pPr>
            <w:r>
              <w:rPr>
                <w:lang w:eastAsia="en-GB"/>
              </w:rPr>
              <w:t xml:space="preserve">Scotet et al. </w:t>
            </w:r>
            <w:r w:rsidR="008055FC">
              <w:rPr>
                <w:lang w:eastAsia="en-GB"/>
              </w:rPr>
              <w:t>(</w:t>
            </w:r>
            <w:r>
              <w:rPr>
                <w:lang w:eastAsia="en-GB"/>
              </w:rPr>
              <w:t>2003</w:t>
            </w:r>
            <w:r w:rsidR="008055FC">
              <w:rPr>
                <w:lang w:eastAsia="en-GB"/>
              </w:rPr>
              <w:t>)</w:t>
            </w:r>
          </w:p>
        </w:tc>
        <w:tc>
          <w:tcPr>
            <w:tcW w:w="2093" w:type="dxa"/>
            <w:tcBorders>
              <w:top w:val="single" w:sz="4" w:space="0" w:color="auto"/>
              <w:left w:val="nil"/>
              <w:bottom w:val="single" w:sz="4" w:space="0" w:color="auto"/>
              <w:right w:val="nil"/>
            </w:tcBorders>
          </w:tcPr>
          <w:p w14:paraId="1E58AAEA" w14:textId="77777777" w:rsidR="003E0EC0" w:rsidRDefault="003E0EC0" w:rsidP="001E20E9">
            <w:pPr>
              <w:pStyle w:val="Tabletext1"/>
              <w:keepNext/>
              <w:ind w:left="0"/>
              <w:jc w:val="left"/>
              <w:rPr>
                <w:lang w:eastAsia="en-GB"/>
              </w:rPr>
            </w:pPr>
            <w:r>
              <w:rPr>
                <w:snapToGrid w:val="0"/>
              </w:rPr>
              <w:t>173 (FEB)</w:t>
            </w:r>
            <w:r w:rsidR="00CD5237">
              <w:rPr>
                <w:snapToGrid w:val="0"/>
              </w:rPr>
              <w:t>,</w:t>
            </w:r>
            <w:r>
              <w:rPr>
                <w:snapToGrid w:val="0"/>
              </w:rPr>
              <w:t xml:space="preserve"> </w:t>
            </w:r>
            <w:r w:rsidR="00CD5237">
              <w:rPr>
                <w:snapToGrid w:val="0"/>
              </w:rPr>
              <w:t>148 (1:4 risk of CF)</w:t>
            </w:r>
          </w:p>
        </w:tc>
        <w:tc>
          <w:tcPr>
            <w:tcW w:w="2419" w:type="dxa"/>
            <w:tcBorders>
              <w:top w:val="single" w:sz="4" w:space="0" w:color="auto"/>
              <w:left w:val="nil"/>
              <w:bottom w:val="single" w:sz="4" w:space="0" w:color="auto"/>
              <w:right w:val="nil"/>
            </w:tcBorders>
          </w:tcPr>
          <w:p w14:paraId="4AA19924" w14:textId="77777777" w:rsidR="003E0EC0" w:rsidRDefault="003E0EC0" w:rsidP="001E20E9">
            <w:pPr>
              <w:pStyle w:val="Tabletext1"/>
              <w:keepNext/>
              <w:ind w:left="0"/>
              <w:jc w:val="left"/>
              <w:rPr>
                <w:lang w:eastAsia="en-GB"/>
              </w:rPr>
            </w:pPr>
            <w:r>
              <w:rPr>
                <w:lang w:eastAsia="en-GB"/>
              </w:rPr>
              <w:t>FEB + 1:4 risk of CF (separate results)</w:t>
            </w:r>
          </w:p>
        </w:tc>
        <w:tc>
          <w:tcPr>
            <w:tcW w:w="2331" w:type="dxa"/>
            <w:tcBorders>
              <w:top w:val="single" w:sz="4" w:space="0" w:color="auto"/>
              <w:left w:val="nil"/>
              <w:bottom w:val="single" w:sz="4" w:space="0" w:color="auto"/>
              <w:right w:val="single" w:sz="4" w:space="0" w:color="auto"/>
            </w:tcBorders>
          </w:tcPr>
          <w:p w14:paraId="347CD485" w14:textId="77777777" w:rsidR="003E0EC0" w:rsidRDefault="003E0EC0" w:rsidP="001E20E9">
            <w:pPr>
              <w:pStyle w:val="Tabletext1"/>
              <w:keepNext/>
              <w:ind w:left="0"/>
              <w:jc w:val="left"/>
              <w:rPr>
                <w:lang w:eastAsia="en-GB"/>
              </w:rPr>
            </w:pPr>
            <w:r>
              <w:rPr>
                <w:lang w:eastAsia="en-GB"/>
              </w:rPr>
              <w:t>13/18 (medium)</w:t>
            </w:r>
          </w:p>
        </w:tc>
      </w:tr>
      <w:tr w:rsidR="003E0EC0" w14:paraId="6DEFAB6E" w14:textId="77777777" w:rsidTr="001E20E9">
        <w:tc>
          <w:tcPr>
            <w:tcW w:w="2399" w:type="dxa"/>
            <w:tcBorders>
              <w:top w:val="single" w:sz="4" w:space="0" w:color="auto"/>
              <w:left w:val="single" w:sz="4" w:space="0" w:color="auto"/>
              <w:bottom w:val="single" w:sz="4" w:space="0" w:color="auto"/>
              <w:right w:val="nil"/>
            </w:tcBorders>
          </w:tcPr>
          <w:p w14:paraId="59D3BE82" w14:textId="22053C47" w:rsidR="003E0EC0" w:rsidRDefault="003E0EC0" w:rsidP="001E20E9">
            <w:pPr>
              <w:pStyle w:val="Tabletext1"/>
              <w:keepNext/>
              <w:ind w:left="0"/>
              <w:jc w:val="left"/>
              <w:rPr>
                <w:lang w:eastAsia="en-GB"/>
              </w:rPr>
            </w:pPr>
            <w:r>
              <w:rPr>
                <w:lang w:eastAsia="en-GB"/>
              </w:rPr>
              <w:t xml:space="preserve">Slotnick &amp; Abhamabad </w:t>
            </w:r>
            <w:r w:rsidR="008055FC">
              <w:rPr>
                <w:lang w:eastAsia="en-GB"/>
              </w:rPr>
              <w:t>(</w:t>
            </w:r>
            <w:r>
              <w:rPr>
                <w:lang w:eastAsia="en-GB"/>
              </w:rPr>
              <w:t>1996</w:t>
            </w:r>
            <w:r w:rsidR="008055FC">
              <w:rPr>
                <w:lang w:eastAsia="en-GB"/>
              </w:rPr>
              <w:t>)</w:t>
            </w:r>
          </w:p>
        </w:tc>
        <w:tc>
          <w:tcPr>
            <w:tcW w:w="2093" w:type="dxa"/>
            <w:tcBorders>
              <w:top w:val="single" w:sz="4" w:space="0" w:color="auto"/>
              <w:left w:val="nil"/>
              <w:bottom w:val="single" w:sz="4" w:space="0" w:color="auto"/>
              <w:right w:val="nil"/>
            </w:tcBorders>
          </w:tcPr>
          <w:p w14:paraId="2B4078D0" w14:textId="77777777" w:rsidR="003E0EC0" w:rsidRDefault="00CD5237" w:rsidP="001E20E9">
            <w:pPr>
              <w:pStyle w:val="Tabletext1"/>
              <w:keepNext/>
              <w:ind w:left="0"/>
              <w:jc w:val="left"/>
              <w:rPr>
                <w:lang w:eastAsia="en-GB"/>
              </w:rPr>
            </w:pPr>
            <w:r>
              <w:rPr>
                <w:snapToGrid w:val="0"/>
              </w:rPr>
              <w:t>53</w:t>
            </w:r>
          </w:p>
        </w:tc>
        <w:tc>
          <w:tcPr>
            <w:tcW w:w="2419" w:type="dxa"/>
            <w:tcBorders>
              <w:top w:val="single" w:sz="4" w:space="0" w:color="auto"/>
              <w:left w:val="nil"/>
              <w:bottom w:val="single" w:sz="4" w:space="0" w:color="auto"/>
              <w:right w:val="nil"/>
            </w:tcBorders>
          </w:tcPr>
          <w:p w14:paraId="63679981" w14:textId="77777777" w:rsidR="003E0EC0" w:rsidRDefault="003E0EC0" w:rsidP="001E20E9">
            <w:pPr>
              <w:pStyle w:val="Tabletext1"/>
              <w:keepNext/>
              <w:ind w:left="0"/>
              <w:jc w:val="left"/>
              <w:rPr>
                <w:lang w:eastAsia="en-GB"/>
              </w:rPr>
            </w:pPr>
            <w:r>
              <w:rPr>
                <w:lang w:eastAsia="en-GB"/>
              </w:rPr>
              <w:t>FEB</w:t>
            </w:r>
          </w:p>
        </w:tc>
        <w:tc>
          <w:tcPr>
            <w:tcW w:w="2331" w:type="dxa"/>
            <w:tcBorders>
              <w:top w:val="single" w:sz="4" w:space="0" w:color="auto"/>
              <w:left w:val="nil"/>
              <w:bottom w:val="single" w:sz="4" w:space="0" w:color="auto"/>
              <w:right w:val="single" w:sz="4" w:space="0" w:color="auto"/>
            </w:tcBorders>
          </w:tcPr>
          <w:p w14:paraId="1878D0D1" w14:textId="77777777" w:rsidR="003E0EC0" w:rsidRDefault="003E0EC0" w:rsidP="001E20E9">
            <w:pPr>
              <w:pStyle w:val="Tabletext1"/>
              <w:keepNext/>
              <w:ind w:left="0"/>
              <w:jc w:val="left"/>
              <w:rPr>
                <w:lang w:eastAsia="en-GB"/>
              </w:rPr>
            </w:pPr>
            <w:r>
              <w:rPr>
                <w:lang w:eastAsia="en-GB"/>
              </w:rPr>
              <w:t>12/18 (medium)</w:t>
            </w:r>
          </w:p>
        </w:tc>
      </w:tr>
      <w:tr w:rsidR="003E0EC0" w14:paraId="6E53BFDA" w14:textId="77777777" w:rsidTr="001E20E9">
        <w:tc>
          <w:tcPr>
            <w:tcW w:w="2399" w:type="dxa"/>
            <w:tcBorders>
              <w:top w:val="single" w:sz="4" w:space="0" w:color="auto"/>
              <w:left w:val="single" w:sz="4" w:space="0" w:color="auto"/>
              <w:bottom w:val="single" w:sz="4" w:space="0" w:color="auto"/>
              <w:right w:val="nil"/>
            </w:tcBorders>
          </w:tcPr>
          <w:p w14:paraId="1E907C12" w14:textId="7B1848A4" w:rsidR="003E0EC0" w:rsidRDefault="003E0EC0" w:rsidP="001E20E9">
            <w:pPr>
              <w:pStyle w:val="Tabletext1"/>
              <w:keepNext/>
              <w:ind w:left="0"/>
              <w:jc w:val="left"/>
              <w:rPr>
                <w:lang w:eastAsia="en-GB"/>
              </w:rPr>
            </w:pPr>
            <w:r>
              <w:rPr>
                <w:lang w:eastAsia="en-GB"/>
              </w:rPr>
              <w:t>Castaldo et al</w:t>
            </w:r>
            <w:r w:rsidR="008055FC">
              <w:rPr>
                <w:lang w:eastAsia="en-GB"/>
              </w:rPr>
              <w:t>.</w:t>
            </w:r>
            <w:r>
              <w:rPr>
                <w:lang w:eastAsia="en-GB"/>
              </w:rPr>
              <w:t xml:space="preserve"> </w:t>
            </w:r>
            <w:r w:rsidR="008055FC">
              <w:rPr>
                <w:lang w:eastAsia="en-GB"/>
              </w:rPr>
              <w:t>(</w:t>
            </w:r>
            <w:r>
              <w:rPr>
                <w:lang w:eastAsia="en-GB"/>
              </w:rPr>
              <w:t>2000</w:t>
            </w:r>
            <w:r w:rsidR="008055FC">
              <w:rPr>
                <w:lang w:eastAsia="en-GB"/>
              </w:rPr>
              <w:t>)</w:t>
            </w:r>
          </w:p>
        </w:tc>
        <w:tc>
          <w:tcPr>
            <w:tcW w:w="2093" w:type="dxa"/>
            <w:tcBorders>
              <w:top w:val="single" w:sz="4" w:space="0" w:color="auto"/>
              <w:left w:val="nil"/>
              <w:bottom w:val="single" w:sz="4" w:space="0" w:color="auto"/>
              <w:right w:val="nil"/>
            </w:tcBorders>
          </w:tcPr>
          <w:p w14:paraId="27F4819A" w14:textId="77777777" w:rsidR="003E0EC0" w:rsidRDefault="00CD5237" w:rsidP="001E20E9">
            <w:pPr>
              <w:pStyle w:val="Tabletext1"/>
              <w:keepNext/>
              <w:ind w:left="0"/>
              <w:jc w:val="left"/>
              <w:rPr>
                <w:lang w:eastAsia="en-GB"/>
              </w:rPr>
            </w:pPr>
            <w:r>
              <w:rPr>
                <w:snapToGrid w:val="0"/>
              </w:rPr>
              <w:t>33</w:t>
            </w:r>
          </w:p>
        </w:tc>
        <w:tc>
          <w:tcPr>
            <w:tcW w:w="2419" w:type="dxa"/>
            <w:tcBorders>
              <w:top w:val="single" w:sz="4" w:space="0" w:color="auto"/>
              <w:left w:val="nil"/>
              <w:bottom w:val="single" w:sz="4" w:space="0" w:color="auto"/>
              <w:right w:val="nil"/>
            </w:tcBorders>
          </w:tcPr>
          <w:p w14:paraId="6A1CBA39" w14:textId="77777777" w:rsidR="003E0EC0" w:rsidRDefault="003E0EC0" w:rsidP="001E20E9">
            <w:pPr>
              <w:pStyle w:val="Tabletext1"/>
              <w:keepNext/>
              <w:ind w:left="0"/>
              <w:jc w:val="left"/>
              <w:rPr>
                <w:lang w:eastAsia="en-GB"/>
              </w:rPr>
            </w:pPr>
            <w:r>
              <w:rPr>
                <w:lang w:eastAsia="en-GB"/>
              </w:rPr>
              <w:t>1:4 risk of CF</w:t>
            </w:r>
          </w:p>
        </w:tc>
        <w:tc>
          <w:tcPr>
            <w:tcW w:w="2331" w:type="dxa"/>
            <w:tcBorders>
              <w:top w:val="single" w:sz="4" w:space="0" w:color="auto"/>
              <w:left w:val="nil"/>
              <w:bottom w:val="single" w:sz="4" w:space="0" w:color="auto"/>
              <w:right w:val="single" w:sz="4" w:space="0" w:color="auto"/>
            </w:tcBorders>
          </w:tcPr>
          <w:p w14:paraId="6B210F45" w14:textId="77777777" w:rsidR="003E0EC0" w:rsidRDefault="003E0EC0" w:rsidP="001E20E9">
            <w:pPr>
              <w:pStyle w:val="Tabletext1"/>
              <w:keepNext/>
              <w:ind w:left="0"/>
              <w:jc w:val="left"/>
              <w:rPr>
                <w:lang w:eastAsia="en-GB"/>
              </w:rPr>
            </w:pPr>
            <w:r>
              <w:rPr>
                <w:lang w:eastAsia="en-GB"/>
              </w:rPr>
              <w:t>12/18 (medium)</w:t>
            </w:r>
          </w:p>
        </w:tc>
      </w:tr>
    </w:tbl>
    <w:p w14:paraId="1DF3FCB8" w14:textId="2074947E" w:rsidR="00711482" w:rsidRPr="001A75CA" w:rsidRDefault="00131B02" w:rsidP="00A25EBB">
      <w:pPr>
        <w:pStyle w:val="Tabletext1"/>
        <w:keepNext/>
        <w:rPr>
          <w:sz w:val="18"/>
          <w:szCs w:val="18"/>
        </w:rPr>
      </w:pPr>
      <w:r w:rsidRPr="00570360">
        <w:rPr>
          <w:sz w:val="18"/>
          <w:szCs w:val="18"/>
        </w:rPr>
        <w:t>CF = cystic fibrosis</w:t>
      </w:r>
      <w:r>
        <w:rPr>
          <w:sz w:val="18"/>
          <w:szCs w:val="18"/>
        </w:rPr>
        <w:t xml:space="preserve">; </w:t>
      </w:r>
      <w:r w:rsidR="00711482" w:rsidRPr="001A75CA">
        <w:rPr>
          <w:sz w:val="18"/>
          <w:szCs w:val="18"/>
        </w:rPr>
        <w:t>FEB = fetal echogenic bowel</w:t>
      </w:r>
    </w:p>
    <w:p w14:paraId="3432CF53" w14:textId="77777777" w:rsidR="001E20E9" w:rsidRDefault="001E20E9" w:rsidP="001A75CA">
      <w:pPr>
        <w:spacing w:after="120"/>
      </w:pPr>
    </w:p>
    <w:p w14:paraId="1C486AA3" w14:textId="5C5930E1" w:rsidR="00F126B2" w:rsidRDefault="001E20E9" w:rsidP="00F126B2">
      <w:r>
        <w:t>O</w:t>
      </w:r>
      <w:r w:rsidR="00F126B2">
        <w:t>utcomes reported regarding change in management were the number of pregnancies terminated after a positive test result. From this outcome, the rate of CF births and ‘CF births avoided’ were calculated. No statistical analys</w:t>
      </w:r>
      <w:r w:rsidR="00057324">
        <w:t>i</w:t>
      </w:r>
      <w:r w:rsidR="00F126B2">
        <w:t xml:space="preserve">s could be conducted due to the absence of a comparator. </w:t>
      </w:r>
    </w:p>
    <w:p w14:paraId="212FADA2" w14:textId="64B51EFC" w:rsidR="003E795C" w:rsidRPr="003E795C" w:rsidRDefault="003E795C" w:rsidP="00B45FA8">
      <w:pPr>
        <w:pStyle w:val="Heading2"/>
      </w:pPr>
      <w:bookmarkStart w:id="270" w:name="_Toc418179908"/>
      <w:r>
        <w:t>B.6.ii</w:t>
      </w:r>
      <w:r w:rsidR="00A60735">
        <w:tab/>
      </w:r>
      <w:r w:rsidR="00A60735">
        <w:tab/>
      </w:r>
      <w:r>
        <w:t xml:space="preserve">Results of the </w:t>
      </w:r>
      <w:r w:rsidR="000C139C">
        <w:t>Change in Management Studies</w:t>
      </w:r>
      <w:bookmarkEnd w:id="270"/>
    </w:p>
    <w:p w14:paraId="3D24DF17" w14:textId="79921005" w:rsidR="00F126B2" w:rsidRDefault="00F126B2" w:rsidP="00F126B2">
      <w:pPr>
        <w:pStyle w:val="Summaryboxheading"/>
        <w:pBdr>
          <w:top w:val="single" w:sz="4" w:space="1" w:color="auto"/>
          <w:left w:val="single" w:sz="4" w:space="4" w:color="auto"/>
          <w:bottom w:val="single" w:sz="4" w:space="1" w:color="auto"/>
          <w:right w:val="single" w:sz="4" w:space="4" w:color="auto"/>
        </w:pBdr>
      </w:pPr>
      <w:r w:rsidRPr="005C67AD">
        <w:rPr>
          <w:rStyle w:val="TabletextChar1"/>
          <w:sz w:val="20"/>
          <w:szCs w:val="20"/>
        </w:rPr>
        <w:t>Summary –</w:t>
      </w:r>
      <w:r>
        <w:t xml:space="preserve"> </w:t>
      </w:r>
      <w:r w:rsidRPr="005C67AD">
        <w:rPr>
          <w:rStyle w:val="TabletextChar1"/>
          <w:sz w:val="20"/>
          <w:szCs w:val="20"/>
        </w:rPr>
        <w:t xml:space="preserve">Does prenatal </w:t>
      </w:r>
      <w:r w:rsidR="00FD37D3" w:rsidRPr="00FD37D3">
        <w:rPr>
          <w:rStyle w:val="TabletextChar1"/>
          <w:sz w:val="20"/>
          <w:szCs w:val="20"/>
        </w:rPr>
        <w:t>CFTR</w:t>
      </w:r>
      <w:r w:rsidRPr="005C67AD">
        <w:rPr>
          <w:rStyle w:val="TabletextChar1"/>
          <w:sz w:val="20"/>
          <w:szCs w:val="20"/>
        </w:rPr>
        <w:t xml:space="preserve"> mutation testing (common mutation analysis) affect the clinical management of a pregnancy where the fetus is suspected of having CF, compar</w:t>
      </w:r>
      <w:r w:rsidR="00057324">
        <w:rPr>
          <w:rStyle w:val="TabletextChar1"/>
          <w:sz w:val="20"/>
          <w:szCs w:val="20"/>
        </w:rPr>
        <w:t>ed</w:t>
      </w:r>
      <w:r w:rsidRPr="005C67AD">
        <w:rPr>
          <w:rStyle w:val="TabletextChar1"/>
          <w:sz w:val="20"/>
          <w:szCs w:val="20"/>
        </w:rPr>
        <w:t xml:space="preserve"> </w:t>
      </w:r>
      <w:r w:rsidR="00057324">
        <w:rPr>
          <w:rStyle w:val="TabletextChar1"/>
          <w:sz w:val="20"/>
          <w:szCs w:val="20"/>
        </w:rPr>
        <w:t>with</w:t>
      </w:r>
      <w:r w:rsidR="00057324" w:rsidRPr="005C67AD">
        <w:rPr>
          <w:rStyle w:val="TabletextChar1"/>
          <w:sz w:val="20"/>
          <w:szCs w:val="20"/>
        </w:rPr>
        <w:t xml:space="preserve"> </w:t>
      </w:r>
      <w:r w:rsidRPr="005C67AD">
        <w:rPr>
          <w:rStyle w:val="TabletextChar1"/>
          <w:sz w:val="20"/>
          <w:szCs w:val="20"/>
        </w:rPr>
        <w:t>determining the diagnosis of the child after the birth?</w:t>
      </w:r>
    </w:p>
    <w:p w14:paraId="4A8F5AE2" w14:textId="51DC1F73" w:rsidR="00F126B2" w:rsidRDefault="00F126B2" w:rsidP="00F126B2">
      <w:pPr>
        <w:pStyle w:val="Tabletext1"/>
        <w:pBdr>
          <w:top w:val="single" w:sz="4" w:space="1" w:color="auto"/>
          <w:left w:val="single" w:sz="4" w:space="4" w:color="auto"/>
          <w:bottom w:val="single" w:sz="4" w:space="1" w:color="auto"/>
          <w:right w:val="single" w:sz="4" w:space="4" w:color="auto"/>
        </w:pBdr>
        <w:rPr>
          <w:vanish/>
          <w:color w:val="C00000"/>
        </w:rPr>
      </w:pPr>
      <w:r w:rsidRPr="00E036ED">
        <w:t>Nine studies</w:t>
      </w:r>
      <w:r>
        <w:t xml:space="preserve"> were included to assess the impact of prenatal </w:t>
      </w:r>
      <w:r w:rsidR="00FD37D3" w:rsidRPr="00FD37D3">
        <w:t>CFTR</w:t>
      </w:r>
      <w:r>
        <w:t xml:space="preserve"> testing on change in management. All studies were level IV evidence. Six studies included evidence on TOP in pregnancies where a</w:t>
      </w:r>
      <w:r w:rsidR="00C3573F">
        <w:t>n</w:t>
      </w:r>
      <w:r>
        <w:t xml:space="preserve"> FEB was detected: the TOP rate in this group was 65% (50/77)</w:t>
      </w:r>
      <w:r w:rsidR="002E2721">
        <w:t>,</w:t>
      </w:r>
      <w:r>
        <w:t xml:space="preserve"> but </w:t>
      </w:r>
      <w:r w:rsidR="008B4411">
        <w:t xml:space="preserve">was in the </w:t>
      </w:r>
      <w:r>
        <w:t>range 0–100</w:t>
      </w:r>
      <w:r w:rsidR="00C45A36">
        <w:t>%</w:t>
      </w:r>
      <w:r>
        <w:t xml:space="preserve"> in the different studies (median 69.4%). In the group with a 1:4 risk that tested positive during prenatal testing, 155/163 couples chose TOP (95% </w:t>
      </w:r>
      <w:r w:rsidR="00961D94">
        <w:t xml:space="preserve">from </w:t>
      </w:r>
      <w:r w:rsidR="008B4411">
        <w:t xml:space="preserve">4 </w:t>
      </w:r>
      <w:r>
        <w:t>studies</w:t>
      </w:r>
      <w:r w:rsidR="00961D94">
        <w:t>;</w:t>
      </w:r>
      <w:r>
        <w:t xml:space="preserve"> 92.3–100%). This shows </w:t>
      </w:r>
      <w:r w:rsidR="008B4411">
        <w:t xml:space="preserve">that </w:t>
      </w:r>
      <w:r>
        <w:t xml:space="preserve">there is a change in management after a positive </w:t>
      </w:r>
      <w:r w:rsidR="00FD37D3" w:rsidRPr="00FD37D3">
        <w:t>CFTR</w:t>
      </w:r>
      <w:r>
        <w:t xml:space="preserve"> test result, assuming </w:t>
      </w:r>
      <w:r w:rsidR="002E2721">
        <w:t xml:space="preserve">that </w:t>
      </w:r>
      <w:r>
        <w:t>no TOP would occur in the absence of genetic testing.</w:t>
      </w:r>
    </w:p>
    <w:p w14:paraId="789E6EA8" w14:textId="77777777" w:rsidR="007F0159" w:rsidRDefault="007F0159" w:rsidP="00F126B2"/>
    <w:p w14:paraId="71082C13" w14:textId="611FEEC4" w:rsidR="00F126B2" w:rsidRDefault="00F126B2" w:rsidP="00F126B2">
      <w:r>
        <w:t xml:space="preserve">As none of the studies reported a comparison with pregnancy management after no prenatal testing, all </w:t>
      </w:r>
      <w:r w:rsidR="008B4411">
        <w:t xml:space="preserve">9 </w:t>
      </w:r>
      <w:r>
        <w:t>studies were non-comparative (</w:t>
      </w:r>
      <w:r w:rsidR="008B4411">
        <w:t xml:space="preserve">i.e. </w:t>
      </w:r>
      <w:r>
        <w:t>level IV evidence).</w:t>
      </w:r>
      <w:r w:rsidR="00DF5916">
        <w:t xml:space="preserve"> </w:t>
      </w:r>
      <w:r>
        <w:t xml:space="preserve">All case series were medium to high quality, based on the IHE checklist. Although </w:t>
      </w:r>
      <w:r w:rsidR="008B4411">
        <w:t xml:space="preserve">9 </w:t>
      </w:r>
      <w:r>
        <w:t>studies were included, it is possible that the populations in the studies by Scotet et al.</w:t>
      </w:r>
      <w:r w:rsidR="008B4411">
        <w:t xml:space="preserve"> (2003; 2008)</w:t>
      </w:r>
      <w:r>
        <w:t xml:space="preserve"> are partly overlapping, as well as </w:t>
      </w:r>
      <w:r w:rsidR="002E2721">
        <w:t xml:space="preserve">in </w:t>
      </w:r>
      <w:r>
        <w:t xml:space="preserve">the studies by Castaldo et al. </w:t>
      </w:r>
      <w:r>
        <w:fldChar w:fldCharType="begin"/>
      </w:r>
      <w:r w:rsidR="009A054F">
        <w:instrText xml:space="preserve"> ADDIN EN.CITE &lt;EndNote&gt;&lt;Cite&gt;&lt;Author&gt;Castaldo&lt;/Author&gt;&lt;Year&gt;2000&lt;/Year&gt;&lt;RecNum&gt;784&lt;/RecNum&gt;&lt;IDText&gt;121-133&lt;/IDText&gt;&lt;DisplayText&gt;(Castaldo et al. 2000)&lt;/DisplayText&gt;&lt;record&gt;&lt;rec-number&gt;784&lt;/rec-number&gt;&lt;foreign-keys&gt;&lt;key app="EN" db-id="parffa0acae2voep5w3vv9rypas2tr522eef" timestamp="1430369583"&gt;784&lt;/key&gt;&lt;/foreign-keys&gt;&lt;ref-type name="Journal Article"&gt;17&lt;/ref-type&gt;&lt;contributors&gt;&lt;authors&gt;&lt;author&gt;Castaldo, G.&lt;/author&gt;&lt;author&gt;Martinelli, P.&lt;/author&gt;&lt;author&gt;Massa, C.&lt;/author&gt;&lt;author&gt;Fuccio, A.&lt;/author&gt;&lt;author&gt;Grosso, M.&lt;/author&gt;&lt;author&gt;Rippa, E.&lt;/author&gt;&lt;author&gt;Paladini, D.&lt;/author&gt;&lt;author&gt;Salvatore, F.&lt;/author&gt;&lt;/authors&gt;&lt;/contributors&gt;&lt;auth-address&gt;Dipto. di Biochim./Biotecn. Mediche, UN &amp;apos;Federico II&amp;apos;/CEINGE scarl, Naples, Italy&amp;#xD;Facoltà di Scienze, Università del Molise, Naples, Italy&amp;#xD;Istituto di Ginecologia, OF della riproduzione umana, Univ. di Napoli &amp;apos;Federico II&amp;apos;, Naples, Italy&lt;/auth-address&gt;&lt;titles&gt;&lt;title&gt;Prenatal diagnosis of cystic fibrosis: A case of twin pregnancy diagnosis and a review of 5 years&amp;apos; experience&lt;/title&gt;&lt;secondary-title&gt;Clinica Chimica Acta&lt;/secondary-title&gt;&lt;/titles&gt;&lt;periodical&gt;&lt;full-title&gt;Clinica Chimica Acta&lt;/full-title&gt;&lt;/periodical&gt;&lt;pages&gt;121-133&lt;/pages&gt;&lt;volume&gt;298&lt;/volume&gt;&lt;number&gt;1-2&lt;/number&gt;&lt;keywords&gt;&lt;keyword&gt;Cystic fibrosis&lt;/keyword&gt;&lt;keyword&gt;Molecular analysis&lt;/keyword&gt;&lt;keyword&gt;Prenatal diagnosis&lt;/keyword&gt;&lt;keyword&gt;Twin pregnancy&lt;/keyword&gt;&lt;/keywords&gt;&lt;dates&gt;&lt;year&gt;2000&lt;/year&gt;&lt;/dates&gt;&lt;urls&gt;&lt;related-urls&gt;&lt;url&gt;http://www.scopus.com/inward/record.url?eid=2-s2.0-0034257089&amp;amp;partnerID=40&amp;amp;md5=d33450eaf6d1917542e6749e37d4a69c&lt;/url&gt;&lt;/related-urls&gt;&lt;/urls&gt;&lt;remote-database-name&gt;Scopus&lt;/remote-database-name&gt;&lt;/record&gt;&lt;/Cite&gt;&lt;/EndNote&gt;</w:instrText>
      </w:r>
      <w:r>
        <w:fldChar w:fldCharType="separate"/>
      </w:r>
      <w:r>
        <w:rPr>
          <w:noProof/>
        </w:rPr>
        <w:t>(</w:t>
      </w:r>
      <w:hyperlink w:anchor="_ENREF_21" w:tooltip="Castaldo, 2000 #784" w:history="1">
        <w:r w:rsidR="00B46ABF">
          <w:rPr>
            <w:noProof/>
          </w:rPr>
          <w:t>2000</w:t>
        </w:r>
      </w:hyperlink>
      <w:r>
        <w:rPr>
          <w:noProof/>
        </w:rPr>
        <w:t>)</w:t>
      </w:r>
      <w:r>
        <w:fldChar w:fldCharType="end"/>
      </w:r>
      <w:r>
        <w:t xml:space="preserve"> and Tomaiuolo et al. </w:t>
      </w:r>
      <w:r>
        <w:fldChar w:fldCharType="begin"/>
      </w:r>
      <w:r w:rsidR="009A054F">
        <w:instrText xml:space="preserve"> ADDIN EN.CITE &lt;EndNote&gt;&lt;Cite&gt;&lt;Author&gt;Tomaiuolo&lt;/Author&gt;&lt;Year&gt;2013&lt;/Year&gt;&lt;RecNum&gt;1064&lt;/RecNum&gt;&lt;IDText&gt;2227-2232&lt;/IDText&gt;&lt;DisplayText&gt;(Tomaiuolo et al. 2013)&lt;/DisplayText&gt;&lt;record&gt;&lt;rec-number&gt;1064&lt;/rec-number&gt;&lt;foreign-keys&gt;&lt;key app="EN" db-id="parffa0acae2voep5w3vv9rypas2tr522eef" timestamp="1430369666"&gt;1064&lt;/key&gt;&lt;/foreign-keys&gt;&lt;ref-type name="Journal Article"&gt;17&lt;/ref-type&gt;&lt;contributors&gt;&lt;authors&gt;&lt;author&gt;Tomaiuolo, R.&lt;/author&gt;&lt;author&gt;Nardiello, P.&lt;/author&gt;&lt;author&gt;Martinelli, P.&lt;/author&gt;&lt;author&gt;Sacchetti, L.&lt;/author&gt;&lt;author&gt;Salvatore, F.&lt;/author&gt;&lt;author&gt;Castaldo, G.&lt;/author&gt;&lt;/authors&gt;&lt;/contributors&gt;&lt;auth-address&gt;CEINGE-Advanced Biotechnologies, Via Gaetano Salvatore 486, 80146, Naples, Italy&amp;#xD;Department of Molecular Medicine and Medical Biotechnologies, University of Naples Federico II, Naples, Italy&amp;#xD;Department of Neuroscience, Reproductive and Odontostomatology Sciences, University of Naples Federico II, Naples, Italy&lt;/auth-address&gt;&lt;titles&gt;&lt;title&gt;Prenatal diagnosis of cystic fibrosis: An experience of 181 cases&lt;/title&gt;&lt;secondary-title&gt;Clinical Chemistry and Laboratory Medicine&lt;/secondary-title&gt;&lt;/titles&gt;&lt;periodical&gt;&lt;full-title&gt;Clinical Chemistry and Laboratory Medicine&lt;/full-title&gt;&lt;/periodical&gt;&lt;pages&gt;2227-2232&lt;/pages&gt;&lt;volume&gt;51&lt;/volume&gt;&lt;number&gt;12&lt;/number&gt;&lt;keywords&gt;&lt;keyword&gt;Amniocentesis&lt;/keyword&gt;&lt;keyword&gt;CFTR&lt;/keyword&gt;&lt;keyword&gt;CFTR-related disorders&lt;/keyword&gt;&lt;keyword&gt;Chorionic villi&lt;/keyword&gt;&lt;keyword&gt;Cystic fibrosis&lt;/keyword&gt;&lt;keyword&gt;Prenatal diagnosis&lt;/keyword&gt;&lt;/keywords&gt;&lt;dates&gt;&lt;year&gt;2013&lt;/year&gt;&lt;/dates&gt;&lt;urls&gt;&lt;related-urls&gt;&lt;url&gt;http://www.scopus.com/inward/record.url?eid=2-s2.0-84889574031&amp;amp;partnerID=40&amp;amp;md5=418dcf0324142f38c5e0fffd08a74683&lt;/url&gt;&lt;url&gt;http://www.degruyter.com/view/j/cclm.2013.51.issue-12/cclm-2013-0200/cclm-2013-0200.xml;jsessionid=A679EAD098F1751588CFFC15B9CE2EFA&lt;/url&gt;&lt;/related-urls&gt;&lt;/urls&gt;&lt;remote-database-name&gt;Scopus&lt;/remote-database-name&gt;&lt;/record&gt;&lt;/Cite&gt;&lt;/EndNote&gt;</w:instrText>
      </w:r>
      <w:r>
        <w:fldChar w:fldCharType="separate"/>
      </w:r>
      <w:r>
        <w:rPr>
          <w:noProof/>
        </w:rPr>
        <w:t>(</w:t>
      </w:r>
      <w:hyperlink w:anchor="_ENREF_123" w:tooltip="Tomaiuolo, 2013 #1064" w:history="1">
        <w:r w:rsidR="00B46ABF">
          <w:rPr>
            <w:noProof/>
          </w:rPr>
          <w:t>2013</w:t>
        </w:r>
      </w:hyperlink>
      <w:r>
        <w:rPr>
          <w:noProof/>
        </w:rPr>
        <w:t>)</w:t>
      </w:r>
      <w:r>
        <w:fldChar w:fldCharType="end"/>
      </w:r>
      <w:r>
        <w:t xml:space="preserve">. Only </w:t>
      </w:r>
      <w:r w:rsidR="008B4411">
        <w:t xml:space="preserve">1 </w:t>
      </w:r>
      <w:r>
        <w:t>Australian study was detected</w:t>
      </w:r>
      <w:r w:rsidR="00490DAE">
        <w:t xml:space="preserve"> </w:t>
      </w:r>
      <w:r w:rsidR="00490DAE">
        <w:fldChar w:fldCharType="begin">
          <w:fldData xml:space="preserve">PEVuZE5vdGU+PENpdGU+PEF1dGhvcj5BbWVyYXR1bmdhPC9BdXRob3I+PFllYXI+MjAxMjwvWWVh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</w:fldData>
        </w:fldChar>
      </w:r>
      <w:r w:rsidR="00490DAE">
        <w:instrText xml:space="preserve"> ADDIN EN.CITE </w:instrText>
      </w:r>
      <w:r w:rsidR="00490DAE">
        <w:fldChar w:fldCharType="begin">
          <w:fldData xml:space="preserve">PEVuZE5vdGU+PENpdGU+PEF1dGhvcj5BbWVyYXR1bmdhPC9BdXRob3I+PFllYXI+MjAxMjwvWWVh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</w:fldData>
        </w:fldChar>
      </w:r>
      <w:r w:rsidR="00490DAE">
        <w:instrText xml:space="preserve"> ADDIN EN.CITE.DATA </w:instrText>
      </w:r>
      <w:r w:rsidR="00490DAE">
        <w:fldChar w:fldCharType="end"/>
      </w:r>
      <w:r w:rsidR="00490DAE">
        <w:fldChar w:fldCharType="separate"/>
      </w:r>
      <w:r w:rsidR="00490DAE">
        <w:rPr>
          <w:noProof/>
        </w:rPr>
        <w:t>(</w:t>
      </w:r>
      <w:hyperlink w:anchor="_ENREF_5" w:tooltip="Ameratunga, 2012 #4" w:history="1">
        <w:r w:rsidR="00B46ABF">
          <w:rPr>
            <w:noProof/>
          </w:rPr>
          <w:t>Ameratunga et al. 2012</w:t>
        </w:r>
      </w:hyperlink>
      <w:r w:rsidR="00490DAE">
        <w:rPr>
          <w:noProof/>
        </w:rPr>
        <w:t>)</w:t>
      </w:r>
      <w:r w:rsidR="00490DAE">
        <w:fldChar w:fldCharType="end"/>
      </w:r>
      <w:r>
        <w:t xml:space="preserve">, which included 66 cases of FEB. However, only 33 </w:t>
      </w:r>
      <w:r w:rsidR="002E2721">
        <w:t xml:space="preserve">cases </w:t>
      </w:r>
      <w:r>
        <w:t xml:space="preserve">underwent parental </w:t>
      </w:r>
      <w:r w:rsidR="00FD37D3" w:rsidRPr="00FD37D3">
        <w:t>CFTR</w:t>
      </w:r>
      <w:r>
        <w:t xml:space="preserve"> mutation testing and only one couple was identified as</w:t>
      </w:r>
      <w:r w:rsidR="00C45A36">
        <w:t xml:space="preserve"> both being carriers. Their</w:t>
      </w:r>
      <w:r>
        <w:t xml:space="preserve"> fetus was tested and </w:t>
      </w:r>
      <w:r w:rsidR="00C45A36">
        <w:t xml:space="preserve">had two </w:t>
      </w:r>
      <w:r w:rsidR="00FD37D3" w:rsidRPr="00FD37D3">
        <w:t>CFTR</w:t>
      </w:r>
      <w:r w:rsidR="00C45A36">
        <w:t xml:space="preserve"> mutations</w:t>
      </w:r>
      <w:r>
        <w:t>.</w:t>
      </w:r>
      <w:r w:rsidR="00C45A36">
        <w:t xml:space="preserve"> The pregnancy was continued and a child with CF was born, which is likely to have been the same outcome had no mutation testing occurred.</w:t>
      </w:r>
      <w:r>
        <w:t xml:space="preserve"> The included studies</w:t>
      </w:r>
      <w:r w:rsidR="00C45A36">
        <w:t xml:space="preserve"> </w:t>
      </w:r>
      <w:r w:rsidR="008B4411">
        <w:t xml:space="preserve">that </w:t>
      </w:r>
      <w:r w:rsidR="00C45A36">
        <w:t xml:space="preserve">provided information on the percentage of pregnancies terminated after a </w:t>
      </w:r>
      <w:r>
        <w:t xml:space="preserve">positive CF result from prenatal </w:t>
      </w:r>
      <w:r w:rsidR="00FD37D3" w:rsidRPr="00FD37D3">
        <w:t>CFTR</w:t>
      </w:r>
      <w:r>
        <w:t xml:space="preserve"> testing are shown in </w:t>
      </w:r>
      <w:r>
        <w:rPr>
          <w:highlight w:val="yellow"/>
        </w:rPr>
        <w:fldChar w:fldCharType="begin"/>
      </w:r>
      <w:r>
        <w:instrText xml:space="preserve"> REF _Ref412105967 \h </w:instrText>
      </w:r>
      <w:r>
        <w:rPr>
          <w:highlight w:val="yellow"/>
        </w:rPr>
      </w:r>
      <w:r>
        <w:rPr>
          <w:highlight w:val="yellow"/>
        </w:rPr>
        <w:fldChar w:fldCharType="separate"/>
      </w:r>
      <w:r w:rsidR="00BB0E3E">
        <w:t xml:space="preserve">Table </w:t>
      </w:r>
      <w:r w:rsidR="00BB0E3E">
        <w:rPr>
          <w:noProof/>
        </w:rPr>
        <w:t>44</w:t>
      </w:r>
      <w:r>
        <w:rPr>
          <w:highlight w:val="yellow"/>
        </w:rPr>
        <w:fldChar w:fldCharType="end"/>
      </w:r>
      <w:r>
        <w:t xml:space="preserve"> and </w:t>
      </w:r>
      <w:r w:rsidRPr="001A75CA">
        <w:fldChar w:fldCharType="begin"/>
      </w:r>
      <w:r w:rsidRPr="001950BC">
        <w:instrText xml:space="preserve"> REF _Ref412105976 \h </w:instrText>
      </w:r>
      <w:r w:rsidRPr="001A75CA">
        <w:fldChar w:fldCharType="separate"/>
      </w:r>
      <w:r w:rsidR="00BB0E3E" w:rsidRPr="001950BC">
        <w:t xml:space="preserve">Table </w:t>
      </w:r>
      <w:r w:rsidR="00BB0E3E">
        <w:rPr>
          <w:noProof/>
        </w:rPr>
        <w:t>45</w:t>
      </w:r>
      <w:r w:rsidRPr="001A75CA">
        <w:fldChar w:fldCharType="end"/>
      </w:r>
      <w:r>
        <w:t xml:space="preserve">. The population with a 1:4 risk that tested positive during prenatal testing chose </w:t>
      </w:r>
      <w:r w:rsidR="008C4AE3">
        <w:t>to terminate the pregnancy</w:t>
      </w:r>
      <w:r>
        <w:t xml:space="preserve"> 92.3–100</w:t>
      </w:r>
      <w:r w:rsidR="008B4411">
        <w:t>%</w:t>
      </w:r>
      <w:r>
        <w:t xml:space="preserve"> of </w:t>
      </w:r>
      <w:r w:rsidR="008C4AE3">
        <w:t>the time</w:t>
      </w:r>
      <w:r>
        <w:t xml:space="preserve"> (155/163; 95%, median: 96.2%). This was slightly lower </w:t>
      </w:r>
      <w:r w:rsidR="008C4AE3">
        <w:t>where a</w:t>
      </w:r>
      <w:r w:rsidR="008B4411">
        <w:t>n</w:t>
      </w:r>
      <w:r w:rsidR="008C4AE3">
        <w:t xml:space="preserve"> FEB was detected</w:t>
      </w:r>
      <w:r>
        <w:t>, which reported</w:t>
      </w:r>
      <w:r w:rsidR="008C4AE3">
        <w:t xml:space="preserve"> </w:t>
      </w:r>
      <w:r w:rsidR="008C4AE3">
        <w:lastRenderedPageBreak/>
        <w:t>TOP in</w:t>
      </w:r>
      <w:r>
        <w:t xml:space="preserve"> 50/77 (65%) </w:t>
      </w:r>
      <w:r w:rsidR="008C4AE3">
        <w:t>cases</w:t>
      </w:r>
      <w:r>
        <w:t xml:space="preserve"> prenatally diagnosed to have CF. However, this percentage </w:t>
      </w:r>
      <w:r w:rsidR="008B4411">
        <w:t xml:space="preserve">was in the </w:t>
      </w:r>
      <w:r>
        <w:t>range 0–100</w:t>
      </w:r>
      <w:r w:rsidR="008B4411">
        <w:t>%</w:t>
      </w:r>
      <w:r>
        <w:t xml:space="preserve"> (median 69.4%), depending on the study.</w:t>
      </w:r>
      <w:r w:rsidR="008C4AE3">
        <w:t xml:space="preserve"> Heterogeneity between studies would be expected, due to religious and cultural variations regarding the acceptability of TOP. However, given that the studies all came from Europe, UK, US</w:t>
      </w:r>
      <w:r w:rsidR="008B4411">
        <w:t>A</w:t>
      </w:r>
      <w:r w:rsidR="008C4AE3">
        <w:t xml:space="preserve"> and Australia, there is no simple explanation for the differences, other than chance, given the very small samples. </w:t>
      </w:r>
      <w:r>
        <w:t>The percentage of children born with CF in these high</w:t>
      </w:r>
      <w:r w:rsidR="008B4411">
        <w:t>-</w:t>
      </w:r>
      <w:r>
        <w:t>risk populations was relatively low due to the high percentage of TOPs. In conclusion, there is a change in management (i.e. TOP) after a positive test result from prenatal testing</w:t>
      </w:r>
      <w:r w:rsidR="008C4AE3">
        <w:t xml:space="preserve"> in the majority of cases, whe</w:t>
      </w:r>
      <w:r w:rsidR="008B4411">
        <w:t>reas</w:t>
      </w:r>
      <w:r w:rsidR="008C4AE3">
        <w:t xml:space="preserve"> it is assumed that</w:t>
      </w:r>
      <w:r>
        <w:t xml:space="preserve"> no TOP would occur in the absence of prenatal genetic testing. </w:t>
      </w:r>
    </w:p>
    <w:p w14:paraId="618FB748" w14:textId="77777777" w:rsidR="00F126B2" w:rsidRDefault="00F126B2" w:rsidP="00F126B2">
      <w:pPr>
        <w:pStyle w:val="Caption"/>
      </w:pPr>
      <w:bookmarkStart w:id="271" w:name="_Ref412105967"/>
      <w:bookmarkStart w:id="272" w:name="_Toc418179441"/>
      <w:r>
        <w:t xml:space="preserve">Table </w:t>
      </w:r>
      <w:fldSimple w:instr=" SEQ Table \* ARABIC ">
        <w:r w:rsidR="00BB0E3E">
          <w:rPr>
            <w:noProof/>
          </w:rPr>
          <w:t>44</w:t>
        </w:r>
      </w:fldSimple>
      <w:bookmarkEnd w:id="271"/>
      <w:r>
        <w:t xml:space="preserve"> </w:t>
      </w:r>
      <w:r>
        <w:tab/>
        <w:t>TOP and CF birth rate in pregnancies where an echogenic bowel is detected</w:t>
      </w:r>
      <w:bookmarkEnd w:id="272"/>
    </w:p>
    <w:tbl>
      <w:tblPr>
        <w:tblStyle w:val="TableGrid"/>
        <w:tblW w:w="0" w:type="auto"/>
        <w:tblLook w:val="04A0" w:firstRow="1" w:lastRow="0" w:firstColumn="1" w:lastColumn="0" w:noHBand="0" w:noVBand="1"/>
        <w:tblCaption w:val="TOP and CF birth rate in pregnancies where an echogenic bowel is detected"/>
        <w:tblDescription w:val="TOP and CF birth rate in pregnancies where an echogenic bowel is detected"/>
      </w:tblPr>
      <w:tblGrid>
        <w:gridCol w:w="1848"/>
        <w:gridCol w:w="1946"/>
        <w:gridCol w:w="1750"/>
        <w:gridCol w:w="2219"/>
        <w:gridCol w:w="1479"/>
      </w:tblGrid>
      <w:tr w:rsidR="00F126B2" w14:paraId="392F4D51" w14:textId="77777777" w:rsidTr="001B24A7">
        <w:trPr>
          <w:tblHeader/>
        </w:trPr>
        <w:tc>
          <w:tcPr>
            <w:tcW w:w="1848" w:type="dxa"/>
          </w:tcPr>
          <w:p w14:paraId="61773206" w14:textId="77777777" w:rsidR="00F126B2" w:rsidRDefault="00F126B2" w:rsidP="001A75CA">
            <w:pPr>
              <w:pStyle w:val="TableHeading"/>
              <w:ind w:left="0"/>
              <w:jc w:val="left"/>
            </w:pPr>
            <w:r>
              <w:t>Study</w:t>
            </w:r>
          </w:p>
        </w:tc>
        <w:tc>
          <w:tcPr>
            <w:tcW w:w="1946" w:type="dxa"/>
          </w:tcPr>
          <w:p w14:paraId="34C70D76" w14:textId="77777777" w:rsidR="00F126B2" w:rsidRDefault="00F126B2" w:rsidP="001A75CA">
            <w:pPr>
              <w:pStyle w:val="TableHeading"/>
              <w:ind w:left="0"/>
              <w:jc w:val="center"/>
            </w:pPr>
            <w:r>
              <w:t>N tested / N total population (%)</w:t>
            </w:r>
          </w:p>
        </w:tc>
        <w:tc>
          <w:tcPr>
            <w:tcW w:w="1750" w:type="dxa"/>
          </w:tcPr>
          <w:p w14:paraId="535C3651" w14:textId="47ECF03E" w:rsidR="00F126B2" w:rsidRDefault="00F126B2" w:rsidP="001A75CA">
            <w:pPr>
              <w:pStyle w:val="TableHeading"/>
              <w:ind w:left="0"/>
              <w:jc w:val="center"/>
            </w:pPr>
            <w:r>
              <w:t>N TOP / N CF</w:t>
            </w:r>
            <w:r w:rsidR="00C11BBC">
              <w:t xml:space="preserve"> </w:t>
            </w:r>
            <w:r>
              <w:t>+ve diagnosed through PND (%)</w:t>
            </w:r>
          </w:p>
        </w:tc>
        <w:tc>
          <w:tcPr>
            <w:tcW w:w="2219" w:type="dxa"/>
          </w:tcPr>
          <w:p w14:paraId="139CA216" w14:textId="61936521" w:rsidR="00F126B2" w:rsidRDefault="00F126B2" w:rsidP="001A75CA">
            <w:pPr>
              <w:pStyle w:val="TableHeading"/>
              <w:ind w:left="0"/>
              <w:jc w:val="center"/>
            </w:pPr>
            <w:r>
              <w:t>N CF</w:t>
            </w:r>
            <w:r w:rsidR="00C11BBC">
              <w:t xml:space="preserve"> </w:t>
            </w:r>
            <w:r>
              <w:t>+ves diagnosed after birth</w:t>
            </w:r>
          </w:p>
        </w:tc>
        <w:tc>
          <w:tcPr>
            <w:tcW w:w="1479" w:type="dxa"/>
          </w:tcPr>
          <w:p w14:paraId="7B02E59A" w14:textId="77777777" w:rsidR="00F126B2" w:rsidRDefault="00F126B2" w:rsidP="001A75CA">
            <w:pPr>
              <w:pStyle w:val="TableHeading"/>
              <w:ind w:left="0"/>
              <w:jc w:val="center"/>
            </w:pPr>
            <w:r>
              <w:t>N children born with CF (%)</w:t>
            </w:r>
          </w:p>
        </w:tc>
      </w:tr>
      <w:tr w:rsidR="00F126B2" w14:paraId="3479E3AF" w14:textId="77777777" w:rsidTr="001B24A7">
        <w:tc>
          <w:tcPr>
            <w:tcW w:w="1848" w:type="dxa"/>
          </w:tcPr>
          <w:p w14:paraId="66B5E661" w14:textId="2117CC6B" w:rsidR="00F126B2" w:rsidRPr="005C4E02" w:rsidRDefault="00EF6116" w:rsidP="001A75CA">
            <w:pPr>
              <w:pStyle w:val="Tabletext1"/>
              <w:ind w:left="0"/>
              <w:jc w:val="left"/>
              <w:rPr>
                <w:vertAlign w:val="superscript"/>
              </w:rPr>
            </w:pPr>
            <w:r>
              <w:t>d</w:t>
            </w:r>
            <w:r w:rsidR="00F126B2">
              <w:t>e Becdelievre et al. (2011)</w:t>
            </w:r>
          </w:p>
        </w:tc>
        <w:tc>
          <w:tcPr>
            <w:tcW w:w="1946" w:type="dxa"/>
          </w:tcPr>
          <w:p w14:paraId="6B53FBCA" w14:textId="77777777" w:rsidR="00F126B2" w:rsidRDefault="00F126B2" w:rsidP="001A75CA">
            <w:pPr>
              <w:pStyle w:val="Tabletext1"/>
              <w:ind w:left="0"/>
              <w:jc w:val="center"/>
            </w:pPr>
            <w:r>
              <w:t>694/694 (100)</w:t>
            </w:r>
          </w:p>
        </w:tc>
        <w:tc>
          <w:tcPr>
            <w:tcW w:w="1750" w:type="dxa"/>
          </w:tcPr>
          <w:p w14:paraId="0FEF6B72" w14:textId="34C9B718" w:rsidR="00F126B2" w:rsidRDefault="00F126B2" w:rsidP="001A75CA">
            <w:pPr>
              <w:pStyle w:val="Tabletext1"/>
              <w:ind w:left="0"/>
              <w:jc w:val="center"/>
            </w:pPr>
            <w:r>
              <w:t>15/30 (50)</w:t>
            </w:r>
          </w:p>
        </w:tc>
        <w:tc>
          <w:tcPr>
            <w:tcW w:w="2219" w:type="dxa"/>
          </w:tcPr>
          <w:p w14:paraId="6EF9C004" w14:textId="77777777" w:rsidR="00F126B2" w:rsidRDefault="00F126B2" w:rsidP="001A75CA">
            <w:pPr>
              <w:pStyle w:val="Tabletext1"/>
              <w:ind w:left="0"/>
              <w:jc w:val="center"/>
            </w:pPr>
            <w:r>
              <w:t>0 (although status remains unknown for 3 children)</w:t>
            </w:r>
          </w:p>
        </w:tc>
        <w:tc>
          <w:tcPr>
            <w:tcW w:w="1479" w:type="dxa"/>
          </w:tcPr>
          <w:p w14:paraId="7E483DDB" w14:textId="77777777" w:rsidR="00F126B2" w:rsidRDefault="00F126B2" w:rsidP="001A75CA">
            <w:pPr>
              <w:pStyle w:val="Tabletext1"/>
              <w:ind w:left="0"/>
              <w:jc w:val="center"/>
            </w:pPr>
            <w:r>
              <w:t>15/694 (2.2)</w:t>
            </w:r>
          </w:p>
        </w:tc>
      </w:tr>
      <w:tr w:rsidR="00F126B2" w14:paraId="4639089F" w14:textId="77777777" w:rsidTr="001B24A7">
        <w:tc>
          <w:tcPr>
            <w:tcW w:w="1848" w:type="dxa"/>
          </w:tcPr>
          <w:p w14:paraId="4320846B" w14:textId="77777777" w:rsidR="00F126B2" w:rsidRDefault="00F126B2" w:rsidP="001A75CA">
            <w:pPr>
              <w:pStyle w:val="Tabletext1"/>
              <w:ind w:left="0"/>
              <w:jc w:val="left"/>
            </w:pPr>
            <w:r>
              <w:t>Muller et al. (2002)</w:t>
            </w:r>
          </w:p>
        </w:tc>
        <w:tc>
          <w:tcPr>
            <w:tcW w:w="1946" w:type="dxa"/>
          </w:tcPr>
          <w:p w14:paraId="5184E086" w14:textId="77777777" w:rsidR="00F126B2" w:rsidRDefault="00F126B2" w:rsidP="001A75CA">
            <w:pPr>
              <w:pStyle w:val="Tabletext1"/>
              <w:ind w:left="0"/>
              <w:jc w:val="center"/>
            </w:pPr>
            <w:r>
              <w:t>641/641 (100)</w:t>
            </w:r>
          </w:p>
        </w:tc>
        <w:tc>
          <w:tcPr>
            <w:tcW w:w="1750" w:type="dxa"/>
          </w:tcPr>
          <w:p w14:paraId="71A664D8" w14:textId="77777777" w:rsidR="00F126B2" w:rsidRDefault="00F126B2" w:rsidP="001A75CA">
            <w:pPr>
              <w:pStyle w:val="Tabletext1"/>
              <w:ind w:left="0"/>
              <w:jc w:val="center"/>
            </w:pPr>
            <w:r>
              <w:t>16/18 (88.9)</w:t>
            </w:r>
          </w:p>
        </w:tc>
        <w:tc>
          <w:tcPr>
            <w:tcW w:w="2219" w:type="dxa"/>
          </w:tcPr>
          <w:p w14:paraId="1777AF74" w14:textId="77777777" w:rsidR="00F126B2" w:rsidRDefault="00F126B2" w:rsidP="001A75CA">
            <w:pPr>
              <w:pStyle w:val="Tabletext1"/>
              <w:ind w:left="0"/>
              <w:jc w:val="center"/>
            </w:pPr>
            <w:r>
              <w:t>2</w:t>
            </w:r>
          </w:p>
        </w:tc>
        <w:tc>
          <w:tcPr>
            <w:tcW w:w="1479" w:type="dxa"/>
          </w:tcPr>
          <w:p w14:paraId="6592A7B7" w14:textId="77777777" w:rsidR="00F126B2" w:rsidRDefault="00F126B2" w:rsidP="001A75CA">
            <w:pPr>
              <w:pStyle w:val="Tabletext1"/>
              <w:ind w:left="0"/>
              <w:jc w:val="center"/>
            </w:pPr>
            <w:r>
              <w:t>4/641 (0.6)</w:t>
            </w:r>
          </w:p>
        </w:tc>
      </w:tr>
      <w:tr w:rsidR="00F126B2" w14:paraId="094A691C" w14:textId="77777777" w:rsidTr="001B24A7">
        <w:tc>
          <w:tcPr>
            <w:tcW w:w="1848" w:type="dxa"/>
          </w:tcPr>
          <w:p w14:paraId="150CA03E" w14:textId="77777777" w:rsidR="00F126B2" w:rsidRDefault="00F126B2" w:rsidP="001A75CA">
            <w:pPr>
              <w:pStyle w:val="Tabletext1"/>
              <w:ind w:left="0"/>
              <w:jc w:val="left"/>
            </w:pPr>
            <w:r>
              <w:t>Scotet et al. (2003)</w:t>
            </w:r>
          </w:p>
        </w:tc>
        <w:tc>
          <w:tcPr>
            <w:tcW w:w="1946" w:type="dxa"/>
          </w:tcPr>
          <w:p w14:paraId="206C3441" w14:textId="77777777" w:rsidR="00F126B2" w:rsidRDefault="00F126B2" w:rsidP="001A75CA">
            <w:pPr>
              <w:pStyle w:val="Tabletext1"/>
              <w:ind w:left="0"/>
              <w:jc w:val="center"/>
            </w:pPr>
            <w:r>
              <w:t>173/173 (100)</w:t>
            </w:r>
          </w:p>
        </w:tc>
        <w:tc>
          <w:tcPr>
            <w:tcW w:w="1750" w:type="dxa"/>
          </w:tcPr>
          <w:p w14:paraId="721D7142" w14:textId="77777777" w:rsidR="00F126B2" w:rsidRDefault="00F126B2" w:rsidP="001A75CA">
            <w:pPr>
              <w:pStyle w:val="Tabletext1"/>
              <w:ind w:left="0"/>
              <w:jc w:val="center"/>
            </w:pPr>
            <w:r>
              <w:t>18/22 (81.8)</w:t>
            </w:r>
          </w:p>
        </w:tc>
        <w:tc>
          <w:tcPr>
            <w:tcW w:w="2219" w:type="dxa"/>
          </w:tcPr>
          <w:p w14:paraId="6E8EF466" w14:textId="77777777" w:rsidR="00F126B2" w:rsidRDefault="00F126B2" w:rsidP="001A75CA">
            <w:pPr>
              <w:pStyle w:val="Tabletext1"/>
              <w:ind w:left="0"/>
              <w:jc w:val="center"/>
            </w:pPr>
            <w:r>
              <w:t>0</w:t>
            </w:r>
          </w:p>
        </w:tc>
        <w:tc>
          <w:tcPr>
            <w:tcW w:w="1479" w:type="dxa"/>
          </w:tcPr>
          <w:p w14:paraId="7D42DDF8" w14:textId="77777777" w:rsidR="00F126B2" w:rsidRDefault="00F126B2" w:rsidP="001A75CA">
            <w:pPr>
              <w:pStyle w:val="Tabletext1"/>
              <w:ind w:left="0"/>
              <w:jc w:val="center"/>
            </w:pPr>
            <w:r>
              <w:t>4/173 (2.3)</w:t>
            </w:r>
          </w:p>
        </w:tc>
      </w:tr>
      <w:tr w:rsidR="00F126B2" w14:paraId="6DA23891" w14:textId="77777777" w:rsidTr="001B24A7">
        <w:tc>
          <w:tcPr>
            <w:tcW w:w="1848" w:type="dxa"/>
          </w:tcPr>
          <w:p w14:paraId="06AF0DF3" w14:textId="2909D7F9" w:rsidR="00F126B2" w:rsidRDefault="00F126B2" w:rsidP="001A75CA">
            <w:pPr>
              <w:pStyle w:val="Tabletext1"/>
              <w:ind w:left="0"/>
              <w:jc w:val="left"/>
            </w:pPr>
            <w:r>
              <w:t xml:space="preserve">Slotnick </w:t>
            </w:r>
            <w:r w:rsidR="00DC1AC3">
              <w:t xml:space="preserve">&amp; </w:t>
            </w:r>
            <w:r>
              <w:t>Abuhamad (1996)</w:t>
            </w:r>
          </w:p>
        </w:tc>
        <w:tc>
          <w:tcPr>
            <w:tcW w:w="1946" w:type="dxa"/>
          </w:tcPr>
          <w:p w14:paraId="04B6CE4A" w14:textId="77777777" w:rsidR="00F126B2" w:rsidRDefault="00F126B2" w:rsidP="001A75CA">
            <w:pPr>
              <w:pStyle w:val="Tabletext1"/>
              <w:ind w:left="0"/>
              <w:jc w:val="center"/>
            </w:pPr>
            <w:r>
              <w:t>53/143 (37.6)</w:t>
            </w:r>
          </w:p>
        </w:tc>
        <w:tc>
          <w:tcPr>
            <w:tcW w:w="1750" w:type="dxa"/>
          </w:tcPr>
          <w:p w14:paraId="7414AA65" w14:textId="77777777" w:rsidR="00F126B2" w:rsidRDefault="00F126B2" w:rsidP="001A75CA">
            <w:pPr>
              <w:pStyle w:val="Tabletext1"/>
              <w:ind w:left="0"/>
              <w:jc w:val="center"/>
            </w:pPr>
            <w:r>
              <w:t>0/5 (0)</w:t>
            </w:r>
          </w:p>
        </w:tc>
        <w:tc>
          <w:tcPr>
            <w:tcW w:w="2219" w:type="dxa"/>
          </w:tcPr>
          <w:p w14:paraId="57D9E9C3" w14:textId="77777777" w:rsidR="00F126B2" w:rsidRDefault="00F126B2" w:rsidP="001A75CA">
            <w:pPr>
              <w:pStyle w:val="Tabletext1"/>
              <w:ind w:left="0"/>
              <w:jc w:val="center"/>
            </w:pPr>
            <w:r>
              <w:t>2</w:t>
            </w:r>
          </w:p>
        </w:tc>
        <w:tc>
          <w:tcPr>
            <w:tcW w:w="1479" w:type="dxa"/>
          </w:tcPr>
          <w:p w14:paraId="5DE9CE75" w14:textId="77777777" w:rsidR="00F126B2" w:rsidRDefault="00F126B2" w:rsidP="001A75CA">
            <w:pPr>
              <w:pStyle w:val="Tabletext1"/>
              <w:ind w:left="0"/>
              <w:jc w:val="center"/>
            </w:pPr>
            <w:r>
              <w:t>7/143 (4.9)</w:t>
            </w:r>
          </w:p>
        </w:tc>
      </w:tr>
      <w:tr w:rsidR="00F126B2" w14:paraId="0C0920AD" w14:textId="77777777" w:rsidTr="001B24A7">
        <w:tc>
          <w:tcPr>
            <w:tcW w:w="1848" w:type="dxa"/>
          </w:tcPr>
          <w:p w14:paraId="0360F942" w14:textId="77777777" w:rsidR="00F126B2" w:rsidRDefault="00F126B2" w:rsidP="001A75CA">
            <w:pPr>
              <w:pStyle w:val="Tabletext1"/>
              <w:ind w:left="0"/>
              <w:jc w:val="left"/>
            </w:pPr>
            <w:r>
              <w:t>Ghose et al. (2000)</w:t>
            </w:r>
          </w:p>
        </w:tc>
        <w:tc>
          <w:tcPr>
            <w:tcW w:w="1946" w:type="dxa"/>
          </w:tcPr>
          <w:p w14:paraId="3A46FFB7" w14:textId="77777777" w:rsidR="00F126B2" w:rsidRDefault="00F126B2" w:rsidP="001A75CA">
            <w:pPr>
              <w:pStyle w:val="Tabletext1"/>
              <w:ind w:left="0"/>
              <w:jc w:val="center"/>
            </w:pPr>
            <w:r>
              <w:t>48/60 (80)</w:t>
            </w:r>
          </w:p>
        </w:tc>
        <w:tc>
          <w:tcPr>
            <w:tcW w:w="1750" w:type="dxa"/>
          </w:tcPr>
          <w:p w14:paraId="50CCE5CC" w14:textId="77777777" w:rsidR="00F126B2" w:rsidRDefault="00F126B2" w:rsidP="001A75CA">
            <w:pPr>
              <w:pStyle w:val="Tabletext1"/>
              <w:ind w:left="0"/>
              <w:jc w:val="center"/>
            </w:pPr>
            <w:r>
              <w:t>1/1 (100)</w:t>
            </w:r>
          </w:p>
        </w:tc>
        <w:tc>
          <w:tcPr>
            <w:tcW w:w="2219" w:type="dxa"/>
          </w:tcPr>
          <w:p w14:paraId="5F98A68A" w14:textId="77777777" w:rsidR="00F126B2" w:rsidRDefault="00F126B2" w:rsidP="001A75CA">
            <w:pPr>
              <w:pStyle w:val="Tabletext1"/>
              <w:ind w:left="0"/>
              <w:jc w:val="center"/>
            </w:pPr>
            <w:r>
              <w:t>2</w:t>
            </w:r>
          </w:p>
        </w:tc>
        <w:tc>
          <w:tcPr>
            <w:tcW w:w="1479" w:type="dxa"/>
          </w:tcPr>
          <w:p w14:paraId="7E39D764" w14:textId="77777777" w:rsidR="00F126B2" w:rsidRDefault="00F126B2" w:rsidP="001A75CA">
            <w:pPr>
              <w:pStyle w:val="Tabletext1"/>
              <w:ind w:left="0"/>
              <w:jc w:val="center"/>
            </w:pPr>
            <w:r>
              <w:t>2/60 (3.3)</w:t>
            </w:r>
          </w:p>
        </w:tc>
      </w:tr>
      <w:tr w:rsidR="00F126B2" w14:paraId="45CC6A05" w14:textId="77777777" w:rsidTr="001B24A7">
        <w:tc>
          <w:tcPr>
            <w:tcW w:w="1848" w:type="dxa"/>
          </w:tcPr>
          <w:p w14:paraId="55373E60" w14:textId="77777777" w:rsidR="00F126B2" w:rsidRDefault="00F126B2" w:rsidP="001A75CA">
            <w:pPr>
              <w:pStyle w:val="Tabletext1"/>
              <w:ind w:left="0"/>
              <w:jc w:val="left"/>
            </w:pPr>
            <w:r>
              <w:t>Ameratunga et al. (2012)</w:t>
            </w:r>
          </w:p>
        </w:tc>
        <w:tc>
          <w:tcPr>
            <w:tcW w:w="1946" w:type="dxa"/>
          </w:tcPr>
          <w:p w14:paraId="4360C530" w14:textId="79AF40A6" w:rsidR="00F126B2" w:rsidRDefault="00F126B2" w:rsidP="001A75CA">
            <w:pPr>
              <w:pStyle w:val="Tabletext1"/>
              <w:ind w:left="0"/>
              <w:jc w:val="center"/>
            </w:pPr>
            <w:r>
              <w:t xml:space="preserve">1/33 (3.0) (of 33 FEB pregnancies, only </w:t>
            </w:r>
            <w:r w:rsidR="0073091A">
              <w:t xml:space="preserve">1 </w:t>
            </w:r>
            <w:r>
              <w:t>carrier couple)</w:t>
            </w:r>
          </w:p>
        </w:tc>
        <w:tc>
          <w:tcPr>
            <w:tcW w:w="1750" w:type="dxa"/>
          </w:tcPr>
          <w:p w14:paraId="727993E2" w14:textId="77777777" w:rsidR="00F126B2" w:rsidRDefault="00F126B2" w:rsidP="001A75CA">
            <w:pPr>
              <w:pStyle w:val="Tabletext1"/>
              <w:ind w:left="0"/>
              <w:jc w:val="center"/>
            </w:pPr>
            <w:r>
              <w:t>0/1 (0)</w:t>
            </w:r>
          </w:p>
        </w:tc>
        <w:tc>
          <w:tcPr>
            <w:tcW w:w="2219" w:type="dxa"/>
          </w:tcPr>
          <w:p w14:paraId="3D2B2FF3" w14:textId="77777777" w:rsidR="00F126B2" w:rsidRDefault="00F126B2" w:rsidP="001A75CA">
            <w:pPr>
              <w:pStyle w:val="Tabletext1"/>
              <w:ind w:left="0"/>
              <w:jc w:val="center"/>
            </w:pPr>
            <w:r>
              <w:t>1</w:t>
            </w:r>
          </w:p>
        </w:tc>
        <w:tc>
          <w:tcPr>
            <w:tcW w:w="1479" w:type="dxa"/>
          </w:tcPr>
          <w:p w14:paraId="3CDB5804" w14:textId="77777777" w:rsidR="00F126B2" w:rsidRDefault="00F126B2" w:rsidP="001A75CA">
            <w:pPr>
              <w:pStyle w:val="Tabletext1"/>
              <w:ind w:left="0"/>
              <w:jc w:val="center"/>
            </w:pPr>
            <w:r>
              <w:t>1/33 (3.0)</w:t>
            </w:r>
          </w:p>
        </w:tc>
      </w:tr>
    </w:tbl>
    <w:p w14:paraId="4E0C101E" w14:textId="1D5A729A" w:rsidR="00F126B2" w:rsidRPr="001A75CA" w:rsidRDefault="000A6967" w:rsidP="00F126B2">
      <w:pPr>
        <w:pStyle w:val="Caption"/>
        <w:rPr>
          <w:b w:val="0"/>
          <w:sz w:val="18"/>
          <w:szCs w:val="18"/>
        </w:rPr>
      </w:pPr>
      <w:r w:rsidRPr="001A75CA">
        <w:rPr>
          <w:b w:val="0"/>
          <w:sz w:val="18"/>
          <w:szCs w:val="18"/>
        </w:rPr>
        <w:t>CF = cystic fibrosis; FEB = fetal echogenic bowel</w:t>
      </w:r>
      <w:r w:rsidR="00EB761D">
        <w:rPr>
          <w:b w:val="0"/>
          <w:sz w:val="18"/>
          <w:szCs w:val="18"/>
        </w:rPr>
        <w:t xml:space="preserve">; </w:t>
      </w:r>
      <w:r w:rsidR="00EB761D" w:rsidRPr="00570360">
        <w:rPr>
          <w:b w:val="0"/>
          <w:sz w:val="18"/>
          <w:szCs w:val="18"/>
        </w:rPr>
        <w:t>PND = prenatal diagnosis; TOP = termination of pregnancy</w:t>
      </w:r>
    </w:p>
    <w:p w14:paraId="46088453" w14:textId="77777777" w:rsidR="00965430" w:rsidRPr="005A3AD3" w:rsidRDefault="00965430" w:rsidP="001A75CA"/>
    <w:p w14:paraId="3FD3219F" w14:textId="53500E4C" w:rsidR="00F126B2" w:rsidRDefault="00F126B2" w:rsidP="00F126B2">
      <w:pPr>
        <w:pStyle w:val="Caption"/>
      </w:pPr>
      <w:bookmarkStart w:id="273" w:name="_Ref412105976"/>
      <w:bookmarkStart w:id="274" w:name="_Toc418179442"/>
      <w:r w:rsidRPr="001950BC">
        <w:t xml:space="preserve">Table </w:t>
      </w:r>
      <w:fldSimple w:instr=" SEQ Table \* ARABIC ">
        <w:r w:rsidR="00BB0E3E">
          <w:rPr>
            <w:noProof/>
          </w:rPr>
          <w:t>45</w:t>
        </w:r>
      </w:fldSimple>
      <w:bookmarkEnd w:id="273"/>
      <w:r>
        <w:t xml:space="preserve"> </w:t>
      </w:r>
      <w:r>
        <w:tab/>
        <w:t>TOP and CF birth rate in pregnancies with a 1:4 risk of CF</w:t>
      </w:r>
      <w:bookmarkEnd w:id="274"/>
    </w:p>
    <w:tbl>
      <w:tblPr>
        <w:tblStyle w:val="TableGrid"/>
        <w:tblW w:w="9242" w:type="dxa"/>
        <w:tblLook w:val="04A0" w:firstRow="1" w:lastRow="0" w:firstColumn="1" w:lastColumn="0" w:noHBand="0" w:noVBand="1"/>
        <w:tblCaption w:val="TOP and CF birth rate in pregnancies with an 1:4 risk of CF"/>
        <w:tblDescription w:val="TOP and CF birth rate in pregnancies with an 1:4 risk of CF"/>
      </w:tblPr>
      <w:tblGrid>
        <w:gridCol w:w="1951"/>
        <w:gridCol w:w="1843"/>
        <w:gridCol w:w="1750"/>
        <w:gridCol w:w="1849"/>
        <w:gridCol w:w="1849"/>
      </w:tblGrid>
      <w:tr w:rsidR="00F126B2" w14:paraId="13C1103F" w14:textId="77777777" w:rsidTr="001A75CA">
        <w:trPr>
          <w:tblHeader/>
        </w:trPr>
        <w:tc>
          <w:tcPr>
            <w:tcW w:w="1951" w:type="dxa"/>
          </w:tcPr>
          <w:p w14:paraId="21BD989F" w14:textId="77777777" w:rsidR="00F126B2" w:rsidRDefault="00F126B2" w:rsidP="001A75CA">
            <w:pPr>
              <w:pStyle w:val="TableHeading"/>
              <w:ind w:left="0"/>
              <w:jc w:val="left"/>
            </w:pPr>
            <w:r>
              <w:t>Study</w:t>
            </w:r>
          </w:p>
        </w:tc>
        <w:tc>
          <w:tcPr>
            <w:tcW w:w="1843" w:type="dxa"/>
          </w:tcPr>
          <w:p w14:paraId="0194C6A9" w14:textId="77777777" w:rsidR="00F126B2" w:rsidRDefault="00F126B2" w:rsidP="001A75CA">
            <w:pPr>
              <w:pStyle w:val="TableHeading"/>
              <w:ind w:left="0"/>
              <w:jc w:val="center"/>
            </w:pPr>
            <w:r>
              <w:t>N tested / N total population (%)</w:t>
            </w:r>
          </w:p>
        </w:tc>
        <w:tc>
          <w:tcPr>
            <w:tcW w:w="1750" w:type="dxa"/>
          </w:tcPr>
          <w:p w14:paraId="4395EC07" w14:textId="483A5D34" w:rsidR="00F126B2" w:rsidRDefault="00F126B2" w:rsidP="001A75CA">
            <w:pPr>
              <w:pStyle w:val="TableHeading"/>
              <w:ind w:left="0"/>
              <w:jc w:val="center"/>
            </w:pPr>
            <w:r>
              <w:t>N TOP / N CF</w:t>
            </w:r>
            <w:r w:rsidR="00C11BBC">
              <w:t xml:space="preserve"> </w:t>
            </w:r>
            <w:r>
              <w:t>+ve diagnosed through PND (%)</w:t>
            </w:r>
          </w:p>
        </w:tc>
        <w:tc>
          <w:tcPr>
            <w:tcW w:w="1849" w:type="dxa"/>
          </w:tcPr>
          <w:p w14:paraId="698CAFF1" w14:textId="02167813" w:rsidR="00F126B2" w:rsidRDefault="00F126B2" w:rsidP="001A75CA">
            <w:pPr>
              <w:pStyle w:val="TableHeading"/>
              <w:ind w:left="0"/>
              <w:jc w:val="center"/>
            </w:pPr>
            <w:r>
              <w:t>N CF</w:t>
            </w:r>
            <w:r w:rsidR="00C11BBC">
              <w:t xml:space="preserve"> </w:t>
            </w:r>
            <w:r>
              <w:t>+ves diagnosed after birth</w:t>
            </w:r>
          </w:p>
        </w:tc>
        <w:tc>
          <w:tcPr>
            <w:tcW w:w="1849" w:type="dxa"/>
          </w:tcPr>
          <w:p w14:paraId="5546AF54" w14:textId="77777777" w:rsidR="00F126B2" w:rsidRDefault="00F126B2" w:rsidP="001A75CA">
            <w:pPr>
              <w:pStyle w:val="TableHeading"/>
              <w:ind w:left="0"/>
              <w:jc w:val="center"/>
            </w:pPr>
            <w:r>
              <w:t>N children born with CF (%)</w:t>
            </w:r>
          </w:p>
        </w:tc>
      </w:tr>
      <w:tr w:rsidR="00F126B2" w14:paraId="63EAB6FA" w14:textId="77777777" w:rsidTr="001A75CA">
        <w:tc>
          <w:tcPr>
            <w:tcW w:w="1951" w:type="dxa"/>
          </w:tcPr>
          <w:p w14:paraId="7098F57C" w14:textId="6ECDDA58" w:rsidR="00F126B2" w:rsidRPr="005C4E02" w:rsidRDefault="00F126B2" w:rsidP="001A75CA">
            <w:pPr>
              <w:pStyle w:val="Tabletext1"/>
              <w:ind w:left="0"/>
              <w:jc w:val="left"/>
              <w:rPr>
                <w:vertAlign w:val="superscript"/>
              </w:rPr>
            </w:pPr>
            <w:r>
              <w:t>Scotet et al. (2008)</w:t>
            </w:r>
            <w:r w:rsidR="00F52281">
              <w:t xml:space="preserve"> </w:t>
            </w:r>
            <w:r>
              <w:rPr>
                <w:vertAlign w:val="superscript"/>
              </w:rPr>
              <w:t>a</w:t>
            </w:r>
          </w:p>
        </w:tc>
        <w:tc>
          <w:tcPr>
            <w:tcW w:w="1843" w:type="dxa"/>
          </w:tcPr>
          <w:p w14:paraId="370E8385" w14:textId="77777777" w:rsidR="00F126B2" w:rsidRDefault="00F126B2" w:rsidP="001A75CA">
            <w:pPr>
              <w:pStyle w:val="Tabletext1"/>
              <w:ind w:left="0"/>
              <w:jc w:val="center"/>
            </w:pPr>
            <w:r>
              <w:t>268/268 (100)</w:t>
            </w:r>
          </w:p>
        </w:tc>
        <w:tc>
          <w:tcPr>
            <w:tcW w:w="1750" w:type="dxa"/>
          </w:tcPr>
          <w:p w14:paraId="42D84754" w14:textId="77777777" w:rsidR="00F126B2" w:rsidRDefault="00F126B2" w:rsidP="001A75CA">
            <w:pPr>
              <w:pStyle w:val="Tabletext1"/>
              <w:ind w:left="0"/>
              <w:jc w:val="center"/>
            </w:pPr>
            <w:r>
              <w:t>70/74 (94.6)</w:t>
            </w:r>
          </w:p>
        </w:tc>
        <w:tc>
          <w:tcPr>
            <w:tcW w:w="1849" w:type="dxa"/>
          </w:tcPr>
          <w:p w14:paraId="7E353C53" w14:textId="77777777" w:rsidR="00F126B2" w:rsidRDefault="00F126B2" w:rsidP="001A75CA">
            <w:pPr>
              <w:pStyle w:val="Tabletext1"/>
              <w:ind w:left="0"/>
              <w:jc w:val="center"/>
            </w:pPr>
            <w:r>
              <w:t>0</w:t>
            </w:r>
          </w:p>
        </w:tc>
        <w:tc>
          <w:tcPr>
            <w:tcW w:w="1849" w:type="dxa"/>
          </w:tcPr>
          <w:p w14:paraId="5B58420C" w14:textId="77777777" w:rsidR="00F126B2" w:rsidRDefault="00F126B2" w:rsidP="001A75CA">
            <w:pPr>
              <w:pStyle w:val="Tabletext1"/>
              <w:ind w:left="0"/>
              <w:jc w:val="center"/>
            </w:pPr>
            <w:r>
              <w:t>4/268 (1.5)</w:t>
            </w:r>
          </w:p>
        </w:tc>
      </w:tr>
      <w:tr w:rsidR="00F126B2" w14:paraId="170C2C0E" w14:textId="77777777" w:rsidTr="001A75CA">
        <w:tc>
          <w:tcPr>
            <w:tcW w:w="1951" w:type="dxa"/>
          </w:tcPr>
          <w:p w14:paraId="3E7A6EE2" w14:textId="6A3E4732" w:rsidR="00F126B2" w:rsidRPr="005C4E02" w:rsidRDefault="00F126B2" w:rsidP="001A75CA">
            <w:pPr>
              <w:pStyle w:val="Tabletext1"/>
              <w:ind w:left="0"/>
              <w:jc w:val="left"/>
              <w:rPr>
                <w:vertAlign w:val="superscript"/>
              </w:rPr>
            </w:pPr>
            <w:r>
              <w:t>Scotet et al. (2003)</w:t>
            </w:r>
            <w:r w:rsidR="00F52281">
              <w:t xml:space="preserve"> </w:t>
            </w:r>
            <w:r>
              <w:rPr>
                <w:vertAlign w:val="superscript"/>
              </w:rPr>
              <w:t>a</w:t>
            </w:r>
          </w:p>
        </w:tc>
        <w:tc>
          <w:tcPr>
            <w:tcW w:w="1843" w:type="dxa"/>
          </w:tcPr>
          <w:p w14:paraId="79FCBAAD" w14:textId="77777777" w:rsidR="00F126B2" w:rsidRDefault="00F126B2" w:rsidP="001A75CA">
            <w:pPr>
              <w:pStyle w:val="Tabletext1"/>
              <w:ind w:left="0"/>
              <w:jc w:val="center"/>
            </w:pPr>
            <w:r>
              <w:t>148/148 (100)</w:t>
            </w:r>
          </w:p>
        </w:tc>
        <w:tc>
          <w:tcPr>
            <w:tcW w:w="1750" w:type="dxa"/>
          </w:tcPr>
          <w:p w14:paraId="6F92723C" w14:textId="77777777" w:rsidR="00F126B2" w:rsidRDefault="00F126B2" w:rsidP="001A75CA">
            <w:pPr>
              <w:pStyle w:val="Tabletext1"/>
              <w:ind w:left="0"/>
              <w:jc w:val="center"/>
            </w:pPr>
            <w:r>
              <w:t>36/39 (92.3)</w:t>
            </w:r>
          </w:p>
        </w:tc>
        <w:tc>
          <w:tcPr>
            <w:tcW w:w="1849" w:type="dxa"/>
          </w:tcPr>
          <w:p w14:paraId="60355D82" w14:textId="77777777" w:rsidR="00F126B2" w:rsidRDefault="00F126B2" w:rsidP="001A75CA">
            <w:pPr>
              <w:pStyle w:val="Tabletext1"/>
              <w:ind w:left="0"/>
              <w:jc w:val="center"/>
            </w:pPr>
            <w:r>
              <w:t>1</w:t>
            </w:r>
          </w:p>
        </w:tc>
        <w:tc>
          <w:tcPr>
            <w:tcW w:w="1849" w:type="dxa"/>
          </w:tcPr>
          <w:p w14:paraId="7A512BD9" w14:textId="7A4D3E80" w:rsidR="00F126B2" w:rsidRDefault="00F126B2" w:rsidP="001A75CA">
            <w:pPr>
              <w:pStyle w:val="Tabletext1"/>
              <w:ind w:left="0"/>
              <w:jc w:val="center"/>
            </w:pPr>
            <w:r>
              <w:t xml:space="preserve">3/148 (2.0) + 1 </w:t>
            </w:r>
            <w:r w:rsidR="00C11BBC">
              <w:br/>
            </w:r>
            <w:r>
              <w:t>CF</w:t>
            </w:r>
            <w:r w:rsidR="00C11BBC">
              <w:t xml:space="preserve"> </w:t>
            </w:r>
            <w:r>
              <w:t>+ve fetus lost</w:t>
            </w:r>
          </w:p>
        </w:tc>
      </w:tr>
      <w:tr w:rsidR="00F126B2" w14:paraId="306FB38A" w14:textId="77777777" w:rsidTr="001A75CA">
        <w:tc>
          <w:tcPr>
            <w:tcW w:w="1951" w:type="dxa"/>
          </w:tcPr>
          <w:p w14:paraId="4902D141" w14:textId="723E3249" w:rsidR="00F126B2" w:rsidRPr="001A5ABE" w:rsidRDefault="00F126B2" w:rsidP="001A75CA">
            <w:pPr>
              <w:pStyle w:val="Tabletext1"/>
              <w:ind w:left="0"/>
              <w:jc w:val="left"/>
              <w:rPr>
                <w:vertAlign w:val="superscript"/>
              </w:rPr>
            </w:pPr>
            <w:r>
              <w:t>Tomaiuolo et al. (2013)</w:t>
            </w:r>
            <w:r w:rsidR="00F52281">
              <w:t xml:space="preserve"> </w:t>
            </w:r>
            <w:r>
              <w:rPr>
                <w:vertAlign w:val="superscript"/>
              </w:rPr>
              <w:t>b</w:t>
            </w:r>
          </w:p>
        </w:tc>
        <w:tc>
          <w:tcPr>
            <w:tcW w:w="1843" w:type="dxa"/>
          </w:tcPr>
          <w:p w14:paraId="0C227EFC" w14:textId="77777777" w:rsidR="00F126B2" w:rsidRDefault="00F126B2" w:rsidP="001A75CA">
            <w:pPr>
              <w:pStyle w:val="Tabletext1"/>
              <w:ind w:left="0"/>
              <w:jc w:val="center"/>
            </w:pPr>
            <w:r>
              <w:t>149/181 (82.3)</w:t>
            </w:r>
          </w:p>
        </w:tc>
        <w:tc>
          <w:tcPr>
            <w:tcW w:w="1750" w:type="dxa"/>
          </w:tcPr>
          <w:p w14:paraId="226E5141" w14:textId="77777777" w:rsidR="00F126B2" w:rsidRDefault="00F126B2" w:rsidP="001A75CA">
            <w:pPr>
              <w:pStyle w:val="Tabletext1"/>
              <w:ind w:left="0"/>
              <w:jc w:val="center"/>
            </w:pPr>
            <w:r>
              <w:t>42/43 (97.7)</w:t>
            </w:r>
          </w:p>
        </w:tc>
        <w:tc>
          <w:tcPr>
            <w:tcW w:w="1849" w:type="dxa"/>
          </w:tcPr>
          <w:p w14:paraId="7D2FFDEE" w14:textId="77777777" w:rsidR="00F126B2" w:rsidRDefault="00F126B2" w:rsidP="001A75CA">
            <w:pPr>
              <w:pStyle w:val="Tabletext1"/>
              <w:ind w:left="0"/>
              <w:jc w:val="center"/>
            </w:pPr>
            <w:r>
              <w:t>0</w:t>
            </w:r>
          </w:p>
        </w:tc>
        <w:tc>
          <w:tcPr>
            <w:tcW w:w="1849" w:type="dxa"/>
          </w:tcPr>
          <w:p w14:paraId="352D9311" w14:textId="77777777" w:rsidR="00F126B2" w:rsidRDefault="00F126B2" w:rsidP="001A75CA">
            <w:pPr>
              <w:pStyle w:val="Tabletext1"/>
              <w:ind w:left="0"/>
              <w:jc w:val="center"/>
            </w:pPr>
            <w:r>
              <w:t>1/181 (0.6)</w:t>
            </w:r>
          </w:p>
        </w:tc>
      </w:tr>
      <w:tr w:rsidR="00F126B2" w14:paraId="78D6191E" w14:textId="77777777" w:rsidTr="001A75CA">
        <w:tc>
          <w:tcPr>
            <w:tcW w:w="1951" w:type="dxa"/>
          </w:tcPr>
          <w:p w14:paraId="48479018" w14:textId="7722BDFA" w:rsidR="00F126B2" w:rsidRPr="001A5ABE" w:rsidRDefault="00F126B2" w:rsidP="001A75CA">
            <w:pPr>
              <w:pStyle w:val="Tabletext1"/>
              <w:ind w:left="0"/>
              <w:jc w:val="left"/>
              <w:rPr>
                <w:vertAlign w:val="superscript"/>
              </w:rPr>
            </w:pPr>
            <w:r>
              <w:t>Castaldo et al. (2000)</w:t>
            </w:r>
            <w:r w:rsidR="00F52281">
              <w:t xml:space="preserve"> </w:t>
            </w:r>
            <w:r>
              <w:rPr>
                <w:vertAlign w:val="superscript"/>
              </w:rPr>
              <w:t>b</w:t>
            </w:r>
          </w:p>
        </w:tc>
        <w:tc>
          <w:tcPr>
            <w:tcW w:w="1843" w:type="dxa"/>
          </w:tcPr>
          <w:p w14:paraId="7C6FD630" w14:textId="77777777" w:rsidR="00F126B2" w:rsidRDefault="00F126B2" w:rsidP="001A75CA">
            <w:pPr>
              <w:pStyle w:val="Tabletext1"/>
              <w:ind w:left="0"/>
              <w:jc w:val="center"/>
            </w:pPr>
            <w:r>
              <w:t>33/33 (100)</w:t>
            </w:r>
          </w:p>
        </w:tc>
        <w:tc>
          <w:tcPr>
            <w:tcW w:w="1750" w:type="dxa"/>
          </w:tcPr>
          <w:p w14:paraId="6978D7BC" w14:textId="77777777" w:rsidR="00F126B2" w:rsidRDefault="00F126B2" w:rsidP="001A75CA">
            <w:pPr>
              <w:pStyle w:val="Tabletext1"/>
              <w:ind w:left="0"/>
              <w:jc w:val="center"/>
            </w:pPr>
            <w:r>
              <w:t>7/7 (100)</w:t>
            </w:r>
          </w:p>
        </w:tc>
        <w:tc>
          <w:tcPr>
            <w:tcW w:w="1849" w:type="dxa"/>
          </w:tcPr>
          <w:p w14:paraId="5BF94181" w14:textId="77777777" w:rsidR="00F126B2" w:rsidRDefault="00F126B2" w:rsidP="001A75CA">
            <w:pPr>
              <w:pStyle w:val="Tabletext1"/>
              <w:ind w:left="0"/>
              <w:jc w:val="center"/>
            </w:pPr>
            <w:r>
              <w:t>0</w:t>
            </w:r>
          </w:p>
        </w:tc>
        <w:tc>
          <w:tcPr>
            <w:tcW w:w="1849" w:type="dxa"/>
          </w:tcPr>
          <w:p w14:paraId="0452D586" w14:textId="77777777" w:rsidR="00F126B2" w:rsidRDefault="00F126B2" w:rsidP="001A75CA">
            <w:pPr>
              <w:pStyle w:val="Tabletext1"/>
              <w:ind w:left="0"/>
              <w:jc w:val="center"/>
            </w:pPr>
            <w:r>
              <w:t>0/33 (0)</w:t>
            </w:r>
          </w:p>
        </w:tc>
      </w:tr>
    </w:tbl>
    <w:p w14:paraId="64E7BABD" w14:textId="77777777" w:rsidR="00456D13" w:rsidRDefault="00456D13" w:rsidP="00456D13">
      <w:pPr>
        <w:pStyle w:val="Caption"/>
        <w:spacing w:after="0"/>
        <w:rPr>
          <w:b w:val="0"/>
          <w:sz w:val="18"/>
          <w:szCs w:val="18"/>
        </w:rPr>
      </w:pPr>
      <w:bookmarkStart w:id="275" w:name="_Toc418179909"/>
      <w:r w:rsidRPr="001950BC">
        <w:rPr>
          <w:b w:val="0"/>
          <w:sz w:val="18"/>
          <w:szCs w:val="18"/>
          <w:vertAlign w:val="superscript"/>
        </w:rPr>
        <w:t>a</w:t>
      </w:r>
      <w:r>
        <w:rPr>
          <w:b w:val="0"/>
          <w:sz w:val="18"/>
          <w:szCs w:val="18"/>
        </w:rPr>
        <w:t xml:space="preserve"> Populations of these studies are possibly overlapping.</w:t>
      </w:r>
    </w:p>
    <w:p w14:paraId="28F3D49B" w14:textId="77777777" w:rsidR="00456D13" w:rsidRDefault="00456D13" w:rsidP="00456D13">
      <w:pPr>
        <w:pStyle w:val="Caption"/>
        <w:spacing w:after="0"/>
        <w:rPr>
          <w:b w:val="0"/>
          <w:sz w:val="18"/>
          <w:szCs w:val="18"/>
        </w:rPr>
      </w:pPr>
      <w:r w:rsidRPr="001950BC">
        <w:rPr>
          <w:b w:val="0"/>
          <w:sz w:val="18"/>
          <w:szCs w:val="18"/>
          <w:vertAlign w:val="superscript"/>
        </w:rPr>
        <w:t>b</w:t>
      </w:r>
      <w:r>
        <w:rPr>
          <w:b w:val="0"/>
          <w:sz w:val="18"/>
          <w:szCs w:val="18"/>
        </w:rPr>
        <w:t xml:space="preserve"> Populations of these studies are possibly overlapping.</w:t>
      </w:r>
    </w:p>
    <w:p w14:paraId="0BA0131D" w14:textId="3FDDF786" w:rsidR="000A6967" w:rsidRDefault="000A6967" w:rsidP="001950BC">
      <w:pPr>
        <w:pStyle w:val="Caption"/>
        <w:spacing w:after="0"/>
        <w:rPr>
          <w:b w:val="0"/>
          <w:sz w:val="18"/>
          <w:szCs w:val="18"/>
        </w:rPr>
      </w:pPr>
      <w:r w:rsidRPr="001A75CA">
        <w:rPr>
          <w:b w:val="0"/>
          <w:sz w:val="18"/>
          <w:szCs w:val="18"/>
        </w:rPr>
        <w:t>CF = cystic fibrosis; PND = prenatal diagnosis</w:t>
      </w:r>
      <w:r w:rsidR="00025679">
        <w:rPr>
          <w:b w:val="0"/>
          <w:sz w:val="18"/>
          <w:szCs w:val="18"/>
        </w:rPr>
        <w:t>; TOP = termination of pregnancy</w:t>
      </w:r>
    </w:p>
    <w:p w14:paraId="0FCCAC4F" w14:textId="77777777" w:rsidR="00025679" w:rsidRPr="001A75CA" w:rsidRDefault="00025679" w:rsidP="001A75CA">
      <w:pPr>
        <w:rPr>
          <w:b/>
        </w:rPr>
      </w:pPr>
    </w:p>
    <w:p w14:paraId="488E90E1" w14:textId="05E58984" w:rsidR="00652CFD" w:rsidRPr="00A660C4" w:rsidRDefault="003D4D22" w:rsidP="00F126B2">
      <w:pPr>
        <w:pStyle w:val="Heading2"/>
        <w:rPr>
          <w:u w:val="single"/>
        </w:rPr>
      </w:pPr>
      <w:r w:rsidRPr="0073091A">
        <w:rPr>
          <w:u w:val="single"/>
        </w:rPr>
        <w:lastRenderedPageBreak/>
        <w:t xml:space="preserve">Linked Evidence – Impact </w:t>
      </w:r>
      <w:r w:rsidR="009A292F" w:rsidRPr="0073091A">
        <w:rPr>
          <w:u w:val="single"/>
        </w:rPr>
        <w:t>o</w:t>
      </w:r>
      <w:r w:rsidRPr="0073091A">
        <w:rPr>
          <w:u w:val="single"/>
        </w:rPr>
        <w:t xml:space="preserve">f Change </w:t>
      </w:r>
      <w:r w:rsidR="009A292F" w:rsidRPr="0073091A">
        <w:rPr>
          <w:u w:val="single"/>
        </w:rPr>
        <w:t>i</w:t>
      </w:r>
      <w:r w:rsidRPr="0073091A">
        <w:rPr>
          <w:u w:val="single"/>
        </w:rPr>
        <w:t>n M</w:t>
      </w:r>
      <w:r w:rsidR="00F126B2" w:rsidRPr="0073091A">
        <w:rPr>
          <w:u w:val="single"/>
        </w:rPr>
        <w:t>anagement</w:t>
      </w:r>
      <w:bookmarkEnd w:id="275"/>
    </w:p>
    <w:p w14:paraId="2058E0AE" w14:textId="7934B14D" w:rsidR="00F126B2" w:rsidRDefault="00F126B2" w:rsidP="001A75CA">
      <w:pPr>
        <w:pStyle w:val="Heading2"/>
        <w:tabs>
          <w:tab w:val="left" w:pos="1134"/>
        </w:tabs>
        <w:ind w:left="1134" w:hanging="1134"/>
      </w:pPr>
      <w:bookmarkStart w:id="276" w:name="_Toc418179910"/>
      <w:r>
        <w:t>B.3</w:t>
      </w:r>
      <w:r w:rsidR="00084047">
        <w:t>–</w:t>
      </w:r>
      <w:r w:rsidR="00191822">
        <w:t>5</w:t>
      </w:r>
      <w:r>
        <w:t>.iii</w:t>
      </w:r>
      <w:r w:rsidR="00A87955">
        <w:tab/>
      </w:r>
      <w:r>
        <w:t xml:space="preserve">Risk of </w:t>
      </w:r>
      <w:r w:rsidR="0049447D">
        <w:rPr>
          <w:bCs/>
          <w:smallCaps w:val="0"/>
          <w:szCs w:val="28"/>
        </w:rPr>
        <w:t>B</w:t>
      </w:r>
      <w:r w:rsidR="0049447D">
        <w:t>ias A</w:t>
      </w:r>
      <w:r>
        <w:t>ssessment</w:t>
      </w:r>
      <w:r w:rsidR="00191822">
        <w:t xml:space="preserve">, </w:t>
      </w:r>
      <w:r w:rsidR="0049447D">
        <w:t>C</w:t>
      </w:r>
      <w:r w:rsidR="00191822">
        <w:t xml:space="preserve">haracteristics of </w:t>
      </w:r>
      <w:r w:rsidR="00681D57">
        <w:t xml:space="preserve">the </w:t>
      </w:r>
      <w:r w:rsidR="0049447D">
        <w:t>E</w:t>
      </w:r>
      <w:r w:rsidR="00191822">
        <w:t>vidence</w:t>
      </w:r>
      <w:r w:rsidR="002E46BB">
        <w:t>-</w:t>
      </w:r>
      <w:r w:rsidR="00191822">
        <w:t xml:space="preserve">base and </w:t>
      </w:r>
      <w:r w:rsidR="0049447D">
        <w:t>O</w:t>
      </w:r>
      <w:r w:rsidR="00191822">
        <w:t xml:space="preserve">utcome </w:t>
      </w:r>
      <w:r w:rsidR="0049447D">
        <w:t>M</w:t>
      </w:r>
      <w:r w:rsidR="00191822">
        <w:t>easures</w:t>
      </w:r>
      <w:bookmarkEnd w:id="276"/>
    </w:p>
    <w:p w14:paraId="0CB03DFE" w14:textId="4C61A81A" w:rsidR="00F126B2" w:rsidRPr="002976BB" w:rsidRDefault="00F126B2" w:rsidP="00AE4152">
      <w:r>
        <w:t xml:space="preserve">No studies on impact of change in management met the inclusion criteria regarding prenatal genetic </w:t>
      </w:r>
      <w:r w:rsidR="00FD37D3" w:rsidRPr="00FD37D3">
        <w:t>CFTR</w:t>
      </w:r>
      <w:r>
        <w:t xml:space="preserve"> testing.</w:t>
      </w:r>
    </w:p>
    <w:p w14:paraId="6046F763" w14:textId="0D5E661C" w:rsidR="00F126B2" w:rsidRDefault="00191822" w:rsidP="00F126B2">
      <w:r>
        <w:t>In the absence of more relevant evidence</w:t>
      </w:r>
      <w:r w:rsidR="00F126B2">
        <w:t>,</w:t>
      </w:r>
      <w:r>
        <w:t xml:space="preserve"> a</w:t>
      </w:r>
      <w:r w:rsidR="00F126B2">
        <w:t xml:space="preserve"> narrative synthes</w:t>
      </w:r>
      <w:r w:rsidR="00F76D1C">
        <w:t>i</w:t>
      </w:r>
      <w:r w:rsidR="00F126B2">
        <w:t>s of the evidence regarding the</w:t>
      </w:r>
      <w:r w:rsidR="007F0159">
        <w:t xml:space="preserve"> adverse events of TOP and</w:t>
      </w:r>
      <w:r w:rsidR="00F126B2">
        <w:t xml:space="preserve"> psychological consequences after TOP due to fetal abnormalities (compared </w:t>
      </w:r>
      <w:r w:rsidR="00F76D1C">
        <w:t xml:space="preserve">with </w:t>
      </w:r>
      <w:r w:rsidR="00F126B2">
        <w:t xml:space="preserve">psychological impact of no TOP and caring for a child with CF) </w:t>
      </w:r>
      <w:r w:rsidR="00F76D1C">
        <w:t xml:space="preserve">was </w:t>
      </w:r>
      <w:r w:rsidR="00F126B2">
        <w:t xml:space="preserve">undertaken and </w:t>
      </w:r>
      <w:r w:rsidR="00F76D1C">
        <w:t xml:space="preserve">is </w:t>
      </w:r>
      <w:r w:rsidR="00F126B2">
        <w:t xml:space="preserve">shown in section </w:t>
      </w:r>
      <w:r w:rsidR="007F0159">
        <w:t>B.8.1</w:t>
      </w:r>
      <w:r w:rsidR="00F126B2">
        <w:t>.</w:t>
      </w:r>
    </w:p>
    <w:p w14:paraId="1D8D810F" w14:textId="79800062" w:rsidR="00F126B2" w:rsidRDefault="00F126B2" w:rsidP="00B45FA8">
      <w:pPr>
        <w:pStyle w:val="Heading2"/>
      </w:pPr>
      <w:bookmarkStart w:id="277" w:name="_Toc418179911"/>
      <w:r>
        <w:t>B.6.iii</w:t>
      </w:r>
      <w:r w:rsidR="00A87955">
        <w:tab/>
      </w:r>
      <w:r>
        <w:t xml:space="preserve">Results of the </w:t>
      </w:r>
      <w:r w:rsidR="000C139C">
        <w:t>Treatment Studies</w:t>
      </w:r>
      <w:bookmarkEnd w:id="277"/>
    </w:p>
    <w:p w14:paraId="589CEC19" w14:textId="77777777" w:rsidR="001518BD" w:rsidRDefault="001518BD" w:rsidP="001518BD">
      <w:pPr>
        <w:pStyle w:val="TableText0"/>
        <w:pBdr>
          <w:top w:val="single" w:sz="4" w:space="1" w:color="auto"/>
          <w:left w:val="single" w:sz="4" w:space="4" w:color="auto"/>
          <w:bottom w:val="single" w:sz="4" w:space="1" w:color="auto"/>
          <w:right w:val="single" w:sz="4" w:space="4" w:color="auto"/>
        </w:pBdr>
        <w:rPr>
          <w:b/>
        </w:rPr>
      </w:pPr>
      <w:r w:rsidRPr="00E036ED">
        <w:rPr>
          <w:b/>
        </w:rPr>
        <w:t>Summary – If there are alterations in clinical management (e.g. termination of pregnancy) and treatment options available to parents of a fetus suspected of CF, does this have an impact on the health outcomes of the parents?</w:t>
      </w:r>
    </w:p>
    <w:p w14:paraId="171A5825" w14:textId="77777777" w:rsidR="001518BD" w:rsidRDefault="001518BD" w:rsidP="001518BD">
      <w:pPr>
        <w:pStyle w:val="TableText0"/>
        <w:pBdr>
          <w:top w:val="single" w:sz="4" w:space="1" w:color="auto"/>
          <w:left w:val="single" w:sz="4" w:space="4" w:color="auto"/>
          <w:bottom w:val="single" w:sz="4" w:space="1" w:color="auto"/>
          <w:right w:val="single" w:sz="4" w:space="4" w:color="auto"/>
        </w:pBdr>
      </w:pPr>
    </w:p>
    <w:p w14:paraId="68B44DD8" w14:textId="247ADBDB" w:rsidR="001518BD" w:rsidRDefault="001518BD" w:rsidP="007F0159">
      <w:pPr>
        <w:pStyle w:val="TableText0"/>
        <w:pBdr>
          <w:top w:val="single" w:sz="4" w:space="1" w:color="auto"/>
          <w:left w:val="single" w:sz="4" w:space="4" w:color="auto"/>
          <w:bottom w:val="single" w:sz="4" w:space="1" w:color="auto"/>
          <w:right w:val="single" w:sz="4" w:space="4" w:color="auto"/>
        </w:pBdr>
      </w:pPr>
      <w:r>
        <w:t>No studies were identified on parental psychological health after TOP due to a CF-affected fetus</w:t>
      </w:r>
      <w:r w:rsidR="0073091A">
        <w:t>,</w:t>
      </w:r>
      <w:r>
        <w:t xml:space="preserve"> compared</w:t>
      </w:r>
      <w:r w:rsidR="00FE5B91">
        <w:t xml:space="preserve"> </w:t>
      </w:r>
      <w:r w:rsidR="00F76D1C">
        <w:t>with</w:t>
      </w:r>
      <w:r>
        <w:t xml:space="preserve"> no TOP and raising a child with CF. </w:t>
      </w:r>
    </w:p>
    <w:p w14:paraId="681B3F78" w14:textId="77777777" w:rsidR="001518BD" w:rsidRDefault="001518BD" w:rsidP="00F126B2"/>
    <w:p w14:paraId="785EBCED" w14:textId="18512D96" w:rsidR="00F126B2" w:rsidRDefault="00F126B2" w:rsidP="00F126B2">
      <w:r>
        <w:t>No studies were identified on parental psychological health after TOP due to a CF-affected fetus</w:t>
      </w:r>
      <w:r w:rsidR="0073091A">
        <w:t>,</w:t>
      </w:r>
      <w:r>
        <w:t xml:space="preserve"> compared </w:t>
      </w:r>
      <w:r w:rsidR="00F76D1C">
        <w:t xml:space="preserve">with </w:t>
      </w:r>
      <w:r>
        <w:t xml:space="preserve">no TOP and raising a child with CF. </w:t>
      </w:r>
    </w:p>
    <w:p w14:paraId="6582C43C" w14:textId="77777777" w:rsidR="008A5F60" w:rsidRPr="00183E4D" w:rsidRDefault="00B55485">
      <w:pPr>
        <w:pStyle w:val="Heading2"/>
        <w:tabs>
          <w:tab w:val="left" w:pos="1134"/>
        </w:tabs>
      </w:pPr>
      <w:bookmarkStart w:id="278" w:name="_Toc418179912"/>
      <w:bookmarkEnd w:id="197"/>
      <w:r>
        <w:t xml:space="preserve">B.7. </w:t>
      </w:r>
      <w:r>
        <w:tab/>
      </w:r>
      <w:r w:rsidR="008A5F60" w:rsidRPr="00183E4D">
        <w:t>Extended Assessment of Comparative Harms</w:t>
      </w:r>
      <w:bookmarkEnd w:id="278"/>
    </w:p>
    <w:p w14:paraId="64AF209D" w14:textId="1F814CF7" w:rsidR="008A5F60" w:rsidRDefault="008A5F60" w:rsidP="008A5F60">
      <w:r>
        <w:t>No unpublished data on</w:t>
      </w:r>
      <w:r w:rsidR="00191822">
        <w:t xml:space="preserve"> the</w:t>
      </w:r>
      <w:r>
        <w:t xml:space="preserve"> harms</w:t>
      </w:r>
      <w:r w:rsidR="00191822">
        <w:t xml:space="preserve"> of </w:t>
      </w:r>
      <w:r w:rsidR="00FD37D3" w:rsidRPr="00FD37D3">
        <w:t>CFTR</w:t>
      </w:r>
      <w:r w:rsidR="00191822">
        <w:t xml:space="preserve"> mutation testing</w:t>
      </w:r>
      <w:r>
        <w:t xml:space="preserve"> or post-market surveillance</w:t>
      </w:r>
      <w:r w:rsidR="00191822">
        <w:t xml:space="preserve"> of </w:t>
      </w:r>
      <w:r w:rsidR="00FD37D3" w:rsidRPr="00FD37D3">
        <w:t>CFTR</w:t>
      </w:r>
      <w:r w:rsidR="00191822">
        <w:t xml:space="preserve"> mutation testing have</w:t>
      </w:r>
      <w:r>
        <w:t xml:space="preserve"> been identified.</w:t>
      </w:r>
    </w:p>
    <w:p w14:paraId="2D8319AD" w14:textId="77777777" w:rsidR="00F126B2" w:rsidRPr="008A5F60" w:rsidRDefault="00B55485">
      <w:pPr>
        <w:pStyle w:val="Heading2"/>
        <w:tabs>
          <w:tab w:val="left" w:pos="1134"/>
        </w:tabs>
      </w:pPr>
      <w:bookmarkStart w:id="279" w:name="_Toc418179913"/>
      <w:r>
        <w:t xml:space="preserve">B.8. </w:t>
      </w:r>
      <w:r>
        <w:tab/>
      </w:r>
      <w:r w:rsidR="00F126B2" w:rsidRPr="008A5F60">
        <w:t>Interpretation of the Clinical Evidence</w:t>
      </w:r>
      <w:bookmarkEnd w:id="279"/>
    </w:p>
    <w:p w14:paraId="197CD83E" w14:textId="3E7264D1" w:rsidR="00F126B2" w:rsidRDefault="00362D9D" w:rsidP="00B45FA8">
      <w:pPr>
        <w:pStyle w:val="Heading3"/>
      </w:pPr>
      <w:bookmarkStart w:id="280" w:name="_Toc418179914"/>
      <w:r>
        <w:t>B.8.1.</w:t>
      </w:r>
      <w:r w:rsidR="005A108B">
        <w:tab/>
      </w:r>
      <w:r>
        <w:t>Broader clinical considerations</w:t>
      </w:r>
      <w:bookmarkEnd w:id="280"/>
    </w:p>
    <w:p w14:paraId="6580868E" w14:textId="45926B89" w:rsidR="00362D9D" w:rsidRPr="00362D9D" w:rsidRDefault="00362D9D" w:rsidP="00B45FA8">
      <w:pPr>
        <w:pStyle w:val="Heading4"/>
      </w:pPr>
      <w:r>
        <w:t xml:space="preserve">Safety of amniocentesis and </w:t>
      </w:r>
      <w:r w:rsidR="00F76D1C">
        <w:t>CVS</w:t>
      </w:r>
    </w:p>
    <w:bookmarkEnd w:id="198"/>
    <w:bookmarkEnd w:id="199"/>
    <w:p w14:paraId="0EB6F318" w14:textId="15124947" w:rsidR="001324AF" w:rsidRDefault="007454EB" w:rsidP="00DF343F">
      <w:r w:rsidRPr="00341CA2">
        <w:t xml:space="preserve">No studies on the safety of prenatal </w:t>
      </w:r>
      <w:r w:rsidR="00FD37D3" w:rsidRPr="00FD37D3">
        <w:t>CFTR</w:t>
      </w:r>
      <w:r w:rsidRPr="00341CA2">
        <w:t xml:space="preserve"> testing were identified</w:t>
      </w:r>
      <w:r w:rsidR="001324AF">
        <w:t xml:space="preserve">. </w:t>
      </w:r>
      <w:r w:rsidR="00191822">
        <w:t>Therefore,</w:t>
      </w:r>
      <w:r w:rsidR="002F110E">
        <w:t xml:space="preserve"> a separate search </w:t>
      </w:r>
      <w:r w:rsidR="001518BD">
        <w:t>was conducted to identify</w:t>
      </w:r>
      <w:r w:rsidRPr="00341CA2">
        <w:t xml:space="preserve"> risk factors associated with amniocentesis </w:t>
      </w:r>
      <w:r w:rsidR="002C5193">
        <w:t>and CVS</w:t>
      </w:r>
      <w:r w:rsidR="00462E3A">
        <w:t>, which are currently</w:t>
      </w:r>
      <w:r w:rsidR="001324AF">
        <w:t xml:space="preserve"> commonly</w:t>
      </w:r>
      <w:r w:rsidR="00462E3A">
        <w:t xml:space="preserve"> us</w:t>
      </w:r>
      <w:r w:rsidR="001324AF">
        <w:t>ed to retrieve fetal DNA for</w:t>
      </w:r>
      <w:r w:rsidR="00462E3A">
        <w:t xml:space="preserve"> prenatal genetic </w:t>
      </w:r>
      <w:r w:rsidR="00FD37D3" w:rsidRPr="00FD37D3">
        <w:t>CFTR</w:t>
      </w:r>
      <w:r w:rsidR="00462E3A">
        <w:t xml:space="preserve"> testing</w:t>
      </w:r>
      <w:r w:rsidRPr="00341CA2">
        <w:t>.</w:t>
      </w:r>
      <w:r w:rsidR="007B4F93">
        <w:t xml:space="preserve"> Amniocentesis would usually be done when pregnant women are diagnosed with FEB on ultrasound, in </w:t>
      </w:r>
      <w:r w:rsidR="00F76D1C">
        <w:t xml:space="preserve">the </w:t>
      </w:r>
      <w:r w:rsidR="007B4F93">
        <w:t xml:space="preserve">second trimester and usually </w:t>
      </w:r>
      <w:r w:rsidR="00F76D1C">
        <w:t xml:space="preserve">at </w:t>
      </w:r>
      <w:r w:rsidR="007B4F93">
        <w:t>around 15</w:t>
      </w:r>
      <w:r w:rsidR="00F76D1C">
        <w:t>–</w:t>
      </w:r>
      <w:r w:rsidR="007B4F93">
        <w:t>17</w:t>
      </w:r>
      <w:r w:rsidR="00F76D1C">
        <w:t> </w:t>
      </w:r>
      <w:r w:rsidR="007B4F93">
        <w:t>weeks. CVS can be done at lower gestational age (usually around 10</w:t>
      </w:r>
      <w:r w:rsidR="00D915A8">
        <w:t>–</w:t>
      </w:r>
      <w:r w:rsidR="007B4F93">
        <w:t>12</w:t>
      </w:r>
      <w:r w:rsidR="00D915A8">
        <w:t> </w:t>
      </w:r>
      <w:r w:rsidR="007B4F93">
        <w:t xml:space="preserve">weeks), so this would be suitable for women who already know they are carriers </w:t>
      </w:r>
      <w:r w:rsidR="001324AF">
        <w:t>and choose to be tested earlier</w:t>
      </w:r>
      <w:r w:rsidR="00D2658B">
        <w:t xml:space="preserve"> </w:t>
      </w:r>
      <w:r w:rsidR="00490DAE">
        <w:fldChar w:fldCharType="begin"/>
      </w:r>
      <w:r w:rsidR="00490DAE">
        <w:instrText xml:space="preserve"> ADDIN EN.CITE &lt;EndNote&gt;&lt;Cite&gt;&lt;Author&gt;Moreira&lt;/Author&gt;&lt;Year&gt;2007&lt;/Year&gt;&lt;RecNum&gt;41&lt;/RecNum&gt;&lt;IDText&gt;44&lt;/IDText&gt;&lt;DisplayText&gt;(Moreira, Muggli &amp;amp; Halliday 2007)&lt;/DisplayText&gt;&lt;record&gt;&lt;rec-number&gt;41&lt;/rec-number&gt;&lt;foreign-keys&gt;&lt;key app="EN" db-id="parffa0acae2voep5w3vv9rypas2tr522eef" timestamp="1430365847"&gt;41&lt;/key&gt;&lt;/foreign-keys&gt;&lt;ref-type name="Report"&gt;27&lt;/ref-type&gt;&lt;contributors&gt;&lt;authors&gt;&lt;author&gt;Moreira, C&lt;/author&gt;&lt;author&gt;Muggli, E &lt;/author&gt;&lt;author&gt;Halliday, J&lt;/author&gt;&lt;/authors&gt;&lt;/contributors&gt;&lt;titles&gt;&lt;title&gt;Report on Prenatal Diagnostic Testing in Victoria&lt;/title&gt;&lt;/titles&gt;&lt;pages&gt;44&lt;/pages&gt;&lt;dates&gt;&lt;year&gt;2007&lt;/year&gt;&lt;/dates&gt;&lt;publisher&gt;Murdoch Childrens Research Institute&lt;/publisher&gt;&lt;urls&gt;&lt;/urls&gt;&lt;/record&gt;&lt;/Cite&gt;&lt;/EndNote&gt;</w:instrText>
      </w:r>
      <w:r w:rsidR="00490DAE">
        <w:fldChar w:fldCharType="separate"/>
      </w:r>
      <w:r w:rsidR="00490DAE">
        <w:rPr>
          <w:noProof/>
        </w:rPr>
        <w:t>(</w:t>
      </w:r>
      <w:hyperlink w:anchor="_ENREF_80" w:tooltip="Moreira, 2007 #41" w:history="1">
        <w:r w:rsidR="00B46ABF">
          <w:rPr>
            <w:noProof/>
          </w:rPr>
          <w:t>Moreira, Muggli &amp; Halliday 2007</w:t>
        </w:r>
      </w:hyperlink>
      <w:r w:rsidR="00490DAE">
        <w:rPr>
          <w:noProof/>
        </w:rPr>
        <w:t>)</w:t>
      </w:r>
      <w:r w:rsidR="00490DAE">
        <w:fldChar w:fldCharType="end"/>
      </w:r>
      <w:r w:rsidR="00490DAE">
        <w:t>.</w:t>
      </w:r>
    </w:p>
    <w:p w14:paraId="1B989CB7" w14:textId="77777777" w:rsidR="00AC4503" w:rsidRDefault="00AC4503" w:rsidP="00B45FA8">
      <w:pPr>
        <w:pStyle w:val="Heading5"/>
      </w:pPr>
      <w:r>
        <w:lastRenderedPageBreak/>
        <w:t>Safety of amniocentesis</w:t>
      </w:r>
    </w:p>
    <w:p w14:paraId="48C0C669" w14:textId="4464FE12" w:rsidR="00075C33" w:rsidRDefault="00083216" w:rsidP="007F5901">
      <w:r w:rsidRPr="00341CA2">
        <w:t>A 2003 Cochrane</w:t>
      </w:r>
      <w:r w:rsidR="00997BAF">
        <w:t xml:space="preserve"> systematic</w:t>
      </w:r>
      <w:r w:rsidRPr="00341CA2">
        <w:t xml:space="preserve"> review (</w:t>
      </w:r>
      <w:hyperlink w:anchor="_ENREF_3" w:tooltip="Alfirevic, 2003 #715" w:history="1">
        <w:r w:rsidR="002962A9">
          <w:rPr>
            <w:noProof/>
          </w:rPr>
          <w:t>Alfirevic, Mujezinovic &amp; Sundberg 2003</w:t>
        </w:r>
      </w:hyperlink>
      <w:r w:rsidR="002962A9">
        <w:rPr>
          <w:noProof/>
        </w:rPr>
        <w:t xml:space="preserve">; </w:t>
      </w:r>
      <w:r w:rsidRPr="00341CA2">
        <w:t xml:space="preserve">search updated in 2008) reported that </w:t>
      </w:r>
      <w:r w:rsidR="00D90799">
        <w:t>a</w:t>
      </w:r>
      <w:r w:rsidR="006A0CE7">
        <w:t>n</w:t>
      </w:r>
      <w:r w:rsidRPr="00341CA2">
        <w:t xml:space="preserve"> RCT by Tabor et al. (1986) provides the best estimate of an excess pregnancy loss in low-risk women caused by amniocentesis</w:t>
      </w:r>
      <w:r w:rsidR="002D6F40">
        <w:fldChar w:fldCharType="begin">
          <w:fldData xml:space="preserve">PEVuZE5vdGU+PENpdGU+PEF1dGhvcj5BbGZpcmV2aWM8L0F1dGhvcj48WWVhcj4yMDAzPC9ZZWFy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cGFnZXM+MTI4Ny05MzwvcGFnZXM+PHZvbHVtZT4xPC92b2x1bWU+PG51bWJlcj44NDkzPC9udW1i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</w:fldData>
        </w:fldChar>
      </w:r>
      <w:r w:rsidR="009A054F">
        <w:instrText xml:space="preserve"> ADDIN EN.CITE </w:instrText>
      </w:r>
      <w:r w:rsidR="009A054F">
        <w:fldChar w:fldCharType="begin">
          <w:fldData xml:space="preserve">PEVuZE5vdGU+PENpdGU+PEF1dGhvcj5BbGZpcmV2aWM8L0F1dGhvcj48WWVhcj4yMDAzPC9ZZWFy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cGFnZXM+MTI4Ny05MzwvcGFnZXM+PHZvbHVtZT4xPC92b2x1bWU+PG51bWJlcj44NDkzPC9udW1i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</w:fldData>
        </w:fldChar>
      </w:r>
      <w:r w:rsidR="009A054F">
        <w:instrText xml:space="preserve"> ADDIN EN.CITE.DATA </w:instrText>
      </w:r>
      <w:r w:rsidR="009A054F">
        <w:fldChar w:fldCharType="end"/>
      </w:r>
      <w:r w:rsidR="002D6F40">
        <w:fldChar w:fldCharType="end"/>
      </w:r>
      <w:r w:rsidRPr="00341CA2">
        <w:t xml:space="preserve">. </w:t>
      </w:r>
      <w:r w:rsidR="007E1DB3" w:rsidRPr="00341CA2">
        <w:t>This study, conducted in 4</w:t>
      </w:r>
      <w:r w:rsidR="00D915A8">
        <w:t>,</w:t>
      </w:r>
      <w:r w:rsidR="007E1DB3" w:rsidRPr="00341CA2">
        <w:t xml:space="preserve">606 women, showed an increase of 1% in total pregnancy loss </w:t>
      </w:r>
      <w:r w:rsidR="009768A6" w:rsidRPr="00341CA2">
        <w:t>(3.2% in the intervention group and 2.2% in the control group). This</w:t>
      </w:r>
      <w:r w:rsidR="00B15885">
        <w:t xml:space="preserve"> difference</w:t>
      </w:r>
      <w:r w:rsidR="009768A6" w:rsidRPr="00341CA2">
        <w:t xml:space="preserve"> did not reach statis</w:t>
      </w:r>
      <w:r w:rsidR="00B15885">
        <w:t>tical significance</w:t>
      </w:r>
      <w:r w:rsidR="00D915A8">
        <w:t>;</w:t>
      </w:r>
      <w:r w:rsidR="00B15885">
        <w:t xml:space="preserve"> </w:t>
      </w:r>
      <w:r w:rsidR="00D915A8">
        <w:t>h</w:t>
      </w:r>
      <w:r w:rsidR="00B15885">
        <w:t>owever, there was a statistically significant</w:t>
      </w:r>
      <w:r w:rsidR="009768A6" w:rsidRPr="00341CA2">
        <w:t xml:space="preserve"> increase in </w:t>
      </w:r>
      <w:r w:rsidR="00FE44A0">
        <w:t>miscarriage</w:t>
      </w:r>
      <w:r w:rsidR="009768A6" w:rsidRPr="00341CA2">
        <w:t>s of 0.8% (2.1% in the intervention group and 1.3% in the control group)</w:t>
      </w:r>
      <w:r w:rsidR="00D915A8">
        <w:t>,</w:t>
      </w:r>
      <w:r w:rsidR="007454EB" w:rsidRPr="00341CA2">
        <w:t xml:space="preserve"> </w:t>
      </w:r>
      <w:r w:rsidR="00930C67">
        <w:t xml:space="preserve">which </w:t>
      </w:r>
      <w:r w:rsidR="009768A6" w:rsidRPr="00341CA2">
        <w:t xml:space="preserve">gives a </w:t>
      </w:r>
      <w:r w:rsidR="002962A9">
        <w:t>relative risk</w:t>
      </w:r>
      <w:r w:rsidR="002962A9" w:rsidRPr="00341CA2">
        <w:t xml:space="preserve"> </w:t>
      </w:r>
      <w:r w:rsidR="002962A9">
        <w:t>(</w:t>
      </w:r>
      <w:r w:rsidR="009768A6" w:rsidRPr="00341CA2">
        <w:t>RR</w:t>
      </w:r>
      <w:r w:rsidR="002962A9">
        <w:t>)</w:t>
      </w:r>
      <w:r w:rsidR="009768A6" w:rsidRPr="00341CA2">
        <w:t xml:space="preserve"> of 1.60 (95%CI 1.02</w:t>
      </w:r>
      <w:r w:rsidR="00F234BD">
        <w:t>,</w:t>
      </w:r>
      <w:r w:rsidR="009768A6" w:rsidRPr="00341CA2">
        <w:t xml:space="preserve"> 2.52).</w:t>
      </w:r>
      <w:r w:rsidR="009768A6">
        <w:t xml:space="preserve"> </w:t>
      </w:r>
    </w:p>
    <w:p w14:paraId="2688913F" w14:textId="3AE399CD" w:rsidR="000421CB" w:rsidRDefault="000421CB" w:rsidP="007F5901">
      <w:r>
        <w:t xml:space="preserve">The occurrence of complications in the first </w:t>
      </w:r>
      <w:r w:rsidR="002962A9">
        <w:t>6 </w:t>
      </w:r>
      <w:r>
        <w:t>weeks after amniocentesis (or in the comparator group</w:t>
      </w:r>
      <w:r w:rsidR="00355302">
        <w:t>—</w:t>
      </w:r>
      <w:r>
        <w:t>the ultrasound) was higher in the intervention group (272 women, 12.1%) compared with the control group (131 women, 5.8%</w:t>
      </w:r>
      <w:r w:rsidR="00B15885">
        <w:t>,</w:t>
      </w:r>
      <w:r>
        <w:t xml:space="preserve"> p&lt;0.001</w:t>
      </w:r>
      <w:r w:rsidR="00B15885">
        <w:t>)</w:t>
      </w:r>
      <w:r>
        <w:t xml:space="preserve">. </w:t>
      </w:r>
      <w:r w:rsidR="002962A9">
        <w:t xml:space="preserve">The </w:t>
      </w:r>
      <w:r w:rsidR="00B15885">
        <w:t>RR</w:t>
      </w:r>
      <w:r w:rsidR="00341CA2">
        <w:t xml:space="preserve"> of early complications after amniocent</w:t>
      </w:r>
      <w:r w:rsidR="00117796">
        <w:t xml:space="preserve">esis was 2.2 (95%CI 1.8, </w:t>
      </w:r>
      <w:r w:rsidR="00B15885">
        <w:t>2.7). A</w:t>
      </w:r>
      <w:r w:rsidR="00341CA2">
        <w:t>bdominal pain and amniotic fluid leakage were more prevalent in the study group (184 (8.1%) and 39 (1.7%)</w:t>
      </w:r>
      <w:r w:rsidR="00F53FDA">
        <w:t>,</w:t>
      </w:r>
      <w:r w:rsidR="00341CA2">
        <w:t xml:space="preserve"> respectively) compared </w:t>
      </w:r>
      <w:r w:rsidR="006C693C">
        <w:t>w</w:t>
      </w:r>
      <w:r w:rsidR="00F53FDA">
        <w:t xml:space="preserve">ith </w:t>
      </w:r>
      <w:r w:rsidR="00341CA2">
        <w:t>the control group (67 (3.0%) and 10 (0.4%)</w:t>
      </w:r>
      <w:r w:rsidR="00F53FDA">
        <w:t>,</w:t>
      </w:r>
      <w:r w:rsidR="00341CA2">
        <w:t xml:space="preserve"> respectively), with p&lt;0.001. </w:t>
      </w:r>
      <w:r w:rsidR="00930C67">
        <w:t>There was no difference in</w:t>
      </w:r>
      <w:r w:rsidR="00B15885">
        <w:t xml:space="preserve"> the risk of</w:t>
      </w:r>
      <w:r w:rsidR="00930C67">
        <w:t xml:space="preserve"> vaginal bleeding between the two groups</w:t>
      </w:r>
      <w:r w:rsidR="009B174D">
        <w:t xml:space="preserve"> (</w:t>
      </w:r>
      <w:r w:rsidR="009B174D">
        <w:fldChar w:fldCharType="begin"/>
      </w:r>
      <w:r w:rsidR="009B174D">
        <w:instrText xml:space="preserve"> REF _Ref413405740 \h </w:instrText>
      </w:r>
      <w:r w:rsidR="009B174D">
        <w:fldChar w:fldCharType="separate"/>
      </w:r>
      <w:r w:rsidR="00BB0E3E">
        <w:t xml:space="preserve">Table </w:t>
      </w:r>
      <w:r w:rsidR="00BB0E3E">
        <w:rPr>
          <w:noProof/>
        </w:rPr>
        <w:t>46</w:t>
      </w:r>
      <w:r w:rsidR="009B174D">
        <w:fldChar w:fldCharType="end"/>
      </w:r>
      <w:r w:rsidR="009B174D">
        <w:t>)</w:t>
      </w:r>
      <w:r w:rsidR="00930C67">
        <w:t>.</w:t>
      </w:r>
      <w:r w:rsidR="00DF5916">
        <w:t xml:space="preserve"> </w:t>
      </w:r>
    </w:p>
    <w:p w14:paraId="6038F554" w14:textId="01EC877C" w:rsidR="009B174D" w:rsidRDefault="009B174D" w:rsidP="00117796">
      <w:pPr>
        <w:pStyle w:val="Caption"/>
      </w:pPr>
      <w:bookmarkStart w:id="281" w:name="_Ref413405740"/>
      <w:bookmarkStart w:id="282" w:name="_Toc418179443"/>
      <w:r>
        <w:t xml:space="preserve">Table </w:t>
      </w:r>
      <w:fldSimple w:instr=" SEQ Table \* ARABIC ">
        <w:r w:rsidR="00BB0E3E">
          <w:rPr>
            <w:noProof/>
          </w:rPr>
          <w:t>46</w:t>
        </w:r>
      </w:fldSimple>
      <w:bookmarkEnd w:id="281"/>
      <w:r w:rsidR="008A43FA">
        <w:tab/>
      </w:r>
      <w:r>
        <w:t xml:space="preserve">Complications and fetal loss </w:t>
      </w:r>
      <w:r w:rsidR="00674688">
        <w:t>after</w:t>
      </w:r>
      <w:r>
        <w:t xml:space="preserve"> amniocentesis compared </w:t>
      </w:r>
      <w:r w:rsidR="008A43FA">
        <w:t>with</w:t>
      </w:r>
      <w:r>
        <w:t xml:space="preserve"> a control group </w:t>
      </w:r>
      <w:bookmarkEnd w:id="282"/>
    </w:p>
    <w:tbl>
      <w:tblPr>
        <w:tblStyle w:val="TableGrid"/>
        <w:tblW w:w="0" w:type="auto"/>
        <w:tblLook w:val="04A0" w:firstRow="1" w:lastRow="0" w:firstColumn="1" w:lastColumn="0" w:noHBand="0" w:noVBand="1"/>
        <w:tblCaption w:val="Complications and fetal loss of amniocentesis compared to a control group"/>
        <w:tblDescription w:val="Complications and fetal loss of amniocentesis compared to a control group"/>
      </w:tblPr>
      <w:tblGrid>
        <w:gridCol w:w="2376"/>
        <w:gridCol w:w="1716"/>
        <w:gridCol w:w="1717"/>
        <w:gridCol w:w="1716"/>
        <w:gridCol w:w="1717"/>
      </w:tblGrid>
      <w:tr w:rsidR="00166D8C" w:rsidRPr="00166D8C" w14:paraId="63B45477" w14:textId="77777777" w:rsidTr="007C1FC6">
        <w:trPr>
          <w:tblHeader/>
        </w:trPr>
        <w:tc>
          <w:tcPr>
            <w:tcW w:w="2376" w:type="dxa"/>
          </w:tcPr>
          <w:p w14:paraId="04287062" w14:textId="77777777" w:rsidR="00166D8C" w:rsidRPr="00166D8C" w:rsidRDefault="00166D8C" w:rsidP="003A0244">
            <w:pPr>
              <w:pStyle w:val="Tabletext1"/>
              <w:keepNext/>
              <w:ind w:left="0"/>
              <w:jc w:val="left"/>
              <w:rPr>
                <w:b/>
              </w:rPr>
            </w:pPr>
          </w:p>
        </w:tc>
        <w:tc>
          <w:tcPr>
            <w:tcW w:w="1716" w:type="dxa"/>
          </w:tcPr>
          <w:p w14:paraId="1E6C236A" w14:textId="5D1B54B4" w:rsidR="00166D8C" w:rsidRPr="00166D8C" w:rsidRDefault="00166D8C" w:rsidP="003A0244">
            <w:pPr>
              <w:pStyle w:val="Tabletext1"/>
              <w:keepNext/>
              <w:ind w:left="0"/>
              <w:jc w:val="left"/>
              <w:rPr>
                <w:b/>
              </w:rPr>
            </w:pPr>
            <w:r w:rsidRPr="00166D8C">
              <w:rPr>
                <w:b/>
              </w:rPr>
              <w:t>Intervention group</w:t>
            </w:r>
            <w:r>
              <w:rPr>
                <w:b/>
              </w:rPr>
              <w:t xml:space="preserve"> (n=2</w:t>
            </w:r>
            <w:r w:rsidR="000950D4">
              <w:rPr>
                <w:b/>
              </w:rPr>
              <w:t>,</w:t>
            </w:r>
            <w:r>
              <w:rPr>
                <w:b/>
              </w:rPr>
              <w:t>302)</w:t>
            </w:r>
          </w:p>
        </w:tc>
        <w:tc>
          <w:tcPr>
            <w:tcW w:w="1717" w:type="dxa"/>
          </w:tcPr>
          <w:p w14:paraId="35975BBF" w14:textId="7C8D707A" w:rsidR="00166D8C" w:rsidRPr="00166D8C" w:rsidRDefault="00166D8C" w:rsidP="003A0244">
            <w:pPr>
              <w:pStyle w:val="Tabletext1"/>
              <w:keepNext/>
              <w:ind w:left="0"/>
              <w:jc w:val="left"/>
              <w:rPr>
                <w:b/>
              </w:rPr>
            </w:pPr>
            <w:r w:rsidRPr="00166D8C">
              <w:rPr>
                <w:b/>
              </w:rPr>
              <w:t>Control group (n=2</w:t>
            </w:r>
            <w:r w:rsidR="000950D4">
              <w:rPr>
                <w:b/>
              </w:rPr>
              <w:t>,</w:t>
            </w:r>
            <w:r w:rsidRPr="00166D8C">
              <w:rPr>
                <w:b/>
              </w:rPr>
              <w:t>304)</w:t>
            </w:r>
          </w:p>
        </w:tc>
        <w:tc>
          <w:tcPr>
            <w:tcW w:w="1716" w:type="dxa"/>
          </w:tcPr>
          <w:p w14:paraId="0AA777BF" w14:textId="77777777" w:rsidR="00166D8C" w:rsidRPr="00166D8C" w:rsidRDefault="00166D8C" w:rsidP="003A0244">
            <w:pPr>
              <w:pStyle w:val="Tabletext1"/>
              <w:keepNext/>
              <w:ind w:left="0"/>
              <w:jc w:val="left"/>
              <w:rPr>
                <w:b/>
              </w:rPr>
            </w:pPr>
            <w:r w:rsidRPr="00166D8C">
              <w:rPr>
                <w:b/>
              </w:rPr>
              <w:t>p-value</w:t>
            </w:r>
          </w:p>
        </w:tc>
        <w:tc>
          <w:tcPr>
            <w:tcW w:w="1717" w:type="dxa"/>
          </w:tcPr>
          <w:p w14:paraId="55A98731" w14:textId="6A165671" w:rsidR="00166D8C" w:rsidRPr="00166D8C" w:rsidRDefault="00166D8C" w:rsidP="003A0244">
            <w:pPr>
              <w:pStyle w:val="Tabletext1"/>
              <w:keepNext/>
              <w:ind w:left="0"/>
              <w:jc w:val="left"/>
              <w:rPr>
                <w:b/>
              </w:rPr>
            </w:pPr>
            <w:r>
              <w:rPr>
                <w:b/>
              </w:rPr>
              <w:t>Relative risk (95%CI)</w:t>
            </w:r>
          </w:p>
        </w:tc>
      </w:tr>
      <w:tr w:rsidR="00166D8C" w14:paraId="6EACE560" w14:textId="77777777" w:rsidTr="00037963">
        <w:tc>
          <w:tcPr>
            <w:tcW w:w="2376" w:type="dxa"/>
          </w:tcPr>
          <w:p w14:paraId="18194821" w14:textId="77777777" w:rsidR="00166D8C" w:rsidRDefault="00166D8C" w:rsidP="003A0244">
            <w:pPr>
              <w:pStyle w:val="Tabletext1"/>
              <w:keepNext/>
              <w:ind w:left="0"/>
              <w:jc w:val="left"/>
            </w:pPr>
            <w:r>
              <w:t>Occurrence of complications (&lt;6 weeks after amniocentesis)</w:t>
            </w:r>
          </w:p>
        </w:tc>
        <w:tc>
          <w:tcPr>
            <w:tcW w:w="1716" w:type="dxa"/>
          </w:tcPr>
          <w:p w14:paraId="1CF0C6DF" w14:textId="77777777" w:rsidR="00166D8C" w:rsidRDefault="00166D8C" w:rsidP="003A0244">
            <w:pPr>
              <w:pStyle w:val="Tabletext1"/>
              <w:keepNext/>
              <w:ind w:left="0"/>
              <w:jc w:val="left"/>
            </w:pPr>
            <w:r>
              <w:t>272 (12.1%)</w:t>
            </w:r>
          </w:p>
        </w:tc>
        <w:tc>
          <w:tcPr>
            <w:tcW w:w="1717" w:type="dxa"/>
          </w:tcPr>
          <w:p w14:paraId="5C0A2B48" w14:textId="77777777" w:rsidR="00166D8C" w:rsidRDefault="00166D8C" w:rsidP="003A0244">
            <w:pPr>
              <w:pStyle w:val="Tabletext1"/>
              <w:keepNext/>
              <w:ind w:left="0"/>
              <w:jc w:val="left"/>
            </w:pPr>
            <w:r>
              <w:t>131 (5.8%)</w:t>
            </w:r>
          </w:p>
        </w:tc>
        <w:tc>
          <w:tcPr>
            <w:tcW w:w="1716" w:type="dxa"/>
          </w:tcPr>
          <w:p w14:paraId="0D2B53EF" w14:textId="77777777" w:rsidR="00166D8C" w:rsidRDefault="00166D8C" w:rsidP="003A0244">
            <w:pPr>
              <w:pStyle w:val="Tabletext1"/>
              <w:keepNext/>
              <w:ind w:left="0"/>
              <w:jc w:val="left"/>
            </w:pPr>
            <w:r>
              <w:t>&lt;0.001</w:t>
            </w:r>
          </w:p>
        </w:tc>
        <w:tc>
          <w:tcPr>
            <w:tcW w:w="1717" w:type="dxa"/>
          </w:tcPr>
          <w:p w14:paraId="523FA515" w14:textId="75FF284F" w:rsidR="00166D8C" w:rsidRDefault="00166D8C" w:rsidP="003A0244">
            <w:pPr>
              <w:pStyle w:val="Tabletext1"/>
              <w:keepNext/>
              <w:ind w:left="0"/>
              <w:jc w:val="left"/>
            </w:pPr>
            <w:r>
              <w:t>2.2 (1.8</w:t>
            </w:r>
            <w:r w:rsidR="0071636C">
              <w:t xml:space="preserve">, </w:t>
            </w:r>
            <w:r>
              <w:t>2.7)</w:t>
            </w:r>
          </w:p>
        </w:tc>
      </w:tr>
      <w:tr w:rsidR="00166D8C" w14:paraId="74FEEC0B" w14:textId="77777777" w:rsidTr="00037963">
        <w:tc>
          <w:tcPr>
            <w:tcW w:w="2376" w:type="dxa"/>
          </w:tcPr>
          <w:p w14:paraId="79E89067" w14:textId="77777777" w:rsidR="00166D8C" w:rsidRDefault="008D7550" w:rsidP="003A0244">
            <w:pPr>
              <w:pStyle w:val="Tabletext1"/>
              <w:keepNext/>
              <w:ind w:left="0"/>
              <w:jc w:val="left"/>
            </w:pPr>
            <w:r>
              <w:t>Abdominal pain</w:t>
            </w:r>
          </w:p>
        </w:tc>
        <w:tc>
          <w:tcPr>
            <w:tcW w:w="1716" w:type="dxa"/>
          </w:tcPr>
          <w:p w14:paraId="69F8BB6C" w14:textId="77777777" w:rsidR="00166D8C" w:rsidRDefault="0097037A" w:rsidP="003A0244">
            <w:pPr>
              <w:pStyle w:val="Tabletext1"/>
              <w:keepNext/>
              <w:ind w:left="0"/>
              <w:jc w:val="left"/>
            </w:pPr>
            <w:r>
              <w:t>184 (8.1%)</w:t>
            </w:r>
          </w:p>
        </w:tc>
        <w:tc>
          <w:tcPr>
            <w:tcW w:w="1717" w:type="dxa"/>
          </w:tcPr>
          <w:p w14:paraId="063B0FC1" w14:textId="77777777" w:rsidR="00166D8C" w:rsidRDefault="0097037A" w:rsidP="003A0244">
            <w:pPr>
              <w:pStyle w:val="Tabletext1"/>
              <w:keepNext/>
              <w:ind w:left="0"/>
              <w:jc w:val="left"/>
            </w:pPr>
            <w:r>
              <w:t>67 (3.0%)</w:t>
            </w:r>
          </w:p>
        </w:tc>
        <w:tc>
          <w:tcPr>
            <w:tcW w:w="1716" w:type="dxa"/>
          </w:tcPr>
          <w:p w14:paraId="22D819B6" w14:textId="77777777" w:rsidR="00166D8C" w:rsidRDefault="0097037A" w:rsidP="003A0244">
            <w:pPr>
              <w:pStyle w:val="Tabletext1"/>
              <w:keepNext/>
              <w:ind w:left="0"/>
              <w:jc w:val="left"/>
            </w:pPr>
            <w:r>
              <w:t>&lt;0.001</w:t>
            </w:r>
          </w:p>
        </w:tc>
        <w:tc>
          <w:tcPr>
            <w:tcW w:w="1717" w:type="dxa"/>
          </w:tcPr>
          <w:p w14:paraId="575F103E" w14:textId="77777777" w:rsidR="00166D8C" w:rsidRDefault="00166D8C" w:rsidP="003A0244">
            <w:pPr>
              <w:pStyle w:val="Tabletext1"/>
              <w:keepNext/>
              <w:ind w:left="0"/>
              <w:jc w:val="left"/>
            </w:pPr>
          </w:p>
        </w:tc>
      </w:tr>
      <w:tr w:rsidR="00166D8C" w14:paraId="7B834BC0" w14:textId="77777777" w:rsidTr="00037963">
        <w:tc>
          <w:tcPr>
            <w:tcW w:w="2376" w:type="dxa"/>
          </w:tcPr>
          <w:p w14:paraId="72B253CF" w14:textId="77777777" w:rsidR="00166D8C" w:rsidRDefault="008D7550" w:rsidP="003A0244">
            <w:pPr>
              <w:pStyle w:val="Tabletext1"/>
              <w:keepNext/>
              <w:ind w:left="0"/>
              <w:jc w:val="left"/>
            </w:pPr>
            <w:r>
              <w:t>Amniotic fluid leakage</w:t>
            </w:r>
          </w:p>
        </w:tc>
        <w:tc>
          <w:tcPr>
            <w:tcW w:w="1716" w:type="dxa"/>
          </w:tcPr>
          <w:p w14:paraId="3E46291B" w14:textId="77777777" w:rsidR="00166D8C" w:rsidRDefault="0097037A" w:rsidP="003A0244">
            <w:pPr>
              <w:pStyle w:val="Tabletext1"/>
              <w:keepNext/>
              <w:ind w:left="0"/>
              <w:jc w:val="left"/>
            </w:pPr>
            <w:r>
              <w:t>39 (1.7%)</w:t>
            </w:r>
          </w:p>
        </w:tc>
        <w:tc>
          <w:tcPr>
            <w:tcW w:w="1717" w:type="dxa"/>
          </w:tcPr>
          <w:p w14:paraId="24A3C2DB" w14:textId="77777777" w:rsidR="00166D8C" w:rsidRDefault="0097037A" w:rsidP="003A0244">
            <w:pPr>
              <w:pStyle w:val="Tabletext1"/>
              <w:keepNext/>
              <w:ind w:left="0"/>
              <w:jc w:val="left"/>
            </w:pPr>
            <w:r>
              <w:t>10 (0.4%)</w:t>
            </w:r>
          </w:p>
        </w:tc>
        <w:tc>
          <w:tcPr>
            <w:tcW w:w="1716" w:type="dxa"/>
          </w:tcPr>
          <w:p w14:paraId="3977216D" w14:textId="77777777" w:rsidR="00166D8C" w:rsidRDefault="0097037A" w:rsidP="003A0244">
            <w:pPr>
              <w:pStyle w:val="Tabletext1"/>
              <w:keepNext/>
              <w:ind w:left="0"/>
              <w:jc w:val="left"/>
            </w:pPr>
            <w:r>
              <w:t>&lt;0.001</w:t>
            </w:r>
          </w:p>
        </w:tc>
        <w:tc>
          <w:tcPr>
            <w:tcW w:w="1717" w:type="dxa"/>
          </w:tcPr>
          <w:p w14:paraId="2A4A3295" w14:textId="77777777" w:rsidR="00166D8C" w:rsidRDefault="00166D8C" w:rsidP="003A0244">
            <w:pPr>
              <w:pStyle w:val="Tabletext1"/>
              <w:keepNext/>
              <w:ind w:left="0"/>
              <w:jc w:val="left"/>
            </w:pPr>
          </w:p>
        </w:tc>
      </w:tr>
      <w:tr w:rsidR="00166D8C" w14:paraId="72AEEDDB" w14:textId="77777777" w:rsidTr="00037963">
        <w:tc>
          <w:tcPr>
            <w:tcW w:w="2376" w:type="dxa"/>
          </w:tcPr>
          <w:p w14:paraId="76FE0BD8" w14:textId="77777777" w:rsidR="00166D8C" w:rsidRDefault="0097037A" w:rsidP="003A0244">
            <w:pPr>
              <w:pStyle w:val="Tabletext1"/>
              <w:keepNext/>
              <w:ind w:left="0"/>
              <w:jc w:val="left"/>
            </w:pPr>
            <w:r>
              <w:t>Vaginal bleeding</w:t>
            </w:r>
          </w:p>
        </w:tc>
        <w:tc>
          <w:tcPr>
            <w:tcW w:w="1716" w:type="dxa"/>
          </w:tcPr>
          <w:p w14:paraId="0B194A7E" w14:textId="77777777" w:rsidR="00166D8C" w:rsidRDefault="0097037A" w:rsidP="003A0244">
            <w:pPr>
              <w:pStyle w:val="Tabletext1"/>
              <w:keepNext/>
              <w:ind w:left="0"/>
              <w:jc w:val="left"/>
            </w:pPr>
            <w:r>
              <w:t>55 (2.4%)</w:t>
            </w:r>
          </w:p>
        </w:tc>
        <w:tc>
          <w:tcPr>
            <w:tcW w:w="1717" w:type="dxa"/>
          </w:tcPr>
          <w:p w14:paraId="644B8256" w14:textId="77777777" w:rsidR="00166D8C" w:rsidRDefault="0097037A" w:rsidP="003A0244">
            <w:pPr>
              <w:pStyle w:val="Tabletext1"/>
              <w:keepNext/>
              <w:ind w:left="0"/>
              <w:jc w:val="left"/>
            </w:pPr>
            <w:r>
              <w:t>58 (2.6%)</w:t>
            </w:r>
          </w:p>
        </w:tc>
        <w:tc>
          <w:tcPr>
            <w:tcW w:w="1716" w:type="dxa"/>
          </w:tcPr>
          <w:p w14:paraId="3FD410C8" w14:textId="77777777" w:rsidR="00166D8C" w:rsidRDefault="0097037A" w:rsidP="003A0244">
            <w:pPr>
              <w:pStyle w:val="Tabletext1"/>
              <w:keepNext/>
              <w:ind w:left="0"/>
              <w:jc w:val="left"/>
            </w:pPr>
            <w:r>
              <w:t>NS</w:t>
            </w:r>
          </w:p>
        </w:tc>
        <w:tc>
          <w:tcPr>
            <w:tcW w:w="1717" w:type="dxa"/>
          </w:tcPr>
          <w:p w14:paraId="4594A5F1" w14:textId="77777777" w:rsidR="00166D8C" w:rsidRDefault="00166D8C" w:rsidP="003A0244">
            <w:pPr>
              <w:pStyle w:val="Tabletext1"/>
              <w:keepNext/>
              <w:ind w:left="0"/>
              <w:jc w:val="left"/>
            </w:pPr>
          </w:p>
        </w:tc>
      </w:tr>
      <w:tr w:rsidR="0097037A" w14:paraId="07389CA9" w14:textId="77777777" w:rsidTr="00037963">
        <w:tc>
          <w:tcPr>
            <w:tcW w:w="2376" w:type="dxa"/>
          </w:tcPr>
          <w:p w14:paraId="3BE7EC8F" w14:textId="58BA47D3" w:rsidR="0097037A" w:rsidRDefault="00FE44A0" w:rsidP="003A0244">
            <w:pPr>
              <w:pStyle w:val="Tabletext1"/>
              <w:keepNext/>
              <w:ind w:left="0"/>
              <w:jc w:val="left"/>
            </w:pPr>
            <w:r>
              <w:t>Miscarriage</w:t>
            </w:r>
            <w:r w:rsidR="00261D75">
              <w:t xml:space="preserve"> after 16th week</w:t>
            </w:r>
          </w:p>
        </w:tc>
        <w:tc>
          <w:tcPr>
            <w:tcW w:w="1716" w:type="dxa"/>
          </w:tcPr>
          <w:p w14:paraId="4B6B097B" w14:textId="77777777" w:rsidR="0097037A" w:rsidRDefault="00261D75" w:rsidP="003A0244">
            <w:pPr>
              <w:pStyle w:val="Tabletext1"/>
              <w:keepNext/>
              <w:ind w:left="0"/>
              <w:jc w:val="left"/>
            </w:pPr>
            <w:r>
              <w:t>1.7%</w:t>
            </w:r>
          </w:p>
        </w:tc>
        <w:tc>
          <w:tcPr>
            <w:tcW w:w="1717" w:type="dxa"/>
          </w:tcPr>
          <w:p w14:paraId="6457A439" w14:textId="77777777" w:rsidR="0097037A" w:rsidRDefault="00261D75" w:rsidP="003A0244">
            <w:pPr>
              <w:pStyle w:val="Tabletext1"/>
              <w:keepNext/>
              <w:ind w:left="0"/>
              <w:jc w:val="left"/>
            </w:pPr>
            <w:r>
              <w:t>0.7%</w:t>
            </w:r>
          </w:p>
        </w:tc>
        <w:tc>
          <w:tcPr>
            <w:tcW w:w="1716" w:type="dxa"/>
          </w:tcPr>
          <w:p w14:paraId="1144182B" w14:textId="77777777" w:rsidR="0097037A" w:rsidRDefault="00261D75" w:rsidP="003A0244">
            <w:pPr>
              <w:pStyle w:val="Tabletext1"/>
              <w:keepNext/>
              <w:ind w:left="0"/>
              <w:jc w:val="left"/>
            </w:pPr>
            <w:r>
              <w:t>&lt;0.01</w:t>
            </w:r>
          </w:p>
        </w:tc>
        <w:tc>
          <w:tcPr>
            <w:tcW w:w="1717" w:type="dxa"/>
          </w:tcPr>
          <w:p w14:paraId="7C5FEDF4" w14:textId="7D623D7E" w:rsidR="0097037A" w:rsidRDefault="00261D75" w:rsidP="003A0244">
            <w:pPr>
              <w:pStyle w:val="Tabletext1"/>
              <w:keepNext/>
              <w:ind w:left="0"/>
              <w:jc w:val="left"/>
            </w:pPr>
            <w:r>
              <w:t>2.3 (1.3</w:t>
            </w:r>
            <w:r w:rsidR="0071636C">
              <w:t xml:space="preserve">, </w:t>
            </w:r>
            <w:r>
              <w:t>4.0)</w:t>
            </w:r>
          </w:p>
        </w:tc>
      </w:tr>
      <w:tr w:rsidR="006B1463" w14:paraId="5FFBAFF3" w14:textId="77777777" w:rsidTr="00037963">
        <w:tc>
          <w:tcPr>
            <w:tcW w:w="2376" w:type="dxa"/>
          </w:tcPr>
          <w:p w14:paraId="21DEABFB" w14:textId="3CDE14CB" w:rsidR="006B1463" w:rsidRDefault="009B174D" w:rsidP="00FE44A0">
            <w:pPr>
              <w:pStyle w:val="Tabletext1"/>
              <w:keepNext/>
              <w:ind w:left="0"/>
              <w:jc w:val="left"/>
            </w:pPr>
            <w:r>
              <w:t>Total fetal loss (</w:t>
            </w:r>
            <w:r w:rsidR="00FE44A0">
              <w:t>miscarriage</w:t>
            </w:r>
            <w:r>
              <w:t>s plus stillbirths)</w:t>
            </w:r>
          </w:p>
        </w:tc>
        <w:tc>
          <w:tcPr>
            <w:tcW w:w="1716" w:type="dxa"/>
          </w:tcPr>
          <w:p w14:paraId="76787294" w14:textId="77777777" w:rsidR="006B1463" w:rsidRDefault="009B174D" w:rsidP="003A0244">
            <w:pPr>
              <w:pStyle w:val="Tabletext1"/>
              <w:keepNext/>
              <w:ind w:left="0"/>
              <w:jc w:val="left"/>
            </w:pPr>
            <w:r>
              <w:t>58 (2.5%)</w:t>
            </w:r>
          </w:p>
        </w:tc>
        <w:tc>
          <w:tcPr>
            <w:tcW w:w="1717" w:type="dxa"/>
          </w:tcPr>
          <w:p w14:paraId="05D09307" w14:textId="77777777" w:rsidR="006B1463" w:rsidRDefault="009B174D" w:rsidP="003A0244">
            <w:pPr>
              <w:pStyle w:val="Tabletext1"/>
              <w:keepNext/>
              <w:ind w:left="0"/>
              <w:jc w:val="left"/>
            </w:pPr>
            <w:r>
              <w:t>42 (1.8%)</w:t>
            </w:r>
          </w:p>
        </w:tc>
        <w:tc>
          <w:tcPr>
            <w:tcW w:w="1716" w:type="dxa"/>
          </w:tcPr>
          <w:p w14:paraId="2DA51F61" w14:textId="77777777" w:rsidR="006B1463" w:rsidRDefault="009B174D" w:rsidP="003A0244">
            <w:pPr>
              <w:pStyle w:val="Tabletext1"/>
              <w:keepNext/>
              <w:ind w:left="0"/>
              <w:jc w:val="left"/>
            </w:pPr>
            <w:r>
              <w:t>&lt;0.05</w:t>
            </w:r>
          </w:p>
        </w:tc>
        <w:tc>
          <w:tcPr>
            <w:tcW w:w="1717" w:type="dxa"/>
          </w:tcPr>
          <w:p w14:paraId="32B189AE" w14:textId="77777777" w:rsidR="006B1463" w:rsidRDefault="006B1463" w:rsidP="003A0244">
            <w:pPr>
              <w:pStyle w:val="Tabletext1"/>
              <w:keepNext/>
              <w:ind w:left="0"/>
              <w:jc w:val="left"/>
            </w:pPr>
          </w:p>
        </w:tc>
      </w:tr>
    </w:tbl>
    <w:p w14:paraId="3014C6DA" w14:textId="2ED0798D" w:rsidR="008A43FA" w:rsidRPr="001A75CA" w:rsidRDefault="008A43FA" w:rsidP="001A75CA">
      <w:pPr>
        <w:pStyle w:val="Tabletext1"/>
        <w:keepNext/>
        <w:spacing w:before="0" w:after="0"/>
        <w:rPr>
          <w:sz w:val="18"/>
          <w:szCs w:val="18"/>
        </w:rPr>
      </w:pPr>
      <w:r w:rsidRPr="001A75CA">
        <w:rPr>
          <w:sz w:val="18"/>
          <w:szCs w:val="18"/>
        </w:rPr>
        <w:t xml:space="preserve">Source: </w:t>
      </w:r>
      <w:r w:rsidRPr="001A75CA">
        <w:rPr>
          <w:sz w:val="18"/>
          <w:szCs w:val="18"/>
        </w:rPr>
        <w:fldChar w:fldCharType="begin"/>
      </w:r>
      <w:r w:rsidRPr="001A75CA">
        <w:rPr>
          <w:sz w:val="18"/>
          <w:szCs w:val="18"/>
        </w:rPr>
        <w:instrText xml:space="preserve"> ADDIN EN.CITE &lt;EndNote&gt;&lt;Cite&gt;&lt;Author&gt;Tabor&lt;/Author&gt;&lt;Year&gt;1986&lt;/Year&gt;&lt;RecNum&gt;1058&lt;/RecNum&gt;&lt;IDText&gt;1287-93&lt;/IDText&gt;&lt;DisplayText&gt;(Tabor et al. 1986)&lt;/DisplayText&gt;&lt;record&gt;&lt;rec-number&gt;1058&lt;/rec-number&gt;&lt;foreign-keys&gt;&lt;key app="EN" db-id="parffa0acae2voep5w3vv9rypas2tr522eef" timestamp="1430369665"&gt;1058&lt;/key&gt;&lt;/foreign-keys&gt;&lt;ref-type name="Journal Article"&gt;17&lt;/ref-type&gt;&lt;contributors&gt;&lt;authors&gt;&lt;author&gt;Tabor, A.&lt;/author&gt;&lt;author&gt;Philip, J.&lt;/author&gt;&lt;author&gt;Madsen, M.&lt;/author&gt;&lt;author&gt;Bang, J.&lt;/author&gt;&lt;author&gt;Obel, E. B.&lt;/author&gt;&lt;author&gt;Norgaard-Pedersen, B.&lt;/author&gt;&lt;/authors&gt;&lt;/contributors&gt;&lt;titles&gt;&lt;title&gt;Randomised controlled trial of genetic amniocentesis in 4606 low-risk women&lt;/title&gt;&lt;secondary-title&gt;Lancet&lt;/secondary-title&gt;&lt;alt-title&gt;Lancet&lt;/alt-title&gt;&lt;/titles&gt;&lt;periodical&gt;&lt;full-title&gt;Lancet&lt;/full-title&gt;&lt;abbr-1&gt;Lancet&lt;/abbr-1&gt;&lt;/periodical&gt;&lt;alt-periodical&gt;&lt;full-title&gt;Lancet&lt;/full-title&gt;&lt;abbr-1&gt;Lancet&lt;/abbr-1&gt;&lt;/alt-periodical&gt;&lt;pages&gt;1287-93&lt;/pages&gt;&lt;volume&gt;1&lt;/volume&gt;&lt;number&gt;8493&lt;/number&gt;&lt;keywords&gt;&lt;keyword&gt;Abortion, Spontaneous/*etiology&lt;/keyword&gt;&lt;keyword&gt;Adult&lt;/keyword&gt;&lt;keyword&gt;Amniocentesis/*adverse effects/methods&lt;/keyword&gt;&lt;keyword&gt;Clinical Trials as Topic&lt;/keyword&gt;&lt;keyword&gt;Female&lt;/keyword&gt;&lt;keyword&gt;Gestational Age&lt;/keyword&gt;&lt;keyword&gt;Humans&lt;/keyword&gt;&lt;keyword&gt;Infant, Newborn&lt;/keyword&gt;&lt;keyword&gt;Male&lt;/keyword&gt;&lt;keyword&gt;Pilot Projects&lt;/keyword&gt;&lt;keyword&gt;Pneumonia/diagnosis&lt;/keyword&gt;&lt;keyword&gt;Pregnancy&lt;/keyword&gt;&lt;keyword&gt;Pregnancy Complications/etiology&lt;/keyword&gt;&lt;keyword&gt;Random Allocation&lt;/keyword&gt;&lt;keyword&gt;Respiratory Distress Syndrome, Newborn/diagnosis&lt;/keyword&gt;&lt;keyword&gt;Time Factors&lt;/keyword&gt;&lt;keyword&gt;Ultrasonography/adverse effects&lt;/keyword&gt;&lt;keyword&gt;alpha-Fetoproteins/analysis&lt;/keyword&gt;&lt;/keywords&gt;&lt;dates&gt;&lt;year&gt;1986&lt;/year&gt;&lt;pub-dates&gt;&lt;date&gt;Jun 7&lt;/date&gt;&lt;/pub-dates&gt;&lt;/dates&gt;&lt;isbn&gt;0140-6736 (Print)&amp;#xD;0140-6736 (Linking)&lt;/isbn&gt;&lt;accession-num&gt;2423826&lt;/accession-num&gt;&lt;urls&gt;&lt;related-urls&gt;&lt;url&gt;http://www.ncbi.nlm.nih.gov/pubmed/2423826&lt;/url&gt;&lt;/related-urls&gt;&lt;/urls&gt;&lt;/record&gt;&lt;/Cite&gt;&lt;/EndNote&gt;</w:instrText>
      </w:r>
      <w:r w:rsidRPr="001A75CA">
        <w:rPr>
          <w:sz w:val="18"/>
          <w:szCs w:val="18"/>
        </w:rPr>
        <w:fldChar w:fldCharType="separate"/>
      </w:r>
      <w:hyperlink w:anchor="_ENREF_121" w:tooltip="Tabor, 1986 #1058" w:history="1">
        <w:r w:rsidRPr="001A75CA">
          <w:rPr>
            <w:noProof/>
            <w:sz w:val="18"/>
            <w:szCs w:val="18"/>
          </w:rPr>
          <w:t>Tabor et al. (1986</w:t>
        </w:r>
      </w:hyperlink>
      <w:r w:rsidRPr="001A75CA">
        <w:rPr>
          <w:noProof/>
          <w:sz w:val="18"/>
          <w:szCs w:val="18"/>
        </w:rPr>
        <w:t>)</w:t>
      </w:r>
      <w:r w:rsidRPr="001A75CA">
        <w:rPr>
          <w:sz w:val="18"/>
          <w:szCs w:val="18"/>
        </w:rPr>
        <w:fldChar w:fldCharType="end"/>
      </w:r>
    </w:p>
    <w:p w14:paraId="5599F204" w14:textId="281D5C1C" w:rsidR="0069259C" w:rsidRPr="001A75CA" w:rsidRDefault="009B174D" w:rsidP="001A75CA">
      <w:pPr>
        <w:pStyle w:val="Tabletext1"/>
        <w:keepNext/>
        <w:spacing w:before="0" w:after="0"/>
        <w:rPr>
          <w:sz w:val="18"/>
          <w:szCs w:val="18"/>
        </w:rPr>
      </w:pPr>
      <w:r w:rsidRPr="001A75CA">
        <w:rPr>
          <w:sz w:val="18"/>
          <w:szCs w:val="18"/>
        </w:rPr>
        <w:t xml:space="preserve">NS = not significant </w:t>
      </w:r>
    </w:p>
    <w:p w14:paraId="0DE65D25" w14:textId="77777777" w:rsidR="009B174D" w:rsidRDefault="009B174D" w:rsidP="007F5901"/>
    <w:p w14:paraId="5990182D" w14:textId="19F6736B" w:rsidR="00930C67" w:rsidRDefault="00930C67" w:rsidP="007F5901">
      <w:r>
        <w:t>During the newborn evaluation, more congenital malformations were found in the control group</w:t>
      </w:r>
      <w:r w:rsidR="00693F7A">
        <w:t xml:space="preserve"> (113; 4.98%)</w:t>
      </w:r>
      <w:r>
        <w:t xml:space="preserve"> </w:t>
      </w:r>
      <w:r w:rsidR="00693F7A">
        <w:t xml:space="preserve">than </w:t>
      </w:r>
      <w:r>
        <w:t>in the study group</w:t>
      </w:r>
      <w:r w:rsidR="00693F7A">
        <w:t xml:space="preserve"> (78; 3.48%)</w:t>
      </w:r>
      <w:r w:rsidR="0035395E">
        <w:t>,</w:t>
      </w:r>
      <w:r>
        <w:t xml:space="preserve"> (p&lt;0.05)</w:t>
      </w:r>
      <w:r w:rsidR="00B15885">
        <w:t>, most likely due to a lower rate of TOP in the control group</w:t>
      </w:r>
      <w:r>
        <w:t xml:space="preserve">. </w:t>
      </w:r>
    </w:p>
    <w:p w14:paraId="07FC57FC" w14:textId="238CDA7F" w:rsidR="00035BA2" w:rsidRDefault="00451EAA" w:rsidP="007F5901">
      <w:r>
        <w:t>However, there are</w:t>
      </w:r>
      <w:r w:rsidR="00E02461">
        <w:t xml:space="preserve"> limitations.</w:t>
      </w:r>
      <w:r w:rsidR="004B240A">
        <w:t xml:space="preserve"> This study was conducted nearly</w:t>
      </w:r>
      <w:r w:rsidR="00E02461">
        <w:t xml:space="preserve"> 30</w:t>
      </w:r>
      <w:r w:rsidR="00626B4D">
        <w:t> </w:t>
      </w:r>
      <w:r w:rsidR="00E02461">
        <w:t xml:space="preserve">years ago in a low-risk population. It is unclear if it is applicable </w:t>
      </w:r>
      <w:r>
        <w:t xml:space="preserve">to </w:t>
      </w:r>
      <w:r w:rsidR="0035395E">
        <w:t xml:space="preserve">the </w:t>
      </w:r>
      <w:r>
        <w:t xml:space="preserve">current study population of women at risk of having a baby with CF. </w:t>
      </w:r>
      <w:r w:rsidR="00BF7BF9">
        <w:t>Nowadays it is ethically and practically impossible to conduct a</w:t>
      </w:r>
      <w:r w:rsidR="00626B4D">
        <w:t>n</w:t>
      </w:r>
      <w:r w:rsidR="00BF7BF9">
        <w:t xml:space="preserve"> RCT with the sample size required to detect a risk reduction this small. </w:t>
      </w:r>
      <w:r w:rsidR="00CF7CD2">
        <w:t>Ultrasound machines have improved since the 1980s and the number of amniocenteses perfor</w:t>
      </w:r>
      <w:r w:rsidR="00883F60">
        <w:t>med has increased. This is why</w:t>
      </w:r>
      <w:r w:rsidR="00CF7CD2">
        <w:t xml:space="preserve"> many clinicians today do not believe </w:t>
      </w:r>
      <w:r w:rsidR="00626B4D">
        <w:t xml:space="preserve">that </w:t>
      </w:r>
      <w:r w:rsidR="00CF7CD2">
        <w:t xml:space="preserve">the miscarriage rate related to amniocentesis is as high as 1.0% </w:t>
      </w:r>
      <w:r w:rsidR="002D6F40">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 </w:instrText>
      </w:r>
      <w:r w:rsidR="009A054F">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EN.CITE.DATA </w:instrText>
      </w:r>
      <w:r w:rsidR="009A054F">
        <w:fldChar w:fldCharType="end"/>
      </w:r>
      <w:r w:rsidR="002D6F40">
        <w:fldChar w:fldCharType="separate"/>
      </w:r>
      <w:r w:rsidR="002D6F40">
        <w:rPr>
          <w:noProof/>
        </w:rPr>
        <w:t>(</w:t>
      </w:r>
      <w:hyperlink w:anchor="_ENREF_122" w:tooltip="Tabor, 2009 #1059" w:history="1">
        <w:r w:rsidR="00B46ABF">
          <w:rPr>
            <w:noProof/>
          </w:rPr>
          <w:t>Tabor, Vestergaard &amp; Lidegaard 2009</w:t>
        </w:r>
      </w:hyperlink>
      <w:r w:rsidR="002D6F40">
        <w:rPr>
          <w:noProof/>
        </w:rPr>
        <w:t>)</w:t>
      </w:r>
      <w:r w:rsidR="002D6F40">
        <w:fldChar w:fldCharType="end"/>
      </w:r>
      <w:r w:rsidR="00CF7CD2">
        <w:t xml:space="preserve">. </w:t>
      </w:r>
      <w:r w:rsidR="006C693C">
        <w:t>This</w:t>
      </w:r>
      <w:r w:rsidR="00CF7CD2">
        <w:t xml:space="preserve"> more</w:t>
      </w:r>
      <w:r w:rsidR="006C693C">
        <w:t>-</w:t>
      </w:r>
      <w:r w:rsidR="00CF7CD2">
        <w:t>recent</w:t>
      </w:r>
      <w:r w:rsidR="00046BEE">
        <w:t xml:space="preserve"> registry-based non-comparative cohort</w:t>
      </w:r>
      <w:r w:rsidR="00CF7CD2">
        <w:t xml:space="preserve"> aimed to </w:t>
      </w:r>
      <w:r w:rsidR="00046BEE">
        <w:lastRenderedPageBreak/>
        <w:t>investigate the miscarriage rate after amniocentesis and CVS in an unselected group of women. It included all singleto</w:t>
      </w:r>
      <w:r w:rsidR="00F234BD">
        <w:t xml:space="preserve">n pregnancies in Denmark </w:t>
      </w:r>
      <w:r w:rsidR="00626B4D">
        <w:t xml:space="preserve">in </w:t>
      </w:r>
      <w:r w:rsidR="00B15885">
        <w:t>w</w:t>
      </w:r>
      <w:r w:rsidR="00F234BD">
        <w:t>hich</w:t>
      </w:r>
      <w:r w:rsidR="00046BEE">
        <w:t xml:space="preserve"> amniocentesis or CVS had been performed between 1</w:t>
      </w:r>
      <w:r w:rsidR="00626B4D">
        <w:t xml:space="preserve"> January </w:t>
      </w:r>
      <w:r w:rsidR="00046BEE">
        <w:t>1996 and 31</w:t>
      </w:r>
      <w:r w:rsidR="00626B4D">
        <w:t xml:space="preserve"> December </w:t>
      </w:r>
      <w:r w:rsidR="00046BEE">
        <w:t>2006,</w:t>
      </w:r>
      <w:r w:rsidR="00B15885">
        <w:t xml:space="preserve"> leading</w:t>
      </w:r>
      <w:r w:rsidR="00046BEE">
        <w:t xml:space="preserve"> to the inclusion of</w:t>
      </w:r>
      <w:r w:rsidR="00B15885">
        <w:t xml:space="preserve"> data from</w:t>
      </w:r>
      <w:r w:rsidR="00046BEE">
        <w:t xml:space="preserve"> 32</w:t>
      </w:r>
      <w:r w:rsidR="00626B4D">
        <w:t>,</w:t>
      </w:r>
      <w:r w:rsidR="00046BEE">
        <w:t>852 women undergoing</w:t>
      </w:r>
      <w:r w:rsidR="00B15885">
        <w:t xml:space="preserve"> an</w:t>
      </w:r>
      <w:r w:rsidR="00046BEE">
        <w:t xml:space="preserve"> amniocentesis. The post</w:t>
      </w:r>
      <w:r w:rsidR="003E2D4B">
        <w:t>-</w:t>
      </w:r>
      <w:r w:rsidR="00046BEE">
        <w:t>procedural miscarriage rate following amniocentesis decreased from 1.5% to 1.2% (p=0.25) during the</w:t>
      </w:r>
      <w:r w:rsidR="00B15885">
        <w:t xml:space="preserve"> 10-year</w:t>
      </w:r>
      <w:r w:rsidR="00046BEE">
        <w:t xml:space="preserve"> study period, with an overall </w:t>
      </w:r>
      <w:r w:rsidR="00F234BD">
        <w:t>rate of 1.4% (95%CI 1.3,</w:t>
      </w:r>
      <w:r w:rsidR="00046BEE">
        <w:t xml:space="preserve"> 1.5). In comparison, in 633</w:t>
      </w:r>
      <w:r w:rsidR="00626B4D">
        <w:t>,</w:t>
      </w:r>
      <w:r w:rsidR="00046BEE">
        <w:t xml:space="preserve">308 women who did not undergo an invasive procedure, the miscarriage rate </w:t>
      </w:r>
      <w:r w:rsidR="00F552FC">
        <w:t>after 15</w:t>
      </w:r>
      <w:r w:rsidR="00626B4D">
        <w:t> </w:t>
      </w:r>
      <w:r w:rsidR="00F552FC">
        <w:t>weeks gestation was 0.9% (5</w:t>
      </w:r>
      <w:r w:rsidR="00F234BD">
        <w:t>,</w:t>
      </w:r>
      <w:r w:rsidR="00F552FC">
        <w:t>692/633</w:t>
      </w:r>
      <w:r w:rsidR="00F234BD">
        <w:t>,</w:t>
      </w:r>
      <w:r w:rsidR="00F552FC">
        <w:t>308)</w:t>
      </w:r>
      <w:r w:rsidR="00E714D2">
        <w:t xml:space="preserve"> </w:t>
      </w:r>
      <w:r w:rsidR="002D6F40">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 </w:instrText>
      </w:r>
      <w:r w:rsidR="009A054F">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EN.CITE.DATA </w:instrText>
      </w:r>
      <w:r w:rsidR="009A054F">
        <w:fldChar w:fldCharType="end"/>
      </w:r>
      <w:r w:rsidR="002D6F40">
        <w:fldChar w:fldCharType="separate"/>
      </w:r>
      <w:r w:rsidR="002D6F40">
        <w:rPr>
          <w:noProof/>
        </w:rPr>
        <w:t>(</w:t>
      </w:r>
      <w:hyperlink w:anchor="_ENREF_122" w:tooltip="Tabor, 2009 #1059" w:history="1">
        <w:r w:rsidR="00B46ABF">
          <w:rPr>
            <w:noProof/>
          </w:rPr>
          <w:t>Tabor, Vestergaard &amp; Lidegaard 2009</w:t>
        </w:r>
      </w:hyperlink>
      <w:r w:rsidR="002D6F40">
        <w:rPr>
          <w:noProof/>
        </w:rPr>
        <w:t>)</w:t>
      </w:r>
      <w:r w:rsidR="002D6F40">
        <w:fldChar w:fldCharType="end"/>
      </w:r>
      <w:r w:rsidR="00F552FC">
        <w:t>. The total loss rate (miscarriages and intra-uterine deaths) in the amniocent</w:t>
      </w:r>
      <w:r w:rsidR="00E714D2">
        <w:t>es</w:t>
      </w:r>
      <w:r w:rsidR="00F234BD">
        <w:t>is cohort was 2.0% (95%CI 1.8,</w:t>
      </w:r>
      <w:r w:rsidR="00E714D2">
        <w:t xml:space="preserve"> </w:t>
      </w:r>
      <w:r w:rsidR="00F234BD">
        <w:t>2.1</w:t>
      </w:r>
      <w:r w:rsidR="006C693C">
        <w:t>)</w:t>
      </w:r>
      <w:r w:rsidR="00117796">
        <w:t xml:space="preserve"> from</w:t>
      </w:r>
      <w:r w:rsidR="00F552FC">
        <w:t xml:space="preserve"> 651 pregnancies. </w:t>
      </w:r>
    </w:p>
    <w:p w14:paraId="76C805A8" w14:textId="22AA608E" w:rsidR="002F110E" w:rsidRDefault="002F110E" w:rsidP="007F5901">
      <w:r>
        <w:t xml:space="preserve">Two </w:t>
      </w:r>
      <w:r w:rsidR="002874E2">
        <w:t xml:space="preserve">other </w:t>
      </w:r>
      <w:r>
        <w:t>systematic reviews were identified</w:t>
      </w:r>
      <w:r w:rsidR="00576F17">
        <w:t xml:space="preserve"> on the safety of amniocentesis, including more</w:t>
      </w:r>
      <w:r w:rsidR="006C693C">
        <w:t>-</w:t>
      </w:r>
      <w:r w:rsidR="00576F17">
        <w:t>recent studies</w:t>
      </w:r>
      <w:r w:rsidR="00883F60">
        <w:t xml:space="preserve"> </w:t>
      </w:r>
      <w:r w:rsidR="006C693C">
        <w:t>from the p</w:t>
      </w:r>
      <w:r w:rsidR="00883F60">
        <w:t>ast 15</w:t>
      </w:r>
      <w:r w:rsidR="006C693C">
        <w:t>–</w:t>
      </w:r>
      <w:r w:rsidR="00883F60">
        <w:t>20</w:t>
      </w:r>
      <w:r w:rsidR="006C693C">
        <w:t> </w:t>
      </w:r>
      <w:r w:rsidR="00883F60">
        <w:t>years</w:t>
      </w:r>
      <w:r>
        <w:t xml:space="preserve">. </w:t>
      </w:r>
      <w:r w:rsidR="00E714D2">
        <w:t xml:space="preserve">A systematic review of </w:t>
      </w:r>
      <w:r w:rsidR="00B63B82">
        <w:t>studies</w:t>
      </w:r>
      <w:r w:rsidR="00576F17">
        <w:t xml:space="preserve"> </w:t>
      </w:r>
      <w:r w:rsidR="002D6F40">
        <w:fldChar w:fldCharType="begin"/>
      </w:r>
      <w:r w:rsidR="009A054F">
        <w:instrText xml:space="preserve"> ADDIN EN.CITE &lt;EndNote&gt;&lt;Cite&gt;&lt;Author&gt;Mujezinovic&lt;/Author&gt;&lt;Year&gt;2007&lt;/Year&gt;&lt;RecNum&gt;975&lt;/RecNum&gt;&lt;IDText&gt;687-94&lt;/IDText&gt;&lt;DisplayText&gt;(Mujezinovic &amp;amp; Alfirevic 2007)&lt;/DisplayText&gt;&lt;record&gt;&lt;rec-number&gt;975&lt;/rec-number&gt;&lt;foreign-keys&gt;&lt;key app="EN" db-id="parffa0acae2voep5w3vv9rypas2tr522eef" timestamp="1430369640"&gt;975&lt;/key&gt;&lt;/foreign-keys&gt;&lt;ref-type name="Journal Article"&gt;17&lt;/ref-type&gt;&lt;contributors&gt;&lt;authors&gt;&lt;author&gt;Mujezinovic, F.&lt;/author&gt;&lt;author&gt;Alfirevic, Z.&lt;/author&gt;&lt;/authors&gt;&lt;/contributors&gt;&lt;auth-address&gt;Department of Perinatology, University Clinical Center Maribor, Maribor, Slovenia.&lt;/auth-address&gt;&lt;titles&gt;&lt;title&gt;Procedure-related complications of amniocentesis and chorionic villous sampling: a systematic review&lt;/title&gt;&lt;secondary-title&gt;Obstet Gynecol&lt;/secondary-title&gt;&lt;alt-title&gt;Obstetrics and gynecology&lt;/alt-title&gt;&lt;/titles&gt;&lt;periodical&gt;&lt;full-title&gt;Obstet Gynecol&lt;/full-title&gt;&lt;abbr-1&gt;Obstetrics and gynecology&lt;/abbr-1&gt;&lt;/periodical&gt;&lt;alt-periodical&gt;&lt;full-title&gt;Obstetrics and gynecology&lt;/full-title&gt;&lt;/alt-periodical&gt;&lt;pages&gt;687-94&lt;/pages&gt;&lt;volume&gt;110&lt;/volume&gt;&lt;number&gt;3&lt;/number&gt;&lt;keywords&gt;&lt;keyword&gt;Abortion, Spontaneous/*epidemiology&lt;/keyword&gt;&lt;keyword&gt;Amniocentesis/*adverse effects&lt;/keyword&gt;&lt;keyword&gt;Chorionic Villi Sampling/*adverse effects&lt;/keyword&gt;&lt;keyword&gt;Congenital Abnormalities/diagnosis&lt;/keyword&gt;&lt;keyword&gt;Female&lt;/keyword&gt;&lt;keyword&gt;Humans&lt;/keyword&gt;&lt;keyword&gt;Pregnancy&lt;/keyword&gt;&lt;keyword&gt;Pregnancy Trimester, First&lt;/keyword&gt;&lt;keyword&gt;Pregnancy Trimester, Second&lt;/keyword&gt;&lt;keyword&gt;Risk Factors&lt;/keyword&gt;&lt;/keywords&gt;&lt;dates&gt;&lt;year&gt;2007&lt;/year&gt;&lt;pub-dates&gt;&lt;date&gt;Sep&lt;/date&gt;&lt;/pub-dates&gt;&lt;/dates&gt;&lt;isbn&gt;0029-7844 (Print)&amp;#xD;0029-7844 (Linking)&lt;/isbn&gt;&lt;accession-num&gt;17766619&lt;/accession-num&gt;&lt;urls&gt;&lt;related-urls&gt;&lt;url&gt;http://www.ncbi.nlm.nih.gov/pubmed/17766619&lt;/url&gt;&lt;/related-urls&gt;&lt;/urls&gt;&lt;electronic-resource-num&gt;10.1097/01.AOG.0000278820.54029.e3&lt;/electronic-resource-num&gt;&lt;/record&gt;&lt;/Cite&gt;&lt;/EndNote&gt;</w:instrText>
      </w:r>
      <w:r w:rsidR="002D6F40">
        <w:fldChar w:fldCharType="separate"/>
      </w:r>
      <w:r w:rsidR="002D6F40">
        <w:rPr>
          <w:noProof/>
        </w:rPr>
        <w:t>(</w:t>
      </w:r>
      <w:hyperlink w:anchor="_ENREF_83" w:tooltip="Mujezinovic, 2007 #975" w:history="1">
        <w:r w:rsidR="00B46ABF">
          <w:rPr>
            <w:noProof/>
          </w:rPr>
          <w:t>Mujezinovic &amp; Alfirevic 2007</w:t>
        </w:r>
      </w:hyperlink>
      <w:r w:rsidR="002D6F40">
        <w:rPr>
          <w:noProof/>
        </w:rPr>
        <w:t>)</w:t>
      </w:r>
      <w:r w:rsidR="002D6F40">
        <w:fldChar w:fldCharType="end"/>
      </w:r>
      <w:r w:rsidR="00E714D2">
        <w:t xml:space="preserve"> published after 1995</w:t>
      </w:r>
      <w:r w:rsidR="00B63B82">
        <w:t xml:space="preserve"> reported </w:t>
      </w:r>
      <w:r w:rsidR="00F552FC">
        <w:t>similar</w:t>
      </w:r>
      <w:r w:rsidR="00C968EB">
        <w:t xml:space="preserve"> (pooled)</w:t>
      </w:r>
      <w:r w:rsidR="00576F17">
        <w:t xml:space="preserve"> rates to the </w:t>
      </w:r>
      <w:r w:rsidR="00F552FC">
        <w:t>cohort study</w:t>
      </w:r>
      <w:r w:rsidR="00576F17">
        <w:t xml:space="preserve"> </w:t>
      </w:r>
      <w:r w:rsidR="002D6F40">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 </w:instrText>
      </w:r>
      <w:r w:rsidR="009A054F">
        <w:fldChar w:fldCharType="begin">
          <w:fldData xml:space="preserve">PEVuZE5vdGU+PENpdGU+PEF1dGhvcj5UYWJvcjwvQXV0aG9yPjxZZWFyPjIwMDk8L1llYXI+PFJl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</w:fldData>
        </w:fldChar>
      </w:r>
      <w:r w:rsidR="009A054F">
        <w:instrText xml:space="preserve"> ADDIN EN.CITE.DATA </w:instrText>
      </w:r>
      <w:r w:rsidR="009A054F">
        <w:fldChar w:fldCharType="end"/>
      </w:r>
      <w:r w:rsidR="002D6F40">
        <w:fldChar w:fldCharType="separate"/>
      </w:r>
      <w:r w:rsidR="002D6F40">
        <w:rPr>
          <w:noProof/>
        </w:rPr>
        <w:t>(</w:t>
      </w:r>
      <w:hyperlink w:anchor="_ENREF_122" w:tooltip="Tabor, 2009 #1059" w:history="1">
        <w:r w:rsidR="00B46ABF">
          <w:rPr>
            <w:noProof/>
          </w:rPr>
          <w:t>Tabor, Vestergaard &amp; Lidegaard 2009</w:t>
        </w:r>
      </w:hyperlink>
      <w:r w:rsidR="002D6F40">
        <w:rPr>
          <w:noProof/>
        </w:rPr>
        <w:t>)</w:t>
      </w:r>
      <w:r w:rsidR="002D6F40">
        <w:fldChar w:fldCharType="end"/>
      </w:r>
      <w:r w:rsidR="000C1EC7">
        <w:t>:</w:t>
      </w:r>
      <w:r w:rsidR="00B63B82">
        <w:t xml:space="preserve"> 1.28% in the amniocentesis group and 0.64% in the control group</w:t>
      </w:r>
      <w:r w:rsidR="00BF7BF9">
        <w:t>, but with wide variation between studies</w:t>
      </w:r>
      <w:r w:rsidR="00B63B82">
        <w:t xml:space="preserve">. The </w:t>
      </w:r>
      <w:r w:rsidR="00811A1C">
        <w:t xml:space="preserve">5 </w:t>
      </w:r>
      <w:r w:rsidR="00B63B82">
        <w:t>included controlled studies reported a pooled RR for total pregn</w:t>
      </w:r>
      <w:r w:rsidR="00F234BD">
        <w:t>ancy loss of 1.25 (95%CI 1.02,</w:t>
      </w:r>
      <w:r w:rsidR="00B63B82">
        <w:t xml:space="preserve"> 2.49) and a</w:t>
      </w:r>
      <w:r w:rsidR="00811A1C">
        <w:t>n</w:t>
      </w:r>
      <w:r w:rsidR="00B63B82">
        <w:t xml:space="preserve"> RR</w:t>
      </w:r>
      <w:r w:rsidR="00F234BD">
        <w:t xml:space="preserve"> of 1.46 (95%CI 0.86,</w:t>
      </w:r>
      <w:r w:rsidR="00B63B82">
        <w:t xml:space="preserve"> 2.49) when fetal losses before 24</w:t>
      </w:r>
      <w:r w:rsidR="00811A1C">
        <w:t> </w:t>
      </w:r>
      <w:r w:rsidR="00B63B82">
        <w:t>weeks and 28</w:t>
      </w:r>
      <w:r w:rsidR="00811A1C">
        <w:t> </w:t>
      </w:r>
      <w:r w:rsidR="00B63B82">
        <w:t>weeks were combined</w:t>
      </w:r>
      <w:r w:rsidR="00AC4503">
        <w:t xml:space="preserve"> </w:t>
      </w:r>
      <w:r w:rsidR="002D6F40">
        <w:fldChar w:fldCharType="begin"/>
      </w:r>
      <w:r w:rsidR="009A054F">
        <w:instrText xml:space="preserve"> ADDIN EN.CITE &lt;EndNote&gt;&lt;Cite&gt;&lt;Author&gt;Mujezinovic&lt;/Author&gt;&lt;Year&gt;2007&lt;/Year&gt;&lt;RecNum&gt;975&lt;/RecNum&gt;&lt;IDText&gt;687-94&lt;/IDText&gt;&lt;DisplayText&gt;(Mujezinovic &amp;amp; Alfirevic 2007)&lt;/DisplayText&gt;&lt;record&gt;&lt;rec-number&gt;975&lt;/rec-number&gt;&lt;foreign-keys&gt;&lt;key app="EN" db-id="parffa0acae2voep5w3vv9rypas2tr522eef" timestamp="1430369640"&gt;975&lt;/key&gt;&lt;/foreign-keys&gt;&lt;ref-type name="Journal Article"&gt;17&lt;/ref-type&gt;&lt;contributors&gt;&lt;authors&gt;&lt;author&gt;Mujezinovic, F.&lt;/author&gt;&lt;author&gt;Alfirevic, Z.&lt;/author&gt;&lt;/authors&gt;&lt;/contributors&gt;&lt;auth-address&gt;Department of Perinatology, University Clinical Center Maribor, Maribor, Slovenia.&lt;/auth-address&gt;&lt;titles&gt;&lt;title&gt;Procedure-related complications of amniocentesis and chorionic villous sampling: a systematic review&lt;/title&gt;&lt;secondary-title&gt;Obstet Gynecol&lt;/secondary-title&gt;&lt;alt-title&gt;Obstetrics and gynecology&lt;/alt-title&gt;&lt;/titles&gt;&lt;periodical&gt;&lt;full-title&gt;Obstet Gynecol&lt;/full-title&gt;&lt;abbr-1&gt;Obstetrics and gynecology&lt;/abbr-1&gt;&lt;/periodical&gt;&lt;alt-periodical&gt;&lt;full-title&gt;Obstetrics and gynecology&lt;/full-title&gt;&lt;/alt-periodical&gt;&lt;pages&gt;687-94&lt;/pages&gt;&lt;volume&gt;110&lt;/volume&gt;&lt;number&gt;3&lt;/number&gt;&lt;keywords&gt;&lt;keyword&gt;Abortion, Spontaneous/*epidemiology&lt;/keyword&gt;&lt;keyword&gt;Amniocentesis/*adverse effects&lt;/keyword&gt;&lt;keyword&gt;Chorionic Villi Sampling/*adverse effects&lt;/keyword&gt;&lt;keyword&gt;Congenital Abnormalities/diagnosis&lt;/keyword&gt;&lt;keyword&gt;Female&lt;/keyword&gt;&lt;keyword&gt;Humans&lt;/keyword&gt;&lt;keyword&gt;Pregnancy&lt;/keyword&gt;&lt;keyword&gt;Pregnancy Trimester, First&lt;/keyword&gt;&lt;keyword&gt;Pregnancy Trimester, Second&lt;/keyword&gt;&lt;keyword&gt;Risk Factors&lt;/keyword&gt;&lt;/keywords&gt;&lt;dates&gt;&lt;year&gt;2007&lt;/year&gt;&lt;pub-dates&gt;&lt;date&gt;Sep&lt;/date&gt;&lt;/pub-dates&gt;&lt;/dates&gt;&lt;isbn&gt;0029-7844 (Print)&amp;#xD;0029-7844 (Linking)&lt;/isbn&gt;&lt;accession-num&gt;17766619&lt;/accession-num&gt;&lt;urls&gt;&lt;related-urls&gt;&lt;url&gt;http://www.ncbi.nlm.nih.gov/pubmed/17766619&lt;/url&gt;&lt;/related-urls&gt;&lt;/urls&gt;&lt;electronic-resource-num&gt;10.1097/01.AOG.0000278820.54029.e3&lt;/electronic-resource-num&gt;&lt;/record&gt;&lt;/Cite&gt;&lt;/EndNote&gt;</w:instrText>
      </w:r>
      <w:r w:rsidR="002D6F40">
        <w:fldChar w:fldCharType="separate"/>
      </w:r>
      <w:r w:rsidR="002D6F40">
        <w:rPr>
          <w:noProof/>
        </w:rPr>
        <w:t>(</w:t>
      </w:r>
      <w:hyperlink w:anchor="_ENREF_83" w:tooltip="Mujezinovic, 2007 #975" w:history="1">
        <w:r w:rsidR="00B46ABF">
          <w:rPr>
            <w:noProof/>
          </w:rPr>
          <w:t>Mujezinovic &amp; Alfirevic 2007</w:t>
        </w:r>
      </w:hyperlink>
      <w:r w:rsidR="002D6F40">
        <w:rPr>
          <w:noProof/>
        </w:rPr>
        <w:t>)</w:t>
      </w:r>
      <w:r w:rsidR="002D6F40">
        <w:fldChar w:fldCharType="end"/>
      </w:r>
      <w:r w:rsidR="00B63B82">
        <w:t>.</w:t>
      </w:r>
      <w:r>
        <w:t xml:space="preserve"> However, relatively small studies were included in the analysis, rendering the findings less </w:t>
      </w:r>
      <w:r w:rsidR="00576F17">
        <w:t>generalis</w:t>
      </w:r>
      <w:r>
        <w:t>able.</w:t>
      </w:r>
      <w:r w:rsidR="00AC4503">
        <w:t xml:space="preserve"> </w:t>
      </w:r>
      <w:r>
        <w:t xml:space="preserve">The second systematic review </w:t>
      </w:r>
      <w:r w:rsidR="002874E2">
        <w:t>was carried out recently (</w:t>
      </w:r>
      <w:r w:rsidR="00576F17">
        <w:t xml:space="preserve">search date </w:t>
      </w:r>
      <w:r w:rsidR="002874E2">
        <w:t>31 January 2014 for studies published after the year 2000</w:t>
      </w:r>
      <w:r w:rsidR="00095AD3">
        <w:t>)</w:t>
      </w:r>
      <w:r w:rsidR="002874E2">
        <w:t xml:space="preserve"> estimating the risk of miscarriage before 24 weeks’ gestation in women undergoing amniocentesis</w:t>
      </w:r>
      <w:r w:rsidR="00576F17">
        <w:t xml:space="preserve"> and CVS, with a minimum of 1</w:t>
      </w:r>
      <w:r w:rsidR="00811A1C">
        <w:t>,</w:t>
      </w:r>
      <w:r w:rsidR="00576F17">
        <w:t xml:space="preserve">000 procedures per study </w:t>
      </w:r>
      <w:r w:rsidR="002D6F40">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 </w:instrText>
      </w:r>
      <w:r w:rsidR="009A054F">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EN.CITE.DATA </w:instrText>
      </w:r>
      <w:r w:rsidR="009A054F">
        <w:fldChar w:fldCharType="end"/>
      </w:r>
      <w:r w:rsidR="002D6F40">
        <w:fldChar w:fldCharType="separate"/>
      </w:r>
      <w:r w:rsidR="002D6F40">
        <w:rPr>
          <w:noProof/>
        </w:rPr>
        <w:t>(</w:t>
      </w:r>
      <w:hyperlink w:anchor="_ENREF_1" w:tooltip="Akolekar, 2015 #88" w:history="1">
        <w:r w:rsidR="00B46ABF">
          <w:rPr>
            <w:noProof/>
          </w:rPr>
          <w:t>Akolekar et al. 2015</w:t>
        </w:r>
      </w:hyperlink>
      <w:r w:rsidR="002D6F40">
        <w:rPr>
          <w:noProof/>
        </w:rPr>
        <w:t>)</w:t>
      </w:r>
      <w:r w:rsidR="002D6F40">
        <w:fldChar w:fldCharType="end"/>
      </w:r>
      <w:r w:rsidR="002874E2">
        <w:t>. The background risk of miscarriage</w:t>
      </w:r>
      <w:r w:rsidR="00B15885">
        <w:t xml:space="preserve"> in the absence of</w:t>
      </w:r>
      <w:r w:rsidR="002874E2">
        <w:t xml:space="preserve"> invasive testing in appropriate controlled studies and the procedure-related risk of miscarriage following amniocentesis were also determined</w:t>
      </w:r>
      <w:r w:rsidR="00117796">
        <w:t xml:space="preserve"> here</w:t>
      </w:r>
      <w:r w:rsidR="002874E2">
        <w:t xml:space="preserve">. </w:t>
      </w:r>
      <w:r w:rsidR="00571BEA">
        <w:t xml:space="preserve">Fourteen studies were included, comprising </w:t>
      </w:r>
      <w:r w:rsidR="00811A1C">
        <w:t xml:space="preserve">6 </w:t>
      </w:r>
      <w:r w:rsidR="00571BEA">
        <w:t xml:space="preserve">observational retrospective cohort studies without a control group, </w:t>
      </w:r>
      <w:r w:rsidR="00811A1C">
        <w:t xml:space="preserve">4 </w:t>
      </w:r>
      <w:r w:rsidR="00571BEA">
        <w:t xml:space="preserve">retrospective cohort studies with a control group and </w:t>
      </w:r>
      <w:r w:rsidR="00811A1C">
        <w:t xml:space="preserve">4 </w:t>
      </w:r>
      <w:r w:rsidR="00B15885">
        <w:t>case-control studies. In</w:t>
      </w:r>
      <w:r w:rsidR="00571BEA">
        <w:t xml:space="preserve"> total</w:t>
      </w:r>
      <w:r w:rsidR="00B15885">
        <w:t>, there were</w:t>
      </w:r>
      <w:r w:rsidR="00571BEA">
        <w:t xml:space="preserve"> </w:t>
      </w:r>
      <w:r w:rsidR="004A7E18">
        <w:t>1</w:t>
      </w:r>
      <w:r w:rsidR="00811A1C">
        <w:t>,</w:t>
      </w:r>
      <w:r w:rsidR="00B15885">
        <w:t>107 fetal losses in 124</w:t>
      </w:r>
      <w:r w:rsidR="00811A1C">
        <w:t>,</w:t>
      </w:r>
      <w:r w:rsidR="004A7E18">
        <w:t xml:space="preserve">001 women undergoing amniocentesis, </w:t>
      </w:r>
      <w:r w:rsidR="00760B9C">
        <w:t>with a weighted pooled miscarr</w:t>
      </w:r>
      <w:r w:rsidR="00B15885">
        <w:t>iage rate of 0.70% (95%CI 0.50,</w:t>
      </w:r>
      <w:r w:rsidR="00F234BD">
        <w:t xml:space="preserve"> </w:t>
      </w:r>
      <w:r w:rsidR="00760B9C">
        <w:t>0.92) and a background miscarri</w:t>
      </w:r>
      <w:r w:rsidR="00B15885">
        <w:t>age rate of 0.70% (95%CI</w:t>
      </w:r>
      <w:r w:rsidR="00F234BD">
        <w:t xml:space="preserve"> 0.53, </w:t>
      </w:r>
      <w:r w:rsidR="00B15885">
        <w:t>0.90</w:t>
      </w:r>
      <w:r w:rsidR="00811A1C">
        <w:t>;</w:t>
      </w:r>
      <w:r w:rsidR="00B15885">
        <w:t xml:space="preserve"> 6</w:t>
      </w:r>
      <w:r w:rsidR="00811A1C">
        <w:t>,</w:t>
      </w:r>
      <w:r w:rsidR="00B15885">
        <w:t>634 losses in 771</w:t>
      </w:r>
      <w:r w:rsidR="00811A1C">
        <w:t>,</w:t>
      </w:r>
      <w:r w:rsidR="00760B9C">
        <w:t>963 women).</w:t>
      </w:r>
      <w:r w:rsidR="00B15885">
        <w:t xml:space="preserve"> N</w:t>
      </w:r>
      <w:r w:rsidR="00605E1C">
        <w:t>o significant difference was detected in the ra</w:t>
      </w:r>
      <w:r w:rsidR="00B15885">
        <w:t>te of miscarriage: 0.81% (95%CI</w:t>
      </w:r>
      <w:r w:rsidR="00F234BD">
        <w:t xml:space="preserve"> 0.58, </w:t>
      </w:r>
      <w:r w:rsidR="00605E1C">
        <w:t>1.08) in the amniocen</w:t>
      </w:r>
      <w:r w:rsidR="00F234BD">
        <w:t xml:space="preserve">tesis </w:t>
      </w:r>
      <w:r w:rsidR="00B15885">
        <w:t>group and 0.67%</w:t>
      </w:r>
      <w:r w:rsidR="00117796">
        <w:t xml:space="preserve"> </w:t>
      </w:r>
      <w:r w:rsidR="0071636C">
        <w:t>(95%CI 0.46, 0.91</w:t>
      </w:r>
      <w:r w:rsidR="00811A1C">
        <w:t xml:space="preserve">; p=0.14) </w:t>
      </w:r>
      <w:r w:rsidR="00117796">
        <w:t>in the background risk group</w:t>
      </w:r>
      <w:r w:rsidR="00576F17">
        <w:t>, as estimated from 7 studies with control groups. In this systematic review, based on the period 2000</w:t>
      </w:r>
      <w:r w:rsidR="00811A1C">
        <w:t xml:space="preserve"> – </w:t>
      </w:r>
      <w:r w:rsidR="00395F13">
        <w:t>1/</w:t>
      </w:r>
      <w:r w:rsidR="00576F17">
        <w:t>2014, the estimate of a loss attributable to amniocentesis was</w:t>
      </w:r>
      <w:r w:rsidR="0067002A">
        <w:t xml:space="preserve"> as low as</w:t>
      </w:r>
      <w:r w:rsidR="00576F17">
        <w:t xml:space="preserve"> 0.1%</w:t>
      </w:r>
      <w:r w:rsidR="00605E1C">
        <w:t xml:space="preserve"> </w:t>
      </w:r>
      <w:r w:rsidR="002D6F40">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 </w:instrText>
      </w:r>
      <w:r w:rsidR="009A054F">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EN.CITE.DATA </w:instrText>
      </w:r>
      <w:r w:rsidR="009A054F">
        <w:fldChar w:fldCharType="end"/>
      </w:r>
      <w:r w:rsidR="002D6F40">
        <w:fldChar w:fldCharType="separate"/>
      </w:r>
      <w:r w:rsidR="002D6F40">
        <w:rPr>
          <w:noProof/>
        </w:rPr>
        <w:t>(</w:t>
      </w:r>
      <w:hyperlink w:anchor="_ENREF_1" w:tooltip="Akolekar, 2015 #88" w:history="1">
        <w:r w:rsidR="00B46ABF">
          <w:rPr>
            <w:noProof/>
          </w:rPr>
          <w:t>Akolekar et al. 2015</w:t>
        </w:r>
      </w:hyperlink>
      <w:r w:rsidR="002D6F40">
        <w:rPr>
          <w:noProof/>
        </w:rPr>
        <w:t>)</w:t>
      </w:r>
      <w:r w:rsidR="002D6F40">
        <w:fldChar w:fldCharType="end"/>
      </w:r>
      <w:r w:rsidR="00576F17">
        <w:t>.</w:t>
      </w:r>
    </w:p>
    <w:p w14:paraId="728DF730" w14:textId="73876DDB" w:rsidR="002C5193" w:rsidRDefault="002C5193" w:rsidP="00B45FA8">
      <w:pPr>
        <w:pStyle w:val="Heading5"/>
      </w:pPr>
      <w:r w:rsidRPr="002C5193">
        <w:t xml:space="preserve">Safety of </w:t>
      </w:r>
      <w:r w:rsidR="00417D7E">
        <w:t>c</w:t>
      </w:r>
      <w:r w:rsidRPr="002C5193">
        <w:t xml:space="preserve">horionic </w:t>
      </w:r>
      <w:r w:rsidR="00417D7E">
        <w:t>v</w:t>
      </w:r>
      <w:r w:rsidRPr="002C5193">
        <w:t xml:space="preserve">illus </w:t>
      </w:r>
      <w:r w:rsidR="00417D7E">
        <w:t>s</w:t>
      </w:r>
      <w:r w:rsidRPr="002C5193">
        <w:t>ampling</w:t>
      </w:r>
      <w:r>
        <w:t xml:space="preserve"> (CVS)</w:t>
      </w:r>
    </w:p>
    <w:p w14:paraId="4B50E1B3" w14:textId="5B89AF7D" w:rsidR="006D3414" w:rsidRDefault="00997BAF" w:rsidP="00C2661C">
      <w:r>
        <w:t>The most recent systematic review on the safety of amniocentesis and CVS (search date 31 January 2014</w:t>
      </w:r>
      <w:r w:rsidR="000C332B">
        <w:t xml:space="preserve"> for studies published after 2000</w:t>
      </w:r>
      <w:r>
        <w:t xml:space="preserve">) included </w:t>
      </w:r>
      <w:r w:rsidR="00F075BA">
        <w:t xml:space="preserve">7 </w:t>
      </w:r>
      <w:r>
        <w:t>studies</w:t>
      </w:r>
      <w:r w:rsidR="00B7101C">
        <w:t xml:space="preserve"> with a minimum of 1</w:t>
      </w:r>
      <w:r w:rsidR="00F075BA">
        <w:t>,</w:t>
      </w:r>
      <w:r w:rsidR="00B7101C">
        <w:t xml:space="preserve">000 procedures per study </w:t>
      </w:r>
      <w:r w:rsidR="00C2661C">
        <w:t>in the CVS part of the review</w:t>
      </w:r>
      <w:r>
        <w:t xml:space="preserve"> </w:t>
      </w:r>
      <w:r w:rsidR="002D6F40">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 </w:instrText>
      </w:r>
      <w:r w:rsidR="009A054F">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EN.CITE.DATA </w:instrText>
      </w:r>
      <w:r w:rsidR="009A054F">
        <w:fldChar w:fldCharType="end"/>
      </w:r>
      <w:r w:rsidR="002D6F40">
        <w:fldChar w:fldCharType="separate"/>
      </w:r>
      <w:r w:rsidR="002D6F40">
        <w:rPr>
          <w:noProof/>
        </w:rPr>
        <w:t>(</w:t>
      </w:r>
      <w:hyperlink w:anchor="_ENREF_1" w:tooltip="Akolekar, 2015 #88" w:history="1">
        <w:r w:rsidR="00B46ABF">
          <w:rPr>
            <w:noProof/>
          </w:rPr>
          <w:t>Akolekar et al. 2015</w:t>
        </w:r>
      </w:hyperlink>
      <w:r w:rsidR="002D6F40">
        <w:rPr>
          <w:noProof/>
        </w:rPr>
        <w:t>)</w:t>
      </w:r>
      <w:r w:rsidR="002D6F40">
        <w:fldChar w:fldCharType="end"/>
      </w:r>
      <w:r>
        <w:t xml:space="preserve">; </w:t>
      </w:r>
      <w:r w:rsidR="00F075BA">
        <w:t xml:space="preserve">3 </w:t>
      </w:r>
      <w:r>
        <w:t xml:space="preserve">observational retrospective cohort studies without control group, </w:t>
      </w:r>
      <w:r w:rsidR="00F075BA">
        <w:t xml:space="preserve">2 </w:t>
      </w:r>
      <w:r>
        <w:t>cohort studies with</w:t>
      </w:r>
      <w:r w:rsidR="0009770B">
        <w:t xml:space="preserve"> a</w:t>
      </w:r>
      <w:r>
        <w:t xml:space="preserve"> control group (</w:t>
      </w:r>
      <w:r w:rsidR="00F075BA">
        <w:t xml:space="preserve">1 </w:t>
      </w:r>
      <w:r>
        <w:t xml:space="preserve">matched and </w:t>
      </w:r>
      <w:r w:rsidR="00F075BA">
        <w:t xml:space="preserve">1 </w:t>
      </w:r>
      <w:r>
        <w:t xml:space="preserve">unmatched), </w:t>
      </w:r>
      <w:r w:rsidR="00F075BA">
        <w:t xml:space="preserve">1 </w:t>
      </w:r>
      <w:r w:rsidR="006D3414">
        <w:t xml:space="preserve">database study with control group and </w:t>
      </w:r>
      <w:r w:rsidR="00F075BA">
        <w:t xml:space="preserve">1 </w:t>
      </w:r>
      <w:r w:rsidR="006D3414">
        <w:t xml:space="preserve">prospective observational study with unselected women </w:t>
      </w:r>
      <w:r w:rsidR="0009770B">
        <w:t xml:space="preserve">undergoing </w:t>
      </w:r>
      <w:r w:rsidR="006D3414">
        <w:t>routine screening as a control g</w:t>
      </w:r>
      <w:r w:rsidR="007C63EF">
        <w:t>r</w:t>
      </w:r>
      <w:r w:rsidR="006D3414">
        <w:t>oup.</w:t>
      </w:r>
      <w:r w:rsidR="0009770B">
        <w:t xml:space="preserve"> A total of 53</w:t>
      </w:r>
      <w:r w:rsidR="00F075BA">
        <w:t>,</w:t>
      </w:r>
      <w:r w:rsidR="00C2661C">
        <w:t>890 women</w:t>
      </w:r>
      <w:r w:rsidR="0009770B">
        <w:t xml:space="preserve"> underwent CVS and there </w:t>
      </w:r>
      <w:r w:rsidR="0009770B">
        <w:lastRenderedPageBreak/>
        <w:t>were 1</w:t>
      </w:r>
      <w:r w:rsidR="00F075BA">
        <w:t>,</w:t>
      </w:r>
      <w:r w:rsidR="00C2661C">
        <w:t>186 fetal losses prior to 24</w:t>
      </w:r>
      <w:r w:rsidR="00F075BA">
        <w:t> </w:t>
      </w:r>
      <w:r w:rsidR="00C2661C">
        <w:t>weeks</w:t>
      </w:r>
      <w:r w:rsidR="00AD3E11">
        <w:t>’ gestation</w:t>
      </w:r>
      <w:r w:rsidR="00C2661C">
        <w:t>, corresponding to a p</w:t>
      </w:r>
      <w:r w:rsidR="00AC57BB">
        <w:t xml:space="preserve">ooled loss rate of 2.36% (95%CI 1.68, </w:t>
      </w:r>
      <w:r w:rsidR="00C2661C">
        <w:t>3.16). The backgr</w:t>
      </w:r>
      <w:r w:rsidR="00AC57BB">
        <w:t>ound loss ra</w:t>
      </w:r>
      <w:r w:rsidR="00F15F9B">
        <w:t>te was 2.26% (95%CI 0.81, 4.41),</w:t>
      </w:r>
      <w:r w:rsidR="00AC57BB">
        <w:t xml:space="preserve"> based on 25</w:t>
      </w:r>
      <w:r w:rsidR="00D57D59">
        <w:t>,</w:t>
      </w:r>
      <w:r w:rsidR="00C2661C">
        <w:t xml:space="preserve">597 losses out of </w:t>
      </w:r>
      <w:r w:rsidR="00AC57BB">
        <w:t>670</w:t>
      </w:r>
      <w:r w:rsidR="00D57D59">
        <w:t>,</w:t>
      </w:r>
      <w:r w:rsidR="00C2661C">
        <w:t xml:space="preserve">696 women who did not undergo an invasive procedure. </w:t>
      </w:r>
      <w:r w:rsidR="00C91B19">
        <w:t xml:space="preserve">The background risk for CVS is higher than for amniocentesis, </w:t>
      </w:r>
      <w:r w:rsidR="00AD3E11">
        <w:t>which</w:t>
      </w:r>
      <w:r w:rsidR="00C91B19">
        <w:t xml:space="preserve"> is performed at a</w:t>
      </w:r>
      <w:r w:rsidR="00F15F9B">
        <w:t>n older</w:t>
      </w:r>
      <w:r w:rsidR="00DF5916">
        <w:t xml:space="preserve"> </w:t>
      </w:r>
      <w:r w:rsidR="00C91B19">
        <w:t>gestational age</w:t>
      </w:r>
      <w:r w:rsidR="00AD3E11">
        <w:t>,</w:t>
      </w:r>
      <w:r w:rsidR="00C91B19">
        <w:t xml:space="preserve"> when the risk of spontaneous miscarriage is lower. </w:t>
      </w:r>
      <w:r w:rsidR="00C2661C">
        <w:t xml:space="preserve">From </w:t>
      </w:r>
      <w:r w:rsidR="00D57D59">
        <w:t xml:space="preserve">3 </w:t>
      </w:r>
      <w:r w:rsidR="00C2661C">
        <w:t>included studies the weighted pooled procedure-related risk of miscarriage</w:t>
      </w:r>
      <w:r w:rsidR="00C91B19">
        <w:t xml:space="preserve"> following CVS</w:t>
      </w:r>
      <w:r w:rsidR="00C2661C">
        <w:t xml:space="preserve"> was estimated using</w:t>
      </w:r>
      <w:r w:rsidR="00F15F9B">
        <w:t xml:space="preserve"> an</w:t>
      </w:r>
      <w:r w:rsidR="00C2661C">
        <w:t xml:space="preserve"> incidence-rate differe</w:t>
      </w:r>
      <w:r w:rsidR="00AC57BB">
        <w:t>nce meta-analysis.</w:t>
      </w:r>
      <w:r w:rsidR="00F15F9B">
        <w:t xml:space="preserve"> A total of</w:t>
      </w:r>
      <w:r w:rsidR="00AC57BB">
        <w:t xml:space="preserve"> 207 out of 8</w:t>
      </w:r>
      <w:r w:rsidR="00D57D59">
        <w:t>,</w:t>
      </w:r>
      <w:r w:rsidR="00C2661C">
        <w:t>899 women undergoing CVS miscar</w:t>
      </w:r>
      <w:r w:rsidR="00AC57BB">
        <w:t xml:space="preserve">ried, compared </w:t>
      </w:r>
      <w:r w:rsidR="00CF664B">
        <w:t>wi</w:t>
      </w:r>
      <w:r w:rsidR="00D57D59">
        <w:t>t</w:t>
      </w:r>
      <w:r w:rsidR="00CF664B">
        <w:t>h</w:t>
      </w:r>
      <w:r w:rsidR="00D57D59">
        <w:t xml:space="preserve"> </w:t>
      </w:r>
      <w:r w:rsidR="00AC57BB">
        <w:t>534 out of 37</w:t>
      </w:r>
      <w:r w:rsidR="00D57D59">
        <w:t>,</w:t>
      </w:r>
      <w:r w:rsidR="00C2661C">
        <w:t xml:space="preserve">388 who did not have an invasive procedure. </w:t>
      </w:r>
      <w:r w:rsidR="007940B3">
        <w:t>The pooled procedure-related risk of miscarriage before 24</w:t>
      </w:r>
      <w:r w:rsidR="00D57D59">
        <w:t> </w:t>
      </w:r>
      <w:r w:rsidR="007940B3">
        <w:t>weeks</w:t>
      </w:r>
      <w:r w:rsidR="00D57D59">
        <w:t>’</w:t>
      </w:r>
      <w:r w:rsidR="009C238B">
        <w:t xml:space="preserve"> gestation</w:t>
      </w:r>
      <w:r w:rsidR="007940B3">
        <w:t xml:space="preserve"> </w:t>
      </w:r>
      <w:r w:rsidR="009C238B">
        <w:t>(</w:t>
      </w:r>
      <w:r w:rsidR="007940B3">
        <w:t>following CVS</w:t>
      </w:r>
      <w:r w:rsidR="009C238B">
        <w:t>)</w:t>
      </w:r>
      <w:r w:rsidR="007940B3">
        <w:t xml:space="preserve"> was 0.2</w:t>
      </w:r>
      <w:r w:rsidR="00AC57BB">
        <w:t xml:space="preserve">2% (95%CI </w:t>
      </w:r>
      <w:r w:rsidR="00D57D59">
        <w:t>–</w:t>
      </w:r>
      <w:r w:rsidR="00AC57BB">
        <w:t>0.71</w:t>
      </w:r>
      <w:r w:rsidR="00D57D59">
        <w:t xml:space="preserve"> –</w:t>
      </w:r>
      <w:r w:rsidR="00AC57BB">
        <w:t>1.16%, p=0.64</w:t>
      </w:r>
      <w:r w:rsidR="007940B3">
        <w:t xml:space="preserve">), meaning </w:t>
      </w:r>
      <w:r w:rsidR="00D57D59">
        <w:t xml:space="preserve">that </w:t>
      </w:r>
      <w:r w:rsidR="007940B3">
        <w:t>the estimate of a loss attributable to CVS was around 0.2%.</w:t>
      </w:r>
    </w:p>
    <w:p w14:paraId="78EF7434" w14:textId="5CAB3D96" w:rsidR="00997BAF" w:rsidRDefault="006A199A" w:rsidP="00AB683F">
      <w:r>
        <w:t xml:space="preserve">A second systematic review of studies published after 1995 included reports of CVS carried out transabdominally </w:t>
      </w:r>
      <w:r w:rsidR="00D57D59">
        <w:t xml:space="preserve">at </w:t>
      </w:r>
      <w:r>
        <w:t>between 10 and 14</w:t>
      </w:r>
      <w:r w:rsidR="00D57D59">
        <w:t> </w:t>
      </w:r>
      <w:r>
        <w:t>weeks</w:t>
      </w:r>
      <w:r w:rsidR="00D57D59">
        <w:t>’</w:t>
      </w:r>
      <w:r>
        <w:t xml:space="preserve"> gestation</w:t>
      </w:r>
      <w:r w:rsidR="00770EBD">
        <w:t xml:space="preserve"> with a minimum of 100 procedures per study</w:t>
      </w:r>
      <w:r w:rsidR="00CD2FB5">
        <w:t xml:space="preserve"> </w:t>
      </w:r>
      <w:r w:rsidR="002D6F40">
        <w:fldChar w:fldCharType="begin"/>
      </w:r>
      <w:r w:rsidR="009A054F">
        <w:instrText xml:space="preserve"> ADDIN EN.CITE &lt;EndNote&gt;&lt;Cite&gt;&lt;Author&gt;Mujezinovic&lt;/Author&gt;&lt;Year&gt;2007&lt;/Year&gt;&lt;RecNum&gt;975&lt;/RecNum&gt;&lt;IDText&gt;687-94&lt;/IDText&gt;&lt;DisplayText&gt;(Mujezinovic &amp;amp; Alfirevic 2007)&lt;/DisplayText&gt;&lt;record&gt;&lt;rec-number&gt;975&lt;/rec-number&gt;&lt;foreign-keys&gt;&lt;key app="EN" db-id="parffa0acae2voep5w3vv9rypas2tr522eef" timestamp="1430369640"&gt;975&lt;/key&gt;&lt;/foreign-keys&gt;&lt;ref-type name="Journal Article"&gt;17&lt;/ref-type&gt;&lt;contributors&gt;&lt;authors&gt;&lt;author&gt;Mujezinovic, F.&lt;/author&gt;&lt;author&gt;Alfirevic, Z.&lt;/author&gt;&lt;/authors&gt;&lt;/contributors&gt;&lt;auth-address&gt;Department of Perinatology, University Clinical Center Maribor, Maribor, Slovenia.&lt;/auth-address&gt;&lt;titles&gt;&lt;title&gt;Procedure-related complications of amniocentesis and chorionic villous sampling: a systematic review&lt;/title&gt;&lt;secondary-title&gt;Obstet Gynecol&lt;/secondary-title&gt;&lt;alt-title&gt;Obstetrics and gynecology&lt;/alt-title&gt;&lt;/titles&gt;&lt;periodical&gt;&lt;full-title&gt;Obstet Gynecol&lt;/full-title&gt;&lt;abbr-1&gt;Obstetrics and gynecology&lt;/abbr-1&gt;&lt;/periodical&gt;&lt;alt-periodical&gt;&lt;full-title&gt;Obstetrics and gynecology&lt;/full-title&gt;&lt;/alt-periodical&gt;&lt;pages&gt;687-94&lt;/pages&gt;&lt;volume&gt;110&lt;/volume&gt;&lt;number&gt;3&lt;/number&gt;&lt;keywords&gt;&lt;keyword&gt;Abortion, Spontaneous/*epidemiology&lt;/keyword&gt;&lt;keyword&gt;Amniocentesis/*adverse effects&lt;/keyword&gt;&lt;keyword&gt;Chorionic Villi Sampling/*adverse effects&lt;/keyword&gt;&lt;keyword&gt;Congenital Abnormalities/diagnosis&lt;/keyword&gt;&lt;keyword&gt;Female&lt;/keyword&gt;&lt;keyword&gt;Humans&lt;/keyword&gt;&lt;keyword&gt;Pregnancy&lt;/keyword&gt;&lt;keyword&gt;Pregnancy Trimester, First&lt;/keyword&gt;&lt;keyword&gt;Pregnancy Trimester, Second&lt;/keyword&gt;&lt;keyword&gt;Risk Factors&lt;/keyword&gt;&lt;/keywords&gt;&lt;dates&gt;&lt;year&gt;2007&lt;/year&gt;&lt;pub-dates&gt;&lt;date&gt;Sep&lt;/date&gt;&lt;/pub-dates&gt;&lt;/dates&gt;&lt;isbn&gt;0029-7844 (Print)&amp;#xD;0029-7844 (Linking)&lt;/isbn&gt;&lt;accession-num&gt;17766619&lt;/accession-num&gt;&lt;urls&gt;&lt;related-urls&gt;&lt;url&gt;http://www.ncbi.nlm.nih.gov/pubmed/17766619&lt;/url&gt;&lt;/related-urls&gt;&lt;/urls&gt;&lt;electronic-resource-num&gt;10.1097/01.AOG.0000278820.54029.e3&lt;/electronic-resource-num&gt;&lt;/record&gt;&lt;/Cite&gt;&lt;/EndNote&gt;</w:instrText>
      </w:r>
      <w:r w:rsidR="002D6F40">
        <w:fldChar w:fldCharType="separate"/>
      </w:r>
      <w:r w:rsidR="002D6F40">
        <w:rPr>
          <w:noProof/>
        </w:rPr>
        <w:t>(</w:t>
      </w:r>
      <w:hyperlink w:anchor="_ENREF_83" w:tooltip="Mujezinovic, 2007 #975" w:history="1">
        <w:r w:rsidR="00B46ABF">
          <w:rPr>
            <w:noProof/>
          </w:rPr>
          <w:t>Mujezinovic &amp; Alfirevic 2007</w:t>
        </w:r>
      </w:hyperlink>
      <w:r w:rsidR="002D6F40">
        <w:rPr>
          <w:noProof/>
        </w:rPr>
        <w:t>)</w:t>
      </w:r>
      <w:r w:rsidR="002D6F40">
        <w:fldChar w:fldCharType="end"/>
      </w:r>
      <w:r>
        <w:t>.</w:t>
      </w:r>
      <w:r w:rsidR="00CD2FB5">
        <w:t xml:space="preserve"> No controlled studies comparing pregnancy loss after transabdominal CVS with appropriate controlled groups were identified. No statistical heterogeneity was found in the results for pregnancy loss within 14</w:t>
      </w:r>
      <w:r w:rsidR="00D57D59">
        <w:t> </w:t>
      </w:r>
      <w:r w:rsidR="00CD2FB5">
        <w:t>days (k=4), within 30</w:t>
      </w:r>
      <w:r w:rsidR="00D57D59">
        <w:t> </w:t>
      </w:r>
      <w:r w:rsidR="00BD18BE">
        <w:t>days (k=4) and before 24</w:t>
      </w:r>
      <w:r w:rsidR="00D57D59">
        <w:t> </w:t>
      </w:r>
      <w:r w:rsidR="00BD18BE">
        <w:t xml:space="preserve">weeks </w:t>
      </w:r>
      <w:r w:rsidR="00CD2FB5">
        <w:t>(k=8). The pooled pregnancy loss rates (fixed effects) for before 14</w:t>
      </w:r>
      <w:r w:rsidR="00D57D59">
        <w:t>,</w:t>
      </w:r>
      <w:r w:rsidR="00CD2FB5">
        <w:t xml:space="preserve"> and </w:t>
      </w:r>
      <w:r w:rsidR="00D57D59">
        <w:t xml:space="preserve">after </w:t>
      </w:r>
      <w:r w:rsidR="00CD2FB5">
        <w:t>30</w:t>
      </w:r>
      <w:r w:rsidR="00D57D59">
        <w:t>, </w:t>
      </w:r>
      <w:r w:rsidR="00CD2FB5">
        <w:t xml:space="preserve">days </w:t>
      </w:r>
      <w:r w:rsidR="00D57D59">
        <w:t xml:space="preserve">following </w:t>
      </w:r>
      <w:r w:rsidR="00CD2FB5">
        <w:t>CVS and before 24</w:t>
      </w:r>
      <w:r w:rsidR="00D57D59">
        <w:t> </w:t>
      </w:r>
      <w:r w:rsidR="00CD2FB5">
        <w:t>week</w:t>
      </w:r>
      <w:r w:rsidR="00AC57BB">
        <w:t>s of pregnancy were 0.7% (95%CI 0.3,</w:t>
      </w:r>
      <w:r w:rsidR="00F15F9B">
        <w:t xml:space="preserve"> 1.4), 1.3% (95%CI</w:t>
      </w:r>
      <w:r w:rsidR="00AC57BB">
        <w:t xml:space="preserve"> 0.5, 2.3) and 1.3% (95%CI 1.0, </w:t>
      </w:r>
      <w:r w:rsidR="00CD2FB5">
        <w:t>1.7), respectively</w:t>
      </w:r>
      <w:r w:rsidR="00F15F9B">
        <w:t>, with a total of 44 losses out of 3</w:t>
      </w:r>
      <w:r w:rsidR="00D57D59">
        <w:t>,</w:t>
      </w:r>
      <w:r w:rsidR="00F15F9B">
        <w:t>402 pregnancies</w:t>
      </w:r>
      <w:r w:rsidR="00CD2FB5">
        <w:t xml:space="preserve">. </w:t>
      </w:r>
      <w:r w:rsidR="00BD18BE">
        <w:t xml:space="preserve">This is lower than in </w:t>
      </w:r>
      <w:r w:rsidR="00AD3E11">
        <w:t xml:space="preserve">the study by </w:t>
      </w:r>
      <w:r w:rsidR="00BD18BE">
        <w:t xml:space="preserve">Akolekar et al. (2015), which estimated a pooled loss rate of 2.36%. However, the number of </w:t>
      </w:r>
      <w:r w:rsidR="00BD008B">
        <w:t>procedures</w:t>
      </w:r>
      <w:r w:rsidR="00BD18BE">
        <w:t xml:space="preserve"> per study in the systematic review by Mujezinovic</w:t>
      </w:r>
      <w:r w:rsidR="00DF5916">
        <w:t xml:space="preserve"> </w:t>
      </w:r>
      <w:r w:rsidR="00BD18BE">
        <w:t xml:space="preserve">et al. (2007) was significantly lower, with reported loss rates in pregnancies </w:t>
      </w:r>
      <w:r w:rsidR="00D57D59">
        <w:t xml:space="preserve">of </w:t>
      </w:r>
      <w:r w:rsidR="00AD3E11">
        <w:t xml:space="preserve">less than </w:t>
      </w:r>
      <w:r w:rsidR="00BD18BE">
        <w:t>24</w:t>
      </w:r>
      <w:r w:rsidR="00D57D59">
        <w:t> </w:t>
      </w:r>
      <w:r w:rsidR="00BD18BE">
        <w:t>weeks</w:t>
      </w:r>
      <w:r w:rsidR="00D57D59">
        <w:t>’</w:t>
      </w:r>
      <w:r w:rsidR="00BD18BE">
        <w:t xml:space="preserve"> gestation varying from 1.1% to 3.1% in the included studies. </w:t>
      </w:r>
      <w:r w:rsidR="00AB683F">
        <w:t xml:space="preserve">The data for multiple insertions during CVS are even more heterogeneous, with </w:t>
      </w:r>
      <w:r w:rsidR="00F15F9B">
        <w:t xml:space="preserve">loss </w:t>
      </w:r>
      <w:r w:rsidR="00AB683F">
        <w:t>rates</w:t>
      </w:r>
      <w:r w:rsidR="005278AB">
        <w:t xml:space="preserve"> ranging from 1.4% to 26.6%. It is likely that operator skill and experience played an important role here.</w:t>
      </w:r>
    </w:p>
    <w:p w14:paraId="1549E97A" w14:textId="5374E9A7" w:rsidR="001518BD" w:rsidRDefault="00F15F9B" w:rsidP="00AB683F">
      <w:r>
        <w:t>A</w:t>
      </w:r>
      <w:r w:rsidR="00991BBD">
        <w:t xml:space="preserve"> Cochrane review </w:t>
      </w:r>
      <w:r w:rsidR="00321A90">
        <w:t>(</w:t>
      </w:r>
      <w:hyperlink w:anchor="_ENREF_3" w:tooltip="Alfirevic, 2003 #715" w:history="1">
        <w:r w:rsidR="00321A90">
          <w:rPr>
            <w:noProof/>
          </w:rPr>
          <w:t>Alfirevic, Mujezinovic &amp; Sundberg 2003</w:t>
        </w:r>
      </w:hyperlink>
      <w:r w:rsidR="00321A90">
        <w:rPr>
          <w:noProof/>
        </w:rPr>
        <w:t>)</w:t>
      </w:r>
      <w:r w:rsidR="00991BBD">
        <w:t xml:space="preserve"> did not provide a direct comparison between CVS and a control group. However</w:t>
      </w:r>
      <w:r w:rsidR="0055364F">
        <w:t>,</w:t>
      </w:r>
      <w:r w:rsidR="00991BBD">
        <w:t xml:space="preserve"> they did compare the safety of transabdominal CVS versus transcervical CVS</w:t>
      </w:r>
      <w:r w:rsidR="002D6F40">
        <w:fldChar w:fldCharType="begin"/>
      </w:r>
      <w:r w:rsidR="009A054F">
        <w:instrText xml:space="preserve"> ADDIN EN.CITE &lt;EndNote&gt;&lt;Cite&gt;&lt;Author&gt;Alfirevic&lt;/Author&gt;&lt;Year&gt;2003&lt;/Year&gt;&lt;RecNum&gt;715&lt;/RecNum&gt;&lt;DisplayText&gt;(Alfirevic, Mujezinovic &amp;amp; Sundberg 2003)&lt;/DisplayText&gt;&lt;record&gt;&lt;rec-number&gt;715&lt;/rec-number&gt;&lt;foreign-keys&gt;&lt;key app="EN" db-id="parffa0acae2voep5w3vv9rypas2tr522eef" timestamp="1430369556"&gt;715&lt;/key&gt;&lt;/foreign-keys&gt;&lt;ref-type name="Report"&gt;27&lt;/ref-type&gt;&lt;contributors&gt;&lt;authors&gt;&lt;author&gt;Alfirevic, Z.&lt;/author&gt;&lt;author&gt;Mujezinovic, F.&lt;/author&gt;&lt;author&gt;Sundberg, K.&lt;/author&gt;&lt;/authors&gt;&lt;secondary-authors&gt;&lt;author&gt;Cochrane Pregnancy and Childbirth Group&lt;/author&gt;&lt;/secondary-authors&gt;&lt;tertiary-authors&gt;&lt;author&gt;The Cochrane Collaboration&lt;/author&gt;&lt;/tertiary-authors&gt;&lt;/contributors&gt;&lt;titles&gt;&lt;title&gt;Amniocentesis and chorionic villus sampling for prenatal diagnosis&lt;/title&gt;&lt;/titles&gt;&lt;dates&gt;&lt;year&gt;2003&lt;/year&gt;&lt;/dates&gt;&lt;publisher&gt;Cochrane Database of Systematic Reviews&lt;/publisher&gt;&lt;isbn&gt; Art. No.: CD003252&lt;/isbn&gt;&lt;urls&gt;&lt;/urls&gt;&lt;custom6&gt;3&lt;/custom6&gt;&lt;electronic-resource-num&gt;10.1002/14651858.CD003252&lt;/electronic-resource-num&gt;&lt;/record&gt;&lt;/Cite&gt;&lt;/EndNote&gt;</w:instrText>
      </w:r>
      <w:r w:rsidR="002D6F40">
        <w:fldChar w:fldCharType="end"/>
      </w:r>
      <w:r w:rsidR="00FD1455">
        <w:t xml:space="preserve">. The report stated that total pregnancy loss and spontaneous miscarriages were higher after transcervical CVS compared </w:t>
      </w:r>
      <w:r w:rsidR="00321A90">
        <w:t xml:space="preserve">with </w:t>
      </w:r>
      <w:r w:rsidR="00FD1455">
        <w:t xml:space="preserve">transabdominal CVS. However, this was mostly due to the excess loss in the transcervical arm of one of the trials </w:t>
      </w:r>
      <w:r w:rsidR="002D6F40">
        <w:fldChar w:fldCharType="begin"/>
      </w:r>
      <w:r w:rsidR="009A054F">
        <w:instrText xml:space="preserve"> ADDIN EN.CITE &lt;EndNote&gt;&lt;Cite&gt;&lt;Author&gt;Smidt-Jensen&lt;/Author&gt;&lt;Year&gt;1992&lt;/Year&gt;&lt;RecNum&gt;1040&lt;/RecNum&gt;&lt;IDText&gt;1237-44&lt;/IDText&gt;&lt;DisplayText&gt;(Smidt-Jensen et al. 1992)&lt;/DisplayText&gt;&lt;record&gt;&lt;rec-number&gt;1040&lt;/rec-number&gt;&lt;foreign-keys&gt;&lt;key app="EN" db-id="parffa0acae2voep5w3vv9rypas2tr522eef" timestamp="1430369660"&gt;1040&lt;/key&gt;&lt;/foreign-keys&gt;&lt;ref-type name="Journal Article"&gt;17&lt;/ref-type&gt;&lt;contributors&gt;&lt;authors&gt;&lt;author&gt;Smidt-Jensen, S.&lt;/author&gt;&lt;author&gt;Permin, M.&lt;/author&gt;&lt;author&gt;Philip, J.&lt;/author&gt;&lt;author&gt;Lundsteen, C.&lt;/author&gt;&lt;author&gt;Zachary, J. M.&lt;/author&gt;&lt;author&gt;Fowler, S. E.&lt;/author&gt;&lt;author&gt;Gruning, K.&lt;/author&gt;&lt;/authors&gt;&lt;/contributors&gt;&lt;auth-address&gt;Department of Obstetrics and Gynaecology, Rigshospitalet, University of Copenhagen, Denmark.&lt;/auth-address&gt;&lt;titles&gt;&lt;title&gt;Randomised comparison of amniocentesis and transabdominal and transcervical chorionic villus sampling&lt;/title&gt;&lt;secondary-title&gt;Lancet&lt;/secondary-title&gt;&lt;alt-title&gt;Lancet&lt;/alt-title&gt;&lt;/titles&gt;&lt;periodical&gt;&lt;full-title&gt;Lancet&lt;/full-title&gt;&lt;abbr-1&gt;Lancet&lt;/abbr-1&gt;&lt;/periodical&gt;&lt;alt-periodical&gt;&lt;full-title&gt;Lancet&lt;/full-title&gt;&lt;abbr-1&gt;Lancet&lt;/abbr-1&gt;&lt;/alt-periodical&gt;&lt;pages&gt;1237-44&lt;/pages&gt;&lt;volume&gt;340&lt;/volume&gt;&lt;number&gt;8830&lt;/number&gt;&lt;keywords&gt;&lt;keyword&gt;Adult&lt;/keyword&gt;&lt;keyword&gt;*Amniocentesis&lt;/keyword&gt;&lt;keyword&gt;*Chorionic Villi Sampling/methods&lt;/keyword&gt;&lt;keyword&gt;Female&lt;/keyword&gt;&lt;keyword&gt;Humans&lt;/keyword&gt;&lt;keyword&gt;Pregnancy&lt;/keyword&gt;&lt;/keywords&gt;&lt;dates&gt;&lt;year&gt;1992&lt;/year&gt;&lt;pub-dates&gt;&lt;date&gt;Nov 21&lt;/date&gt;&lt;/pub-dates&gt;&lt;/dates&gt;&lt;isbn&gt;0140-6736 (Print)&amp;#xD;0140-6736 (Linking)&lt;/isbn&gt;&lt;accession-num&gt;1359317&lt;/accession-num&gt;&lt;urls&gt;&lt;related-urls&gt;&lt;url&gt;http://www.ncbi.nlm.nih.gov/pubmed/1359317&lt;/url&gt;&lt;/related-urls&gt;&lt;/urls&gt;&lt;/record&gt;&lt;/Cite&gt;&lt;/EndNote&gt;</w:instrText>
      </w:r>
      <w:r w:rsidR="002D6F40">
        <w:fldChar w:fldCharType="separate"/>
      </w:r>
      <w:r w:rsidR="002D6F40">
        <w:rPr>
          <w:noProof/>
        </w:rPr>
        <w:t>(</w:t>
      </w:r>
      <w:hyperlink w:anchor="_ENREF_117" w:tooltip="Smidt-Jensen, 1992 #1040" w:history="1">
        <w:r w:rsidR="00B46ABF">
          <w:rPr>
            <w:noProof/>
          </w:rPr>
          <w:t>Smidt-Jensen et al. 1992</w:t>
        </w:r>
      </w:hyperlink>
      <w:r w:rsidR="002D6F40">
        <w:rPr>
          <w:noProof/>
        </w:rPr>
        <w:t>)</w:t>
      </w:r>
      <w:r w:rsidR="002D6F40">
        <w:fldChar w:fldCharType="end"/>
      </w:r>
      <w:r w:rsidR="00FD1455">
        <w:t>. This RCT was conducted between 1985 and 1990 and reported a total pregnancy loss after transcervical CVS of 12.4% compared with 7.4% after transabdominal CVS. Corresponding spontaneous pregnancy loss figures were 8.2% and 3%.</w:t>
      </w:r>
      <w:r w:rsidR="00B162F7">
        <w:t xml:space="preserve"> </w:t>
      </w:r>
      <w:r w:rsidR="000C332B">
        <w:t>Results from other studies (</w:t>
      </w:r>
      <w:r w:rsidR="00321A90">
        <w:t xml:space="preserve">4 </w:t>
      </w:r>
      <w:r w:rsidR="000C332B">
        <w:t>other trials) included in the systematic review were almost identical in both transcervical and transabdominal CVS. There was significant heterogeneity between</w:t>
      </w:r>
      <w:r w:rsidR="00AB7A6C">
        <w:t xml:space="preserve"> included</w:t>
      </w:r>
      <w:r w:rsidR="000C332B">
        <w:t xml:space="preserve"> </w:t>
      </w:r>
      <w:r w:rsidR="00AB7A6C">
        <w:t>trials</w:t>
      </w:r>
      <w:r w:rsidR="00321A90">
        <w:t>,</w:t>
      </w:r>
      <w:r w:rsidR="000C332B">
        <w:t xml:space="preserve"> with I</w:t>
      </w:r>
      <w:r w:rsidR="000C332B">
        <w:rPr>
          <w:vertAlign w:val="superscript"/>
        </w:rPr>
        <w:t>2</w:t>
      </w:r>
      <w:r w:rsidR="000C332B">
        <w:t xml:space="preserve"> = 72.3%, and with a random effects model there were no significant differences in pregnancy loss and miscarriage between the two methods. All studies in this analysis were conducted over 23</w:t>
      </w:r>
      <w:r w:rsidR="00321A90">
        <w:t> </w:t>
      </w:r>
      <w:r w:rsidR="000C332B">
        <w:t>years ago and it is unclear if these results are still applicable to current clinical practice.</w:t>
      </w:r>
    </w:p>
    <w:p w14:paraId="4F8EA717" w14:textId="77777777" w:rsidR="001518BD" w:rsidRDefault="001518BD" w:rsidP="00B45FA8">
      <w:pPr>
        <w:pStyle w:val="Heading4"/>
      </w:pPr>
      <w:r>
        <w:lastRenderedPageBreak/>
        <w:t>Safety and psychological impact of TOP</w:t>
      </w:r>
    </w:p>
    <w:p w14:paraId="2EACF8EB" w14:textId="004EF213" w:rsidR="001518BD" w:rsidRDefault="001518BD" w:rsidP="001518BD">
      <w:r>
        <w:t xml:space="preserve">As no studies were identified on parental psychological health after TOP due to a CF-affected fetus compared </w:t>
      </w:r>
      <w:r w:rsidR="00321A90">
        <w:t xml:space="preserve">with </w:t>
      </w:r>
      <w:r>
        <w:t>no TOP and raising a child with CF, an additional broader (non-systematic) s</w:t>
      </w:r>
      <w:r w:rsidR="00EF08B2">
        <w:t>earch was conducted in PubMed to assess</w:t>
      </w:r>
      <w:r>
        <w:t xml:space="preserve"> parental psychological outcomes after the diagnosis of fetal anomalies (non-comparative). One systematic review was identified in this search and the relevant articles included in the systematic review</w:t>
      </w:r>
      <w:r w:rsidR="00321A90">
        <w:t>.</w:t>
      </w:r>
      <w:r>
        <w:t xml:space="preserve"> </w:t>
      </w:r>
      <w:r w:rsidR="00321A90">
        <w:t>A</w:t>
      </w:r>
      <w:r>
        <w:t xml:space="preserve">rticles included from the search and pearling of relevant studies are narratively discussed below and in </w:t>
      </w:r>
      <w:r>
        <w:fldChar w:fldCharType="begin"/>
      </w:r>
      <w:r>
        <w:instrText xml:space="preserve"> REF _Ref412106201 \h </w:instrText>
      </w:r>
      <w:r>
        <w:fldChar w:fldCharType="separate"/>
      </w:r>
      <w:r w:rsidR="00BB0E3E" w:rsidRPr="001A4A46">
        <w:t xml:space="preserve">Appendix </w:t>
      </w:r>
      <w:r w:rsidR="00BB0E3E">
        <w:rPr>
          <w:noProof/>
        </w:rPr>
        <w:t>E</w:t>
      </w:r>
      <w:r>
        <w:fldChar w:fldCharType="end"/>
      </w:r>
      <w:r>
        <w:t xml:space="preserve"> </w:t>
      </w:r>
      <w:r>
        <w:fldChar w:fldCharType="begin">
          <w:fldData xml:space="preserve">PEVuZE5vdGU+PENpdGU+PEF1dGhvcj5Xb29sPC9BdXRob3I+PFllYXI+MjAxMTwvWWVhcj48UmVj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</w:fldData>
        </w:fldChar>
      </w:r>
      <w:r w:rsidR="009A054F">
        <w:instrText xml:space="preserve"> ADDIN EN.CITE </w:instrText>
      </w:r>
      <w:r w:rsidR="009A054F">
        <w:fldChar w:fldCharType="begin">
          <w:fldData xml:space="preserve">PEVuZE5vdGU+PENpdGU+PEF1dGhvcj5Xb29sPC9BdXRob3I+PFllYXI+MjAxMTwvWWVhcj48UmVj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</w:fldData>
        </w:fldChar>
      </w:r>
      <w:r w:rsidR="009A054F">
        <w:instrText xml:space="preserve"> ADDIN EN.CITE.DATA </w:instrText>
      </w:r>
      <w:r w:rsidR="009A054F">
        <w:fldChar w:fldCharType="end"/>
      </w:r>
      <w:r>
        <w:fldChar w:fldCharType="separate"/>
      </w:r>
      <w:r>
        <w:rPr>
          <w:noProof/>
        </w:rPr>
        <w:t>(</w:t>
      </w:r>
      <w:hyperlink w:anchor="_ENREF_134" w:tooltip="Wool, 2011 #1095" w:history="1">
        <w:r w:rsidR="00B46ABF">
          <w:rPr>
            <w:noProof/>
          </w:rPr>
          <w:t>Wool 2011</w:t>
        </w:r>
      </w:hyperlink>
      <w:r>
        <w:rPr>
          <w:noProof/>
        </w:rPr>
        <w:t>)</w:t>
      </w:r>
      <w:r>
        <w:fldChar w:fldCharType="end"/>
      </w:r>
      <w:r>
        <w:t>, to show the consequences of change in management (</w:t>
      </w:r>
      <w:r w:rsidR="00321A90">
        <w:t xml:space="preserve">i.e. </w:t>
      </w:r>
      <w:r>
        <w:t xml:space="preserve">TOP) in affected pregnancies. In addition to psychological effects, a search was done to identify systematic reviews on adverse events associated with TOP. The results are described below. </w:t>
      </w:r>
    </w:p>
    <w:p w14:paraId="3CD627DD" w14:textId="77777777" w:rsidR="001518BD" w:rsidRDefault="001518BD" w:rsidP="00B45FA8">
      <w:pPr>
        <w:pStyle w:val="Heading5"/>
      </w:pPr>
      <w:r>
        <w:t>Adverse events and physical impact of TOP</w:t>
      </w:r>
    </w:p>
    <w:p w14:paraId="7EC4109D" w14:textId="6FA965BE" w:rsidR="001518BD" w:rsidRDefault="001518BD" w:rsidP="001518BD">
      <w:r>
        <w:t>There are a number of different methods for terminating a pregnancy</w:t>
      </w:r>
      <w:r w:rsidR="00321A90">
        <w:t>:</w:t>
      </w:r>
      <w:r>
        <w:t xml:space="preserve"> </w:t>
      </w:r>
      <w:r w:rsidR="006039F9">
        <w:t>pharmaceutical</w:t>
      </w:r>
      <w:r>
        <w:t>, with a variety of pharmacological agents (mifepristone or methotrexate in combination with misopristol or gemeprost, or a prostaglandin analog</w:t>
      </w:r>
      <w:r w:rsidR="00EF08B2">
        <w:t>ue</w:t>
      </w:r>
      <w:r>
        <w:t xml:space="preserve"> alone), and surgical (vacuum aspiration, dilatation and curettage, dilatation and evacuation, induction of </w:t>
      </w:r>
      <w:r w:rsidR="00EF08B2">
        <w:t>labour</w:t>
      </w:r>
      <w:r>
        <w:t xml:space="preserve">, hysterotomy or hysterectomy). The method selected often depends on the gestational age of the fetus, availability, and doctor or patient preference. </w:t>
      </w:r>
    </w:p>
    <w:p w14:paraId="42BE543E" w14:textId="50B1159F" w:rsidR="001518BD" w:rsidRPr="00114E6B" w:rsidRDefault="00114E6B" w:rsidP="00B45FA8">
      <w:pPr>
        <w:pStyle w:val="Heading6"/>
      </w:pPr>
      <w:r w:rsidRPr="00114E6B">
        <w:t>First</w:t>
      </w:r>
      <w:r w:rsidR="00754DF1">
        <w:t>-</w:t>
      </w:r>
      <w:r w:rsidRPr="00114E6B">
        <w:t>trimester TOP</w:t>
      </w:r>
    </w:p>
    <w:p w14:paraId="1AB29615" w14:textId="60C443B0" w:rsidR="001518BD" w:rsidRDefault="001518BD" w:rsidP="001518BD">
      <w:r>
        <w:t>A Cochrane review compared medical and surgical methods</w:t>
      </w:r>
      <w:r w:rsidR="00EF08B2">
        <w:t xml:space="preserve"> of TOP</w:t>
      </w:r>
      <w:r>
        <w:t xml:space="preserve"> </w:t>
      </w:r>
      <w:r w:rsidR="00E44A44">
        <w:fldChar w:fldCharType="begin"/>
      </w:r>
      <w:r w:rsidR="009A054F">
        <w:instrText xml:space="preserve"> ADDIN EN.CITE &lt;EndNote&gt;&lt;Cite&gt;&lt;Author&gt;Say&lt;/Author&gt;&lt;Year&gt;2005&lt;/Year&gt;&lt;RecNum&gt;1025&lt;/RecNum&gt;&lt;IDText&gt;CD003037&lt;/IDText&gt;&lt;DisplayText&gt;(Say et al. 2005)&lt;/DisplayText&gt;&lt;record&gt;&lt;rec-number&gt;1025&lt;/rec-number&gt;&lt;foreign-keys&gt;&lt;key app="EN" db-id="parffa0acae2voep5w3vv9rypas2tr522eef" timestamp="1430369655"&gt;1025&lt;/key&gt;&lt;/foreign-keys&gt;&lt;ref-type name="Journal Article"&gt;17&lt;/ref-type&gt;&lt;contributors&gt;&lt;authors&gt;&lt;author&gt;Say, L.&lt;/author&gt;&lt;author&gt;Kulier, R.&lt;/author&gt;&lt;author&gt;Gulmezoglu, M.&lt;/author&gt;&lt;author&gt;Campana, A.&lt;/author&gt;&lt;/authors&gt;&lt;/contributors&gt;&lt;auth-address&gt;Department of Reproductive Health and Research, World Health Organization, Geneva, Switzerland. sayl@who.int&lt;/auth-address&gt;&lt;titles&gt;&lt;title&gt;Medical versus surgical methods for first trimester termination of pregnancy&lt;/title&gt;&lt;secondary-title&gt;Cochrane Database Syst Rev&lt;/secondary-title&gt;&lt;alt-title&gt;The Cochrane database of systematic reviews&lt;/alt-title&gt;&lt;/titles&gt;&lt;alt-periodical&gt;&lt;full-title&gt;The Cochrane database of systematic reviews&lt;/full-title&gt;&lt;/alt-periodical&gt;&lt;pages&gt;CD003037&lt;/pages&gt;&lt;number&gt;1&lt;/number&gt;&lt;edition&gt;2005/01/28&lt;/edition&gt;&lt;keywords&gt;&lt;keyword&gt;Abortifacient Agents&lt;/keyword&gt;&lt;keyword&gt;Abortion, Induced/*methods&lt;/keyword&gt;&lt;keyword&gt;Female&lt;/keyword&gt;&lt;keyword&gt;Humans&lt;/keyword&gt;&lt;keyword&gt;Pregnancy&lt;/keyword&gt;&lt;keyword&gt;Pregnancy Trimester, First&lt;/keyword&gt;&lt;keyword&gt;Randomized Controlled Trials as Topic&lt;/keyword&gt;&lt;keyword&gt;Vacuum Extraction, Obstetrical&lt;/keyword&gt;&lt;/keywords&gt;&lt;dates&gt;&lt;year&gt;2005&lt;/year&gt;&lt;/dates&gt;&lt;isbn&gt;1469-493X (Electronic)&amp;#xD;1361-6137 (Linking)&lt;/isbn&gt;&lt;accession-num&gt;15674900&lt;/accession-num&gt;&lt;work-type&gt;Meta-Analysis&amp;#xD;Review&lt;/work-type&gt;&lt;urls&gt;&lt;related-urls&gt;&lt;url&gt;http://www.ncbi.nlm.nih.gov/pubmed/15674900&lt;/url&gt;&lt;/related-urls&gt;&lt;/urls&gt;&lt;electronic-resource-num&gt;10.1002/14651858.CD003037.pub2&lt;/electronic-resource-num&gt;&lt;/record&gt;&lt;/Cite&gt;&lt;/EndNote&gt;</w:instrText>
      </w:r>
      <w:r w:rsidR="00E44A44">
        <w:fldChar w:fldCharType="separate"/>
      </w:r>
      <w:r w:rsidR="00E44A44">
        <w:rPr>
          <w:noProof/>
        </w:rPr>
        <w:t>(</w:t>
      </w:r>
      <w:hyperlink w:anchor="_ENREF_108" w:tooltip="Say, 2005 #1025" w:history="1">
        <w:r w:rsidR="00B46ABF">
          <w:rPr>
            <w:noProof/>
          </w:rPr>
          <w:t>Say et al. 2005</w:t>
        </w:r>
      </w:hyperlink>
      <w:r w:rsidR="00E44A44">
        <w:rPr>
          <w:noProof/>
        </w:rPr>
        <w:t>)</w:t>
      </w:r>
      <w:r w:rsidR="00E44A44">
        <w:fldChar w:fldCharType="end"/>
      </w:r>
      <w:r>
        <w:t xml:space="preserve">. Morbidity due to surgical </w:t>
      </w:r>
      <w:r w:rsidR="00FE44A0">
        <w:t xml:space="preserve">termination </w:t>
      </w:r>
      <w:r>
        <w:t>(with a sufficiently skilled practitioner) depend</w:t>
      </w:r>
      <w:r w:rsidR="00EF08B2">
        <w:t>ed</w:t>
      </w:r>
      <w:r>
        <w:t xml:space="preserve"> on gestational age, the method of termination, age </w:t>
      </w:r>
      <w:r w:rsidR="00EF08B2">
        <w:t xml:space="preserve">and parity. The complications due to surgical </w:t>
      </w:r>
      <w:r w:rsidR="00FE44A0">
        <w:t xml:space="preserve">termination </w:t>
      </w:r>
      <w:r>
        <w:t xml:space="preserve">are infection, cervical laceration, incomplete evacuation, uterine perforation, haemorrhage and complications due to anaesthesia. Side effects from </w:t>
      </w:r>
      <w:r w:rsidR="00492BF2">
        <w:t xml:space="preserve">pharmaceutical </w:t>
      </w:r>
      <w:r>
        <w:t xml:space="preserve">TOPs are bleeding (moderate to heavy), pain, nausea, vomiting and diarrhoea. The review found that </w:t>
      </w:r>
      <w:r w:rsidR="00492BF2">
        <w:t xml:space="preserve">pharmaceutical </w:t>
      </w:r>
      <w:r w:rsidR="00FE44A0">
        <w:t xml:space="preserve">termination </w:t>
      </w:r>
      <w:r>
        <w:t xml:space="preserve">is an effective alternative to surgical </w:t>
      </w:r>
      <w:r w:rsidR="00FE44A0">
        <w:t xml:space="preserve">termination </w:t>
      </w:r>
      <w:r>
        <w:t>for first</w:t>
      </w:r>
      <w:r w:rsidR="00754DF1">
        <w:t>-</w:t>
      </w:r>
      <w:r>
        <w:t>trimester TOP.</w:t>
      </w:r>
      <w:r w:rsidR="00DF5916">
        <w:t xml:space="preserve"> </w:t>
      </w:r>
    </w:p>
    <w:p w14:paraId="50346903" w14:textId="1581FAA0" w:rsidR="001518BD" w:rsidRDefault="001518BD" w:rsidP="001518BD">
      <w:r>
        <w:t xml:space="preserve">A second Cochrane review </w:t>
      </w:r>
      <w:r w:rsidR="00E44A44">
        <w:fldChar w:fldCharType="begin">
          <w:fldData xml:space="preserve">PEVuZE5vdGU+PENpdGU+PEF1dGhvcj5LdWxpZXI8L0F1dGhvcj48WWVhcj4yMDExPC9ZZWFyPjxS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</w:fldData>
        </w:fldChar>
      </w:r>
      <w:r w:rsidR="009A054F">
        <w:instrText xml:space="preserve"> ADDIN EN.CITE </w:instrText>
      </w:r>
      <w:r w:rsidR="009A054F">
        <w:fldChar w:fldCharType="begin">
          <w:fldData xml:space="preserve">PEVuZE5vdGU+PENpdGU+PEF1dGhvcj5LdWxpZXI8L0F1dGhvcj48WWVhcj4yMDExPC9ZZWFyPjxS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</w:fldData>
        </w:fldChar>
      </w:r>
      <w:r w:rsidR="009A054F">
        <w:instrText xml:space="preserve"> ADDIN EN.CITE.DATA </w:instrText>
      </w:r>
      <w:r w:rsidR="009A054F">
        <w:fldChar w:fldCharType="end"/>
      </w:r>
      <w:r w:rsidR="00E44A44">
        <w:fldChar w:fldCharType="separate"/>
      </w:r>
      <w:r w:rsidR="00E44A44">
        <w:rPr>
          <w:noProof/>
        </w:rPr>
        <w:t>(</w:t>
      </w:r>
      <w:hyperlink w:anchor="_ENREF_68" w:tooltip="Kulier, 2011 #931" w:history="1">
        <w:r w:rsidR="00B46ABF">
          <w:rPr>
            <w:noProof/>
          </w:rPr>
          <w:t>Kulier et al. 2011</w:t>
        </w:r>
      </w:hyperlink>
      <w:r w:rsidR="00E44A44">
        <w:rPr>
          <w:noProof/>
        </w:rPr>
        <w:t>)</w:t>
      </w:r>
      <w:r w:rsidR="00E44A44">
        <w:fldChar w:fldCharType="end"/>
      </w:r>
      <w:r>
        <w:t xml:space="preserve"> compared </w:t>
      </w:r>
      <w:r w:rsidR="00492BF2">
        <w:t xml:space="preserve">pharmaceutical </w:t>
      </w:r>
      <w:r>
        <w:t>methods for first</w:t>
      </w:r>
      <w:r w:rsidR="00CA6661">
        <w:t>-</w:t>
      </w:r>
      <w:r>
        <w:t>trimester TOP. The</w:t>
      </w:r>
      <w:r w:rsidR="00EF08B2">
        <w:t xml:space="preserve"> most widely researched drugs for</w:t>
      </w:r>
      <w:r>
        <w:t xml:space="preserve"> TOP are prostaglandins, mifepristone and methotrexate alone, mifepristone with prostaglandins and methotrexate with prostaglandins. More</w:t>
      </w:r>
      <w:r w:rsidR="00321A90">
        <w:t>-</w:t>
      </w:r>
      <w:r>
        <w:t xml:space="preserve">frequent side effects such as nausea and diarrhoea were seen when misoprostol was administered orally compared </w:t>
      </w:r>
      <w:r w:rsidR="00321A90">
        <w:t xml:space="preserve">with </w:t>
      </w:r>
      <w:r>
        <w:t xml:space="preserve">the vaginal route. Combined regimens were in most cases more effective than the administration of a single agent. The authors concluded that there are safe and effective </w:t>
      </w:r>
      <w:r w:rsidR="006A70BC">
        <w:t xml:space="preserve">pharmaceutical </w:t>
      </w:r>
      <w:r>
        <w:t>TOP methods available.</w:t>
      </w:r>
    </w:p>
    <w:p w14:paraId="05AD7993" w14:textId="69FE9B01" w:rsidR="001518BD" w:rsidRDefault="001518BD" w:rsidP="001518BD">
      <w:r>
        <w:t xml:space="preserve">A third Cochrane review </w:t>
      </w:r>
      <w:r w:rsidR="00E44A44">
        <w:fldChar w:fldCharType="begin"/>
      </w:r>
      <w:r w:rsidR="009A054F">
        <w:instrText xml:space="preserve"> ADDIN EN.CITE &lt;EndNote&gt;&lt;Cite&gt;&lt;Author&gt;Kulier&lt;/Author&gt;&lt;Year&gt;2001&lt;/Year&gt;&lt;RecNum&gt;930&lt;/RecNum&gt;&lt;IDText&gt;CD002900&lt;/IDText&gt;&lt;DisplayText&gt;(Kulier et al. 2001)&lt;/DisplayText&gt;&lt;record&gt;&lt;rec-number&gt;930&lt;/rec-number&gt;&lt;foreign-keys&gt;&lt;key app="EN" db-id="parffa0acae2voep5w3vv9rypas2tr522eef" timestamp="1430369627"&gt;930&lt;/key&gt;&lt;/foreign-keys&gt;&lt;ref-type name="Journal Article"&gt;17&lt;/ref-type&gt;&lt;contributors&gt;&lt;authors&gt;&lt;author&gt;Kulier, R.&lt;/author&gt;&lt;author&gt;Fekih, A.&lt;/author&gt;&lt;author&gt;Hofmeyr, G. J.&lt;/author&gt;&lt;author&gt;Campana, A.&lt;/author&gt;&lt;/authors&gt;&lt;/contributors&gt;&lt;auth-address&gt;WHO Collaborating Centre, University Hospital Geneva, Department of Obstetrics and Gynaecology, Boulevard de la Cluse, 32, Geneva, Switzerland, CH-1205. rkulier@hotmail.com&lt;/auth-address&gt;&lt;titles&gt;&lt;title&gt;Surgical methods for first trimester termination of pregnancy&lt;/title&gt;&lt;secondary-title&gt;Cochrane Database Syst Rev&lt;/secondary-title&gt;&lt;alt-title&gt;The Cochrane database of systematic reviews&lt;/alt-title&gt;&lt;/titles&gt;&lt;alt-periodical&gt;&lt;full-title&gt;The Cochrane database of systematic reviews&lt;/full-title&gt;&lt;/alt-periodical&gt;&lt;pages&gt;CD002900&lt;/pages&gt;&lt;number&gt;4&lt;/number&gt;&lt;edition&gt;2001/11/01&lt;/edition&gt;&lt;keywords&gt;&lt;keyword&gt;Abortion, Induced/adverse effects/*methods&lt;/keyword&gt;&lt;keyword&gt;Dilatation and Curettage&lt;/keyword&gt;&lt;keyword&gt;Female&lt;/keyword&gt;&lt;keyword&gt;Humans&lt;/keyword&gt;&lt;keyword&gt;Pregnancy&lt;/keyword&gt;&lt;keyword&gt;Pregnancy Trimester, First&lt;/keyword&gt;&lt;keyword&gt;Vacuum Curettage&lt;/keyword&gt;&lt;/keywords&gt;&lt;dates&gt;&lt;year&gt;2001&lt;/year&gt;&lt;/dates&gt;&lt;isbn&gt;1469-493X (Electronic)&amp;#xD;1361-6137 (Linking)&lt;/isbn&gt;&lt;accession-num&gt;11687167&lt;/accession-num&gt;&lt;work-type&gt;Review&lt;/work-type&gt;&lt;urls&gt;&lt;related-urls&gt;&lt;url&gt;http://www.ncbi.nlm.nih.gov/pubmed/11687167&lt;/url&gt;&lt;/related-urls&gt;&lt;/urls&gt;&lt;electronic-resource-num&gt;10.1002/14651858.CD002900&lt;/electronic-resource-num&gt;&lt;/record&gt;&lt;/Cite&gt;&lt;/EndNote&gt;</w:instrText>
      </w:r>
      <w:r w:rsidR="00E44A44">
        <w:fldChar w:fldCharType="separate"/>
      </w:r>
      <w:r w:rsidR="00E44A44">
        <w:rPr>
          <w:noProof/>
        </w:rPr>
        <w:t>(</w:t>
      </w:r>
      <w:hyperlink w:anchor="_ENREF_67" w:tooltip="Kulier, 2001 #930" w:history="1">
        <w:r w:rsidR="00B46ABF">
          <w:rPr>
            <w:noProof/>
          </w:rPr>
          <w:t>Kulier et al. 2001</w:t>
        </w:r>
      </w:hyperlink>
      <w:r w:rsidR="00E44A44">
        <w:rPr>
          <w:noProof/>
        </w:rPr>
        <w:t>)</w:t>
      </w:r>
      <w:r w:rsidR="00E44A44">
        <w:fldChar w:fldCharType="end"/>
      </w:r>
      <w:r>
        <w:t xml:space="preserve"> investigated surgical methods for first</w:t>
      </w:r>
      <w:r w:rsidR="00CA6661">
        <w:t>-</w:t>
      </w:r>
      <w:r>
        <w:t xml:space="preserve">trimester TOP. No reports of maternal deaths </w:t>
      </w:r>
      <w:r w:rsidR="00321A90">
        <w:t xml:space="preserve">or </w:t>
      </w:r>
      <w:r>
        <w:t xml:space="preserve">cases of uterine perforation were identified. When vacuum aspiration was compared </w:t>
      </w:r>
      <w:r w:rsidR="00321A90">
        <w:t xml:space="preserve">with </w:t>
      </w:r>
      <w:r>
        <w:t xml:space="preserve">dilatation and curettage, no statistically significant differences were found for adverse events such as excessive blood loss, blood transfusion, febrile morbidity, incomplete or </w:t>
      </w:r>
      <w:r>
        <w:lastRenderedPageBreak/>
        <w:t>repeat uterine evacuation proc</w:t>
      </w:r>
      <w:r w:rsidR="00EF08B2">
        <w:t>edure, re-hospitalisation, post-</w:t>
      </w:r>
      <w:r>
        <w:rPr>
          <w:rStyle w:val="highlight"/>
        </w:rPr>
        <w:t>operative</w:t>
      </w:r>
      <w:r>
        <w:t xml:space="preserve"> abdominal pain or therapeutic antibiotic use. </w:t>
      </w:r>
    </w:p>
    <w:p w14:paraId="6B1DBBF0" w14:textId="0C7EA8C4" w:rsidR="001518BD" w:rsidRPr="00114E6B" w:rsidRDefault="001518BD" w:rsidP="00B45FA8">
      <w:pPr>
        <w:pStyle w:val="Heading6"/>
      </w:pPr>
      <w:r w:rsidRPr="00114E6B">
        <w:t>Second</w:t>
      </w:r>
      <w:r w:rsidR="00754DF1">
        <w:t>-</w:t>
      </w:r>
      <w:r w:rsidRPr="00114E6B">
        <w:t>trimester TOP</w:t>
      </w:r>
    </w:p>
    <w:p w14:paraId="6EBFE796" w14:textId="23BCEFFA" w:rsidR="001518BD" w:rsidRDefault="001518BD" w:rsidP="001518BD">
      <w:r>
        <w:t>Second</w:t>
      </w:r>
      <w:r w:rsidR="00754DF1">
        <w:t>-</w:t>
      </w:r>
      <w:r>
        <w:t xml:space="preserve">trimester TOP would be done mostly for women </w:t>
      </w:r>
      <w:r w:rsidR="00FD4800">
        <w:t xml:space="preserve">carrying a fetus with an echogenic bowel detected on ultrasound </w:t>
      </w:r>
      <w:r w:rsidR="00321A90">
        <w:t xml:space="preserve">and </w:t>
      </w:r>
      <w:r w:rsidR="00FD4800">
        <w:t xml:space="preserve">subsequently found to have two </w:t>
      </w:r>
      <w:r w:rsidR="00FD37D3" w:rsidRPr="00FD37D3">
        <w:t>CFTR</w:t>
      </w:r>
      <w:r w:rsidR="00FD4800">
        <w:t xml:space="preserve"> mutations</w:t>
      </w:r>
      <w:r>
        <w:t xml:space="preserve">. Couples who are known carriers have the opportunity to test (and therefore </w:t>
      </w:r>
      <w:r w:rsidR="00FD4800">
        <w:t>undergo TOP) at an</w:t>
      </w:r>
      <w:r>
        <w:t xml:space="preserve"> earlier gestation. Surgical (dilatation and evacuation) and </w:t>
      </w:r>
      <w:r w:rsidR="006A70BC">
        <w:t xml:space="preserve">pharmaceutical </w:t>
      </w:r>
      <w:r>
        <w:t>methods for</w:t>
      </w:r>
      <w:r w:rsidR="00254AA5">
        <w:t xml:space="preserve"> second-trimester </w:t>
      </w:r>
      <w:r>
        <w:t>TOP were examined in a</w:t>
      </w:r>
      <w:r w:rsidR="00FD4800">
        <w:t>nother</w:t>
      </w:r>
      <w:r>
        <w:t xml:space="preserve"> Cochrane review </w:t>
      </w:r>
      <w:r w:rsidR="00E44A44">
        <w:fldChar w:fldCharType="begin"/>
      </w:r>
      <w:r w:rsidR="009A054F">
        <w:instrText xml:space="preserve"> ADDIN EN.CITE &lt;EndNote&gt;&lt;Cite&gt;&lt;Author&gt;Lohr&lt;/Author&gt;&lt;Year&gt;2008&lt;/Year&gt;&lt;RecNum&gt;945&lt;/RecNum&gt;&lt;IDText&gt;CD006714&lt;/IDText&gt;&lt;DisplayText&gt;(Lohr, Hayes &amp;amp; Gemzell-Danielsson 2008)&lt;/DisplayText&gt;&lt;record&gt;&lt;rec-number&gt;945&lt;/rec-number&gt;&lt;foreign-keys&gt;&lt;key app="EN" db-id="parffa0acae2voep5w3vv9rypas2tr522eef" timestamp="1430369632"&gt;945&lt;/key&gt;&lt;/foreign-keys&gt;&lt;ref-type name="Journal Article"&gt;17&lt;/ref-type&gt;&lt;contributors&gt;&lt;authors&gt;&lt;author&gt;Lohr, P. A.&lt;/author&gt;&lt;author&gt;Hayes, J. L.&lt;/author&gt;&lt;author&gt;Gemzell-Danielsson, K.&lt;/author&gt;&lt;/authors&gt;&lt;/contributors&gt;&lt;titles&gt;&lt;title&gt;Surgical versus medical methods for second trimester induced abortion&lt;/title&gt;&lt;secondary-title&gt;Cochrane Database Syst Rev&lt;/secondary-title&gt;&lt;alt-title&gt;The Cochrane database of systematic reviews&lt;/alt-title&gt;&lt;/titles&gt;&lt;alt-periodical&gt;&lt;full-title&gt;The Cochrane database of systematic reviews&lt;/full-title&gt;&lt;/alt-periodical&gt;&lt;pages&gt;CD006714&lt;/pages&gt;&lt;number&gt;1&lt;/number&gt;&lt;edition&gt;2008/02/07&lt;/edition&gt;&lt;keywords&gt;&lt;keyword&gt;*Abortifacient Agents/adverse effects&lt;/keyword&gt;&lt;keyword&gt;Abortion, Induced/adverse effects/*methods&lt;/keyword&gt;&lt;keyword&gt;Dilatation and Curettage/adverse effects/methods&lt;/keyword&gt;&lt;keyword&gt;Dinoprost&lt;/keyword&gt;&lt;keyword&gt;Female&lt;/keyword&gt;&lt;keyword&gt;Humans&lt;/keyword&gt;&lt;keyword&gt;Mifepristone&lt;/keyword&gt;&lt;keyword&gt;Misoprostol&lt;/keyword&gt;&lt;keyword&gt;Pregnancy&lt;/keyword&gt;&lt;keyword&gt;*Pregnancy Trimester, Second&lt;/keyword&gt;&lt;keyword&gt;Randomized Controlled Trials as Topic&lt;/keyword&gt;&lt;/keywords&gt;&lt;dates&gt;&lt;year&gt;2008&lt;/year&gt;&lt;/dates&gt;&lt;isbn&gt;1469-493X (Electronic)&amp;#xD;1361-6137 (Linking)&lt;/isbn&gt;&lt;accession-num&gt;18254113&lt;/accession-num&gt;&lt;work-type&gt;Review&lt;/work-type&gt;&lt;urls&gt;&lt;related-urls&gt;&lt;url&gt;http://www.ncbi.nlm.nih.gov/pubmed/18254113&lt;/url&gt;&lt;/related-urls&gt;&lt;/urls&gt;&lt;electronic-resource-num&gt;10.1002/14651858.CD006714.pub2&lt;/electronic-resource-num&gt;&lt;/record&gt;&lt;/Cite&gt;&lt;/EndNote&gt;</w:instrText>
      </w:r>
      <w:r w:rsidR="00E44A44">
        <w:fldChar w:fldCharType="separate"/>
      </w:r>
      <w:r w:rsidR="00E44A44">
        <w:rPr>
          <w:noProof/>
        </w:rPr>
        <w:t>(</w:t>
      </w:r>
      <w:hyperlink w:anchor="_ENREF_70" w:tooltip="Lohr, 2008 #945" w:history="1">
        <w:r w:rsidR="00B46ABF">
          <w:rPr>
            <w:noProof/>
          </w:rPr>
          <w:t>Lohr, Hayes &amp; Gemzell-Danielsson 2008</w:t>
        </w:r>
      </w:hyperlink>
      <w:r w:rsidR="00E44A44">
        <w:rPr>
          <w:noProof/>
        </w:rPr>
        <w:t>)</w:t>
      </w:r>
      <w:r w:rsidR="00E44A44">
        <w:fldChar w:fldCharType="end"/>
      </w:r>
      <w:r>
        <w:t xml:space="preserve">. Only </w:t>
      </w:r>
      <w:r w:rsidR="00321A90">
        <w:t xml:space="preserve">2 </w:t>
      </w:r>
      <w:r>
        <w:t xml:space="preserve">trials were included in this review. The incidence of combined minor (e.g. haemorrhage not requiring transfusion, requirement for additional curettage) and major (e.g. haemorrhage requiring blood transfusion, complication requiring unintended major surgery) complications was lower with the surgical method than the </w:t>
      </w:r>
      <w:r w:rsidR="006A70BC">
        <w:t xml:space="preserve">pharmaceutical </w:t>
      </w:r>
      <w:r>
        <w:t>method (intra-amniotic prostaglandin F</w:t>
      </w:r>
      <w:r>
        <w:rPr>
          <w:vertAlign w:val="subscript"/>
        </w:rPr>
        <w:t>2α</w:t>
      </w:r>
      <w:r>
        <w:t>)</w:t>
      </w:r>
      <w:r w:rsidR="00321A90">
        <w:t>,</w:t>
      </w:r>
      <w:r w:rsidR="00FD4800">
        <w:t xml:space="preserve"> with an </w:t>
      </w:r>
      <w:r w:rsidR="00C46133">
        <w:t>odds ratio (</w:t>
      </w:r>
      <w:r w:rsidR="00FD4800">
        <w:t>OR</w:t>
      </w:r>
      <w:r w:rsidR="00C46133">
        <w:t>)</w:t>
      </w:r>
      <w:r w:rsidR="00FD4800">
        <w:t xml:space="preserve"> of 0.12 (95%CI 0.03, </w:t>
      </w:r>
      <w:r>
        <w:t>0.46). However</w:t>
      </w:r>
      <w:r w:rsidR="00804A37">
        <w:t>,</w:t>
      </w:r>
      <w:r>
        <w:t xml:space="preserve"> the risk of major complications was not statistically different between the two groups. Fewer adverse events were reported with the surgical method compared with mifepristone combined with m</w:t>
      </w:r>
      <w:r w:rsidR="00235D14">
        <w:t xml:space="preserve">isoprostol (OR 0.06; 95%CI 0.01, </w:t>
      </w:r>
      <w:r>
        <w:t>0.76).</w:t>
      </w:r>
    </w:p>
    <w:p w14:paraId="53245A01" w14:textId="179B1EEE" w:rsidR="001518BD" w:rsidRDefault="001518BD" w:rsidP="001518BD">
      <w:r>
        <w:t xml:space="preserve">One of the Cochrane reviews </w:t>
      </w:r>
      <w:r w:rsidR="00804A37">
        <w:fldChar w:fldCharType="begin">
          <w:fldData xml:space="preserve">PEVuZE5vdGU+PENpdGU+PEF1dGhvcj5XaWxkc2NodXQ8L0F1dGhvcj48WWVhcj4yMDExPC9ZZWFy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</w:fldData>
        </w:fldChar>
      </w:r>
      <w:r w:rsidR="00804A37">
        <w:instrText xml:space="preserve"> ADDIN EN.CITE </w:instrText>
      </w:r>
      <w:r w:rsidR="00804A37">
        <w:fldChar w:fldCharType="begin">
          <w:fldData xml:space="preserve">PEVuZE5vdGU+PENpdGU+PEF1dGhvcj5XaWxkc2NodXQ8L0F1dGhvcj48WWVhcj4yMDExPC9ZZWFy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</w:fldData>
        </w:fldChar>
      </w:r>
      <w:r w:rsidR="00804A37">
        <w:instrText xml:space="preserve"> ADDIN EN.CITE.DATA </w:instrText>
      </w:r>
      <w:r w:rsidR="00804A37">
        <w:fldChar w:fldCharType="end"/>
      </w:r>
      <w:r w:rsidR="00804A37">
        <w:fldChar w:fldCharType="separate"/>
      </w:r>
      <w:r w:rsidR="00804A37">
        <w:rPr>
          <w:noProof/>
        </w:rPr>
        <w:t>(</w:t>
      </w:r>
      <w:hyperlink w:anchor="_ENREF_132" w:tooltip="Wildschut, 2011 #698" w:history="1">
        <w:r w:rsidR="00804A37">
          <w:rPr>
            <w:noProof/>
          </w:rPr>
          <w:t>Wildschut et al. 2011</w:t>
        </w:r>
      </w:hyperlink>
      <w:r w:rsidR="00804A37">
        <w:rPr>
          <w:noProof/>
        </w:rPr>
        <w:t>)</w:t>
      </w:r>
      <w:r w:rsidR="00804A37">
        <w:fldChar w:fldCharType="end"/>
      </w:r>
      <w:r w:rsidR="00804A37">
        <w:t xml:space="preserve"> </w:t>
      </w:r>
      <w:r>
        <w:t xml:space="preserve">compared different </w:t>
      </w:r>
      <w:r w:rsidR="00326E10">
        <w:t xml:space="preserve">pharmaceutical </w:t>
      </w:r>
      <w:r>
        <w:t>methods for second</w:t>
      </w:r>
      <w:r w:rsidR="00754DF1">
        <w:t>-</w:t>
      </w:r>
      <w:r>
        <w:t>trimester TOP at 12</w:t>
      </w:r>
      <w:r w:rsidR="00804A37">
        <w:t>–</w:t>
      </w:r>
      <w:r>
        <w:t>24</w:t>
      </w:r>
      <w:r w:rsidR="00804A37">
        <w:t> </w:t>
      </w:r>
      <w:r>
        <w:t xml:space="preserve">weeks. Included in the review were 38 RCTs, mostly limited by small numbers and lack of blinding, </w:t>
      </w:r>
      <w:r w:rsidR="00804A37">
        <w:t xml:space="preserve">that </w:t>
      </w:r>
      <w:r>
        <w:t xml:space="preserve">compared 20 different drug regimens. Many of the studies reported the need for surgical evacuation due to retained products of the placenta and heavy vaginal bleeding. Other side effects reported were mild, self-limiting diarrhoea (common among women who received misoprostol), pain, nausea and vomiting. Side effects from vaginal misoprostol were usually mild and self-limiting. The risk of uterine rupture during </w:t>
      </w:r>
      <w:r w:rsidR="00326E10">
        <w:t xml:space="preserve">pharmaceutical </w:t>
      </w:r>
      <w:r>
        <w:t xml:space="preserve">TOP with misoprostol was very low (0.3%), even for women with a uterine scar </w:t>
      </w:r>
      <w:r w:rsidR="00E44A44">
        <w:fldChar w:fldCharType="begin">
          <w:fldData xml:space="preserve">PEVuZE5vdGU+PENpdGU+PEF1dGhvcj5LYXBwPC9BdXRob3I+PFllYXI+MjAxMzwvWWVhcj48UmVj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</w:fldData>
        </w:fldChar>
      </w:r>
      <w:r w:rsidR="009A054F">
        <w:instrText xml:space="preserve"> ADDIN EN.CITE </w:instrText>
      </w:r>
      <w:r w:rsidR="009A054F">
        <w:fldChar w:fldCharType="begin">
          <w:fldData xml:space="preserve">PEVuZE5vdGU+PENpdGU+PEF1dGhvcj5LYXBwPC9BdXRob3I+PFllYXI+MjAxMzwvWWVhcj48UmVj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</w:fldData>
        </w:fldChar>
      </w:r>
      <w:r w:rsidR="009A054F">
        <w:instrText xml:space="preserve"> ADDIN EN.CITE.DATA </w:instrText>
      </w:r>
      <w:r w:rsidR="009A054F">
        <w:fldChar w:fldCharType="end"/>
      </w:r>
      <w:r w:rsidR="00E44A44">
        <w:fldChar w:fldCharType="separate"/>
      </w:r>
      <w:r w:rsidR="00E44A44">
        <w:rPr>
          <w:noProof/>
        </w:rPr>
        <w:t>(</w:t>
      </w:r>
      <w:hyperlink w:anchor="_ENREF_58" w:tooltip="Kapp, 2013 #917" w:history="1">
        <w:r w:rsidR="00B46ABF">
          <w:rPr>
            <w:noProof/>
          </w:rPr>
          <w:t>Kapp et al. 2013</w:t>
        </w:r>
      </w:hyperlink>
      <w:r w:rsidR="00E44A44">
        <w:rPr>
          <w:noProof/>
        </w:rPr>
        <w:t>)</w:t>
      </w:r>
      <w:r w:rsidR="00E44A44">
        <w:fldChar w:fldCharType="end"/>
      </w:r>
      <w:r>
        <w:t>.</w:t>
      </w:r>
    </w:p>
    <w:p w14:paraId="349DC396" w14:textId="34FE3D92" w:rsidR="001518BD" w:rsidRDefault="001518BD" w:rsidP="00B45FA8">
      <w:pPr>
        <w:pStyle w:val="Heading5"/>
      </w:pPr>
      <w:r>
        <w:t>Psychological impact of TOP after diagnosis of a fetal abnormality</w:t>
      </w:r>
    </w:p>
    <w:p w14:paraId="23652890" w14:textId="379877F3" w:rsidR="001518BD" w:rsidRPr="00114E6B" w:rsidRDefault="001518BD" w:rsidP="00B45FA8">
      <w:pPr>
        <w:pStyle w:val="Heading6"/>
      </w:pPr>
      <w:r w:rsidRPr="00114E6B">
        <w:t>Post</w:t>
      </w:r>
      <w:r w:rsidR="00757628">
        <w:t>-</w:t>
      </w:r>
      <w:r w:rsidRPr="00114E6B">
        <w:t xml:space="preserve">traumatic stress </w:t>
      </w:r>
    </w:p>
    <w:p w14:paraId="7AD1D255" w14:textId="1E3DE3C8" w:rsidR="001518BD" w:rsidRDefault="001518BD" w:rsidP="001518BD">
      <w:r>
        <w:t>Eight studies were identified reporting on post</w:t>
      </w:r>
      <w:r w:rsidR="00D229ED">
        <w:t>-</w:t>
      </w:r>
      <w:r>
        <w:t xml:space="preserve">traumatic stress after TOP following prenatal diagnosis of a fetal abnormality in pregnancy </w:t>
      </w:r>
      <w:r>
        <w:fldChar w:fldCharType="begin">
          <w:fldData xml:space="preserve">PEVuZE5vdGU+PENpdGU+PEF1dGhvcj5Lb3JlbnJvbXA8L0F1dGhvcj48WWVhcj4yMDA5PC9ZZWFy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</w:fldData>
        </w:fldChar>
      </w:r>
      <w:r w:rsidR="009A054F">
        <w:instrText xml:space="preserve"> ADDIN EN.CITE </w:instrText>
      </w:r>
      <w:r w:rsidR="009A054F">
        <w:fldChar w:fldCharType="begin">
          <w:fldData xml:space="preserve">PEVuZE5vdGU+PENpdGU+PEF1dGhvcj5Lb3JlbnJvbXA8L0F1dGhvcj48WWVhcj4yMDA5PC9ZZWFy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</w:fldData>
        </w:fldChar>
      </w:r>
      <w:r w:rsidR="009A054F">
        <w:instrText xml:space="preserve"> ADDIN EN.CITE.DATA </w:instrText>
      </w:r>
      <w:r w:rsidR="009A054F">
        <w:fldChar w:fldCharType="end"/>
      </w:r>
      <w:r>
        <w:fldChar w:fldCharType="separate"/>
      </w:r>
      <w:r>
        <w:rPr>
          <w:noProof/>
        </w:rPr>
        <w:t>(</w:t>
      </w:r>
      <w:hyperlink w:anchor="_ENREF_28" w:tooltip="Davies, 2005 #817" w:history="1">
        <w:r w:rsidR="00B46ABF">
          <w:rPr>
            <w:noProof/>
          </w:rPr>
          <w:t>Davies et al. 2005</w:t>
        </w:r>
      </w:hyperlink>
      <w:r>
        <w:rPr>
          <w:noProof/>
        </w:rPr>
        <w:t xml:space="preserve">; </w:t>
      </w:r>
      <w:hyperlink w:anchor="_ENREF_59" w:tooltip="Kersting, 2005 #674" w:history="1">
        <w:r w:rsidR="00B46ABF">
          <w:rPr>
            <w:noProof/>
          </w:rPr>
          <w:t>Kersting</w:t>
        </w:r>
        <w:r w:rsidR="00DF5916">
          <w:rPr>
            <w:noProof/>
          </w:rPr>
          <w:t xml:space="preserve"> </w:t>
        </w:r>
        <w:r w:rsidR="00B46ABF">
          <w:rPr>
            <w:noProof/>
          </w:rPr>
          <w:t>et al. 2005</w:t>
        </w:r>
      </w:hyperlink>
      <w:r w:rsidR="006B34CD">
        <w:rPr>
          <w:noProof/>
        </w:rPr>
        <w:t>,</w:t>
      </w:r>
      <w:r>
        <w:rPr>
          <w:noProof/>
        </w:rPr>
        <w:t xml:space="preserve"> </w:t>
      </w:r>
      <w:hyperlink w:anchor="_ENREF_60" w:tooltip="Kersting, 2009 #921" w:history="1">
        <w:r w:rsidR="00B46ABF">
          <w:rPr>
            <w:noProof/>
          </w:rPr>
          <w:t>2009</w:t>
        </w:r>
      </w:hyperlink>
      <w:r>
        <w:rPr>
          <w:noProof/>
        </w:rPr>
        <w:t xml:space="preserve">; </w:t>
      </w:r>
      <w:hyperlink w:anchor="_ENREF_63" w:tooltip="Korenromp, 2005 #926" w:history="1">
        <w:r w:rsidR="00B46ABF">
          <w:rPr>
            <w:noProof/>
          </w:rPr>
          <w:t>Korenromp, Christiaens et al. 2005</w:t>
        </w:r>
      </w:hyperlink>
      <w:r>
        <w:rPr>
          <w:noProof/>
        </w:rPr>
        <w:t xml:space="preserve">; </w:t>
      </w:r>
      <w:hyperlink w:anchor="_ENREF_64" w:tooltip="Korenromp, 2005 #927" w:history="1">
        <w:r w:rsidR="00B46ABF">
          <w:rPr>
            <w:noProof/>
          </w:rPr>
          <w:t>Korenromp, Page-Christiaens et al. 2005</w:t>
        </w:r>
      </w:hyperlink>
      <w:r>
        <w:rPr>
          <w:noProof/>
        </w:rPr>
        <w:t xml:space="preserve">; </w:t>
      </w:r>
      <w:hyperlink w:anchor="_ENREF_65" w:tooltip="Korenromp, 2007 #928" w:history="1">
        <w:r w:rsidR="00B46ABF">
          <w:rPr>
            <w:noProof/>
          </w:rPr>
          <w:t>Korenromp et al. 2007</w:t>
        </w:r>
      </w:hyperlink>
      <w:r w:rsidR="006B34CD">
        <w:rPr>
          <w:noProof/>
        </w:rPr>
        <w:t>,</w:t>
      </w:r>
      <w:r>
        <w:rPr>
          <w:noProof/>
        </w:rPr>
        <w:t xml:space="preserve"> </w:t>
      </w:r>
      <w:hyperlink w:anchor="_ENREF_66" w:tooltip="Korenromp, 2009 #929" w:history="1">
        <w:r w:rsidR="00B46ABF">
          <w:rPr>
            <w:noProof/>
          </w:rPr>
          <w:t>2009</w:t>
        </w:r>
      </w:hyperlink>
      <w:r>
        <w:rPr>
          <w:noProof/>
        </w:rPr>
        <w:t xml:space="preserve">; </w:t>
      </w:r>
      <w:hyperlink w:anchor="_ENREF_107" w:tooltip="Salvesen, 1997 #685" w:history="1">
        <w:r w:rsidR="00B46ABF">
          <w:rPr>
            <w:noProof/>
          </w:rPr>
          <w:t>Salvesen et al. 1997</w:t>
        </w:r>
      </w:hyperlink>
      <w:r>
        <w:rPr>
          <w:noProof/>
        </w:rPr>
        <w:t>)</w:t>
      </w:r>
      <w:r>
        <w:fldChar w:fldCharType="end"/>
      </w:r>
      <w:r>
        <w:t>. In these studies post</w:t>
      </w:r>
      <w:r w:rsidR="00DB0158">
        <w:t>-</w:t>
      </w:r>
      <w:r>
        <w:t>traumatic stress was measured using the</w:t>
      </w:r>
      <w:r w:rsidR="00FD4800">
        <w:t xml:space="preserve"> 15-item</w:t>
      </w:r>
      <w:r>
        <w:t xml:space="preserve"> Impact of Event Scale (IES) or the</w:t>
      </w:r>
      <w:r w:rsidR="00FD4800">
        <w:t xml:space="preserve"> 22-item</w:t>
      </w:r>
      <w:r>
        <w:t xml:space="preserve"> Impact of Event Scale Revised (IES-R), where a higher score </w:t>
      </w:r>
      <w:r w:rsidR="00FD4800">
        <w:t>represented</w:t>
      </w:r>
      <w:r>
        <w:t xml:space="preserve"> more stress. Post</w:t>
      </w:r>
      <w:r w:rsidR="00D229ED">
        <w:t>-</w:t>
      </w:r>
      <w:r>
        <w:t xml:space="preserve">traumatic stress was prevalent in the population undergoing TOP, with </w:t>
      </w:r>
      <w:r w:rsidR="00D229ED">
        <w:t xml:space="preserve">1 </w:t>
      </w:r>
      <w:r>
        <w:t xml:space="preserve">study reporting up to 67% women affected </w:t>
      </w:r>
      <w:r w:rsidR="00D229ED">
        <w:t xml:space="preserve">at </w:t>
      </w:r>
      <w:r>
        <w:t>6</w:t>
      </w:r>
      <w:r w:rsidR="00D229ED">
        <w:t> </w:t>
      </w:r>
      <w:r>
        <w:t xml:space="preserve">weeks after TOP (n=30) </w:t>
      </w:r>
      <w:r>
        <w:fldChar w:fldCharType="begin">
          <w:fldData xml:space="preserve">PEVuZE5vdGU+PENpdGU+PEF1dGhvcj5EYXZpZXM8L0F1dGhvcj48WWVhcj4yMDA1PC9ZZWFyPjxS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PC9hYmJyLTE+PC9wZXJpb2RpY2FsPjxhbHQtcGVyaW9kaWNhbD48ZnVsbC10aXRsZT5VbHRyYXNv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</w:fldData>
        </w:fldChar>
      </w:r>
      <w:r w:rsidR="009A054F">
        <w:instrText xml:space="preserve"> ADDIN EN.CITE </w:instrText>
      </w:r>
      <w:r w:rsidR="009A054F">
        <w:fldChar w:fldCharType="begin">
          <w:fldData xml:space="preserve">PEVuZE5vdGU+PENpdGU+PEF1dGhvcj5EYXZpZXM8L0F1dGhvcj48WWVhcj4yMDA1PC9ZZWFyPjxS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PC9hYmJyLTE+PC9wZXJpb2RpY2FsPjxhbHQtcGVyaW9kaWNhbD48ZnVsbC10aXRsZT5VbHRyYXNv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</w:fldData>
        </w:fldChar>
      </w:r>
      <w:r w:rsidR="009A054F">
        <w:instrText xml:space="preserve"> ADDIN EN.CITE.DATA </w:instrText>
      </w:r>
      <w:r w:rsidR="009A054F">
        <w:fldChar w:fldCharType="end"/>
      </w:r>
      <w:r>
        <w:fldChar w:fldCharType="separate"/>
      </w:r>
      <w:r>
        <w:rPr>
          <w:noProof/>
        </w:rPr>
        <w:t>(</w:t>
      </w:r>
      <w:hyperlink w:anchor="_ENREF_28" w:tooltip="Davies, 2005 #817" w:history="1">
        <w:r w:rsidR="00B46ABF">
          <w:rPr>
            <w:noProof/>
          </w:rPr>
          <w:t>Davies et al. 2005</w:t>
        </w:r>
      </w:hyperlink>
      <w:r>
        <w:rPr>
          <w:noProof/>
        </w:rPr>
        <w:t>)</w:t>
      </w:r>
      <w:r>
        <w:fldChar w:fldCharType="end"/>
      </w:r>
      <w:r>
        <w:t xml:space="preserve">. This decreased to 41% </w:t>
      </w:r>
      <w:r w:rsidR="00D229ED">
        <w:t>at 1 </w:t>
      </w:r>
      <w:r>
        <w:t>year after TOP. One of the studies</w:t>
      </w:r>
      <w:r w:rsidR="00D229ED">
        <w:t>,</w:t>
      </w:r>
      <w:r>
        <w:t xml:space="preserve"> by Korenromp et al. (2009)</w:t>
      </w:r>
      <w:r w:rsidR="00D229ED">
        <w:t>,</w:t>
      </w:r>
      <w:r>
        <w:t xml:space="preserve"> reported a post</w:t>
      </w:r>
      <w:r w:rsidR="00D229ED">
        <w:t>-</w:t>
      </w:r>
      <w:r>
        <w:t>trau</w:t>
      </w:r>
      <w:r w:rsidR="00B368FF">
        <w:t xml:space="preserve">matic stress rate of 45.8% </w:t>
      </w:r>
      <w:r w:rsidR="00D229ED">
        <w:t xml:space="preserve">at </w:t>
      </w:r>
      <w:r w:rsidR="00B368FF">
        <w:t>4</w:t>
      </w:r>
      <w:r w:rsidR="00D229ED">
        <w:t> </w:t>
      </w:r>
      <w:r>
        <w:t xml:space="preserve">months after </w:t>
      </w:r>
      <w:r w:rsidR="00B368FF">
        <w:t xml:space="preserve">TOP compared </w:t>
      </w:r>
      <w:r w:rsidR="00D229ED">
        <w:t xml:space="preserve">with </w:t>
      </w:r>
      <w:r w:rsidR="00B368FF">
        <w:t xml:space="preserve">only 20% </w:t>
      </w:r>
      <w:r w:rsidR="00D229ED">
        <w:t xml:space="preserve">at </w:t>
      </w:r>
      <w:r w:rsidR="00B368FF">
        <w:t>16</w:t>
      </w:r>
      <w:r w:rsidR="00D229ED">
        <w:t> </w:t>
      </w:r>
      <w:r>
        <w:t xml:space="preserve">months after TOP. A rate of 17.3% was reported in a different study </w:t>
      </w:r>
      <w:r w:rsidR="00D229ED">
        <w:fldChar w:fldCharType="begin">
          <w:fldData xml:space="preserve">PEVuZE5vdGU+PENpdGU+PEF1dGhvcj5Lb3JlbnJvbXA8L0F1dGhvcj48WWVhcj4yMDA1PC9ZZWFy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</w:fldData>
        </w:fldChar>
      </w:r>
      <w:r w:rsidR="00D229ED">
        <w:instrText xml:space="preserve"> ADDIN EN.CITE </w:instrText>
      </w:r>
      <w:r w:rsidR="00D229ED">
        <w:fldChar w:fldCharType="begin">
          <w:fldData xml:space="preserve">PEVuZE5vdGU+PENpdGU+PEF1dGhvcj5Lb3JlbnJvbXA8L0F1dGhvcj48WWVhcj4yMDA1PC9ZZWFy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</w:fldData>
        </w:fldChar>
      </w:r>
      <w:r w:rsidR="00D229ED">
        <w:instrText xml:space="preserve"> ADDIN EN.CITE.DATA </w:instrText>
      </w:r>
      <w:r w:rsidR="00D229ED">
        <w:fldChar w:fldCharType="end"/>
      </w:r>
      <w:r w:rsidR="00D229ED">
        <w:fldChar w:fldCharType="separate"/>
      </w:r>
      <w:r w:rsidR="00D229ED">
        <w:rPr>
          <w:noProof/>
        </w:rPr>
        <w:t>(</w:t>
      </w:r>
      <w:hyperlink w:anchor="_ENREF_63" w:tooltip="Korenromp, 2005 #926" w:history="1">
        <w:r w:rsidR="00D229ED">
          <w:rPr>
            <w:noProof/>
          </w:rPr>
          <w:t>Korenromp, Christiaens et al. 2005</w:t>
        </w:r>
      </w:hyperlink>
      <w:r w:rsidR="00D229ED">
        <w:rPr>
          <w:noProof/>
        </w:rPr>
        <w:t>)</w:t>
      </w:r>
      <w:r w:rsidR="00D229ED">
        <w:fldChar w:fldCharType="end"/>
      </w:r>
      <w:r>
        <w:t xml:space="preserve"> for women 2</w:t>
      </w:r>
      <w:r w:rsidR="00D229ED">
        <w:t>–</w:t>
      </w:r>
      <w:r>
        <w:t>7</w:t>
      </w:r>
      <w:r w:rsidR="00D229ED">
        <w:t> </w:t>
      </w:r>
      <w:r>
        <w:t xml:space="preserve">years after TOP. In the study by Salvesen et al. (1997) (n=24) severe intrusive distress as </w:t>
      </w:r>
      <w:r>
        <w:lastRenderedPageBreak/>
        <w:t xml:space="preserve">measured through the IES was seen in 48% of women immediately after TOP, which decreased to 19% </w:t>
      </w:r>
      <w:r w:rsidR="00D229ED">
        <w:t>at 1 </w:t>
      </w:r>
      <w:r>
        <w:t xml:space="preserve">year after TOP. A severe avoidance response (measured through IES) was reported in 15% in the acute phase and 0% </w:t>
      </w:r>
      <w:r w:rsidR="00D229ED">
        <w:t>at 1 </w:t>
      </w:r>
      <w:r>
        <w:t xml:space="preserve">year after TOP. These results are confirmed by studies </w:t>
      </w:r>
      <w:r w:rsidR="009E0C28">
        <w:t xml:space="preserve">that </w:t>
      </w:r>
      <w:r>
        <w:t xml:space="preserve">also show a (slight) decrease in mean IES-R scores: from 44.03 (SD 19.17) </w:t>
      </w:r>
      <w:r w:rsidR="009E0C28">
        <w:t xml:space="preserve">at </w:t>
      </w:r>
      <w:r>
        <w:t>14</w:t>
      </w:r>
      <w:r w:rsidR="009E0C28">
        <w:t> </w:t>
      </w:r>
      <w:r>
        <w:t xml:space="preserve">days after TOP to 41.78 (SD 24.46) </w:t>
      </w:r>
      <w:r w:rsidR="009E0C28">
        <w:t xml:space="preserve">at </w:t>
      </w:r>
      <w:r>
        <w:t>2</w:t>
      </w:r>
      <w:r w:rsidR="009E0C28">
        <w:t>–</w:t>
      </w:r>
      <w:r>
        <w:t>7</w:t>
      </w:r>
      <w:r w:rsidR="009E0C28">
        <w:t> </w:t>
      </w:r>
      <w:r>
        <w:t xml:space="preserve">years after TOP in the first study </w:t>
      </w:r>
      <w:r>
        <w:fldChar w:fldCharType="begin"/>
      </w:r>
      <w:r w:rsidR="009A054F">
        <w:instrText xml:space="preserve"> ADDIN EN.CITE &lt;EndNote&gt;&lt;Cite&gt;&lt;Author&gt;Kersting&lt;/Author&gt;&lt;Year&gt;2005&lt;/Year&gt;&lt;RecNum&gt;674&lt;/RecNum&gt;&lt;IDText&gt;9-14&lt;/IDText&gt;&lt;DisplayText&gt;(Kersting et al. 2005)&lt;/DisplayText&gt;&lt;record&gt;&lt;rec-number&gt;674&lt;/rec-number&gt;&lt;foreign-keys&gt;&lt;key app="EN" db-id="parffa0acae2voep5w3vv9rypas2tr522eef" timestamp="1430369500"&gt;674&lt;/key&gt;&lt;/foreign-keys&gt;&lt;ref-type name="Journal Article"&gt;17&lt;/ref-type&gt;&lt;contributors&gt;&lt;authors&gt;&lt;author&gt;Kersting, A.&lt;/author&gt;&lt;author&gt;Dorsch, M.&lt;/author&gt;&lt;author&gt;Kreulich, C.&lt;/author&gt;&lt;author&gt;Reutemann, M.&lt;/author&gt;&lt;author&gt;Ohrmann, P.&lt;/author&gt;&lt;author&gt;Baez, E.&lt;/author&gt;&lt;author&gt;Arolt, V.&lt;/author&gt;&lt;/authors&gt;&lt;/contributors&gt;&lt;auth-address&gt;Department of Psychiatry, University of Muenster, Germany. a.kersting@uni-muenster.de&lt;/auth-address&gt;&lt;titles&gt;&lt;title&gt;Trauma and grief 2-7 years after termination of pregnancy because of fetal anomalies--a pilot study&lt;/title&gt;&lt;secondary-title&gt;J Psychosom Obstet Gynaecol&lt;/secondary-title&gt;&lt;alt-title&gt;Journal of psychosomatic obstetrics and gynaecology&lt;/alt-title&gt;&lt;/titles&gt;&lt;periodical&gt;&lt;full-title&gt;J Psychosom Obstet Gynaecol&lt;/full-title&gt;&lt;abbr-1&gt;Journal of psychosomatic obstetrics and gynaecology&lt;/abbr-1&gt;&lt;/periodical&gt;&lt;alt-periodical&gt;&lt;full-title&gt;J Psychosom Obstet Gynaecol&lt;/full-title&gt;&lt;abbr-1&gt;Journal of psychosomatic obstetrics and gynaecology&lt;/abbr-1&gt;&lt;/alt-periodical&gt;&lt;pages&gt;9-14&lt;/pages&gt;&lt;volume&gt;26&lt;/volume&gt;&lt;number&gt;1&lt;/number&gt;&lt;keywords&gt;&lt;keyword&gt;Abortion, Eugenic/*psychology&lt;/keyword&gt;&lt;keyword&gt;Adult&lt;/keyword&gt;&lt;keyword&gt;Female&lt;/keyword&gt;&lt;keyword&gt;Fetal Diseases&lt;/keyword&gt;&lt;keyword&gt;*Grief&lt;/keyword&gt;&lt;keyword&gt;Humans&lt;/keyword&gt;&lt;keyword&gt;Life Change Events&lt;/keyword&gt;&lt;keyword&gt;Pilot Projects&lt;/keyword&gt;&lt;keyword&gt;Pregnancy&lt;/keyword&gt;&lt;keyword&gt;Questionnaires&lt;/keyword&gt;&lt;keyword&gt;Stress Disorders, Post-Traumatic/*psychology&lt;/keyword&gt;&lt;/keywords&gt;&lt;dates&gt;&lt;year&gt;2005&lt;/year&gt;&lt;pub-dates&gt;&lt;date&gt;Mar&lt;/date&gt;&lt;/pub-dates&gt;&lt;/dates&gt;&lt;isbn&gt;0167-482X (Print)&amp;#xD;0167-482X (Linking)&lt;/isbn&gt;&lt;accession-num&gt;15962717&lt;/accession-num&gt;&lt;urls&gt;&lt;related-urls&gt;&lt;url&gt;http://www.ncbi.nlm.nih.gov/pubmed/15962717&lt;/url&gt;&lt;/related-urls&gt;&lt;/urls&gt;&lt;/record&gt;&lt;/Cite&gt;&lt;/EndNote&gt;</w:instrText>
      </w:r>
      <w:r>
        <w:fldChar w:fldCharType="separate"/>
      </w:r>
      <w:r>
        <w:rPr>
          <w:noProof/>
        </w:rPr>
        <w:t>(</w:t>
      </w:r>
      <w:hyperlink w:anchor="_ENREF_59" w:tooltip="Kersting, 2005 #674" w:history="1">
        <w:r w:rsidR="00B46ABF">
          <w:rPr>
            <w:noProof/>
          </w:rPr>
          <w:t>Kersting et al. 2005</w:t>
        </w:r>
      </w:hyperlink>
      <w:r>
        <w:rPr>
          <w:noProof/>
        </w:rPr>
        <w:t>)</w:t>
      </w:r>
      <w:r>
        <w:fldChar w:fldCharType="end"/>
      </w:r>
      <w:r w:rsidR="00254AA5">
        <w:t>,</w:t>
      </w:r>
      <w:r>
        <w:t xml:space="preserve"> and from 45.0 (SD 17.45) </w:t>
      </w:r>
      <w:r w:rsidR="009E0C28">
        <w:t xml:space="preserve">at </w:t>
      </w:r>
      <w:r>
        <w:t>14</w:t>
      </w:r>
      <w:r w:rsidR="009E0C28">
        <w:t> </w:t>
      </w:r>
      <w:r>
        <w:t xml:space="preserve">days after TOP to 30.9 (SD 21.35) </w:t>
      </w:r>
      <w:r w:rsidR="009E0C28">
        <w:t xml:space="preserve">at </w:t>
      </w:r>
      <w:r>
        <w:t>14</w:t>
      </w:r>
      <w:r w:rsidR="009E0C28">
        <w:t> </w:t>
      </w:r>
      <w:r>
        <w:t xml:space="preserve">months after TOP in the second study </w:t>
      </w:r>
      <w:r>
        <w:fldChar w:fldCharType="begin">
          <w:fldData xml:space="preserve">PEVuZE5vdGU+PENpdGU+PEF1dGhvcj5LZXJzdGluZzwvQXV0aG9yPjxZZWFyPjIwMDk8L1llYXI+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</w:fldData>
        </w:fldChar>
      </w:r>
      <w:r w:rsidR="009A054F">
        <w:instrText xml:space="preserve"> ADDIN EN.CITE </w:instrText>
      </w:r>
      <w:r w:rsidR="009A054F">
        <w:fldChar w:fldCharType="begin">
          <w:fldData xml:space="preserve">PEVuZE5vdGU+PENpdGU+PEF1dGhvcj5LZXJzdGluZzwvQXV0aG9yPjxZZWFyPjIwMDk8L1llYXI+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</w:fldData>
        </w:fldChar>
      </w:r>
      <w:r w:rsidR="009A054F">
        <w:instrText xml:space="preserve"> ADDIN EN.CITE.DATA </w:instrText>
      </w:r>
      <w:r w:rsidR="009A054F">
        <w:fldChar w:fldCharType="end"/>
      </w:r>
      <w:r>
        <w:fldChar w:fldCharType="separate"/>
      </w:r>
      <w:r>
        <w:rPr>
          <w:noProof/>
        </w:rPr>
        <w:t>(</w:t>
      </w:r>
      <w:hyperlink w:anchor="_ENREF_60" w:tooltip="Kersting, 2009 #921" w:history="1">
        <w:r w:rsidR="00B46ABF">
          <w:rPr>
            <w:noProof/>
          </w:rPr>
          <w:t>Kersting et al. 2009</w:t>
        </w:r>
      </w:hyperlink>
      <w:r>
        <w:rPr>
          <w:noProof/>
        </w:rPr>
        <w:t>)</w:t>
      </w:r>
      <w:r>
        <w:fldChar w:fldCharType="end"/>
      </w:r>
      <w:r>
        <w:t>. In comparison</w:t>
      </w:r>
      <w:r w:rsidR="009E0C28">
        <w:t>,</w:t>
      </w:r>
      <w:r>
        <w:t xml:space="preserve"> the mean IES score after delivery of a healthy child is 7.97 (SD 8.04), and a score lower than 18 was seen as normal.</w:t>
      </w:r>
    </w:p>
    <w:p w14:paraId="5E7F05A8" w14:textId="779B0BDA" w:rsidR="001518BD" w:rsidRDefault="001518BD" w:rsidP="001518BD">
      <w:r>
        <w:t>Women were showing more stress on IES-R following TOP compared with their partners</w:t>
      </w:r>
      <w:r w:rsidR="009E0C28">
        <w:t>,</w:t>
      </w:r>
      <w:r>
        <w:t xml:space="preserve"> with men scoring 12.8 (SD 16.6) on average </w:t>
      </w:r>
      <w:r w:rsidR="009E0C28">
        <w:t xml:space="preserve">at </w:t>
      </w:r>
      <w:r>
        <w:t>2</w:t>
      </w:r>
      <w:r w:rsidR="009E0C28">
        <w:t>–</w:t>
      </w:r>
      <w:r>
        <w:t>7</w:t>
      </w:r>
      <w:r w:rsidR="009E0C28">
        <w:t> </w:t>
      </w:r>
      <w:r>
        <w:t xml:space="preserve">years after TOP and women having a mean score of 18.1 (SD 18.0) around this time </w:t>
      </w:r>
      <w:r>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 </w:instrText>
      </w:r>
      <w:r w:rsidR="009A054F">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EN.CITE.DATA </w:instrText>
      </w:r>
      <w:r w:rsidR="009A054F">
        <w:fldChar w:fldCharType="end"/>
      </w:r>
      <w:r>
        <w:fldChar w:fldCharType="separate"/>
      </w:r>
      <w:r>
        <w:rPr>
          <w:noProof/>
        </w:rPr>
        <w:t>(</w:t>
      </w:r>
      <w:hyperlink w:anchor="_ENREF_64" w:tooltip="Korenromp, 2005 #927" w:history="1">
        <w:r w:rsidR="00B46ABF">
          <w:rPr>
            <w:noProof/>
          </w:rPr>
          <w:t>Korenromp, Page-Christiaens et al. 2005</w:t>
        </w:r>
      </w:hyperlink>
      <w:r>
        <w:rPr>
          <w:noProof/>
        </w:rPr>
        <w:t>)</w:t>
      </w:r>
      <w:r>
        <w:fldChar w:fldCharType="end"/>
      </w:r>
      <w:r>
        <w:t xml:space="preserve">. A second study </w:t>
      </w:r>
      <w:r w:rsidR="009E0C28">
        <w:fldChar w:fldCharType="begin">
          <w:fldData xml:space="preserve">PEVuZE5vdGU+PENpdGU+PEF1dGhvcj5Lb3JlbnJvbXA8L0F1dGhvcj48WWVhcj4yMDA3PC9ZZWFy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ci0xPlByZW5hdGFsIGRpYWdub3NpczwvYWJici0xPjwvYWx0LXBlcmlvZGljYWw+PHBhZ2VzPjcw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</w:fldData>
        </w:fldChar>
      </w:r>
      <w:r w:rsidR="009E0C28">
        <w:instrText xml:space="preserve"> ADDIN EN.CITE </w:instrText>
      </w:r>
      <w:r w:rsidR="009E0C28">
        <w:fldChar w:fldCharType="begin">
          <w:fldData xml:space="preserve">PEVuZE5vdGU+PENpdGU+PEF1dGhvcj5Lb3JlbnJvbXA8L0F1dGhvcj48WWVhcj4yMDA3PC9ZZWFy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ci0xPlByZW5hdGFsIGRpYWdub3NpczwvYWJici0xPjwvYWx0LXBlcmlvZGljYWw+PHBhZ2VzPjcw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</w:fldData>
        </w:fldChar>
      </w:r>
      <w:r w:rsidR="009E0C28">
        <w:instrText xml:space="preserve"> ADDIN EN.CITE.DATA </w:instrText>
      </w:r>
      <w:r w:rsidR="009E0C28">
        <w:fldChar w:fldCharType="end"/>
      </w:r>
      <w:r w:rsidR="009E0C28">
        <w:fldChar w:fldCharType="separate"/>
      </w:r>
      <w:r w:rsidR="009E0C28">
        <w:rPr>
          <w:noProof/>
        </w:rPr>
        <w:t>(</w:t>
      </w:r>
      <w:hyperlink w:anchor="_ENREF_65" w:tooltip="Korenromp, 2007 #928" w:history="1">
        <w:r w:rsidR="009E0C28">
          <w:rPr>
            <w:noProof/>
          </w:rPr>
          <w:t>Korenromp et al. 2007</w:t>
        </w:r>
      </w:hyperlink>
      <w:r w:rsidR="009E0C28">
        <w:rPr>
          <w:noProof/>
        </w:rPr>
        <w:t>)</w:t>
      </w:r>
      <w:r w:rsidR="009E0C28">
        <w:fldChar w:fldCharType="end"/>
      </w:r>
      <w:r w:rsidR="009E0C28">
        <w:t xml:space="preserve"> </w:t>
      </w:r>
      <w:r>
        <w:t>measured post</w:t>
      </w:r>
      <w:r w:rsidR="009E0C28">
        <w:t>-</w:t>
      </w:r>
      <w:r>
        <w:t xml:space="preserve">traumatic stress scores in men and women </w:t>
      </w:r>
      <w:r w:rsidR="009E0C28">
        <w:t xml:space="preserve">at </w:t>
      </w:r>
      <w:r>
        <w:t>4</w:t>
      </w:r>
      <w:r w:rsidR="009E0C28">
        <w:t> </w:t>
      </w:r>
      <w:r>
        <w:t>months after TOP and reported scores of 16.9 (SD 12.6) and 25.1 (SD 15.2) for men and women, respectively.</w:t>
      </w:r>
    </w:p>
    <w:p w14:paraId="4A08E4C2" w14:textId="77777777" w:rsidR="001518BD" w:rsidRPr="00114E6B" w:rsidRDefault="001518BD" w:rsidP="00B45FA8">
      <w:pPr>
        <w:pStyle w:val="Heading6"/>
      </w:pPr>
      <w:r w:rsidRPr="00114E6B">
        <w:t>Grief</w:t>
      </w:r>
    </w:p>
    <w:p w14:paraId="523CC170" w14:textId="3190FF4F" w:rsidR="001518BD" w:rsidRDefault="001518BD" w:rsidP="001518BD">
      <w:r>
        <w:t xml:space="preserve">Grief was prevalent in women who underwent TOP due to a fetal abnormality. Grief was measured as a score of &gt;90 on the Perinatal Grief Scale / Inventory of Traumatic Grief. At </w:t>
      </w:r>
      <w:r w:rsidR="009E0C28">
        <w:t>6 </w:t>
      </w:r>
      <w:r>
        <w:t>weeks Davies et al. (2005</w:t>
      </w:r>
      <w:r w:rsidR="009E0C28">
        <w:t>;</w:t>
      </w:r>
      <w:r>
        <w:t xml:space="preserve"> n=22) reported that 47% of women scored above the cut-off value</w:t>
      </w:r>
      <w:r w:rsidR="00B368FF">
        <w:t xml:space="preserve"> (90), with 27% still experiencing an</w:t>
      </w:r>
      <w:r>
        <w:t xml:space="preserve"> abnormal </w:t>
      </w:r>
      <w:r w:rsidR="00B368FF">
        <w:t>level of grief</w:t>
      </w:r>
      <w:r>
        <w:t xml:space="preserve"> </w:t>
      </w:r>
      <w:r w:rsidR="009E0C28">
        <w:t xml:space="preserve">at </w:t>
      </w:r>
      <w:r>
        <w:t>12</w:t>
      </w:r>
      <w:r w:rsidR="009E0C28">
        <w:t> </w:t>
      </w:r>
      <w:r>
        <w:t xml:space="preserve">months after TOP. One study (n=86) </w:t>
      </w:r>
      <w:r w:rsidR="009E0C28">
        <w:t xml:space="preserve">observed that </w:t>
      </w:r>
      <w:r>
        <w:t xml:space="preserve">grief dominated in 36% of women </w:t>
      </w:r>
      <w:r w:rsidR="009E0C28">
        <w:t xml:space="preserve">at </w:t>
      </w:r>
      <w:r>
        <w:t>6</w:t>
      </w:r>
      <w:r w:rsidR="009E0C28">
        <w:t> </w:t>
      </w:r>
      <w:r>
        <w:t xml:space="preserve">weeks after TOP, compared </w:t>
      </w:r>
      <w:r w:rsidR="009E0C28">
        <w:t>with</w:t>
      </w:r>
      <w:r w:rsidR="00B368FF">
        <w:t xml:space="preserve"> 13% after 6</w:t>
      </w:r>
      <w:r w:rsidR="009E0C28">
        <w:t> </w:t>
      </w:r>
      <w:r>
        <w:t xml:space="preserve">months </w:t>
      </w:r>
      <w:r>
        <w:fldChar w:fldCharType="begin">
          <w:fldData xml:space="preserve">PEVuZE5vdGU+PENpdGU+PEF1dGhvcj5HZWVyaW5jay1WZXJjYW1tZW48L0F1dGhvcj48WWVhcj4y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</w:fldData>
        </w:fldChar>
      </w:r>
      <w:r w:rsidR="009A054F">
        <w:instrText xml:space="preserve"> ADDIN EN.CITE </w:instrText>
      </w:r>
      <w:r w:rsidR="009A054F">
        <w:fldChar w:fldCharType="begin">
          <w:fldData xml:space="preserve">PEVuZE5vdGU+PENpdGU+PEF1dGhvcj5HZWVyaW5jay1WZXJjYW1tZW48L0F1dGhvcj48WWVhcj4y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</w:fldData>
        </w:fldChar>
      </w:r>
      <w:r w:rsidR="009A054F">
        <w:instrText xml:space="preserve"> ADDIN EN.CITE.DATA </w:instrText>
      </w:r>
      <w:r w:rsidR="009A054F">
        <w:fldChar w:fldCharType="end"/>
      </w:r>
      <w:r>
        <w:fldChar w:fldCharType="separate"/>
      </w:r>
      <w:r>
        <w:rPr>
          <w:noProof/>
        </w:rPr>
        <w:t>(</w:t>
      </w:r>
      <w:hyperlink w:anchor="_ENREF_42" w:tooltip="Geerinck-Vercammen, 2003 #865" w:history="1">
        <w:r w:rsidR="00B46ABF">
          <w:rPr>
            <w:noProof/>
          </w:rPr>
          <w:t>Geerinck-Vercammen &amp; Kanhai 2003</w:t>
        </w:r>
      </w:hyperlink>
      <w:r>
        <w:rPr>
          <w:noProof/>
        </w:rPr>
        <w:t>)</w:t>
      </w:r>
      <w:r>
        <w:fldChar w:fldCharType="end"/>
      </w:r>
      <w:r>
        <w:t xml:space="preserve">. </w:t>
      </w:r>
      <w:r w:rsidR="009E0C28">
        <w:fldChar w:fldCharType="begin"/>
      </w:r>
      <w:r w:rsidR="009E0C28">
        <w:instrText xml:space="preserve"> ADDIN EN.CITE &lt;EndNote&gt;&lt;Cite&gt;&lt;Author&gt;Iles&lt;/Author&gt;&lt;Year&gt;1993&lt;/Year&gt;&lt;RecNum&gt;904&lt;/RecNum&gt;&lt;IDText&gt;407-13&lt;/IDText&gt;&lt;DisplayText&gt;(Iles &amp;amp; Gath 1993)&lt;/DisplayText&gt;&lt;record&gt;&lt;rec-number&gt;904&lt;/rec-number&gt;&lt;foreign-keys&gt;&lt;key app="EN" db-id="parffa0acae2voep5w3vv9rypas2tr522eef" timestamp="1430369623"&gt;904&lt;/key&gt;&lt;/foreign-keys&gt;&lt;ref-type name="Journal Article"&gt;17&lt;/ref-type&gt;&lt;contributors&gt;&lt;authors&gt;&lt;author&gt;Iles, S.&lt;/author&gt;&lt;author&gt;Gath, D.&lt;/author&gt;&lt;/authors&gt;&lt;/contributors&gt;&lt;auth-address&gt;Department of Psychiatry, University of Oxford.&lt;/auth-address&gt;&lt;titles&gt;&lt;title&gt;Psychiatric outcome of termination of pregnancy for foetal abnormality&lt;/title&gt;&lt;secondary-title&gt;Psychol Med&lt;/secondary-title&gt;&lt;alt-title&gt;Psychological medicine&lt;/alt-title&gt;&lt;/titles&gt;&lt;periodical&gt;&lt;full-title&gt;Psychol Med&lt;/full-title&gt;&lt;abbr-1&gt;Psychological medicine&lt;/abbr-1&gt;&lt;/periodical&gt;&lt;alt-periodical&gt;&lt;full-title&gt;Psychol Med&lt;/full-title&gt;&lt;abbr-1&gt;Psychological medicine&lt;/abbr-1&gt;&lt;/alt-periodical&gt;&lt;pages&gt;407-13&lt;/pages&gt;&lt;volume&gt;23&lt;/volume&gt;&lt;number&gt;2&lt;/number&gt;&lt;keywords&gt;&lt;keyword&gt;Abortion, Eugenic/*psychology&lt;/keyword&gt;&lt;keyword&gt;Abortion, Missed/psychology&lt;/keyword&gt;&lt;keyword&gt;*Adaptation, Psychological&lt;/keyword&gt;&lt;keyword&gt;Adolescent&lt;/keyword&gt;&lt;keyword&gt;Adult&lt;/keyword&gt;&lt;keyword&gt;Congenital Abnormalities/*psychology&lt;/keyword&gt;&lt;keyword&gt;Female&lt;/keyword&gt;&lt;keyword&gt;Follow-Up Studies&lt;/keyword&gt;&lt;keyword&gt;Grief&lt;/keyword&gt;&lt;keyword&gt;Humans&lt;/keyword&gt;&lt;keyword&gt;Infant, Newborn&lt;/keyword&gt;&lt;keyword&gt;Mental Disorders/diagnosis/*psychology&lt;/keyword&gt;&lt;keyword&gt;Middle Aged&lt;/keyword&gt;&lt;keyword&gt;Personality Assessment&lt;/keyword&gt;&lt;keyword&gt;Pregnancy&lt;/keyword&gt;&lt;keyword&gt;Prospective Studies&lt;/keyword&gt;&lt;keyword&gt;Social Adjustment&lt;/keyword&gt;&lt;/keywords&gt;&lt;dates&gt;&lt;year&gt;1993&lt;/year&gt;&lt;pub-dates&gt;&lt;date&gt;May&lt;/date&gt;&lt;/pub-dates&gt;&lt;/dates&gt;&lt;isbn&gt;0033-2917 (Print)&amp;#xD;0033-2917 (Linking)&lt;/isbn&gt;&lt;accession-num&gt;8332657&lt;/accession-num&gt;&lt;urls&gt;&lt;related-urls&gt;&lt;url&gt;http://www.ncbi.nlm.nih.gov/pubmed/8332657&lt;/url&gt;&lt;/related-urls&gt;&lt;/urls&gt;&lt;/record&gt;&lt;/Cite&gt;&lt;/EndNote&gt;</w:instrText>
      </w:r>
      <w:r w:rsidR="009E0C28">
        <w:fldChar w:fldCharType="separate"/>
      </w:r>
      <w:hyperlink w:anchor="_ENREF_55" w:tooltip="Iles, 1993 #904" w:history="1">
        <w:r w:rsidR="009E0C28">
          <w:rPr>
            <w:noProof/>
          </w:rPr>
          <w:t>Iles &amp; Gath (1993</w:t>
        </w:r>
      </w:hyperlink>
      <w:r w:rsidR="009E0C28">
        <w:rPr>
          <w:noProof/>
        </w:rPr>
        <w:t>;</w:t>
      </w:r>
      <w:r w:rsidR="009E0C28" w:rsidRPr="009E0C28">
        <w:t xml:space="preserve"> </w:t>
      </w:r>
      <w:r w:rsidR="009E0C28">
        <w:t>n=61</w:t>
      </w:r>
      <w:r w:rsidR="009E0C28">
        <w:rPr>
          <w:noProof/>
        </w:rPr>
        <w:t>)</w:t>
      </w:r>
      <w:r w:rsidR="009E0C28">
        <w:fldChar w:fldCharType="end"/>
      </w:r>
      <w:r>
        <w:t xml:space="preserve"> reported physical grief in 78% of women </w:t>
      </w:r>
      <w:r w:rsidR="009E0C28">
        <w:t xml:space="preserve">at </w:t>
      </w:r>
      <w:r>
        <w:t>4</w:t>
      </w:r>
      <w:r w:rsidR="009E0C28">
        <w:t>–</w:t>
      </w:r>
      <w:r>
        <w:t>6</w:t>
      </w:r>
      <w:r w:rsidR="009E0C28">
        <w:t> </w:t>
      </w:r>
      <w:r>
        <w:t>weeks after TOP, decreas</w:t>
      </w:r>
      <w:r w:rsidR="00254AA5">
        <w:t>ing</w:t>
      </w:r>
      <w:r>
        <w:t xml:space="preserve"> to 31% after 13</w:t>
      </w:r>
      <w:r w:rsidR="009E0C28">
        <w:t> </w:t>
      </w:r>
      <w:r>
        <w:t xml:space="preserve">months. Decreasing grief over time was also shown in studies by </w:t>
      </w:r>
      <w:r>
        <w:fldChar w:fldCharType="begin">
          <w:fldData xml:space="preserve">PEVuZE5vdGU+PENpdGU+PEF1dGhvcj5Lb3JlbnJvbXA8L0F1dGhvcj48WWVhcj4yMDA1PC9ZZWFy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</w:fldData>
        </w:fldChar>
      </w:r>
      <w:r w:rsidR="009A054F">
        <w:instrText xml:space="preserve"> ADDIN EN.CITE </w:instrText>
      </w:r>
      <w:r w:rsidR="009A054F">
        <w:fldChar w:fldCharType="begin">
          <w:fldData xml:space="preserve">PEVuZE5vdGU+PENpdGU+PEF1dGhvcj5Lb3JlbnJvbXA8L0F1dGhvcj48WWVhcj4yMDA1PC9ZZWFy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</w:fldData>
        </w:fldChar>
      </w:r>
      <w:r w:rsidR="009A054F">
        <w:instrText xml:space="preserve"> ADDIN EN.CITE.DATA </w:instrText>
      </w:r>
      <w:r w:rsidR="009A054F">
        <w:fldChar w:fldCharType="end"/>
      </w:r>
      <w:r>
        <w:fldChar w:fldCharType="separate"/>
      </w:r>
      <w:hyperlink w:anchor="_ENREF_63" w:tooltip="Korenromp, 2005 #926" w:history="1">
        <w:r w:rsidR="00B46ABF">
          <w:rPr>
            <w:noProof/>
          </w:rPr>
          <w:t xml:space="preserve">Korenromp, Christiaens et al. </w:t>
        </w:r>
        <w:r w:rsidR="009E0C28">
          <w:rPr>
            <w:noProof/>
          </w:rPr>
          <w:t>(</w:t>
        </w:r>
        <w:r w:rsidR="00B46ABF">
          <w:rPr>
            <w:noProof/>
          </w:rPr>
          <w:t>2005</w:t>
        </w:r>
      </w:hyperlink>
      <w:r w:rsidR="009E0C28">
        <w:rPr>
          <w:noProof/>
        </w:rPr>
        <w:t>)</w:t>
      </w:r>
      <w:r>
        <w:rPr>
          <w:noProof/>
        </w:rPr>
        <w:t xml:space="preserve"> </w:t>
      </w:r>
      <w:r w:rsidR="009E0C28">
        <w:rPr>
          <w:noProof/>
        </w:rPr>
        <w:t xml:space="preserve">and </w:t>
      </w:r>
      <w:hyperlink w:anchor="_ENREF_66" w:tooltip="Korenromp, 2009 #929" w:history="1">
        <w:r w:rsidR="00B46ABF">
          <w:rPr>
            <w:noProof/>
          </w:rPr>
          <w:t xml:space="preserve">Korenromp et al. </w:t>
        </w:r>
        <w:r w:rsidR="009E0C28">
          <w:rPr>
            <w:noProof/>
          </w:rPr>
          <w:t>(</w:t>
        </w:r>
        <w:r w:rsidR="00B46ABF">
          <w:rPr>
            <w:noProof/>
          </w:rPr>
          <w:t>2009</w:t>
        </w:r>
      </w:hyperlink>
      <w:r>
        <w:rPr>
          <w:noProof/>
        </w:rPr>
        <w:t>)</w:t>
      </w:r>
      <w:r>
        <w:fldChar w:fldCharType="end"/>
      </w:r>
      <w:r>
        <w:t xml:space="preserve">: </w:t>
      </w:r>
      <w:r w:rsidR="00AB4EF7">
        <w:t>at 4 </w:t>
      </w:r>
      <w:r>
        <w:t>months after TOP 8.8% (mean score was 58.8, SD 19.6) of 147 women scored above the threshold for grief, in comparison with only 2.1% (mean score was 50.1</w:t>
      </w:r>
      <w:r w:rsidR="00AB4EF7">
        <w:t>,</w:t>
      </w:r>
      <w:r>
        <w:t xml:space="preserve"> SD 16.5) at 16</w:t>
      </w:r>
      <w:r w:rsidR="00AB4EF7">
        <w:t> </w:t>
      </w:r>
      <w:r>
        <w:t xml:space="preserve">months </w:t>
      </w:r>
      <w:r>
        <w:fldChar w:fldCharType="begin">
          <w:fldData xml:space="preserve">PEVuZE5vdGU+PENpdGU+PEF1dGhvcj5Lb3JlbnJvbXA8L0F1dGhvcj48WWVhcj4yMDA5PC9ZZWFy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bmQgZ3luZWNvbG9neTwvYWJici0xPjwvYWx0LXBlcmlvZGljYWw+PHBhZ2VzPjE2MCBlMS03PC9w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</w:fldData>
        </w:fldChar>
      </w:r>
      <w:r w:rsidR="009A054F">
        <w:instrText xml:space="preserve"> ADDIN EN.CITE </w:instrText>
      </w:r>
      <w:r w:rsidR="009A054F">
        <w:fldChar w:fldCharType="begin">
          <w:fldData xml:space="preserve">PEVuZE5vdGU+PENpdGU+PEF1dGhvcj5Lb3JlbnJvbXA8L0F1dGhvcj48WWVhcj4yMDA5PC9ZZWFy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bmQgZ3luZWNvbG9neTwvYWJici0xPjwvYWx0LXBlcmlvZGljYWw+PHBhZ2VzPjE2MCBlMS03PC9w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</w:fldData>
        </w:fldChar>
      </w:r>
      <w:r w:rsidR="009A054F">
        <w:instrText xml:space="preserve"> ADDIN EN.CITE.DATA </w:instrText>
      </w:r>
      <w:r w:rsidR="009A054F">
        <w:fldChar w:fldCharType="end"/>
      </w:r>
      <w:r>
        <w:fldChar w:fldCharType="separate"/>
      </w:r>
      <w:r>
        <w:rPr>
          <w:noProof/>
        </w:rPr>
        <w:t>(</w:t>
      </w:r>
      <w:hyperlink w:anchor="_ENREF_66" w:tooltip="Korenromp, 2009 #929" w:history="1">
        <w:r w:rsidR="00B46ABF">
          <w:rPr>
            <w:noProof/>
          </w:rPr>
          <w:t>Korenromp et al. 2009</w:t>
        </w:r>
      </w:hyperlink>
      <w:r>
        <w:rPr>
          <w:noProof/>
        </w:rPr>
        <w:t>)</w:t>
      </w:r>
      <w:r>
        <w:fldChar w:fldCharType="end"/>
      </w:r>
      <w:r>
        <w:t>. After 2</w:t>
      </w:r>
      <w:r w:rsidR="00AB4EF7">
        <w:t>–</w:t>
      </w:r>
      <w:r>
        <w:t>7</w:t>
      </w:r>
      <w:r w:rsidR="00AB4EF7">
        <w:t> </w:t>
      </w:r>
      <w:r>
        <w:t>years 2.6% of women scored above the threshold in a population of 196 women (5/196) in a second study</w:t>
      </w:r>
      <w:r w:rsidR="003249B5">
        <w:t xml:space="preserve"> </w:t>
      </w:r>
      <w:r w:rsidR="003249B5">
        <w:rPr>
          <w:noProof/>
        </w:rPr>
        <w:t>(</w:t>
      </w:r>
      <w:hyperlink w:anchor="_ENREF_63" w:tooltip="Korenromp, 2005 #926" w:history="1">
        <w:r w:rsidR="003249B5">
          <w:rPr>
            <w:noProof/>
          </w:rPr>
          <w:t>Korenromp, Christiaens et al. 2005</w:t>
        </w:r>
      </w:hyperlink>
      <w:r w:rsidR="003249B5">
        <w:rPr>
          <w:noProof/>
        </w:rPr>
        <w:t>)</w:t>
      </w:r>
      <w:r>
        <w:t>. Patients who underwent TOP before 14</w:t>
      </w:r>
      <w:r w:rsidR="00AB4EF7">
        <w:t> </w:t>
      </w:r>
      <w:r>
        <w:t>weeks</w:t>
      </w:r>
      <w:r w:rsidR="00AB4EF7">
        <w:t>’</w:t>
      </w:r>
      <w:r>
        <w:t xml:space="preserve"> gestation had significantly lower scores for grief (mean 40.0, SD 10.8, n=44) th</w:t>
      </w:r>
      <w:r w:rsidR="00AB4EF7">
        <w:t>a</w:t>
      </w:r>
      <w:r>
        <w:t xml:space="preserve">n </w:t>
      </w:r>
      <w:r w:rsidR="00254AA5">
        <w:t xml:space="preserve">those </w:t>
      </w:r>
      <w:r>
        <w:t>who underwent TOP after 14</w:t>
      </w:r>
      <w:r w:rsidR="00AB4EF7">
        <w:t> </w:t>
      </w:r>
      <w:r>
        <w:t>weeks</w:t>
      </w:r>
      <w:r w:rsidR="00AB4EF7">
        <w:t>’</w:t>
      </w:r>
      <w:r>
        <w:t xml:space="preserve"> gestation (mean 46.9, SD 17.4, n=150, p=0.014).</w:t>
      </w:r>
      <w:r w:rsidR="00DF5916">
        <w:t xml:space="preserve"> </w:t>
      </w:r>
    </w:p>
    <w:p w14:paraId="7FD5D327" w14:textId="77A4F96A" w:rsidR="001518BD" w:rsidRDefault="001518BD" w:rsidP="001518BD">
      <w:r>
        <w:t>Women show</w:t>
      </w:r>
      <w:r w:rsidR="00AF1216">
        <w:t>ed</w:t>
      </w:r>
      <w:r>
        <w:t xml:space="preserve"> more grief than men, with mean scores of 59.0 (SD 20.4) in women and 47.8 (SD 16.6) in men </w:t>
      </w:r>
      <w:r w:rsidR="00AB4EF7">
        <w:t xml:space="preserve">at </w:t>
      </w:r>
      <w:r>
        <w:t>4</w:t>
      </w:r>
      <w:r w:rsidR="00AB4EF7">
        <w:t> </w:t>
      </w:r>
      <w:r>
        <w:t xml:space="preserve">months </w:t>
      </w:r>
      <w:r w:rsidR="00AB4EF7">
        <w:t xml:space="preserve">after </w:t>
      </w:r>
      <w:r>
        <w:t xml:space="preserve">TOP </w:t>
      </w:r>
      <w:r>
        <w:fldChar w:fldCharType="begin">
          <w:fldData xml:space="preserve">PEVuZE5vdGU+PENpdGU+PEF1dGhvcj5Lb3JlbnJvbXA8L0F1dGhvcj48WWVhcj4yMDA3PC9ZZWFy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ci0xPlByZW5hdGFsIGRpYWdub3NpczwvYWJici0xPjwvYWx0LXBlcmlvZGljYWw+PHBhZ2VzPjcw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</w:fldData>
        </w:fldChar>
      </w:r>
      <w:r w:rsidR="009A054F">
        <w:instrText xml:space="preserve"> ADDIN EN.CITE </w:instrText>
      </w:r>
      <w:r w:rsidR="009A054F">
        <w:fldChar w:fldCharType="begin">
          <w:fldData xml:space="preserve">PEVuZE5vdGU+PENpdGU+PEF1dGhvcj5Lb3JlbnJvbXA8L0F1dGhvcj48WWVhcj4yMDA3PC9ZZWFy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ci0xPlByZW5hdGFsIGRpYWdub3NpczwvYWJici0xPjwvYWx0LXBlcmlvZGljYWw+PHBhZ2VzPjcw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</w:fldData>
        </w:fldChar>
      </w:r>
      <w:r w:rsidR="009A054F">
        <w:instrText xml:space="preserve"> ADDIN EN.CITE.DATA </w:instrText>
      </w:r>
      <w:r w:rsidR="009A054F">
        <w:fldChar w:fldCharType="end"/>
      </w:r>
      <w:r>
        <w:fldChar w:fldCharType="separate"/>
      </w:r>
      <w:r>
        <w:rPr>
          <w:noProof/>
        </w:rPr>
        <w:t>(</w:t>
      </w:r>
      <w:hyperlink w:anchor="_ENREF_65" w:tooltip="Korenromp, 2007 #928" w:history="1">
        <w:r w:rsidR="00B46ABF">
          <w:rPr>
            <w:noProof/>
          </w:rPr>
          <w:t>Korenromp et al. 2007</w:t>
        </w:r>
      </w:hyperlink>
      <w:r>
        <w:rPr>
          <w:noProof/>
        </w:rPr>
        <w:t>)</w:t>
      </w:r>
      <w:r>
        <w:fldChar w:fldCharType="end"/>
      </w:r>
      <w:r>
        <w:t xml:space="preserve">, and 44.1 (SD 16.2) for women and 38.6 (SD 11.4) for men </w:t>
      </w:r>
      <w:r w:rsidR="00AB4EF7">
        <w:t xml:space="preserve">at </w:t>
      </w:r>
      <w:r>
        <w:t>2</w:t>
      </w:r>
      <w:r w:rsidR="00AB4EF7">
        <w:t>–</w:t>
      </w:r>
      <w:r>
        <w:t>7</w:t>
      </w:r>
      <w:r w:rsidR="00AB4EF7">
        <w:t> </w:t>
      </w:r>
      <w:r>
        <w:t xml:space="preserve">years </w:t>
      </w:r>
      <w:r w:rsidR="00AB4EF7">
        <w:t xml:space="preserve">after </w:t>
      </w:r>
      <w:r>
        <w:t xml:space="preserve">TOP </w:t>
      </w:r>
      <w:r>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 </w:instrText>
      </w:r>
      <w:r w:rsidR="009A054F">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EN.CITE.DATA </w:instrText>
      </w:r>
      <w:r w:rsidR="009A054F">
        <w:fldChar w:fldCharType="end"/>
      </w:r>
      <w:r>
        <w:fldChar w:fldCharType="separate"/>
      </w:r>
      <w:r>
        <w:rPr>
          <w:noProof/>
        </w:rPr>
        <w:t>(</w:t>
      </w:r>
      <w:hyperlink w:anchor="_ENREF_64" w:tooltip="Korenromp, 2005 #927" w:history="1">
        <w:r w:rsidR="00B46ABF">
          <w:rPr>
            <w:noProof/>
          </w:rPr>
          <w:t>Korenromp, Page-Christiaens et al. 2005</w:t>
        </w:r>
      </w:hyperlink>
      <w:r>
        <w:rPr>
          <w:noProof/>
        </w:rPr>
        <w:t>)</w:t>
      </w:r>
      <w:r>
        <w:fldChar w:fldCharType="end"/>
      </w:r>
      <w:r>
        <w:t>.</w:t>
      </w:r>
    </w:p>
    <w:p w14:paraId="49128DD5" w14:textId="77777777" w:rsidR="001518BD" w:rsidRPr="00114E6B" w:rsidRDefault="001518BD" w:rsidP="00B45FA8">
      <w:pPr>
        <w:pStyle w:val="Heading6"/>
      </w:pPr>
      <w:r w:rsidRPr="00114E6B">
        <w:t>Depression and anxiety</w:t>
      </w:r>
    </w:p>
    <w:p w14:paraId="67D7F839" w14:textId="7FE5C268" w:rsidR="001518BD" w:rsidRDefault="001518BD" w:rsidP="001518BD">
      <w:r>
        <w:t xml:space="preserve">Depression (and in some cases anxiety) after TOP was measured using the </w:t>
      </w:r>
      <w:r w:rsidR="00B368FF">
        <w:t>Beck Depression Inventory (BDI, scale 0 to 63,</w:t>
      </w:r>
      <w:r>
        <w:t xml:space="preserve"> where a score</w:t>
      </w:r>
      <w:r w:rsidR="00B368FF">
        <w:t xml:space="preserve"> &gt;9 </w:t>
      </w:r>
      <w:r w:rsidR="00B443B5">
        <w:t xml:space="preserve">is </w:t>
      </w:r>
      <w:r w:rsidR="00B368FF">
        <w:t>positive for depression)</w:t>
      </w:r>
      <w:r w:rsidR="00051AE7">
        <w:t>,</w:t>
      </w:r>
      <w:r>
        <w:t xml:space="preserve"> the Symptom checklist-90 (</w:t>
      </w:r>
      <w:r w:rsidR="008978C9">
        <w:t>90-item questionnaire</w:t>
      </w:r>
      <w:r w:rsidR="00B368FF">
        <w:t xml:space="preserve"> </w:t>
      </w:r>
      <w:r>
        <w:t>with a depression score of &gt;41 for women and &gt;33 for men, and an anxiety score of &gt;26 for women and &gt;21 for men), and the Edinburgh Postnatal Depression Scale (EPDS,</w:t>
      </w:r>
      <w:r w:rsidR="008978C9">
        <w:t xml:space="preserve"> </w:t>
      </w:r>
      <w:r w:rsidR="008978C9">
        <w:lastRenderedPageBreak/>
        <w:t xml:space="preserve">scale </w:t>
      </w:r>
      <w:r w:rsidR="00642024">
        <w:t>0 to 30,</w:t>
      </w:r>
      <w:r>
        <w:t xml:space="preserve"> cut-off level </w:t>
      </w:r>
      <w:r w:rsidR="00470780">
        <w:t>of</w:t>
      </w:r>
      <w:r w:rsidR="00051AE7">
        <w:t xml:space="preserve"> </w:t>
      </w:r>
      <w:r>
        <w:t xml:space="preserve">12). No decrease in depression rates over time was detected in a study by Davies et al. (2005, n=22), with 30% and 32% of women scoring above the BDI threshold for depression </w:t>
      </w:r>
      <w:r w:rsidR="00051AE7">
        <w:t xml:space="preserve">at </w:t>
      </w:r>
      <w:r>
        <w:t>6</w:t>
      </w:r>
      <w:r w:rsidR="00051AE7">
        <w:t> </w:t>
      </w:r>
      <w:r>
        <w:t>weeks and 12</w:t>
      </w:r>
      <w:r w:rsidR="00051AE7">
        <w:t> </w:t>
      </w:r>
      <w:r>
        <w:t xml:space="preserve">months after TOP, respectively. Kersting et al. (2009, n=36) did show a decrease over time in BDI scores, with a mean score of 12.3 (SD 7.54) in women </w:t>
      </w:r>
      <w:r w:rsidR="00051AE7">
        <w:t>at 2 </w:t>
      </w:r>
      <w:r>
        <w:t xml:space="preserve">weeks after TOP compared </w:t>
      </w:r>
      <w:r w:rsidR="00051AE7">
        <w:t xml:space="preserve">with </w:t>
      </w:r>
      <w:r>
        <w:t xml:space="preserve">a mean of 7.6 (SD 6.45) </w:t>
      </w:r>
      <w:r w:rsidR="00051AE7">
        <w:t xml:space="preserve">at </w:t>
      </w:r>
      <w:r>
        <w:t>14</w:t>
      </w:r>
      <w:r w:rsidR="00051AE7">
        <w:t> </w:t>
      </w:r>
      <w:r>
        <w:t xml:space="preserve">months </w:t>
      </w:r>
      <w:r w:rsidR="00051AE7">
        <w:t xml:space="preserve">after </w:t>
      </w:r>
      <w:r>
        <w:t>TOP. Similar results were shown in Korenromp et al. (2009, n=147)</w:t>
      </w:r>
      <w:r w:rsidR="00051AE7">
        <w:t>, in which</w:t>
      </w:r>
      <w:r>
        <w:t xml:space="preserve"> </w:t>
      </w:r>
      <w:r w:rsidR="00051AE7">
        <w:t>w</w:t>
      </w:r>
      <w:r>
        <w:t>omen had an average score of 8.2 (SD 5.7) on the EPDS and 27.9% above the cut-off score at 4</w:t>
      </w:r>
      <w:r w:rsidR="00051AE7">
        <w:t> </w:t>
      </w:r>
      <w:r>
        <w:t>months, compared with a mean score of 5.3 (SD 4.4) and 13.1% above the cut-off at 16</w:t>
      </w:r>
      <w:r w:rsidR="00051AE7">
        <w:t> </w:t>
      </w:r>
      <w:r>
        <w:t xml:space="preserve">months. </w:t>
      </w:r>
    </w:p>
    <w:p w14:paraId="635A865C" w14:textId="310897B4" w:rsidR="001518BD" w:rsidRDefault="001518BD" w:rsidP="001518BD">
      <w:r>
        <w:t>Men showed slightly less anxiety and depression in the long term (2</w:t>
      </w:r>
      <w:r w:rsidR="003C62BE">
        <w:t>–</w:t>
      </w:r>
      <w:r>
        <w:t xml:space="preserve">7 years </w:t>
      </w:r>
      <w:r w:rsidR="003C62BE">
        <w:t xml:space="preserve">after </w:t>
      </w:r>
      <w:r>
        <w:t xml:space="preserve">TOP, n=151) compared </w:t>
      </w:r>
      <w:r w:rsidR="003C62BE">
        <w:t xml:space="preserve">with </w:t>
      </w:r>
      <w:r>
        <w:t xml:space="preserve">women </w:t>
      </w:r>
      <w:r>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 </w:instrText>
      </w:r>
      <w:r w:rsidR="009A054F">
        <w:fldChar w:fldCharType="begin">
          <w:fldData xml:space="preserve">PEVuZE5vdGU+PENpdGU+PEF1dGhvcj5Lb3JlbnJvbXA8L0F1dGhvcj48WWVhcj4yMDA1PC9ZZWFy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</w:fldData>
        </w:fldChar>
      </w:r>
      <w:r w:rsidR="009A054F">
        <w:instrText xml:space="preserve"> ADDIN EN.CITE.DATA </w:instrText>
      </w:r>
      <w:r w:rsidR="009A054F">
        <w:fldChar w:fldCharType="end"/>
      </w:r>
      <w:r>
        <w:fldChar w:fldCharType="separate"/>
      </w:r>
      <w:r>
        <w:rPr>
          <w:noProof/>
        </w:rPr>
        <w:t>(</w:t>
      </w:r>
      <w:hyperlink w:anchor="_ENREF_64" w:tooltip="Korenromp, 2005 #927" w:history="1">
        <w:r w:rsidR="00B46ABF">
          <w:rPr>
            <w:noProof/>
          </w:rPr>
          <w:t>Korenromp, Page-Christiaens et al. 2005</w:t>
        </w:r>
      </w:hyperlink>
      <w:r>
        <w:rPr>
          <w:noProof/>
        </w:rPr>
        <w:t>)</w:t>
      </w:r>
      <w:r>
        <w:fldChar w:fldCharType="end"/>
      </w:r>
      <w:r>
        <w:t xml:space="preserve">. Men scored an average of 12.1 (SD 4.5) and 20.8 (SD 7.5) for anxiety and depression, respectively, whereas </w:t>
      </w:r>
      <w:r w:rsidR="00642024">
        <w:t xml:space="preserve">women had an average score of </w:t>
      </w:r>
      <w:r>
        <w:t>14.0 (SD 6.0)</w:t>
      </w:r>
      <w:r w:rsidR="00642024">
        <w:t xml:space="preserve"> for anxiety</w:t>
      </w:r>
      <w:r>
        <w:t xml:space="preserve"> and 26.0 (SD 11.0) for </w:t>
      </w:r>
      <w:r w:rsidR="00642024">
        <w:t>depression</w:t>
      </w:r>
      <w:r>
        <w:t>.</w:t>
      </w:r>
    </w:p>
    <w:p w14:paraId="22E16797" w14:textId="77777777" w:rsidR="001518BD" w:rsidRPr="00114E6B" w:rsidRDefault="001518BD" w:rsidP="00B45FA8">
      <w:pPr>
        <w:pStyle w:val="Heading6"/>
      </w:pPr>
      <w:r w:rsidRPr="00114E6B">
        <w:t xml:space="preserve">Anger and guilt, general psychological malfunctioning and psychiatric diagnoses </w:t>
      </w:r>
    </w:p>
    <w:p w14:paraId="3C4FE279" w14:textId="673C5CD7" w:rsidR="001518BD" w:rsidRDefault="001518BD" w:rsidP="001518BD">
      <w:r>
        <w:t>The study by Iles at al. (1993) reported that anger and guilt were experienced by 41/71 (58%)</w:t>
      </w:r>
      <w:r w:rsidR="00DF5916">
        <w:t xml:space="preserve"> </w:t>
      </w:r>
      <w:r>
        <w:t xml:space="preserve">and 34/71 (48%) of women </w:t>
      </w:r>
      <w:r w:rsidR="0043680C">
        <w:t xml:space="preserve">at </w:t>
      </w:r>
      <w:r>
        <w:t>4</w:t>
      </w:r>
      <w:r w:rsidR="0043680C">
        <w:t>–</w:t>
      </w:r>
      <w:r>
        <w:t>6</w:t>
      </w:r>
      <w:r w:rsidR="0043680C">
        <w:t> </w:t>
      </w:r>
      <w:r>
        <w:t xml:space="preserve">weeks </w:t>
      </w:r>
      <w:r w:rsidR="0043680C">
        <w:t xml:space="preserve">after </w:t>
      </w:r>
      <w:r>
        <w:t xml:space="preserve">TOP, respectively. </w:t>
      </w:r>
      <w:r w:rsidR="00546364">
        <w:t>T</w:t>
      </w:r>
      <w:r>
        <w:t>h</w:t>
      </w:r>
      <w:r w:rsidR="00546364">
        <w:t>ese</w:t>
      </w:r>
      <w:r>
        <w:t xml:space="preserve"> </w:t>
      </w:r>
      <w:r w:rsidR="00546364">
        <w:t xml:space="preserve">rates </w:t>
      </w:r>
      <w:r>
        <w:t>decreased to 19/61 (31%) and 19/61 (31%), respectively</w:t>
      </w:r>
      <w:r w:rsidR="00546364">
        <w:t>,</w:t>
      </w:r>
      <w:r w:rsidR="00236430">
        <w:t xml:space="preserve"> at 13 months after TOP</w:t>
      </w:r>
      <w:r>
        <w:t xml:space="preserve">. </w:t>
      </w:r>
      <w:r w:rsidRPr="00E136BD">
        <w:t>Korenromp et al. (2005) reported that only 8</w:t>
      </w:r>
      <w:r w:rsidR="0043680C">
        <w:t>%</w:t>
      </w:r>
      <w:r w:rsidRPr="00E136BD">
        <w:t xml:space="preserve"> and 10</w:t>
      </w:r>
      <w:r w:rsidR="0043680C">
        <w:t>%</w:t>
      </w:r>
      <w:r w:rsidRPr="00E136BD">
        <w:t xml:space="preserve"> of women reported feelings of regret and doubt after TOP, respectively</w:t>
      </w:r>
      <w:r>
        <w:t>. Other outcomes that were mentioned were emotional distress (53% after 6</w:t>
      </w:r>
      <w:r w:rsidR="0043680C">
        <w:t> </w:t>
      </w:r>
      <w:r>
        <w:t>weeks and 43% after 12</w:t>
      </w:r>
      <w:r w:rsidR="0043680C">
        <w:t> </w:t>
      </w:r>
      <w:r>
        <w:t xml:space="preserve">months, n=22) </w:t>
      </w:r>
      <w:r>
        <w:fldChar w:fldCharType="begin">
          <w:fldData xml:space="preserve">PEVuZE5vdGU+PENpdGU+PEF1dGhvcj5EYXZpZXM8L0F1dGhvcj48WWVhcj4yMDA1PC9ZZWFyPjxS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PC9hYmJyLTE+PC9wZXJpb2RpY2FsPjxhbHQtcGVyaW9kaWNhbD48ZnVsbC10aXRsZT5VbHRyYXNv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</w:fldData>
        </w:fldChar>
      </w:r>
      <w:r w:rsidR="009A054F">
        <w:instrText xml:space="preserve"> ADDIN EN.CITE </w:instrText>
      </w:r>
      <w:r w:rsidR="009A054F">
        <w:fldChar w:fldCharType="begin">
          <w:fldData xml:space="preserve">PEVuZE5vdGU+PENpdGU+PEF1dGhvcj5EYXZpZXM8L0F1dGhvcj48WWVhcj4yMDA1PC9ZZWFyPjxS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</w:fldData>
        </w:fldChar>
      </w:r>
      <w:r w:rsidR="009A054F">
        <w:instrText xml:space="preserve"> ADDIN EN.CITE.DATA </w:instrText>
      </w:r>
      <w:r w:rsidR="009A054F">
        <w:fldChar w:fldCharType="end"/>
      </w:r>
      <w:r>
        <w:fldChar w:fldCharType="separate"/>
      </w:r>
      <w:r>
        <w:rPr>
          <w:noProof/>
        </w:rPr>
        <w:t>(</w:t>
      </w:r>
      <w:hyperlink w:anchor="_ENREF_28" w:tooltip="Davies, 2005 #817" w:history="1">
        <w:r w:rsidR="00B46ABF">
          <w:rPr>
            <w:noProof/>
          </w:rPr>
          <w:t>Davies et al. 2005</w:t>
        </w:r>
      </w:hyperlink>
      <w:r>
        <w:rPr>
          <w:noProof/>
        </w:rPr>
        <w:t>)</w:t>
      </w:r>
      <w:r>
        <w:fldChar w:fldCharType="end"/>
      </w:r>
      <w:r>
        <w:t>, psychiatric diagnoses (25% after 14</w:t>
      </w:r>
      <w:r w:rsidR="0043680C">
        <w:t> </w:t>
      </w:r>
      <w:r>
        <w:t>days and 16.7% after 14</w:t>
      </w:r>
      <w:r w:rsidR="0043680C">
        <w:t> </w:t>
      </w:r>
      <w:r>
        <w:t xml:space="preserve">months, n=36) </w:t>
      </w:r>
      <w:r>
        <w:fldChar w:fldCharType="begin">
          <w:fldData xml:space="preserve">PEVuZE5vdGU+PENpdGU+PEF1dGhvcj5LZXJzdGluZzwvQXV0aG9yPjxZZWFyPjIwMDk8L1llYXI+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</w:fldData>
        </w:fldChar>
      </w:r>
      <w:r w:rsidR="009A054F">
        <w:instrText xml:space="preserve"> ADDIN EN.CITE </w:instrText>
      </w:r>
      <w:r w:rsidR="009A054F">
        <w:fldChar w:fldCharType="begin">
          <w:fldData xml:space="preserve">PEVuZE5vdGU+PENpdGU+PEF1dGhvcj5LZXJzdGluZzwvQXV0aG9yPjxZZWFyPjIwMDk8L1llYXI+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</w:fldData>
        </w:fldChar>
      </w:r>
      <w:r w:rsidR="009A054F">
        <w:instrText xml:space="preserve"> ADDIN EN.CITE.DATA </w:instrText>
      </w:r>
      <w:r w:rsidR="009A054F">
        <w:fldChar w:fldCharType="end"/>
      </w:r>
      <w:r>
        <w:fldChar w:fldCharType="separate"/>
      </w:r>
      <w:r>
        <w:rPr>
          <w:noProof/>
        </w:rPr>
        <w:t>(</w:t>
      </w:r>
      <w:hyperlink w:anchor="_ENREF_60" w:tooltip="Kersting, 2009 #921" w:history="1">
        <w:r w:rsidR="00B46ABF">
          <w:rPr>
            <w:noProof/>
          </w:rPr>
          <w:t>Kersting et al. 2009</w:t>
        </w:r>
      </w:hyperlink>
      <w:r>
        <w:rPr>
          <w:noProof/>
        </w:rPr>
        <w:t>)</w:t>
      </w:r>
      <w:r>
        <w:fldChar w:fldCharType="end"/>
      </w:r>
      <w:r w:rsidR="0043680C">
        <w:t>,</w:t>
      </w:r>
      <w:r>
        <w:t xml:space="preserve"> and general psychological malfunctioning </w:t>
      </w:r>
      <w:r w:rsidR="0043680C">
        <w:t>(</w:t>
      </w:r>
      <w:r>
        <w:t>12.2% of women scoring above the threshold after 4</w:t>
      </w:r>
      <w:r w:rsidR="0043680C">
        <w:t> </w:t>
      </w:r>
      <w:r>
        <w:t>months and 4.8% after 16</w:t>
      </w:r>
      <w:r w:rsidR="0043680C">
        <w:t> </w:t>
      </w:r>
      <w:r>
        <w:t>months</w:t>
      </w:r>
      <w:r w:rsidR="0043680C">
        <w:t>)</w:t>
      </w:r>
      <w:r>
        <w:t xml:space="preserve"> </w:t>
      </w:r>
      <w:r>
        <w:fldChar w:fldCharType="begin">
          <w:fldData xml:space="preserve">PEVuZE5vdGU+PENpdGU+PEF1dGhvcj5Lb3JlbnJvbXA8L0F1dGhvcj48WWVhcj4yMDA5PC9ZZWFy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bmQgZ3luZWNvbG9neTwvYWJici0xPjwvYWx0LXBlcmlvZGljYWw+PHBhZ2VzPjE2MCBlMS03PC9w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</w:fldData>
        </w:fldChar>
      </w:r>
      <w:r w:rsidR="009A054F">
        <w:instrText xml:space="preserve"> ADDIN EN.CITE </w:instrText>
      </w:r>
      <w:r w:rsidR="009A054F">
        <w:fldChar w:fldCharType="begin">
          <w:fldData xml:space="preserve">PEVuZE5vdGU+PENpdGU+PEF1dGhvcj5Lb3JlbnJvbXA8L0F1dGhvcj48WWVhcj4yMDA5PC9ZZWFy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</w:fldData>
        </w:fldChar>
      </w:r>
      <w:r w:rsidR="009A054F">
        <w:instrText xml:space="preserve"> ADDIN EN.CITE.DATA </w:instrText>
      </w:r>
      <w:r w:rsidR="009A054F">
        <w:fldChar w:fldCharType="end"/>
      </w:r>
      <w:r>
        <w:fldChar w:fldCharType="separate"/>
      </w:r>
      <w:r>
        <w:rPr>
          <w:noProof/>
        </w:rPr>
        <w:t>(</w:t>
      </w:r>
      <w:hyperlink w:anchor="_ENREF_66" w:tooltip="Korenromp, 2009 #929" w:history="1">
        <w:r w:rsidR="00B46ABF">
          <w:rPr>
            <w:noProof/>
          </w:rPr>
          <w:t>Korenromp et al. 2009</w:t>
        </w:r>
      </w:hyperlink>
      <w:r>
        <w:rPr>
          <w:noProof/>
        </w:rPr>
        <w:t>)</w:t>
      </w:r>
      <w:r>
        <w:fldChar w:fldCharType="end"/>
      </w:r>
      <w:r>
        <w:t xml:space="preserve">. This was more prevalent in women compared </w:t>
      </w:r>
      <w:r w:rsidR="0043680C">
        <w:t xml:space="preserve">with </w:t>
      </w:r>
      <w:r>
        <w:t xml:space="preserve">their partners when measured </w:t>
      </w:r>
      <w:r w:rsidR="0043680C">
        <w:t xml:space="preserve">at </w:t>
      </w:r>
      <w:r>
        <w:t>4</w:t>
      </w:r>
      <w:r w:rsidR="0043680C">
        <w:t> </w:t>
      </w:r>
      <w:r>
        <w:t>months after TOP, with women scoring 145.6 (SD 53.1) on the Symptom Checklist-90 and men scoring an average of 121.5 (SD 36.6).</w:t>
      </w:r>
    </w:p>
    <w:p w14:paraId="5FB014E5" w14:textId="77777777" w:rsidR="001518BD" w:rsidRDefault="001518BD" w:rsidP="00B45FA8">
      <w:pPr>
        <w:pStyle w:val="Heading5"/>
      </w:pPr>
      <w:r>
        <w:t>Psychological impact of caring for a child with CF (no TOP)</w:t>
      </w:r>
    </w:p>
    <w:p w14:paraId="011E8656" w14:textId="1630D5A0" w:rsidR="00EF08B2" w:rsidRDefault="00EF08B2" w:rsidP="00EF08B2">
      <w:r>
        <w:t>Recently the results of the International Depression Epidemiological Study on the prevalence of depression and anxiety in patients with CF and parent caregivers</w:t>
      </w:r>
      <w:r w:rsidR="00DE7BF8">
        <w:t xml:space="preserve"> were published</w:t>
      </w:r>
      <w:r>
        <w:t xml:space="preserve">. This study was conducted at 154 CF centres in nine countries (Belgium, Germany, Italy, Spain, Sweden, The Netherlands, Turkey, UK and USA), </w:t>
      </w:r>
      <w:r w:rsidR="00546364">
        <w:t xml:space="preserve">and </w:t>
      </w:r>
      <w:r>
        <w:t>includ</w:t>
      </w:r>
      <w:r w:rsidR="00546364">
        <w:t>ed</w:t>
      </w:r>
      <w:r>
        <w:t xml:space="preserve"> 3</w:t>
      </w:r>
      <w:r w:rsidR="00DE7BF8">
        <w:t>,</w:t>
      </w:r>
      <w:r>
        <w:t xml:space="preserve">127 mothers and 975 fathers of young children with CF. These results were used as the comparator to be able to make an indirect rough comparison between the (psychological) consequences of caring for a child with CF and the impact of TOP </w:t>
      </w:r>
      <w:r>
        <w:fldChar w:fldCharType="begin">
          <w:fldData xml:space="preserve">PEVuZE5vdGU+PENpdGU+PEF1dGhvcj5RdWl0dG5lcjwvQXV0aG9yPjxZZWFyPjIwMTQ8L1llYXI+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</w:fldData>
        </w:fldChar>
      </w:r>
      <w:r w:rsidR="009A054F">
        <w:instrText xml:space="preserve"> ADDIN EN.CITE </w:instrText>
      </w:r>
      <w:r w:rsidR="009A054F">
        <w:fldChar w:fldCharType="begin">
          <w:fldData xml:space="preserve">PEVuZE5vdGU+PENpdGU+PEF1dGhvcj5RdWl0dG5lcjwvQXV0aG9yPjxZZWFyPjIwMTQ8L1llYXI+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</w:fldData>
        </w:fldChar>
      </w:r>
      <w:r w:rsidR="009A054F">
        <w:instrText xml:space="preserve"> ADDIN EN.CITE.DATA </w:instrText>
      </w:r>
      <w:r w:rsidR="009A054F">
        <w:fldChar w:fldCharType="end"/>
      </w:r>
      <w:r>
        <w:fldChar w:fldCharType="separate"/>
      </w:r>
      <w:r>
        <w:rPr>
          <w:noProof/>
        </w:rPr>
        <w:t>(</w:t>
      </w:r>
      <w:hyperlink w:anchor="_ENREF_95" w:tooltip="Quittner, 2014 #681" w:history="1">
        <w:r w:rsidR="00B46ABF">
          <w:rPr>
            <w:noProof/>
          </w:rPr>
          <w:t>Quittner et al. 2014</w:t>
        </w:r>
      </w:hyperlink>
      <w:r>
        <w:rPr>
          <w:noProof/>
        </w:rPr>
        <w:t>)</w:t>
      </w:r>
      <w:r>
        <w:fldChar w:fldCharType="end"/>
      </w:r>
      <w:r>
        <w:t xml:space="preserve">. </w:t>
      </w:r>
    </w:p>
    <w:p w14:paraId="0B144F5C" w14:textId="77777777" w:rsidR="001518BD" w:rsidRPr="00114E6B" w:rsidRDefault="001518BD" w:rsidP="00B45FA8">
      <w:pPr>
        <w:pStyle w:val="Heading6"/>
      </w:pPr>
      <w:r w:rsidRPr="00114E6B">
        <w:t>Depression and anxiety</w:t>
      </w:r>
    </w:p>
    <w:p w14:paraId="25354628" w14:textId="0E64AF87" w:rsidR="001518BD" w:rsidRDefault="001518BD" w:rsidP="001518BD">
      <w:r>
        <w:t>In the study by Quittner et al. (2014) depression and anxiety were measured using the Hospital Anxiety and Depression Scale (HADS)</w:t>
      </w:r>
      <w:r w:rsidR="00DE7BF8">
        <w:t>,</w:t>
      </w:r>
      <w:r>
        <w:t xml:space="preserve"> with patients categorised using established cut-off scores </w:t>
      </w:r>
      <w:r>
        <w:lastRenderedPageBreak/>
        <w:t>(</w:t>
      </w:r>
      <w:r w:rsidR="00642024">
        <w:t>scale 0</w:t>
      </w:r>
      <w:r w:rsidR="00DE7BF8">
        <w:t>–</w:t>
      </w:r>
      <w:r w:rsidR="00642024">
        <w:t>21</w:t>
      </w:r>
      <w:r w:rsidR="00DE7BF8">
        <w:t>:</w:t>
      </w:r>
      <w:r w:rsidR="00642024">
        <w:t xml:space="preserve"> </w:t>
      </w:r>
      <w:r>
        <w:t>mild = 8</w:t>
      </w:r>
      <w:r w:rsidR="00DE7BF8">
        <w:t>–</w:t>
      </w:r>
      <w:r>
        <w:t>10, moderate = 11</w:t>
      </w:r>
      <w:r w:rsidR="00DE7BF8">
        <w:t>–</w:t>
      </w:r>
      <w:r>
        <w:t>15, severe ≥16). Depression was also measured using the Center for Epidemiologic Studies – Depression scale (CES-D</w:t>
      </w:r>
      <w:r w:rsidR="00642024">
        <w:t>; scale 0</w:t>
      </w:r>
      <w:r w:rsidR="00DE7BF8">
        <w:t>–</w:t>
      </w:r>
      <w:r w:rsidR="00642024">
        <w:t>60</w:t>
      </w:r>
      <w:r>
        <w:t xml:space="preserve">). Higher scores in the CES-D indicate more depressive symptoms, with a score ≥16 indicating depression. The results of the depression and anxiety questionnaires are shown in </w:t>
      </w:r>
      <w:r w:rsidR="002A26F7">
        <w:rPr>
          <w:highlight w:val="yellow"/>
        </w:rPr>
        <w:fldChar w:fldCharType="begin"/>
      </w:r>
      <w:r w:rsidR="002A26F7">
        <w:instrText xml:space="preserve"> REF _Ref413331960 \h </w:instrText>
      </w:r>
      <w:r w:rsidR="002A26F7">
        <w:rPr>
          <w:highlight w:val="yellow"/>
        </w:rPr>
      </w:r>
      <w:r w:rsidR="002A26F7">
        <w:rPr>
          <w:highlight w:val="yellow"/>
        </w:rPr>
        <w:fldChar w:fldCharType="separate"/>
      </w:r>
      <w:r w:rsidR="00BB0E3E">
        <w:t xml:space="preserve">Table </w:t>
      </w:r>
      <w:r w:rsidR="00BB0E3E">
        <w:rPr>
          <w:noProof/>
        </w:rPr>
        <w:t>47</w:t>
      </w:r>
      <w:r w:rsidR="002A26F7">
        <w:rPr>
          <w:highlight w:val="yellow"/>
        </w:rPr>
        <w:fldChar w:fldCharType="end"/>
      </w:r>
      <w:r>
        <w:t>. Both depression and anxiety were prevalent among mothers of children with CF (mean chil</w:t>
      </w:r>
      <w:r w:rsidR="00642024">
        <w:t>dren’s age was 8.90 ±</w:t>
      </w:r>
      <w:r>
        <w:t xml:space="preserve"> 5.08</w:t>
      </w:r>
      <w:r w:rsidR="00DE7BF8">
        <w:t> years</w:t>
      </w:r>
      <w:r>
        <w:t>), with 20</w:t>
      </w:r>
      <w:r w:rsidR="00DE7BF8">
        <w:t>–</w:t>
      </w:r>
      <w:r>
        <w:t>34% of mothers scoring above the threshold for depression, depending on which questionnaire was used</w:t>
      </w:r>
      <w:r w:rsidR="00546364">
        <w:t>,</w:t>
      </w:r>
      <w:r>
        <w:t xml:space="preserve"> </w:t>
      </w:r>
      <w:r w:rsidR="00546364">
        <w:t>and</w:t>
      </w:r>
      <w:r>
        <w:t xml:space="preserve"> 48% for anxiety. Fathers scored lower in both depression (18</w:t>
      </w:r>
      <w:r w:rsidR="00DE7BF8">
        <w:t>–</w:t>
      </w:r>
      <w:r>
        <w:t>25%) and anxiety (36%), with significant differences in the CES-D and the HADS-anxiety. The study also reported that moth</w:t>
      </w:r>
      <w:r w:rsidR="00642024">
        <w:t>ers reporting anxiety were 15.5</w:t>
      </w:r>
      <w:r>
        <w:t xml:space="preserve"> times more likely to score above the threshold on depression; 31% reported elevated scores on both. In fathers there was also a correlation between depression and anxiety</w:t>
      </w:r>
      <w:r w:rsidR="00642024">
        <w:t>: fathers with anxiety were 9.2</w:t>
      </w:r>
      <w:r>
        <w:t xml:space="preserve"> times more likely to report elevated depression (21% reported both).</w:t>
      </w:r>
    </w:p>
    <w:p w14:paraId="07D12152" w14:textId="47AE857E" w:rsidR="001518BD" w:rsidRDefault="001518BD" w:rsidP="001518BD">
      <w:pPr>
        <w:pStyle w:val="Caption"/>
      </w:pPr>
      <w:bookmarkStart w:id="283" w:name="_Ref413331960"/>
      <w:bookmarkStart w:id="284" w:name="_Toc418179444"/>
      <w:r>
        <w:t xml:space="preserve">Table </w:t>
      </w:r>
      <w:fldSimple w:instr=" SEQ Table \* ARABIC ">
        <w:r w:rsidR="00BB0E3E">
          <w:rPr>
            <w:noProof/>
          </w:rPr>
          <w:t>47</w:t>
        </w:r>
      </w:fldSimple>
      <w:bookmarkEnd w:id="283"/>
      <w:r>
        <w:t xml:space="preserve"> </w:t>
      </w:r>
      <w:r>
        <w:tab/>
        <w:t xml:space="preserve">Depression and anxiety in parents caring for a child with CF </w:t>
      </w:r>
      <w:bookmarkEnd w:id="284"/>
    </w:p>
    <w:tbl>
      <w:tblPr>
        <w:tblStyle w:val="TableGrid"/>
        <w:tblW w:w="0" w:type="auto"/>
        <w:tblLook w:val="04A0" w:firstRow="1" w:lastRow="0" w:firstColumn="1" w:lastColumn="0" w:noHBand="0" w:noVBand="1"/>
        <w:tblCaption w:val="Depression and anxiety in parents caring for a child with CF "/>
        <w:tblDescription w:val="Depression and anxiety in parents caring for a child with CF "/>
      </w:tblPr>
      <w:tblGrid>
        <w:gridCol w:w="1951"/>
        <w:gridCol w:w="1745"/>
        <w:gridCol w:w="1848"/>
        <w:gridCol w:w="1849"/>
        <w:gridCol w:w="1849"/>
      </w:tblGrid>
      <w:tr w:rsidR="001518BD" w14:paraId="41286373" w14:textId="77777777" w:rsidTr="00037963">
        <w:trPr>
          <w:tblHeader/>
        </w:trPr>
        <w:tc>
          <w:tcPr>
            <w:tcW w:w="1951" w:type="dxa"/>
          </w:tcPr>
          <w:p w14:paraId="7CF80C22" w14:textId="77777777" w:rsidR="001518BD" w:rsidRDefault="001518BD" w:rsidP="008C3709">
            <w:pPr>
              <w:pStyle w:val="Caption"/>
              <w:ind w:left="0"/>
              <w:jc w:val="left"/>
            </w:pPr>
            <w:r>
              <w:t>Positive scores (%)</w:t>
            </w:r>
          </w:p>
        </w:tc>
        <w:tc>
          <w:tcPr>
            <w:tcW w:w="1745" w:type="dxa"/>
          </w:tcPr>
          <w:p w14:paraId="52F66588" w14:textId="17615AAC" w:rsidR="001518BD" w:rsidRDefault="001518BD" w:rsidP="008C3709">
            <w:pPr>
              <w:pStyle w:val="Caption"/>
              <w:ind w:left="0"/>
              <w:jc w:val="left"/>
            </w:pPr>
            <w:r>
              <w:t>Mothers (n=3</w:t>
            </w:r>
            <w:r w:rsidR="00DE7BF8">
              <w:t>,</w:t>
            </w:r>
            <w:r>
              <w:t>127)</w:t>
            </w:r>
          </w:p>
        </w:tc>
        <w:tc>
          <w:tcPr>
            <w:tcW w:w="1848" w:type="dxa"/>
          </w:tcPr>
          <w:p w14:paraId="51A1E74D" w14:textId="77777777" w:rsidR="001518BD" w:rsidRDefault="001518BD" w:rsidP="008C3709">
            <w:pPr>
              <w:pStyle w:val="Caption"/>
              <w:ind w:left="0"/>
              <w:jc w:val="left"/>
            </w:pPr>
            <w:r>
              <w:t>Fathers (n=975)</w:t>
            </w:r>
          </w:p>
        </w:tc>
        <w:tc>
          <w:tcPr>
            <w:tcW w:w="1849" w:type="dxa"/>
          </w:tcPr>
          <w:p w14:paraId="4B334718" w14:textId="0D440D24" w:rsidR="001518BD" w:rsidRDefault="001518BD" w:rsidP="008C3709">
            <w:pPr>
              <w:pStyle w:val="Caption"/>
              <w:ind w:left="0"/>
              <w:jc w:val="left"/>
            </w:pPr>
            <w:r>
              <w:t xml:space="preserve">OR (mothers compared </w:t>
            </w:r>
            <w:r w:rsidR="00C46133">
              <w:t xml:space="preserve">with </w:t>
            </w:r>
            <w:r>
              <w:t>fathers)</w:t>
            </w:r>
          </w:p>
        </w:tc>
        <w:tc>
          <w:tcPr>
            <w:tcW w:w="1849" w:type="dxa"/>
          </w:tcPr>
          <w:p w14:paraId="093B408F" w14:textId="06B8D3CE" w:rsidR="001518BD" w:rsidRDefault="001518BD" w:rsidP="008C3709">
            <w:pPr>
              <w:pStyle w:val="Caption"/>
              <w:ind w:left="0"/>
              <w:jc w:val="left"/>
            </w:pPr>
            <w:r>
              <w:t xml:space="preserve">p-value (mothers compared </w:t>
            </w:r>
            <w:r w:rsidR="00DE7BF8">
              <w:t xml:space="preserve">with </w:t>
            </w:r>
            <w:r>
              <w:t>fathers)</w:t>
            </w:r>
          </w:p>
        </w:tc>
      </w:tr>
      <w:tr w:rsidR="001518BD" w14:paraId="4CBE600F" w14:textId="77777777" w:rsidTr="00037963">
        <w:tc>
          <w:tcPr>
            <w:tcW w:w="1951" w:type="dxa"/>
          </w:tcPr>
          <w:p w14:paraId="457C00C7" w14:textId="1AD95417" w:rsidR="001518BD" w:rsidRDefault="001518BD" w:rsidP="008C3709">
            <w:pPr>
              <w:pStyle w:val="Tabletext1"/>
              <w:ind w:left="0"/>
              <w:jc w:val="left"/>
            </w:pPr>
            <w:r>
              <w:t>HADS</w:t>
            </w:r>
            <w:r w:rsidR="000950D4">
              <w:t>—</w:t>
            </w:r>
            <w:r w:rsidR="00DE7BF8">
              <w:t>d</w:t>
            </w:r>
            <w:r>
              <w:t>epression</w:t>
            </w:r>
          </w:p>
        </w:tc>
        <w:tc>
          <w:tcPr>
            <w:tcW w:w="1745" w:type="dxa"/>
          </w:tcPr>
          <w:p w14:paraId="4136AF81" w14:textId="77777777" w:rsidR="001518BD" w:rsidRDefault="001518BD" w:rsidP="008C3709">
            <w:pPr>
              <w:pStyle w:val="Tabletext1"/>
              <w:ind w:left="0"/>
              <w:jc w:val="left"/>
            </w:pPr>
            <w:r>
              <w:t>618 (20</w:t>
            </w:r>
            <w:r w:rsidR="00642024">
              <w:t>%</w:t>
            </w:r>
            <w:r>
              <w:t>)</w:t>
            </w:r>
          </w:p>
        </w:tc>
        <w:tc>
          <w:tcPr>
            <w:tcW w:w="1848" w:type="dxa"/>
          </w:tcPr>
          <w:p w14:paraId="69F7C034" w14:textId="77777777" w:rsidR="001518BD" w:rsidRDefault="001518BD" w:rsidP="008C3709">
            <w:pPr>
              <w:pStyle w:val="Tabletext1"/>
              <w:ind w:left="0"/>
              <w:jc w:val="left"/>
            </w:pPr>
            <w:r>
              <w:t>173 (18</w:t>
            </w:r>
            <w:r w:rsidR="00642024">
              <w:t>%</w:t>
            </w:r>
            <w:r>
              <w:t>)</w:t>
            </w:r>
          </w:p>
        </w:tc>
        <w:tc>
          <w:tcPr>
            <w:tcW w:w="1849" w:type="dxa"/>
          </w:tcPr>
          <w:p w14:paraId="60956AA6" w14:textId="77777777" w:rsidR="001518BD" w:rsidRDefault="001518BD" w:rsidP="008C3709">
            <w:pPr>
              <w:pStyle w:val="Tabletext1"/>
              <w:ind w:left="0"/>
              <w:jc w:val="left"/>
            </w:pPr>
            <w:r>
              <w:t>1.15</w:t>
            </w:r>
          </w:p>
        </w:tc>
        <w:tc>
          <w:tcPr>
            <w:tcW w:w="1849" w:type="dxa"/>
          </w:tcPr>
          <w:p w14:paraId="5F294163" w14:textId="77777777" w:rsidR="001518BD" w:rsidRDefault="001518BD" w:rsidP="008C3709">
            <w:pPr>
              <w:pStyle w:val="Tabletext1"/>
              <w:ind w:left="0"/>
              <w:jc w:val="left"/>
            </w:pPr>
            <w:r>
              <w:t>0.142</w:t>
            </w:r>
          </w:p>
        </w:tc>
      </w:tr>
      <w:tr w:rsidR="001518BD" w14:paraId="67AAD00E" w14:textId="77777777" w:rsidTr="00037963">
        <w:tc>
          <w:tcPr>
            <w:tcW w:w="1951" w:type="dxa"/>
          </w:tcPr>
          <w:p w14:paraId="3E780B45" w14:textId="77777777" w:rsidR="001518BD" w:rsidRDefault="001518BD" w:rsidP="008C3709">
            <w:pPr>
              <w:pStyle w:val="Tabletext1"/>
              <w:ind w:left="0"/>
              <w:jc w:val="left"/>
            </w:pPr>
            <w:r>
              <w:t>CES-D</w:t>
            </w:r>
          </w:p>
        </w:tc>
        <w:tc>
          <w:tcPr>
            <w:tcW w:w="1745" w:type="dxa"/>
          </w:tcPr>
          <w:p w14:paraId="1E553E85" w14:textId="24E7C122" w:rsidR="001518BD" w:rsidRDefault="001518BD" w:rsidP="008C3709">
            <w:pPr>
              <w:pStyle w:val="Tabletext1"/>
              <w:ind w:left="0"/>
              <w:jc w:val="left"/>
            </w:pPr>
            <w:r>
              <w:t>1</w:t>
            </w:r>
            <w:r w:rsidR="00DE7BF8">
              <w:t>,</w:t>
            </w:r>
            <w:r>
              <w:t>057 (34</w:t>
            </w:r>
            <w:r w:rsidR="00642024">
              <w:t>%</w:t>
            </w:r>
            <w:r>
              <w:t>)</w:t>
            </w:r>
          </w:p>
        </w:tc>
        <w:tc>
          <w:tcPr>
            <w:tcW w:w="1848" w:type="dxa"/>
          </w:tcPr>
          <w:p w14:paraId="474C2FBC" w14:textId="77777777" w:rsidR="001518BD" w:rsidRDefault="001518BD" w:rsidP="008C3709">
            <w:pPr>
              <w:pStyle w:val="Tabletext1"/>
              <w:ind w:left="0"/>
              <w:jc w:val="left"/>
            </w:pPr>
            <w:r>
              <w:t>240 (25</w:t>
            </w:r>
            <w:r w:rsidR="00642024">
              <w:t>%</w:t>
            </w:r>
            <w:r>
              <w:t>)</w:t>
            </w:r>
          </w:p>
        </w:tc>
        <w:tc>
          <w:tcPr>
            <w:tcW w:w="1849" w:type="dxa"/>
          </w:tcPr>
          <w:p w14:paraId="50D01AB5" w14:textId="77777777" w:rsidR="001518BD" w:rsidRDefault="001518BD" w:rsidP="008C3709">
            <w:pPr>
              <w:pStyle w:val="Tabletext1"/>
              <w:ind w:left="0"/>
              <w:jc w:val="left"/>
            </w:pPr>
            <w:r>
              <w:t>1.58</w:t>
            </w:r>
          </w:p>
        </w:tc>
        <w:tc>
          <w:tcPr>
            <w:tcW w:w="1849" w:type="dxa"/>
          </w:tcPr>
          <w:p w14:paraId="5A9D82AB" w14:textId="77777777" w:rsidR="001518BD" w:rsidRDefault="001518BD" w:rsidP="008C3709">
            <w:pPr>
              <w:pStyle w:val="Tabletext1"/>
              <w:ind w:left="0"/>
              <w:jc w:val="left"/>
            </w:pPr>
            <w:r>
              <w:t>&lt;0.001</w:t>
            </w:r>
          </w:p>
        </w:tc>
      </w:tr>
      <w:tr w:rsidR="001518BD" w14:paraId="4FE9F531" w14:textId="77777777" w:rsidTr="00037963">
        <w:tc>
          <w:tcPr>
            <w:tcW w:w="1951" w:type="dxa"/>
          </w:tcPr>
          <w:p w14:paraId="1EFCA58B" w14:textId="77777777" w:rsidR="001518BD" w:rsidRDefault="001518BD" w:rsidP="008C3709">
            <w:pPr>
              <w:pStyle w:val="Tabletext1"/>
              <w:ind w:left="0"/>
              <w:jc w:val="left"/>
            </w:pPr>
            <w:r>
              <w:t>Either HADS or CES-D</w:t>
            </w:r>
          </w:p>
        </w:tc>
        <w:tc>
          <w:tcPr>
            <w:tcW w:w="1745" w:type="dxa"/>
          </w:tcPr>
          <w:p w14:paraId="5D679405" w14:textId="69E8EAEC" w:rsidR="001518BD" w:rsidRDefault="001518BD" w:rsidP="008C3709">
            <w:pPr>
              <w:pStyle w:val="Tabletext1"/>
              <w:ind w:left="0"/>
              <w:jc w:val="left"/>
            </w:pPr>
            <w:r>
              <w:t>1</w:t>
            </w:r>
            <w:r w:rsidR="00DE7BF8">
              <w:t>,</w:t>
            </w:r>
            <w:r>
              <w:t>165 (37</w:t>
            </w:r>
            <w:r w:rsidR="00642024">
              <w:t>%</w:t>
            </w:r>
            <w:r>
              <w:t>)</w:t>
            </w:r>
          </w:p>
        </w:tc>
        <w:tc>
          <w:tcPr>
            <w:tcW w:w="1848" w:type="dxa"/>
          </w:tcPr>
          <w:p w14:paraId="69A66B71" w14:textId="77777777" w:rsidR="001518BD" w:rsidRDefault="001518BD" w:rsidP="008C3709">
            <w:pPr>
              <w:pStyle w:val="Tabletext1"/>
              <w:ind w:left="0"/>
              <w:jc w:val="left"/>
            </w:pPr>
            <w:r>
              <w:t>305 (31</w:t>
            </w:r>
            <w:r w:rsidR="00642024">
              <w:t>%</w:t>
            </w:r>
            <w:r>
              <w:t>)</w:t>
            </w:r>
          </w:p>
        </w:tc>
        <w:tc>
          <w:tcPr>
            <w:tcW w:w="1849" w:type="dxa"/>
          </w:tcPr>
          <w:p w14:paraId="3074AFE9" w14:textId="77777777" w:rsidR="001518BD" w:rsidRDefault="001518BD" w:rsidP="008C3709">
            <w:pPr>
              <w:pStyle w:val="Tabletext1"/>
              <w:ind w:left="0"/>
              <w:jc w:val="left"/>
            </w:pPr>
            <w:r>
              <w:t>1.34</w:t>
            </w:r>
          </w:p>
        </w:tc>
        <w:tc>
          <w:tcPr>
            <w:tcW w:w="1849" w:type="dxa"/>
          </w:tcPr>
          <w:p w14:paraId="078D39AA" w14:textId="77777777" w:rsidR="001518BD" w:rsidRDefault="001518BD" w:rsidP="008C3709">
            <w:pPr>
              <w:pStyle w:val="Tabletext1"/>
              <w:ind w:left="0"/>
              <w:jc w:val="left"/>
            </w:pPr>
            <w:r>
              <w:t>&lt;0.001</w:t>
            </w:r>
          </w:p>
        </w:tc>
      </w:tr>
      <w:tr w:rsidR="001518BD" w14:paraId="7E28C72E" w14:textId="77777777" w:rsidTr="00037963">
        <w:tc>
          <w:tcPr>
            <w:tcW w:w="1951" w:type="dxa"/>
          </w:tcPr>
          <w:p w14:paraId="5D7028BF" w14:textId="0923A292" w:rsidR="001518BD" w:rsidRDefault="001518BD" w:rsidP="008C3709">
            <w:pPr>
              <w:pStyle w:val="Tabletext1"/>
              <w:ind w:left="0"/>
              <w:jc w:val="left"/>
            </w:pPr>
            <w:r>
              <w:t>HADS</w:t>
            </w:r>
            <w:r w:rsidR="000950D4">
              <w:t>—</w:t>
            </w:r>
            <w:r w:rsidR="00DE7BF8">
              <w:t>a</w:t>
            </w:r>
            <w:r>
              <w:t>nxiety</w:t>
            </w:r>
          </w:p>
        </w:tc>
        <w:tc>
          <w:tcPr>
            <w:tcW w:w="1745" w:type="dxa"/>
          </w:tcPr>
          <w:p w14:paraId="32D82052" w14:textId="27895B11" w:rsidR="001518BD" w:rsidRDefault="001518BD" w:rsidP="008C3709">
            <w:pPr>
              <w:pStyle w:val="Tabletext1"/>
              <w:ind w:left="0"/>
              <w:jc w:val="left"/>
            </w:pPr>
            <w:r>
              <w:t>1</w:t>
            </w:r>
            <w:r w:rsidR="00DE7BF8">
              <w:t>,</w:t>
            </w:r>
            <w:r>
              <w:t>496 (48</w:t>
            </w:r>
            <w:r w:rsidR="00642024">
              <w:t>%</w:t>
            </w:r>
            <w:r>
              <w:t>)</w:t>
            </w:r>
          </w:p>
        </w:tc>
        <w:tc>
          <w:tcPr>
            <w:tcW w:w="1848" w:type="dxa"/>
          </w:tcPr>
          <w:p w14:paraId="285CCA13" w14:textId="77777777" w:rsidR="001518BD" w:rsidRDefault="001518BD" w:rsidP="008C3709">
            <w:pPr>
              <w:pStyle w:val="Tabletext1"/>
              <w:ind w:left="0"/>
              <w:jc w:val="left"/>
            </w:pPr>
            <w:r>
              <w:t>343 (36</w:t>
            </w:r>
            <w:r w:rsidR="00642024">
              <w:t>%</w:t>
            </w:r>
            <w:r>
              <w:t>)</w:t>
            </w:r>
          </w:p>
        </w:tc>
        <w:tc>
          <w:tcPr>
            <w:tcW w:w="1849" w:type="dxa"/>
          </w:tcPr>
          <w:p w14:paraId="0AC0FE0B" w14:textId="77777777" w:rsidR="001518BD" w:rsidRDefault="001518BD" w:rsidP="008C3709">
            <w:pPr>
              <w:pStyle w:val="Tabletext1"/>
              <w:ind w:left="0"/>
              <w:jc w:val="left"/>
            </w:pPr>
            <w:r>
              <w:t>1.70</w:t>
            </w:r>
          </w:p>
        </w:tc>
        <w:tc>
          <w:tcPr>
            <w:tcW w:w="1849" w:type="dxa"/>
          </w:tcPr>
          <w:p w14:paraId="28DE95E2" w14:textId="77777777" w:rsidR="001518BD" w:rsidRDefault="001518BD" w:rsidP="008C3709">
            <w:pPr>
              <w:pStyle w:val="Tabletext1"/>
              <w:ind w:left="0"/>
              <w:jc w:val="left"/>
            </w:pPr>
            <w:r>
              <w:t>&lt;0.001</w:t>
            </w:r>
          </w:p>
        </w:tc>
      </w:tr>
    </w:tbl>
    <w:p w14:paraId="6B095EA1" w14:textId="37207E8D" w:rsidR="00135C9B" w:rsidRPr="008C3709" w:rsidRDefault="00135C9B" w:rsidP="008C3709">
      <w:pPr>
        <w:pStyle w:val="Tabletext1"/>
        <w:keepNext/>
        <w:spacing w:before="0" w:after="0"/>
        <w:rPr>
          <w:sz w:val="18"/>
          <w:szCs w:val="18"/>
        </w:rPr>
      </w:pPr>
      <w:r w:rsidRPr="008C3709">
        <w:rPr>
          <w:sz w:val="18"/>
          <w:szCs w:val="18"/>
        </w:rPr>
        <w:t xml:space="preserve">Source: </w:t>
      </w:r>
      <w:r w:rsidRPr="008C3709">
        <w:rPr>
          <w:sz w:val="18"/>
          <w:szCs w:val="18"/>
        </w:rPr>
        <w:fldChar w:fldCharType="begin">
          <w:fldData xml:space="preserve">PEVuZE5vdGU+PENpdGU+PEF1dGhvcj5RdWl0dG5lcjwvQXV0aG9yPjxZZWFyPjIwMTQ8L1llYXI+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</w:fldData>
        </w:fldChar>
      </w:r>
      <w:r w:rsidRPr="008C3709">
        <w:rPr>
          <w:sz w:val="18"/>
          <w:szCs w:val="18"/>
        </w:rPr>
        <w:instrText xml:space="preserve"> ADDIN EN.CITE </w:instrText>
      </w:r>
      <w:r w:rsidRPr="008C3709">
        <w:rPr>
          <w:sz w:val="18"/>
          <w:szCs w:val="18"/>
        </w:rPr>
        <w:fldChar w:fldCharType="begin">
          <w:fldData xml:space="preserve">PEVuZE5vdGU+PENpdGU+PEF1dGhvcj5RdWl0dG5lcjwvQXV0aG9yPjxZZWFyPjIwMTQ8L1llYXI+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</w:fldData>
        </w:fldChar>
      </w:r>
      <w:r w:rsidRPr="008C3709">
        <w:rPr>
          <w:sz w:val="18"/>
          <w:szCs w:val="18"/>
        </w:rPr>
        <w:instrText xml:space="preserve"> ADDIN EN.CITE.DATA </w:instrText>
      </w:r>
      <w:r w:rsidRPr="008C3709">
        <w:rPr>
          <w:sz w:val="18"/>
          <w:szCs w:val="18"/>
        </w:rPr>
      </w:r>
      <w:r w:rsidRPr="008C3709">
        <w:rPr>
          <w:sz w:val="18"/>
          <w:szCs w:val="18"/>
        </w:rPr>
        <w:fldChar w:fldCharType="end"/>
      </w:r>
      <w:r w:rsidRPr="008C3709">
        <w:rPr>
          <w:sz w:val="18"/>
          <w:szCs w:val="18"/>
        </w:rPr>
      </w:r>
      <w:r w:rsidRPr="008C3709">
        <w:rPr>
          <w:sz w:val="18"/>
          <w:szCs w:val="18"/>
        </w:rPr>
        <w:fldChar w:fldCharType="separate"/>
      </w:r>
      <w:hyperlink w:anchor="_ENREF_95" w:tooltip="Quittner, 2014 #681" w:history="1">
        <w:r w:rsidRPr="008C3709">
          <w:rPr>
            <w:noProof/>
            <w:sz w:val="18"/>
            <w:szCs w:val="18"/>
          </w:rPr>
          <w:t>Quittner et al. (2014</w:t>
        </w:r>
      </w:hyperlink>
      <w:r w:rsidRPr="008C3709">
        <w:rPr>
          <w:noProof/>
          <w:sz w:val="18"/>
          <w:szCs w:val="18"/>
        </w:rPr>
        <w:t>)</w:t>
      </w:r>
      <w:r w:rsidRPr="008C3709">
        <w:rPr>
          <w:sz w:val="18"/>
          <w:szCs w:val="18"/>
        </w:rPr>
        <w:fldChar w:fldCharType="end"/>
      </w:r>
    </w:p>
    <w:p w14:paraId="7D6E25DF" w14:textId="25FBA64B" w:rsidR="001518BD" w:rsidRPr="008C3709" w:rsidRDefault="009541D9" w:rsidP="008C3709">
      <w:pPr>
        <w:pStyle w:val="Tabletext1"/>
        <w:keepNext/>
        <w:spacing w:before="0" w:after="0"/>
        <w:rPr>
          <w:sz w:val="18"/>
          <w:szCs w:val="18"/>
        </w:rPr>
      </w:pPr>
      <w:r w:rsidRPr="008C3709">
        <w:rPr>
          <w:sz w:val="18"/>
          <w:szCs w:val="18"/>
        </w:rPr>
        <w:t>CES-D = Center for Epidemiologic Studies – Depression Scale, HADS = Hospital Anxiety and Depression Scale</w:t>
      </w:r>
      <w:r w:rsidR="00453ED3">
        <w:rPr>
          <w:sz w:val="18"/>
          <w:szCs w:val="18"/>
        </w:rPr>
        <w:t>; OR = odds ratio</w:t>
      </w:r>
    </w:p>
    <w:p w14:paraId="2514B45D" w14:textId="77777777" w:rsidR="009541D9" w:rsidRDefault="009541D9" w:rsidP="009541D9">
      <w:pPr>
        <w:pStyle w:val="Tabletext1"/>
      </w:pPr>
    </w:p>
    <w:p w14:paraId="05AFC717" w14:textId="473B4B1E" w:rsidR="001518BD" w:rsidRDefault="001518BD" w:rsidP="001518BD">
      <w:r>
        <w:t xml:space="preserve">Depression and anxiety in mothers </w:t>
      </w:r>
      <w:r w:rsidR="00DE7BF8">
        <w:t xml:space="preserve">were </w:t>
      </w:r>
      <w:r>
        <w:t>associated with their children undergoing recent intravenous antibiotics, receiving psychotherapy and the child being a younger age. In fathers the only variable associated with depression was their child recently undergoing intravenous antibiotics.</w:t>
      </w:r>
    </w:p>
    <w:p w14:paraId="43756032" w14:textId="48BD8FA5" w:rsidR="00402BEF" w:rsidRDefault="001518BD" w:rsidP="00B45FA8">
      <w:pPr>
        <w:pStyle w:val="Heading3"/>
      </w:pPr>
      <w:bookmarkStart w:id="285" w:name="_Toc418179915"/>
      <w:r>
        <w:t>B.8.2.</w:t>
      </w:r>
      <w:r w:rsidR="005A108B">
        <w:tab/>
      </w:r>
      <w:r w:rsidR="00402BEF">
        <w:t>Conclusions on clinical effectiveness and safety</w:t>
      </w:r>
      <w:bookmarkEnd w:id="285"/>
    </w:p>
    <w:p w14:paraId="08F849C4" w14:textId="34091DE5" w:rsidR="00DD7A6A" w:rsidRDefault="00402FBA" w:rsidP="00402FBA">
      <w:r w:rsidRPr="002E2A40">
        <w:t>It is important to clas</w:t>
      </w:r>
      <w:r w:rsidR="00D34032">
        <w:t xml:space="preserve">sify the </w:t>
      </w:r>
      <w:r w:rsidR="007B5847">
        <w:t>diagnostic accuracy</w:t>
      </w:r>
      <w:r w:rsidR="00D34032">
        <w:t xml:space="preserve"> of</w:t>
      </w:r>
      <w:r w:rsidR="00DD7A6A">
        <w:t xml:space="preserve"> </w:t>
      </w:r>
      <w:r w:rsidR="00FD37D3" w:rsidRPr="00FD37D3">
        <w:t>CFTR</w:t>
      </w:r>
      <w:r w:rsidR="00DD7A6A">
        <w:t xml:space="preserve"> mutation testing and the associated change in management (</w:t>
      </w:r>
      <w:r w:rsidR="006B781B">
        <w:t>the option of</w:t>
      </w:r>
      <w:r w:rsidR="00DD7A6A">
        <w:t xml:space="preserve"> TOP) in relation to no genetic testing. </w:t>
      </w:r>
      <w:r w:rsidR="007B5847">
        <w:t xml:space="preserve">The diagnostic accuracy was assessed for all included indications, but the further implications of testing were only considered for prenatal </w:t>
      </w:r>
      <w:r w:rsidR="00FD37D3" w:rsidRPr="00FD37D3">
        <w:t>CFTR</w:t>
      </w:r>
      <w:r w:rsidR="007B5847">
        <w:t xml:space="preserve"> testing. The reasons for not assessing the implications of the other tests are outlined in </w:t>
      </w:r>
      <w:r w:rsidR="007B5847">
        <w:fldChar w:fldCharType="begin"/>
      </w:r>
      <w:r w:rsidR="007B5847">
        <w:instrText xml:space="preserve"> REF _Ref401920123 \h </w:instrText>
      </w:r>
      <w:r w:rsidR="007B5847">
        <w:fldChar w:fldCharType="separate"/>
      </w:r>
      <w:r w:rsidR="00BB0E3E">
        <w:t xml:space="preserve">Table </w:t>
      </w:r>
      <w:r w:rsidR="00BB0E3E">
        <w:rPr>
          <w:noProof/>
        </w:rPr>
        <w:t>9</w:t>
      </w:r>
      <w:r w:rsidR="007B5847">
        <w:fldChar w:fldCharType="end"/>
      </w:r>
      <w:r w:rsidR="007B5847">
        <w:t>.</w:t>
      </w:r>
    </w:p>
    <w:p w14:paraId="38329163" w14:textId="7FF906B1" w:rsidR="00581F5C" w:rsidRDefault="00E85A1B" w:rsidP="007C63EF">
      <w:r>
        <w:t xml:space="preserve">No studies meeting the PICO criteria regarding direct effectiveness or safety of </w:t>
      </w:r>
      <w:r w:rsidR="00FD37D3" w:rsidRPr="00FD37D3">
        <w:t>CFTR</w:t>
      </w:r>
      <w:r>
        <w:t xml:space="preserve"> mutation testing were identified. However, DNA retrieval for a genetic test (for </w:t>
      </w:r>
      <w:r w:rsidR="0067459F">
        <w:t>NBS</w:t>
      </w:r>
      <w:r>
        <w:t xml:space="preserve">, symptomatic patients or carrier testing) is usually done through a routine blood test and is generally considered safe. </w:t>
      </w:r>
      <w:r w:rsidR="000F0C9A">
        <w:t>More</w:t>
      </w:r>
      <w:r w:rsidR="00B36050">
        <w:t>-</w:t>
      </w:r>
      <w:r w:rsidR="000F0C9A">
        <w:t>invasive testing is</w:t>
      </w:r>
      <w:r w:rsidR="00766EFB">
        <w:t xml:space="preserve"> involved with p</w:t>
      </w:r>
      <w:r>
        <w:t>renatal</w:t>
      </w:r>
      <w:r w:rsidR="00766EFB">
        <w:t xml:space="preserve"> </w:t>
      </w:r>
      <w:r w:rsidR="00FD37D3" w:rsidRPr="00FD37D3">
        <w:t>CFTR</w:t>
      </w:r>
      <w:r>
        <w:t xml:space="preserve"> testing</w:t>
      </w:r>
      <w:r w:rsidR="000F0C9A">
        <w:t xml:space="preserve"> (</w:t>
      </w:r>
      <w:r w:rsidR="00A734A3">
        <w:t>CVS</w:t>
      </w:r>
      <w:r w:rsidR="00766EFB">
        <w:t xml:space="preserve"> and amniocentesis</w:t>
      </w:r>
      <w:r w:rsidR="000F0C9A">
        <w:t>)</w:t>
      </w:r>
      <w:r w:rsidR="00B36050">
        <w:t>,</w:t>
      </w:r>
      <w:r w:rsidR="00766EFB">
        <w:t xml:space="preserve"> </w:t>
      </w:r>
      <w:r w:rsidR="000F0C9A">
        <w:t>the safety of which</w:t>
      </w:r>
      <w:r w:rsidR="00766EFB">
        <w:t xml:space="preserve"> </w:t>
      </w:r>
      <w:r w:rsidR="00B36050">
        <w:t xml:space="preserve">is </w:t>
      </w:r>
      <w:r w:rsidR="00766EFB">
        <w:t xml:space="preserve">investigated in section </w:t>
      </w:r>
      <w:r w:rsidR="002B40DB">
        <w:t>B.8.1</w:t>
      </w:r>
      <w:r w:rsidR="00766EFB">
        <w:t>.</w:t>
      </w:r>
      <w:r w:rsidR="00DF5916">
        <w:t xml:space="preserve"> </w:t>
      </w:r>
      <w:r w:rsidR="00766EFB">
        <w:t>The</w:t>
      </w:r>
      <w:r w:rsidR="000E76AE">
        <w:t xml:space="preserve"> absolute</w:t>
      </w:r>
      <w:r w:rsidR="00766EFB">
        <w:t xml:space="preserve"> risk of pregnancy loss increased </w:t>
      </w:r>
      <w:r w:rsidR="000E76AE">
        <w:t>by</w:t>
      </w:r>
      <w:r w:rsidR="00766EFB">
        <w:t xml:space="preserve"> 1% in</w:t>
      </w:r>
      <w:r w:rsidR="000E76AE">
        <w:t xml:space="preserve"> women who underwent an</w:t>
      </w:r>
      <w:r w:rsidR="00766EFB">
        <w:t xml:space="preserve"> amniocentesis</w:t>
      </w:r>
      <w:r w:rsidR="000E76AE">
        <w:t xml:space="preserve">, compared </w:t>
      </w:r>
      <w:r w:rsidR="00B36050">
        <w:t xml:space="preserve">with </w:t>
      </w:r>
      <w:r w:rsidR="000E76AE">
        <w:t>non-invasive imaging</w:t>
      </w:r>
      <w:r w:rsidR="00766EFB">
        <w:t xml:space="preserve"> (3.2% </w:t>
      </w:r>
      <w:r w:rsidR="000E76AE">
        <w:t>versus</w:t>
      </w:r>
      <w:r w:rsidR="00766EFB">
        <w:t xml:space="preserve"> 2.2%)</w:t>
      </w:r>
      <w:r w:rsidR="00B36050">
        <w:t>,</w:t>
      </w:r>
      <w:r w:rsidR="000E76AE">
        <w:t xml:space="preserve"> as reported</w:t>
      </w:r>
      <w:r w:rsidR="00766EFB">
        <w:t xml:space="preserve"> in the only large RCT on amniocentesis performed (</w:t>
      </w:r>
      <w:r w:rsidR="000F0C9A">
        <w:t xml:space="preserve">in </w:t>
      </w:r>
      <w:r w:rsidR="00766EFB">
        <w:t xml:space="preserve">1986). Since then, procedures have improved </w:t>
      </w:r>
      <w:r w:rsidR="00766EFB">
        <w:lastRenderedPageBreak/>
        <w:t xml:space="preserve">and the most recent systematic review showed a loss attributable to amniocentesis of </w:t>
      </w:r>
      <w:r w:rsidR="007F6227">
        <w:t xml:space="preserve">only </w:t>
      </w:r>
      <w:r w:rsidR="00766EFB">
        <w:t>0.1%</w:t>
      </w:r>
      <w:r w:rsidR="00EF738F">
        <w:t xml:space="preserve"> </w:t>
      </w:r>
      <w:r w:rsidR="00EF738F" w:rsidRPr="00EF738F">
        <w:t>(95% CI –0.04</w:t>
      </w:r>
      <w:r w:rsidR="004847EC">
        <w:t>,</w:t>
      </w:r>
      <w:r w:rsidR="00EF738F" w:rsidRPr="00EF738F">
        <w:t xml:space="preserve"> 0.26)</w:t>
      </w:r>
      <w:r w:rsidR="00766EFB">
        <w:t xml:space="preserve"> </w:t>
      </w:r>
      <w:r w:rsidR="002D6F40">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 </w:instrText>
      </w:r>
      <w:r w:rsidR="009A054F">
        <w:fldChar w:fldCharType="begin">
          <w:fldData xml:space="preserve">PEVuZE5vdGU+PENpdGU+PEF1dGhvcj5Ba29sZWthcjwvQXV0aG9yPjxZZWFyPjIwMTU8L1llYXI+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LTE+PC9wZXJpb2RpY2FsPjxhbHQtcGVyaW9kaWNhbD48ZnVsbC10aXRsZT5VbHRyYXNvdW5kIE9i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</w:fldData>
        </w:fldChar>
      </w:r>
      <w:r w:rsidR="009A054F">
        <w:instrText xml:space="preserve"> ADDIN EN.CITE.DATA </w:instrText>
      </w:r>
      <w:r w:rsidR="009A054F">
        <w:fldChar w:fldCharType="end"/>
      </w:r>
      <w:r w:rsidR="002D6F40">
        <w:fldChar w:fldCharType="separate"/>
      </w:r>
      <w:r w:rsidR="002D6F40">
        <w:rPr>
          <w:noProof/>
        </w:rPr>
        <w:t>(</w:t>
      </w:r>
      <w:hyperlink w:anchor="_ENREF_1" w:tooltip="Akolekar, 2015 #88" w:history="1">
        <w:r w:rsidR="00B46ABF">
          <w:rPr>
            <w:noProof/>
          </w:rPr>
          <w:t>Akolekar et al. 2015</w:t>
        </w:r>
      </w:hyperlink>
      <w:r w:rsidR="002D6F40">
        <w:rPr>
          <w:noProof/>
        </w:rPr>
        <w:t>)</w:t>
      </w:r>
      <w:r w:rsidR="002D6F40">
        <w:fldChar w:fldCharType="end"/>
      </w:r>
      <w:r w:rsidR="00766EFB">
        <w:t xml:space="preserve">. </w:t>
      </w:r>
      <w:r w:rsidR="007A7B82">
        <w:t>For CVS t</w:t>
      </w:r>
      <w:r w:rsidR="00766EFB">
        <w:t>he systematic review reported a loss estimate of around 0.2%</w:t>
      </w:r>
      <w:r w:rsidR="00EF738F">
        <w:t xml:space="preserve"> </w:t>
      </w:r>
      <w:r w:rsidR="00EF738F" w:rsidRPr="00EF738F">
        <w:t>(95%CI –0.71</w:t>
      </w:r>
      <w:r w:rsidR="004847EC">
        <w:t>,</w:t>
      </w:r>
      <w:r w:rsidR="00EF738F" w:rsidRPr="00EF738F">
        <w:t xml:space="preserve"> 1.16)</w:t>
      </w:r>
      <w:r w:rsidR="00011134">
        <w:t xml:space="preserve"> attributable to the procedure</w:t>
      </w:r>
      <w:r w:rsidR="00766EFB">
        <w:t xml:space="preserve">. </w:t>
      </w:r>
      <w:r w:rsidR="007A7B82">
        <w:t xml:space="preserve">No RCTs examining the risks of pregnancy loss in women </w:t>
      </w:r>
      <w:r w:rsidR="00D951E0">
        <w:t xml:space="preserve">undergoing CVS compared </w:t>
      </w:r>
      <w:r w:rsidR="00B36050">
        <w:t xml:space="preserve">with </w:t>
      </w:r>
      <w:r w:rsidR="00D951E0">
        <w:t>no invasive testing have been conducted. Akolekar et al. (2015) reported that the findings of the</w:t>
      </w:r>
      <w:r w:rsidR="000F0C9A">
        <w:t xml:space="preserve"> most recent</w:t>
      </w:r>
      <w:r w:rsidR="00D951E0">
        <w:t xml:space="preserve"> systematic review demonstrate that the risk of miscarriage before 24</w:t>
      </w:r>
      <w:r w:rsidR="00B36050">
        <w:t> </w:t>
      </w:r>
      <w:r w:rsidR="00D951E0">
        <w:t>weeks’ gestation in women undergoing CVS or amniocentesis was not significantly different from that of those not undergoing an invasive procedure.</w:t>
      </w:r>
      <w:r w:rsidR="000F0C9A">
        <w:t xml:space="preserve"> Other</w:t>
      </w:r>
      <w:r w:rsidR="00207CD2">
        <w:t xml:space="preserve"> </w:t>
      </w:r>
      <w:r w:rsidR="00CE2357">
        <w:t>less severe</w:t>
      </w:r>
      <w:r w:rsidR="006B781B">
        <w:t xml:space="preserve"> (rare)</w:t>
      </w:r>
      <w:r w:rsidR="000F0C9A">
        <w:t xml:space="preserve"> complications</w:t>
      </w:r>
      <w:r w:rsidR="00207CD2">
        <w:t xml:space="preserve"> of amniocentesis are abdominal pain, amniotic fluid leakage and vaginal bleeding.</w:t>
      </w:r>
    </w:p>
    <w:p w14:paraId="07004AC0" w14:textId="1F4B1C8D" w:rsidR="007C63EF" w:rsidRDefault="007C63EF" w:rsidP="007C63EF">
      <w:r>
        <w:t xml:space="preserve">For </w:t>
      </w:r>
      <w:r w:rsidRPr="003F1E10">
        <w:t>assessment of</w:t>
      </w:r>
      <w:r w:rsidR="00581F5C">
        <w:t xml:space="preserve"> the body of evidence </w:t>
      </w:r>
      <w:r w:rsidR="00B36050">
        <w:t>relating to</w:t>
      </w:r>
      <w:r w:rsidRPr="003F1E10">
        <w:t xml:space="preserve"> </w:t>
      </w:r>
      <w:r>
        <w:t>test accuracy</w:t>
      </w:r>
      <w:r w:rsidR="00581F5C">
        <w:t>,</w:t>
      </w:r>
      <w:r>
        <w:t xml:space="preserve"> a</w:t>
      </w:r>
      <w:r w:rsidRPr="00794CFB">
        <w:t xml:space="preserve">n evidence </w:t>
      </w:r>
      <w:r>
        <w:t xml:space="preserve">rating </w:t>
      </w:r>
      <w:r w:rsidRPr="00794CFB">
        <w:t xml:space="preserve">from A (excellent) to D (poor) </w:t>
      </w:r>
      <w:r>
        <w:t>was</w:t>
      </w:r>
      <w:r w:rsidRPr="00794CFB">
        <w:t xml:space="preserve"> assigned</w:t>
      </w:r>
      <w:r>
        <w:t xml:space="preserve"> to</w:t>
      </w:r>
      <w:r w:rsidR="00DF5916">
        <w:t xml:space="preserve"> </w:t>
      </w:r>
      <w:r w:rsidRPr="00794CFB">
        <w:t xml:space="preserve">each of the components in the body of evidence matrix </w:t>
      </w:r>
      <w:r>
        <w:t>provided</w:t>
      </w:r>
      <w:r w:rsidRPr="00794CFB">
        <w:t xml:space="preserve"> in </w:t>
      </w:r>
      <w:r>
        <w:fldChar w:fldCharType="begin"/>
      </w:r>
      <w:r>
        <w:instrText xml:space="preserve"> REF _Ref239060225 \h  \* MERGEFORMAT </w:instrText>
      </w:r>
      <w:r>
        <w:fldChar w:fldCharType="separate"/>
      </w:r>
      <w:r w:rsidR="00BB0E3E">
        <w:t xml:space="preserve">Table </w:t>
      </w:r>
      <w:r w:rsidR="00BB0E3E">
        <w:rPr>
          <w:noProof/>
        </w:rPr>
        <w:t>48</w:t>
      </w:r>
      <w:r>
        <w:fldChar w:fldCharType="end"/>
      </w:r>
      <w:r>
        <w:t xml:space="preserve">, adapted from the NHMRC FORM grading system </w:t>
      </w:r>
      <w:r>
        <w:fldChar w:fldCharType="begin"/>
      </w:r>
      <w:r>
        <w:instrText xml:space="preserve"> ADDIN EN.CITE &lt;EndNote&gt;&lt;Cite&gt;&lt;Author&gt;Hillier&lt;/Author&gt;&lt;Year&gt;2011&lt;/Year&gt;&lt;RecNum&gt;47&lt;/RecNum&gt;&lt;DisplayText&gt;(Hillier et al. 2011)&lt;/DisplayText&gt;&lt;record&gt;&lt;rec-number&gt;47&lt;/rec-number&gt;&lt;foreign-keys&gt;&lt;key app="EN" db-id="s205ztsw6v99t1ee2r6vpat820d0x9tefftv"&gt;47&lt;/key&gt;&lt;/foreign-keys&gt;&lt;ref-type name="Journal Article"&gt;17&lt;/ref-type&gt;&lt;contributors&gt;&lt;authors&gt;&lt;author&gt;Hillier, S.&lt;/author&gt;&lt;author&gt;Grimmer-Somers, K.&lt;/author&gt;&lt;author&gt;Merlin, T.&lt;/author&gt;&lt;author&gt;Middleton, P.&lt;/author&gt;&lt;author&gt;Salisbury, J.&lt;/author&gt;&lt;author&gt;Tooher, R.&lt;/author&gt;&lt;author&gt;Weston, A.&lt;/author&gt;&lt;/authors&gt;&lt;/contributors&gt;&lt;auth-address&gt;international Centre for Allied Health Evidence, University of South Australia, Australia. susan.hillier@unisa.edu.au&lt;/auth-address&gt;&lt;titles&gt;&lt;title&gt;FORM: an Australian method for formulating and grading recommendations in evidence-based clinical guidelines&lt;/title&gt;&lt;secondary-title&gt;BMC Med Res Methodol&lt;/secondary-title&gt;&lt;alt-title&gt;BMC medical research methodology&lt;/alt-title&gt;&lt;/titles&gt;&lt;periodical&gt;&lt;full-title&gt;BMC Med Res Methodol&lt;/full-title&gt;&lt;/periodical&gt;&lt;pages&gt;23&lt;/pages&gt;&lt;volume&gt;11&lt;/volume&gt;&lt;keywords&gt;&lt;keyword&gt;Australia&lt;/keyword&gt;&lt;keyword&gt;*Evidence-Based Medicine&lt;/keyword&gt;&lt;keyword&gt;Humans&lt;/keyword&gt;&lt;keyword&gt;National Health Programs/*organization &amp;amp; administration&lt;/keyword&gt;&lt;keyword&gt;*Practice Guidelines as Topic&lt;/keyword&gt;&lt;/keywords&gt;&lt;dates&gt;&lt;year&gt;2011&lt;/year&gt;&lt;/dates&gt;&lt;isbn&gt;1471-2288 (Electronic)&amp;#xD;1471-2288 (Linking)&lt;/isbn&gt;&lt;accession-num&gt;21356039&lt;/accession-num&gt;&lt;urls&gt;&lt;related-urls&gt;&lt;url&gt;http://www.ncbi.nlm.nih.gov/pubmed/21356039&lt;/url&gt;&lt;url&gt;http://www.ncbi.nlm.nih.gov/pmc/articles/PMC3053308/pdf/1471-2288-11-23.pdf&lt;/url&gt;&lt;/related-urls&gt;&lt;/urls&gt;&lt;custom2&gt;3053308&lt;/custom2&gt;&lt;electronic-resource-num&gt;10.1186/1471-2288-11-23&lt;/electronic-resource-num&gt;&lt;/record&gt;&lt;/Cite&gt;&lt;/EndNote&gt;</w:instrText>
      </w:r>
      <w:r>
        <w:fldChar w:fldCharType="separate"/>
      </w:r>
      <w:r>
        <w:rPr>
          <w:noProof/>
        </w:rPr>
        <w:t>(</w:t>
      </w:r>
      <w:hyperlink w:anchor="_ENREF_52" w:tooltip="Hillier, 2011 #47" w:history="1">
        <w:r w:rsidR="00B46ABF">
          <w:rPr>
            <w:noProof/>
          </w:rPr>
          <w:t>Hillier et al. 2011</w:t>
        </w:r>
      </w:hyperlink>
      <w:r>
        <w:rPr>
          <w:noProof/>
        </w:rPr>
        <w:t>)</w:t>
      </w:r>
      <w:r>
        <w:fldChar w:fldCharType="end"/>
      </w:r>
      <w:r>
        <w:t>.</w:t>
      </w:r>
      <w:r w:rsidR="00581F5C">
        <w:t xml:space="preserve"> This was also done for change in management (</w:t>
      </w:r>
      <w:r w:rsidR="00401FFC">
        <w:t xml:space="preserve">provided in </w:t>
      </w:r>
      <w:r w:rsidR="00D74B97">
        <w:rPr>
          <w:highlight w:val="yellow"/>
        </w:rPr>
        <w:fldChar w:fldCharType="begin"/>
      </w:r>
      <w:r w:rsidR="00D74B97">
        <w:instrText xml:space="preserve"> REF _Ref412127431 \h </w:instrText>
      </w:r>
      <w:r w:rsidR="00D74B97">
        <w:rPr>
          <w:highlight w:val="yellow"/>
        </w:rPr>
      </w:r>
      <w:r w:rsidR="00D74B97">
        <w:rPr>
          <w:highlight w:val="yellow"/>
        </w:rPr>
        <w:fldChar w:fldCharType="separate"/>
      </w:r>
      <w:r w:rsidR="00BB0E3E">
        <w:t xml:space="preserve">Table </w:t>
      </w:r>
      <w:r w:rsidR="00BB0E3E">
        <w:rPr>
          <w:noProof/>
        </w:rPr>
        <w:t>49</w:t>
      </w:r>
      <w:r w:rsidR="00D74B97">
        <w:rPr>
          <w:highlight w:val="yellow"/>
        </w:rPr>
        <w:fldChar w:fldCharType="end"/>
      </w:r>
      <w:r w:rsidR="00581F5C">
        <w:t>), as the GRADE profile could</w:t>
      </w:r>
      <w:r w:rsidR="00B36050">
        <w:t xml:space="preserve"> </w:t>
      </w:r>
      <w:r w:rsidR="00581F5C">
        <w:t>n</w:t>
      </w:r>
      <w:r w:rsidR="00B36050">
        <w:t>o</w:t>
      </w:r>
      <w:r w:rsidR="00581F5C">
        <w:t>t be used</w:t>
      </w:r>
      <w:r w:rsidR="006B781B">
        <w:t xml:space="preserve"> </w:t>
      </w:r>
      <w:r w:rsidR="00581F5C">
        <w:t>as stated</w:t>
      </w:r>
      <w:r w:rsidR="006B781B">
        <w:t xml:space="preserve"> in the research protocol</w:t>
      </w:r>
      <w:r w:rsidR="00581F5C">
        <w:t xml:space="preserve"> due to the absence of a proper comparator. </w:t>
      </w:r>
    </w:p>
    <w:p w14:paraId="31405BAD" w14:textId="0D8D1BEB" w:rsidR="00A357DB" w:rsidRDefault="00695CE6" w:rsidP="007C63EF">
      <w:r>
        <w:t>The evidence</w:t>
      </w:r>
      <w:r w:rsidR="00B36050">
        <w:t>-</w:t>
      </w:r>
      <w:r>
        <w:t>base for accuracy was satisfactory</w:t>
      </w:r>
      <w:r w:rsidR="00B36050">
        <w:t>,</w:t>
      </w:r>
      <w:r>
        <w:t xml:space="preserve"> with mostly level III-2 studies</w:t>
      </w:r>
      <w:r w:rsidR="00932F9A">
        <w:t xml:space="preserve"> (</w:t>
      </w:r>
      <w:r w:rsidR="00CE5A20">
        <w:t xml:space="preserve">i.e. </w:t>
      </w:r>
      <w:r w:rsidR="00B36050">
        <w:t xml:space="preserve">those </w:t>
      </w:r>
      <w:r w:rsidR="00932F9A">
        <w:t xml:space="preserve">comparing a </w:t>
      </w:r>
      <w:r w:rsidR="00FD37D3" w:rsidRPr="00FD37D3">
        <w:t>CFTR</w:t>
      </w:r>
      <w:r w:rsidR="00932F9A">
        <w:t xml:space="preserve"> mutation panel against whole gene sequencing or clinical diagnosis, although many studies did not provide information on those patients/samples considered disease negative)</w:t>
      </w:r>
      <w:r>
        <w:t>. Sensitivity was fairly consistent</w:t>
      </w:r>
      <w:r w:rsidR="00B36050">
        <w:t>,</w:t>
      </w:r>
      <w:r>
        <w:t xml:space="preserve"> with some variation between population groups. </w:t>
      </w:r>
      <w:r w:rsidR="009B4E0E">
        <w:t xml:space="preserve">The accuracy results indicated that in the group of patients with classical CF symptoms, </w:t>
      </w:r>
      <w:r w:rsidR="00FD37D3" w:rsidRPr="00FD37D3">
        <w:t>CFTR</w:t>
      </w:r>
      <w:r w:rsidR="009B4E0E">
        <w:t xml:space="preserve"> mutation tests are highly accurate when compared with DNA sequencing at detecting the mutations the tests were designed to diagnose. Overall, 20</w:t>
      </w:r>
      <w:r w:rsidR="00B36050">
        <w:t>%</w:t>
      </w:r>
      <w:r w:rsidR="009B4E0E">
        <w:t xml:space="preserve"> of clinically diagnosed CF patients had one or two </w:t>
      </w:r>
      <w:r w:rsidR="00FD37D3" w:rsidRPr="00FD37D3">
        <w:t>CFTR</w:t>
      </w:r>
      <w:r w:rsidR="009B4E0E">
        <w:t xml:space="preserve"> mutations that could not be detected with a panel-based </w:t>
      </w:r>
      <w:r w:rsidR="00FD37D3" w:rsidRPr="00FD37D3">
        <w:t>CFTR</w:t>
      </w:r>
      <w:r w:rsidR="009B4E0E">
        <w:t xml:space="preserve"> mutation test.</w:t>
      </w:r>
      <w:r w:rsidR="0091798C">
        <w:t xml:space="preserve"> In the group of </w:t>
      </w:r>
      <w:r w:rsidR="00407CBC">
        <w:t>men</w:t>
      </w:r>
      <w:r w:rsidR="0091798C">
        <w:t xml:space="preserve"> diagnosed with CBAVD, </w:t>
      </w:r>
      <w:r w:rsidR="00FD37D3" w:rsidRPr="00FD37D3">
        <w:t>CFTR</w:t>
      </w:r>
      <w:r w:rsidR="0091798C">
        <w:t xml:space="preserve"> testing was also highly accurate compared </w:t>
      </w:r>
      <w:r w:rsidR="00B36050">
        <w:t xml:space="preserve">with </w:t>
      </w:r>
      <w:r w:rsidR="0091798C">
        <w:t>DNA sequencing</w:t>
      </w:r>
      <w:r w:rsidR="00407CBC">
        <w:t>. However, when</w:t>
      </w:r>
      <w:r w:rsidR="00615DB4">
        <w:t xml:space="preserve"> compared </w:t>
      </w:r>
      <w:r w:rsidR="00B36050">
        <w:t xml:space="preserve">with </w:t>
      </w:r>
      <w:r w:rsidR="00615DB4">
        <w:t>a clinical diagnosis, the sensitivity was m</w:t>
      </w:r>
      <w:r w:rsidR="00407CBC">
        <w:t>uch lower due to the high proportion</w:t>
      </w:r>
      <w:r w:rsidR="00615DB4">
        <w:t xml:space="preserve"> of</w:t>
      </w:r>
      <w:r w:rsidR="00407CBC">
        <w:t xml:space="preserve"> men with</w:t>
      </w:r>
      <w:r w:rsidR="00615DB4">
        <w:t xml:space="preserve"> CBAVD </w:t>
      </w:r>
      <w:r w:rsidR="00407CBC">
        <w:t>for whom</w:t>
      </w:r>
      <w:r w:rsidR="00615DB4">
        <w:t xml:space="preserve"> a </w:t>
      </w:r>
      <w:r w:rsidR="00FD37D3" w:rsidRPr="00FD37D3">
        <w:t>CFTR</w:t>
      </w:r>
      <w:r w:rsidR="00615DB4">
        <w:t xml:space="preserve"> mutation could not be identified. </w:t>
      </w:r>
    </w:p>
    <w:p w14:paraId="0D09D0F8" w14:textId="51B4249F" w:rsidR="00615DB4" w:rsidRDefault="00615DB4" w:rsidP="007C63EF">
      <w:r>
        <w:t xml:space="preserve">In the case of prenatal </w:t>
      </w:r>
      <w:r w:rsidR="00FD37D3" w:rsidRPr="00FD37D3">
        <w:t>CFTR</w:t>
      </w:r>
      <w:r>
        <w:t xml:space="preserve"> testing, the panel-based </w:t>
      </w:r>
      <w:r w:rsidR="00FD37D3" w:rsidRPr="00FD37D3">
        <w:t>CFTR</w:t>
      </w:r>
      <w:r>
        <w:t xml:space="preserve"> test identified all mutations </w:t>
      </w:r>
      <w:r w:rsidR="00B36050">
        <w:t xml:space="preserve">that </w:t>
      </w:r>
      <w:r>
        <w:t>it was designed to detect. However, as not all mutations are included in the common mutation test, a small number of cases</w:t>
      </w:r>
      <w:r w:rsidR="00C73B9D">
        <w:t xml:space="preserve"> (around 8%) would</w:t>
      </w:r>
      <w:r>
        <w:t xml:space="preserve"> require DNA sequencing.</w:t>
      </w:r>
      <w:r w:rsidR="00C73B9D">
        <w:t xml:space="preserve"> </w:t>
      </w:r>
      <w:r w:rsidR="00CE5A20">
        <w:t>Because it</w:t>
      </w:r>
      <w:r w:rsidR="00C73B9D">
        <w:t xml:space="preserve"> is not able to detect large deletion or insertion mutations, around 2</w:t>
      </w:r>
      <w:r w:rsidR="00B36050">
        <w:t>%</w:t>
      </w:r>
      <w:r w:rsidR="0046399C">
        <w:t xml:space="preserve"> of mutations</w:t>
      </w:r>
      <w:r w:rsidR="00C73B9D">
        <w:t xml:space="preserve"> would be missed even with DNA sequencing</w:t>
      </w:r>
      <w:r w:rsidR="00B36050">
        <w:t>,</w:t>
      </w:r>
      <w:r w:rsidR="00C73B9D">
        <w:t xml:space="preserve"> </w:t>
      </w:r>
      <w:r w:rsidR="00B36050">
        <w:t xml:space="preserve">and </w:t>
      </w:r>
      <w:r w:rsidR="00C73B9D">
        <w:t xml:space="preserve">MPLA </w:t>
      </w:r>
      <w:r w:rsidR="00B36050">
        <w:t xml:space="preserve">would have </w:t>
      </w:r>
      <w:r w:rsidR="00C73B9D">
        <w:t>to be done to detect these rare mutations. The test failure rate is around 4.5</w:t>
      </w:r>
      <w:r w:rsidR="00B36050">
        <w:t>%</w:t>
      </w:r>
      <w:r w:rsidR="00C73B9D">
        <w:t xml:space="preserve">, which means </w:t>
      </w:r>
      <w:r w:rsidR="00B36050">
        <w:t>that these</w:t>
      </w:r>
      <w:r w:rsidR="00C73B9D">
        <w:t xml:space="preserve"> tests would have to be repeated.</w:t>
      </w:r>
      <w:r>
        <w:t xml:space="preserve"> </w:t>
      </w:r>
      <w:r w:rsidR="00C73B9D">
        <w:t xml:space="preserve">It is </w:t>
      </w:r>
      <w:r w:rsidR="00B36050">
        <w:t xml:space="preserve">very </w:t>
      </w:r>
      <w:r w:rsidR="00C73B9D">
        <w:t>importan</w:t>
      </w:r>
      <w:r w:rsidR="00B36050">
        <w:t>t</w:t>
      </w:r>
      <w:r w:rsidR="00C73B9D">
        <w:t xml:space="preserve"> that in the case of a negative test result, an explanation is given on the scope of the testing and the likelihood of the patient or fetus being truly negative.</w:t>
      </w:r>
    </w:p>
    <w:p w14:paraId="4CA27AC2" w14:textId="4E45E4CD" w:rsidR="00CE2357" w:rsidRDefault="00822F09" w:rsidP="00CE2357">
      <w:r>
        <w:t>Even though no comparative studies on</w:t>
      </w:r>
      <w:r w:rsidR="0046399C">
        <w:t xml:space="preserve"> the impact </w:t>
      </w:r>
      <w:r w:rsidR="00CE5A20">
        <w:t xml:space="preserve">of </w:t>
      </w:r>
      <w:r w:rsidR="00FD37D3" w:rsidRPr="00FD37D3">
        <w:t>CFTR</w:t>
      </w:r>
      <w:r w:rsidR="0046399C">
        <w:t xml:space="preserve"> testing on subsequent</w:t>
      </w:r>
      <w:r>
        <w:t xml:space="preserve"> management</w:t>
      </w:r>
      <w:r w:rsidR="0046399C">
        <w:t xml:space="preserve"> </w:t>
      </w:r>
      <w:r>
        <w:t xml:space="preserve">were identified, a change in management has been detected after prenatal </w:t>
      </w:r>
      <w:r w:rsidR="00FD37D3" w:rsidRPr="00FD37D3">
        <w:t>CFTR</w:t>
      </w:r>
      <w:r>
        <w:t xml:space="preserve"> testing. Mothers with fetuses</w:t>
      </w:r>
      <w:r w:rsidR="00AF1FDB">
        <w:t xml:space="preserve"> </w:t>
      </w:r>
      <w:r w:rsidR="00B36050">
        <w:t xml:space="preserve">that </w:t>
      </w:r>
      <w:r>
        <w:t xml:space="preserve">tested positive for </w:t>
      </w:r>
      <w:r w:rsidR="00FD37D3" w:rsidRPr="00FD37D3">
        <w:t>CFTR</w:t>
      </w:r>
      <w:r>
        <w:t xml:space="preserve"> mutations terminated the pregnancy in</w:t>
      </w:r>
      <w:r w:rsidR="003F5536">
        <w:t xml:space="preserve"> around</w:t>
      </w:r>
      <w:r>
        <w:t xml:space="preserve"> 95% </w:t>
      </w:r>
      <w:r w:rsidR="00AF1FDB">
        <w:t xml:space="preserve">of cases </w:t>
      </w:r>
      <w:r>
        <w:t xml:space="preserve">when both parents were carriers and in 65% </w:t>
      </w:r>
      <w:r w:rsidR="00AF1FDB">
        <w:t xml:space="preserve">of cases </w:t>
      </w:r>
      <w:r>
        <w:t>when a</w:t>
      </w:r>
      <w:r w:rsidR="00B36050">
        <w:t>n</w:t>
      </w:r>
      <w:r w:rsidR="00AF1FDB">
        <w:t xml:space="preserve"> </w:t>
      </w:r>
      <w:r>
        <w:t>FEB was detected.</w:t>
      </w:r>
      <w:r w:rsidR="00CA7B10">
        <w:t xml:space="preserve"> However, the </w:t>
      </w:r>
      <w:r w:rsidR="00AF1FDB">
        <w:lastRenderedPageBreak/>
        <w:t xml:space="preserve">TOP </w:t>
      </w:r>
      <w:r w:rsidR="00CA7B10">
        <w:t xml:space="preserve">rate varied widely in the FEB group, </w:t>
      </w:r>
      <w:r w:rsidR="00B36050">
        <w:t>in the</w:t>
      </w:r>
      <w:r w:rsidR="00CA7B10">
        <w:t xml:space="preserve"> range 0–100%. </w:t>
      </w:r>
      <w:r w:rsidR="00336F3A">
        <w:t>Even though this wide range could not be explained, the studies in which the TOP rate was 0</w:t>
      </w:r>
      <w:r w:rsidR="00B36050">
        <w:t>%</w:t>
      </w:r>
      <w:r w:rsidR="00336F3A">
        <w:t xml:space="preserve"> had a very low number of test positives (1 and 5).</w:t>
      </w:r>
      <w:r w:rsidR="00CA7B10">
        <w:t xml:space="preserve"> The</w:t>
      </w:r>
      <w:r w:rsidR="00B52A4D">
        <w:t xml:space="preserve"> </w:t>
      </w:r>
      <w:r w:rsidR="00CA7B10">
        <w:t xml:space="preserve">difference in TOP rate between population groups </w:t>
      </w:r>
      <w:r w:rsidR="00B52A4D">
        <w:t>could be due to the possibility of testing earlier when both parents are carriers</w:t>
      </w:r>
      <w:r w:rsidR="00CA7B10">
        <w:t xml:space="preserve"> (compared</w:t>
      </w:r>
      <w:r w:rsidR="00B36050">
        <w:t xml:space="preserve"> with</w:t>
      </w:r>
      <w:r w:rsidR="00AF1FDB">
        <w:t xml:space="preserve"> testing in </w:t>
      </w:r>
      <w:r w:rsidR="00B36050">
        <w:t xml:space="preserve">the </w:t>
      </w:r>
      <w:r w:rsidR="00AF1FDB">
        <w:t>second trimester after a</w:t>
      </w:r>
      <w:r w:rsidR="00B36050">
        <w:t>n</w:t>
      </w:r>
      <w:r w:rsidR="00CA7B10">
        <w:t xml:space="preserve"> FEB</w:t>
      </w:r>
      <w:r w:rsidR="00AF1FDB">
        <w:t xml:space="preserve"> is detected on ultrasound</w:t>
      </w:r>
      <w:r w:rsidR="00CA7B10">
        <w:t>)</w:t>
      </w:r>
      <w:r w:rsidR="00CE5A20">
        <w:t>,</w:t>
      </w:r>
      <w:r w:rsidR="00B52A4D">
        <w:t xml:space="preserve"> and thus </w:t>
      </w:r>
      <w:r w:rsidR="00CA7B10">
        <w:t xml:space="preserve">terminating the pregnancy at </w:t>
      </w:r>
      <w:r w:rsidR="00B36050">
        <w:t xml:space="preserve">a </w:t>
      </w:r>
      <w:r w:rsidR="00CA7B10">
        <w:t>lower gestational age</w:t>
      </w:r>
      <w:r w:rsidR="00B52A4D">
        <w:t>.</w:t>
      </w:r>
      <w:r w:rsidR="00AF1FDB">
        <w:t xml:space="preserve"> Making the assumption that in the absence of prenatal testing the couple would choose not to abort the fetus,</w:t>
      </w:r>
      <w:r w:rsidR="00B52A4D">
        <w:t xml:space="preserve"> </w:t>
      </w:r>
      <w:r w:rsidR="00AF1FDB">
        <w:t>i</w:t>
      </w:r>
      <w:r w:rsidR="000819E2">
        <w:t>t is</w:t>
      </w:r>
      <w:r>
        <w:t xml:space="preserve"> concluded that</w:t>
      </w:r>
      <w:r w:rsidR="000819E2">
        <w:t xml:space="preserve"> testing for </w:t>
      </w:r>
      <w:r w:rsidR="00FD37D3" w:rsidRPr="00FD37D3">
        <w:t>CFTR</w:t>
      </w:r>
      <w:r w:rsidR="000819E2">
        <w:t xml:space="preserve"> mutations does result in an increase in the rate of TOP when two mutations are identified.</w:t>
      </w:r>
    </w:p>
    <w:p w14:paraId="104C34F4" w14:textId="6AF3B9C8" w:rsidR="00822F09" w:rsidRDefault="002D4006" w:rsidP="00CE2357">
      <w:r>
        <w:t xml:space="preserve">An additional non-systematic search was </w:t>
      </w:r>
      <w:r w:rsidR="002161D5">
        <w:t>done to identify psychological outcomes after the prenatal diagnosis of fetal anomalies, either after TOP or after the birth of</w:t>
      </w:r>
      <w:r w:rsidR="00011134">
        <w:t xml:space="preserve"> a child with CF,</w:t>
      </w:r>
      <w:r w:rsidR="002161D5">
        <w:t xml:space="preserve"> to investigate the impact of change in management that results from testing</w:t>
      </w:r>
      <w:r w:rsidR="000819E2">
        <w:t xml:space="preserve"> (</w:t>
      </w:r>
      <w:r w:rsidR="00CE5A20">
        <w:t xml:space="preserve">i.e. </w:t>
      </w:r>
      <w:r w:rsidR="000819E2">
        <w:t xml:space="preserve">increase in </w:t>
      </w:r>
      <w:r w:rsidR="00B36050">
        <w:t xml:space="preserve">the </w:t>
      </w:r>
      <w:r w:rsidR="000819E2">
        <w:t>rate of TOP, decrease in the rate of children with CF being born)</w:t>
      </w:r>
      <w:r w:rsidR="002161D5">
        <w:t xml:space="preserve">. </w:t>
      </w:r>
      <w:r w:rsidR="00821343">
        <w:t>Post</w:t>
      </w:r>
      <w:r w:rsidR="00B36050">
        <w:t>-</w:t>
      </w:r>
      <w:r w:rsidR="00821343">
        <w:t>traumatic stress</w:t>
      </w:r>
      <w:r w:rsidR="00CD72D0">
        <w:t>, grief, anger, guilt and depression</w:t>
      </w:r>
      <w:r w:rsidR="00821343">
        <w:t xml:space="preserve"> </w:t>
      </w:r>
      <w:r w:rsidR="00CD72D0">
        <w:t>were</w:t>
      </w:r>
      <w:r w:rsidR="00821343">
        <w:t xml:space="preserve"> prevalent in the population undergoing TOP</w:t>
      </w:r>
      <w:r w:rsidR="00CD72D0">
        <w:t xml:space="preserve"> </w:t>
      </w:r>
      <w:r w:rsidR="00B36050">
        <w:t xml:space="preserve">but </w:t>
      </w:r>
      <w:r w:rsidR="00CD72D0">
        <w:t xml:space="preserve">this did decrease over time (months to years). Around 30% of women </w:t>
      </w:r>
      <w:r w:rsidR="00BE04B7">
        <w:t xml:space="preserve">suffered from depression in the first months </w:t>
      </w:r>
      <w:r w:rsidR="0025363F">
        <w:t xml:space="preserve">after </w:t>
      </w:r>
      <w:r w:rsidR="00BE04B7">
        <w:t>TOP.</w:t>
      </w:r>
      <w:r w:rsidR="00CD72D0">
        <w:t xml:space="preserve"> Abnormal scores for grief occurred in around half the women in the weeks after TOP but this decreased strongly to around 2% after more than 16</w:t>
      </w:r>
      <w:r w:rsidR="0025363F">
        <w:t> </w:t>
      </w:r>
      <w:r w:rsidR="00CD72D0">
        <w:t xml:space="preserve">months </w:t>
      </w:r>
      <w:r w:rsidR="0025363F">
        <w:t xml:space="preserve">following </w:t>
      </w:r>
      <w:r w:rsidR="00CD72D0">
        <w:t>TOP. Women who underwent TOP before 14</w:t>
      </w:r>
      <w:r w:rsidR="0025363F">
        <w:t> </w:t>
      </w:r>
      <w:r w:rsidR="00CD72D0">
        <w:t>weeks’ gestation scored lower for grief than women who terminated after 14</w:t>
      </w:r>
      <w:r w:rsidR="0025363F">
        <w:t> </w:t>
      </w:r>
      <w:r w:rsidR="00CD72D0">
        <w:t xml:space="preserve">weeks’ gestation. Furthermore, women showed more grief than men after TOP. Men also showed slightly less anxiety and depression in the long term compared </w:t>
      </w:r>
      <w:r w:rsidR="0025363F">
        <w:t xml:space="preserve">with </w:t>
      </w:r>
      <w:r w:rsidR="00CD72D0">
        <w:t xml:space="preserve">women. </w:t>
      </w:r>
    </w:p>
    <w:p w14:paraId="56982B43" w14:textId="3A406AB7" w:rsidR="00CD72D0" w:rsidRDefault="00F34053" w:rsidP="00CE2357">
      <w:r>
        <w:t>Depression and anxiety were also prevalent among mothers of children with CF, with 20</w:t>
      </w:r>
      <w:r w:rsidR="00C51E90">
        <w:t>–</w:t>
      </w:r>
      <w:r>
        <w:t>34% and 48% of mothers scoring above the threshold</w:t>
      </w:r>
      <w:r w:rsidR="00B4786C">
        <w:t xml:space="preserve"> (CES-D and HADS questionnaires)</w:t>
      </w:r>
      <w:r>
        <w:t xml:space="preserve"> for depression and anxiety, respectively. In fathers depression and anxiety was less prevalent, with 18</w:t>
      </w:r>
      <w:r w:rsidR="00C51E90">
        <w:t>–</w:t>
      </w:r>
      <w:r>
        <w:t>25% and 36%</w:t>
      </w:r>
      <w:r w:rsidR="00B4786C">
        <w:t xml:space="preserve"> experiencing these symptoms</w:t>
      </w:r>
      <w:r>
        <w:t>, respectively. Depression in mothers was associated wit</w:t>
      </w:r>
      <w:r w:rsidR="00401FFC">
        <w:t>h the child being a younger age</w:t>
      </w:r>
      <w:r>
        <w:t xml:space="preserve"> and the severity of disease.</w:t>
      </w:r>
      <w:r w:rsidR="00DF5916">
        <w:t xml:space="preserve"> </w:t>
      </w:r>
    </w:p>
    <w:p w14:paraId="26C09324" w14:textId="2BEED8AB" w:rsidR="00F34053" w:rsidRPr="00214F43" w:rsidRDefault="00366DE3" w:rsidP="00CE2357">
      <w:r>
        <w:t>The short</w:t>
      </w:r>
      <w:r w:rsidR="00C51E90">
        <w:t>-</w:t>
      </w:r>
      <w:r>
        <w:t>term d</w:t>
      </w:r>
      <w:r w:rsidR="00F34053">
        <w:t>epression</w:t>
      </w:r>
      <w:r w:rsidR="005C553E">
        <w:t xml:space="preserve"> and anxiety</w:t>
      </w:r>
      <w:r w:rsidR="00F34053">
        <w:t xml:space="preserve"> rates were simi</w:t>
      </w:r>
      <w:r>
        <w:t xml:space="preserve">lar in women who underwent TOP </w:t>
      </w:r>
      <w:r w:rsidR="00F34053">
        <w:t>to women who ha</w:t>
      </w:r>
      <w:r w:rsidR="00C51E90">
        <w:t>d</w:t>
      </w:r>
      <w:r w:rsidR="00F34053">
        <w:t xml:space="preserve"> a child with CF.</w:t>
      </w:r>
      <w:r w:rsidR="002D68D4">
        <w:t xml:space="preserve"> Less is known </w:t>
      </w:r>
      <w:r w:rsidR="00C51E90">
        <w:t xml:space="preserve">about </w:t>
      </w:r>
      <w:r w:rsidR="002D68D4">
        <w:t>the long</w:t>
      </w:r>
      <w:r w:rsidR="00C51E90">
        <w:t>-</w:t>
      </w:r>
      <w:r w:rsidR="002D68D4">
        <w:t>term effects (years to decades) and o</w:t>
      </w:r>
      <w:r w:rsidR="00AF1FDB">
        <w:t xml:space="preserve">ther potential health impacts. </w:t>
      </w:r>
      <w:r w:rsidR="002D68D4">
        <w:t>However, Korenromp et al. (2005) reported that only 8</w:t>
      </w:r>
      <w:r w:rsidR="00C51E90">
        <w:t>%</w:t>
      </w:r>
      <w:r w:rsidR="002D68D4">
        <w:t xml:space="preserve"> and 10</w:t>
      </w:r>
      <w:r w:rsidR="00C51E90">
        <w:t>%</w:t>
      </w:r>
      <w:r w:rsidR="002D68D4">
        <w:t xml:space="preserve"> of women reported feelings of regret and doubt after their decision to undergo TOP,</w:t>
      </w:r>
      <w:r w:rsidR="00581F5C">
        <w:t xml:space="preserve"> respectively</w:t>
      </w:r>
      <w:r w:rsidR="00401FFC">
        <w:t xml:space="preserve">, meaning </w:t>
      </w:r>
      <w:r w:rsidR="00C51E90">
        <w:t xml:space="preserve">that </w:t>
      </w:r>
      <w:r w:rsidR="00401FFC">
        <w:t>the availability of</w:t>
      </w:r>
      <w:r w:rsidR="00AD75E5">
        <w:t xml:space="preserve"> informed choice and the option to terminate is seen as a positive development</w:t>
      </w:r>
      <w:r w:rsidR="00581F5C">
        <w:t>.</w:t>
      </w:r>
    </w:p>
    <w:p w14:paraId="44D991D6" w14:textId="26EE00E6" w:rsidR="0040590E" w:rsidRPr="00366DE3" w:rsidRDefault="0040590E" w:rsidP="0040590E">
      <w:r>
        <w:t xml:space="preserve">On the basis of the evidence </w:t>
      </w:r>
      <w:r w:rsidR="00581F5C">
        <w:t>profile</w:t>
      </w:r>
      <w:r w:rsidRPr="00366DE3">
        <w:t>, it is suggested that, relative to no genetic testing</w:t>
      </w:r>
      <w:r w:rsidR="00B4786C">
        <w:t xml:space="preserve"> (and diagnosis after birth)</w:t>
      </w:r>
      <w:r w:rsidRPr="00366DE3">
        <w:t>,</w:t>
      </w:r>
      <w:r w:rsidR="00B4786C">
        <w:t xml:space="preserve"> prenatal</w:t>
      </w:r>
      <w:r w:rsidRPr="00366DE3">
        <w:t xml:space="preserve"> </w:t>
      </w:r>
      <w:r w:rsidR="00366DE3" w:rsidRPr="00366DE3">
        <w:t xml:space="preserve">genetic </w:t>
      </w:r>
      <w:r w:rsidR="00FD37D3" w:rsidRPr="00FD37D3">
        <w:t>CFTR</w:t>
      </w:r>
      <w:r w:rsidR="00366DE3" w:rsidRPr="00366DE3">
        <w:t xml:space="preserve"> testing</w:t>
      </w:r>
      <w:r w:rsidRPr="00366DE3">
        <w:t xml:space="preserve"> and associated interventions ha</w:t>
      </w:r>
      <w:r w:rsidR="00CE5A20">
        <w:t>ve</w:t>
      </w:r>
      <w:r w:rsidR="00B4786C">
        <w:t xml:space="preserve"> </w:t>
      </w:r>
      <w:r w:rsidRPr="00366DE3">
        <w:t>superior effectiveness</w:t>
      </w:r>
      <w:r w:rsidR="00B4786C">
        <w:t xml:space="preserve"> at reducing the rate of people being born with CF</w:t>
      </w:r>
      <w:r w:rsidRPr="00366DE3">
        <w:t>.</w:t>
      </w:r>
      <w:r w:rsidR="00B4786C">
        <w:t xml:space="preserve"> Prenatal genetic </w:t>
      </w:r>
      <w:r w:rsidR="00FD37D3" w:rsidRPr="00FD37D3">
        <w:t>CFTR</w:t>
      </w:r>
      <w:r w:rsidR="00B4786C">
        <w:t xml:space="preserve"> testing has slightly inferior safety, due to the risk of miscarriage and other adverse events from sampling procedures and physical adverse events due to </w:t>
      </w:r>
      <w:r w:rsidR="00C51E90">
        <w:t>TOP</w:t>
      </w:r>
      <w:r w:rsidR="00B4786C">
        <w:t>. Both terminating a pregnancy and having a child with CF are associated with poor psychological outcomes, at least in the short term, but no direct comparison could be made.</w:t>
      </w:r>
      <w:r w:rsidRPr="00366DE3">
        <w:t xml:space="preserve"> </w:t>
      </w:r>
    </w:p>
    <w:p w14:paraId="69BC9CB3" w14:textId="77777777" w:rsidR="007C63EF" w:rsidRDefault="007C63EF" w:rsidP="007C63EF">
      <w:pPr>
        <w:pStyle w:val="TableName"/>
        <w:ind w:left="0" w:firstLine="0"/>
      </w:pPr>
      <w:bookmarkStart w:id="286" w:name="_Ref239060225"/>
      <w:bookmarkStart w:id="287" w:name="_Ref239060212"/>
      <w:bookmarkStart w:id="288" w:name="_Toc402338819"/>
      <w:bookmarkStart w:id="289" w:name="_Toc418179445"/>
      <w:r>
        <w:lastRenderedPageBreak/>
        <w:t xml:space="preserve">Table </w:t>
      </w:r>
      <w:fldSimple w:instr=" SEQ Table \* ARABIC ">
        <w:r w:rsidR="00BB0E3E">
          <w:rPr>
            <w:noProof/>
          </w:rPr>
          <w:t>48</w:t>
        </w:r>
      </w:fldSimple>
      <w:bookmarkEnd w:id="286"/>
      <w:r>
        <w:tab/>
      </w:r>
      <w:r w:rsidRPr="003462F6">
        <w:t>Body of evidence assessment matrix</w:t>
      </w:r>
      <w:bookmarkEnd w:id="287"/>
      <w:bookmarkEnd w:id="288"/>
      <w:r w:rsidR="003B6383">
        <w:t xml:space="preserve"> for</w:t>
      </w:r>
      <w:r w:rsidR="003D2BB0">
        <w:t xml:space="preserve"> diagnostic accuracy results</w:t>
      </w:r>
      <w:bookmarkEnd w:id="289"/>
    </w:p>
    <w:tbl>
      <w:tblPr>
        <w:tblStyle w:val="TableGrid1"/>
        <w:tblW w:w="9061" w:type="dxa"/>
        <w:tblLayout w:type="fixed"/>
        <w:tblLook w:val="0000" w:firstRow="0" w:lastRow="0" w:firstColumn="0" w:lastColumn="0" w:noHBand="0" w:noVBand="0"/>
        <w:tblCaption w:val="Body of evidence assessment matrix for diagnostic accuracy results"/>
        <w:tblDescription w:val="Body of evidence assessment matrix for diagnostic accuracy results"/>
      </w:tblPr>
      <w:tblGrid>
        <w:gridCol w:w="1812"/>
        <w:gridCol w:w="1812"/>
        <w:gridCol w:w="1812"/>
        <w:gridCol w:w="1812"/>
        <w:gridCol w:w="1813"/>
      </w:tblGrid>
      <w:tr w:rsidR="007C63EF" w:rsidRPr="000453F4" w14:paraId="2E15474B" w14:textId="77777777" w:rsidTr="00447183">
        <w:trPr>
          <w:tblHeader/>
        </w:trPr>
        <w:tc>
          <w:tcPr>
            <w:tcW w:w="1812" w:type="dxa"/>
          </w:tcPr>
          <w:p w14:paraId="03D476B1" w14:textId="77777777" w:rsidR="007C63EF" w:rsidRPr="00073300" w:rsidRDefault="007C63EF" w:rsidP="008C3709">
            <w:pPr>
              <w:widowControl w:val="0"/>
              <w:autoSpaceDE w:val="0"/>
              <w:autoSpaceDN w:val="0"/>
              <w:adjustRightInd w:val="0"/>
              <w:spacing w:before="60" w:after="60" w:line="240" w:lineRule="auto"/>
              <w:ind w:left="40" w:right="40"/>
              <w:jc w:val="left"/>
              <w:rPr>
                <w:rFonts w:ascii="Arial Narrow" w:hAnsi="Arial Narrow"/>
              </w:rPr>
            </w:pPr>
            <w:r w:rsidRPr="00073300">
              <w:rPr>
                <w:rFonts w:ascii="Arial Narrow" w:hAnsi="Arial Narrow"/>
                <w:b/>
                <w:bCs/>
                <w:sz w:val="20"/>
              </w:rPr>
              <w:t>Co</w:t>
            </w:r>
            <w:r w:rsidRPr="00073300">
              <w:rPr>
                <w:rFonts w:ascii="Arial Narrow" w:hAnsi="Arial Narrow"/>
                <w:b/>
                <w:bCs/>
                <w:spacing w:val="-1"/>
                <w:sz w:val="20"/>
              </w:rPr>
              <w:t>m</w:t>
            </w:r>
            <w:r w:rsidRPr="00073300">
              <w:rPr>
                <w:rFonts w:ascii="Arial Narrow" w:hAnsi="Arial Narrow"/>
                <w:b/>
                <w:bCs/>
                <w:sz w:val="20"/>
              </w:rPr>
              <w:t>p</w:t>
            </w:r>
            <w:r w:rsidRPr="00073300">
              <w:rPr>
                <w:rFonts w:ascii="Arial Narrow" w:hAnsi="Arial Narrow"/>
                <w:b/>
                <w:bCs/>
                <w:spacing w:val="-1"/>
                <w:sz w:val="20"/>
              </w:rPr>
              <w:t>o</w:t>
            </w:r>
            <w:r w:rsidRPr="00073300">
              <w:rPr>
                <w:rFonts w:ascii="Arial Narrow" w:hAnsi="Arial Narrow"/>
                <w:b/>
                <w:bCs/>
                <w:sz w:val="20"/>
              </w:rPr>
              <w:t>ne</w:t>
            </w:r>
            <w:r w:rsidRPr="00073300">
              <w:rPr>
                <w:rFonts w:ascii="Arial Narrow" w:hAnsi="Arial Narrow"/>
                <w:b/>
                <w:bCs/>
                <w:spacing w:val="-1"/>
                <w:sz w:val="20"/>
              </w:rPr>
              <w:t>n</w:t>
            </w:r>
            <w:r w:rsidRPr="00073300">
              <w:rPr>
                <w:rFonts w:ascii="Arial Narrow" w:hAnsi="Arial Narrow"/>
                <w:b/>
                <w:bCs/>
                <w:sz w:val="20"/>
              </w:rPr>
              <w:t>t</w:t>
            </w:r>
          </w:p>
        </w:tc>
        <w:tc>
          <w:tcPr>
            <w:tcW w:w="1812" w:type="dxa"/>
          </w:tcPr>
          <w:p w14:paraId="08DA1ADA"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A</w:t>
            </w:r>
          </w:p>
        </w:tc>
        <w:tc>
          <w:tcPr>
            <w:tcW w:w="1812" w:type="dxa"/>
          </w:tcPr>
          <w:p w14:paraId="3244D9AA"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B</w:t>
            </w:r>
          </w:p>
        </w:tc>
        <w:tc>
          <w:tcPr>
            <w:tcW w:w="1812" w:type="dxa"/>
          </w:tcPr>
          <w:p w14:paraId="165F18A4"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C</w:t>
            </w:r>
          </w:p>
        </w:tc>
        <w:tc>
          <w:tcPr>
            <w:tcW w:w="1813" w:type="dxa"/>
          </w:tcPr>
          <w:p w14:paraId="594102CD"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D</w:t>
            </w:r>
          </w:p>
        </w:tc>
      </w:tr>
      <w:tr w:rsidR="007C63EF" w:rsidRPr="000453F4" w14:paraId="111F7AFC" w14:textId="77777777" w:rsidTr="0042252D">
        <w:tc>
          <w:tcPr>
            <w:tcW w:w="1812" w:type="dxa"/>
          </w:tcPr>
          <w:p w14:paraId="015CD367"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6126D103"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E</w:t>
            </w:r>
            <w:r w:rsidRPr="000453F4">
              <w:rPr>
                <w:rFonts w:ascii="Arial Narrow" w:hAnsi="Arial Narrow"/>
                <w:b/>
                <w:spacing w:val="1"/>
                <w:sz w:val="20"/>
              </w:rPr>
              <w:t>x</w:t>
            </w:r>
            <w:r w:rsidRPr="000453F4">
              <w:rPr>
                <w:rFonts w:ascii="Arial Narrow" w:hAnsi="Arial Narrow"/>
                <w:b/>
                <w:sz w:val="20"/>
              </w:rPr>
              <w:t>celle</w:t>
            </w:r>
            <w:r w:rsidRPr="000453F4">
              <w:rPr>
                <w:rFonts w:ascii="Arial Narrow" w:hAnsi="Arial Narrow"/>
                <w:b/>
                <w:spacing w:val="1"/>
                <w:sz w:val="20"/>
              </w:rPr>
              <w:t>n</w:t>
            </w:r>
            <w:r w:rsidRPr="000453F4">
              <w:rPr>
                <w:rFonts w:ascii="Arial Narrow" w:hAnsi="Arial Narrow"/>
                <w:b/>
                <w:sz w:val="20"/>
              </w:rPr>
              <w:t>t</w:t>
            </w:r>
          </w:p>
        </w:tc>
        <w:tc>
          <w:tcPr>
            <w:tcW w:w="1812" w:type="dxa"/>
          </w:tcPr>
          <w:p w14:paraId="292D3B95"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Good</w:t>
            </w:r>
          </w:p>
        </w:tc>
        <w:tc>
          <w:tcPr>
            <w:tcW w:w="1812" w:type="dxa"/>
          </w:tcPr>
          <w:p w14:paraId="475379C0"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Satisfact</w:t>
            </w:r>
            <w:r w:rsidRPr="000453F4">
              <w:rPr>
                <w:rFonts w:ascii="Arial Narrow" w:hAnsi="Arial Narrow"/>
                <w:b/>
                <w:spacing w:val="1"/>
                <w:sz w:val="20"/>
              </w:rPr>
              <w:t>o</w:t>
            </w:r>
            <w:r w:rsidRPr="000453F4">
              <w:rPr>
                <w:rFonts w:ascii="Arial Narrow" w:hAnsi="Arial Narrow"/>
                <w:b/>
                <w:sz w:val="20"/>
              </w:rPr>
              <w:t>ry</w:t>
            </w:r>
          </w:p>
        </w:tc>
        <w:tc>
          <w:tcPr>
            <w:tcW w:w="1813" w:type="dxa"/>
          </w:tcPr>
          <w:p w14:paraId="6872A48C"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Po</w:t>
            </w:r>
            <w:r w:rsidRPr="000453F4">
              <w:rPr>
                <w:rFonts w:ascii="Arial Narrow" w:hAnsi="Arial Narrow"/>
                <w:b/>
                <w:spacing w:val="1"/>
                <w:sz w:val="20"/>
              </w:rPr>
              <w:t>o</w:t>
            </w:r>
            <w:r w:rsidRPr="000453F4">
              <w:rPr>
                <w:rFonts w:ascii="Arial Narrow" w:hAnsi="Arial Narrow"/>
                <w:b/>
                <w:sz w:val="20"/>
              </w:rPr>
              <w:t>r</w:t>
            </w:r>
          </w:p>
        </w:tc>
      </w:tr>
      <w:tr w:rsidR="007C63EF" w:rsidRPr="00663A4B" w14:paraId="3908279E" w14:textId="77777777" w:rsidTr="0042252D">
        <w:tc>
          <w:tcPr>
            <w:tcW w:w="1812" w:type="dxa"/>
          </w:tcPr>
          <w:p w14:paraId="7FBDCD24" w14:textId="13A54230"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rPr>
            </w:pPr>
            <w:r w:rsidRPr="000453F4">
              <w:rPr>
                <w:rFonts w:ascii="Arial Narrow" w:hAnsi="Arial Narrow"/>
                <w:b/>
                <w:bCs/>
                <w:sz w:val="20"/>
              </w:rPr>
              <w:t>Evidence base</w:t>
            </w:r>
            <w:r w:rsidR="00792CCA">
              <w:rPr>
                <w:rFonts w:ascii="Arial Narrow" w:hAnsi="Arial Narrow"/>
                <w:b/>
                <w:bCs/>
                <w:sz w:val="20"/>
              </w:rPr>
              <w:t xml:space="preserve"> </w:t>
            </w:r>
            <w:r w:rsidR="000950D4">
              <w:rPr>
                <w:rFonts w:ascii="Arial Narrow" w:hAnsi="Arial Narrow"/>
                <w:b/>
                <w:bCs/>
                <w:sz w:val="20"/>
                <w:vertAlign w:val="superscript"/>
              </w:rPr>
              <w:t>a</w:t>
            </w:r>
          </w:p>
        </w:tc>
        <w:tc>
          <w:tcPr>
            <w:tcW w:w="1812" w:type="dxa"/>
          </w:tcPr>
          <w:p w14:paraId="2F73D5BD"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09DB90A6" w14:textId="77777777" w:rsidR="007C63EF" w:rsidRPr="000453F4"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4748F3BD" w14:textId="45E8DB9E" w:rsidR="007C63EF" w:rsidRPr="000453F4" w:rsidRDefault="000950D4" w:rsidP="008C3709">
            <w:pPr>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O</w:t>
            </w:r>
            <w:r w:rsidR="007C63EF" w:rsidRPr="000453F4">
              <w:rPr>
                <w:rFonts w:ascii="Arial Narrow" w:hAnsi="Arial Narrow"/>
                <w:sz w:val="18"/>
                <w:szCs w:val="18"/>
              </w:rPr>
              <w:t>ne or two lev</w:t>
            </w:r>
            <w:r w:rsidR="007C63EF" w:rsidRPr="000453F4">
              <w:rPr>
                <w:rFonts w:ascii="Arial Narrow" w:hAnsi="Arial Narrow"/>
                <w:spacing w:val="-1"/>
                <w:sz w:val="18"/>
                <w:szCs w:val="18"/>
              </w:rPr>
              <w:t>e</w:t>
            </w:r>
            <w:r w:rsidR="007C63EF" w:rsidRPr="000453F4">
              <w:rPr>
                <w:rFonts w:ascii="Arial Narrow" w:hAnsi="Arial Narrow"/>
                <w:sz w:val="18"/>
                <w:szCs w:val="18"/>
              </w:rPr>
              <w:t>l</w:t>
            </w:r>
            <w:r w:rsidR="007C63EF" w:rsidRPr="000453F4">
              <w:rPr>
                <w:rFonts w:ascii="Arial Narrow" w:hAnsi="Arial Narrow"/>
                <w:spacing w:val="1"/>
                <w:sz w:val="18"/>
                <w:szCs w:val="18"/>
              </w:rPr>
              <w:t xml:space="preserve"> </w:t>
            </w:r>
            <w:r w:rsidR="007C63EF" w:rsidRPr="000453F4">
              <w:rPr>
                <w:rFonts w:ascii="Arial Narrow" w:hAnsi="Arial Narrow"/>
                <w:sz w:val="18"/>
                <w:szCs w:val="18"/>
              </w:rPr>
              <w:t>III</w:t>
            </w:r>
            <w:r w:rsidR="007C63EF" w:rsidRPr="000453F4">
              <w:rPr>
                <w:rFonts w:ascii="Arial Narrow" w:hAnsi="Arial Narrow"/>
                <w:spacing w:val="-1"/>
                <w:sz w:val="18"/>
                <w:szCs w:val="18"/>
              </w:rPr>
              <w:t xml:space="preserve"> </w:t>
            </w:r>
            <w:r w:rsidR="007C63EF" w:rsidRPr="000453F4">
              <w:rPr>
                <w:rFonts w:ascii="Arial Narrow" w:hAnsi="Arial Narrow"/>
                <w:sz w:val="18"/>
                <w:szCs w:val="18"/>
              </w:rPr>
              <w:t>studies</w:t>
            </w:r>
            <w:r w:rsidR="007C63EF" w:rsidRPr="000453F4">
              <w:rPr>
                <w:rFonts w:ascii="Arial Narrow" w:hAnsi="Arial Narrow"/>
                <w:spacing w:val="-2"/>
                <w:sz w:val="18"/>
                <w:szCs w:val="18"/>
              </w:rPr>
              <w:t xml:space="preserve"> </w:t>
            </w:r>
            <w:r w:rsidR="007C63EF" w:rsidRPr="000453F4">
              <w:rPr>
                <w:rFonts w:ascii="Arial Narrow" w:hAnsi="Arial Narrow"/>
                <w:sz w:val="18"/>
                <w:szCs w:val="18"/>
              </w:rPr>
              <w:t>with a low</w:t>
            </w:r>
            <w:r w:rsidR="007C63EF" w:rsidRPr="000453F4">
              <w:rPr>
                <w:rFonts w:ascii="Arial Narrow" w:hAnsi="Arial Narrow"/>
                <w:spacing w:val="1"/>
                <w:sz w:val="18"/>
                <w:szCs w:val="18"/>
              </w:rPr>
              <w:t xml:space="preserve"> </w:t>
            </w:r>
            <w:r w:rsidR="007C63EF" w:rsidRPr="000453F4">
              <w:rPr>
                <w:rFonts w:ascii="Arial Narrow" w:hAnsi="Arial Narrow"/>
                <w:sz w:val="18"/>
                <w:szCs w:val="18"/>
              </w:rPr>
              <w:t>risk</w:t>
            </w:r>
            <w:r w:rsidR="007C63EF" w:rsidRPr="000453F4">
              <w:rPr>
                <w:rFonts w:ascii="Arial Narrow" w:hAnsi="Arial Narrow"/>
                <w:spacing w:val="1"/>
                <w:sz w:val="18"/>
                <w:szCs w:val="18"/>
              </w:rPr>
              <w:t xml:space="preserve"> </w:t>
            </w:r>
            <w:r w:rsidR="007C63EF" w:rsidRPr="000453F4">
              <w:rPr>
                <w:rFonts w:ascii="Arial Narrow" w:hAnsi="Arial Narrow"/>
                <w:sz w:val="18"/>
                <w:szCs w:val="18"/>
              </w:rPr>
              <w:t>of</w:t>
            </w:r>
            <w:r w:rsidR="007C63EF" w:rsidRPr="000453F4">
              <w:rPr>
                <w:rFonts w:ascii="Arial Narrow" w:hAnsi="Arial Narrow"/>
                <w:spacing w:val="-1"/>
                <w:sz w:val="18"/>
                <w:szCs w:val="18"/>
              </w:rPr>
              <w:t xml:space="preserve"> </w:t>
            </w:r>
            <w:r w:rsidR="007C63EF" w:rsidRPr="000453F4">
              <w:rPr>
                <w:rFonts w:ascii="Arial Narrow" w:hAnsi="Arial Narrow"/>
                <w:sz w:val="18"/>
                <w:szCs w:val="18"/>
              </w:rPr>
              <w:t>bias,</w:t>
            </w:r>
            <w:r w:rsidR="007C63EF" w:rsidRPr="000453F4">
              <w:rPr>
                <w:rFonts w:ascii="Arial Narrow" w:hAnsi="Arial Narrow"/>
                <w:spacing w:val="-1"/>
                <w:sz w:val="18"/>
                <w:szCs w:val="18"/>
              </w:rPr>
              <w:t xml:space="preserve"> </w:t>
            </w:r>
            <w:r w:rsidR="007C63EF" w:rsidRPr="000453F4">
              <w:rPr>
                <w:rFonts w:ascii="Arial Narrow" w:hAnsi="Arial Narrow"/>
                <w:sz w:val="18"/>
                <w:szCs w:val="18"/>
              </w:rPr>
              <w:t>or level</w:t>
            </w:r>
            <w:r w:rsidR="007C63EF" w:rsidRPr="000453F4">
              <w:rPr>
                <w:rFonts w:ascii="Arial Narrow" w:hAnsi="Arial Narrow"/>
                <w:spacing w:val="1"/>
                <w:sz w:val="18"/>
                <w:szCs w:val="18"/>
              </w:rPr>
              <w:t xml:space="preserve"> </w:t>
            </w:r>
            <w:r w:rsidR="007C63EF" w:rsidRPr="000453F4">
              <w:rPr>
                <w:rFonts w:ascii="Arial Narrow" w:hAnsi="Arial Narrow"/>
                <w:sz w:val="18"/>
                <w:szCs w:val="18"/>
              </w:rPr>
              <w:t>I</w:t>
            </w:r>
            <w:r w:rsidR="007C63EF" w:rsidRPr="000453F4">
              <w:rPr>
                <w:rFonts w:ascii="Arial Narrow" w:hAnsi="Arial Narrow"/>
                <w:spacing w:val="-1"/>
                <w:sz w:val="18"/>
                <w:szCs w:val="18"/>
              </w:rPr>
              <w:t xml:space="preserve"> </w:t>
            </w:r>
            <w:r w:rsidR="007C63EF" w:rsidRPr="000453F4">
              <w:rPr>
                <w:rFonts w:ascii="Arial Narrow" w:hAnsi="Arial Narrow"/>
                <w:sz w:val="18"/>
                <w:szCs w:val="18"/>
              </w:rPr>
              <w:t>or</w:t>
            </w:r>
            <w:r w:rsidR="007C63EF" w:rsidRPr="000453F4">
              <w:rPr>
                <w:rFonts w:ascii="Arial Narrow" w:hAnsi="Arial Narrow"/>
                <w:spacing w:val="1"/>
                <w:sz w:val="18"/>
                <w:szCs w:val="18"/>
              </w:rPr>
              <w:t xml:space="preserve"> </w:t>
            </w:r>
            <w:r w:rsidR="007C63EF" w:rsidRPr="000453F4">
              <w:rPr>
                <w:rFonts w:ascii="Arial Narrow" w:hAnsi="Arial Narrow"/>
                <w:sz w:val="18"/>
                <w:szCs w:val="18"/>
              </w:rPr>
              <w:t>II</w:t>
            </w:r>
            <w:r w:rsidR="007C63EF" w:rsidRPr="000453F4">
              <w:rPr>
                <w:rFonts w:ascii="Arial Narrow" w:hAnsi="Arial Narrow"/>
                <w:spacing w:val="-1"/>
                <w:sz w:val="18"/>
                <w:szCs w:val="18"/>
              </w:rPr>
              <w:t xml:space="preserve"> </w:t>
            </w:r>
            <w:r w:rsidR="007C63EF" w:rsidRPr="000453F4">
              <w:rPr>
                <w:rFonts w:ascii="Arial Narrow" w:hAnsi="Arial Narrow"/>
                <w:sz w:val="18"/>
                <w:szCs w:val="18"/>
              </w:rPr>
              <w:t>studies with</w:t>
            </w:r>
            <w:r w:rsidR="007C63EF" w:rsidRPr="000453F4">
              <w:rPr>
                <w:rFonts w:ascii="Arial Narrow" w:hAnsi="Arial Narrow"/>
                <w:spacing w:val="1"/>
                <w:sz w:val="18"/>
                <w:szCs w:val="18"/>
              </w:rPr>
              <w:t xml:space="preserve"> a </w:t>
            </w:r>
            <w:r w:rsidR="007C63EF" w:rsidRPr="000453F4">
              <w:rPr>
                <w:rFonts w:ascii="Arial Narrow" w:hAnsi="Arial Narrow"/>
                <w:sz w:val="18"/>
                <w:szCs w:val="18"/>
              </w:rPr>
              <w:t>moderate</w:t>
            </w:r>
            <w:r w:rsidR="007C63EF" w:rsidRPr="000453F4">
              <w:rPr>
                <w:rFonts w:ascii="Arial Narrow" w:hAnsi="Arial Narrow"/>
                <w:spacing w:val="1"/>
                <w:sz w:val="18"/>
                <w:szCs w:val="18"/>
              </w:rPr>
              <w:t xml:space="preserve"> </w:t>
            </w:r>
            <w:r w:rsidR="007C63EF" w:rsidRPr="000453F4">
              <w:rPr>
                <w:rFonts w:ascii="Arial Narrow" w:hAnsi="Arial Narrow"/>
                <w:spacing w:val="-1"/>
                <w:sz w:val="18"/>
                <w:szCs w:val="18"/>
              </w:rPr>
              <w:t>ri</w:t>
            </w:r>
            <w:r w:rsidR="007C63EF" w:rsidRPr="000453F4">
              <w:rPr>
                <w:rFonts w:ascii="Arial Narrow" w:hAnsi="Arial Narrow"/>
                <w:sz w:val="18"/>
                <w:szCs w:val="18"/>
              </w:rPr>
              <w:t>sk</w:t>
            </w:r>
            <w:r w:rsidR="007C63EF" w:rsidRPr="000453F4">
              <w:rPr>
                <w:rFonts w:ascii="Arial Narrow" w:hAnsi="Arial Narrow"/>
                <w:spacing w:val="1"/>
                <w:sz w:val="18"/>
                <w:szCs w:val="18"/>
              </w:rPr>
              <w:t xml:space="preserve"> </w:t>
            </w:r>
            <w:r w:rsidR="007C63EF" w:rsidRPr="000453F4">
              <w:rPr>
                <w:rFonts w:ascii="Arial Narrow" w:hAnsi="Arial Narrow"/>
                <w:sz w:val="18"/>
                <w:szCs w:val="18"/>
              </w:rPr>
              <w:t>of bias</w:t>
            </w:r>
          </w:p>
        </w:tc>
        <w:tc>
          <w:tcPr>
            <w:tcW w:w="1813" w:type="dxa"/>
          </w:tcPr>
          <w:p w14:paraId="54BB85C8"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r>
      <w:tr w:rsidR="007C63EF" w:rsidRPr="00663A4B" w14:paraId="70E5F837" w14:textId="77777777" w:rsidTr="0042252D">
        <w:tc>
          <w:tcPr>
            <w:tcW w:w="1812" w:type="dxa"/>
          </w:tcPr>
          <w:p w14:paraId="08E4A9B3" w14:textId="113E0E60"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Consisten</w:t>
            </w:r>
            <w:r w:rsidRPr="00663A4B">
              <w:rPr>
                <w:rFonts w:ascii="Arial Narrow" w:hAnsi="Arial Narrow"/>
                <w:b/>
                <w:bCs/>
                <w:spacing w:val="-1"/>
                <w:sz w:val="20"/>
              </w:rPr>
              <w:t>c</w:t>
            </w:r>
            <w:r w:rsidRPr="00663A4B">
              <w:rPr>
                <w:rFonts w:ascii="Arial Narrow" w:hAnsi="Arial Narrow"/>
                <w:b/>
                <w:bCs/>
                <w:sz w:val="20"/>
              </w:rPr>
              <w:t>y</w:t>
            </w:r>
            <w:r w:rsidR="00792CCA">
              <w:rPr>
                <w:rFonts w:ascii="Arial Narrow" w:hAnsi="Arial Narrow"/>
                <w:b/>
                <w:bCs/>
                <w:sz w:val="20"/>
              </w:rPr>
              <w:t xml:space="preserve"> </w:t>
            </w:r>
            <w:r w:rsidR="000950D4">
              <w:rPr>
                <w:rFonts w:ascii="Arial Narrow" w:hAnsi="Arial Narrow"/>
                <w:b/>
                <w:bCs/>
                <w:sz w:val="20"/>
                <w:vertAlign w:val="superscript"/>
              </w:rPr>
              <w:t>b</w:t>
            </w:r>
          </w:p>
        </w:tc>
        <w:tc>
          <w:tcPr>
            <w:tcW w:w="1812" w:type="dxa"/>
          </w:tcPr>
          <w:p w14:paraId="474EEE93"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3A23603C" w14:textId="14BA216A" w:rsidR="007C63EF" w:rsidRPr="00663A4B" w:rsidRDefault="000950D4" w:rsidP="008C3709">
            <w:pPr>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M</w:t>
            </w:r>
            <w:r w:rsidR="007C63EF" w:rsidRPr="00663A4B">
              <w:rPr>
                <w:rFonts w:ascii="Arial Narrow" w:hAnsi="Arial Narrow"/>
                <w:sz w:val="18"/>
                <w:szCs w:val="18"/>
              </w:rPr>
              <w:t>ost</w:t>
            </w:r>
            <w:r w:rsidR="007C63EF" w:rsidRPr="00663A4B">
              <w:rPr>
                <w:rFonts w:ascii="Arial Narrow" w:hAnsi="Arial Narrow"/>
                <w:spacing w:val="1"/>
                <w:sz w:val="18"/>
                <w:szCs w:val="18"/>
              </w:rPr>
              <w:t xml:space="preserve"> </w:t>
            </w:r>
            <w:r w:rsidR="007C63EF" w:rsidRPr="00663A4B">
              <w:rPr>
                <w:rFonts w:ascii="Arial Narrow" w:hAnsi="Arial Narrow"/>
                <w:sz w:val="18"/>
                <w:szCs w:val="18"/>
              </w:rPr>
              <w:t>studies</w:t>
            </w:r>
            <w:r w:rsidR="007C63EF" w:rsidRPr="00663A4B">
              <w:rPr>
                <w:rFonts w:ascii="Arial Narrow" w:hAnsi="Arial Narrow"/>
                <w:spacing w:val="1"/>
                <w:sz w:val="18"/>
                <w:szCs w:val="18"/>
              </w:rPr>
              <w:t xml:space="preserve"> </w:t>
            </w:r>
            <w:r w:rsidR="007C63EF" w:rsidRPr="00663A4B">
              <w:rPr>
                <w:rFonts w:ascii="Arial Narrow" w:hAnsi="Arial Narrow"/>
                <w:sz w:val="18"/>
                <w:szCs w:val="18"/>
              </w:rPr>
              <w:t>co</w:t>
            </w:r>
            <w:r w:rsidR="007C63EF" w:rsidRPr="00663A4B">
              <w:rPr>
                <w:rFonts w:ascii="Arial Narrow" w:hAnsi="Arial Narrow"/>
                <w:spacing w:val="-1"/>
                <w:sz w:val="18"/>
                <w:szCs w:val="18"/>
              </w:rPr>
              <w:t>n</w:t>
            </w:r>
            <w:r w:rsidR="007C63EF" w:rsidRPr="00663A4B">
              <w:rPr>
                <w:rFonts w:ascii="Arial Narrow" w:hAnsi="Arial Narrow"/>
                <w:sz w:val="18"/>
                <w:szCs w:val="18"/>
              </w:rPr>
              <w:t>sistent and</w:t>
            </w:r>
            <w:r w:rsidR="007C63EF" w:rsidRPr="00663A4B">
              <w:rPr>
                <w:rFonts w:ascii="Arial Narrow" w:hAnsi="Arial Narrow"/>
                <w:spacing w:val="1"/>
                <w:sz w:val="18"/>
                <w:szCs w:val="18"/>
              </w:rPr>
              <w:t xml:space="preserve"> </w:t>
            </w:r>
            <w:r w:rsidR="007C63EF" w:rsidRPr="00663A4B">
              <w:rPr>
                <w:rFonts w:ascii="Arial Narrow" w:hAnsi="Arial Narrow"/>
                <w:sz w:val="18"/>
                <w:szCs w:val="18"/>
              </w:rPr>
              <w:t>i</w:t>
            </w:r>
            <w:r w:rsidR="007C63EF" w:rsidRPr="00663A4B">
              <w:rPr>
                <w:rFonts w:ascii="Arial Narrow" w:hAnsi="Arial Narrow"/>
                <w:spacing w:val="-1"/>
                <w:sz w:val="18"/>
                <w:szCs w:val="18"/>
              </w:rPr>
              <w:t>n</w:t>
            </w:r>
            <w:r w:rsidR="007C63EF" w:rsidRPr="00663A4B">
              <w:rPr>
                <w:rFonts w:ascii="Arial Narrow" w:hAnsi="Arial Narrow"/>
                <w:sz w:val="18"/>
                <w:szCs w:val="18"/>
              </w:rPr>
              <w:t>consistency</w:t>
            </w:r>
            <w:r w:rsidR="007C63EF" w:rsidRPr="00663A4B">
              <w:rPr>
                <w:rFonts w:ascii="Arial Narrow" w:hAnsi="Arial Narrow"/>
                <w:spacing w:val="2"/>
                <w:sz w:val="18"/>
                <w:szCs w:val="18"/>
              </w:rPr>
              <w:t xml:space="preserve"> </w:t>
            </w:r>
            <w:r w:rsidR="007C63EF" w:rsidRPr="00663A4B">
              <w:rPr>
                <w:rFonts w:ascii="Arial Narrow" w:hAnsi="Arial Narrow"/>
                <w:sz w:val="18"/>
                <w:szCs w:val="18"/>
              </w:rPr>
              <w:t>may be</w:t>
            </w:r>
            <w:r w:rsidR="007C63EF" w:rsidRPr="00663A4B">
              <w:rPr>
                <w:rFonts w:ascii="Arial Narrow" w:hAnsi="Arial Narrow"/>
                <w:spacing w:val="1"/>
                <w:sz w:val="18"/>
                <w:szCs w:val="18"/>
              </w:rPr>
              <w:t xml:space="preserve"> </w:t>
            </w:r>
            <w:r w:rsidR="007C63EF" w:rsidRPr="00663A4B">
              <w:rPr>
                <w:rFonts w:ascii="Arial Narrow" w:hAnsi="Arial Narrow"/>
                <w:sz w:val="18"/>
                <w:szCs w:val="18"/>
              </w:rPr>
              <w:t>ex</w:t>
            </w:r>
            <w:r w:rsidR="007C63EF" w:rsidRPr="00663A4B">
              <w:rPr>
                <w:rFonts w:ascii="Arial Narrow" w:hAnsi="Arial Narrow"/>
                <w:spacing w:val="-1"/>
                <w:sz w:val="18"/>
                <w:szCs w:val="18"/>
              </w:rPr>
              <w:t>p</w:t>
            </w:r>
            <w:r w:rsidR="007C63EF" w:rsidRPr="00663A4B">
              <w:rPr>
                <w:rFonts w:ascii="Arial Narrow" w:hAnsi="Arial Narrow"/>
                <w:sz w:val="18"/>
                <w:szCs w:val="18"/>
              </w:rPr>
              <w:t>lai</w:t>
            </w:r>
            <w:r w:rsidR="007C63EF" w:rsidRPr="00663A4B">
              <w:rPr>
                <w:rFonts w:ascii="Arial Narrow" w:hAnsi="Arial Narrow"/>
                <w:spacing w:val="-1"/>
                <w:sz w:val="18"/>
                <w:szCs w:val="18"/>
              </w:rPr>
              <w:t>n</w:t>
            </w:r>
            <w:r w:rsidR="007C63EF" w:rsidRPr="00663A4B">
              <w:rPr>
                <w:rFonts w:ascii="Arial Narrow" w:hAnsi="Arial Narrow"/>
                <w:spacing w:val="1"/>
                <w:sz w:val="18"/>
                <w:szCs w:val="18"/>
              </w:rPr>
              <w:t>e</w:t>
            </w:r>
            <w:r w:rsidR="007C63EF" w:rsidRPr="00663A4B">
              <w:rPr>
                <w:rFonts w:ascii="Arial Narrow" w:hAnsi="Arial Narrow"/>
                <w:sz w:val="18"/>
                <w:szCs w:val="18"/>
              </w:rPr>
              <w:t>d</w:t>
            </w:r>
          </w:p>
        </w:tc>
        <w:tc>
          <w:tcPr>
            <w:tcW w:w="1812" w:type="dxa"/>
          </w:tcPr>
          <w:p w14:paraId="7A2FA7AC"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11407570"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r>
      <w:tr w:rsidR="007C63EF" w:rsidRPr="00663A4B" w14:paraId="5373658A" w14:textId="77777777" w:rsidTr="0042252D">
        <w:tc>
          <w:tcPr>
            <w:tcW w:w="1812" w:type="dxa"/>
          </w:tcPr>
          <w:p w14:paraId="41704E77"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Gener</w:t>
            </w:r>
            <w:r w:rsidRPr="00663A4B">
              <w:rPr>
                <w:rFonts w:ascii="Arial Narrow" w:hAnsi="Arial Narrow"/>
                <w:b/>
                <w:bCs/>
                <w:spacing w:val="1"/>
                <w:sz w:val="20"/>
              </w:rPr>
              <w:t>a</w:t>
            </w:r>
            <w:r w:rsidRPr="00663A4B">
              <w:rPr>
                <w:rFonts w:ascii="Arial Narrow" w:hAnsi="Arial Narrow"/>
                <w:b/>
                <w:bCs/>
                <w:sz w:val="20"/>
              </w:rPr>
              <w:t>lis</w:t>
            </w:r>
            <w:r w:rsidRPr="00663A4B">
              <w:rPr>
                <w:rFonts w:ascii="Arial Narrow" w:hAnsi="Arial Narrow"/>
                <w:b/>
                <w:bCs/>
                <w:spacing w:val="1"/>
                <w:sz w:val="20"/>
              </w:rPr>
              <w:t>a</w:t>
            </w:r>
            <w:r w:rsidRPr="00663A4B">
              <w:rPr>
                <w:rFonts w:ascii="Arial Narrow" w:hAnsi="Arial Narrow"/>
                <w:b/>
                <w:bCs/>
                <w:sz w:val="20"/>
              </w:rPr>
              <w:t>bility</w:t>
            </w:r>
          </w:p>
        </w:tc>
        <w:tc>
          <w:tcPr>
            <w:tcW w:w="1812" w:type="dxa"/>
          </w:tcPr>
          <w:p w14:paraId="0C7F0812"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0065500B"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49BC5DA2" w14:textId="151EABC2" w:rsidR="007C63EF" w:rsidRPr="00663A4B" w:rsidRDefault="000950D4" w:rsidP="008C3709">
            <w:pPr>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P</w:t>
            </w:r>
            <w:r w:rsidR="007C63EF" w:rsidRPr="00663A4B">
              <w:rPr>
                <w:rFonts w:ascii="Arial Narrow" w:hAnsi="Arial Narrow"/>
                <w:sz w:val="18"/>
                <w:szCs w:val="18"/>
              </w:rPr>
              <w:t>opulatio</w:t>
            </w:r>
            <w:r w:rsidR="007C63EF" w:rsidRPr="00663A4B">
              <w:rPr>
                <w:rFonts w:ascii="Arial Narrow" w:hAnsi="Arial Narrow"/>
                <w:spacing w:val="-1"/>
                <w:sz w:val="18"/>
                <w:szCs w:val="18"/>
              </w:rPr>
              <w:t>n</w:t>
            </w:r>
            <w:r>
              <w:rPr>
                <w:rFonts w:ascii="Arial Narrow" w:hAnsi="Arial Narrow"/>
                <w:sz w:val="18"/>
                <w:szCs w:val="18"/>
              </w:rPr>
              <w:t>(</w:t>
            </w:r>
            <w:r w:rsidR="007C63EF" w:rsidRPr="00663A4B">
              <w:rPr>
                <w:rFonts w:ascii="Arial Narrow" w:hAnsi="Arial Narrow"/>
                <w:sz w:val="18"/>
                <w:szCs w:val="18"/>
              </w:rPr>
              <w:t>s</w:t>
            </w:r>
            <w:r>
              <w:rPr>
                <w:rFonts w:ascii="Arial Narrow" w:hAnsi="Arial Narrow"/>
                <w:sz w:val="18"/>
                <w:szCs w:val="18"/>
              </w:rPr>
              <w:t>)</w:t>
            </w:r>
            <w:r w:rsidR="007C63EF" w:rsidRPr="00663A4B">
              <w:rPr>
                <w:rFonts w:ascii="Arial Narrow" w:hAnsi="Arial Narrow"/>
                <w:spacing w:val="1"/>
                <w:sz w:val="18"/>
                <w:szCs w:val="18"/>
              </w:rPr>
              <w:t xml:space="preserve"> </w:t>
            </w:r>
            <w:r w:rsidR="007C63EF" w:rsidRPr="00663A4B">
              <w:rPr>
                <w:rFonts w:ascii="Arial Narrow" w:hAnsi="Arial Narrow"/>
                <w:sz w:val="18"/>
                <w:szCs w:val="18"/>
              </w:rPr>
              <w:t>st</w:t>
            </w:r>
            <w:r w:rsidR="007C63EF" w:rsidRPr="00663A4B">
              <w:rPr>
                <w:rFonts w:ascii="Arial Narrow" w:hAnsi="Arial Narrow"/>
                <w:spacing w:val="-1"/>
                <w:sz w:val="18"/>
                <w:szCs w:val="18"/>
              </w:rPr>
              <w:t>u</w:t>
            </w:r>
            <w:r w:rsidR="007C63EF" w:rsidRPr="00663A4B">
              <w:rPr>
                <w:rFonts w:ascii="Arial Narrow" w:hAnsi="Arial Narrow"/>
                <w:sz w:val="18"/>
                <w:szCs w:val="18"/>
              </w:rPr>
              <w:t>died in bo</w:t>
            </w:r>
            <w:r w:rsidR="007C63EF" w:rsidRPr="00663A4B">
              <w:rPr>
                <w:rFonts w:ascii="Arial Narrow" w:hAnsi="Arial Narrow"/>
                <w:spacing w:val="-1"/>
                <w:sz w:val="18"/>
                <w:szCs w:val="18"/>
              </w:rPr>
              <w:t>d</w:t>
            </w:r>
            <w:r w:rsidR="007C63EF" w:rsidRPr="00663A4B">
              <w:rPr>
                <w:rFonts w:ascii="Arial Narrow" w:hAnsi="Arial Narrow"/>
                <w:sz w:val="18"/>
                <w:szCs w:val="18"/>
              </w:rPr>
              <w:t>y</w:t>
            </w:r>
            <w:r w:rsidR="007C63EF" w:rsidRPr="00663A4B">
              <w:rPr>
                <w:rFonts w:ascii="Arial Narrow" w:hAnsi="Arial Narrow"/>
                <w:spacing w:val="2"/>
                <w:sz w:val="18"/>
                <w:szCs w:val="18"/>
              </w:rPr>
              <w:t xml:space="preserve"> </w:t>
            </w:r>
            <w:r w:rsidR="007C63EF" w:rsidRPr="00663A4B">
              <w:rPr>
                <w:rFonts w:ascii="Arial Narrow" w:hAnsi="Arial Narrow"/>
                <w:sz w:val="18"/>
                <w:szCs w:val="18"/>
              </w:rPr>
              <w:t>of</w:t>
            </w:r>
            <w:r w:rsidR="007C63EF" w:rsidRPr="00663A4B">
              <w:rPr>
                <w:rFonts w:ascii="Arial Narrow" w:hAnsi="Arial Narrow"/>
                <w:spacing w:val="1"/>
                <w:sz w:val="18"/>
                <w:szCs w:val="18"/>
              </w:rPr>
              <w:t xml:space="preserve"> </w:t>
            </w:r>
            <w:r w:rsidR="007C63EF" w:rsidRPr="00663A4B">
              <w:rPr>
                <w:rFonts w:ascii="Arial Narrow" w:hAnsi="Arial Narrow"/>
                <w:sz w:val="18"/>
                <w:szCs w:val="18"/>
              </w:rPr>
              <w:t>e</w:t>
            </w:r>
            <w:r w:rsidR="007C63EF" w:rsidRPr="00663A4B">
              <w:rPr>
                <w:rFonts w:ascii="Arial Narrow" w:hAnsi="Arial Narrow"/>
                <w:spacing w:val="-1"/>
                <w:sz w:val="18"/>
                <w:szCs w:val="18"/>
              </w:rPr>
              <w:t>v</w:t>
            </w:r>
            <w:r w:rsidR="007C63EF" w:rsidRPr="00663A4B">
              <w:rPr>
                <w:rFonts w:ascii="Arial Narrow" w:hAnsi="Arial Narrow"/>
                <w:sz w:val="18"/>
                <w:szCs w:val="18"/>
              </w:rPr>
              <w:t>ide</w:t>
            </w:r>
            <w:r w:rsidR="007C63EF" w:rsidRPr="00663A4B">
              <w:rPr>
                <w:rFonts w:ascii="Arial Narrow" w:hAnsi="Arial Narrow"/>
                <w:spacing w:val="-1"/>
                <w:sz w:val="18"/>
                <w:szCs w:val="18"/>
              </w:rPr>
              <w:t>n</w:t>
            </w:r>
            <w:r w:rsidR="007C63EF" w:rsidRPr="00663A4B">
              <w:rPr>
                <w:rFonts w:ascii="Arial Narrow" w:hAnsi="Arial Narrow"/>
                <w:sz w:val="18"/>
                <w:szCs w:val="18"/>
              </w:rPr>
              <w:t>ce differ</w:t>
            </w:r>
            <w:r w:rsidR="007C63EF" w:rsidRPr="00663A4B">
              <w:rPr>
                <w:rFonts w:ascii="Arial Narrow" w:hAnsi="Arial Narrow"/>
                <w:spacing w:val="1"/>
                <w:sz w:val="18"/>
                <w:szCs w:val="18"/>
              </w:rPr>
              <w:t xml:space="preserve"> </w:t>
            </w:r>
            <w:r w:rsidR="007C63EF" w:rsidRPr="00663A4B">
              <w:rPr>
                <w:rFonts w:ascii="Arial Narrow" w:hAnsi="Arial Narrow"/>
                <w:sz w:val="18"/>
                <w:szCs w:val="18"/>
              </w:rPr>
              <w:t>to</w:t>
            </w:r>
            <w:r w:rsidR="007C63EF" w:rsidRPr="00663A4B">
              <w:rPr>
                <w:rFonts w:ascii="Arial Narrow" w:hAnsi="Arial Narrow"/>
                <w:spacing w:val="-1"/>
                <w:sz w:val="18"/>
                <w:szCs w:val="18"/>
              </w:rPr>
              <w:t xml:space="preserve"> </w:t>
            </w:r>
            <w:r w:rsidR="007C63EF" w:rsidRPr="00663A4B">
              <w:rPr>
                <w:rFonts w:ascii="Arial Narrow" w:hAnsi="Arial Narrow"/>
                <w:sz w:val="18"/>
                <w:szCs w:val="18"/>
              </w:rPr>
              <w:t>target population</w:t>
            </w:r>
            <w:r w:rsidR="007C63EF" w:rsidRPr="00663A4B">
              <w:rPr>
                <w:rFonts w:ascii="Arial Narrow" w:hAnsi="Arial Narrow"/>
                <w:spacing w:val="-1"/>
                <w:sz w:val="18"/>
                <w:szCs w:val="18"/>
              </w:rPr>
              <w:t xml:space="preserve"> </w:t>
            </w:r>
            <w:r w:rsidR="007C63EF" w:rsidRPr="00663A4B">
              <w:rPr>
                <w:rFonts w:ascii="Arial Narrow" w:hAnsi="Arial Narrow"/>
                <w:sz w:val="18"/>
                <w:szCs w:val="18"/>
              </w:rPr>
              <w:t>for guideli</w:t>
            </w:r>
            <w:r w:rsidR="007C63EF" w:rsidRPr="00663A4B">
              <w:rPr>
                <w:rFonts w:ascii="Arial Narrow" w:hAnsi="Arial Narrow"/>
                <w:spacing w:val="-1"/>
                <w:sz w:val="18"/>
                <w:szCs w:val="18"/>
              </w:rPr>
              <w:t>n</w:t>
            </w:r>
            <w:r w:rsidR="007C63EF" w:rsidRPr="00663A4B">
              <w:rPr>
                <w:rFonts w:ascii="Arial Narrow" w:hAnsi="Arial Narrow"/>
                <w:sz w:val="18"/>
                <w:szCs w:val="18"/>
              </w:rPr>
              <w:t>e</w:t>
            </w:r>
            <w:r w:rsidR="007C63EF" w:rsidRPr="00663A4B">
              <w:rPr>
                <w:rFonts w:ascii="Arial Narrow" w:hAnsi="Arial Narrow"/>
                <w:spacing w:val="1"/>
                <w:sz w:val="18"/>
                <w:szCs w:val="18"/>
              </w:rPr>
              <w:t xml:space="preserve"> </w:t>
            </w:r>
            <w:r w:rsidR="007C63EF" w:rsidRPr="00663A4B">
              <w:rPr>
                <w:rFonts w:ascii="Arial Narrow" w:hAnsi="Arial Narrow"/>
                <w:sz w:val="18"/>
                <w:szCs w:val="18"/>
              </w:rPr>
              <w:t>b</w:t>
            </w:r>
            <w:r w:rsidR="007C63EF" w:rsidRPr="00663A4B">
              <w:rPr>
                <w:rFonts w:ascii="Arial Narrow" w:hAnsi="Arial Narrow"/>
                <w:spacing w:val="-1"/>
                <w:sz w:val="18"/>
                <w:szCs w:val="18"/>
              </w:rPr>
              <w:t>u</w:t>
            </w:r>
            <w:r w:rsidR="007C63EF" w:rsidRPr="00663A4B">
              <w:rPr>
                <w:rFonts w:ascii="Arial Narrow" w:hAnsi="Arial Narrow"/>
                <w:sz w:val="18"/>
                <w:szCs w:val="18"/>
              </w:rPr>
              <w:t xml:space="preserve">t it </w:t>
            </w:r>
            <w:r w:rsidR="007C63EF" w:rsidRPr="00663A4B">
              <w:rPr>
                <w:rFonts w:ascii="Arial Narrow" w:hAnsi="Arial Narrow"/>
                <w:spacing w:val="-1"/>
                <w:sz w:val="18"/>
                <w:szCs w:val="18"/>
              </w:rPr>
              <w:t>i</w:t>
            </w:r>
            <w:r w:rsidR="007C63EF" w:rsidRPr="00663A4B">
              <w:rPr>
                <w:rFonts w:ascii="Arial Narrow" w:hAnsi="Arial Narrow"/>
                <w:sz w:val="18"/>
                <w:szCs w:val="18"/>
              </w:rPr>
              <w:t>s clin</w:t>
            </w:r>
            <w:r w:rsidR="007C63EF" w:rsidRPr="00663A4B">
              <w:rPr>
                <w:rFonts w:ascii="Arial Narrow" w:hAnsi="Arial Narrow"/>
                <w:spacing w:val="-1"/>
                <w:sz w:val="18"/>
                <w:szCs w:val="18"/>
              </w:rPr>
              <w:t>i</w:t>
            </w:r>
            <w:r w:rsidR="007C63EF" w:rsidRPr="00663A4B">
              <w:rPr>
                <w:rFonts w:ascii="Arial Narrow" w:hAnsi="Arial Narrow"/>
                <w:spacing w:val="1"/>
                <w:sz w:val="18"/>
                <w:szCs w:val="18"/>
              </w:rPr>
              <w:t>c</w:t>
            </w:r>
            <w:r w:rsidR="007C63EF" w:rsidRPr="00663A4B">
              <w:rPr>
                <w:rFonts w:ascii="Arial Narrow" w:hAnsi="Arial Narrow"/>
                <w:spacing w:val="-1"/>
                <w:sz w:val="18"/>
                <w:szCs w:val="18"/>
              </w:rPr>
              <w:t>a</w:t>
            </w:r>
            <w:r w:rsidR="007C63EF" w:rsidRPr="00663A4B">
              <w:rPr>
                <w:rFonts w:ascii="Arial Narrow" w:hAnsi="Arial Narrow"/>
                <w:sz w:val="18"/>
                <w:szCs w:val="18"/>
              </w:rPr>
              <w:t>l</w:t>
            </w:r>
            <w:r w:rsidR="007C63EF" w:rsidRPr="00663A4B">
              <w:rPr>
                <w:rFonts w:ascii="Arial Narrow" w:hAnsi="Arial Narrow"/>
                <w:spacing w:val="-1"/>
                <w:sz w:val="18"/>
                <w:szCs w:val="18"/>
              </w:rPr>
              <w:t>l</w:t>
            </w:r>
            <w:r w:rsidR="007C63EF" w:rsidRPr="00663A4B">
              <w:rPr>
                <w:rFonts w:ascii="Arial Narrow" w:hAnsi="Arial Narrow"/>
                <w:sz w:val="18"/>
                <w:szCs w:val="18"/>
              </w:rPr>
              <w:t>y</w:t>
            </w:r>
            <w:r w:rsidR="007C63EF" w:rsidRPr="00663A4B">
              <w:rPr>
                <w:rFonts w:ascii="Arial Narrow" w:hAnsi="Arial Narrow"/>
                <w:spacing w:val="2"/>
                <w:sz w:val="18"/>
                <w:szCs w:val="18"/>
              </w:rPr>
              <w:t xml:space="preserve"> </w:t>
            </w:r>
            <w:r w:rsidR="007C63EF" w:rsidRPr="00663A4B">
              <w:rPr>
                <w:rFonts w:ascii="Arial Narrow" w:hAnsi="Arial Narrow"/>
                <w:sz w:val="18"/>
                <w:szCs w:val="18"/>
              </w:rPr>
              <w:t>sensi</w:t>
            </w:r>
            <w:r w:rsidR="007C63EF" w:rsidRPr="00663A4B">
              <w:rPr>
                <w:rFonts w:ascii="Arial Narrow" w:hAnsi="Arial Narrow"/>
                <w:spacing w:val="-1"/>
                <w:sz w:val="18"/>
                <w:szCs w:val="18"/>
              </w:rPr>
              <w:t>bl</w:t>
            </w:r>
            <w:r w:rsidR="007C63EF" w:rsidRPr="00663A4B">
              <w:rPr>
                <w:rFonts w:ascii="Arial Narrow" w:hAnsi="Arial Narrow"/>
                <w:sz w:val="18"/>
                <w:szCs w:val="18"/>
              </w:rPr>
              <w:t>e</w:t>
            </w:r>
            <w:r w:rsidR="007C63EF" w:rsidRPr="00663A4B">
              <w:rPr>
                <w:rFonts w:ascii="Arial Narrow" w:hAnsi="Arial Narrow"/>
                <w:spacing w:val="1"/>
                <w:sz w:val="18"/>
                <w:szCs w:val="18"/>
              </w:rPr>
              <w:t xml:space="preserve"> </w:t>
            </w:r>
            <w:r w:rsidR="007C63EF" w:rsidRPr="00663A4B">
              <w:rPr>
                <w:rFonts w:ascii="Arial Narrow" w:hAnsi="Arial Narrow"/>
                <w:sz w:val="18"/>
                <w:szCs w:val="18"/>
              </w:rPr>
              <w:t>to app</w:t>
            </w:r>
            <w:r w:rsidR="007C63EF" w:rsidRPr="00663A4B">
              <w:rPr>
                <w:rFonts w:ascii="Arial Narrow" w:hAnsi="Arial Narrow"/>
                <w:spacing w:val="-1"/>
                <w:sz w:val="18"/>
                <w:szCs w:val="18"/>
              </w:rPr>
              <w:t>l</w:t>
            </w:r>
            <w:r w:rsidR="007C63EF" w:rsidRPr="00663A4B">
              <w:rPr>
                <w:rFonts w:ascii="Arial Narrow" w:hAnsi="Arial Narrow"/>
                <w:sz w:val="18"/>
                <w:szCs w:val="18"/>
              </w:rPr>
              <w:t>y this</w:t>
            </w:r>
            <w:r w:rsidR="007C63EF" w:rsidRPr="00663A4B">
              <w:rPr>
                <w:rFonts w:ascii="Arial Narrow" w:hAnsi="Arial Narrow"/>
                <w:spacing w:val="1"/>
                <w:sz w:val="18"/>
                <w:szCs w:val="18"/>
              </w:rPr>
              <w:t xml:space="preserve"> </w:t>
            </w:r>
            <w:r w:rsidR="007C63EF" w:rsidRPr="00663A4B">
              <w:rPr>
                <w:rFonts w:ascii="Arial Narrow" w:hAnsi="Arial Narrow"/>
                <w:sz w:val="18"/>
                <w:szCs w:val="18"/>
              </w:rPr>
              <w:t>e</w:t>
            </w:r>
            <w:r w:rsidR="007C63EF" w:rsidRPr="00663A4B">
              <w:rPr>
                <w:rFonts w:ascii="Arial Narrow" w:hAnsi="Arial Narrow"/>
                <w:spacing w:val="-1"/>
                <w:sz w:val="18"/>
                <w:szCs w:val="18"/>
              </w:rPr>
              <w:t>v</w:t>
            </w:r>
            <w:r w:rsidR="007C63EF" w:rsidRPr="00663A4B">
              <w:rPr>
                <w:rFonts w:ascii="Arial Narrow" w:hAnsi="Arial Narrow"/>
                <w:sz w:val="18"/>
                <w:szCs w:val="18"/>
              </w:rPr>
              <w:t>id</w:t>
            </w:r>
            <w:r w:rsidR="007C63EF" w:rsidRPr="00663A4B">
              <w:rPr>
                <w:rFonts w:ascii="Arial Narrow" w:hAnsi="Arial Narrow"/>
                <w:spacing w:val="-1"/>
                <w:sz w:val="18"/>
                <w:szCs w:val="18"/>
              </w:rPr>
              <w:t>e</w:t>
            </w:r>
            <w:r w:rsidR="007C63EF" w:rsidRPr="00663A4B">
              <w:rPr>
                <w:rFonts w:ascii="Arial Narrow" w:hAnsi="Arial Narrow"/>
                <w:sz w:val="18"/>
                <w:szCs w:val="18"/>
              </w:rPr>
              <w:t>nce to target</w:t>
            </w:r>
            <w:r w:rsidR="007C63EF" w:rsidRPr="00663A4B">
              <w:rPr>
                <w:rFonts w:ascii="Arial Narrow" w:hAnsi="Arial Narrow"/>
                <w:spacing w:val="1"/>
                <w:sz w:val="18"/>
                <w:szCs w:val="18"/>
              </w:rPr>
              <w:t xml:space="preserve"> </w:t>
            </w:r>
            <w:r w:rsidR="007C63EF" w:rsidRPr="00663A4B">
              <w:rPr>
                <w:rFonts w:ascii="Arial Narrow" w:hAnsi="Arial Narrow"/>
                <w:sz w:val="18"/>
                <w:szCs w:val="18"/>
              </w:rPr>
              <w:t>populatio</w:t>
            </w:r>
            <w:r w:rsidR="007C63EF" w:rsidRPr="00663A4B">
              <w:rPr>
                <w:rFonts w:ascii="Arial Narrow" w:hAnsi="Arial Narrow"/>
                <w:spacing w:val="-1"/>
                <w:sz w:val="18"/>
                <w:szCs w:val="18"/>
              </w:rPr>
              <w:t>n</w:t>
            </w:r>
            <w:r w:rsidR="00964502">
              <w:rPr>
                <w:rFonts w:ascii="Arial Narrow" w:hAnsi="Arial Narrow"/>
                <w:spacing w:val="-1"/>
                <w:sz w:val="18"/>
                <w:szCs w:val="18"/>
              </w:rPr>
              <w:t xml:space="preserve"> </w:t>
            </w:r>
            <w:r>
              <w:rPr>
                <w:rFonts w:ascii="Arial Narrow" w:hAnsi="Arial Narrow"/>
                <w:sz w:val="18"/>
                <w:szCs w:val="18"/>
                <w:vertAlign w:val="superscript"/>
              </w:rPr>
              <w:t>c</w:t>
            </w:r>
          </w:p>
        </w:tc>
        <w:tc>
          <w:tcPr>
            <w:tcW w:w="1813" w:type="dxa"/>
          </w:tcPr>
          <w:p w14:paraId="5A60ED10"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r>
      <w:tr w:rsidR="007C63EF" w:rsidRPr="00663A4B" w14:paraId="6244F36A" w14:textId="77777777" w:rsidTr="0042252D">
        <w:tc>
          <w:tcPr>
            <w:tcW w:w="1812" w:type="dxa"/>
          </w:tcPr>
          <w:p w14:paraId="0D0B3A19"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Applicability</w:t>
            </w:r>
          </w:p>
        </w:tc>
        <w:tc>
          <w:tcPr>
            <w:tcW w:w="1812" w:type="dxa"/>
          </w:tcPr>
          <w:p w14:paraId="02C09831"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319B51BD" w14:textId="54AFE64D" w:rsidR="007C63EF" w:rsidRPr="00663A4B" w:rsidRDefault="000950D4" w:rsidP="008C3709">
            <w:pPr>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A</w:t>
            </w:r>
            <w:r w:rsidR="007C63EF" w:rsidRPr="00663A4B">
              <w:rPr>
                <w:rFonts w:ascii="Arial Narrow" w:hAnsi="Arial Narrow"/>
                <w:sz w:val="18"/>
                <w:szCs w:val="18"/>
              </w:rPr>
              <w:t>ppl</w:t>
            </w:r>
            <w:r w:rsidR="007C63EF" w:rsidRPr="00663A4B">
              <w:rPr>
                <w:rFonts w:ascii="Arial Narrow" w:hAnsi="Arial Narrow"/>
                <w:spacing w:val="-1"/>
                <w:sz w:val="18"/>
                <w:szCs w:val="18"/>
              </w:rPr>
              <w:t>i</w:t>
            </w:r>
            <w:r w:rsidR="007C63EF" w:rsidRPr="00663A4B">
              <w:rPr>
                <w:rFonts w:ascii="Arial Narrow" w:hAnsi="Arial Narrow"/>
                <w:sz w:val="18"/>
                <w:szCs w:val="18"/>
              </w:rPr>
              <w:t>cab</w:t>
            </w:r>
            <w:r w:rsidR="007C63EF" w:rsidRPr="00663A4B">
              <w:rPr>
                <w:rFonts w:ascii="Arial Narrow" w:hAnsi="Arial Narrow"/>
                <w:spacing w:val="-1"/>
                <w:sz w:val="18"/>
                <w:szCs w:val="18"/>
              </w:rPr>
              <w:t>l</w:t>
            </w:r>
            <w:r w:rsidR="007C63EF" w:rsidRPr="00663A4B">
              <w:rPr>
                <w:rFonts w:ascii="Arial Narrow" w:hAnsi="Arial Narrow"/>
                <w:sz w:val="18"/>
                <w:szCs w:val="18"/>
              </w:rPr>
              <w:t>e to</w:t>
            </w:r>
            <w:r w:rsidR="007C63EF" w:rsidRPr="00663A4B">
              <w:rPr>
                <w:rFonts w:ascii="Arial Narrow" w:hAnsi="Arial Narrow"/>
                <w:spacing w:val="1"/>
                <w:sz w:val="18"/>
                <w:szCs w:val="18"/>
              </w:rPr>
              <w:t xml:space="preserve"> </w:t>
            </w:r>
            <w:r w:rsidR="007C63EF" w:rsidRPr="00663A4B">
              <w:rPr>
                <w:rFonts w:ascii="Arial Narrow" w:hAnsi="Arial Narrow"/>
                <w:sz w:val="18"/>
                <w:szCs w:val="18"/>
              </w:rPr>
              <w:t>A</w:t>
            </w:r>
            <w:r w:rsidR="007C63EF" w:rsidRPr="00663A4B">
              <w:rPr>
                <w:rFonts w:ascii="Arial Narrow" w:hAnsi="Arial Narrow"/>
                <w:spacing w:val="-1"/>
                <w:sz w:val="18"/>
                <w:szCs w:val="18"/>
              </w:rPr>
              <w:t>u</w:t>
            </w:r>
            <w:r w:rsidR="007C63EF" w:rsidRPr="00663A4B">
              <w:rPr>
                <w:rFonts w:ascii="Arial Narrow" w:hAnsi="Arial Narrow"/>
                <w:sz w:val="18"/>
                <w:szCs w:val="18"/>
              </w:rPr>
              <w:t>stral</w:t>
            </w:r>
            <w:r w:rsidR="007C63EF" w:rsidRPr="00663A4B">
              <w:rPr>
                <w:rFonts w:ascii="Arial Narrow" w:hAnsi="Arial Narrow"/>
                <w:spacing w:val="-1"/>
                <w:sz w:val="18"/>
                <w:szCs w:val="18"/>
              </w:rPr>
              <w:t>i</w:t>
            </w:r>
            <w:r w:rsidR="007C63EF" w:rsidRPr="00663A4B">
              <w:rPr>
                <w:rFonts w:ascii="Arial Narrow" w:hAnsi="Arial Narrow"/>
                <w:sz w:val="18"/>
                <w:szCs w:val="18"/>
              </w:rPr>
              <w:t>an hea</w:t>
            </w:r>
            <w:r w:rsidR="007C63EF" w:rsidRPr="00663A4B">
              <w:rPr>
                <w:rFonts w:ascii="Arial Narrow" w:hAnsi="Arial Narrow"/>
                <w:spacing w:val="-1"/>
                <w:sz w:val="18"/>
                <w:szCs w:val="18"/>
              </w:rPr>
              <w:t>l</w:t>
            </w:r>
            <w:r w:rsidR="007C63EF" w:rsidRPr="00663A4B">
              <w:rPr>
                <w:rFonts w:ascii="Arial Narrow" w:hAnsi="Arial Narrow"/>
                <w:sz w:val="18"/>
                <w:szCs w:val="18"/>
              </w:rPr>
              <w:t>thca</w:t>
            </w:r>
            <w:r w:rsidR="007C63EF" w:rsidRPr="00663A4B">
              <w:rPr>
                <w:rFonts w:ascii="Arial Narrow" w:hAnsi="Arial Narrow"/>
                <w:spacing w:val="-1"/>
                <w:sz w:val="18"/>
                <w:szCs w:val="18"/>
              </w:rPr>
              <w:t>r</w:t>
            </w:r>
            <w:r w:rsidR="007C63EF" w:rsidRPr="00663A4B">
              <w:rPr>
                <w:rFonts w:ascii="Arial Narrow" w:hAnsi="Arial Narrow"/>
                <w:sz w:val="18"/>
                <w:szCs w:val="18"/>
              </w:rPr>
              <w:t>e con</w:t>
            </w:r>
            <w:r w:rsidR="007C63EF" w:rsidRPr="00663A4B">
              <w:rPr>
                <w:rFonts w:ascii="Arial Narrow" w:hAnsi="Arial Narrow"/>
                <w:spacing w:val="-1"/>
                <w:sz w:val="18"/>
                <w:szCs w:val="18"/>
              </w:rPr>
              <w:t>te</w:t>
            </w:r>
            <w:r w:rsidR="007C63EF" w:rsidRPr="00663A4B">
              <w:rPr>
                <w:rFonts w:ascii="Arial Narrow" w:hAnsi="Arial Narrow"/>
                <w:sz w:val="18"/>
                <w:szCs w:val="18"/>
              </w:rPr>
              <w:t>xt</w:t>
            </w:r>
            <w:r w:rsidR="007C63EF" w:rsidRPr="00663A4B">
              <w:rPr>
                <w:rFonts w:ascii="Arial Narrow" w:hAnsi="Arial Narrow"/>
                <w:spacing w:val="1"/>
                <w:sz w:val="18"/>
                <w:szCs w:val="18"/>
              </w:rPr>
              <w:t xml:space="preserve"> </w:t>
            </w:r>
            <w:r w:rsidR="007C63EF" w:rsidRPr="00663A4B">
              <w:rPr>
                <w:rFonts w:ascii="Arial Narrow" w:hAnsi="Arial Narrow"/>
                <w:sz w:val="18"/>
                <w:szCs w:val="18"/>
              </w:rPr>
              <w:t>with f</w:t>
            </w:r>
            <w:r w:rsidR="007C63EF" w:rsidRPr="00663A4B">
              <w:rPr>
                <w:rFonts w:ascii="Arial Narrow" w:hAnsi="Arial Narrow"/>
                <w:spacing w:val="1"/>
                <w:sz w:val="18"/>
                <w:szCs w:val="18"/>
              </w:rPr>
              <w:t>e</w:t>
            </w:r>
            <w:r w:rsidR="007C63EF" w:rsidRPr="00663A4B">
              <w:rPr>
                <w:rFonts w:ascii="Arial Narrow" w:hAnsi="Arial Narrow"/>
                <w:sz w:val="18"/>
                <w:szCs w:val="18"/>
              </w:rPr>
              <w:t>w c</w:t>
            </w:r>
            <w:r w:rsidR="007C63EF" w:rsidRPr="00663A4B">
              <w:rPr>
                <w:rFonts w:ascii="Arial Narrow" w:hAnsi="Arial Narrow"/>
                <w:spacing w:val="1"/>
                <w:sz w:val="18"/>
                <w:szCs w:val="18"/>
              </w:rPr>
              <w:t>a</w:t>
            </w:r>
            <w:r w:rsidR="007C63EF" w:rsidRPr="00663A4B">
              <w:rPr>
                <w:rFonts w:ascii="Arial Narrow" w:hAnsi="Arial Narrow"/>
                <w:sz w:val="18"/>
                <w:szCs w:val="18"/>
              </w:rPr>
              <w:t>v</w:t>
            </w:r>
            <w:r w:rsidR="007C63EF" w:rsidRPr="00663A4B">
              <w:rPr>
                <w:rFonts w:ascii="Arial Narrow" w:hAnsi="Arial Narrow"/>
                <w:spacing w:val="1"/>
                <w:sz w:val="18"/>
                <w:szCs w:val="18"/>
              </w:rPr>
              <w:t>e</w:t>
            </w:r>
            <w:r w:rsidR="007C63EF" w:rsidRPr="00663A4B">
              <w:rPr>
                <w:rFonts w:ascii="Arial Narrow" w:hAnsi="Arial Narrow"/>
                <w:sz w:val="18"/>
                <w:szCs w:val="18"/>
              </w:rPr>
              <w:t>ats</w:t>
            </w:r>
          </w:p>
        </w:tc>
        <w:tc>
          <w:tcPr>
            <w:tcW w:w="1812" w:type="dxa"/>
          </w:tcPr>
          <w:p w14:paraId="2E9B9382"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2176B686" w14:textId="77777777" w:rsidR="007C63EF" w:rsidRPr="00663A4B" w:rsidRDefault="007C63EF" w:rsidP="008C3709">
            <w:pPr>
              <w:widowControl w:val="0"/>
              <w:autoSpaceDE w:val="0"/>
              <w:autoSpaceDN w:val="0"/>
              <w:adjustRightInd w:val="0"/>
              <w:spacing w:before="60" w:after="60" w:line="240" w:lineRule="auto"/>
              <w:ind w:left="40" w:right="40"/>
              <w:jc w:val="left"/>
              <w:rPr>
                <w:rFonts w:ascii="Arial Narrow" w:hAnsi="Arial Narrow"/>
              </w:rPr>
            </w:pPr>
          </w:p>
        </w:tc>
      </w:tr>
    </w:tbl>
    <w:p w14:paraId="6D211CB9" w14:textId="06F6E67D" w:rsidR="00F841E2" w:rsidRDefault="000950D4" w:rsidP="008C3709">
      <w:pPr>
        <w:pStyle w:val="Tablenotes0"/>
        <w:spacing w:after="0"/>
        <w:jc w:val="left"/>
      </w:pPr>
      <w:r>
        <w:rPr>
          <w:vertAlign w:val="superscript"/>
        </w:rPr>
        <w:t xml:space="preserve">a </w:t>
      </w:r>
      <w:r w:rsidR="007C63EF" w:rsidRPr="007B353A">
        <w:t xml:space="preserve">Level of evidence determined from the NHMRC evidence hierarchy – </w:t>
      </w:r>
      <w:r w:rsidR="00D74B97" w:rsidRPr="007B353A">
        <w:fldChar w:fldCharType="begin"/>
      </w:r>
      <w:r w:rsidR="00D74B97" w:rsidRPr="007B353A">
        <w:instrText xml:space="preserve"> REF _Ref206478826 \h  \* MERGEFORMAT </w:instrText>
      </w:r>
      <w:r w:rsidR="00D74B97" w:rsidRPr="007B353A">
        <w:fldChar w:fldCharType="separate"/>
      </w:r>
      <w:r w:rsidR="00BB0E3E" w:rsidRPr="005613FD">
        <w:t xml:space="preserve">Table </w:t>
      </w:r>
      <w:r w:rsidR="00BB0E3E">
        <w:t>20</w:t>
      </w:r>
      <w:r w:rsidR="00D74B97" w:rsidRPr="007B353A">
        <w:fldChar w:fldCharType="end"/>
      </w:r>
    </w:p>
    <w:p w14:paraId="4BE42194" w14:textId="07A5391B" w:rsidR="00F841E2" w:rsidRDefault="000950D4" w:rsidP="008C3709">
      <w:pPr>
        <w:pStyle w:val="Tablenotes0"/>
        <w:spacing w:after="0"/>
        <w:jc w:val="left"/>
      </w:pPr>
      <w:r>
        <w:rPr>
          <w:vertAlign w:val="superscript"/>
        </w:rPr>
        <w:t>b</w:t>
      </w:r>
      <w:r w:rsidR="007C63EF" w:rsidRPr="007B353A">
        <w:t xml:space="preserve"> If there is only </w:t>
      </w:r>
      <w:r w:rsidR="00695332">
        <w:t>1</w:t>
      </w:r>
      <w:r w:rsidR="00695332" w:rsidRPr="007B353A">
        <w:t xml:space="preserve"> </w:t>
      </w:r>
      <w:r w:rsidR="007C63EF" w:rsidRPr="007B353A">
        <w:t xml:space="preserve">study, rank this component as ‘not applicable’. </w:t>
      </w:r>
    </w:p>
    <w:p w14:paraId="70106E45" w14:textId="688C7721" w:rsidR="007C63EF" w:rsidRDefault="000950D4" w:rsidP="008C3709">
      <w:pPr>
        <w:pStyle w:val="Tablenotes0"/>
        <w:spacing w:after="0"/>
        <w:jc w:val="left"/>
      </w:pPr>
      <w:r>
        <w:rPr>
          <w:vertAlign w:val="superscript"/>
        </w:rPr>
        <w:t>c</w:t>
      </w:r>
      <w:r w:rsidR="007C63EF" w:rsidRPr="007B353A">
        <w:rPr>
          <w:b/>
          <w:spacing w:val="1"/>
        </w:rPr>
        <w:t xml:space="preserve"> </w:t>
      </w:r>
      <w:r w:rsidR="007C63EF" w:rsidRPr="007B353A">
        <w:rPr>
          <w:spacing w:val="1"/>
        </w:rPr>
        <w:t xml:space="preserve">For example, </w:t>
      </w:r>
      <w:r w:rsidR="007C63EF" w:rsidRPr="007B353A">
        <w:t>res</w:t>
      </w:r>
      <w:r w:rsidR="007C63EF" w:rsidRPr="007B353A">
        <w:rPr>
          <w:spacing w:val="1"/>
        </w:rPr>
        <w:t>u</w:t>
      </w:r>
      <w:r w:rsidR="007C63EF" w:rsidRPr="007B353A">
        <w:t>lts in ad</w:t>
      </w:r>
      <w:r w:rsidR="007C63EF" w:rsidRPr="007B353A">
        <w:rPr>
          <w:spacing w:val="1"/>
        </w:rPr>
        <w:t>u</w:t>
      </w:r>
      <w:r w:rsidR="007C63EF" w:rsidRPr="007B353A">
        <w:t>lts t</w:t>
      </w:r>
      <w:r w:rsidR="007C63EF" w:rsidRPr="007B353A">
        <w:rPr>
          <w:spacing w:val="1"/>
        </w:rPr>
        <w:t>h</w:t>
      </w:r>
      <w:r w:rsidR="007C63EF" w:rsidRPr="007B353A">
        <w:t>at are</w:t>
      </w:r>
      <w:r w:rsidR="007C63EF" w:rsidRPr="007B353A">
        <w:rPr>
          <w:spacing w:val="-1"/>
        </w:rPr>
        <w:t xml:space="preserve"> </w:t>
      </w:r>
      <w:r w:rsidR="007C63EF" w:rsidRPr="007B353A">
        <w:t>cli</w:t>
      </w:r>
      <w:r w:rsidR="007C63EF" w:rsidRPr="007B353A">
        <w:rPr>
          <w:spacing w:val="1"/>
        </w:rPr>
        <w:t>n</w:t>
      </w:r>
      <w:r w:rsidR="007C63EF" w:rsidRPr="007B353A">
        <w:t>ically se</w:t>
      </w:r>
      <w:r w:rsidR="007C63EF" w:rsidRPr="007B353A">
        <w:rPr>
          <w:spacing w:val="1"/>
        </w:rPr>
        <w:t>n</w:t>
      </w:r>
      <w:r w:rsidR="007C63EF" w:rsidRPr="007B353A">
        <w:t>si</w:t>
      </w:r>
      <w:r w:rsidR="007C63EF" w:rsidRPr="007B353A">
        <w:rPr>
          <w:spacing w:val="1"/>
        </w:rPr>
        <w:t>b</w:t>
      </w:r>
      <w:r w:rsidR="007C63EF" w:rsidRPr="007B353A">
        <w:t>le to</w:t>
      </w:r>
      <w:r w:rsidR="007C63EF" w:rsidRPr="007B353A">
        <w:rPr>
          <w:spacing w:val="1"/>
        </w:rPr>
        <w:t xml:space="preserve"> </w:t>
      </w:r>
      <w:r w:rsidR="007C63EF" w:rsidRPr="007B353A">
        <w:t>ap</w:t>
      </w:r>
      <w:r w:rsidR="007C63EF" w:rsidRPr="007B353A">
        <w:rPr>
          <w:spacing w:val="1"/>
        </w:rPr>
        <w:t>p</w:t>
      </w:r>
      <w:r w:rsidR="007C63EF" w:rsidRPr="007B353A">
        <w:t>ly to c</w:t>
      </w:r>
      <w:r w:rsidR="007C63EF" w:rsidRPr="007B353A">
        <w:rPr>
          <w:spacing w:val="1"/>
        </w:rPr>
        <w:t>h</w:t>
      </w:r>
      <w:r w:rsidR="007C63EF" w:rsidRPr="007B353A">
        <w:t>il</w:t>
      </w:r>
      <w:r w:rsidR="007C63EF" w:rsidRPr="007B353A">
        <w:rPr>
          <w:spacing w:val="1"/>
        </w:rPr>
        <w:t>d</w:t>
      </w:r>
      <w:r w:rsidR="007C63EF" w:rsidRPr="007B353A">
        <w:t>ren OR</w:t>
      </w:r>
      <w:r w:rsidR="007C63EF" w:rsidRPr="007B353A">
        <w:rPr>
          <w:spacing w:val="-1"/>
        </w:rPr>
        <w:t xml:space="preserve"> </w:t>
      </w:r>
      <w:r w:rsidR="007C63EF" w:rsidRPr="007B353A">
        <w:rPr>
          <w:spacing w:val="1"/>
        </w:rPr>
        <w:t>p</w:t>
      </w:r>
      <w:r w:rsidR="007C63EF" w:rsidRPr="007B353A">
        <w:rPr>
          <w:spacing w:val="-1"/>
        </w:rPr>
        <w:t>s</w:t>
      </w:r>
      <w:r w:rsidR="007C63EF" w:rsidRPr="007B353A">
        <w:t>yc</w:t>
      </w:r>
      <w:r w:rsidR="007C63EF" w:rsidRPr="007B353A">
        <w:rPr>
          <w:spacing w:val="1"/>
        </w:rPr>
        <w:t>ho</w:t>
      </w:r>
      <w:r w:rsidR="007C63EF" w:rsidRPr="007B353A">
        <w:rPr>
          <w:spacing w:val="-1"/>
        </w:rPr>
        <w:t>s</w:t>
      </w:r>
      <w:r w:rsidR="007C63EF" w:rsidRPr="007B353A">
        <w:rPr>
          <w:spacing w:val="1"/>
        </w:rPr>
        <w:t>o</w:t>
      </w:r>
      <w:r w:rsidR="007C63EF" w:rsidRPr="007B353A">
        <w:t>cial o</w:t>
      </w:r>
      <w:r w:rsidR="007C63EF" w:rsidRPr="007B353A">
        <w:rPr>
          <w:spacing w:val="1"/>
        </w:rPr>
        <w:t>u</w:t>
      </w:r>
      <w:r w:rsidR="007C63EF" w:rsidRPr="007B353A">
        <w:rPr>
          <w:spacing w:val="-2"/>
        </w:rPr>
        <w:t>t</w:t>
      </w:r>
      <w:r w:rsidR="007C63EF" w:rsidRPr="007B353A">
        <w:t>c</w:t>
      </w:r>
      <w:r w:rsidR="007C63EF" w:rsidRPr="007B353A">
        <w:rPr>
          <w:spacing w:val="1"/>
        </w:rPr>
        <w:t>o</w:t>
      </w:r>
      <w:r w:rsidR="007C63EF" w:rsidRPr="007B353A">
        <w:rPr>
          <w:spacing w:val="-2"/>
        </w:rPr>
        <w:t>m</w:t>
      </w:r>
      <w:r w:rsidR="007C63EF" w:rsidRPr="007B353A">
        <w:t>es f</w:t>
      </w:r>
      <w:r w:rsidR="007C63EF" w:rsidRPr="007B353A">
        <w:rPr>
          <w:spacing w:val="1"/>
        </w:rPr>
        <w:t>o</w:t>
      </w:r>
      <w:r w:rsidR="007C63EF" w:rsidRPr="007B353A">
        <w:t>r o</w:t>
      </w:r>
      <w:r w:rsidR="007C63EF" w:rsidRPr="007B353A">
        <w:rPr>
          <w:spacing w:val="1"/>
        </w:rPr>
        <w:t>n</w:t>
      </w:r>
      <w:r w:rsidR="007C63EF" w:rsidRPr="007B353A">
        <w:t>e</w:t>
      </w:r>
      <w:r w:rsidR="007C63EF" w:rsidRPr="007B353A">
        <w:rPr>
          <w:spacing w:val="-1"/>
        </w:rPr>
        <w:t xml:space="preserve"> </w:t>
      </w:r>
      <w:r w:rsidR="007C63EF" w:rsidRPr="007B353A">
        <w:t>ca</w:t>
      </w:r>
      <w:r w:rsidR="007C63EF" w:rsidRPr="007B353A">
        <w:rPr>
          <w:spacing w:val="1"/>
        </w:rPr>
        <w:t>n</w:t>
      </w:r>
      <w:r w:rsidR="007C63EF" w:rsidRPr="007B353A">
        <w:t>cer t</w:t>
      </w:r>
      <w:r w:rsidR="007C63EF" w:rsidRPr="007B353A">
        <w:rPr>
          <w:spacing w:val="1"/>
        </w:rPr>
        <w:t>h</w:t>
      </w:r>
      <w:r w:rsidR="007C63EF" w:rsidRPr="007B353A">
        <w:t xml:space="preserve">at </w:t>
      </w:r>
      <w:r w:rsidR="007C63EF" w:rsidRPr="007B353A">
        <w:rPr>
          <w:spacing w:val="-2"/>
        </w:rPr>
        <w:t>m</w:t>
      </w:r>
      <w:r w:rsidR="007C63EF" w:rsidRPr="007B353A">
        <w:rPr>
          <w:spacing w:val="1"/>
        </w:rPr>
        <w:t>a</w:t>
      </w:r>
      <w:r w:rsidR="007C63EF" w:rsidRPr="007B353A">
        <w:t xml:space="preserve">y </w:t>
      </w:r>
      <w:r w:rsidR="007C63EF" w:rsidRPr="007B353A">
        <w:rPr>
          <w:spacing w:val="1"/>
        </w:rPr>
        <w:t>b</w:t>
      </w:r>
      <w:r w:rsidR="007C63EF" w:rsidRPr="007B353A">
        <w:t>e ap</w:t>
      </w:r>
      <w:r w:rsidR="007C63EF" w:rsidRPr="007B353A">
        <w:rPr>
          <w:spacing w:val="1"/>
        </w:rPr>
        <w:t>p</w:t>
      </w:r>
      <w:r w:rsidR="007C63EF" w:rsidRPr="007B353A">
        <w:t>lica</w:t>
      </w:r>
      <w:r w:rsidR="007C63EF" w:rsidRPr="007B353A">
        <w:rPr>
          <w:spacing w:val="1"/>
        </w:rPr>
        <w:t>b</w:t>
      </w:r>
      <w:r w:rsidR="007C63EF" w:rsidRPr="007B353A">
        <w:t xml:space="preserve">le to </w:t>
      </w:r>
      <w:r w:rsidR="007C63EF" w:rsidRPr="007B353A">
        <w:rPr>
          <w:spacing w:val="1"/>
        </w:rPr>
        <w:t>p</w:t>
      </w:r>
      <w:r w:rsidR="007C63EF" w:rsidRPr="007B353A">
        <w:t>at</w:t>
      </w:r>
      <w:r w:rsidR="007C63EF" w:rsidRPr="007B353A">
        <w:rPr>
          <w:spacing w:val="-2"/>
        </w:rPr>
        <w:t>i</w:t>
      </w:r>
      <w:r w:rsidR="007C63EF" w:rsidRPr="007B353A">
        <w:t>e</w:t>
      </w:r>
      <w:r w:rsidR="007C63EF" w:rsidRPr="007B353A">
        <w:rPr>
          <w:spacing w:val="1"/>
        </w:rPr>
        <w:t>n</w:t>
      </w:r>
      <w:r w:rsidR="007C63EF" w:rsidRPr="007B353A">
        <w:t>ts</w:t>
      </w:r>
      <w:r w:rsidR="007C63EF" w:rsidRPr="007B353A">
        <w:rPr>
          <w:spacing w:val="-1"/>
        </w:rPr>
        <w:t xml:space="preserve"> </w:t>
      </w:r>
      <w:r w:rsidR="007C63EF" w:rsidRPr="007B353A">
        <w:t>with</w:t>
      </w:r>
      <w:r w:rsidR="007C63EF" w:rsidRPr="007B353A">
        <w:rPr>
          <w:spacing w:val="1"/>
        </w:rPr>
        <w:t xml:space="preserve"> </w:t>
      </w:r>
      <w:r w:rsidR="007C63EF" w:rsidRPr="007B353A">
        <w:t>a</w:t>
      </w:r>
      <w:r w:rsidR="007C63EF" w:rsidRPr="007B353A">
        <w:rPr>
          <w:spacing w:val="1"/>
        </w:rPr>
        <w:t>no</w:t>
      </w:r>
      <w:r w:rsidR="007C63EF" w:rsidRPr="007B353A">
        <w:rPr>
          <w:spacing w:val="-2"/>
        </w:rPr>
        <w:t>t</w:t>
      </w:r>
      <w:r w:rsidR="007C63EF" w:rsidRPr="007B353A">
        <w:t>her ca</w:t>
      </w:r>
      <w:r w:rsidR="007C63EF" w:rsidRPr="007B353A">
        <w:rPr>
          <w:spacing w:val="1"/>
        </w:rPr>
        <w:t>n</w:t>
      </w:r>
      <w:r w:rsidR="007C63EF" w:rsidRPr="007B353A">
        <w:t>cer</w:t>
      </w:r>
    </w:p>
    <w:p w14:paraId="022F587D" w14:textId="77777777" w:rsidR="00453ED3" w:rsidRPr="007B353A" w:rsidRDefault="00453ED3" w:rsidP="008C3709">
      <w:pPr>
        <w:pStyle w:val="Tablenotes0"/>
        <w:spacing w:after="0"/>
        <w:jc w:val="left"/>
      </w:pPr>
      <w:r w:rsidRPr="007B353A">
        <w:t>SR = systematic review, several = more than two studies</w:t>
      </w:r>
    </w:p>
    <w:p w14:paraId="416335AB" w14:textId="77777777" w:rsidR="007C63EF" w:rsidRPr="009F4485" w:rsidRDefault="007C63EF" w:rsidP="007C63EF"/>
    <w:p w14:paraId="160EAA7B" w14:textId="77777777" w:rsidR="00581F5C" w:rsidRDefault="00581F5C" w:rsidP="00A25EBB">
      <w:pPr>
        <w:pStyle w:val="TableName"/>
        <w:ind w:left="0" w:firstLine="0"/>
      </w:pPr>
      <w:bookmarkStart w:id="290" w:name="_Ref412127431"/>
      <w:bookmarkStart w:id="291" w:name="_Toc418179446"/>
      <w:r>
        <w:t xml:space="preserve">Table </w:t>
      </w:r>
      <w:fldSimple w:instr=" SEQ Table \* ARABIC ">
        <w:r w:rsidR="00BB0E3E">
          <w:rPr>
            <w:noProof/>
          </w:rPr>
          <w:t>49</w:t>
        </w:r>
      </w:fldSimple>
      <w:bookmarkEnd w:id="290"/>
      <w:r>
        <w:tab/>
      </w:r>
      <w:r w:rsidRPr="003462F6">
        <w:t>Body of evidence assessment matrix</w:t>
      </w:r>
      <w:r w:rsidR="003B6383">
        <w:t xml:space="preserve"> for change in management results</w:t>
      </w:r>
      <w:bookmarkEnd w:id="291"/>
    </w:p>
    <w:tbl>
      <w:tblPr>
        <w:tblStyle w:val="TableGrid1"/>
        <w:tblW w:w="9061" w:type="dxa"/>
        <w:tblLayout w:type="fixed"/>
        <w:tblLook w:val="0000" w:firstRow="0" w:lastRow="0" w:firstColumn="0" w:lastColumn="0" w:noHBand="0" w:noVBand="0"/>
        <w:tblCaption w:val="Body of evidence assessment matrix for change in management results"/>
        <w:tblDescription w:val="Body of evidence assessment matrix for change in management results"/>
      </w:tblPr>
      <w:tblGrid>
        <w:gridCol w:w="1812"/>
        <w:gridCol w:w="1812"/>
        <w:gridCol w:w="1812"/>
        <w:gridCol w:w="1812"/>
        <w:gridCol w:w="1813"/>
      </w:tblGrid>
      <w:tr w:rsidR="00581F5C" w:rsidRPr="000453F4" w14:paraId="2F24084A" w14:textId="77777777" w:rsidTr="00447183">
        <w:trPr>
          <w:tblHeader/>
        </w:trPr>
        <w:tc>
          <w:tcPr>
            <w:tcW w:w="1812" w:type="dxa"/>
          </w:tcPr>
          <w:p w14:paraId="4BAEDD7E"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r w:rsidRPr="000453F4">
              <w:rPr>
                <w:rFonts w:ascii="Arial Narrow" w:hAnsi="Arial Narrow"/>
                <w:b/>
                <w:bCs/>
                <w:sz w:val="20"/>
              </w:rPr>
              <w:t>Co</w:t>
            </w:r>
            <w:r w:rsidRPr="000453F4">
              <w:rPr>
                <w:rFonts w:ascii="Arial Narrow" w:hAnsi="Arial Narrow"/>
                <w:b/>
                <w:bCs/>
                <w:spacing w:val="-1"/>
                <w:sz w:val="20"/>
              </w:rPr>
              <w:t>m</w:t>
            </w:r>
            <w:r w:rsidRPr="000453F4">
              <w:rPr>
                <w:rFonts w:ascii="Arial Narrow" w:hAnsi="Arial Narrow"/>
                <w:b/>
                <w:bCs/>
                <w:sz w:val="20"/>
              </w:rPr>
              <w:t>p</w:t>
            </w:r>
            <w:r w:rsidRPr="000453F4">
              <w:rPr>
                <w:rFonts w:ascii="Arial Narrow" w:hAnsi="Arial Narrow"/>
                <w:b/>
                <w:bCs/>
                <w:spacing w:val="-1"/>
                <w:sz w:val="20"/>
              </w:rPr>
              <w:t>o</w:t>
            </w:r>
            <w:r w:rsidRPr="000453F4">
              <w:rPr>
                <w:rFonts w:ascii="Arial Narrow" w:hAnsi="Arial Narrow"/>
                <w:b/>
                <w:bCs/>
                <w:sz w:val="20"/>
              </w:rPr>
              <w:t>ne</w:t>
            </w:r>
            <w:r w:rsidRPr="000453F4">
              <w:rPr>
                <w:rFonts w:ascii="Arial Narrow" w:hAnsi="Arial Narrow"/>
                <w:b/>
                <w:bCs/>
                <w:spacing w:val="-1"/>
                <w:sz w:val="20"/>
              </w:rPr>
              <w:t>n</w:t>
            </w:r>
            <w:r w:rsidRPr="000453F4">
              <w:rPr>
                <w:rFonts w:ascii="Arial Narrow" w:hAnsi="Arial Narrow"/>
                <w:b/>
                <w:bCs/>
                <w:sz w:val="20"/>
              </w:rPr>
              <w:t>t</w:t>
            </w:r>
          </w:p>
        </w:tc>
        <w:tc>
          <w:tcPr>
            <w:tcW w:w="1812" w:type="dxa"/>
          </w:tcPr>
          <w:p w14:paraId="0E73F614"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A</w:t>
            </w:r>
          </w:p>
        </w:tc>
        <w:tc>
          <w:tcPr>
            <w:tcW w:w="1812" w:type="dxa"/>
          </w:tcPr>
          <w:p w14:paraId="11B425CD"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B</w:t>
            </w:r>
          </w:p>
        </w:tc>
        <w:tc>
          <w:tcPr>
            <w:tcW w:w="1812" w:type="dxa"/>
          </w:tcPr>
          <w:p w14:paraId="471AD65B"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C</w:t>
            </w:r>
          </w:p>
        </w:tc>
        <w:tc>
          <w:tcPr>
            <w:tcW w:w="1813" w:type="dxa"/>
          </w:tcPr>
          <w:p w14:paraId="6B9E3354"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D</w:t>
            </w:r>
          </w:p>
        </w:tc>
      </w:tr>
      <w:tr w:rsidR="00581F5C" w:rsidRPr="000453F4" w14:paraId="764F05F1" w14:textId="77777777" w:rsidTr="0042252D">
        <w:tc>
          <w:tcPr>
            <w:tcW w:w="1812" w:type="dxa"/>
          </w:tcPr>
          <w:p w14:paraId="145ED295"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14C14D7D"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E</w:t>
            </w:r>
            <w:r w:rsidRPr="000453F4">
              <w:rPr>
                <w:rFonts w:ascii="Arial Narrow" w:hAnsi="Arial Narrow"/>
                <w:b/>
                <w:spacing w:val="1"/>
                <w:sz w:val="20"/>
              </w:rPr>
              <w:t>x</w:t>
            </w:r>
            <w:r w:rsidRPr="000453F4">
              <w:rPr>
                <w:rFonts w:ascii="Arial Narrow" w:hAnsi="Arial Narrow"/>
                <w:b/>
                <w:sz w:val="20"/>
              </w:rPr>
              <w:t>celle</w:t>
            </w:r>
            <w:r w:rsidRPr="000453F4">
              <w:rPr>
                <w:rFonts w:ascii="Arial Narrow" w:hAnsi="Arial Narrow"/>
                <w:b/>
                <w:spacing w:val="1"/>
                <w:sz w:val="20"/>
              </w:rPr>
              <w:t>n</w:t>
            </w:r>
            <w:r w:rsidRPr="000453F4">
              <w:rPr>
                <w:rFonts w:ascii="Arial Narrow" w:hAnsi="Arial Narrow"/>
                <w:b/>
                <w:sz w:val="20"/>
              </w:rPr>
              <w:t>t</w:t>
            </w:r>
          </w:p>
        </w:tc>
        <w:tc>
          <w:tcPr>
            <w:tcW w:w="1812" w:type="dxa"/>
          </w:tcPr>
          <w:p w14:paraId="56C66018"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Good</w:t>
            </w:r>
          </w:p>
        </w:tc>
        <w:tc>
          <w:tcPr>
            <w:tcW w:w="1812" w:type="dxa"/>
          </w:tcPr>
          <w:p w14:paraId="13614E97"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Satisfact</w:t>
            </w:r>
            <w:r w:rsidRPr="000453F4">
              <w:rPr>
                <w:rFonts w:ascii="Arial Narrow" w:hAnsi="Arial Narrow"/>
                <w:b/>
                <w:spacing w:val="1"/>
                <w:sz w:val="20"/>
              </w:rPr>
              <w:t>o</w:t>
            </w:r>
            <w:r w:rsidRPr="000453F4">
              <w:rPr>
                <w:rFonts w:ascii="Arial Narrow" w:hAnsi="Arial Narrow"/>
                <w:b/>
                <w:sz w:val="20"/>
              </w:rPr>
              <w:t>ry</w:t>
            </w:r>
          </w:p>
        </w:tc>
        <w:tc>
          <w:tcPr>
            <w:tcW w:w="1813" w:type="dxa"/>
          </w:tcPr>
          <w:p w14:paraId="1710B07A"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b/>
              </w:rPr>
            </w:pPr>
            <w:r w:rsidRPr="000453F4">
              <w:rPr>
                <w:rFonts w:ascii="Arial Narrow" w:hAnsi="Arial Narrow"/>
                <w:b/>
                <w:sz w:val="20"/>
              </w:rPr>
              <w:t>Po</w:t>
            </w:r>
            <w:r w:rsidRPr="000453F4">
              <w:rPr>
                <w:rFonts w:ascii="Arial Narrow" w:hAnsi="Arial Narrow"/>
                <w:b/>
                <w:spacing w:val="1"/>
                <w:sz w:val="20"/>
              </w:rPr>
              <w:t>o</w:t>
            </w:r>
            <w:r w:rsidRPr="000453F4">
              <w:rPr>
                <w:rFonts w:ascii="Arial Narrow" w:hAnsi="Arial Narrow"/>
                <w:b/>
                <w:sz w:val="20"/>
              </w:rPr>
              <w:t>r</w:t>
            </w:r>
          </w:p>
        </w:tc>
      </w:tr>
      <w:tr w:rsidR="00581F5C" w:rsidRPr="00663A4B" w14:paraId="3C049C71" w14:textId="77777777" w:rsidTr="0042252D">
        <w:tc>
          <w:tcPr>
            <w:tcW w:w="1812" w:type="dxa"/>
          </w:tcPr>
          <w:p w14:paraId="50A3F5A5" w14:textId="6FC32146"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r w:rsidRPr="000453F4">
              <w:rPr>
                <w:rFonts w:ascii="Arial Narrow" w:hAnsi="Arial Narrow"/>
                <w:b/>
                <w:bCs/>
                <w:sz w:val="20"/>
              </w:rPr>
              <w:t>Evidence base</w:t>
            </w:r>
            <w:r w:rsidR="00964502">
              <w:rPr>
                <w:rFonts w:ascii="Arial Narrow" w:hAnsi="Arial Narrow"/>
                <w:b/>
                <w:bCs/>
                <w:sz w:val="20"/>
              </w:rPr>
              <w:t xml:space="preserve"> </w:t>
            </w:r>
            <w:r w:rsidR="004101AC">
              <w:rPr>
                <w:rFonts w:ascii="Arial Narrow" w:hAnsi="Arial Narrow"/>
                <w:b/>
                <w:bCs/>
                <w:sz w:val="20"/>
                <w:vertAlign w:val="superscript"/>
              </w:rPr>
              <w:t>a</w:t>
            </w:r>
          </w:p>
        </w:tc>
        <w:tc>
          <w:tcPr>
            <w:tcW w:w="1812" w:type="dxa"/>
          </w:tcPr>
          <w:p w14:paraId="3D13A7F6"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361F6D39"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6EADE9EA" w14:textId="77777777" w:rsidR="00581F5C" w:rsidRPr="000453F4"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20F3976B" w14:textId="2BE07709" w:rsidR="00581F5C" w:rsidRPr="00663A4B" w:rsidRDefault="004101AC" w:rsidP="008C3709">
            <w:pPr>
              <w:keepNext/>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L</w:t>
            </w:r>
            <w:r w:rsidR="00581F5C" w:rsidRPr="000453F4">
              <w:rPr>
                <w:rFonts w:ascii="Arial Narrow" w:hAnsi="Arial Narrow"/>
                <w:sz w:val="18"/>
                <w:szCs w:val="18"/>
              </w:rPr>
              <w:t>evel</w:t>
            </w:r>
            <w:r w:rsidR="00581F5C" w:rsidRPr="000453F4">
              <w:rPr>
                <w:rFonts w:ascii="Arial Narrow" w:hAnsi="Arial Narrow"/>
                <w:spacing w:val="1"/>
                <w:sz w:val="18"/>
                <w:szCs w:val="18"/>
              </w:rPr>
              <w:t xml:space="preserve"> </w:t>
            </w:r>
            <w:r w:rsidR="00581F5C" w:rsidRPr="000453F4">
              <w:rPr>
                <w:rFonts w:ascii="Arial Narrow" w:hAnsi="Arial Narrow"/>
                <w:sz w:val="18"/>
                <w:szCs w:val="18"/>
              </w:rPr>
              <w:t>IV</w:t>
            </w:r>
            <w:r w:rsidR="00581F5C" w:rsidRPr="000453F4">
              <w:rPr>
                <w:rFonts w:ascii="Arial Narrow" w:hAnsi="Arial Narrow"/>
                <w:spacing w:val="1"/>
                <w:sz w:val="18"/>
                <w:szCs w:val="18"/>
              </w:rPr>
              <w:t xml:space="preserve"> </w:t>
            </w:r>
            <w:r w:rsidR="00581F5C" w:rsidRPr="000453F4">
              <w:rPr>
                <w:rFonts w:ascii="Arial Narrow" w:hAnsi="Arial Narrow"/>
                <w:sz w:val="18"/>
                <w:szCs w:val="18"/>
              </w:rPr>
              <w:t>stu</w:t>
            </w:r>
            <w:r w:rsidR="00581F5C" w:rsidRPr="000453F4">
              <w:rPr>
                <w:rFonts w:ascii="Arial Narrow" w:hAnsi="Arial Narrow"/>
                <w:spacing w:val="-1"/>
                <w:sz w:val="18"/>
                <w:szCs w:val="18"/>
              </w:rPr>
              <w:t>d</w:t>
            </w:r>
            <w:r w:rsidR="00581F5C" w:rsidRPr="000453F4">
              <w:rPr>
                <w:rFonts w:ascii="Arial Narrow" w:hAnsi="Arial Narrow"/>
                <w:sz w:val="18"/>
                <w:szCs w:val="18"/>
              </w:rPr>
              <w:t>ies,</w:t>
            </w:r>
            <w:r w:rsidR="00581F5C" w:rsidRPr="000453F4">
              <w:rPr>
                <w:rFonts w:ascii="Arial Narrow" w:hAnsi="Arial Narrow"/>
                <w:spacing w:val="-1"/>
                <w:sz w:val="18"/>
                <w:szCs w:val="18"/>
              </w:rPr>
              <w:t xml:space="preserve"> </w:t>
            </w:r>
            <w:r w:rsidR="00581F5C" w:rsidRPr="000453F4">
              <w:rPr>
                <w:rFonts w:ascii="Arial Narrow" w:hAnsi="Arial Narrow"/>
                <w:sz w:val="18"/>
                <w:szCs w:val="18"/>
              </w:rPr>
              <w:t>or lev</w:t>
            </w:r>
            <w:r w:rsidR="00581F5C" w:rsidRPr="000453F4">
              <w:rPr>
                <w:rFonts w:ascii="Arial Narrow" w:hAnsi="Arial Narrow"/>
                <w:spacing w:val="-1"/>
                <w:sz w:val="18"/>
                <w:szCs w:val="18"/>
              </w:rPr>
              <w:t>e</w:t>
            </w:r>
            <w:r w:rsidR="00581F5C" w:rsidRPr="000453F4">
              <w:rPr>
                <w:rFonts w:ascii="Arial Narrow" w:hAnsi="Arial Narrow"/>
                <w:sz w:val="18"/>
                <w:szCs w:val="18"/>
              </w:rPr>
              <w:t>l</w:t>
            </w:r>
            <w:r w:rsidR="00581F5C" w:rsidRPr="000453F4">
              <w:rPr>
                <w:rFonts w:ascii="Arial Narrow" w:hAnsi="Arial Narrow"/>
                <w:spacing w:val="1"/>
                <w:sz w:val="18"/>
                <w:szCs w:val="18"/>
              </w:rPr>
              <w:t xml:space="preserve"> </w:t>
            </w:r>
            <w:r w:rsidR="00581F5C" w:rsidRPr="000453F4">
              <w:rPr>
                <w:rFonts w:ascii="Arial Narrow" w:hAnsi="Arial Narrow"/>
                <w:sz w:val="18"/>
                <w:szCs w:val="18"/>
              </w:rPr>
              <w:t>I</w:t>
            </w:r>
            <w:r w:rsidR="00581F5C" w:rsidRPr="000453F4">
              <w:rPr>
                <w:rFonts w:ascii="Arial Narrow" w:hAnsi="Arial Narrow"/>
                <w:spacing w:val="-1"/>
                <w:sz w:val="18"/>
                <w:szCs w:val="18"/>
              </w:rPr>
              <w:t xml:space="preserve"> </w:t>
            </w:r>
            <w:r w:rsidR="00581F5C" w:rsidRPr="000453F4">
              <w:rPr>
                <w:rFonts w:ascii="Arial Narrow" w:hAnsi="Arial Narrow"/>
                <w:sz w:val="18"/>
                <w:szCs w:val="18"/>
              </w:rPr>
              <w:t>to</w:t>
            </w:r>
            <w:r w:rsidR="00581F5C" w:rsidRPr="000453F4">
              <w:rPr>
                <w:rFonts w:ascii="Arial Narrow" w:hAnsi="Arial Narrow"/>
                <w:spacing w:val="1"/>
                <w:sz w:val="18"/>
                <w:szCs w:val="18"/>
              </w:rPr>
              <w:t xml:space="preserve"> </w:t>
            </w:r>
            <w:r w:rsidR="00581F5C" w:rsidRPr="000453F4">
              <w:rPr>
                <w:rFonts w:ascii="Arial Narrow" w:hAnsi="Arial Narrow"/>
                <w:sz w:val="18"/>
                <w:szCs w:val="18"/>
              </w:rPr>
              <w:t>I</w:t>
            </w:r>
            <w:r w:rsidR="00581F5C" w:rsidRPr="000453F4">
              <w:rPr>
                <w:rFonts w:ascii="Arial Narrow" w:hAnsi="Arial Narrow"/>
                <w:spacing w:val="-1"/>
                <w:sz w:val="18"/>
                <w:szCs w:val="18"/>
              </w:rPr>
              <w:t>I</w:t>
            </w:r>
            <w:r w:rsidR="00581F5C" w:rsidRPr="000453F4">
              <w:rPr>
                <w:rFonts w:ascii="Arial Narrow" w:hAnsi="Arial Narrow"/>
                <w:sz w:val="18"/>
                <w:szCs w:val="18"/>
              </w:rPr>
              <w:t>I</w:t>
            </w:r>
            <w:r w:rsidR="00581F5C" w:rsidRPr="000453F4">
              <w:rPr>
                <w:rFonts w:ascii="Arial Narrow" w:hAnsi="Arial Narrow"/>
                <w:spacing w:val="1"/>
                <w:sz w:val="18"/>
                <w:szCs w:val="18"/>
              </w:rPr>
              <w:t xml:space="preserve"> </w:t>
            </w:r>
            <w:r w:rsidR="00581F5C" w:rsidRPr="000453F4">
              <w:rPr>
                <w:rFonts w:ascii="Arial Narrow" w:hAnsi="Arial Narrow"/>
                <w:sz w:val="18"/>
                <w:szCs w:val="18"/>
              </w:rPr>
              <w:t>stu</w:t>
            </w:r>
            <w:r w:rsidR="00581F5C" w:rsidRPr="000453F4">
              <w:rPr>
                <w:rFonts w:ascii="Arial Narrow" w:hAnsi="Arial Narrow"/>
                <w:spacing w:val="-1"/>
                <w:sz w:val="18"/>
                <w:szCs w:val="18"/>
              </w:rPr>
              <w:t>d</w:t>
            </w:r>
            <w:r w:rsidR="00581F5C" w:rsidRPr="000453F4">
              <w:rPr>
                <w:rFonts w:ascii="Arial Narrow" w:hAnsi="Arial Narrow"/>
                <w:sz w:val="18"/>
                <w:szCs w:val="18"/>
              </w:rPr>
              <w:t>ies/SRs with</w:t>
            </w:r>
            <w:r w:rsidR="00581F5C" w:rsidRPr="000453F4">
              <w:rPr>
                <w:rFonts w:ascii="Arial Narrow" w:hAnsi="Arial Narrow"/>
                <w:spacing w:val="1"/>
                <w:sz w:val="18"/>
                <w:szCs w:val="18"/>
              </w:rPr>
              <w:t xml:space="preserve"> a </w:t>
            </w:r>
            <w:r w:rsidR="00581F5C" w:rsidRPr="000453F4">
              <w:rPr>
                <w:rFonts w:ascii="Arial Narrow" w:hAnsi="Arial Narrow"/>
                <w:sz w:val="18"/>
                <w:szCs w:val="18"/>
              </w:rPr>
              <w:t>high</w:t>
            </w:r>
            <w:r w:rsidR="00581F5C" w:rsidRPr="000453F4">
              <w:rPr>
                <w:rFonts w:ascii="Arial Narrow" w:hAnsi="Arial Narrow"/>
                <w:spacing w:val="-1"/>
                <w:sz w:val="18"/>
                <w:szCs w:val="18"/>
              </w:rPr>
              <w:t xml:space="preserve"> </w:t>
            </w:r>
            <w:r w:rsidR="00581F5C" w:rsidRPr="000453F4">
              <w:rPr>
                <w:rFonts w:ascii="Arial Narrow" w:hAnsi="Arial Narrow"/>
                <w:sz w:val="18"/>
                <w:szCs w:val="18"/>
              </w:rPr>
              <w:t>risk</w:t>
            </w:r>
            <w:r w:rsidR="00581F5C" w:rsidRPr="000453F4">
              <w:rPr>
                <w:rFonts w:ascii="Arial Narrow" w:hAnsi="Arial Narrow"/>
                <w:spacing w:val="1"/>
                <w:sz w:val="18"/>
                <w:szCs w:val="18"/>
              </w:rPr>
              <w:t xml:space="preserve"> </w:t>
            </w:r>
            <w:r w:rsidR="00581F5C" w:rsidRPr="000453F4">
              <w:rPr>
                <w:rFonts w:ascii="Arial Narrow" w:hAnsi="Arial Narrow"/>
                <w:sz w:val="18"/>
                <w:szCs w:val="18"/>
              </w:rPr>
              <w:t>of</w:t>
            </w:r>
            <w:r w:rsidR="00581F5C" w:rsidRPr="000453F4">
              <w:rPr>
                <w:rFonts w:ascii="Arial Narrow" w:hAnsi="Arial Narrow"/>
                <w:spacing w:val="-1"/>
                <w:sz w:val="18"/>
                <w:szCs w:val="18"/>
              </w:rPr>
              <w:t xml:space="preserve"> </w:t>
            </w:r>
            <w:r w:rsidR="00581F5C" w:rsidRPr="000453F4">
              <w:rPr>
                <w:rFonts w:ascii="Arial Narrow" w:hAnsi="Arial Narrow"/>
                <w:sz w:val="18"/>
                <w:szCs w:val="18"/>
              </w:rPr>
              <w:t>bias</w:t>
            </w:r>
          </w:p>
        </w:tc>
      </w:tr>
      <w:tr w:rsidR="00581F5C" w:rsidRPr="00663A4B" w14:paraId="01FE2A72" w14:textId="77777777" w:rsidTr="0042252D">
        <w:tc>
          <w:tcPr>
            <w:tcW w:w="1812" w:type="dxa"/>
          </w:tcPr>
          <w:p w14:paraId="17F27A36" w14:textId="5D4370CE"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Consisten</w:t>
            </w:r>
            <w:r w:rsidRPr="00663A4B">
              <w:rPr>
                <w:rFonts w:ascii="Arial Narrow" w:hAnsi="Arial Narrow"/>
                <w:b/>
                <w:bCs/>
                <w:spacing w:val="-1"/>
                <w:sz w:val="20"/>
              </w:rPr>
              <w:t>c</w:t>
            </w:r>
            <w:r w:rsidRPr="00663A4B">
              <w:rPr>
                <w:rFonts w:ascii="Arial Narrow" w:hAnsi="Arial Narrow"/>
                <w:b/>
                <w:bCs/>
                <w:sz w:val="20"/>
              </w:rPr>
              <w:t>y</w:t>
            </w:r>
            <w:r w:rsidR="00964502">
              <w:rPr>
                <w:rFonts w:ascii="Arial Narrow" w:hAnsi="Arial Narrow"/>
                <w:b/>
                <w:bCs/>
                <w:sz w:val="20"/>
              </w:rPr>
              <w:t xml:space="preserve"> </w:t>
            </w:r>
            <w:r w:rsidR="004101AC">
              <w:rPr>
                <w:rFonts w:ascii="Arial Narrow" w:hAnsi="Arial Narrow"/>
                <w:b/>
                <w:bCs/>
                <w:sz w:val="20"/>
                <w:vertAlign w:val="superscript"/>
              </w:rPr>
              <w:t>b</w:t>
            </w:r>
          </w:p>
        </w:tc>
        <w:tc>
          <w:tcPr>
            <w:tcW w:w="1812" w:type="dxa"/>
          </w:tcPr>
          <w:p w14:paraId="4C473751"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63220620" w14:textId="7F4B752F" w:rsidR="00581F5C" w:rsidRPr="00663A4B" w:rsidRDefault="004101AC" w:rsidP="008C3709">
            <w:pPr>
              <w:keepNext/>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M</w:t>
            </w:r>
            <w:r w:rsidR="00581F5C" w:rsidRPr="00663A4B">
              <w:rPr>
                <w:rFonts w:ascii="Arial Narrow" w:hAnsi="Arial Narrow"/>
                <w:sz w:val="18"/>
                <w:szCs w:val="18"/>
              </w:rPr>
              <w:t>ost</w:t>
            </w:r>
            <w:r w:rsidR="00581F5C" w:rsidRPr="00663A4B">
              <w:rPr>
                <w:rFonts w:ascii="Arial Narrow" w:hAnsi="Arial Narrow"/>
                <w:spacing w:val="1"/>
                <w:sz w:val="18"/>
                <w:szCs w:val="18"/>
              </w:rPr>
              <w:t xml:space="preserve"> </w:t>
            </w:r>
            <w:r w:rsidR="00581F5C" w:rsidRPr="00663A4B">
              <w:rPr>
                <w:rFonts w:ascii="Arial Narrow" w:hAnsi="Arial Narrow"/>
                <w:sz w:val="18"/>
                <w:szCs w:val="18"/>
              </w:rPr>
              <w:t>studies</w:t>
            </w:r>
            <w:r w:rsidR="00581F5C" w:rsidRPr="00663A4B">
              <w:rPr>
                <w:rFonts w:ascii="Arial Narrow" w:hAnsi="Arial Narrow"/>
                <w:spacing w:val="1"/>
                <w:sz w:val="18"/>
                <w:szCs w:val="18"/>
              </w:rPr>
              <w:t xml:space="preserve"> </w:t>
            </w:r>
            <w:r w:rsidR="00581F5C" w:rsidRPr="00663A4B">
              <w:rPr>
                <w:rFonts w:ascii="Arial Narrow" w:hAnsi="Arial Narrow"/>
                <w:sz w:val="18"/>
                <w:szCs w:val="18"/>
              </w:rPr>
              <w:t>co</w:t>
            </w:r>
            <w:r w:rsidR="00581F5C" w:rsidRPr="00663A4B">
              <w:rPr>
                <w:rFonts w:ascii="Arial Narrow" w:hAnsi="Arial Narrow"/>
                <w:spacing w:val="-1"/>
                <w:sz w:val="18"/>
                <w:szCs w:val="18"/>
              </w:rPr>
              <w:t>n</w:t>
            </w:r>
            <w:r w:rsidR="00581F5C" w:rsidRPr="00663A4B">
              <w:rPr>
                <w:rFonts w:ascii="Arial Narrow" w:hAnsi="Arial Narrow"/>
                <w:sz w:val="18"/>
                <w:szCs w:val="18"/>
              </w:rPr>
              <w:t>sistent and</w:t>
            </w:r>
            <w:r w:rsidR="00581F5C" w:rsidRPr="00663A4B">
              <w:rPr>
                <w:rFonts w:ascii="Arial Narrow" w:hAnsi="Arial Narrow"/>
                <w:spacing w:val="1"/>
                <w:sz w:val="18"/>
                <w:szCs w:val="18"/>
              </w:rPr>
              <w:t xml:space="preserve"> </w:t>
            </w:r>
            <w:r w:rsidR="00581F5C" w:rsidRPr="00663A4B">
              <w:rPr>
                <w:rFonts w:ascii="Arial Narrow" w:hAnsi="Arial Narrow"/>
                <w:sz w:val="18"/>
                <w:szCs w:val="18"/>
              </w:rPr>
              <w:t>i</w:t>
            </w:r>
            <w:r w:rsidR="00581F5C" w:rsidRPr="00663A4B">
              <w:rPr>
                <w:rFonts w:ascii="Arial Narrow" w:hAnsi="Arial Narrow"/>
                <w:spacing w:val="-1"/>
                <w:sz w:val="18"/>
                <w:szCs w:val="18"/>
              </w:rPr>
              <w:t>n</w:t>
            </w:r>
            <w:r w:rsidR="00581F5C" w:rsidRPr="00663A4B">
              <w:rPr>
                <w:rFonts w:ascii="Arial Narrow" w:hAnsi="Arial Narrow"/>
                <w:sz w:val="18"/>
                <w:szCs w:val="18"/>
              </w:rPr>
              <w:t>consistency</w:t>
            </w:r>
            <w:r w:rsidR="00581F5C" w:rsidRPr="00663A4B">
              <w:rPr>
                <w:rFonts w:ascii="Arial Narrow" w:hAnsi="Arial Narrow"/>
                <w:spacing w:val="2"/>
                <w:sz w:val="18"/>
                <w:szCs w:val="18"/>
              </w:rPr>
              <w:t xml:space="preserve"> </w:t>
            </w:r>
            <w:r w:rsidR="00581F5C" w:rsidRPr="00663A4B">
              <w:rPr>
                <w:rFonts w:ascii="Arial Narrow" w:hAnsi="Arial Narrow"/>
                <w:sz w:val="18"/>
                <w:szCs w:val="18"/>
              </w:rPr>
              <w:t>may be</w:t>
            </w:r>
            <w:r w:rsidR="00581F5C" w:rsidRPr="00663A4B">
              <w:rPr>
                <w:rFonts w:ascii="Arial Narrow" w:hAnsi="Arial Narrow"/>
                <w:spacing w:val="1"/>
                <w:sz w:val="18"/>
                <w:szCs w:val="18"/>
              </w:rPr>
              <w:t xml:space="preserve"> </w:t>
            </w:r>
            <w:r w:rsidR="00581F5C" w:rsidRPr="00663A4B">
              <w:rPr>
                <w:rFonts w:ascii="Arial Narrow" w:hAnsi="Arial Narrow"/>
                <w:sz w:val="18"/>
                <w:szCs w:val="18"/>
              </w:rPr>
              <w:t>ex</w:t>
            </w:r>
            <w:r w:rsidR="00581F5C" w:rsidRPr="00663A4B">
              <w:rPr>
                <w:rFonts w:ascii="Arial Narrow" w:hAnsi="Arial Narrow"/>
                <w:spacing w:val="-1"/>
                <w:sz w:val="18"/>
                <w:szCs w:val="18"/>
              </w:rPr>
              <w:t>p</w:t>
            </w:r>
            <w:r w:rsidR="00581F5C" w:rsidRPr="00663A4B">
              <w:rPr>
                <w:rFonts w:ascii="Arial Narrow" w:hAnsi="Arial Narrow"/>
                <w:sz w:val="18"/>
                <w:szCs w:val="18"/>
              </w:rPr>
              <w:t>lai</w:t>
            </w:r>
            <w:r w:rsidR="00581F5C" w:rsidRPr="00663A4B">
              <w:rPr>
                <w:rFonts w:ascii="Arial Narrow" w:hAnsi="Arial Narrow"/>
                <w:spacing w:val="-1"/>
                <w:sz w:val="18"/>
                <w:szCs w:val="18"/>
              </w:rPr>
              <w:t>n</w:t>
            </w:r>
            <w:r w:rsidR="00581F5C" w:rsidRPr="00663A4B">
              <w:rPr>
                <w:rFonts w:ascii="Arial Narrow" w:hAnsi="Arial Narrow"/>
                <w:spacing w:val="1"/>
                <w:sz w:val="18"/>
                <w:szCs w:val="18"/>
              </w:rPr>
              <w:t>e</w:t>
            </w:r>
            <w:r w:rsidR="00581F5C" w:rsidRPr="00663A4B">
              <w:rPr>
                <w:rFonts w:ascii="Arial Narrow" w:hAnsi="Arial Narrow"/>
                <w:sz w:val="18"/>
                <w:szCs w:val="18"/>
              </w:rPr>
              <w:t>d</w:t>
            </w:r>
          </w:p>
        </w:tc>
        <w:tc>
          <w:tcPr>
            <w:tcW w:w="1812" w:type="dxa"/>
          </w:tcPr>
          <w:p w14:paraId="2B51E274"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7F693409"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r>
      <w:tr w:rsidR="00581F5C" w:rsidRPr="00663A4B" w14:paraId="69CD02DB" w14:textId="77777777" w:rsidTr="0042252D">
        <w:tc>
          <w:tcPr>
            <w:tcW w:w="1812" w:type="dxa"/>
          </w:tcPr>
          <w:p w14:paraId="0EAEFD8E"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Gener</w:t>
            </w:r>
            <w:r w:rsidRPr="00663A4B">
              <w:rPr>
                <w:rFonts w:ascii="Arial Narrow" w:hAnsi="Arial Narrow"/>
                <w:b/>
                <w:bCs/>
                <w:spacing w:val="1"/>
                <w:sz w:val="20"/>
              </w:rPr>
              <w:t>a</w:t>
            </w:r>
            <w:r w:rsidRPr="00663A4B">
              <w:rPr>
                <w:rFonts w:ascii="Arial Narrow" w:hAnsi="Arial Narrow"/>
                <w:b/>
                <w:bCs/>
                <w:sz w:val="20"/>
              </w:rPr>
              <w:t>lis</w:t>
            </w:r>
            <w:r w:rsidRPr="00663A4B">
              <w:rPr>
                <w:rFonts w:ascii="Arial Narrow" w:hAnsi="Arial Narrow"/>
                <w:b/>
                <w:bCs/>
                <w:spacing w:val="1"/>
                <w:sz w:val="20"/>
              </w:rPr>
              <w:t>a</w:t>
            </w:r>
            <w:r w:rsidRPr="00663A4B">
              <w:rPr>
                <w:rFonts w:ascii="Arial Narrow" w:hAnsi="Arial Narrow"/>
                <w:b/>
                <w:bCs/>
                <w:sz w:val="20"/>
              </w:rPr>
              <w:t>bility</w:t>
            </w:r>
          </w:p>
        </w:tc>
        <w:tc>
          <w:tcPr>
            <w:tcW w:w="1812" w:type="dxa"/>
          </w:tcPr>
          <w:p w14:paraId="6A41F585"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7F74E45A" w14:textId="5E538985" w:rsidR="00581F5C" w:rsidRPr="00663A4B" w:rsidRDefault="004101AC" w:rsidP="008C3709">
            <w:pPr>
              <w:keepNext/>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P</w:t>
            </w:r>
            <w:r w:rsidR="00581F5C" w:rsidRPr="00663A4B">
              <w:rPr>
                <w:rFonts w:ascii="Arial Narrow" w:hAnsi="Arial Narrow"/>
                <w:sz w:val="18"/>
                <w:szCs w:val="18"/>
              </w:rPr>
              <w:t>opulatio</w:t>
            </w:r>
            <w:r w:rsidR="00581F5C" w:rsidRPr="00663A4B">
              <w:rPr>
                <w:rFonts w:ascii="Arial Narrow" w:hAnsi="Arial Narrow"/>
                <w:spacing w:val="-1"/>
                <w:sz w:val="18"/>
                <w:szCs w:val="18"/>
              </w:rPr>
              <w:t>n</w:t>
            </w:r>
            <w:r>
              <w:rPr>
                <w:rFonts w:ascii="Arial Narrow" w:hAnsi="Arial Narrow"/>
                <w:sz w:val="18"/>
                <w:szCs w:val="18"/>
              </w:rPr>
              <w:t>(</w:t>
            </w:r>
            <w:r w:rsidR="00581F5C" w:rsidRPr="00663A4B">
              <w:rPr>
                <w:rFonts w:ascii="Arial Narrow" w:hAnsi="Arial Narrow"/>
                <w:sz w:val="18"/>
                <w:szCs w:val="18"/>
              </w:rPr>
              <w:t>s</w:t>
            </w:r>
            <w:r>
              <w:rPr>
                <w:rFonts w:ascii="Arial Narrow" w:hAnsi="Arial Narrow"/>
                <w:sz w:val="18"/>
                <w:szCs w:val="18"/>
              </w:rPr>
              <w:t>)</w:t>
            </w:r>
            <w:r w:rsidR="00581F5C" w:rsidRPr="00663A4B">
              <w:rPr>
                <w:rFonts w:ascii="Arial Narrow" w:hAnsi="Arial Narrow"/>
                <w:spacing w:val="1"/>
                <w:sz w:val="18"/>
                <w:szCs w:val="18"/>
              </w:rPr>
              <w:t xml:space="preserve"> </w:t>
            </w:r>
            <w:r w:rsidR="00581F5C" w:rsidRPr="00663A4B">
              <w:rPr>
                <w:rFonts w:ascii="Arial Narrow" w:hAnsi="Arial Narrow"/>
                <w:sz w:val="18"/>
                <w:szCs w:val="18"/>
              </w:rPr>
              <w:t>st</w:t>
            </w:r>
            <w:r w:rsidR="00581F5C" w:rsidRPr="00663A4B">
              <w:rPr>
                <w:rFonts w:ascii="Arial Narrow" w:hAnsi="Arial Narrow"/>
                <w:spacing w:val="-1"/>
                <w:sz w:val="18"/>
                <w:szCs w:val="18"/>
              </w:rPr>
              <w:t>u</w:t>
            </w:r>
            <w:r w:rsidR="00581F5C" w:rsidRPr="00663A4B">
              <w:rPr>
                <w:rFonts w:ascii="Arial Narrow" w:hAnsi="Arial Narrow"/>
                <w:sz w:val="18"/>
                <w:szCs w:val="18"/>
              </w:rPr>
              <w:t>died in the</w:t>
            </w:r>
            <w:r w:rsidR="00581F5C" w:rsidRPr="00663A4B">
              <w:rPr>
                <w:rFonts w:ascii="Arial Narrow" w:hAnsi="Arial Narrow"/>
                <w:spacing w:val="1"/>
                <w:sz w:val="18"/>
                <w:szCs w:val="18"/>
              </w:rPr>
              <w:t xml:space="preserve"> </w:t>
            </w:r>
            <w:r w:rsidR="00581F5C" w:rsidRPr="00663A4B">
              <w:rPr>
                <w:rFonts w:ascii="Arial Narrow" w:hAnsi="Arial Narrow"/>
                <w:sz w:val="18"/>
                <w:szCs w:val="18"/>
              </w:rPr>
              <w:t>bo</w:t>
            </w:r>
            <w:r w:rsidR="00581F5C" w:rsidRPr="00663A4B">
              <w:rPr>
                <w:rFonts w:ascii="Arial Narrow" w:hAnsi="Arial Narrow"/>
                <w:spacing w:val="-1"/>
                <w:sz w:val="18"/>
                <w:szCs w:val="18"/>
              </w:rPr>
              <w:t>d</w:t>
            </w:r>
            <w:r w:rsidR="00581F5C" w:rsidRPr="00663A4B">
              <w:rPr>
                <w:rFonts w:ascii="Arial Narrow" w:hAnsi="Arial Narrow"/>
                <w:sz w:val="18"/>
                <w:szCs w:val="18"/>
              </w:rPr>
              <w:t>y of evi</w:t>
            </w:r>
            <w:r w:rsidR="00581F5C" w:rsidRPr="00663A4B">
              <w:rPr>
                <w:rFonts w:ascii="Arial Narrow" w:hAnsi="Arial Narrow"/>
                <w:spacing w:val="-1"/>
                <w:sz w:val="18"/>
                <w:szCs w:val="18"/>
              </w:rPr>
              <w:t>d</w:t>
            </w:r>
            <w:r w:rsidR="00581F5C" w:rsidRPr="00663A4B">
              <w:rPr>
                <w:rFonts w:ascii="Arial Narrow" w:hAnsi="Arial Narrow"/>
                <w:sz w:val="18"/>
                <w:szCs w:val="18"/>
              </w:rPr>
              <w:t>ence a</w:t>
            </w:r>
            <w:r w:rsidR="00581F5C" w:rsidRPr="00663A4B">
              <w:rPr>
                <w:rFonts w:ascii="Arial Narrow" w:hAnsi="Arial Narrow"/>
                <w:spacing w:val="-1"/>
                <w:sz w:val="18"/>
                <w:szCs w:val="18"/>
              </w:rPr>
              <w:t>r</w:t>
            </w:r>
            <w:r w:rsidR="00581F5C" w:rsidRPr="00663A4B">
              <w:rPr>
                <w:rFonts w:ascii="Arial Narrow" w:hAnsi="Arial Narrow"/>
                <w:sz w:val="18"/>
                <w:szCs w:val="18"/>
              </w:rPr>
              <w:t>e si</w:t>
            </w:r>
            <w:r w:rsidR="00581F5C" w:rsidRPr="00663A4B">
              <w:rPr>
                <w:rFonts w:ascii="Arial Narrow" w:hAnsi="Arial Narrow"/>
                <w:spacing w:val="-1"/>
                <w:sz w:val="18"/>
                <w:szCs w:val="18"/>
              </w:rPr>
              <w:t>m</w:t>
            </w:r>
            <w:r w:rsidR="00581F5C" w:rsidRPr="00663A4B">
              <w:rPr>
                <w:rFonts w:ascii="Arial Narrow" w:hAnsi="Arial Narrow"/>
                <w:sz w:val="18"/>
                <w:szCs w:val="18"/>
              </w:rPr>
              <w:t>ilar</w:t>
            </w:r>
            <w:r w:rsidR="00581F5C" w:rsidRPr="00663A4B">
              <w:rPr>
                <w:rFonts w:ascii="Arial Narrow" w:hAnsi="Arial Narrow"/>
                <w:spacing w:val="1"/>
                <w:sz w:val="18"/>
                <w:szCs w:val="18"/>
              </w:rPr>
              <w:t xml:space="preserve"> </w:t>
            </w:r>
            <w:r w:rsidR="00581F5C" w:rsidRPr="00663A4B">
              <w:rPr>
                <w:rFonts w:ascii="Arial Narrow" w:hAnsi="Arial Narrow"/>
                <w:sz w:val="18"/>
                <w:szCs w:val="18"/>
              </w:rPr>
              <w:t>to</w:t>
            </w:r>
            <w:r w:rsidR="00581F5C" w:rsidRPr="00663A4B">
              <w:rPr>
                <w:rFonts w:ascii="Arial Narrow" w:hAnsi="Arial Narrow"/>
                <w:spacing w:val="-1"/>
                <w:sz w:val="18"/>
                <w:szCs w:val="18"/>
              </w:rPr>
              <w:t xml:space="preserve"> </w:t>
            </w:r>
            <w:r w:rsidR="00581F5C" w:rsidRPr="00663A4B">
              <w:rPr>
                <w:rFonts w:ascii="Arial Narrow" w:hAnsi="Arial Narrow"/>
                <w:sz w:val="18"/>
                <w:szCs w:val="18"/>
              </w:rPr>
              <w:t>t</w:t>
            </w:r>
            <w:r w:rsidR="00581F5C" w:rsidRPr="00663A4B">
              <w:rPr>
                <w:rFonts w:ascii="Arial Narrow" w:hAnsi="Arial Narrow"/>
                <w:spacing w:val="-1"/>
                <w:sz w:val="18"/>
                <w:szCs w:val="18"/>
              </w:rPr>
              <w:t>h</w:t>
            </w:r>
            <w:r w:rsidR="00581F5C" w:rsidRPr="00663A4B">
              <w:rPr>
                <w:rFonts w:ascii="Arial Narrow" w:hAnsi="Arial Narrow"/>
                <w:sz w:val="18"/>
                <w:szCs w:val="18"/>
              </w:rPr>
              <w:t>e</w:t>
            </w:r>
            <w:r w:rsidR="00581F5C" w:rsidRPr="00663A4B">
              <w:rPr>
                <w:rFonts w:ascii="Arial Narrow" w:hAnsi="Arial Narrow"/>
                <w:spacing w:val="1"/>
                <w:sz w:val="18"/>
                <w:szCs w:val="18"/>
              </w:rPr>
              <w:t xml:space="preserve"> </w:t>
            </w:r>
            <w:r w:rsidR="00581F5C" w:rsidRPr="00663A4B">
              <w:rPr>
                <w:rFonts w:ascii="Arial Narrow" w:hAnsi="Arial Narrow"/>
                <w:spacing w:val="-1"/>
                <w:sz w:val="18"/>
                <w:szCs w:val="18"/>
              </w:rPr>
              <w:t>t</w:t>
            </w:r>
            <w:r w:rsidR="00581F5C" w:rsidRPr="00663A4B">
              <w:rPr>
                <w:rFonts w:ascii="Arial Narrow" w:hAnsi="Arial Narrow"/>
                <w:spacing w:val="1"/>
                <w:sz w:val="18"/>
                <w:szCs w:val="18"/>
              </w:rPr>
              <w:t>a</w:t>
            </w:r>
            <w:r w:rsidR="00581F5C" w:rsidRPr="00663A4B">
              <w:rPr>
                <w:rFonts w:ascii="Arial Narrow" w:hAnsi="Arial Narrow"/>
                <w:spacing w:val="-1"/>
                <w:sz w:val="18"/>
                <w:szCs w:val="18"/>
              </w:rPr>
              <w:t>r</w:t>
            </w:r>
            <w:r w:rsidR="00581F5C" w:rsidRPr="00663A4B">
              <w:rPr>
                <w:rFonts w:ascii="Arial Narrow" w:hAnsi="Arial Narrow"/>
                <w:sz w:val="18"/>
                <w:szCs w:val="18"/>
              </w:rPr>
              <w:t>get population</w:t>
            </w:r>
            <w:r w:rsidR="00581F5C" w:rsidRPr="00663A4B">
              <w:rPr>
                <w:rFonts w:ascii="Arial Narrow" w:hAnsi="Arial Narrow"/>
                <w:spacing w:val="-1"/>
                <w:sz w:val="18"/>
                <w:szCs w:val="18"/>
              </w:rPr>
              <w:t xml:space="preserve"> </w:t>
            </w:r>
            <w:r w:rsidR="00581F5C" w:rsidRPr="00663A4B">
              <w:rPr>
                <w:rFonts w:ascii="Arial Narrow" w:hAnsi="Arial Narrow"/>
                <w:sz w:val="18"/>
                <w:szCs w:val="18"/>
              </w:rPr>
              <w:t>for</w:t>
            </w:r>
            <w:r w:rsidR="00581F5C" w:rsidRPr="00663A4B">
              <w:rPr>
                <w:rFonts w:ascii="Arial Narrow" w:hAnsi="Arial Narrow"/>
                <w:spacing w:val="-1"/>
                <w:sz w:val="18"/>
                <w:szCs w:val="18"/>
              </w:rPr>
              <w:t xml:space="preserve"> </w:t>
            </w:r>
            <w:r w:rsidR="00581F5C" w:rsidRPr="00663A4B">
              <w:rPr>
                <w:rFonts w:ascii="Arial Narrow" w:hAnsi="Arial Narrow"/>
                <w:sz w:val="18"/>
                <w:szCs w:val="18"/>
              </w:rPr>
              <w:t>t</w:t>
            </w:r>
            <w:r w:rsidR="00581F5C" w:rsidRPr="00663A4B">
              <w:rPr>
                <w:rFonts w:ascii="Arial Narrow" w:hAnsi="Arial Narrow"/>
                <w:spacing w:val="-1"/>
                <w:sz w:val="18"/>
                <w:szCs w:val="18"/>
              </w:rPr>
              <w:t>h</w:t>
            </w:r>
            <w:r w:rsidR="00581F5C" w:rsidRPr="00663A4B">
              <w:rPr>
                <w:rFonts w:ascii="Arial Narrow" w:hAnsi="Arial Narrow"/>
                <w:sz w:val="18"/>
                <w:szCs w:val="18"/>
              </w:rPr>
              <w:t>e guideli</w:t>
            </w:r>
            <w:r w:rsidR="00581F5C" w:rsidRPr="00663A4B">
              <w:rPr>
                <w:rFonts w:ascii="Arial Narrow" w:hAnsi="Arial Narrow"/>
                <w:spacing w:val="-1"/>
                <w:sz w:val="18"/>
                <w:szCs w:val="18"/>
              </w:rPr>
              <w:t>n</w:t>
            </w:r>
            <w:r w:rsidR="00581F5C" w:rsidRPr="00663A4B">
              <w:rPr>
                <w:rFonts w:ascii="Arial Narrow" w:hAnsi="Arial Narrow"/>
                <w:sz w:val="18"/>
                <w:szCs w:val="18"/>
              </w:rPr>
              <w:t>e</w:t>
            </w:r>
          </w:p>
        </w:tc>
        <w:tc>
          <w:tcPr>
            <w:tcW w:w="1812" w:type="dxa"/>
          </w:tcPr>
          <w:p w14:paraId="42694642"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5BB92BAA"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r>
      <w:tr w:rsidR="00581F5C" w:rsidRPr="00663A4B" w14:paraId="56A54ADA" w14:textId="77777777" w:rsidTr="0042252D">
        <w:tc>
          <w:tcPr>
            <w:tcW w:w="1812" w:type="dxa"/>
          </w:tcPr>
          <w:p w14:paraId="78F36D30"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r w:rsidRPr="00663A4B">
              <w:rPr>
                <w:rFonts w:ascii="Arial Narrow" w:hAnsi="Arial Narrow"/>
                <w:b/>
                <w:bCs/>
                <w:sz w:val="20"/>
              </w:rPr>
              <w:t>Applicability</w:t>
            </w:r>
          </w:p>
        </w:tc>
        <w:tc>
          <w:tcPr>
            <w:tcW w:w="1812" w:type="dxa"/>
          </w:tcPr>
          <w:p w14:paraId="2DB0BE47"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2" w:type="dxa"/>
          </w:tcPr>
          <w:p w14:paraId="70807CBC" w14:textId="45CFA0B6" w:rsidR="00581F5C" w:rsidRPr="00663A4B" w:rsidRDefault="004101AC" w:rsidP="008C3709">
            <w:pPr>
              <w:keepNext/>
              <w:widowControl w:val="0"/>
              <w:autoSpaceDE w:val="0"/>
              <w:autoSpaceDN w:val="0"/>
              <w:adjustRightInd w:val="0"/>
              <w:spacing w:before="60" w:after="60" w:line="240" w:lineRule="auto"/>
              <w:ind w:left="40" w:right="40"/>
              <w:jc w:val="left"/>
              <w:rPr>
                <w:rFonts w:ascii="Arial Narrow" w:hAnsi="Arial Narrow"/>
              </w:rPr>
            </w:pPr>
            <w:r>
              <w:rPr>
                <w:rFonts w:ascii="Arial Narrow" w:hAnsi="Arial Narrow"/>
                <w:sz w:val="18"/>
                <w:szCs w:val="18"/>
              </w:rPr>
              <w:t>A</w:t>
            </w:r>
            <w:r w:rsidR="00581F5C" w:rsidRPr="00663A4B">
              <w:rPr>
                <w:rFonts w:ascii="Arial Narrow" w:hAnsi="Arial Narrow"/>
                <w:sz w:val="18"/>
                <w:szCs w:val="18"/>
              </w:rPr>
              <w:t>ppl</w:t>
            </w:r>
            <w:r w:rsidR="00581F5C" w:rsidRPr="00663A4B">
              <w:rPr>
                <w:rFonts w:ascii="Arial Narrow" w:hAnsi="Arial Narrow"/>
                <w:spacing w:val="-1"/>
                <w:sz w:val="18"/>
                <w:szCs w:val="18"/>
              </w:rPr>
              <w:t>i</w:t>
            </w:r>
            <w:r w:rsidR="00581F5C" w:rsidRPr="00663A4B">
              <w:rPr>
                <w:rFonts w:ascii="Arial Narrow" w:hAnsi="Arial Narrow"/>
                <w:sz w:val="18"/>
                <w:szCs w:val="18"/>
              </w:rPr>
              <w:t>cab</w:t>
            </w:r>
            <w:r w:rsidR="00581F5C" w:rsidRPr="00663A4B">
              <w:rPr>
                <w:rFonts w:ascii="Arial Narrow" w:hAnsi="Arial Narrow"/>
                <w:spacing w:val="-1"/>
                <w:sz w:val="18"/>
                <w:szCs w:val="18"/>
              </w:rPr>
              <w:t>l</w:t>
            </w:r>
            <w:r w:rsidR="00581F5C" w:rsidRPr="00663A4B">
              <w:rPr>
                <w:rFonts w:ascii="Arial Narrow" w:hAnsi="Arial Narrow"/>
                <w:sz w:val="18"/>
                <w:szCs w:val="18"/>
              </w:rPr>
              <w:t>e to</w:t>
            </w:r>
            <w:r w:rsidR="00581F5C" w:rsidRPr="00663A4B">
              <w:rPr>
                <w:rFonts w:ascii="Arial Narrow" w:hAnsi="Arial Narrow"/>
                <w:spacing w:val="1"/>
                <w:sz w:val="18"/>
                <w:szCs w:val="18"/>
              </w:rPr>
              <w:t xml:space="preserve"> </w:t>
            </w:r>
            <w:r w:rsidR="00581F5C" w:rsidRPr="00663A4B">
              <w:rPr>
                <w:rFonts w:ascii="Arial Narrow" w:hAnsi="Arial Narrow"/>
                <w:sz w:val="18"/>
                <w:szCs w:val="18"/>
              </w:rPr>
              <w:t>A</w:t>
            </w:r>
            <w:r w:rsidR="00581F5C" w:rsidRPr="00663A4B">
              <w:rPr>
                <w:rFonts w:ascii="Arial Narrow" w:hAnsi="Arial Narrow"/>
                <w:spacing w:val="-1"/>
                <w:sz w:val="18"/>
                <w:szCs w:val="18"/>
              </w:rPr>
              <w:t>u</w:t>
            </w:r>
            <w:r w:rsidR="00581F5C" w:rsidRPr="00663A4B">
              <w:rPr>
                <w:rFonts w:ascii="Arial Narrow" w:hAnsi="Arial Narrow"/>
                <w:sz w:val="18"/>
                <w:szCs w:val="18"/>
              </w:rPr>
              <w:t>stral</w:t>
            </w:r>
            <w:r w:rsidR="00581F5C" w:rsidRPr="00663A4B">
              <w:rPr>
                <w:rFonts w:ascii="Arial Narrow" w:hAnsi="Arial Narrow"/>
                <w:spacing w:val="-1"/>
                <w:sz w:val="18"/>
                <w:szCs w:val="18"/>
              </w:rPr>
              <w:t>i</w:t>
            </w:r>
            <w:r w:rsidR="00581F5C" w:rsidRPr="00663A4B">
              <w:rPr>
                <w:rFonts w:ascii="Arial Narrow" w:hAnsi="Arial Narrow"/>
                <w:sz w:val="18"/>
                <w:szCs w:val="18"/>
              </w:rPr>
              <w:t>an hea</w:t>
            </w:r>
            <w:r w:rsidR="00581F5C" w:rsidRPr="00663A4B">
              <w:rPr>
                <w:rFonts w:ascii="Arial Narrow" w:hAnsi="Arial Narrow"/>
                <w:spacing w:val="-1"/>
                <w:sz w:val="18"/>
                <w:szCs w:val="18"/>
              </w:rPr>
              <w:t>l</w:t>
            </w:r>
            <w:r w:rsidR="00581F5C" w:rsidRPr="00663A4B">
              <w:rPr>
                <w:rFonts w:ascii="Arial Narrow" w:hAnsi="Arial Narrow"/>
                <w:sz w:val="18"/>
                <w:szCs w:val="18"/>
              </w:rPr>
              <w:t>thca</w:t>
            </w:r>
            <w:r w:rsidR="00581F5C" w:rsidRPr="00663A4B">
              <w:rPr>
                <w:rFonts w:ascii="Arial Narrow" w:hAnsi="Arial Narrow"/>
                <w:spacing w:val="-1"/>
                <w:sz w:val="18"/>
                <w:szCs w:val="18"/>
              </w:rPr>
              <w:t>r</w:t>
            </w:r>
            <w:r w:rsidR="00581F5C" w:rsidRPr="00663A4B">
              <w:rPr>
                <w:rFonts w:ascii="Arial Narrow" w:hAnsi="Arial Narrow"/>
                <w:sz w:val="18"/>
                <w:szCs w:val="18"/>
              </w:rPr>
              <w:t>e con</w:t>
            </w:r>
            <w:r w:rsidR="00581F5C" w:rsidRPr="00663A4B">
              <w:rPr>
                <w:rFonts w:ascii="Arial Narrow" w:hAnsi="Arial Narrow"/>
                <w:spacing w:val="-1"/>
                <w:sz w:val="18"/>
                <w:szCs w:val="18"/>
              </w:rPr>
              <w:t>te</w:t>
            </w:r>
            <w:r w:rsidR="00581F5C" w:rsidRPr="00663A4B">
              <w:rPr>
                <w:rFonts w:ascii="Arial Narrow" w:hAnsi="Arial Narrow"/>
                <w:sz w:val="18"/>
                <w:szCs w:val="18"/>
              </w:rPr>
              <w:t>xt</w:t>
            </w:r>
            <w:r w:rsidR="00581F5C" w:rsidRPr="00663A4B">
              <w:rPr>
                <w:rFonts w:ascii="Arial Narrow" w:hAnsi="Arial Narrow"/>
                <w:spacing w:val="1"/>
                <w:sz w:val="18"/>
                <w:szCs w:val="18"/>
              </w:rPr>
              <w:t xml:space="preserve"> </w:t>
            </w:r>
            <w:r w:rsidR="00581F5C" w:rsidRPr="00663A4B">
              <w:rPr>
                <w:rFonts w:ascii="Arial Narrow" w:hAnsi="Arial Narrow"/>
                <w:sz w:val="18"/>
                <w:szCs w:val="18"/>
              </w:rPr>
              <w:t>with f</w:t>
            </w:r>
            <w:r w:rsidR="00581F5C" w:rsidRPr="00663A4B">
              <w:rPr>
                <w:rFonts w:ascii="Arial Narrow" w:hAnsi="Arial Narrow"/>
                <w:spacing w:val="1"/>
                <w:sz w:val="18"/>
                <w:szCs w:val="18"/>
              </w:rPr>
              <w:t>e</w:t>
            </w:r>
            <w:r w:rsidR="00581F5C" w:rsidRPr="00663A4B">
              <w:rPr>
                <w:rFonts w:ascii="Arial Narrow" w:hAnsi="Arial Narrow"/>
                <w:sz w:val="18"/>
                <w:szCs w:val="18"/>
              </w:rPr>
              <w:t>w c</w:t>
            </w:r>
            <w:r w:rsidR="00581F5C" w:rsidRPr="00663A4B">
              <w:rPr>
                <w:rFonts w:ascii="Arial Narrow" w:hAnsi="Arial Narrow"/>
                <w:spacing w:val="1"/>
                <w:sz w:val="18"/>
                <w:szCs w:val="18"/>
              </w:rPr>
              <w:t>a</w:t>
            </w:r>
            <w:r w:rsidR="00581F5C" w:rsidRPr="00663A4B">
              <w:rPr>
                <w:rFonts w:ascii="Arial Narrow" w:hAnsi="Arial Narrow"/>
                <w:sz w:val="18"/>
                <w:szCs w:val="18"/>
              </w:rPr>
              <w:t>v</w:t>
            </w:r>
            <w:r w:rsidR="00581F5C" w:rsidRPr="00663A4B">
              <w:rPr>
                <w:rFonts w:ascii="Arial Narrow" w:hAnsi="Arial Narrow"/>
                <w:spacing w:val="1"/>
                <w:sz w:val="18"/>
                <w:szCs w:val="18"/>
              </w:rPr>
              <w:t>e</w:t>
            </w:r>
            <w:r w:rsidR="00581F5C" w:rsidRPr="00663A4B">
              <w:rPr>
                <w:rFonts w:ascii="Arial Narrow" w:hAnsi="Arial Narrow"/>
                <w:sz w:val="18"/>
                <w:szCs w:val="18"/>
              </w:rPr>
              <w:t>ats</w:t>
            </w:r>
          </w:p>
        </w:tc>
        <w:tc>
          <w:tcPr>
            <w:tcW w:w="1812" w:type="dxa"/>
          </w:tcPr>
          <w:p w14:paraId="0C3E3B6D"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c>
          <w:tcPr>
            <w:tcW w:w="1813" w:type="dxa"/>
          </w:tcPr>
          <w:p w14:paraId="4A7A7347" w14:textId="77777777" w:rsidR="00581F5C" w:rsidRPr="00663A4B" w:rsidRDefault="00581F5C" w:rsidP="008C3709">
            <w:pPr>
              <w:keepNext/>
              <w:widowControl w:val="0"/>
              <w:autoSpaceDE w:val="0"/>
              <w:autoSpaceDN w:val="0"/>
              <w:adjustRightInd w:val="0"/>
              <w:spacing w:before="60" w:after="60" w:line="240" w:lineRule="auto"/>
              <w:ind w:left="40" w:right="40"/>
              <w:jc w:val="left"/>
              <w:rPr>
                <w:rFonts w:ascii="Arial Narrow" w:hAnsi="Arial Narrow"/>
              </w:rPr>
            </w:pPr>
          </w:p>
        </w:tc>
      </w:tr>
    </w:tbl>
    <w:p w14:paraId="69E07E9C" w14:textId="67A2DEBE" w:rsidR="00216FAA" w:rsidRDefault="00C4266B" w:rsidP="008C3709">
      <w:pPr>
        <w:pStyle w:val="Tablenotes0"/>
        <w:spacing w:after="0"/>
        <w:jc w:val="left"/>
      </w:pPr>
      <w:r>
        <w:rPr>
          <w:vertAlign w:val="superscript"/>
        </w:rPr>
        <w:t>a</w:t>
      </w:r>
      <w:r w:rsidR="007B353A">
        <w:t xml:space="preserve"> </w:t>
      </w:r>
      <w:r w:rsidR="00581F5C" w:rsidRPr="000453F4">
        <w:t>Level of evidence determined from the NHMRC evidence hierarchy –</w:t>
      </w:r>
      <w:r w:rsidR="00581F5C">
        <w:t xml:space="preserve"> </w:t>
      </w:r>
      <w:r w:rsidR="00D74B97" w:rsidRPr="00D74B97">
        <w:fldChar w:fldCharType="begin"/>
      </w:r>
      <w:r w:rsidR="00D74B97">
        <w:instrText xml:space="preserve"> REF _Ref206478826 \h  \* MERGEFORMAT </w:instrText>
      </w:r>
      <w:r w:rsidR="00D74B97" w:rsidRPr="00D74B97">
        <w:fldChar w:fldCharType="separate"/>
      </w:r>
      <w:r w:rsidR="00BB0E3E" w:rsidRPr="005613FD">
        <w:t xml:space="preserve">Table </w:t>
      </w:r>
      <w:r w:rsidR="00BB0E3E">
        <w:t>20</w:t>
      </w:r>
      <w:r w:rsidR="00D74B97" w:rsidRPr="00D74B97">
        <w:fldChar w:fldCharType="end"/>
      </w:r>
    </w:p>
    <w:p w14:paraId="57B93DBA" w14:textId="5B8D37A9" w:rsidR="00453ED3" w:rsidRDefault="00C4266B" w:rsidP="008C3709">
      <w:pPr>
        <w:pStyle w:val="Tablenotes0"/>
        <w:spacing w:after="0"/>
        <w:jc w:val="left"/>
      </w:pPr>
      <w:r>
        <w:rPr>
          <w:vertAlign w:val="superscript"/>
        </w:rPr>
        <w:t>b</w:t>
      </w:r>
      <w:r w:rsidR="00581F5C" w:rsidRPr="000453F4">
        <w:t xml:space="preserve"> If there is only </w:t>
      </w:r>
      <w:r w:rsidR="00695332">
        <w:t>1</w:t>
      </w:r>
      <w:r w:rsidR="00695332" w:rsidRPr="000453F4">
        <w:t xml:space="preserve"> </w:t>
      </w:r>
      <w:r w:rsidR="00581F5C" w:rsidRPr="000453F4">
        <w:t>study, rank this component as ‘not applicable’.</w:t>
      </w:r>
    </w:p>
    <w:p w14:paraId="2BC051D5" w14:textId="77777777" w:rsidR="00453ED3" w:rsidRPr="000453F4" w:rsidRDefault="00453ED3" w:rsidP="008C3709">
      <w:pPr>
        <w:pStyle w:val="Tablenotes0"/>
        <w:spacing w:after="0"/>
      </w:pPr>
      <w:r>
        <w:t xml:space="preserve">SR = systematic review, </w:t>
      </w:r>
      <w:r w:rsidRPr="000453F4">
        <w:t>several = more than two studies</w:t>
      </w:r>
    </w:p>
    <w:p w14:paraId="00F55F00" w14:textId="7881EF25" w:rsidR="00581F5C" w:rsidRPr="009F4485" w:rsidRDefault="00581F5C" w:rsidP="008C3709">
      <w:pPr>
        <w:pStyle w:val="Tablenotes0"/>
        <w:jc w:val="left"/>
      </w:pPr>
      <w:r w:rsidRPr="000453F4">
        <w:t xml:space="preserve"> </w:t>
      </w:r>
    </w:p>
    <w:p w14:paraId="604A2398" w14:textId="77777777" w:rsidR="003C7A14" w:rsidRDefault="003C7A14" w:rsidP="008C3709">
      <w:pPr>
        <w:pStyle w:val="Tablenotes0"/>
        <w:jc w:val="left"/>
        <w:sectPr w:rsidR="003C7A14" w:rsidSect="000D04B6">
          <w:headerReference w:type="even" r:id="rId39"/>
          <w:headerReference w:type="default" r:id="rId40"/>
          <w:footerReference w:type="even" r:id="rId41"/>
          <w:headerReference w:type="first" r:id="rId42"/>
          <w:type w:val="oddPage"/>
          <w:pgSz w:w="11906" w:h="16838"/>
          <w:pgMar w:top="1440" w:right="1440" w:bottom="1440" w:left="1440" w:header="720" w:footer="720" w:gutter="0"/>
          <w:paperSrc w:first="7" w:other="7"/>
          <w:cols w:space="720"/>
        </w:sectPr>
      </w:pPr>
    </w:p>
    <w:p w14:paraId="17445896" w14:textId="77777777" w:rsidR="00737CDB" w:rsidRPr="00677F14" w:rsidRDefault="00737CDB">
      <w:pPr>
        <w:pStyle w:val="Heading1"/>
        <w:tabs>
          <w:tab w:val="left" w:pos="2268"/>
        </w:tabs>
      </w:pPr>
      <w:bookmarkStart w:id="292" w:name="_Toc418179916"/>
      <w:bookmarkStart w:id="293" w:name="_Ref379274614"/>
      <w:r w:rsidRPr="00677F14">
        <w:lastRenderedPageBreak/>
        <w:t>Section C</w:t>
      </w:r>
      <w:r w:rsidRPr="00677F14">
        <w:tab/>
        <w:t>Translation Issues</w:t>
      </w:r>
      <w:bookmarkEnd w:id="292"/>
    </w:p>
    <w:p w14:paraId="0E487794" w14:textId="77777777" w:rsidR="00093AB4" w:rsidRDefault="00093AB4" w:rsidP="00093AB4">
      <w:pPr>
        <w:pStyle w:val="Heading2"/>
        <w:numPr>
          <w:ilvl w:val="2"/>
          <w:numId w:val="8"/>
        </w:numPr>
      </w:pPr>
      <w:bookmarkStart w:id="294" w:name="_Toc418179917"/>
      <w:r>
        <w:t>Translation Issues Addressed</w:t>
      </w:r>
      <w:bookmarkEnd w:id="294"/>
    </w:p>
    <w:p w14:paraId="0D203306" w14:textId="364A93D1" w:rsidR="00093AB4" w:rsidRDefault="00093AB4" w:rsidP="00093AB4">
      <w:r>
        <w:t xml:space="preserve">The evidence presented in Section B concluded that, in terms of comparative efficacy, prenatal </w:t>
      </w:r>
      <w:r w:rsidRPr="00FD37D3">
        <w:t>CFTR</w:t>
      </w:r>
      <w:r>
        <w:t xml:space="preserve"> testing is effective at reducing the number of babies born with CF compared with diagnosis after birth</w:t>
      </w:r>
      <w:r w:rsidR="00316E98">
        <w:t>.</w:t>
      </w:r>
      <w:r>
        <w:t xml:space="preserve"> </w:t>
      </w:r>
      <w:r w:rsidR="00316E98">
        <w:t xml:space="preserve">However, it </w:t>
      </w:r>
      <w:r>
        <w:t xml:space="preserve">has an inferior safety profile compared </w:t>
      </w:r>
      <w:r w:rsidR="00316E98">
        <w:t xml:space="preserve">with </w:t>
      </w:r>
      <w:r w:rsidR="0067459F">
        <w:t>NBS</w:t>
      </w:r>
      <w:r>
        <w:t xml:space="preserve">, due to the slight increase in miscarriage risks associated with sampling procedures and </w:t>
      </w:r>
      <w:r w:rsidR="00316E98">
        <w:t xml:space="preserve">the </w:t>
      </w:r>
      <w:r>
        <w:t>physical adverse events associated with termination of pregnancy</w:t>
      </w:r>
      <w:r w:rsidR="00316E98">
        <w:t xml:space="preserve"> (TOP)</w:t>
      </w:r>
      <w:r>
        <w:t>. Subsequently</w:t>
      </w:r>
      <w:r w:rsidR="00316E98">
        <w:t>,</w:t>
      </w:r>
      <w:r>
        <w:t xml:space="preserve"> a cost-effectiveness analysis comparing the incremental costs associated with prenatal </w:t>
      </w:r>
      <w:r w:rsidRPr="00FD37D3">
        <w:t>CFTR</w:t>
      </w:r>
      <w:r>
        <w:t xml:space="preserve"> testing with those associated with no prenatal testing (</w:t>
      </w:r>
      <w:r w:rsidR="00316E98">
        <w:t xml:space="preserve">i.e. </w:t>
      </w:r>
      <w:r>
        <w:t xml:space="preserve">diagnosis after birth) is presented in detail in Section D. </w:t>
      </w:r>
    </w:p>
    <w:p w14:paraId="275220E2" w14:textId="6615794A" w:rsidR="00093AB4" w:rsidRPr="003025DB" w:rsidRDefault="00093AB4" w:rsidP="00093AB4">
      <w:r>
        <w:t>Additional information beyond what has been presented in Section B is required to translate the systematic review of the clinical evidence to the base</w:t>
      </w:r>
      <w:r w:rsidR="00316E98">
        <w:t>-</w:t>
      </w:r>
      <w:r>
        <w:t xml:space="preserve">case economic evaluations presented in Section D. </w:t>
      </w:r>
      <w:r w:rsidRPr="003025DB">
        <w:t>Specifically, the following questions needing to be addressed are presented as headings, and the methods used to conduct these analyses, and the results, are described below.</w:t>
      </w:r>
    </w:p>
    <w:p w14:paraId="14C43E51" w14:textId="60DAE6D8" w:rsidR="00093AB4" w:rsidRPr="00B05DB1" w:rsidRDefault="00093AB4">
      <w:pPr>
        <w:pStyle w:val="Heading3"/>
        <w:tabs>
          <w:tab w:val="left" w:pos="1134"/>
        </w:tabs>
      </w:pPr>
      <w:bookmarkStart w:id="295" w:name="_Toc418179918"/>
      <w:r w:rsidRPr="00B05DB1">
        <w:t>C.1.1.</w:t>
      </w:r>
      <w:r w:rsidRPr="00B05DB1">
        <w:tab/>
        <w:t xml:space="preserve">What is the </w:t>
      </w:r>
      <w:r>
        <w:t>analytical validity</w:t>
      </w:r>
      <w:r w:rsidRPr="00B05DB1">
        <w:t xml:space="preserve"> of </w:t>
      </w:r>
      <w:r w:rsidRPr="00FD37D3">
        <w:t>CFTR</w:t>
      </w:r>
      <w:r w:rsidRPr="00B05DB1">
        <w:t xml:space="preserve"> mutation testing in </w:t>
      </w:r>
      <w:r w:rsidR="00316E98">
        <w:t xml:space="preserve">the </w:t>
      </w:r>
      <w:r w:rsidRPr="00B05DB1">
        <w:t>prenatal population?</w:t>
      </w:r>
      <w:bookmarkEnd w:id="295"/>
    </w:p>
    <w:p w14:paraId="47977674" w14:textId="237548D2" w:rsidR="00093AB4" w:rsidRPr="00B05DB1" w:rsidRDefault="00093AB4" w:rsidP="00093AB4">
      <w:r>
        <w:t>Three</w:t>
      </w:r>
      <w:r w:rsidRPr="00B05DB1">
        <w:t xml:space="preserve"> types of genetic tests are considered in the economic model</w:t>
      </w:r>
      <w:r>
        <w:t>: (i)</w:t>
      </w:r>
      <w:r w:rsidRPr="00B05DB1">
        <w:t xml:space="preserve"> common mutation test, </w:t>
      </w:r>
      <w:r>
        <w:t xml:space="preserve">(ii) known mutation test (single mutation test or common mutation test) </w:t>
      </w:r>
      <w:r w:rsidRPr="00B05DB1">
        <w:t>and</w:t>
      </w:r>
      <w:r>
        <w:t xml:space="preserve"> (iii)</w:t>
      </w:r>
      <w:r w:rsidRPr="00B05DB1">
        <w:t xml:space="preserve"> whole gene test. The common mutation test includes a panel of the most prevalent </w:t>
      </w:r>
      <w:r w:rsidRPr="00FD37D3">
        <w:t>CFTR</w:t>
      </w:r>
      <w:r w:rsidRPr="00B05DB1">
        <w:t xml:space="preserve"> mutations in the population and is used to perform mutation testing in the parents </w:t>
      </w:r>
      <w:r w:rsidR="00316E98">
        <w:t>of</w:t>
      </w:r>
      <w:r w:rsidR="00316E98" w:rsidRPr="00B05DB1">
        <w:t xml:space="preserve"> </w:t>
      </w:r>
      <w:r w:rsidRPr="00B05DB1">
        <w:t xml:space="preserve">a fetus suspected of CF. </w:t>
      </w:r>
      <w:r>
        <w:t xml:space="preserve">If both parents carry the most common mutation, F508del, a single mutation test would be performed on a sample from the fetus. If the parents are found to carry other mutations on the common mutation test, the fetus would also be tested using the common mutation test. </w:t>
      </w:r>
      <w:r w:rsidRPr="00B05DB1">
        <w:t xml:space="preserve">The </w:t>
      </w:r>
      <w:r>
        <w:t xml:space="preserve">whole gene screen may be </w:t>
      </w:r>
      <w:r w:rsidRPr="00B05DB1">
        <w:t>performed in fetuses based on the results of the parental testing (dis</w:t>
      </w:r>
      <w:r>
        <w:t>cussed in section</w:t>
      </w:r>
      <w:r w:rsidR="00316E98">
        <w:t>s</w:t>
      </w:r>
      <w:r>
        <w:t xml:space="preserve"> D.2 and D.3).</w:t>
      </w:r>
    </w:p>
    <w:p w14:paraId="18A80F7E" w14:textId="4538F450" w:rsidR="00093AB4" w:rsidRPr="00B05DB1" w:rsidRDefault="00093AB4" w:rsidP="00093AB4">
      <w:r w:rsidRPr="00B05DB1">
        <w:t xml:space="preserve">The </w:t>
      </w:r>
      <w:r>
        <w:t>analytical validity</w:t>
      </w:r>
      <w:r w:rsidRPr="00B05DB1">
        <w:t xml:space="preserve"> of these tests in the modelled populations </w:t>
      </w:r>
      <w:r w:rsidR="00316E98">
        <w:t>is</w:t>
      </w:r>
      <w:r w:rsidR="00316E98" w:rsidRPr="00B05DB1">
        <w:t xml:space="preserve"> </w:t>
      </w:r>
      <w:r w:rsidRPr="00B05DB1">
        <w:t xml:space="preserve">assessed in </w:t>
      </w:r>
      <w:r w:rsidR="00EB63BB">
        <w:t>s</w:t>
      </w:r>
      <w:r w:rsidRPr="00B05DB1">
        <w:t xml:space="preserve">ection B.6.i. Common mutation tests were found </w:t>
      </w:r>
      <w:r w:rsidR="00316E98">
        <w:t xml:space="preserve">to be </w:t>
      </w:r>
      <w:r w:rsidRPr="00B05DB1">
        <w:t xml:space="preserve">100% sensitive to the detectable mutations in parent carriers. The mutation testing in fetuses from carrier parents was also reported to be 100% sensitive. </w:t>
      </w:r>
      <w:r>
        <w:t>However, a</w:t>
      </w:r>
      <w:r w:rsidRPr="00B05DB1">
        <w:t xml:space="preserve">s most fetuses from carrier parents diagnosed as having CF are aborted, the specificity of these tests </w:t>
      </w:r>
      <w:r>
        <w:t>has</w:t>
      </w:r>
      <w:r w:rsidRPr="00B05DB1">
        <w:t xml:space="preserve"> not be</w:t>
      </w:r>
      <w:r>
        <w:t>en</w:t>
      </w:r>
      <w:r w:rsidRPr="00B05DB1">
        <w:t xml:space="preserve"> determined (</w:t>
      </w:r>
      <w:r w:rsidR="00316E98">
        <w:t xml:space="preserve">see </w:t>
      </w:r>
      <w:r w:rsidRPr="00B05DB1">
        <w:fldChar w:fldCharType="begin"/>
      </w:r>
      <w:r w:rsidRPr="00B05DB1">
        <w:instrText xml:space="preserve"> REF _Ref412452027 \h </w:instrText>
      </w:r>
      <w:r w:rsidRPr="00B05DB1">
        <w:fldChar w:fldCharType="separate"/>
      </w:r>
      <w:r w:rsidR="00BB0E3E">
        <w:t xml:space="preserve">Table </w:t>
      </w:r>
      <w:r w:rsidR="00BB0E3E">
        <w:rPr>
          <w:noProof/>
        </w:rPr>
        <w:t>94</w:t>
      </w:r>
      <w:r w:rsidRPr="00B05DB1">
        <w:fldChar w:fldCharType="end"/>
      </w:r>
      <w:r>
        <w:t xml:space="preserve"> </w:t>
      </w:r>
      <w:r w:rsidRPr="00B05DB1">
        <w:t xml:space="preserve">and </w:t>
      </w:r>
      <w:r w:rsidRPr="00B05DB1">
        <w:fldChar w:fldCharType="begin"/>
      </w:r>
      <w:r w:rsidRPr="00B05DB1">
        <w:instrText xml:space="preserve"> REF _Ref412452133 \h </w:instrText>
      </w:r>
      <w:r w:rsidRPr="00B05DB1">
        <w:fldChar w:fldCharType="separate"/>
      </w:r>
      <w:r w:rsidR="00BB0E3E">
        <w:t xml:space="preserve">Table </w:t>
      </w:r>
      <w:r w:rsidR="00BB0E3E">
        <w:rPr>
          <w:noProof/>
        </w:rPr>
        <w:t>95</w:t>
      </w:r>
      <w:r w:rsidRPr="00B05DB1">
        <w:fldChar w:fldCharType="end"/>
      </w:r>
      <w:r w:rsidRPr="00B05DB1">
        <w:t xml:space="preserve">). Additionally, the accuracy of </w:t>
      </w:r>
      <w:r w:rsidRPr="00FD37D3">
        <w:t>CFTR</w:t>
      </w:r>
      <w:r w:rsidRPr="00B05DB1">
        <w:t xml:space="preserve"> mutation testing in fetuses with FEB cannot be determined due to the lack of evidence. No evidence</w:t>
      </w:r>
      <w:r>
        <w:t xml:space="preserve"> around test accuracy</w:t>
      </w:r>
      <w:r w:rsidRPr="00B05DB1">
        <w:t xml:space="preserve"> was id</w:t>
      </w:r>
      <w:r>
        <w:t xml:space="preserve">entified for whole gene screen </w:t>
      </w:r>
      <w:r w:rsidRPr="00B05DB1">
        <w:t xml:space="preserve">or single mutation analysis in fetuses. </w:t>
      </w:r>
    </w:p>
    <w:p w14:paraId="026715F7" w14:textId="379122ED" w:rsidR="00093AB4" w:rsidRPr="00B05DB1" w:rsidRDefault="00093AB4" w:rsidP="00093AB4">
      <w:r w:rsidRPr="00B05DB1">
        <w:t xml:space="preserve">Therefore, </w:t>
      </w:r>
      <w:r>
        <w:t>analytical validity</w:t>
      </w:r>
      <w:r w:rsidRPr="00B05DB1">
        <w:t xml:space="preserve"> of 100% is assumed in the present evaluations for all these tests.</w:t>
      </w:r>
      <w:r>
        <w:t xml:space="preserve"> This is consistent with a</w:t>
      </w:r>
      <w:r w:rsidRPr="00B05DB1">
        <w:t xml:space="preserve"> systematic review of 14 economic studies focusing on preconception or prenatal </w:t>
      </w:r>
      <w:r w:rsidR="00316E98">
        <w:lastRenderedPageBreak/>
        <w:t>CF</w:t>
      </w:r>
      <w:r w:rsidRPr="00B05DB1">
        <w:t xml:space="preserve"> screening </w:t>
      </w:r>
      <w:r>
        <w:t xml:space="preserve">that </w:t>
      </w:r>
      <w:r w:rsidRPr="00B05DB1">
        <w:t>found that most economic studies have assumed 100% diagnostic accuracy for fetal diagnosis and a specificity o</w:t>
      </w:r>
      <w:r>
        <w:t xml:space="preserve">f 100% for CF carrier detection </w:t>
      </w:r>
      <w:r>
        <w:fldChar w:fldCharType="begin"/>
      </w:r>
      <w:r w:rsidR="009A054F">
        <w:instrText xml:space="preserve"> ADDIN EN.CITE &lt;EndNote&gt;&lt;Cite&gt;&lt;Author&gt;Radhakrishnan&lt;/Author&gt;&lt;Year&gt;2008&lt;/Year&gt;&lt;RecNum&gt;485&lt;/RecNum&gt;&lt;IDText&gt;133-47&lt;/IDText&gt;&lt;DisplayText&gt;(Radhakrishnan et al. 2008)&lt;/DisplayText&gt;&lt;record&gt;&lt;rec-number&gt;485&lt;/rec-number&gt;&lt;foreign-keys&gt;&lt;key app="EN" db-id="parffa0acae2voep5w3vv9rypas2tr522eef" timestamp="1430365926"&gt;485&lt;/key&gt;&lt;/foreign-keys&gt;&lt;ref-type name="Journal Article"&gt;17&lt;/ref-type&gt;&lt;contributors&gt;&lt;authors&gt;&lt;author&gt;Radhakrishnan, M.&lt;/author&gt;&lt;author&gt;van Gool, K.&lt;/author&gt;&lt;author&gt;Hall, J.&lt;/author&gt;&lt;author&gt;Delatycki, M.&lt;/author&gt;&lt;author&gt;Massie, J.&lt;/author&gt;&lt;/authors&gt;&lt;/contributors&gt;&lt;auth-address&gt;Centre for Health Economics Research and Evaluation, University of Technology, Sydney, NSW, Australia. murali.kartha@chere.uts.edu.au&lt;/auth-address&gt;&lt;titles&gt;&lt;title&gt;Economic evaluation of cystic fibrosis screening: a review of the literature&lt;/title&gt;&lt;secondary-title&gt;Health Policy&lt;/secondary-title&gt;&lt;alt-title&gt;Health policy (Amsterdam, Netherlands)&lt;/alt-title&gt;&lt;/titles&gt;&lt;periodical&gt;&lt;full-title&gt;Health Policy&lt;/full-title&gt;&lt;/periodical&gt;&lt;alt-periodical&gt;&lt;full-title&gt;Health Policy&lt;/full-title&gt;&lt;abbr-1&gt;Health policy (Amsterdam, Netherlands)&lt;/abbr-1&gt;&lt;/alt-periodical&gt;&lt;pages&gt;133-47&lt;/pages&gt;&lt;volume&gt;85&lt;/volume&gt;&lt;number&gt;2&lt;/number&gt;&lt;edition&gt;2007/08/31&lt;/edition&gt;&lt;keywords&gt;&lt;keyword&gt;Cystic Fibrosis/*diagnosis&lt;/keyword&gt;&lt;keyword&gt;Humans&lt;/keyword&gt;&lt;keyword&gt;Mass Screening/*economics&lt;/keyword&gt;&lt;keyword&gt;Victoria&lt;/keyword&gt;&lt;/keywords&gt;&lt;dates&gt;&lt;year&gt;2008&lt;/year&gt;&lt;pub-dates&gt;&lt;date&gt;Feb&lt;/date&gt;&lt;/pub-dates&gt;&lt;/dates&gt;&lt;isbn&gt;0168-8510 (Print)&amp;#xD;0168-8510&lt;/isbn&gt;&lt;accession-num&gt;17728003&lt;/accession-num&gt;&lt;urls&gt;&lt;related-urls&gt;&lt;url&gt;http://ac.els-cdn.com/S0168851007001479/1-s2.0-S0168851007001479-main.pdf?_tid=d677e746-6a1f-11e4-907a-00000aacb35f&amp;amp;acdnat=1415764750_dd9c6f2302a37a9a3f5aef536a5a4c34&lt;/url&gt;&lt;/related-urls&gt;&lt;/urls&gt;&lt;electronic-resource-num&gt;10.1016/j.healthpol.2007.07.007&lt;/electronic-resource-num&gt;&lt;remote-database-provider&gt;NLM&lt;/remote-database-provider&gt;&lt;language&gt;eng&lt;/language&gt;&lt;/record&gt;&lt;/Cite&gt;&lt;/EndNote&gt;</w:instrText>
      </w:r>
      <w:r>
        <w:fldChar w:fldCharType="separate"/>
      </w:r>
      <w:r>
        <w:rPr>
          <w:noProof/>
        </w:rPr>
        <w:t>(</w:t>
      </w:r>
      <w:hyperlink w:anchor="_ENREF_96" w:tooltip="Radhakrishnan, 2008 #485" w:history="1">
        <w:r w:rsidR="00B46ABF">
          <w:rPr>
            <w:noProof/>
          </w:rPr>
          <w:t>Radhakrishnan et al. 2008</w:t>
        </w:r>
      </w:hyperlink>
      <w:r>
        <w:rPr>
          <w:noProof/>
        </w:rPr>
        <w:t>)</w:t>
      </w:r>
      <w:r>
        <w:fldChar w:fldCharType="end"/>
      </w:r>
      <w:r>
        <w:t>.</w:t>
      </w:r>
      <w:r w:rsidRPr="00B05DB1">
        <w:t xml:space="preserve"> </w:t>
      </w:r>
    </w:p>
    <w:p w14:paraId="47C25941" w14:textId="4E4527DE" w:rsidR="00093AB4" w:rsidRPr="00096D98" w:rsidRDefault="00093AB4">
      <w:pPr>
        <w:pStyle w:val="Heading3"/>
        <w:tabs>
          <w:tab w:val="left" w:pos="1134"/>
        </w:tabs>
      </w:pPr>
      <w:bookmarkStart w:id="296" w:name="_Toc418179919"/>
      <w:r w:rsidRPr="00096D98">
        <w:t>C.1.2.</w:t>
      </w:r>
      <w:r w:rsidRPr="00096D98">
        <w:tab/>
      </w:r>
      <w:r>
        <w:t xml:space="preserve">What is the clinical </w:t>
      </w:r>
      <w:r w:rsidR="0063315A">
        <w:t>s</w:t>
      </w:r>
      <w:r w:rsidRPr="00096D98">
        <w:t>ensitivity</w:t>
      </w:r>
      <w:r>
        <w:t xml:space="preserve"> (detection rate)</w:t>
      </w:r>
      <w:r w:rsidRPr="00096D98">
        <w:t xml:space="preserve"> of </w:t>
      </w:r>
      <w:r>
        <w:t xml:space="preserve">the </w:t>
      </w:r>
      <w:r w:rsidRPr="00FD37D3">
        <w:t>CFTR</w:t>
      </w:r>
      <w:r w:rsidRPr="00096D98">
        <w:t xml:space="preserve"> mutation test</w:t>
      </w:r>
      <w:r>
        <w:t>?</w:t>
      </w:r>
      <w:bookmarkEnd w:id="296"/>
    </w:p>
    <w:p w14:paraId="05E6F91F" w14:textId="77777777" w:rsidR="00093AB4" w:rsidRPr="00FF3C43" w:rsidRDefault="00093AB4" w:rsidP="00093AB4">
      <w:pPr>
        <w:pStyle w:val="Heading4"/>
      </w:pPr>
      <w:r w:rsidRPr="00FF3C43">
        <w:t>Common mutation panel test</w:t>
      </w:r>
    </w:p>
    <w:p w14:paraId="08EFD0F7" w14:textId="634CC515" w:rsidR="00093AB4" w:rsidRDefault="00093AB4" w:rsidP="00093AB4">
      <w:r>
        <w:t>T</w:t>
      </w:r>
      <w:r w:rsidRPr="00096D98">
        <w:t>he clinical assessment (</w:t>
      </w:r>
      <w:r w:rsidR="00316E98">
        <w:t xml:space="preserve">see </w:t>
      </w:r>
      <w:r w:rsidRPr="00096D98">
        <w:t xml:space="preserve">section </w:t>
      </w:r>
      <w:r w:rsidRPr="00DD796D">
        <w:t>B.6.i</w:t>
      </w:r>
      <w:r w:rsidRPr="00096D98">
        <w:t xml:space="preserve">) found only </w:t>
      </w:r>
      <w:r w:rsidR="00316E98">
        <w:t>1</w:t>
      </w:r>
      <w:r w:rsidR="00316E98" w:rsidRPr="00096D98">
        <w:t xml:space="preserve"> </w:t>
      </w:r>
      <w:r w:rsidRPr="00096D98">
        <w:t xml:space="preserve">study performed in Italy </w:t>
      </w:r>
      <w:r w:rsidR="00316E98">
        <w:rPr>
          <w:rFonts w:asciiTheme="minorHAnsi" w:hAnsiTheme="minorHAnsi"/>
        </w:rPr>
        <w:t>that</w:t>
      </w:r>
      <w:r w:rsidR="00316E98" w:rsidRPr="00096D98">
        <w:rPr>
          <w:rFonts w:asciiTheme="minorHAnsi" w:hAnsiTheme="minorHAnsi"/>
        </w:rPr>
        <w:t xml:space="preserve"> </w:t>
      </w:r>
      <w:r w:rsidRPr="00096D98">
        <w:rPr>
          <w:rFonts w:asciiTheme="minorHAnsi" w:hAnsiTheme="minorHAnsi"/>
        </w:rPr>
        <w:t xml:space="preserve">provided evidence related to the accuracy of four different panel-based </w:t>
      </w:r>
      <w:r w:rsidRPr="00FD37D3">
        <w:rPr>
          <w:rFonts w:asciiTheme="minorHAnsi" w:hAnsiTheme="minorHAnsi"/>
        </w:rPr>
        <w:t>CFTR</w:t>
      </w:r>
      <w:r w:rsidRPr="00096D98">
        <w:rPr>
          <w:rFonts w:asciiTheme="minorHAnsi" w:hAnsiTheme="minorHAnsi"/>
        </w:rPr>
        <w:t xml:space="preserve"> mutation tests designed to detect between 12 and 31 </w:t>
      </w:r>
      <w:r w:rsidRPr="00FD37D3">
        <w:rPr>
          <w:rFonts w:asciiTheme="minorHAnsi" w:hAnsiTheme="minorHAnsi"/>
        </w:rPr>
        <w:t>CFTR</w:t>
      </w:r>
      <w:r w:rsidRPr="00096D98">
        <w:rPr>
          <w:rFonts w:asciiTheme="minorHAnsi" w:hAnsiTheme="minorHAnsi"/>
        </w:rPr>
        <w:t xml:space="preserve"> mutations compared </w:t>
      </w:r>
      <w:r w:rsidR="00316E98">
        <w:rPr>
          <w:rFonts w:asciiTheme="minorHAnsi" w:hAnsiTheme="minorHAnsi"/>
        </w:rPr>
        <w:t>with</w:t>
      </w:r>
      <w:r w:rsidR="00316E98" w:rsidRPr="00096D98">
        <w:rPr>
          <w:rFonts w:asciiTheme="minorHAnsi" w:hAnsiTheme="minorHAnsi"/>
        </w:rPr>
        <w:t xml:space="preserve"> </w:t>
      </w:r>
      <w:r w:rsidRPr="00096D98">
        <w:rPr>
          <w:rFonts w:asciiTheme="minorHAnsi" w:hAnsiTheme="minorHAnsi"/>
        </w:rPr>
        <w:t xml:space="preserve">DNA sequencing in carrier parents. </w:t>
      </w:r>
      <w:r w:rsidRPr="00096D98">
        <w:t>These tests identified 88</w:t>
      </w:r>
      <w:r w:rsidR="00316E98">
        <w:t>–</w:t>
      </w:r>
      <w:r w:rsidRPr="00096D98">
        <w:t xml:space="preserve">96% of mutations in the carrier parents with </w:t>
      </w:r>
      <w:r w:rsidR="002F59E4">
        <w:t xml:space="preserve">a </w:t>
      </w:r>
      <w:r w:rsidRPr="00096D98">
        <w:t>median sensitivity of 92%. It is uncertain how applicable these results are to th</w:t>
      </w:r>
      <w:r>
        <w:t>e Australian ethnic composition and the proposed listing.</w:t>
      </w:r>
      <w:r w:rsidRPr="00096D98">
        <w:t xml:space="preserve"> </w:t>
      </w:r>
    </w:p>
    <w:p w14:paraId="733037C5" w14:textId="47B0EBB4" w:rsidR="00093AB4" w:rsidRDefault="00093AB4" w:rsidP="00093AB4">
      <w:r>
        <w:t>The c</w:t>
      </w:r>
      <w:r w:rsidRPr="00096D98">
        <w:t xml:space="preserve">linical sensitivity or detection rate of </w:t>
      </w:r>
      <w:r w:rsidR="00316E98">
        <w:t xml:space="preserve">a </w:t>
      </w:r>
      <w:r w:rsidRPr="00096D98">
        <w:t>mutation panel depends on the number of most</w:t>
      </w:r>
      <w:r w:rsidR="00316E98">
        <w:t>-</w:t>
      </w:r>
      <w:r w:rsidRPr="00096D98">
        <w:t xml:space="preserve">prevalent </w:t>
      </w:r>
      <w:r w:rsidRPr="00FD37D3">
        <w:t>CFTR</w:t>
      </w:r>
      <w:r w:rsidRPr="00096D98">
        <w:t xml:space="preserve"> mutations selected for the panel testing. The prevalence of </w:t>
      </w:r>
      <w:r w:rsidRPr="00FD37D3">
        <w:t>CFTR</w:t>
      </w:r>
      <w:r w:rsidRPr="00096D98">
        <w:t xml:space="preserve"> mutations varies widely across different ethnic groups. </w:t>
      </w:r>
      <w:r>
        <w:t>T</w:t>
      </w:r>
      <w:r w:rsidRPr="00096D98">
        <w:t xml:space="preserve">he proposed MBS item for common mutation testing </w:t>
      </w:r>
      <w:r>
        <w:t xml:space="preserve">described in this report suggests </w:t>
      </w:r>
      <w:r w:rsidR="00316E98">
        <w:t xml:space="preserve">that </w:t>
      </w:r>
      <w:r>
        <w:t xml:space="preserve">the </w:t>
      </w:r>
      <w:r w:rsidRPr="00096D98">
        <w:t>minimum numbe</w:t>
      </w:r>
      <w:r>
        <w:t xml:space="preserve">r of mutations tested be </w:t>
      </w:r>
      <w:r w:rsidR="00316E98">
        <w:t>10;</w:t>
      </w:r>
      <w:r w:rsidRPr="00096D98">
        <w:t xml:space="preserve"> </w:t>
      </w:r>
      <w:r>
        <w:t>however</w:t>
      </w:r>
      <w:r w:rsidR="00316E98">
        <w:t>,</w:t>
      </w:r>
      <w:r>
        <w:t xml:space="preserve"> guidelines from the </w:t>
      </w:r>
      <w:r w:rsidRPr="00A35B8B">
        <w:t>American College of Obstetricians and Gynaecologists</w:t>
      </w:r>
      <w:r>
        <w:t xml:space="preserve"> (ACOG), </w:t>
      </w:r>
      <w:r w:rsidRPr="00A35B8B">
        <w:t>American College of Medical Genetics</w:t>
      </w:r>
      <w:r>
        <w:t xml:space="preserve"> (ACMG)</w:t>
      </w:r>
      <w:r w:rsidRPr="00A35B8B">
        <w:t xml:space="preserve"> </w:t>
      </w:r>
      <w:r>
        <w:t xml:space="preserve">and </w:t>
      </w:r>
      <w:r w:rsidRPr="00A35B8B">
        <w:t>Human Genetics Society of Australia</w:t>
      </w:r>
      <w:r>
        <w:t xml:space="preserve"> (HGSA) recommended </w:t>
      </w:r>
      <w:r w:rsidR="00316E98">
        <w:t xml:space="preserve">that </w:t>
      </w:r>
      <w:r>
        <w:t xml:space="preserve">all </w:t>
      </w:r>
      <w:r w:rsidRPr="00FD37D3">
        <w:t>CFTR</w:t>
      </w:r>
      <w:r>
        <w:t xml:space="preserve"> mutations with allele frequency </w:t>
      </w:r>
      <w:r>
        <w:sym w:font="Symbol" w:char="F0B3"/>
      </w:r>
      <w:r>
        <w:t xml:space="preserve">0.1% are included in the population screening panels. The ACOG/ACMG panel currently includes 23 mutations that will identify around 88% of carriers, whereas HGSA recommends </w:t>
      </w:r>
      <w:r w:rsidR="00316E98">
        <w:t xml:space="preserve">a </w:t>
      </w:r>
      <w:r>
        <w:t>panel of 17 mutations (after excluding unclear phenotypes</w:t>
      </w:r>
      <w:r>
        <w:rPr>
          <w:rStyle w:val="FootnoteReference"/>
        </w:rPr>
        <w:footnoteReference w:id="11"/>
      </w:r>
      <w:r w:rsidR="00316E98">
        <w:t>)</w:t>
      </w:r>
      <w:r>
        <w:t xml:space="preserve"> with a test sensitivity of around 83.5% in Australia </w:t>
      </w:r>
      <w:r>
        <w:fldChar w:fldCharType="begin"/>
      </w:r>
      <w:r w:rsidR="009A054F">
        <w:instrText xml:space="preserve"> ADDIN EN.CITE &lt;EndNote&gt;&lt;Cite&gt;&lt;Author&gt;Mishra&lt;/Author&gt;&lt;Year&gt;2005&lt;/Year&gt;&lt;RecNum&gt;38&lt;/RecNum&gt;&lt;IDText&gt;135-153&lt;/IDText&gt;&lt;DisplayText&gt;(Mishra, Greaves &amp;amp; Massie 2005)&lt;/DisplayText&gt;&lt;record&gt;&lt;rec-number&gt;38&lt;/rec-number&gt;&lt;foreign-keys&gt;&lt;key app="EN" db-id="parffa0acae2voep5w3vv9rypas2tr522eef" timestamp="1430365847"&gt;38&lt;/key&gt;&lt;/foreign-keys&gt;&lt;ref-type name="Journal Article"&gt;17&lt;/ref-type&gt;&lt;contributors&gt;&lt;authors&gt;&lt;author&gt;Mishra, Avantika&lt;/author&gt;&lt;author&gt;Greaves, Ronda&lt;/author&gt;&lt;author&gt;Massie, John&lt;/author&gt;&lt;/authors&gt;&lt;/contributors&gt;&lt;titles&gt;&lt;title&gt;The Relevance of Sweat Testing for the Diagnosis of Cystic Fibrosis in the Genomic Era&lt;/title&gt;&lt;secondary-title&gt;The Clinical biochemist. Reviews / Australian Association of Clinical Biochemists.&lt;/secondary-title&gt;&lt;/titles&gt;&lt;periodical&gt;&lt;full-title&gt;The Clinical biochemist. Reviews / Australian Association of Clinical Biochemists.&lt;/full-title&gt;&lt;/periodical&gt;&lt;pages&gt;135-153&lt;/pages&gt;&lt;volume&gt;26&lt;/volume&gt;&lt;number&gt;4&lt;/number&gt;&lt;dates&gt;&lt;year&gt;2005&lt;/year&gt;&lt;/dates&gt;&lt;publisher&gt;The Australian Association of Clinical Biochemists&lt;/publisher&gt;&lt;isbn&gt;0159-8090&lt;/isbn&gt;&lt;accession-num&gt;PMC1320177&lt;/accession-num&gt;&lt;urls&gt;&lt;related-urls&gt;&lt;url&gt;http://www.ncbi.nlm.nih.gov/pmc/articles/PMC1320177/&lt;/url&gt;&lt;/related-urls&gt;&lt;/urls&gt;&lt;remote-database-name&gt;PMC&lt;/remote-database-name&gt;&lt;/record&gt;&lt;/Cite&gt;&lt;/EndNote&gt;</w:instrText>
      </w:r>
      <w:r>
        <w:fldChar w:fldCharType="separate"/>
      </w:r>
      <w:r>
        <w:rPr>
          <w:noProof/>
        </w:rPr>
        <w:t>(</w:t>
      </w:r>
      <w:hyperlink w:anchor="_ENREF_78" w:tooltip="Mishra, 2005 #38" w:history="1">
        <w:r w:rsidR="00B46ABF">
          <w:rPr>
            <w:noProof/>
          </w:rPr>
          <w:t>Mishra, Greaves &amp; Massie 2005</w:t>
        </w:r>
      </w:hyperlink>
      <w:r>
        <w:rPr>
          <w:noProof/>
        </w:rPr>
        <w:t>)</w:t>
      </w:r>
      <w:r>
        <w:fldChar w:fldCharType="end"/>
      </w:r>
      <w:r>
        <w:t xml:space="preserve">. In accordance with these guidelines, </w:t>
      </w:r>
      <w:r w:rsidRPr="00096D98">
        <w:t xml:space="preserve">laboratories currently listed on the RCPA ‘Catalogue of </w:t>
      </w:r>
      <w:r w:rsidR="00E92554">
        <w:t>g</w:t>
      </w:r>
      <w:r w:rsidRPr="00096D98">
        <w:t xml:space="preserve">enetic </w:t>
      </w:r>
      <w:r w:rsidR="00E92554">
        <w:t>t</w:t>
      </w:r>
      <w:r w:rsidRPr="00096D98">
        <w:t xml:space="preserve">ests and </w:t>
      </w:r>
      <w:r w:rsidR="00E92554">
        <w:t>l</w:t>
      </w:r>
      <w:r w:rsidRPr="00096D98">
        <w:t>aboratories’ website offer panel-based common</w:t>
      </w:r>
      <w:r>
        <w:t xml:space="preserve"> mutation testing for 11</w:t>
      </w:r>
      <w:r w:rsidR="00E92554">
        <w:t>–</w:t>
      </w:r>
      <w:r>
        <w:t>44</w:t>
      </w:r>
      <w:r w:rsidRPr="00096D98">
        <w:t xml:space="preserve"> of the most common mutations</w:t>
      </w:r>
      <w:r w:rsidR="00E92554">
        <w:t>,</w:t>
      </w:r>
      <w:r>
        <w:t xml:space="preserve"> and some laboratories in the private sector even test up to 90 mutations (see </w:t>
      </w:r>
      <w:r>
        <w:fldChar w:fldCharType="begin"/>
      </w:r>
      <w:r>
        <w:instrText xml:space="preserve"> REF _Ref414949288 \h </w:instrText>
      </w:r>
      <w:r>
        <w:fldChar w:fldCharType="separate"/>
      </w:r>
      <w:r w:rsidR="00BB0E3E" w:rsidRPr="00393243">
        <w:t xml:space="preserve">Table </w:t>
      </w:r>
      <w:r w:rsidR="00BB0E3E">
        <w:rPr>
          <w:noProof/>
        </w:rPr>
        <w:t>102</w:t>
      </w:r>
      <w:r>
        <w:fldChar w:fldCharType="end"/>
      </w:r>
      <w:r>
        <w:t>, Appendix I</w:t>
      </w:r>
      <w:r w:rsidR="00E92554">
        <w:t>,</w:t>
      </w:r>
      <w:r>
        <w:t xml:space="preserve"> for more details)</w:t>
      </w:r>
      <w:r w:rsidR="002F59E4">
        <w:t>.</w:t>
      </w:r>
    </w:p>
    <w:p w14:paraId="1BD86892" w14:textId="1AFC099B" w:rsidR="00093AB4" w:rsidRDefault="00093AB4" w:rsidP="00093AB4">
      <w:r w:rsidRPr="00F93B8B">
        <w:t>The base</w:t>
      </w:r>
      <w:r w:rsidR="00E92554">
        <w:t>-</w:t>
      </w:r>
      <w:r w:rsidRPr="00F93B8B">
        <w:t xml:space="preserve">case analysis, as per the proposed listing </w:t>
      </w:r>
      <w:r>
        <w:t>recommended by PASC</w:t>
      </w:r>
      <w:r>
        <w:rPr>
          <w:rStyle w:val="FootnoteReference"/>
        </w:rPr>
        <w:footnoteReference w:id="12"/>
      </w:r>
      <w:r>
        <w:t xml:space="preserve">, </w:t>
      </w:r>
      <w:r w:rsidRPr="00F93B8B">
        <w:t>ass</w:t>
      </w:r>
      <w:r>
        <w:t xml:space="preserve">umes only 10 common mutations. </w:t>
      </w:r>
      <w:r w:rsidRPr="00F93B8B">
        <w:t xml:space="preserve">Therefore, an estimate of clinical sensitivity corresponding with panel-based mutation test detecting </w:t>
      </w:r>
      <w:r w:rsidR="00E92554">
        <w:t xml:space="preserve">the </w:t>
      </w:r>
      <w:r w:rsidRPr="00F93B8B">
        <w:t>10 most</w:t>
      </w:r>
      <w:r w:rsidR="00E92554">
        <w:t>-</w:t>
      </w:r>
      <w:r w:rsidRPr="00F93B8B">
        <w:t xml:space="preserve">prevalent mutations in </w:t>
      </w:r>
      <w:r w:rsidR="00E92554">
        <w:t xml:space="preserve">the </w:t>
      </w:r>
      <w:r w:rsidRPr="00F93B8B">
        <w:t xml:space="preserve">Australian population was sought in the literature. </w:t>
      </w:r>
      <w:r w:rsidRPr="00096D98">
        <w:t xml:space="preserve">In the economic studies estimating cost-effectiveness of CF carrier screening in Australia, </w:t>
      </w:r>
      <w:r>
        <w:fldChar w:fldCharType="begin">
          <w:fldData xml:space="preserve">PEVuZE5vdGU+PENpdGU+PEF1dGhvcj5NYXh3ZWxsPC9BdXRob3I+PFllYXI+MjAxMDwvWWVhcj48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</w:fldData>
        </w:fldChar>
      </w:r>
      <w:r w:rsidR="009A054F">
        <w:instrText xml:space="preserve"> ADDIN EN.CITE </w:instrText>
      </w:r>
      <w:r w:rsidR="009A054F">
        <w:fldChar w:fldCharType="begin">
          <w:fldData xml:space="preserve">PEVuZE5vdGU+PENpdGU+PEF1dGhvcj5NYXh3ZWxsPC9BdXRob3I+PFllYXI+MjAxMDwvWWVhcj48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</w:fldData>
        </w:fldChar>
      </w:r>
      <w:r w:rsidR="009A054F">
        <w:instrText xml:space="preserve"> ADDIN EN.CITE.DATA </w:instrText>
      </w:r>
      <w:r w:rsidR="009A054F">
        <w:fldChar w:fldCharType="end"/>
      </w:r>
      <w:r>
        <w:fldChar w:fldCharType="separate"/>
      </w:r>
      <w:hyperlink w:anchor="_ENREF_76" w:tooltip="Maxwell, 2010 #398" w:history="1">
        <w:r w:rsidR="00B46ABF">
          <w:rPr>
            <w:noProof/>
          </w:rPr>
          <w:t xml:space="preserve">Maxwell et al. </w:t>
        </w:r>
        <w:r w:rsidR="00E92554">
          <w:rPr>
            <w:noProof/>
          </w:rPr>
          <w:t>(</w:t>
        </w:r>
        <w:r w:rsidR="00B46ABF">
          <w:rPr>
            <w:noProof/>
          </w:rPr>
          <w:t>2010</w:t>
        </w:r>
      </w:hyperlink>
      <w:r>
        <w:rPr>
          <w:noProof/>
        </w:rPr>
        <w:t>)</w:t>
      </w:r>
      <w:r>
        <w:fldChar w:fldCharType="end"/>
      </w:r>
      <w:r>
        <w:t xml:space="preserve"> and </w:t>
      </w:r>
      <w:r>
        <w:fldChar w:fldCharType="begin">
          <w:fldData xml:space="preserve">PEVuZE5vdGU+PENpdGU+PEF1dGhvcj5Ob3JtYW48L0F1dGhvcj48WWVhcj4yMDEyPC9ZZWFyPjxS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eTwvYWJici0xPjwvYWx0LXBlcmlvZGljYWw+PHBhZ2VzPjI4MS03PC9wYWdlcz48dm9sdW1lPjEx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</w:fldData>
        </w:fldChar>
      </w:r>
      <w:r w:rsidR="009A054F">
        <w:instrText xml:space="preserve"> ADDIN EN.CITE </w:instrText>
      </w:r>
      <w:r w:rsidR="009A054F">
        <w:fldChar w:fldCharType="begin">
          <w:fldData xml:space="preserve">PEVuZE5vdGU+PENpdGU+PEF1dGhvcj5Ob3JtYW48L0F1dGhvcj48WWVhcj4yMDEyPC9ZZWFyPjxS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eTwvYWJici0xPjwvYWx0LXBlcmlvZGljYWw+PHBhZ2VzPjI4MS03PC9wYWdlcz48dm9sdW1lPjEx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</w:fldData>
        </w:fldChar>
      </w:r>
      <w:r w:rsidR="009A054F">
        <w:instrText xml:space="preserve"> ADDIN EN.CITE.DATA </w:instrText>
      </w:r>
      <w:r w:rsidR="009A054F">
        <w:fldChar w:fldCharType="end"/>
      </w:r>
      <w:r>
        <w:fldChar w:fldCharType="separate"/>
      </w:r>
      <w:hyperlink w:anchor="_ENREF_92" w:tooltip="Norman, 2012 #452" w:history="1">
        <w:r w:rsidR="00B46ABF">
          <w:rPr>
            <w:noProof/>
          </w:rPr>
          <w:t xml:space="preserve">Norman et al. </w:t>
        </w:r>
        <w:r w:rsidR="00E92554">
          <w:rPr>
            <w:noProof/>
          </w:rPr>
          <w:t>(</w:t>
        </w:r>
        <w:r w:rsidR="00B46ABF">
          <w:rPr>
            <w:noProof/>
          </w:rPr>
          <w:t>2012</w:t>
        </w:r>
      </w:hyperlink>
      <w:r>
        <w:rPr>
          <w:noProof/>
        </w:rPr>
        <w:t>)</w:t>
      </w:r>
      <w:r>
        <w:fldChar w:fldCharType="end"/>
      </w:r>
      <w:r>
        <w:t xml:space="preserve"> </w:t>
      </w:r>
      <w:r w:rsidRPr="00096D98">
        <w:t>considered that the 10</w:t>
      </w:r>
      <w:r w:rsidR="00660981">
        <w:t>-</w:t>
      </w:r>
      <w:r w:rsidRPr="00096D98">
        <w:t xml:space="preserve">mutation panel would have a minimum sensitivity of 80% in Australia. </w:t>
      </w:r>
      <w:r>
        <w:t>Given a lack of alternative data, this estimate is used in the base</w:t>
      </w:r>
      <w:r w:rsidR="00660981">
        <w:t>-</w:t>
      </w:r>
      <w:r>
        <w:t xml:space="preserve">case </w:t>
      </w:r>
      <w:r w:rsidRPr="00096D98">
        <w:t>evaluation</w:t>
      </w:r>
      <w:r>
        <w:t xml:space="preserve"> of a 10 common mutations panel.</w:t>
      </w:r>
    </w:p>
    <w:p w14:paraId="58306102" w14:textId="77777777" w:rsidR="00093AB4" w:rsidRDefault="00093AB4" w:rsidP="00093AB4">
      <w:r w:rsidRPr="00096D98">
        <w:lastRenderedPageBreak/>
        <w:t xml:space="preserve">The clinical sensitivity </w:t>
      </w:r>
      <w:r>
        <w:t xml:space="preserve">associated with </w:t>
      </w:r>
      <w:r w:rsidRPr="00096D98">
        <w:t xml:space="preserve">the common mutation panel </w:t>
      </w:r>
      <w:r>
        <w:t>will</w:t>
      </w:r>
      <w:r w:rsidRPr="00096D98">
        <w:t xml:space="preserve"> impact the estima</w:t>
      </w:r>
      <w:r>
        <w:t>ted cost-effectiveness; for a given test cost, a h</w:t>
      </w:r>
      <w:r w:rsidRPr="00096D98">
        <w:t>igher sensitivity</w:t>
      </w:r>
      <w:r>
        <w:t xml:space="preserve"> test</w:t>
      </w:r>
      <w:r w:rsidRPr="00096D98">
        <w:t xml:space="preserve"> </w:t>
      </w:r>
      <w:r>
        <w:t>will be more</w:t>
      </w:r>
      <w:r w:rsidRPr="00096D98">
        <w:t xml:space="preserve"> cost-effective.</w:t>
      </w:r>
      <w:r>
        <w:t xml:space="preserve"> </w:t>
      </w:r>
      <w:r w:rsidRPr="00096D98">
        <w:t xml:space="preserve">The sensitivity of the test may be improved by </w:t>
      </w:r>
      <w:r>
        <w:t>increasing the</w:t>
      </w:r>
      <w:r w:rsidRPr="00096D98">
        <w:t xml:space="preserve"> number of detectable mutations</w:t>
      </w:r>
      <w:r>
        <w:t xml:space="preserve"> based on the population frequency</w:t>
      </w:r>
      <w:r w:rsidRPr="00096D98">
        <w:t xml:space="preserve"> in the common testing panel. </w:t>
      </w:r>
    </w:p>
    <w:p w14:paraId="53067DDD" w14:textId="46B191E6" w:rsidR="00093AB4" w:rsidRDefault="00093AB4" w:rsidP="00093AB4">
      <w:r>
        <w:t xml:space="preserve">Based on the additional evidence available, the proposed listing of a 10 common mutations panel does not appear to reflect current clinical practice. Therefore, economic analysis is performed for </w:t>
      </w:r>
      <w:r w:rsidR="00415FBD">
        <w:t xml:space="preserve">a </w:t>
      </w:r>
      <w:r>
        <w:t xml:space="preserve">number of scenarios varying the number of mutations and </w:t>
      </w:r>
      <w:r w:rsidR="00164018">
        <w:t xml:space="preserve">the </w:t>
      </w:r>
      <w:r>
        <w:t>clinical sensitivity associated with common mutation testing.</w:t>
      </w:r>
      <w:r w:rsidRPr="00096D98">
        <w:t xml:space="preserve"> </w:t>
      </w:r>
      <w:r>
        <w:t xml:space="preserve">These scenarios are summarised in </w:t>
      </w:r>
      <w:r w:rsidRPr="00A36682">
        <w:fldChar w:fldCharType="begin"/>
      </w:r>
      <w:r w:rsidRPr="00A36682">
        <w:instrText xml:space="preserve"> REF _Ref290223126 \h  \* MERGEFORMAT </w:instrText>
      </w:r>
      <w:r w:rsidRPr="00A36682">
        <w:fldChar w:fldCharType="separate"/>
      </w:r>
      <w:r w:rsidR="00BB0E3E" w:rsidRPr="00DA7924">
        <w:t xml:space="preserve">Table </w:t>
      </w:r>
      <w:r w:rsidR="00BB0E3E">
        <w:t>50</w:t>
      </w:r>
      <w:r w:rsidRPr="00A36682">
        <w:fldChar w:fldCharType="end"/>
      </w:r>
      <w:r>
        <w:t>.</w:t>
      </w:r>
    </w:p>
    <w:p w14:paraId="3B1775F4" w14:textId="2536F242" w:rsidR="00093AB4" w:rsidRPr="00DA7924" w:rsidRDefault="00093AB4" w:rsidP="00022486">
      <w:pPr>
        <w:pStyle w:val="Caption"/>
        <w:ind w:left="1134" w:hanging="1134"/>
      </w:pPr>
      <w:bookmarkStart w:id="297" w:name="_Ref290223126"/>
      <w:bookmarkStart w:id="298" w:name="_Toc416855341"/>
      <w:bookmarkStart w:id="299" w:name="_Toc418179447"/>
      <w:r w:rsidRPr="00DA7924">
        <w:t xml:space="preserve">Table </w:t>
      </w:r>
      <w:fldSimple w:instr=" SEQ Table \* ARABIC ">
        <w:r w:rsidR="00BB0E3E">
          <w:rPr>
            <w:noProof/>
          </w:rPr>
          <w:t>50</w:t>
        </w:r>
      </w:fldSimple>
      <w:bookmarkEnd w:id="297"/>
      <w:r w:rsidRPr="00DA7924">
        <w:tab/>
        <w:t xml:space="preserve">Scenarios </w:t>
      </w:r>
      <w:r w:rsidRPr="000E6FE6">
        <w:t xml:space="preserve">of alternative numbers of mutations included on ‘common mutations’ panel </w:t>
      </w:r>
      <w:r w:rsidR="00415FBD">
        <w:t xml:space="preserve">and </w:t>
      </w:r>
      <w:r w:rsidRPr="00DA7924">
        <w:t xml:space="preserve">analysed in </w:t>
      </w:r>
      <w:r>
        <w:t xml:space="preserve">the </w:t>
      </w:r>
      <w:r w:rsidRPr="00DA7924">
        <w:t>economic models</w:t>
      </w:r>
      <w:bookmarkEnd w:id="298"/>
      <w:bookmarkEnd w:id="299"/>
    </w:p>
    <w:tbl>
      <w:tblPr>
        <w:tblStyle w:val="TableGrid210"/>
        <w:tblW w:w="5000" w:type="pct"/>
        <w:tblLayout w:type="fixed"/>
        <w:tblLook w:val="04A0" w:firstRow="1" w:lastRow="0" w:firstColumn="1" w:lastColumn="0" w:noHBand="0" w:noVBand="1"/>
        <w:tblCaption w:val="Table 50 Scenarios analysed in economic models"/>
        <w:tblDescription w:val="This table describes the scenarios analysed based on the common mutation panel selected and the source of clinical sensitivity for the chosen mutation panel "/>
      </w:tblPr>
      <w:tblGrid>
        <w:gridCol w:w="2376"/>
        <w:gridCol w:w="1986"/>
        <w:gridCol w:w="2569"/>
        <w:gridCol w:w="2311"/>
      </w:tblGrid>
      <w:tr w:rsidR="00093AB4" w:rsidRPr="00A36682" w14:paraId="002107A0" w14:textId="77777777" w:rsidTr="007C1FC6">
        <w:trPr>
          <w:cnfStyle w:val="100000000000" w:firstRow="1" w:lastRow="0" w:firstColumn="0" w:lastColumn="0" w:oddVBand="0" w:evenVBand="0" w:oddHBand="0" w:evenHBand="0" w:firstRowFirstColumn="0" w:firstRowLastColumn="0" w:lastRowFirstColumn="0" w:lastRowLastColumn="0"/>
          <w:trHeight w:val="300"/>
          <w:tblHeader/>
        </w:trPr>
        <w:tc>
          <w:tcPr>
            <w:tcW w:w="1285" w:type="pct"/>
            <w:noWrap/>
            <w:vAlign w:val="center"/>
            <w:hideMark/>
          </w:tcPr>
          <w:p w14:paraId="0E14F659" w14:textId="77777777" w:rsidR="00093AB4" w:rsidRPr="00A36682" w:rsidRDefault="00093AB4" w:rsidP="00093AB4">
            <w:pPr>
              <w:pStyle w:val="TableText0"/>
              <w:jc w:val="left"/>
              <w:rPr>
                <w:b/>
              </w:rPr>
            </w:pPr>
            <w:r w:rsidRPr="00A36682">
              <w:rPr>
                <w:b/>
              </w:rPr>
              <w:t>Number of common mutations included in the panel</w:t>
            </w:r>
          </w:p>
        </w:tc>
        <w:tc>
          <w:tcPr>
            <w:tcW w:w="1074" w:type="pct"/>
            <w:noWrap/>
            <w:vAlign w:val="center"/>
            <w:hideMark/>
          </w:tcPr>
          <w:p w14:paraId="553B6C9A" w14:textId="77777777" w:rsidR="00093AB4" w:rsidRPr="00A36682" w:rsidRDefault="00093AB4" w:rsidP="00093AB4">
            <w:pPr>
              <w:pStyle w:val="TableText0"/>
              <w:jc w:val="left"/>
              <w:rPr>
                <w:b/>
              </w:rPr>
            </w:pPr>
            <w:r w:rsidRPr="00A36682">
              <w:rPr>
                <w:b/>
              </w:rPr>
              <w:t>Clinical sensitivity</w:t>
            </w:r>
          </w:p>
        </w:tc>
        <w:tc>
          <w:tcPr>
            <w:tcW w:w="1390" w:type="pct"/>
            <w:noWrap/>
            <w:vAlign w:val="center"/>
            <w:hideMark/>
          </w:tcPr>
          <w:p w14:paraId="63C23998" w14:textId="77777777" w:rsidR="00093AB4" w:rsidRPr="00A36682" w:rsidRDefault="00093AB4" w:rsidP="00093AB4">
            <w:pPr>
              <w:pStyle w:val="TableText0"/>
              <w:jc w:val="left"/>
              <w:rPr>
                <w:b/>
              </w:rPr>
            </w:pPr>
            <w:r w:rsidRPr="00A36682">
              <w:rPr>
                <w:b/>
              </w:rPr>
              <w:t>Source for clinical sensitivity estimates</w:t>
            </w:r>
          </w:p>
        </w:tc>
        <w:tc>
          <w:tcPr>
            <w:tcW w:w="1250" w:type="pct"/>
            <w:vAlign w:val="center"/>
          </w:tcPr>
          <w:p w14:paraId="2D285A68" w14:textId="77777777" w:rsidR="00093AB4" w:rsidRPr="00A36682" w:rsidRDefault="00093AB4" w:rsidP="00093AB4">
            <w:pPr>
              <w:pStyle w:val="TableText0"/>
              <w:jc w:val="left"/>
              <w:rPr>
                <w:b/>
              </w:rPr>
            </w:pPr>
            <w:r w:rsidRPr="00A36682">
              <w:rPr>
                <w:b/>
              </w:rPr>
              <w:t>Model usage</w:t>
            </w:r>
          </w:p>
        </w:tc>
      </w:tr>
      <w:tr w:rsidR="00093AB4" w:rsidRPr="00DA7924" w14:paraId="006CB12D" w14:textId="77777777" w:rsidTr="00093AB4">
        <w:trPr>
          <w:trHeight w:val="300"/>
        </w:trPr>
        <w:tc>
          <w:tcPr>
            <w:tcW w:w="1285" w:type="pct"/>
            <w:noWrap/>
            <w:vAlign w:val="center"/>
            <w:hideMark/>
          </w:tcPr>
          <w:p w14:paraId="0E2E2F50" w14:textId="259ED8E4" w:rsidR="00093AB4" w:rsidRPr="00DA7924" w:rsidRDefault="00093AB4" w:rsidP="00093AB4">
            <w:pPr>
              <w:pStyle w:val="TableText0"/>
              <w:jc w:val="left"/>
            </w:pPr>
            <w:r w:rsidRPr="00DA7924">
              <w:t>10</w:t>
            </w:r>
            <w:r>
              <w:t xml:space="preserve"> (PASC</w:t>
            </w:r>
            <w:r w:rsidR="00415FBD">
              <w:t>-</w:t>
            </w:r>
            <w:r>
              <w:t>recommended minimum)</w:t>
            </w:r>
          </w:p>
        </w:tc>
        <w:tc>
          <w:tcPr>
            <w:tcW w:w="1074" w:type="pct"/>
            <w:noWrap/>
            <w:vAlign w:val="center"/>
            <w:hideMark/>
          </w:tcPr>
          <w:p w14:paraId="1CD9CDA8" w14:textId="190F37A9" w:rsidR="00093AB4" w:rsidRPr="00DA7924" w:rsidRDefault="00093AB4" w:rsidP="008C3709">
            <w:pPr>
              <w:pStyle w:val="TableText0"/>
              <w:tabs>
                <w:tab w:val="decimal" w:pos="1026"/>
              </w:tabs>
              <w:jc w:val="left"/>
            </w:pPr>
            <w:r w:rsidRPr="00DA7924">
              <w:t>80</w:t>
            </w:r>
            <w:r w:rsidR="00CE16F6">
              <w:t>.0</w:t>
            </w:r>
            <w:r w:rsidRPr="00DA7924">
              <w:t>%</w:t>
            </w:r>
          </w:p>
        </w:tc>
        <w:tc>
          <w:tcPr>
            <w:tcW w:w="1390" w:type="pct"/>
            <w:noWrap/>
            <w:vAlign w:val="center"/>
          </w:tcPr>
          <w:p w14:paraId="6AB373B6" w14:textId="1744AE9B" w:rsidR="00093AB4" w:rsidRPr="00DA7924" w:rsidRDefault="007A2E60" w:rsidP="007A2E60">
            <w:pPr>
              <w:pStyle w:val="TableText0"/>
              <w:jc w:val="left"/>
            </w:pPr>
            <w:r>
              <w:t>Maxwell et al. (2010) and Norman et al. (2012)</w:t>
            </w:r>
          </w:p>
        </w:tc>
        <w:tc>
          <w:tcPr>
            <w:tcW w:w="1250" w:type="pct"/>
            <w:vAlign w:val="center"/>
          </w:tcPr>
          <w:p w14:paraId="016AFCB1" w14:textId="59F35AB9" w:rsidR="00093AB4" w:rsidRPr="00DA7924" w:rsidRDefault="00093AB4" w:rsidP="00093AB4">
            <w:pPr>
              <w:pStyle w:val="TableText0"/>
              <w:jc w:val="left"/>
            </w:pPr>
            <w:r w:rsidRPr="00DA7924">
              <w:t>Base</w:t>
            </w:r>
            <w:r w:rsidR="00415FBD">
              <w:t>-</w:t>
            </w:r>
            <w:r w:rsidRPr="00DA7924">
              <w:t xml:space="preserve">case </w:t>
            </w:r>
            <w:r>
              <w:t>scenario</w:t>
            </w:r>
          </w:p>
        </w:tc>
      </w:tr>
      <w:tr w:rsidR="00093AB4" w:rsidRPr="00DA7924" w14:paraId="04A9A29B" w14:textId="77777777" w:rsidTr="00093AB4">
        <w:trPr>
          <w:trHeight w:val="300"/>
        </w:trPr>
        <w:tc>
          <w:tcPr>
            <w:tcW w:w="1285" w:type="pct"/>
            <w:noWrap/>
            <w:vAlign w:val="center"/>
            <w:hideMark/>
          </w:tcPr>
          <w:p w14:paraId="64D5B887" w14:textId="67EC5860" w:rsidR="00093AB4" w:rsidRPr="00DA7924" w:rsidRDefault="00093AB4" w:rsidP="00093AB4">
            <w:pPr>
              <w:pStyle w:val="TableText0"/>
              <w:jc w:val="left"/>
            </w:pPr>
            <w:r w:rsidRPr="00DA7924">
              <w:t>17</w:t>
            </w:r>
            <w:r>
              <w:t xml:space="preserve"> (HGSA</w:t>
            </w:r>
            <w:r w:rsidR="00415FBD">
              <w:t>-</w:t>
            </w:r>
            <w:r>
              <w:t>recommended)</w:t>
            </w:r>
          </w:p>
        </w:tc>
        <w:tc>
          <w:tcPr>
            <w:tcW w:w="1074" w:type="pct"/>
            <w:noWrap/>
            <w:vAlign w:val="center"/>
            <w:hideMark/>
          </w:tcPr>
          <w:p w14:paraId="76150CAF" w14:textId="71074DAA" w:rsidR="00093AB4" w:rsidRPr="00DA7924" w:rsidRDefault="00093AB4" w:rsidP="008C3709">
            <w:pPr>
              <w:pStyle w:val="TableText0"/>
              <w:tabs>
                <w:tab w:val="decimal" w:pos="1026"/>
              </w:tabs>
              <w:jc w:val="left"/>
            </w:pPr>
            <w:r w:rsidRPr="00DA7924">
              <w:t>83.5%</w:t>
            </w:r>
          </w:p>
        </w:tc>
        <w:tc>
          <w:tcPr>
            <w:tcW w:w="1390" w:type="pct"/>
            <w:noWrap/>
            <w:vAlign w:val="center"/>
          </w:tcPr>
          <w:p w14:paraId="20948DE9" w14:textId="560C7F39" w:rsidR="00093AB4" w:rsidRPr="00DA7924" w:rsidRDefault="00093AB4" w:rsidP="00093AB4">
            <w:pPr>
              <w:pStyle w:val="TableText0"/>
              <w:jc w:val="left"/>
            </w:pPr>
            <w:r>
              <w:t xml:space="preserve">HGSA report, Mishra </w:t>
            </w:r>
            <w:r w:rsidRPr="003017F6">
              <w:t>et al</w:t>
            </w:r>
            <w:r w:rsidR="00CE16F6">
              <w:t>.</w:t>
            </w:r>
            <w:r w:rsidR="007A2E60">
              <w:t xml:space="preserve"> (2005)</w:t>
            </w:r>
          </w:p>
        </w:tc>
        <w:tc>
          <w:tcPr>
            <w:tcW w:w="1250" w:type="pct"/>
            <w:vAlign w:val="center"/>
          </w:tcPr>
          <w:p w14:paraId="7E14F28A" w14:textId="77777777" w:rsidR="00093AB4" w:rsidRPr="00DA7924" w:rsidRDefault="00093AB4" w:rsidP="00093AB4">
            <w:pPr>
              <w:pStyle w:val="TableText0"/>
              <w:jc w:val="left"/>
            </w:pPr>
            <w:r>
              <w:t>Additional</w:t>
            </w:r>
            <w:r w:rsidRPr="00DA7924">
              <w:t xml:space="preserve"> scenario</w:t>
            </w:r>
            <w:r>
              <w:t xml:space="preserve"> 1</w:t>
            </w:r>
          </w:p>
        </w:tc>
      </w:tr>
      <w:tr w:rsidR="00093AB4" w:rsidRPr="00DA7924" w14:paraId="596AF2CE" w14:textId="77777777" w:rsidTr="00093AB4">
        <w:trPr>
          <w:trHeight w:val="300"/>
        </w:trPr>
        <w:tc>
          <w:tcPr>
            <w:tcW w:w="1285" w:type="pct"/>
            <w:noWrap/>
            <w:vAlign w:val="center"/>
            <w:hideMark/>
          </w:tcPr>
          <w:p w14:paraId="7ACFBB31" w14:textId="403B5716" w:rsidR="00093AB4" w:rsidRPr="00DA7924" w:rsidRDefault="00093AB4" w:rsidP="00093AB4">
            <w:pPr>
              <w:pStyle w:val="TableText0"/>
              <w:jc w:val="left"/>
            </w:pPr>
            <w:r w:rsidRPr="00DA7924">
              <w:t>23</w:t>
            </w:r>
            <w:r>
              <w:t xml:space="preserve"> (ACOG</w:t>
            </w:r>
            <w:r w:rsidR="00415FBD">
              <w:t>-</w:t>
            </w:r>
            <w:r>
              <w:t>recommended)</w:t>
            </w:r>
          </w:p>
        </w:tc>
        <w:tc>
          <w:tcPr>
            <w:tcW w:w="1074" w:type="pct"/>
            <w:noWrap/>
            <w:vAlign w:val="center"/>
            <w:hideMark/>
          </w:tcPr>
          <w:p w14:paraId="0E4D516C" w14:textId="77D71C77" w:rsidR="00093AB4" w:rsidRPr="00DA7924" w:rsidRDefault="00093AB4" w:rsidP="008C3709">
            <w:pPr>
              <w:pStyle w:val="TableText0"/>
              <w:tabs>
                <w:tab w:val="decimal" w:pos="1026"/>
              </w:tabs>
              <w:jc w:val="left"/>
            </w:pPr>
            <w:r w:rsidRPr="00DA7924">
              <w:t>88</w:t>
            </w:r>
            <w:r w:rsidR="00CE16F6">
              <w:t>.0</w:t>
            </w:r>
            <w:r w:rsidRPr="00DA7924">
              <w:t>%</w:t>
            </w:r>
          </w:p>
        </w:tc>
        <w:tc>
          <w:tcPr>
            <w:tcW w:w="1390" w:type="pct"/>
            <w:noWrap/>
            <w:vAlign w:val="center"/>
            <w:hideMark/>
          </w:tcPr>
          <w:p w14:paraId="4739510F" w14:textId="77777777" w:rsidR="00093AB4" w:rsidRPr="00DA7924" w:rsidRDefault="00093AB4" w:rsidP="00093AB4">
            <w:pPr>
              <w:pStyle w:val="TableText0"/>
              <w:jc w:val="left"/>
            </w:pPr>
            <w:r>
              <w:t>ACOG report</w:t>
            </w:r>
          </w:p>
        </w:tc>
        <w:tc>
          <w:tcPr>
            <w:tcW w:w="1250" w:type="pct"/>
            <w:vAlign w:val="center"/>
          </w:tcPr>
          <w:p w14:paraId="7CE78875" w14:textId="77777777" w:rsidR="00093AB4" w:rsidRPr="00DA7924" w:rsidRDefault="00093AB4" w:rsidP="00093AB4">
            <w:pPr>
              <w:pStyle w:val="TableText0"/>
              <w:jc w:val="left"/>
            </w:pPr>
            <w:r>
              <w:t>Additional</w:t>
            </w:r>
            <w:r w:rsidRPr="00DA7924">
              <w:t xml:space="preserve"> scenario</w:t>
            </w:r>
            <w:r>
              <w:t xml:space="preserve"> 2</w:t>
            </w:r>
          </w:p>
        </w:tc>
      </w:tr>
      <w:tr w:rsidR="00093AB4" w:rsidRPr="00DA7924" w14:paraId="2FF7E152" w14:textId="77777777" w:rsidTr="008C3709">
        <w:trPr>
          <w:trHeight w:val="300"/>
        </w:trPr>
        <w:tc>
          <w:tcPr>
            <w:tcW w:w="1285" w:type="pct"/>
            <w:noWrap/>
            <w:hideMark/>
          </w:tcPr>
          <w:p w14:paraId="76F19DE0" w14:textId="024A2E90" w:rsidR="00093AB4" w:rsidRPr="00DA7924" w:rsidRDefault="00093AB4" w:rsidP="00093AB4">
            <w:pPr>
              <w:pStyle w:val="TableText0"/>
              <w:jc w:val="left"/>
            </w:pPr>
            <w:r w:rsidRPr="00DA7924">
              <w:t>32</w:t>
            </w:r>
            <w:r>
              <w:t xml:space="preserve"> (clinical evidence</w:t>
            </w:r>
            <w:r w:rsidR="00415FBD">
              <w:t>;</w:t>
            </w:r>
            <w:r>
              <w:t xml:space="preserve"> see section B.6)</w:t>
            </w:r>
          </w:p>
        </w:tc>
        <w:tc>
          <w:tcPr>
            <w:tcW w:w="1074" w:type="pct"/>
            <w:noWrap/>
            <w:vAlign w:val="center"/>
            <w:hideMark/>
          </w:tcPr>
          <w:p w14:paraId="2E42A0CC" w14:textId="126C0BC7" w:rsidR="00093AB4" w:rsidRPr="00DA7924" w:rsidRDefault="00093AB4" w:rsidP="008C3709">
            <w:pPr>
              <w:pStyle w:val="TableText0"/>
              <w:tabs>
                <w:tab w:val="decimal" w:pos="1026"/>
              </w:tabs>
              <w:jc w:val="left"/>
            </w:pPr>
            <w:r w:rsidRPr="00DA7924">
              <w:t>92</w:t>
            </w:r>
            <w:r w:rsidR="00CE16F6">
              <w:t>.0</w:t>
            </w:r>
            <w:r w:rsidRPr="00DA7924">
              <w:t>%</w:t>
            </w:r>
          </w:p>
        </w:tc>
        <w:tc>
          <w:tcPr>
            <w:tcW w:w="1390" w:type="pct"/>
            <w:noWrap/>
            <w:vAlign w:val="center"/>
            <w:hideMark/>
          </w:tcPr>
          <w:p w14:paraId="4D1F86B4" w14:textId="77777777" w:rsidR="00093AB4" w:rsidRPr="00DA7924" w:rsidRDefault="00093AB4" w:rsidP="00093AB4">
            <w:pPr>
              <w:pStyle w:val="TableText0"/>
              <w:jc w:val="left"/>
            </w:pPr>
            <w:r w:rsidRPr="00DA7924">
              <w:t>Section B.6.i</w:t>
            </w:r>
          </w:p>
        </w:tc>
        <w:tc>
          <w:tcPr>
            <w:tcW w:w="1250" w:type="pct"/>
            <w:vAlign w:val="center"/>
          </w:tcPr>
          <w:p w14:paraId="4D7F8400" w14:textId="77777777" w:rsidR="00093AB4" w:rsidRPr="00DA7924" w:rsidRDefault="00093AB4" w:rsidP="00093AB4">
            <w:pPr>
              <w:pStyle w:val="TableText0"/>
              <w:jc w:val="left"/>
            </w:pPr>
            <w:r>
              <w:t>Additional</w:t>
            </w:r>
            <w:r w:rsidRPr="00DA7924">
              <w:t xml:space="preserve"> scenario</w:t>
            </w:r>
            <w:r>
              <w:t xml:space="preserve"> 3</w:t>
            </w:r>
          </w:p>
        </w:tc>
      </w:tr>
    </w:tbl>
    <w:p w14:paraId="38497141" w14:textId="681088DD" w:rsidR="00093AB4" w:rsidRDefault="00093AB4" w:rsidP="008C3709">
      <w:pPr>
        <w:pStyle w:val="Tablenotes0"/>
        <w:spacing w:after="0"/>
        <w:jc w:val="left"/>
        <w:rPr>
          <w:lang w:val="en-US"/>
        </w:rPr>
      </w:pPr>
      <w:r>
        <w:rPr>
          <w:lang w:val="en-US"/>
        </w:rPr>
        <w:t>Source</w:t>
      </w:r>
      <w:r w:rsidR="00757298">
        <w:rPr>
          <w:lang w:val="en-US"/>
        </w:rPr>
        <w:t>s</w:t>
      </w:r>
      <w:r>
        <w:rPr>
          <w:lang w:val="en-US"/>
        </w:rPr>
        <w:t xml:space="preserve">: </w:t>
      </w:r>
      <w:r>
        <w:rPr>
          <w:lang w:val="en-US"/>
        </w:rPr>
        <w:fldChar w:fldCharType="begin">
          <w:fldData xml:space="preserve">PEVuZE5vdGU+PENpdGU+PEF1dGhvcj5NYXh3ZWxsPC9BdXRob3I+PFllYXI+MjAxMDwvWWVhcj48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==
</w:fldData>
        </w:fldChar>
      </w:r>
      <w:r w:rsidR="009A054F">
        <w:rPr>
          <w:lang w:val="en-US"/>
        </w:rPr>
        <w:instrText xml:space="preserve"> ADDIN EN.CITE </w:instrText>
      </w:r>
      <w:r w:rsidR="009A054F">
        <w:rPr>
          <w:lang w:val="en-US"/>
        </w:rPr>
        <w:fldChar w:fldCharType="begin">
          <w:fldData xml:space="preserve">PEVuZE5vdGU+PENpdGU+PEF1dGhvcj5NYXh3ZWxsPC9BdXRob3I+PFllYXI+MjAxMDwvWWVhcj48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==
</w:fldData>
        </w:fldChar>
      </w:r>
      <w:r w:rsidR="009A054F">
        <w:rPr>
          <w:lang w:val="en-US"/>
        </w:rPr>
        <w:instrText xml:space="preserve"> ADDIN EN.CITE.DATA </w:instrText>
      </w:r>
      <w:r w:rsidR="009A054F">
        <w:rPr>
          <w:lang w:val="en-US"/>
        </w:rPr>
      </w:r>
      <w:r w:rsidR="009A054F">
        <w:rPr>
          <w:lang w:val="en-US"/>
        </w:rPr>
        <w:fldChar w:fldCharType="end"/>
      </w:r>
      <w:r>
        <w:rPr>
          <w:lang w:val="en-US"/>
        </w:rPr>
      </w:r>
      <w:r>
        <w:rPr>
          <w:lang w:val="en-US"/>
        </w:rPr>
        <w:fldChar w:fldCharType="separate"/>
      </w:r>
      <w:hyperlink w:anchor="_ENREF_76" w:tooltip="Maxwell, 2010 #398" w:history="1">
        <w:r w:rsidR="00B46ABF">
          <w:rPr>
            <w:noProof/>
            <w:lang w:val="en-US"/>
          </w:rPr>
          <w:t xml:space="preserve">Maxwell et al. </w:t>
        </w:r>
        <w:r w:rsidR="00757298">
          <w:rPr>
            <w:noProof/>
            <w:lang w:val="en-US"/>
          </w:rPr>
          <w:t>(</w:t>
        </w:r>
        <w:r w:rsidR="00B46ABF">
          <w:rPr>
            <w:noProof/>
            <w:lang w:val="en-US"/>
          </w:rPr>
          <w:t>2010</w:t>
        </w:r>
      </w:hyperlink>
      <w:r w:rsidR="00AE0FF3">
        <w:rPr>
          <w:noProof/>
          <w:lang w:val="en-US"/>
        </w:rPr>
        <w:t>)</w:t>
      </w:r>
      <w:r>
        <w:rPr>
          <w:noProof/>
          <w:lang w:val="en-US"/>
        </w:rPr>
        <w:t xml:space="preserve">; </w:t>
      </w:r>
      <w:hyperlink w:anchor="_ENREF_92" w:tooltip="Norman, 2012 #452" w:history="1">
        <w:r w:rsidR="00B46ABF">
          <w:rPr>
            <w:noProof/>
            <w:lang w:val="en-US"/>
          </w:rPr>
          <w:t xml:space="preserve">Norman et al. </w:t>
        </w:r>
        <w:r w:rsidR="00757298">
          <w:rPr>
            <w:noProof/>
            <w:lang w:val="en-US"/>
          </w:rPr>
          <w:t>(</w:t>
        </w:r>
        <w:r w:rsidR="00B46ABF">
          <w:rPr>
            <w:noProof/>
            <w:lang w:val="en-US"/>
          </w:rPr>
          <w:t>2012</w:t>
        </w:r>
      </w:hyperlink>
      <w:r>
        <w:rPr>
          <w:noProof/>
          <w:lang w:val="en-US"/>
        </w:rPr>
        <w:t>)</w:t>
      </w:r>
      <w:r>
        <w:rPr>
          <w:lang w:val="en-US"/>
        </w:rPr>
        <w:fldChar w:fldCharType="end"/>
      </w:r>
      <w:r w:rsidR="00164018">
        <w:rPr>
          <w:lang w:val="en-US"/>
        </w:rPr>
        <w:t>;</w:t>
      </w:r>
      <w:r>
        <w:rPr>
          <w:lang w:val="en-US"/>
        </w:rPr>
        <w:t xml:space="preserve"> </w:t>
      </w:r>
      <w:r>
        <w:fldChar w:fldCharType="begin"/>
      </w:r>
      <w:r w:rsidR="009A054F">
        <w:instrText xml:space="preserve"> ADDIN EN.CITE &lt;EndNote&gt;&lt;Cite&gt;&lt;Author&gt;Mishra&lt;/Author&gt;&lt;Year&gt;2005&lt;/Year&gt;&lt;RecNum&gt;38&lt;/RecNum&gt;&lt;IDText&gt;135-153&lt;/IDText&gt;&lt;DisplayText&gt;(Mishra, Greaves &amp;amp; Massie 2005)&lt;/DisplayText&gt;&lt;record&gt;&lt;rec-number&gt;38&lt;/rec-number&gt;&lt;foreign-keys&gt;&lt;key app="EN" db-id="parffa0acae2voep5w3vv9rypas2tr522eef" timestamp="1430365847"&gt;38&lt;/key&gt;&lt;/foreign-keys&gt;&lt;ref-type name="Journal Article"&gt;17&lt;/ref-type&gt;&lt;contributors&gt;&lt;authors&gt;&lt;author&gt;Mishra, Avantika&lt;/author&gt;&lt;author&gt;Greaves, Ronda&lt;/author&gt;&lt;author&gt;Massie, John&lt;/author&gt;&lt;/authors&gt;&lt;/contributors&gt;&lt;titles&gt;&lt;title&gt;The Relevance of Sweat Testing for the Diagnosis of Cystic Fibrosis in the Genomic Era&lt;/title&gt;&lt;secondary-title&gt;The Clinical biochemist. Reviews / Australian Association of Clinical Biochemists.&lt;/secondary-title&gt;&lt;/titles&gt;&lt;periodical&gt;&lt;full-title&gt;The Clinical biochemist. Reviews / Australian Association of Clinical Biochemists.&lt;/full-title&gt;&lt;/periodical&gt;&lt;pages&gt;135-153&lt;/pages&gt;&lt;volume&gt;26&lt;/volume&gt;&lt;number&gt;4&lt;/number&gt;&lt;dates&gt;&lt;year&gt;2005&lt;/year&gt;&lt;/dates&gt;&lt;publisher&gt;The Australian Association of Clinical Biochemists&lt;/publisher&gt;&lt;isbn&gt;0159-8090&lt;/isbn&gt;&lt;accession-num&gt;PMC1320177&lt;/accession-num&gt;&lt;urls&gt;&lt;related-urls&gt;&lt;url&gt;http://www.ncbi.nlm.nih.gov/pmc/articles/PMC1320177/&lt;/url&gt;&lt;/related-urls&gt;&lt;/urls&gt;&lt;remote-database-name&gt;PMC&lt;/remote-database-name&gt;&lt;/record&gt;&lt;/Cite&gt;&lt;/EndNote&gt;</w:instrText>
      </w:r>
      <w:r>
        <w:fldChar w:fldCharType="separate"/>
      </w:r>
      <w:hyperlink w:anchor="_ENREF_78" w:tooltip="Mishra, 2005 #38" w:history="1">
        <w:r w:rsidR="00B46ABF">
          <w:rPr>
            <w:noProof/>
          </w:rPr>
          <w:t xml:space="preserve">Mishra, Greaves &amp; Massie </w:t>
        </w:r>
        <w:r w:rsidR="00757298">
          <w:rPr>
            <w:noProof/>
          </w:rPr>
          <w:t>(</w:t>
        </w:r>
        <w:r w:rsidR="00B46ABF">
          <w:rPr>
            <w:noProof/>
          </w:rPr>
          <w:t>2005</w:t>
        </w:r>
      </w:hyperlink>
      <w:r>
        <w:rPr>
          <w:noProof/>
        </w:rPr>
        <w:t>)</w:t>
      </w:r>
      <w:r>
        <w:fldChar w:fldCharType="end"/>
      </w:r>
      <w:r>
        <w:t xml:space="preserve">; </w:t>
      </w:r>
      <w:r w:rsidR="00415FBD">
        <w:t>&lt;</w:t>
      </w:r>
      <w:r w:rsidRPr="004F66AD">
        <w:rPr>
          <w:lang w:val="en-US"/>
        </w:rPr>
        <w:t>http://www.hgsa.org.au/documents/item/1282</w:t>
      </w:r>
      <w:r w:rsidR="00415FBD">
        <w:rPr>
          <w:lang w:val="en-US"/>
        </w:rPr>
        <w:t>&gt;</w:t>
      </w:r>
      <w:r w:rsidR="00164018">
        <w:rPr>
          <w:lang w:val="en-US"/>
        </w:rPr>
        <w:t>,</w:t>
      </w:r>
      <w:r>
        <w:rPr>
          <w:lang w:val="en-US"/>
        </w:rPr>
        <w:t xml:space="preserve"> accessed on 1 April 2015; </w:t>
      </w:r>
      <w:r w:rsidR="00415FBD">
        <w:rPr>
          <w:lang w:val="en-US"/>
        </w:rPr>
        <w:t>&lt;</w:t>
      </w:r>
      <w:hyperlink r:id="rId43" w:tooltip="Link to ACOG web page for CFTR carrier screening updates" w:history="1">
        <w:r w:rsidRPr="00416BBB">
          <w:rPr>
            <w:rStyle w:val="Hyperlink"/>
            <w:lang w:val="en-US"/>
          </w:rPr>
          <w:t>http://www.acog.org/Resources-And-Publications/Committee-Opinions/Committee-on-Genetics/Update-on-Carrier-Screening-for-Cystic-Fibrosis</w:t>
        </w:r>
      </w:hyperlink>
      <w:r w:rsidR="00415FBD">
        <w:rPr>
          <w:rStyle w:val="Hyperlink"/>
          <w:lang w:val="en-US"/>
        </w:rPr>
        <w:t>&gt;</w:t>
      </w:r>
      <w:r w:rsidR="00164018">
        <w:t>,</w:t>
      </w:r>
      <w:r>
        <w:rPr>
          <w:lang w:val="en-US"/>
        </w:rPr>
        <w:t xml:space="preserve"> retrieved on 1 April 2015</w:t>
      </w:r>
      <w:r w:rsidR="00216FAA">
        <w:rPr>
          <w:lang w:val="en-US"/>
        </w:rPr>
        <w:t>.</w:t>
      </w:r>
    </w:p>
    <w:p w14:paraId="1659506D" w14:textId="5D5F757A" w:rsidR="00453ED3" w:rsidRDefault="00453ED3" w:rsidP="008C3709">
      <w:pPr>
        <w:pStyle w:val="Tablenotes0"/>
        <w:spacing w:after="0"/>
        <w:jc w:val="left"/>
        <w:rPr>
          <w:lang w:val="en-US"/>
        </w:rPr>
      </w:pPr>
      <w:r>
        <w:t xml:space="preserve">ACOG = </w:t>
      </w:r>
      <w:r w:rsidRPr="00A35B8B">
        <w:t>American College of Obstetricians and Gynaecologists</w:t>
      </w:r>
      <w:r>
        <w:t xml:space="preserve">; </w:t>
      </w:r>
      <w:r w:rsidRPr="004F66AD">
        <w:t xml:space="preserve">HGSA = </w:t>
      </w:r>
      <w:r w:rsidRPr="004F66AD">
        <w:rPr>
          <w:lang w:val="en-US"/>
        </w:rPr>
        <w:t xml:space="preserve">Human </w:t>
      </w:r>
      <w:r>
        <w:rPr>
          <w:lang w:val="en-US"/>
        </w:rPr>
        <w:t xml:space="preserve">Genetics Society of Australasia; </w:t>
      </w:r>
      <w:r>
        <w:t>PASC = Protocol Advisory Sub-Committee</w:t>
      </w:r>
    </w:p>
    <w:p w14:paraId="51E9EDEC" w14:textId="77777777" w:rsidR="00453ED3" w:rsidRDefault="00453ED3" w:rsidP="008C3709">
      <w:pPr>
        <w:pStyle w:val="Tablenotes0"/>
        <w:jc w:val="left"/>
        <w:rPr>
          <w:lang w:val="en-US"/>
        </w:rPr>
      </w:pPr>
    </w:p>
    <w:p w14:paraId="748AAD84" w14:textId="5117243B" w:rsidR="00093AB4" w:rsidRDefault="00093AB4" w:rsidP="00093AB4">
      <w:pPr>
        <w:spacing w:before="240"/>
      </w:pPr>
      <w:r>
        <w:t>Of note, there are more than 1,900 known mutations of</w:t>
      </w:r>
      <w:r w:rsidR="006D3BE7">
        <w:t xml:space="preserve"> the</w:t>
      </w:r>
      <w:r>
        <w:t xml:space="preserve"> </w:t>
      </w:r>
      <w:r w:rsidRPr="00A21FD9">
        <w:rPr>
          <w:i/>
        </w:rPr>
        <w:t>CFTR</w:t>
      </w:r>
      <w:r>
        <w:t xml:space="preserve"> gene and if a test panel of 32 mutations has </w:t>
      </w:r>
      <w:r w:rsidR="006D3BE7">
        <w:t xml:space="preserve">a </w:t>
      </w:r>
      <w:r>
        <w:t>sensitivity of 92%, the unidentified mutations will contribute to the remaining 8%. Therefore, after a certain point, increasing the number of mutations to be tested</w:t>
      </w:r>
      <w:r w:rsidRPr="00632873">
        <w:t xml:space="preserve"> does not significantly increase the clinical sensitivity of the test due to the very low frequency </w:t>
      </w:r>
      <w:r w:rsidR="00A17A1F">
        <w:t xml:space="preserve">of </w:t>
      </w:r>
      <w:r w:rsidRPr="00632873">
        <w:t xml:space="preserve">occurrence of </w:t>
      </w:r>
      <w:r>
        <w:t>the additional</w:t>
      </w:r>
      <w:r w:rsidRPr="00632873">
        <w:t xml:space="preserve"> mutations included in the extended panel.</w:t>
      </w:r>
    </w:p>
    <w:p w14:paraId="072F982B" w14:textId="77777777" w:rsidR="00093AB4" w:rsidRPr="00FF3C43" w:rsidRDefault="00093AB4" w:rsidP="00093AB4">
      <w:pPr>
        <w:pStyle w:val="Heading4"/>
      </w:pPr>
      <w:r w:rsidRPr="00FF3C43">
        <w:t>Whole gene sequencing</w:t>
      </w:r>
    </w:p>
    <w:p w14:paraId="47ED5CCC" w14:textId="0AAD0CEF" w:rsidR="00093AB4" w:rsidRDefault="00093AB4" w:rsidP="00093AB4">
      <w:r>
        <w:t>A</w:t>
      </w:r>
      <w:r w:rsidRPr="00FF3C43">
        <w:t xml:space="preserve">s discussed in section </w:t>
      </w:r>
      <w:r>
        <w:t xml:space="preserve">A.2.3 and section B.6.2.1, </w:t>
      </w:r>
      <w:r w:rsidRPr="005C48DD">
        <w:t>DNA sequencing-based tests cannot detect large deletion or insertion mutations, which occur in about 2% of CF patients worldwide</w:t>
      </w:r>
      <w:r>
        <w:t xml:space="preserve">. Methods such as MLPA or </w:t>
      </w:r>
      <w:r w:rsidRPr="001521F8">
        <w:t xml:space="preserve">quantitative fluorescent multiplex </w:t>
      </w:r>
      <w:r>
        <w:t>PCR</w:t>
      </w:r>
      <w:r w:rsidRPr="005C48DD">
        <w:t xml:space="preserve"> are required to detect these rare deletion/insertion mutations. </w:t>
      </w:r>
    </w:p>
    <w:p w14:paraId="780DDA45" w14:textId="2BD5E7CB" w:rsidR="00093AB4" w:rsidRPr="00096D98" w:rsidRDefault="00093AB4" w:rsidP="00093AB4">
      <w:r>
        <w:t>During the clinical assessment (</w:t>
      </w:r>
      <w:r w:rsidR="006D3BE7">
        <w:t xml:space="preserve">see </w:t>
      </w:r>
      <w:r>
        <w:t xml:space="preserve">section B.6.2.1) no studies were identified reporting the clinical sensitivity of </w:t>
      </w:r>
      <w:r w:rsidR="006D3BE7">
        <w:t xml:space="preserve">the </w:t>
      </w:r>
      <w:r>
        <w:t>whole gene test in fetuses suspected of CF. Since these mutations are very rare, whole gene sequencing is assumed to be 100% sensitive in the model.</w:t>
      </w:r>
    </w:p>
    <w:p w14:paraId="467B72F1" w14:textId="482A2EB6" w:rsidR="00093AB4" w:rsidRPr="00096D98" w:rsidRDefault="00093AB4" w:rsidP="00093AB4">
      <w:pPr>
        <w:pStyle w:val="Heading3"/>
      </w:pPr>
      <w:bookmarkStart w:id="300" w:name="_Toc418179920"/>
      <w:r>
        <w:lastRenderedPageBreak/>
        <w:t>C.1.3.</w:t>
      </w:r>
      <w:r>
        <w:tab/>
      </w:r>
      <w:r w:rsidRPr="00096D98">
        <w:tab/>
        <w:t xml:space="preserve">What is the </w:t>
      </w:r>
      <w:r w:rsidR="0063315A">
        <w:t>i</w:t>
      </w:r>
      <w:r w:rsidRPr="00096D98">
        <w:t>ncidence of CF in fetuses showing echogenic bowel?</w:t>
      </w:r>
      <w:bookmarkEnd w:id="300"/>
    </w:p>
    <w:p w14:paraId="08F5545B" w14:textId="32108F36" w:rsidR="00093AB4" w:rsidRPr="00096D98" w:rsidRDefault="006D3BE7" w:rsidP="00093AB4">
      <w:r>
        <w:t>The i</w:t>
      </w:r>
      <w:r w:rsidR="00093AB4" w:rsidRPr="00096D98">
        <w:t xml:space="preserve">ncidence of CF in </w:t>
      </w:r>
      <w:r w:rsidR="00093AB4">
        <w:t xml:space="preserve">the </w:t>
      </w:r>
      <w:r w:rsidR="00093AB4" w:rsidRPr="00096D98">
        <w:t xml:space="preserve">FEB population in Australia was not investigated during the clinical assessment. Therefore, a literature search was conducted to estimate the incidence of CF in fetuses showing </w:t>
      </w:r>
      <w:r w:rsidR="00093AB4">
        <w:t xml:space="preserve">an </w:t>
      </w:r>
      <w:r w:rsidR="00093AB4" w:rsidRPr="00096D98">
        <w:t xml:space="preserve">echogenic bowel in </w:t>
      </w:r>
      <w:r w:rsidR="00093AB4">
        <w:t xml:space="preserve">the </w:t>
      </w:r>
      <w:r w:rsidR="00093AB4" w:rsidRPr="00096D98">
        <w:t xml:space="preserve">Australian context. </w:t>
      </w:r>
    </w:p>
    <w:p w14:paraId="46B1E181" w14:textId="1A933078" w:rsidR="00093AB4" w:rsidRPr="00096D98" w:rsidRDefault="00093AB4" w:rsidP="00093AB4">
      <w:r w:rsidRPr="00096D98">
        <w:t xml:space="preserve">Two studies were identified that analysed </w:t>
      </w:r>
      <w:r w:rsidRPr="00FD37D3">
        <w:t>CFTR</w:t>
      </w:r>
      <w:r w:rsidRPr="00096D98">
        <w:t xml:space="preserve"> mutation</w:t>
      </w:r>
      <w:r>
        <w:t xml:space="preserve">s within fetuses with an </w:t>
      </w:r>
      <w:r w:rsidRPr="00096D98">
        <w:t xml:space="preserve">echogenic bowel in </w:t>
      </w:r>
      <w:r w:rsidR="006D3BE7">
        <w:t xml:space="preserve">the </w:t>
      </w:r>
      <w:r w:rsidRPr="00096D98">
        <w:t>Australian population</w:t>
      </w:r>
      <w:r w:rsidR="00490DAE">
        <w:t xml:space="preserve"> </w:t>
      </w:r>
      <w:r w:rsidR="00490DAE">
        <w:fldChar w:fldCharType="begin">
          <w:fldData xml:space="preserve">PEVuZE5vdGU+PENpdGU+PEF1dGhvcj5BbWVyYXR1bmdhPC9BdXRob3I+PFllYXI+MjAxMjwvWWVh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</w:fldData>
        </w:fldChar>
      </w:r>
      <w:r w:rsidR="00490DAE">
        <w:instrText xml:space="preserve"> ADDIN EN.CITE </w:instrText>
      </w:r>
      <w:r w:rsidR="00490DAE">
        <w:fldChar w:fldCharType="begin">
          <w:fldData xml:space="preserve">PEVuZE5vdGU+PENpdGU+PEF1dGhvcj5BbWVyYXR1bmdhPC9BdXRob3I+PFllYXI+MjAxMjwvWWVh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</w:fldData>
        </w:fldChar>
      </w:r>
      <w:r w:rsidR="00490DAE">
        <w:instrText xml:space="preserve"> ADDIN EN.CITE.DATA </w:instrText>
      </w:r>
      <w:r w:rsidR="00490DAE">
        <w:fldChar w:fldCharType="end"/>
      </w:r>
      <w:r w:rsidR="00490DAE">
        <w:fldChar w:fldCharType="separate"/>
      </w:r>
      <w:r w:rsidR="00490DAE">
        <w:rPr>
          <w:noProof/>
        </w:rPr>
        <w:t>(</w:t>
      </w:r>
      <w:hyperlink w:anchor="_ENREF_5" w:tooltip="Ameratunga, 2012 #4" w:history="1">
        <w:r w:rsidR="00B46ABF">
          <w:rPr>
            <w:noProof/>
          </w:rPr>
          <w:t>Ameratunga et al. 2012</w:t>
        </w:r>
      </w:hyperlink>
      <w:r w:rsidR="00490DAE">
        <w:rPr>
          <w:noProof/>
        </w:rPr>
        <w:t xml:space="preserve">; </w:t>
      </w:r>
      <w:hyperlink w:anchor="_ENREF_91" w:tooltip="Nicholls, 2003 #45" w:history="1">
        <w:r w:rsidR="00B46ABF">
          <w:rPr>
            <w:noProof/>
          </w:rPr>
          <w:t>Nicholls et al. 2003</w:t>
        </w:r>
      </w:hyperlink>
      <w:r w:rsidR="00490DAE">
        <w:rPr>
          <w:noProof/>
        </w:rPr>
        <w:t>)</w:t>
      </w:r>
      <w:r w:rsidR="00490DAE">
        <w:fldChar w:fldCharType="end"/>
      </w:r>
      <w:r w:rsidRPr="00096D98">
        <w:t>. In the study by Nicholls et al</w:t>
      </w:r>
      <w:r w:rsidR="006D3BE7">
        <w:t>.</w:t>
      </w:r>
      <w:r w:rsidRPr="00096D98">
        <w:t>, 35 cases referred to the National Referral Laboratory at the Women’s and Children’s Hospital</w:t>
      </w:r>
      <w:r w:rsidR="006D3BE7">
        <w:t>, Adelaide,</w:t>
      </w:r>
      <w:r w:rsidRPr="00096D98">
        <w:t xml:space="preserve"> for prenatal diagnosis of CF following detection of isolated FEB on second</w:t>
      </w:r>
      <w:r w:rsidR="006D3BE7">
        <w:t>-</w:t>
      </w:r>
      <w:r w:rsidRPr="00096D98">
        <w:t>trimester ultrasound between 1992 and 2002 were studied. Two of these 35 fetuses (6%) were diagnosed with CF. Amer</w:t>
      </w:r>
      <w:r>
        <w:t>a</w:t>
      </w:r>
      <w:r w:rsidRPr="00096D98">
        <w:t xml:space="preserve">tunga </w:t>
      </w:r>
      <w:r w:rsidRPr="008C3709">
        <w:t>et al</w:t>
      </w:r>
      <w:r w:rsidR="006D3BE7">
        <w:t>.</w:t>
      </w:r>
      <w:r w:rsidRPr="005A3AD3">
        <w:t xml:space="preserve"> </w:t>
      </w:r>
      <w:r w:rsidRPr="00096D98">
        <w:t>performed a retrospective analysis of ultrasound scans performed between 2004 and 2009 at the Royal Women’s Hospital, Melbourne</w:t>
      </w:r>
      <w:r w:rsidR="006D3BE7">
        <w:t>,</w:t>
      </w:r>
      <w:r w:rsidRPr="00096D98">
        <w:t xml:space="preserve"> to assess the association between FEB diagnosed during the second trimester and adverse perinatal outcomes. </w:t>
      </w:r>
      <w:r w:rsidR="00A17A1F">
        <w:t>O</w:t>
      </w:r>
      <w:r w:rsidRPr="00096D98">
        <w:t xml:space="preserve">f </w:t>
      </w:r>
      <w:r w:rsidR="00810341">
        <w:t xml:space="preserve">the </w:t>
      </w:r>
      <w:r w:rsidRPr="00096D98">
        <w:t xml:space="preserve">66 cases identified, 33 pregnancies (53%) were tested for CF and </w:t>
      </w:r>
      <w:r w:rsidR="00810341">
        <w:t>1</w:t>
      </w:r>
      <w:r w:rsidR="006D3BE7" w:rsidRPr="00096D98">
        <w:t xml:space="preserve"> </w:t>
      </w:r>
      <w:r w:rsidRPr="00096D98">
        <w:t>baby was confirmed to have CF, providing an incidence of 3%.</w:t>
      </w:r>
    </w:p>
    <w:p w14:paraId="3124DF6A" w14:textId="69A4C413" w:rsidR="00093AB4" w:rsidRPr="00096D98" w:rsidRDefault="00093AB4" w:rsidP="00093AB4">
      <w:r w:rsidRPr="00096D98">
        <w:t xml:space="preserve">Both these studies </w:t>
      </w:r>
      <w:r w:rsidR="006D3BE7">
        <w:fldChar w:fldCharType="begin">
          <w:fldData xml:space="preserve">PEVuZE5vdGU+PENpdGU+PEF1dGhvcj5BbWVyYXR1bmdhPC9BdXRob3I+PFllYXI+MjAxMjwvWWVh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</w:fldData>
        </w:fldChar>
      </w:r>
      <w:r w:rsidR="006D3BE7">
        <w:instrText xml:space="preserve"> ADDIN EN.CITE </w:instrText>
      </w:r>
      <w:r w:rsidR="006D3BE7">
        <w:fldChar w:fldCharType="begin">
          <w:fldData xml:space="preserve">PEVuZE5vdGU+PENpdGU+PEF1dGhvcj5BbWVyYXR1bmdhPC9BdXRob3I+PFllYXI+MjAxMjwvWWVh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</w:fldData>
        </w:fldChar>
      </w:r>
      <w:r w:rsidR="006D3BE7">
        <w:instrText xml:space="preserve"> ADDIN EN.CITE.DATA </w:instrText>
      </w:r>
      <w:r w:rsidR="006D3BE7">
        <w:fldChar w:fldCharType="end"/>
      </w:r>
      <w:r w:rsidR="006D3BE7">
        <w:fldChar w:fldCharType="separate"/>
      </w:r>
      <w:r w:rsidR="006D3BE7">
        <w:rPr>
          <w:noProof/>
        </w:rPr>
        <w:t>(</w:t>
      </w:r>
      <w:hyperlink w:anchor="_ENREF_5" w:tooltip="Ameratunga, 2012 #4" w:history="1">
        <w:r w:rsidR="006D3BE7">
          <w:rPr>
            <w:noProof/>
          </w:rPr>
          <w:t>Ameratunga et al. 2012</w:t>
        </w:r>
      </w:hyperlink>
      <w:r w:rsidR="006D3BE7">
        <w:rPr>
          <w:noProof/>
        </w:rPr>
        <w:t xml:space="preserve">; </w:t>
      </w:r>
      <w:hyperlink w:anchor="_ENREF_91" w:tooltip="Nicholls, 2003 #45" w:history="1">
        <w:r w:rsidR="006D3BE7">
          <w:rPr>
            <w:noProof/>
          </w:rPr>
          <w:t>Nicholls et al. 2003</w:t>
        </w:r>
      </w:hyperlink>
      <w:r w:rsidR="006D3BE7">
        <w:rPr>
          <w:noProof/>
        </w:rPr>
        <w:t>)</w:t>
      </w:r>
      <w:r w:rsidR="006D3BE7">
        <w:fldChar w:fldCharType="end"/>
      </w:r>
      <w:r w:rsidR="006D3BE7">
        <w:t xml:space="preserve"> </w:t>
      </w:r>
      <w:r w:rsidRPr="00096D98">
        <w:t>have small sample size</w:t>
      </w:r>
      <w:r>
        <w:t>s</w:t>
      </w:r>
      <w:r w:rsidRPr="00096D98">
        <w:t>, vary in their study period and duration</w:t>
      </w:r>
      <w:r w:rsidR="006D3BE7">
        <w:t>,</w:t>
      </w:r>
      <w:r w:rsidRPr="00096D98">
        <w:t xml:space="preserve"> and provide different estimates of</w:t>
      </w:r>
      <w:r>
        <w:t xml:space="preserve"> the</w:t>
      </w:r>
      <w:r w:rsidRPr="00096D98">
        <w:t xml:space="preserve"> incidence of CF in FEB. Further investigation was conducted to verify </w:t>
      </w:r>
      <w:r w:rsidR="006D3BE7">
        <w:t xml:space="preserve">the </w:t>
      </w:r>
      <w:r w:rsidRPr="00096D98">
        <w:t xml:space="preserve">incidence of CF estimated in fetuses with FEB in other populations. </w:t>
      </w:r>
      <w:r>
        <w:t xml:space="preserve">A summary of the available data is shown in </w:t>
      </w:r>
      <w:r>
        <w:fldChar w:fldCharType="begin"/>
      </w:r>
      <w:r>
        <w:instrText xml:space="preserve"> REF _Ref413408688 \h </w:instrText>
      </w:r>
      <w:r>
        <w:fldChar w:fldCharType="separate"/>
      </w:r>
      <w:r w:rsidR="00BB0E3E" w:rsidRPr="00096D98">
        <w:t xml:space="preserve">Table </w:t>
      </w:r>
      <w:r w:rsidR="00BB0E3E">
        <w:rPr>
          <w:noProof/>
        </w:rPr>
        <w:t>98</w:t>
      </w:r>
      <w:r>
        <w:fldChar w:fldCharType="end"/>
      </w:r>
      <w:r>
        <w:t>, Appendix G</w:t>
      </w:r>
      <w:r w:rsidR="006D3BE7">
        <w:t>.</w:t>
      </w:r>
      <w:r>
        <w:t xml:space="preserve"> </w:t>
      </w:r>
      <w:r w:rsidR="006D3BE7">
        <w:t>C</w:t>
      </w:r>
      <w:r w:rsidRPr="00096D98">
        <w:t>onsiderable uncertainty around the estimated risk of CF in these fetuses</w:t>
      </w:r>
      <w:r w:rsidR="006D3BE7">
        <w:t xml:space="preserve"> with FEB</w:t>
      </w:r>
      <w:r w:rsidRPr="00096D98">
        <w:t xml:space="preserve"> is observed in these studies</w:t>
      </w:r>
      <w:r w:rsidR="006D3BE7">
        <w:t>,</w:t>
      </w:r>
      <w:r w:rsidRPr="00096D98">
        <w:t xml:space="preserve"> with estimates</w:t>
      </w:r>
      <w:r>
        <w:t xml:space="preserve"> of incidence </w:t>
      </w:r>
      <w:r w:rsidRPr="00096D98">
        <w:t>varying between 2%</w:t>
      </w:r>
      <w:r w:rsidR="006D3BE7">
        <w:t xml:space="preserve"> and </w:t>
      </w:r>
      <w:r w:rsidRPr="00096D98">
        <w:t>13%. The estimates of</w:t>
      </w:r>
      <w:r>
        <w:t xml:space="preserve"> </w:t>
      </w:r>
      <w:r w:rsidRPr="00096D98">
        <w:t xml:space="preserve">incidence of CF </w:t>
      </w:r>
      <w:r w:rsidR="00810341" w:rsidRPr="00096D98">
        <w:t>(3% and 6%)</w:t>
      </w:r>
      <w:r w:rsidR="00810341">
        <w:t xml:space="preserve"> </w:t>
      </w:r>
      <w:r w:rsidRPr="00096D98">
        <w:t xml:space="preserve">observed in both Australian studies mentioned above are within this observed range and </w:t>
      </w:r>
      <w:r w:rsidR="0040081B">
        <w:t xml:space="preserve">are </w:t>
      </w:r>
      <w:r w:rsidRPr="00096D98">
        <w:t>thus considered reasonable to be used in economic models.</w:t>
      </w:r>
      <w:r>
        <w:t xml:space="preserve"> An average of these two values (4.5%) is assumed in the base</w:t>
      </w:r>
      <w:r w:rsidR="0040081B">
        <w:t>-</w:t>
      </w:r>
      <w:r>
        <w:t>case economic evaluations.</w:t>
      </w:r>
    </w:p>
    <w:p w14:paraId="6E9BBF45" w14:textId="3FB27EC0" w:rsidR="00093AB4" w:rsidRPr="00096D98" w:rsidRDefault="00093AB4" w:rsidP="00093AB4">
      <w:r w:rsidRPr="00096D98">
        <w:t xml:space="preserve">The cost-effectiveness of prenatal </w:t>
      </w:r>
      <w:r w:rsidRPr="00FD37D3">
        <w:t>CFTR</w:t>
      </w:r>
      <w:r w:rsidRPr="00096D98">
        <w:t xml:space="preserve"> mutation testing in fetuses with </w:t>
      </w:r>
      <w:r>
        <w:t xml:space="preserve">an </w:t>
      </w:r>
      <w:r w:rsidRPr="00096D98">
        <w:t xml:space="preserve">echogenic bowel is likely to be sensitive to </w:t>
      </w:r>
      <w:r>
        <w:t xml:space="preserve">the </w:t>
      </w:r>
      <w:r w:rsidRPr="00096D98">
        <w:t>incidence of CF</w:t>
      </w:r>
      <w:r>
        <w:t>,</w:t>
      </w:r>
      <w:r w:rsidRPr="00096D98">
        <w:t xml:space="preserve"> with higher </w:t>
      </w:r>
      <w:r>
        <w:t>values</w:t>
      </w:r>
      <w:r w:rsidRPr="00096D98">
        <w:t xml:space="preserve"> resulting in higher cost-effectivenes</w:t>
      </w:r>
      <w:r>
        <w:t>s in this population. Therefore, the impact of varying the incidence of CF (</w:t>
      </w:r>
      <w:r w:rsidR="0040081B">
        <w:t xml:space="preserve">from </w:t>
      </w:r>
      <w:r>
        <w:t>2</w:t>
      </w:r>
      <w:r w:rsidRPr="00096D98">
        <w:t xml:space="preserve">% </w:t>
      </w:r>
      <w:r>
        <w:t xml:space="preserve">to 13%) </w:t>
      </w:r>
      <w:r w:rsidRPr="00096D98">
        <w:t xml:space="preserve">on the cost-effectiveness </w:t>
      </w:r>
      <w:r>
        <w:t xml:space="preserve">of prenatal </w:t>
      </w:r>
      <w:r w:rsidRPr="00FD37D3">
        <w:t>CFTR</w:t>
      </w:r>
      <w:r>
        <w:t xml:space="preserve"> testing in model 2 </w:t>
      </w:r>
      <w:r w:rsidRPr="00096D98">
        <w:t xml:space="preserve">is </w:t>
      </w:r>
      <w:r>
        <w:t>assessed</w:t>
      </w:r>
      <w:r w:rsidRPr="00096D98">
        <w:t xml:space="preserve"> in the sensitivity analysis.</w:t>
      </w:r>
    </w:p>
    <w:p w14:paraId="6805AB22" w14:textId="2C6E0750" w:rsidR="00093AB4" w:rsidRPr="0009092C" w:rsidRDefault="00AF7784" w:rsidP="00093AB4">
      <w:pPr>
        <w:pStyle w:val="Heading3"/>
      </w:pPr>
      <w:bookmarkStart w:id="301" w:name="_Toc418179921"/>
      <w:r>
        <w:t>C.1.4.</w:t>
      </w:r>
      <w:r>
        <w:tab/>
      </w:r>
      <w:r>
        <w:tab/>
        <w:t>W</w:t>
      </w:r>
      <w:r w:rsidR="00093AB4" w:rsidRPr="0009092C">
        <w:t xml:space="preserve">hat is the </w:t>
      </w:r>
      <w:r w:rsidR="002B4A8E">
        <w:t>r</w:t>
      </w:r>
      <w:r w:rsidR="00093AB4" w:rsidRPr="0009092C">
        <w:t xml:space="preserve">isk of </w:t>
      </w:r>
      <w:r w:rsidR="002B4A8E">
        <w:t>m</w:t>
      </w:r>
      <w:r w:rsidR="00093AB4" w:rsidRPr="0009092C">
        <w:t xml:space="preserve">iscarriage associated with </w:t>
      </w:r>
      <w:r w:rsidR="002B4A8E">
        <w:t>i</w:t>
      </w:r>
      <w:r w:rsidR="00093AB4" w:rsidRPr="0009092C">
        <w:t>nvasive testing</w:t>
      </w:r>
      <w:bookmarkEnd w:id="301"/>
      <w:r w:rsidR="006B221F">
        <w:t>?</w:t>
      </w:r>
    </w:p>
    <w:p w14:paraId="3C8314F0" w14:textId="3D22BA8F" w:rsidR="00093AB4" w:rsidRPr="00096D98" w:rsidRDefault="00093AB4" w:rsidP="00093AB4">
      <w:r w:rsidRPr="00096D98">
        <w:t xml:space="preserve">Prenatal </w:t>
      </w:r>
      <w:r w:rsidRPr="00FD37D3">
        <w:t>CFTR</w:t>
      </w:r>
      <w:r w:rsidRPr="00096D98">
        <w:t xml:space="preserve"> testing involves invasive testing, amniocentesis and CVS, and is associated with </w:t>
      </w:r>
      <w:r>
        <w:t xml:space="preserve">a </w:t>
      </w:r>
      <w:r w:rsidRPr="00096D98">
        <w:t xml:space="preserve">risk of miscarriage additional to the background risk of miscarriage, which varies with the gestational age. The safety of these procedures </w:t>
      </w:r>
      <w:r w:rsidR="0040081B">
        <w:t>is</w:t>
      </w:r>
      <w:r w:rsidR="0040081B" w:rsidRPr="00096D98">
        <w:t xml:space="preserve"> </w:t>
      </w:r>
      <w:r w:rsidRPr="00096D98">
        <w:t xml:space="preserve">assessed in </w:t>
      </w:r>
      <w:r w:rsidRPr="00235D14">
        <w:t>section B.8.1.</w:t>
      </w:r>
      <w:r w:rsidRPr="00096D98">
        <w:t xml:space="preserve"> The evidence from the literature </w:t>
      </w:r>
      <w:r>
        <w:t>was</w:t>
      </w:r>
      <w:r w:rsidRPr="00096D98">
        <w:t xml:space="preserve"> </w:t>
      </w:r>
      <w:r>
        <w:t>inconsistent,</w:t>
      </w:r>
      <w:r w:rsidRPr="00096D98">
        <w:t xml:space="preserve"> with older studies presenting </w:t>
      </w:r>
      <w:r>
        <w:t xml:space="preserve">a </w:t>
      </w:r>
      <w:r w:rsidRPr="00096D98">
        <w:t xml:space="preserve">higher risk of miscarriage associated with invasive testing compared </w:t>
      </w:r>
      <w:r w:rsidR="0040081B">
        <w:t>with</w:t>
      </w:r>
      <w:r w:rsidR="0040081B" w:rsidRPr="00096D98">
        <w:t xml:space="preserve"> </w:t>
      </w:r>
      <w:r w:rsidR="0040081B">
        <w:t xml:space="preserve">the </w:t>
      </w:r>
      <w:r w:rsidRPr="00096D98">
        <w:t>control group</w:t>
      </w:r>
      <w:r>
        <w:t xml:space="preserve"> (</w:t>
      </w:r>
      <w:r w:rsidR="0040081B">
        <w:t xml:space="preserve">i.e. </w:t>
      </w:r>
      <w:r>
        <w:t>no invasive testing)</w:t>
      </w:r>
      <w:r w:rsidRPr="00096D98">
        <w:t>. However, a recent literature review by Akolekar et al. (2015) concluded that the risk of miscarriage before 24</w:t>
      </w:r>
      <w:r w:rsidR="0040081B">
        <w:t> </w:t>
      </w:r>
      <w:r w:rsidRPr="00096D98">
        <w:t xml:space="preserve">weeks’ gestation in women undergoing CVS or amniocentesis is not significantly different from that of those not undergoing an invasive procedure. This study reported </w:t>
      </w:r>
      <w:r>
        <w:t xml:space="preserve">a </w:t>
      </w:r>
      <w:r w:rsidRPr="00096D98">
        <w:t>miscarriage</w:t>
      </w:r>
      <w:r>
        <w:t xml:space="preserve"> rate</w:t>
      </w:r>
      <w:r w:rsidRPr="00096D98">
        <w:t xml:space="preserve"> of 0.81% (95%CI 0.58</w:t>
      </w:r>
      <w:r>
        <w:t xml:space="preserve">, </w:t>
      </w:r>
      <w:r w:rsidRPr="00096D98">
        <w:lastRenderedPageBreak/>
        <w:t>1.08) in the amniocentesis group and 0.67% (95%CI 0.46</w:t>
      </w:r>
      <w:r>
        <w:t xml:space="preserve">, </w:t>
      </w:r>
      <w:r w:rsidRPr="00096D98">
        <w:t>0.91) in the control group</w:t>
      </w:r>
      <w:r>
        <w:t>.</w:t>
      </w:r>
      <w:r w:rsidRPr="00096D98">
        <w:t xml:space="preserve"> A pooled loss rate of 2.</w:t>
      </w:r>
      <w:r>
        <w:t>18% (95%CI 1.61, 2.82</w:t>
      </w:r>
      <w:r w:rsidRPr="00096D98">
        <w:t xml:space="preserve">) was reported in </w:t>
      </w:r>
      <w:r w:rsidR="0040081B">
        <w:t xml:space="preserve">the </w:t>
      </w:r>
      <w:r w:rsidRPr="00096D98">
        <w:t xml:space="preserve">CVS group compared </w:t>
      </w:r>
      <w:r w:rsidR="0040081B">
        <w:t>with</w:t>
      </w:r>
      <w:r w:rsidR="0040081B" w:rsidRPr="00096D98">
        <w:t xml:space="preserve"> </w:t>
      </w:r>
      <w:r w:rsidRPr="00096D98">
        <w:t xml:space="preserve">the background loss rate of </w:t>
      </w:r>
      <w:r>
        <w:t>1.79</w:t>
      </w:r>
      <w:r w:rsidRPr="00096D98">
        <w:t>% (95%CI 0.</w:t>
      </w:r>
      <w:r>
        <w:t>61, 3.58</w:t>
      </w:r>
      <w:r w:rsidRPr="00096D98">
        <w:t xml:space="preserve">) in women who did not undergo an invasive procedure. </w:t>
      </w:r>
      <w:r>
        <w:t xml:space="preserve">The weighted pooled procedure-related risks of miscarriage for amniocentesis and CVS were 0.11% (95%CI </w:t>
      </w:r>
      <w:r w:rsidR="0040081B">
        <w:t>–</w:t>
      </w:r>
      <w:r>
        <w:t>0.04,</w:t>
      </w:r>
      <w:r w:rsidR="007715E5">
        <w:t xml:space="preserve"> </w:t>
      </w:r>
      <w:r>
        <w:t xml:space="preserve">0.26) and 0.22% (95%CI </w:t>
      </w:r>
      <w:r w:rsidR="007715E5">
        <w:t>–</w:t>
      </w:r>
      <w:r>
        <w:t>0.71, 1.16), respectively.</w:t>
      </w:r>
      <w:r w:rsidRPr="00096D98">
        <w:t xml:space="preserve"> The estimates from this study are used in the base</w:t>
      </w:r>
      <w:r w:rsidR="007715E5">
        <w:t>-</w:t>
      </w:r>
      <w:r w:rsidRPr="00096D98">
        <w:t>case evaluations as th</w:t>
      </w:r>
      <w:r w:rsidR="007715E5">
        <w:t>ey</w:t>
      </w:r>
      <w:r w:rsidRPr="00096D98">
        <w:t xml:space="preserve"> provide the most recent evidence for risks</w:t>
      </w:r>
      <w:r>
        <w:t xml:space="preserve"> of miscarriage in those undergoing invasive testing</w:t>
      </w:r>
      <w:r w:rsidRPr="00096D98">
        <w:t xml:space="preserve">. </w:t>
      </w:r>
    </w:p>
    <w:p w14:paraId="0BC71003" w14:textId="16AA77CB" w:rsidR="00093AB4" w:rsidRPr="00096D98" w:rsidRDefault="00093AB4" w:rsidP="00093AB4">
      <w:r w:rsidRPr="00096D98">
        <w:t>The choice of invasive test performed on the fetus is dependent on gestational age</w:t>
      </w:r>
      <w:r w:rsidR="007715E5">
        <w:t>,</w:t>
      </w:r>
      <w:r w:rsidRPr="00096D98">
        <w:t xml:space="preserve"> with CVS being </w:t>
      </w:r>
      <w:r w:rsidRPr="001409DC">
        <w:t xml:space="preserve">offered </w:t>
      </w:r>
      <w:r w:rsidR="007715E5">
        <w:t xml:space="preserve">at </w:t>
      </w:r>
      <w:r w:rsidRPr="001409DC">
        <w:t>around 10</w:t>
      </w:r>
      <w:r w:rsidR="007715E5">
        <w:t>–</w:t>
      </w:r>
      <w:r w:rsidRPr="001409DC">
        <w:t>14</w:t>
      </w:r>
      <w:r w:rsidR="007715E5">
        <w:t> </w:t>
      </w:r>
      <w:r w:rsidRPr="001409DC">
        <w:t>weeks and amniocentesis performed usually between 15</w:t>
      </w:r>
      <w:r w:rsidR="007715E5">
        <w:t xml:space="preserve"> and </w:t>
      </w:r>
      <w:r w:rsidRPr="001409DC">
        <w:t>24</w:t>
      </w:r>
      <w:r w:rsidR="007715E5">
        <w:t> </w:t>
      </w:r>
      <w:r w:rsidRPr="001409DC">
        <w:t>weeks</w:t>
      </w:r>
      <w:r w:rsidR="00490DAE">
        <w:t xml:space="preserve"> </w:t>
      </w:r>
      <w:r w:rsidR="00490DAE">
        <w:fldChar w:fldCharType="begin"/>
      </w:r>
      <w:r w:rsidR="00490DAE">
        <w:instrText xml:space="preserve"> ADDIN EN.CITE &lt;EndNote&gt;&lt;Cite&gt;&lt;Author&gt;Moreira&lt;/Author&gt;&lt;Year&gt;2007&lt;/Year&gt;&lt;RecNum&gt;41&lt;/RecNum&gt;&lt;IDText&gt;44&lt;/IDText&gt;&lt;DisplayText&gt;(Moreira, Muggli &amp;amp; Halliday 2007)&lt;/DisplayText&gt;&lt;record&gt;&lt;rec-number&gt;41&lt;/rec-number&gt;&lt;foreign-keys&gt;&lt;key app="EN" db-id="parffa0acae2voep5w3vv9rypas2tr522eef" timestamp="1430365847"&gt;41&lt;/key&gt;&lt;/foreign-keys&gt;&lt;ref-type name="Report"&gt;27&lt;/ref-type&gt;&lt;contributors&gt;&lt;authors&gt;&lt;author&gt;Moreira, C&lt;/author&gt;&lt;author&gt;Muggli, E &lt;/author&gt;&lt;author&gt;Halliday, J&lt;/author&gt;&lt;/authors&gt;&lt;/contributors&gt;&lt;titles&gt;&lt;title&gt;Report on Prenatal Diagnostic Testing in Victoria&lt;/title&gt;&lt;/titles&gt;&lt;pages&gt;44&lt;/pages&gt;&lt;dates&gt;&lt;year&gt;2007&lt;/year&gt;&lt;/dates&gt;&lt;publisher&gt;Murdoch Childrens Research Institute&lt;/publisher&gt;&lt;urls&gt;&lt;/urls&gt;&lt;/record&gt;&lt;/Cite&gt;&lt;/EndNote&gt;</w:instrText>
      </w:r>
      <w:r w:rsidR="00490DAE">
        <w:fldChar w:fldCharType="separate"/>
      </w:r>
      <w:r w:rsidR="00490DAE">
        <w:rPr>
          <w:noProof/>
        </w:rPr>
        <w:t>(</w:t>
      </w:r>
      <w:hyperlink w:anchor="_ENREF_80" w:tooltip="Moreira, 2007 #41" w:history="1">
        <w:r w:rsidR="00B46ABF">
          <w:rPr>
            <w:noProof/>
          </w:rPr>
          <w:t>Moreira, Muggli &amp; Halliday 2007</w:t>
        </w:r>
      </w:hyperlink>
      <w:r w:rsidR="00490DAE">
        <w:rPr>
          <w:noProof/>
        </w:rPr>
        <w:t>)</w:t>
      </w:r>
      <w:r w:rsidR="00490DAE">
        <w:fldChar w:fldCharType="end"/>
      </w:r>
      <w:r w:rsidRPr="001409DC">
        <w:fldChar w:fldCharType="begin"/>
      </w:r>
      <w:r w:rsidRPr="001409DC">
        <w:fldChar w:fldCharType="separate"/>
      </w:r>
      <w:r w:rsidR="00490DAE">
        <w:t>{Moreira, 2007 #395;Moreira, 2007, 44}</w:t>
      </w:r>
      <w:r w:rsidRPr="001409DC">
        <w:fldChar w:fldCharType="end"/>
      </w:r>
      <w:r w:rsidRPr="001409DC">
        <w:t>. Parents who have had a</w:t>
      </w:r>
      <w:r>
        <w:t xml:space="preserve"> previous child born with CF</w:t>
      </w:r>
      <w:r w:rsidRPr="00096D98">
        <w:t xml:space="preserve"> or who are known carriers can have early prenatal diagnosis and thus have </w:t>
      </w:r>
      <w:r>
        <w:t xml:space="preserve">the </w:t>
      </w:r>
      <w:r w:rsidRPr="00096D98">
        <w:t xml:space="preserve">choice of CVS or amniocentesis performed for the invasive testing. Therefore, the miscarriage </w:t>
      </w:r>
      <w:r>
        <w:t xml:space="preserve">rates are determined </w:t>
      </w:r>
      <w:r w:rsidRPr="00096D98">
        <w:t>by weighting the proportion</w:t>
      </w:r>
      <w:r w:rsidR="00810341">
        <w:t>s</w:t>
      </w:r>
      <w:r w:rsidRPr="00096D98">
        <w:t xml:space="preserve"> of CVS and amniocentesi</w:t>
      </w:r>
      <w:r>
        <w:t>s performed in this population.</w:t>
      </w:r>
    </w:p>
    <w:p w14:paraId="6EBDE7E1" w14:textId="4C19014C" w:rsidR="00093AB4" w:rsidRPr="00096D98" w:rsidRDefault="00093AB4" w:rsidP="00093AB4">
      <w:r w:rsidRPr="00096D98">
        <w:t xml:space="preserve">According to a report on prenatal diagnostic testing </w:t>
      </w:r>
      <w:r w:rsidR="00836E2A">
        <w:fldChar w:fldCharType="begin"/>
      </w:r>
      <w:r w:rsidR="00836E2A">
        <w:instrText xml:space="preserve"> ADDIN EN.CITE &lt;EndNote&gt;&lt;Cite&gt;&lt;Author&gt;Moreira&lt;/Author&gt;&lt;Year&gt;2007&lt;/Year&gt;&lt;RecNum&gt;41&lt;/RecNum&gt;&lt;IDText&gt;44&lt;/IDText&gt;&lt;DisplayText&gt;(Moreira, Muggli &amp;amp; Halliday 2007)&lt;/DisplayText&gt;&lt;record&gt;&lt;rec-number&gt;41&lt;/rec-number&gt;&lt;foreign-keys&gt;&lt;key app="EN" db-id="parffa0acae2voep5w3vv9rypas2tr522eef" timestamp="1430365847"&gt;41&lt;/key&gt;&lt;/foreign-keys&gt;&lt;ref-type name="Report"&gt;27&lt;/ref-type&gt;&lt;contributors&gt;&lt;authors&gt;&lt;author&gt;Moreira, C&lt;/author&gt;&lt;author&gt;Muggli, E &lt;/author&gt;&lt;author&gt;Halliday, J&lt;/author&gt;&lt;/authors&gt;&lt;/contributors&gt;&lt;titles&gt;&lt;title&gt;Report on Prenatal Diagnostic Testing in Victoria&lt;/title&gt;&lt;/titles&gt;&lt;pages&gt;44&lt;/pages&gt;&lt;dates&gt;&lt;year&gt;2007&lt;/year&gt;&lt;/dates&gt;&lt;publisher&gt;Murdoch Childrens Research Institute&lt;/publisher&gt;&lt;urls&gt;&lt;/urls&gt;&lt;/record&gt;&lt;/Cite&gt;&lt;/EndNote&gt;</w:instrText>
      </w:r>
      <w:r w:rsidR="00836E2A">
        <w:fldChar w:fldCharType="separate"/>
      </w:r>
      <w:r w:rsidR="00836E2A">
        <w:rPr>
          <w:noProof/>
        </w:rPr>
        <w:t>(</w:t>
      </w:r>
      <w:hyperlink w:anchor="_ENREF_80" w:tooltip="Moreira, 2007 #41" w:history="1">
        <w:r w:rsidR="00836E2A">
          <w:rPr>
            <w:noProof/>
          </w:rPr>
          <w:t>Moreira, Muggli &amp; Halliday 2007</w:t>
        </w:r>
      </w:hyperlink>
      <w:r w:rsidR="00836E2A">
        <w:rPr>
          <w:noProof/>
        </w:rPr>
        <w:t>)</w:t>
      </w:r>
      <w:r w:rsidR="00836E2A">
        <w:fldChar w:fldCharType="end"/>
      </w:r>
      <w:r w:rsidRPr="00096D98">
        <w:t xml:space="preserve">, </w:t>
      </w:r>
      <w:r>
        <w:t xml:space="preserve">the </w:t>
      </w:r>
      <w:r w:rsidRPr="00096D98">
        <w:t>proportion</w:t>
      </w:r>
      <w:r w:rsidR="00836E2A">
        <w:t>s</w:t>
      </w:r>
      <w:r w:rsidRPr="00096D98">
        <w:t xml:space="preserve"> of CVS and amniocentesis performed in Victoria </w:t>
      </w:r>
      <w:r w:rsidR="00836E2A">
        <w:t xml:space="preserve">at </w:t>
      </w:r>
      <w:r w:rsidRPr="00096D98">
        <w:t>under 25</w:t>
      </w:r>
      <w:r w:rsidR="00836E2A">
        <w:t> </w:t>
      </w:r>
      <w:r w:rsidRPr="00096D98">
        <w:t xml:space="preserve">weeks </w:t>
      </w:r>
      <w:r w:rsidR="00836E2A">
        <w:t>are</w:t>
      </w:r>
      <w:r w:rsidR="00836E2A" w:rsidRPr="00096D98">
        <w:t xml:space="preserve"> </w:t>
      </w:r>
      <w:r w:rsidRPr="00096D98">
        <w:t>around 34% and 64%</w:t>
      </w:r>
      <w:r w:rsidR="00836E2A">
        <w:t>,</w:t>
      </w:r>
      <w:r w:rsidRPr="00096D98">
        <w:t xml:space="preserve"> respectively</w:t>
      </w:r>
      <w:r>
        <w:t>.</w:t>
      </w:r>
      <w:r w:rsidR="00410C98">
        <w:t xml:space="preserve"> </w:t>
      </w:r>
      <w:r w:rsidRPr="00096D98">
        <w:t xml:space="preserve">The report also provides proportions of these tests over the past </w:t>
      </w:r>
      <w:r w:rsidR="00836E2A">
        <w:t>10 </w:t>
      </w:r>
      <w:r w:rsidRPr="00096D98">
        <w:t>years</w:t>
      </w:r>
      <w:r w:rsidR="00836E2A">
        <w:t>,</w:t>
      </w:r>
      <w:r w:rsidRPr="00096D98">
        <w:t xml:space="preserve"> which are similar to these proportions. A weighted risk</w:t>
      </w:r>
      <w:r>
        <w:t xml:space="preserve"> of miscarriage (background: 1.05</w:t>
      </w:r>
      <w:r w:rsidRPr="00096D98">
        <w:t xml:space="preserve">% and </w:t>
      </w:r>
      <w:r>
        <w:t>procedure-related</w:t>
      </w:r>
      <w:r w:rsidRPr="00096D98">
        <w:t xml:space="preserve">: </w:t>
      </w:r>
      <w:r>
        <w:t>0.15</w:t>
      </w:r>
      <w:r w:rsidRPr="00096D98">
        <w:t xml:space="preserve">%) using these proportions </w:t>
      </w:r>
      <w:r>
        <w:t>is assumed</w:t>
      </w:r>
      <w:r w:rsidRPr="00096D98">
        <w:t xml:space="preserve"> in </w:t>
      </w:r>
      <w:r>
        <w:t xml:space="preserve">the </w:t>
      </w:r>
      <w:r w:rsidRPr="00096D98">
        <w:t xml:space="preserve">economic analysis for fetuses with </w:t>
      </w:r>
      <w:r>
        <w:t xml:space="preserve">both parents known </w:t>
      </w:r>
      <w:r w:rsidR="00836E2A">
        <w:t xml:space="preserve">to be </w:t>
      </w:r>
      <w:r>
        <w:t>CF carriers</w:t>
      </w:r>
      <w:r w:rsidRPr="00096D98">
        <w:t xml:space="preserve"> (</w:t>
      </w:r>
      <w:r w:rsidRPr="00096D98">
        <w:fldChar w:fldCharType="begin"/>
      </w:r>
      <w:r w:rsidRPr="00096D98">
        <w:instrText xml:space="preserve"> REF _Ref413062869 \h </w:instrText>
      </w:r>
      <w:r>
        <w:instrText xml:space="preserve"> \* MERGEFORMAT </w:instrText>
      </w:r>
      <w:r w:rsidRPr="00096D98">
        <w:fldChar w:fldCharType="separate"/>
      </w:r>
      <w:r w:rsidR="00BB0E3E" w:rsidRPr="00096D98">
        <w:t xml:space="preserve">Table </w:t>
      </w:r>
      <w:r w:rsidR="00BB0E3E">
        <w:rPr>
          <w:noProof/>
        </w:rPr>
        <w:t>51</w:t>
      </w:r>
      <w:r w:rsidRPr="00096D98">
        <w:fldChar w:fldCharType="end"/>
      </w:r>
      <w:r w:rsidRPr="00096D98">
        <w:t xml:space="preserve">). </w:t>
      </w:r>
    </w:p>
    <w:p w14:paraId="067583B3" w14:textId="63113D67" w:rsidR="00093AB4" w:rsidRPr="00096D98" w:rsidRDefault="00093AB4" w:rsidP="00093AB4">
      <w:r>
        <w:t xml:space="preserve">In fetuses presenting with FEB the perinatal mortality (including miscarriages and stillbirths) is reported to be higher than </w:t>
      </w:r>
      <w:r w:rsidR="00836E2A">
        <w:t xml:space="preserve">in </w:t>
      </w:r>
      <w:r>
        <w:t>the general fetal population</w:t>
      </w:r>
      <w:r w:rsidR="00836E2A">
        <w:t>—</w:t>
      </w:r>
      <w:r>
        <w:t xml:space="preserve">5.5% in a review of 11 studies </w:t>
      </w:r>
      <w:r>
        <w:fldChar w:fldCharType="begin">
          <w:fldData xml:space="preserve">PEVuZE5vdGU+PENpdGU+PEF1dGhvcj5DYXJjb3Bpbm88L0F1dGhvcj48WWVhcj4yMDA3PC9ZZWFy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</w:fldData>
        </w:fldChar>
      </w:r>
      <w:r w:rsidR="009A054F">
        <w:instrText xml:space="preserve"> ADDIN EN.CITE </w:instrText>
      </w:r>
      <w:r w:rsidR="009A054F">
        <w:fldChar w:fldCharType="begin">
          <w:fldData xml:space="preserve">PEVuZE5vdGU+PENpdGU+PEF1dGhvcj5DYXJjb3Bpbm88L0F1dGhvcj48WWVhcj4yMDA3PC9ZZWFy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</w:fldData>
        </w:fldChar>
      </w:r>
      <w:r w:rsidR="009A054F">
        <w:instrText xml:space="preserve"> ADDIN EN.CITE.DATA </w:instrText>
      </w:r>
      <w:r w:rsidR="009A054F">
        <w:fldChar w:fldCharType="end"/>
      </w:r>
      <w:r>
        <w:fldChar w:fldCharType="separate"/>
      </w:r>
      <w:r>
        <w:rPr>
          <w:noProof/>
        </w:rPr>
        <w:t>(</w:t>
      </w:r>
      <w:hyperlink w:anchor="_ENREF_20" w:tooltip="Carcopino, 2007 #13" w:history="1">
        <w:r w:rsidR="00B46ABF">
          <w:rPr>
            <w:noProof/>
          </w:rPr>
          <w:t>Carcopino et al. 2007</w:t>
        </w:r>
      </w:hyperlink>
      <w:r>
        <w:rPr>
          <w:noProof/>
        </w:rPr>
        <w:t>)</w:t>
      </w:r>
      <w:r>
        <w:fldChar w:fldCharType="end"/>
      </w:r>
      <w:r>
        <w:t>. However, no data were found relat</w:t>
      </w:r>
      <w:r w:rsidR="00836E2A">
        <w:t>ing</w:t>
      </w:r>
      <w:r>
        <w:t xml:space="preserve"> to the additional risk of miscarriage attributable to invasive testing in this population. Therefore, the risk of miscarriage as associated with </w:t>
      </w:r>
      <w:r w:rsidR="00836E2A">
        <w:t xml:space="preserve">the </w:t>
      </w:r>
      <w:r>
        <w:t xml:space="preserve">general infant population is assumed in this model. </w:t>
      </w:r>
      <w:r w:rsidRPr="00096D98">
        <w:t>As the FEB is diagnosed on the second</w:t>
      </w:r>
      <w:r w:rsidR="00836E2A">
        <w:t>-</w:t>
      </w:r>
      <w:r w:rsidRPr="00096D98">
        <w:t xml:space="preserve">trimester ultrasound, amniocentesis would probably be used. Therefore, the </w:t>
      </w:r>
      <w:r>
        <w:t xml:space="preserve">background </w:t>
      </w:r>
      <w:r w:rsidRPr="00096D98">
        <w:t xml:space="preserve">miscarriage rate for this population is 0.67% </w:t>
      </w:r>
      <w:r>
        <w:t xml:space="preserve">and </w:t>
      </w:r>
      <w:r w:rsidR="00836E2A">
        <w:t xml:space="preserve">the </w:t>
      </w:r>
      <w:r>
        <w:t>additional procedure-related miscarriage rate is</w:t>
      </w:r>
      <w:r w:rsidRPr="00096D98">
        <w:t xml:space="preserve"> 0.</w:t>
      </w:r>
      <w:r>
        <w:t>11%</w:t>
      </w:r>
      <w:r w:rsidRPr="00096D98">
        <w:t xml:space="preserve">. </w:t>
      </w:r>
    </w:p>
    <w:p w14:paraId="654A1F26" w14:textId="28142E23" w:rsidR="00093AB4" w:rsidRPr="00096D98" w:rsidRDefault="00093AB4" w:rsidP="00093AB4">
      <w:pPr>
        <w:pStyle w:val="TableHeading"/>
      </w:pPr>
      <w:bookmarkStart w:id="302" w:name="_Ref413062869"/>
      <w:bookmarkStart w:id="303" w:name="_Toc416855343"/>
      <w:bookmarkStart w:id="304" w:name="_Toc418179448"/>
      <w:r w:rsidRPr="00096D98">
        <w:t xml:space="preserve">Table </w:t>
      </w:r>
      <w:fldSimple w:instr=" SEQ Table \* ARABIC ">
        <w:r w:rsidR="00BB0E3E">
          <w:rPr>
            <w:noProof/>
          </w:rPr>
          <w:t>51</w:t>
        </w:r>
      </w:fldSimple>
      <w:bookmarkEnd w:id="302"/>
      <w:r w:rsidRPr="00096D98">
        <w:tab/>
        <w:t>Estimated risk of miscarriage</w:t>
      </w:r>
      <w:bookmarkEnd w:id="303"/>
      <w:r>
        <w:t xml:space="preserve"> </w:t>
      </w:r>
      <w:r w:rsidR="00D801A5">
        <w:t xml:space="preserve">of </w:t>
      </w:r>
      <w:r>
        <w:t>fetuses that have invasive testing</w:t>
      </w:r>
      <w:bookmarkEnd w:id="304"/>
    </w:p>
    <w:tbl>
      <w:tblPr>
        <w:tblStyle w:val="TableGrid"/>
        <w:tblW w:w="0" w:type="auto"/>
        <w:tblLook w:val="04A0" w:firstRow="1" w:lastRow="0" w:firstColumn="1" w:lastColumn="0" w:noHBand="0" w:noVBand="1"/>
        <w:tblCaption w:val=" Estimated risk of miscarriage"/>
        <w:tblDescription w:val="Risk of miscarriage estimated for control and intervention group"/>
      </w:tblPr>
      <w:tblGrid>
        <w:gridCol w:w="3365"/>
        <w:gridCol w:w="2810"/>
        <w:gridCol w:w="3067"/>
      </w:tblGrid>
      <w:tr w:rsidR="00093AB4" w:rsidRPr="00096D98" w14:paraId="3E27CE22" w14:textId="77777777" w:rsidTr="00093AB4">
        <w:trPr>
          <w:tblHeader/>
        </w:trPr>
        <w:tc>
          <w:tcPr>
            <w:tcW w:w="0" w:type="auto"/>
          </w:tcPr>
          <w:p w14:paraId="6799ECB0" w14:textId="77777777" w:rsidR="00093AB4" w:rsidRPr="00096D98" w:rsidRDefault="00093AB4" w:rsidP="00093AB4">
            <w:pPr>
              <w:pStyle w:val="TableHeading"/>
              <w:ind w:left="0"/>
              <w:jc w:val="left"/>
            </w:pPr>
            <w:r w:rsidRPr="00096D98">
              <w:t>Procedure</w:t>
            </w:r>
          </w:p>
        </w:tc>
        <w:tc>
          <w:tcPr>
            <w:tcW w:w="0" w:type="auto"/>
          </w:tcPr>
          <w:p w14:paraId="171A0DC2" w14:textId="31F6AF31" w:rsidR="00093AB4" w:rsidRPr="00096D98" w:rsidRDefault="00093AB4" w:rsidP="00093AB4">
            <w:pPr>
              <w:pStyle w:val="TableHeading"/>
              <w:ind w:left="0"/>
              <w:jc w:val="left"/>
            </w:pPr>
            <w:r>
              <w:t>Background r</w:t>
            </w:r>
            <w:r w:rsidRPr="00096D98">
              <w:t>isk of miscarriage (95%CI)</w:t>
            </w:r>
          </w:p>
        </w:tc>
        <w:tc>
          <w:tcPr>
            <w:tcW w:w="0" w:type="auto"/>
          </w:tcPr>
          <w:p w14:paraId="5D8E7B94" w14:textId="5FABA937" w:rsidR="00093AB4" w:rsidRPr="00096D98" w:rsidRDefault="00093AB4" w:rsidP="00093AB4">
            <w:pPr>
              <w:pStyle w:val="TableHeading"/>
              <w:ind w:left="0"/>
              <w:jc w:val="left"/>
            </w:pPr>
            <w:r>
              <w:t>Procedure-related r</w:t>
            </w:r>
            <w:r w:rsidRPr="00096D98">
              <w:t xml:space="preserve">isk of </w:t>
            </w:r>
            <w:r>
              <w:t xml:space="preserve">miscarriage </w:t>
            </w:r>
            <w:r w:rsidRPr="00096D98">
              <w:t>(95%CI)</w:t>
            </w:r>
          </w:p>
        </w:tc>
      </w:tr>
      <w:tr w:rsidR="00093AB4" w:rsidRPr="00096D98" w14:paraId="2360EA1C" w14:textId="77777777" w:rsidTr="00093AB4">
        <w:tc>
          <w:tcPr>
            <w:tcW w:w="0" w:type="auto"/>
          </w:tcPr>
          <w:p w14:paraId="181BC160" w14:textId="77777777" w:rsidR="00093AB4" w:rsidRPr="00096D98" w:rsidRDefault="00093AB4" w:rsidP="00093AB4">
            <w:pPr>
              <w:pStyle w:val="Tabletext1"/>
              <w:ind w:left="0"/>
              <w:jc w:val="left"/>
            </w:pPr>
            <w:r w:rsidRPr="00096D98">
              <w:t>Chorionic villus sampling (CVS)</w:t>
            </w:r>
          </w:p>
        </w:tc>
        <w:tc>
          <w:tcPr>
            <w:tcW w:w="0" w:type="auto"/>
          </w:tcPr>
          <w:p w14:paraId="7BD63D3D" w14:textId="058FA1A9" w:rsidR="00093AB4" w:rsidRPr="00096D98" w:rsidRDefault="00093AB4" w:rsidP="00093AB4">
            <w:pPr>
              <w:pStyle w:val="Tabletext1"/>
              <w:ind w:left="0"/>
              <w:jc w:val="left"/>
            </w:pPr>
            <w:r>
              <w:t>1.79% (0.6</w:t>
            </w:r>
            <w:r w:rsidRPr="00096D98">
              <w:t xml:space="preserve">1, </w:t>
            </w:r>
            <w:r>
              <w:t>3.58</w:t>
            </w:r>
            <w:r w:rsidRPr="00096D98">
              <w:t>)</w:t>
            </w:r>
          </w:p>
        </w:tc>
        <w:tc>
          <w:tcPr>
            <w:tcW w:w="0" w:type="auto"/>
          </w:tcPr>
          <w:p w14:paraId="64F8444B" w14:textId="5D0DC926" w:rsidR="00093AB4" w:rsidRPr="00096D98" w:rsidRDefault="00093AB4" w:rsidP="00093AB4">
            <w:pPr>
              <w:pStyle w:val="Tabletext1"/>
              <w:ind w:left="0"/>
              <w:jc w:val="left"/>
            </w:pPr>
            <w:r>
              <w:t>0.22% (</w:t>
            </w:r>
            <w:r w:rsidR="003056C2">
              <w:t>–</w:t>
            </w:r>
            <w:r>
              <w:t>0.71, 1.16)</w:t>
            </w:r>
          </w:p>
        </w:tc>
      </w:tr>
      <w:tr w:rsidR="00093AB4" w:rsidRPr="00096D98" w14:paraId="29EC406D" w14:textId="77777777" w:rsidTr="00093AB4">
        <w:tc>
          <w:tcPr>
            <w:tcW w:w="0" w:type="auto"/>
          </w:tcPr>
          <w:p w14:paraId="5801E71F" w14:textId="77777777" w:rsidR="00093AB4" w:rsidRPr="00096D98" w:rsidRDefault="00093AB4" w:rsidP="00093AB4">
            <w:pPr>
              <w:pStyle w:val="Tabletext1"/>
              <w:ind w:left="0"/>
              <w:jc w:val="left"/>
            </w:pPr>
            <w:r w:rsidRPr="00096D98">
              <w:t>Amniocentesis</w:t>
            </w:r>
          </w:p>
        </w:tc>
        <w:tc>
          <w:tcPr>
            <w:tcW w:w="0" w:type="auto"/>
          </w:tcPr>
          <w:p w14:paraId="5C0C7DE1" w14:textId="68931AE4" w:rsidR="00093AB4" w:rsidRPr="00096D98" w:rsidRDefault="00093AB4" w:rsidP="00093AB4">
            <w:pPr>
              <w:pStyle w:val="Tabletext1"/>
              <w:ind w:left="0"/>
              <w:jc w:val="left"/>
            </w:pPr>
            <w:r w:rsidRPr="00096D98">
              <w:t>0.67% (0.46, 0.91)</w:t>
            </w:r>
          </w:p>
        </w:tc>
        <w:tc>
          <w:tcPr>
            <w:tcW w:w="0" w:type="auto"/>
          </w:tcPr>
          <w:p w14:paraId="664616F9" w14:textId="4E620AA7" w:rsidR="00093AB4" w:rsidRPr="00096D98" w:rsidRDefault="00093AB4" w:rsidP="00093AB4">
            <w:pPr>
              <w:pStyle w:val="Tabletext1"/>
              <w:ind w:left="0"/>
              <w:jc w:val="left"/>
            </w:pPr>
            <w:r>
              <w:t>0.11% (</w:t>
            </w:r>
            <w:r w:rsidR="003056C2">
              <w:t>–</w:t>
            </w:r>
            <w:r>
              <w:t>0.04, 0.26)</w:t>
            </w:r>
          </w:p>
        </w:tc>
      </w:tr>
      <w:tr w:rsidR="00093AB4" w:rsidRPr="001A0CAB" w14:paraId="0426AD91" w14:textId="77777777" w:rsidTr="00093AB4">
        <w:tc>
          <w:tcPr>
            <w:tcW w:w="0" w:type="auto"/>
          </w:tcPr>
          <w:p w14:paraId="677053A3" w14:textId="77777777" w:rsidR="00093AB4" w:rsidRPr="00EA3120" w:rsidRDefault="00093AB4" w:rsidP="00093AB4">
            <w:pPr>
              <w:pStyle w:val="Tabletext1"/>
              <w:ind w:left="0"/>
              <w:jc w:val="left"/>
              <w:rPr>
                <w:i/>
              </w:rPr>
            </w:pPr>
            <w:r w:rsidRPr="00EA3120">
              <w:rPr>
                <w:i/>
              </w:rPr>
              <w:t>Parents known CF carriers (34% CVS and 66% amniocentesis)</w:t>
            </w:r>
          </w:p>
        </w:tc>
        <w:tc>
          <w:tcPr>
            <w:tcW w:w="0" w:type="auto"/>
          </w:tcPr>
          <w:p w14:paraId="5B457D57" w14:textId="77777777" w:rsidR="00093AB4" w:rsidRPr="00632873" w:rsidRDefault="00093AB4" w:rsidP="00093AB4">
            <w:pPr>
              <w:pStyle w:val="Tabletext1"/>
              <w:ind w:left="0"/>
              <w:jc w:val="left"/>
            </w:pPr>
          </w:p>
        </w:tc>
        <w:tc>
          <w:tcPr>
            <w:tcW w:w="0" w:type="auto"/>
          </w:tcPr>
          <w:p w14:paraId="13E64661" w14:textId="77777777" w:rsidR="00093AB4" w:rsidRPr="00632873" w:rsidRDefault="00093AB4" w:rsidP="00093AB4">
            <w:pPr>
              <w:pStyle w:val="Tabletext1"/>
              <w:ind w:left="0"/>
              <w:jc w:val="left"/>
            </w:pPr>
          </w:p>
        </w:tc>
      </w:tr>
      <w:tr w:rsidR="00093AB4" w:rsidRPr="00096D98" w14:paraId="4875E9FC" w14:textId="77777777" w:rsidTr="00093AB4">
        <w:tc>
          <w:tcPr>
            <w:tcW w:w="0" w:type="auto"/>
          </w:tcPr>
          <w:p w14:paraId="5ADD3B3D" w14:textId="223F794B" w:rsidR="00093AB4" w:rsidRPr="00096D98" w:rsidRDefault="00093AB4" w:rsidP="00093AB4">
            <w:pPr>
              <w:pStyle w:val="Tabletext1"/>
              <w:ind w:left="0"/>
              <w:jc w:val="left"/>
            </w:pPr>
            <w:r w:rsidRPr="00096D98">
              <w:t>Weighted risk of miscarriage (base</w:t>
            </w:r>
            <w:r w:rsidR="003056C2">
              <w:t>-</w:t>
            </w:r>
            <w:r w:rsidRPr="00096D98">
              <w:t>case)</w:t>
            </w:r>
          </w:p>
        </w:tc>
        <w:tc>
          <w:tcPr>
            <w:tcW w:w="0" w:type="auto"/>
          </w:tcPr>
          <w:p w14:paraId="74366966" w14:textId="77777777" w:rsidR="00093AB4" w:rsidRPr="00096D98" w:rsidRDefault="00093AB4" w:rsidP="00093AB4">
            <w:pPr>
              <w:pStyle w:val="Tabletext1"/>
              <w:ind w:left="0"/>
              <w:jc w:val="left"/>
            </w:pPr>
            <w:r>
              <w:t>1.05</w:t>
            </w:r>
            <w:r w:rsidRPr="00096D98">
              <w:t>%</w:t>
            </w:r>
          </w:p>
          <w:p w14:paraId="667670E1" w14:textId="77777777" w:rsidR="00093AB4" w:rsidRPr="00096D98" w:rsidRDefault="00093AB4" w:rsidP="00093AB4">
            <w:pPr>
              <w:pStyle w:val="Tabletext1"/>
              <w:ind w:left="0"/>
              <w:jc w:val="left"/>
            </w:pPr>
            <w:r w:rsidRPr="00096D98">
              <w:t>(0.66*0.67%+0.34*2.26%)</w:t>
            </w:r>
          </w:p>
        </w:tc>
        <w:tc>
          <w:tcPr>
            <w:tcW w:w="0" w:type="auto"/>
          </w:tcPr>
          <w:p w14:paraId="68D5471F" w14:textId="77777777" w:rsidR="00093AB4" w:rsidRPr="00096D98" w:rsidRDefault="00093AB4" w:rsidP="00093AB4">
            <w:pPr>
              <w:pStyle w:val="Tabletext1"/>
              <w:ind w:left="0"/>
              <w:jc w:val="left"/>
            </w:pPr>
            <w:r>
              <w:t>0.15</w:t>
            </w:r>
            <w:r w:rsidRPr="00096D98">
              <w:t>%</w:t>
            </w:r>
          </w:p>
          <w:p w14:paraId="591652DE" w14:textId="77777777" w:rsidR="00093AB4" w:rsidRPr="00096D98" w:rsidRDefault="00093AB4" w:rsidP="00093AB4">
            <w:pPr>
              <w:pStyle w:val="Tabletext1"/>
              <w:ind w:left="0"/>
              <w:jc w:val="left"/>
            </w:pPr>
            <w:r w:rsidRPr="00096D98">
              <w:t>(0.66*0.81%+0.34*2.36%)</w:t>
            </w:r>
          </w:p>
        </w:tc>
      </w:tr>
      <w:tr w:rsidR="00093AB4" w:rsidRPr="00096D98" w14:paraId="43D51B00" w14:textId="77777777" w:rsidTr="00093AB4">
        <w:tc>
          <w:tcPr>
            <w:tcW w:w="0" w:type="auto"/>
          </w:tcPr>
          <w:p w14:paraId="6E9E527E" w14:textId="77777777" w:rsidR="00093AB4" w:rsidRPr="00096D98" w:rsidRDefault="00093AB4" w:rsidP="00093AB4">
            <w:pPr>
              <w:pStyle w:val="Tabletext1"/>
              <w:ind w:left="0"/>
              <w:jc w:val="left"/>
            </w:pPr>
            <w:r w:rsidRPr="00096D98">
              <w:t>Weighted risk of miscarriage (values used in sensitivity analysis)</w:t>
            </w:r>
          </w:p>
        </w:tc>
        <w:tc>
          <w:tcPr>
            <w:tcW w:w="0" w:type="auto"/>
          </w:tcPr>
          <w:p w14:paraId="4ACFA5D5" w14:textId="77777777" w:rsidR="00093AB4" w:rsidRPr="00096D98" w:rsidRDefault="00093AB4" w:rsidP="00093AB4">
            <w:pPr>
              <w:pStyle w:val="Tabletext1"/>
              <w:ind w:left="0"/>
              <w:jc w:val="left"/>
            </w:pPr>
            <w:r>
              <w:t>Not varied</w:t>
            </w:r>
          </w:p>
        </w:tc>
        <w:tc>
          <w:tcPr>
            <w:tcW w:w="0" w:type="auto"/>
          </w:tcPr>
          <w:p w14:paraId="1B19B22D" w14:textId="781CF6CD" w:rsidR="00093AB4" w:rsidRPr="00096D98" w:rsidRDefault="00093AB4" w:rsidP="00093AB4">
            <w:pPr>
              <w:pStyle w:val="Tabletext1"/>
              <w:ind w:left="0"/>
              <w:jc w:val="left"/>
            </w:pPr>
            <w:r>
              <w:t>(0%, 0.57</w:t>
            </w:r>
            <w:r w:rsidRPr="00096D98">
              <w:t>%</w:t>
            </w:r>
            <w:r>
              <w:t>)</w:t>
            </w:r>
            <w:r w:rsidR="00964502">
              <w:t xml:space="preserve"> </w:t>
            </w:r>
            <w:r w:rsidR="003056C2" w:rsidRPr="006D2CA8">
              <w:rPr>
                <w:vertAlign w:val="superscript"/>
              </w:rPr>
              <w:t>a</w:t>
            </w:r>
          </w:p>
        </w:tc>
      </w:tr>
      <w:tr w:rsidR="00093AB4" w:rsidRPr="00096D98" w14:paraId="2278A9E7" w14:textId="77777777" w:rsidTr="00093AB4">
        <w:tc>
          <w:tcPr>
            <w:tcW w:w="0" w:type="auto"/>
          </w:tcPr>
          <w:p w14:paraId="6179A0BF" w14:textId="77777777" w:rsidR="00093AB4" w:rsidRPr="00EA3120" w:rsidRDefault="00093AB4" w:rsidP="00093AB4">
            <w:pPr>
              <w:pStyle w:val="Tabletext1"/>
              <w:ind w:left="0"/>
              <w:jc w:val="left"/>
              <w:rPr>
                <w:i/>
              </w:rPr>
            </w:pPr>
            <w:r w:rsidRPr="00EA3120">
              <w:rPr>
                <w:i/>
              </w:rPr>
              <w:t xml:space="preserve">Fetus has FEB (0% CVS and 100% </w:t>
            </w:r>
            <w:r w:rsidRPr="00EA3120">
              <w:rPr>
                <w:i/>
              </w:rPr>
              <w:lastRenderedPageBreak/>
              <w:t>amniocentesis)</w:t>
            </w:r>
          </w:p>
        </w:tc>
        <w:tc>
          <w:tcPr>
            <w:tcW w:w="0" w:type="auto"/>
          </w:tcPr>
          <w:p w14:paraId="12189FBF" w14:textId="77777777" w:rsidR="00093AB4" w:rsidRPr="00096D98" w:rsidRDefault="00093AB4" w:rsidP="00093AB4">
            <w:pPr>
              <w:pStyle w:val="Tabletext1"/>
              <w:ind w:left="0"/>
              <w:jc w:val="left"/>
            </w:pPr>
          </w:p>
        </w:tc>
        <w:tc>
          <w:tcPr>
            <w:tcW w:w="0" w:type="auto"/>
          </w:tcPr>
          <w:p w14:paraId="55B52C7D" w14:textId="77777777" w:rsidR="00093AB4" w:rsidRPr="00096D98" w:rsidRDefault="00093AB4" w:rsidP="00093AB4">
            <w:pPr>
              <w:pStyle w:val="Tabletext1"/>
              <w:ind w:left="0"/>
              <w:jc w:val="left"/>
            </w:pPr>
          </w:p>
        </w:tc>
      </w:tr>
      <w:tr w:rsidR="00093AB4" w:rsidRPr="00096D98" w14:paraId="13E86C5A" w14:textId="77777777" w:rsidTr="00093AB4">
        <w:tc>
          <w:tcPr>
            <w:tcW w:w="0" w:type="auto"/>
          </w:tcPr>
          <w:p w14:paraId="0A1ACB61" w14:textId="0A351E65" w:rsidR="00093AB4" w:rsidRPr="00096D98" w:rsidRDefault="00093AB4" w:rsidP="00093AB4">
            <w:pPr>
              <w:pStyle w:val="Tabletext1"/>
              <w:ind w:left="0"/>
              <w:jc w:val="left"/>
            </w:pPr>
            <w:r w:rsidRPr="00096D98">
              <w:lastRenderedPageBreak/>
              <w:t>Risk of miscarriage (base</w:t>
            </w:r>
            <w:r w:rsidR="003056C2">
              <w:t>-</w:t>
            </w:r>
            <w:r w:rsidRPr="00096D98">
              <w:t>case)</w:t>
            </w:r>
          </w:p>
        </w:tc>
        <w:tc>
          <w:tcPr>
            <w:tcW w:w="0" w:type="auto"/>
          </w:tcPr>
          <w:p w14:paraId="40F8EE27" w14:textId="77777777" w:rsidR="00093AB4" w:rsidRPr="00096D98" w:rsidRDefault="00093AB4" w:rsidP="00093AB4">
            <w:pPr>
              <w:pStyle w:val="Tabletext1"/>
              <w:ind w:left="0"/>
              <w:jc w:val="left"/>
            </w:pPr>
            <w:r w:rsidRPr="00096D98">
              <w:t>0.67%</w:t>
            </w:r>
          </w:p>
        </w:tc>
        <w:tc>
          <w:tcPr>
            <w:tcW w:w="0" w:type="auto"/>
          </w:tcPr>
          <w:p w14:paraId="28D52490" w14:textId="77777777" w:rsidR="00093AB4" w:rsidRPr="00096D98" w:rsidRDefault="00093AB4" w:rsidP="00093AB4">
            <w:pPr>
              <w:pStyle w:val="Tabletext1"/>
              <w:ind w:left="0"/>
              <w:jc w:val="left"/>
            </w:pPr>
            <w:r w:rsidRPr="00096D98">
              <w:t>0.</w:t>
            </w:r>
            <w:r>
              <w:t>11</w:t>
            </w:r>
            <w:r w:rsidRPr="00096D98">
              <w:t>%</w:t>
            </w:r>
          </w:p>
        </w:tc>
      </w:tr>
      <w:tr w:rsidR="00093AB4" w:rsidRPr="00096D98" w14:paraId="650F7128" w14:textId="77777777" w:rsidTr="00093AB4">
        <w:tc>
          <w:tcPr>
            <w:tcW w:w="0" w:type="auto"/>
          </w:tcPr>
          <w:p w14:paraId="56916979" w14:textId="77777777" w:rsidR="00093AB4" w:rsidRPr="00096D98" w:rsidRDefault="00093AB4" w:rsidP="00093AB4">
            <w:pPr>
              <w:pStyle w:val="Tabletext1"/>
              <w:ind w:left="0"/>
              <w:jc w:val="left"/>
            </w:pPr>
            <w:r w:rsidRPr="00096D98">
              <w:t>Risk of miscarriage (values used in sensitivity analysis)</w:t>
            </w:r>
          </w:p>
        </w:tc>
        <w:tc>
          <w:tcPr>
            <w:tcW w:w="0" w:type="auto"/>
          </w:tcPr>
          <w:p w14:paraId="23882A50" w14:textId="77777777" w:rsidR="00093AB4" w:rsidRPr="00096D98" w:rsidRDefault="00093AB4" w:rsidP="00093AB4">
            <w:pPr>
              <w:pStyle w:val="Tabletext1"/>
              <w:ind w:left="0"/>
              <w:jc w:val="left"/>
            </w:pPr>
            <w:r>
              <w:t>Not varied</w:t>
            </w:r>
          </w:p>
        </w:tc>
        <w:tc>
          <w:tcPr>
            <w:tcW w:w="0" w:type="auto"/>
          </w:tcPr>
          <w:p w14:paraId="39CC135C" w14:textId="32DBCF33" w:rsidR="00093AB4" w:rsidRPr="00096D98" w:rsidRDefault="00093AB4" w:rsidP="00093AB4">
            <w:pPr>
              <w:pStyle w:val="Tabletext1"/>
              <w:ind w:left="0"/>
              <w:jc w:val="left"/>
            </w:pPr>
            <w:r>
              <w:t>(0%, 0.26</w:t>
            </w:r>
            <w:r w:rsidRPr="00096D98">
              <w:t>%</w:t>
            </w:r>
            <w:r>
              <w:t>)</w:t>
            </w:r>
            <w:r w:rsidR="006E1F8D">
              <w:t xml:space="preserve"> </w:t>
            </w:r>
            <w:r w:rsidR="003056C2" w:rsidRPr="006D2CA8">
              <w:rPr>
                <w:vertAlign w:val="superscript"/>
              </w:rPr>
              <w:t>a</w:t>
            </w:r>
          </w:p>
        </w:tc>
      </w:tr>
    </w:tbl>
    <w:p w14:paraId="50F4011B" w14:textId="60A213F1" w:rsidR="00093AB4" w:rsidRDefault="003056C2" w:rsidP="006D2CA8">
      <w:pPr>
        <w:pStyle w:val="Tablenotes0"/>
        <w:spacing w:after="0"/>
      </w:pPr>
      <w:r w:rsidRPr="006D2CA8">
        <w:rPr>
          <w:vertAlign w:val="superscript"/>
        </w:rPr>
        <w:t>a</w:t>
      </w:r>
      <w:r>
        <w:t xml:space="preserve"> </w:t>
      </w:r>
      <w:r w:rsidR="00093AB4">
        <w:t>Invasive testing being protective is not plausible</w:t>
      </w:r>
      <w:r w:rsidR="005D53E6">
        <w:t>;</w:t>
      </w:r>
      <w:r w:rsidR="00093AB4">
        <w:t xml:space="preserve"> therefore</w:t>
      </w:r>
      <w:r w:rsidR="005D53E6">
        <w:t>,</w:t>
      </w:r>
      <w:r w:rsidR="00093AB4">
        <w:t xml:space="preserve"> the lower limit chosen in 95%CI is 0%.</w:t>
      </w:r>
    </w:p>
    <w:p w14:paraId="6E6279B0" w14:textId="79EFC4D8" w:rsidR="00F825E7" w:rsidRDefault="0033269F" w:rsidP="00F825E7">
      <w:pPr>
        <w:pStyle w:val="Tablenotes0"/>
        <w:spacing w:after="0"/>
      </w:pPr>
      <w:r>
        <w:t xml:space="preserve">CF = cystic fibrosis; </w:t>
      </w:r>
      <w:r w:rsidR="00F825E7">
        <w:t>CI = confidence interval</w:t>
      </w:r>
      <w:r>
        <w:t xml:space="preserve">; FEB = </w:t>
      </w:r>
      <w:r w:rsidRPr="006D2CA8">
        <w:t>fetal echogenic bowel</w:t>
      </w:r>
    </w:p>
    <w:p w14:paraId="40F411FA" w14:textId="77777777" w:rsidR="00F825E7" w:rsidRPr="00096D98" w:rsidRDefault="00F825E7" w:rsidP="00093AB4">
      <w:pPr>
        <w:pStyle w:val="Tablenotes0"/>
      </w:pPr>
    </w:p>
    <w:p w14:paraId="3BDB52FC" w14:textId="76A91F0C" w:rsidR="00093AB4" w:rsidRPr="00096D98" w:rsidRDefault="00093AB4" w:rsidP="00093AB4">
      <w:pPr>
        <w:spacing w:before="240"/>
      </w:pPr>
      <w:r>
        <w:t>A sensitivity analysis is performed using the 95%</w:t>
      </w:r>
      <w:r w:rsidR="00FD5C18">
        <w:t>CI</w:t>
      </w:r>
      <w:r>
        <w:t>s for risk of miscarriage in the intervention groups, as reported from the study by Akolekar et al.</w:t>
      </w:r>
      <w:r w:rsidR="00FD5C18">
        <w:t xml:space="preserve"> (2015).</w:t>
      </w:r>
      <w:r>
        <w:t xml:space="preserve"> </w:t>
      </w:r>
      <w:r w:rsidRPr="00096D98">
        <w:fldChar w:fldCharType="begin"/>
      </w:r>
      <w:r w:rsidRPr="00096D98">
        <w:instrText xml:space="preserve"> REF _Ref413062869 \h  \* MERGEFORMAT </w:instrText>
      </w:r>
      <w:r w:rsidRPr="00096D98">
        <w:fldChar w:fldCharType="separate"/>
      </w:r>
      <w:r w:rsidR="00BB0E3E" w:rsidRPr="00096D98">
        <w:t xml:space="preserve">Table </w:t>
      </w:r>
      <w:r w:rsidR="00BB0E3E">
        <w:rPr>
          <w:noProof/>
        </w:rPr>
        <w:t>51</w:t>
      </w:r>
      <w:r w:rsidRPr="00096D98">
        <w:fldChar w:fldCharType="end"/>
      </w:r>
      <w:r w:rsidRPr="00096D98">
        <w:t xml:space="preserve"> summarises the estimated risk of miscarriage used in </w:t>
      </w:r>
      <w:r w:rsidR="00FD5C18">
        <w:t xml:space="preserve">the </w:t>
      </w:r>
      <w:r w:rsidRPr="00096D98">
        <w:t xml:space="preserve">economic evaluation and </w:t>
      </w:r>
      <w:r>
        <w:t xml:space="preserve">the </w:t>
      </w:r>
      <w:r w:rsidRPr="00096D98">
        <w:t>sensitivity analysis for these procedures.</w:t>
      </w:r>
    </w:p>
    <w:p w14:paraId="680B4FC8" w14:textId="77777777" w:rsidR="00093AB4" w:rsidRPr="00096D98" w:rsidRDefault="00093AB4" w:rsidP="00093AB4">
      <w:pPr>
        <w:pStyle w:val="Heading3"/>
      </w:pPr>
      <w:bookmarkStart w:id="305" w:name="_Toc418179922"/>
      <w:r w:rsidRPr="00096D98">
        <w:t>C.1.5.</w:t>
      </w:r>
      <w:r w:rsidRPr="00096D98">
        <w:tab/>
      </w:r>
      <w:r w:rsidRPr="00096D98">
        <w:tab/>
        <w:t>What is the uptake rate of termination of pregnancy?</w:t>
      </w:r>
      <w:bookmarkEnd w:id="305"/>
    </w:p>
    <w:p w14:paraId="15009B61" w14:textId="761FFEFF" w:rsidR="00093AB4" w:rsidRPr="00096D98" w:rsidRDefault="00093AB4" w:rsidP="00093AB4">
      <w:r w:rsidRPr="00096D98">
        <w:t xml:space="preserve">The clinical evidence showed that the parents with fetuses that tested positive for </w:t>
      </w:r>
      <w:r w:rsidRPr="00FD37D3">
        <w:t>CFTR</w:t>
      </w:r>
      <w:r w:rsidRPr="00096D98">
        <w:t xml:space="preserve"> mutations terminated the pregnancy in around 95% </w:t>
      </w:r>
      <w:r>
        <w:t xml:space="preserve">of cases </w:t>
      </w:r>
      <w:r w:rsidRPr="00096D98">
        <w:t xml:space="preserve">when both parents were </w:t>
      </w:r>
      <w:r>
        <w:t xml:space="preserve">CF </w:t>
      </w:r>
      <w:r w:rsidRPr="00096D98">
        <w:t xml:space="preserve">carriers and in 65% </w:t>
      </w:r>
      <w:r>
        <w:t xml:space="preserve">of cases </w:t>
      </w:r>
      <w:r w:rsidRPr="00096D98">
        <w:t>when a</w:t>
      </w:r>
      <w:r w:rsidR="00FD5C18">
        <w:t>n</w:t>
      </w:r>
      <w:r w:rsidRPr="00096D98">
        <w:t xml:space="preserve"> FEB was detected </w:t>
      </w:r>
      <w:r w:rsidRPr="00235D14">
        <w:t>(</w:t>
      </w:r>
      <w:r w:rsidR="00FD5C18">
        <w:t xml:space="preserve">see </w:t>
      </w:r>
      <w:r w:rsidRPr="00235D14">
        <w:t>section B.6.ii).</w:t>
      </w:r>
      <w:r w:rsidRPr="00096D98">
        <w:t xml:space="preserve"> However, the TOP rate varied widely in the FEB </w:t>
      </w:r>
      <w:r>
        <w:t>group, with a range of 0</w:t>
      </w:r>
      <w:r w:rsidR="00FA7119">
        <w:t>%</w:t>
      </w:r>
      <w:r>
        <w:t xml:space="preserve">–100%, </w:t>
      </w:r>
      <w:r w:rsidR="00626F20">
        <w:t xml:space="preserve">whereas </w:t>
      </w:r>
      <w:r>
        <w:t xml:space="preserve">the termination rate </w:t>
      </w:r>
      <w:r w:rsidR="00626F20">
        <w:t xml:space="preserve">was in the </w:t>
      </w:r>
      <w:r>
        <w:t xml:space="preserve">range </w:t>
      </w:r>
      <w:r w:rsidRPr="00096D98">
        <w:t>92.3</w:t>
      </w:r>
      <w:r w:rsidR="00FA7119">
        <w:t>%</w:t>
      </w:r>
      <w:r w:rsidRPr="00096D98">
        <w:t xml:space="preserve">–100% in </w:t>
      </w:r>
      <w:r>
        <w:t>study</w:t>
      </w:r>
      <w:r w:rsidRPr="00096D98">
        <w:t xml:space="preserve"> group</w:t>
      </w:r>
      <w:r>
        <w:t>s</w:t>
      </w:r>
      <w:r w:rsidRPr="00096D98">
        <w:t xml:space="preserve"> with </w:t>
      </w:r>
      <w:r>
        <w:t>carrier</w:t>
      </w:r>
      <w:r w:rsidRPr="004B69F6">
        <w:t xml:space="preserve"> </w:t>
      </w:r>
      <w:r>
        <w:t>parents</w:t>
      </w:r>
      <w:r w:rsidRPr="00096D98">
        <w:t xml:space="preserve">. </w:t>
      </w:r>
    </w:p>
    <w:p w14:paraId="5355850B" w14:textId="7F7D5640" w:rsidR="00093AB4" w:rsidRPr="00096D98" w:rsidRDefault="00EC0642" w:rsidP="00093AB4">
      <w:r>
        <w:t>I</w:t>
      </w:r>
      <w:r w:rsidRPr="00096D98">
        <w:t>n the base</w:t>
      </w:r>
      <w:r>
        <w:t>-</w:t>
      </w:r>
      <w:r w:rsidRPr="00096D98">
        <w:t xml:space="preserve">case evaluations </w:t>
      </w:r>
      <w:r>
        <w:t>a</w:t>
      </w:r>
      <w:r w:rsidR="00093AB4" w:rsidRPr="00096D98">
        <w:t xml:space="preserve"> 95% pregnancy termination rate is assumed in </w:t>
      </w:r>
      <w:r>
        <w:t xml:space="preserve">the </w:t>
      </w:r>
      <w:r w:rsidR="00093AB4" w:rsidRPr="00096D98">
        <w:t xml:space="preserve">population </w:t>
      </w:r>
      <w:r w:rsidR="00093AB4">
        <w:t>where both</w:t>
      </w:r>
      <w:r w:rsidR="00093AB4" w:rsidRPr="00096D98">
        <w:t xml:space="preserve"> </w:t>
      </w:r>
      <w:r w:rsidR="00093AB4">
        <w:t>parents are CF carriers</w:t>
      </w:r>
      <w:r>
        <w:t>,</w:t>
      </w:r>
      <w:r w:rsidR="00093AB4">
        <w:t xml:space="preserve"> </w:t>
      </w:r>
      <w:r w:rsidR="00093AB4" w:rsidRPr="00096D98">
        <w:t xml:space="preserve">and 65% for the population </w:t>
      </w:r>
      <w:r w:rsidR="00093AB4">
        <w:t xml:space="preserve">where the fetus has an </w:t>
      </w:r>
      <w:r w:rsidR="00093AB4" w:rsidRPr="00096D98">
        <w:t xml:space="preserve">FEB. The </w:t>
      </w:r>
      <w:r w:rsidR="00093AB4">
        <w:t>TOP</w:t>
      </w:r>
      <w:r w:rsidR="00093AB4" w:rsidRPr="00096D98">
        <w:t xml:space="preserve"> rate </w:t>
      </w:r>
      <w:r w:rsidR="00093AB4">
        <w:t>will</w:t>
      </w:r>
      <w:r w:rsidR="00093AB4" w:rsidRPr="00096D98">
        <w:t xml:space="preserve"> affect the economic results. Therefore</w:t>
      </w:r>
      <w:r>
        <w:t>,</w:t>
      </w:r>
      <w:r w:rsidR="00093AB4" w:rsidRPr="00096D98">
        <w:t xml:space="preserve"> the effect of varied uptake rates of </w:t>
      </w:r>
      <w:r>
        <w:t>TOP</w:t>
      </w:r>
      <w:r w:rsidR="00093AB4" w:rsidRPr="00096D98">
        <w:t xml:space="preserve"> within the identified range (</w:t>
      </w:r>
      <w:r w:rsidR="00093AB4" w:rsidRPr="00096D98">
        <w:fldChar w:fldCharType="begin"/>
      </w:r>
      <w:r w:rsidR="00093AB4" w:rsidRPr="00096D98">
        <w:instrText xml:space="preserve"> REF _Ref413618410 \h </w:instrText>
      </w:r>
      <w:r w:rsidR="00093AB4" w:rsidRPr="00096D98">
        <w:fldChar w:fldCharType="separate"/>
      </w:r>
      <w:r w:rsidR="00BB0E3E" w:rsidRPr="007E1D5D">
        <w:t xml:space="preserve">Table </w:t>
      </w:r>
      <w:r w:rsidR="00BB0E3E">
        <w:rPr>
          <w:noProof/>
        </w:rPr>
        <w:t>52</w:t>
      </w:r>
      <w:r w:rsidR="00093AB4" w:rsidRPr="00096D98">
        <w:fldChar w:fldCharType="end"/>
      </w:r>
      <w:r w:rsidR="00093AB4" w:rsidRPr="00096D98">
        <w:t xml:space="preserve">) </w:t>
      </w:r>
      <w:r w:rsidR="00FA7119">
        <w:t>has</w:t>
      </w:r>
      <w:r>
        <w:t xml:space="preserve"> been</w:t>
      </w:r>
      <w:r w:rsidRPr="00096D98">
        <w:t xml:space="preserve"> </w:t>
      </w:r>
      <w:r w:rsidR="00093AB4" w:rsidRPr="00096D98">
        <w:t>analysed in the sensitivity analys</w:t>
      </w:r>
      <w:r>
        <w:t>i</w:t>
      </w:r>
      <w:r w:rsidR="00093AB4" w:rsidRPr="00096D98">
        <w:t xml:space="preserve">s. Recent studies in the Australian community have reported much higher TOP acceptance rates </w:t>
      </w:r>
      <w:r w:rsidR="00093AB4">
        <w:t xml:space="preserve">than elsewhere </w:t>
      </w:r>
      <w:r w:rsidR="00093AB4" w:rsidRPr="00096D98">
        <w:t>when</w:t>
      </w:r>
      <w:r w:rsidR="00093AB4">
        <w:t xml:space="preserve"> the</w:t>
      </w:r>
      <w:r w:rsidR="00093AB4" w:rsidRPr="00096D98">
        <w:t xml:space="preserve"> fetus is diagnosed with anomalies</w:t>
      </w:r>
      <w:r w:rsidR="00093AB4">
        <w:t xml:space="preserve"> </w:t>
      </w:r>
      <w:r w:rsidR="00093AB4">
        <w:fldChar w:fldCharType="begin">
          <w:fldData xml:space="preserve">PEVuZE5vdGU+PENpdGU+PEF1dGhvcj5Jb2Fubm91PC9BdXRob3I+PFllYXI+MjAxNDwvWWVhcj48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</w:fldData>
        </w:fldChar>
      </w:r>
      <w:r w:rsidR="009A054F">
        <w:instrText xml:space="preserve"> ADDIN EN.CITE </w:instrText>
      </w:r>
      <w:r w:rsidR="009A054F">
        <w:fldChar w:fldCharType="begin">
          <w:fldData xml:space="preserve">PEVuZE5vdGU+PENpdGU+PEF1dGhvcj5Jb2Fubm91PC9BdXRob3I+PFllYXI+MjAxNDwvWWVhcj48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</w:fldData>
        </w:fldChar>
      </w:r>
      <w:r w:rsidR="009A054F">
        <w:instrText xml:space="preserve"> ADDIN EN.CITE.DATA </w:instrText>
      </w:r>
      <w:r w:rsidR="009A054F">
        <w:fldChar w:fldCharType="end"/>
      </w:r>
      <w:r w:rsidR="00093AB4">
        <w:fldChar w:fldCharType="separate"/>
      </w:r>
      <w:r w:rsidR="00093AB4">
        <w:rPr>
          <w:noProof/>
        </w:rPr>
        <w:t>(</w:t>
      </w:r>
      <w:hyperlink w:anchor="_ENREF_56" w:tooltip="Ioannou, 2014 #326" w:history="1">
        <w:r w:rsidR="00B46ABF">
          <w:rPr>
            <w:noProof/>
          </w:rPr>
          <w:t>Ioannou et al. 2014</w:t>
        </w:r>
      </w:hyperlink>
      <w:r w:rsidR="00093AB4">
        <w:rPr>
          <w:noProof/>
        </w:rPr>
        <w:t xml:space="preserve">; </w:t>
      </w:r>
      <w:hyperlink w:anchor="_ENREF_72" w:tooltip="Massie, 2007 #395" w:history="1">
        <w:r w:rsidR="00B46ABF">
          <w:rPr>
            <w:noProof/>
          </w:rPr>
          <w:t>Massie, J et al. 2007</w:t>
        </w:r>
      </w:hyperlink>
      <w:r w:rsidR="00093AB4">
        <w:rPr>
          <w:noProof/>
        </w:rPr>
        <w:t>)</w:t>
      </w:r>
      <w:r w:rsidR="00093AB4">
        <w:fldChar w:fldCharType="end"/>
      </w:r>
      <w:r w:rsidR="00093AB4">
        <w:t>.</w:t>
      </w:r>
      <w:r w:rsidR="00093AB4" w:rsidRPr="00096D98">
        <w:t xml:space="preserve"> </w:t>
      </w:r>
      <w:r w:rsidR="00093AB4">
        <w:t>However, some CF</w:t>
      </w:r>
      <w:r>
        <w:t>-</w:t>
      </w:r>
      <w:r w:rsidR="00093AB4">
        <w:t xml:space="preserve">affected pregnancies with </w:t>
      </w:r>
      <w:r w:rsidR="00093AB4" w:rsidRPr="00CD141E">
        <w:t>FEB may be diagnosed too late for termination. Therefore, a broader range of termination uptake rates (30</w:t>
      </w:r>
      <w:r w:rsidR="00FA7119">
        <w:t>%</w:t>
      </w:r>
      <w:r>
        <w:t>–</w:t>
      </w:r>
      <w:r w:rsidR="00093AB4" w:rsidRPr="00CD141E">
        <w:t xml:space="preserve">100%), as reported by Radhakrishnan </w:t>
      </w:r>
      <w:r w:rsidR="00093AB4" w:rsidRPr="006D2CA8">
        <w:t>et al</w:t>
      </w:r>
      <w:r>
        <w:t>. (2008)</w:t>
      </w:r>
      <w:r w:rsidR="00093AB4" w:rsidRPr="00CD141E">
        <w:rPr>
          <w:i/>
        </w:rPr>
        <w:t xml:space="preserve"> </w:t>
      </w:r>
      <w:r w:rsidR="00093AB4" w:rsidRPr="00CD141E">
        <w:t>in a review of economic evaluations of CF screening</w:t>
      </w:r>
      <w:r w:rsidR="00DF5916">
        <w:t xml:space="preserve"> </w:t>
      </w:r>
      <w:r w:rsidR="00093AB4" w:rsidRPr="00CD141E">
        <w:t>is tested in the sensitivity analysis</w:t>
      </w:r>
      <w:r w:rsidR="00093AB4">
        <w:t xml:space="preserve"> for this population</w:t>
      </w:r>
      <w:r w:rsidR="00093AB4" w:rsidRPr="00CD141E">
        <w:t>.</w:t>
      </w:r>
      <w:r w:rsidR="00093AB4">
        <w:t xml:space="preserve"> For the population of fetuses with both parents known to be CF carriers, termination uptake rates are varied from 80% (an arbitrary value chosen to evaluate</w:t>
      </w:r>
      <w:r>
        <w:t xml:space="preserve"> the</w:t>
      </w:r>
      <w:r w:rsidR="00093AB4">
        <w:t xml:space="preserve"> impact of </w:t>
      </w:r>
      <w:r>
        <w:t xml:space="preserve">a </w:t>
      </w:r>
      <w:r w:rsidR="00093AB4">
        <w:t>lower termination uptake rate) to 100%.</w:t>
      </w:r>
    </w:p>
    <w:p w14:paraId="12DDE8AA" w14:textId="0662D468" w:rsidR="00093AB4" w:rsidRPr="007E1D5D" w:rsidRDefault="00093AB4" w:rsidP="00093AB4">
      <w:pPr>
        <w:pStyle w:val="TableHeading"/>
      </w:pPr>
      <w:bookmarkStart w:id="306" w:name="_Ref413618410"/>
      <w:bookmarkStart w:id="307" w:name="_Toc416855344"/>
      <w:bookmarkStart w:id="308" w:name="_Toc418179449"/>
      <w:r w:rsidRPr="007E1D5D">
        <w:t xml:space="preserve">Table </w:t>
      </w:r>
      <w:fldSimple w:instr=" SEQ Table \* ARABIC ">
        <w:r w:rsidR="00BB0E3E">
          <w:rPr>
            <w:noProof/>
          </w:rPr>
          <w:t>52</w:t>
        </w:r>
      </w:fldSimple>
      <w:bookmarkEnd w:id="306"/>
      <w:r w:rsidRPr="007E1D5D">
        <w:tab/>
        <w:t xml:space="preserve">Estimated uptake rate of </w:t>
      </w:r>
      <w:r w:rsidR="00BA7CBA">
        <w:t>TOP</w:t>
      </w:r>
      <w:r w:rsidRPr="007E1D5D">
        <w:t xml:space="preserve"> in parents of fetuses diagnosed with CF</w:t>
      </w:r>
      <w:bookmarkEnd w:id="307"/>
      <w:bookmarkEnd w:id="308"/>
    </w:p>
    <w:tbl>
      <w:tblPr>
        <w:tblStyle w:val="TableGrid"/>
        <w:tblW w:w="0" w:type="auto"/>
        <w:tblLook w:val="04A0" w:firstRow="1" w:lastRow="0" w:firstColumn="1" w:lastColumn="0" w:noHBand="0" w:noVBand="1"/>
        <w:tblCaption w:val="Estimated uptake rate of termination of pregnancy in parents of fetuses diagnosed with CF"/>
        <w:tblDescription w:val="Estimated uptake rate of termination of pregnancy in parents of fetuses diagnosed with CF"/>
      </w:tblPr>
      <w:tblGrid>
        <w:gridCol w:w="3080"/>
        <w:gridCol w:w="3081"/>
        <w:gridCol w:w="3081"/>
      </w:tblGrid>
      <w:tr w:rsidR="00093AB4" w:rsidRPr="007D0AC5" w14:paraId="17FD6EC1" w14:textId="77777777" w:rsidTr="00093AB4">
        <w:trPr>
          <w:tblHeader/>
        </w:trPr>
        <w:tc>
          <w:tcPr>
            <w:tcW w:w="3080" w:type="dxa"/>
          </w:tcPr>
          <w:p w14:paraId="66338A49" w14:textId="77777777" w:rsidR="00093AB4" w:rsidRPr="007D0AC5" w:rsidRDefault="00093AB4" w:rsidP="00093AB4">
            <w:pPr>
              <w:pStyle w:val="TableHeading"/>
              <w:ind w:left="0"/>
              <w:jc w:val="left"/>
            </w:pPr>
            <w:r w:rsidRPr="007D0AC5">
              <w:t>Contents</w:t>
            </w:r>
          </w:p>
        </w:tc>
        <w:tc>
          <w:tcPr>
            <w:tcW w:w="3081" w:type="dxa"/>
          </w:tcPr>
          <w:p w14:paraId="624D0C20" w14:textId="77777777" w:rsidR="00093AB4" w:rsidRPr="007D0AC5" w:rsidRDefault="00093AB4" w:rsidP="00093AB4">
            <w:pPr>
              <w:pStyle w:val="TableHeading"/>
              <w:ind w:left="0"/>
              <w:jc w:val="left"/>
            </w:pPr>
            <w:r w:rsidRPr="007D0AC5">
              <w:t xml:space="preserve">Fetus with </w:t>
            </w:r>
            <w:r>
              <w:t>both parents known CF carriers</w:t>
            </w:r>
            <w:r w:rsidRPr="007D0AC5">
              <w:t xml:space="preserve"> (%)</w:t>
            </w:r>
          </w:p>
        </w:tc>
        <w:tc>
          <w:tcPr>
            <w:tcW w:w="3081" w:type="dxa"/>
          </w:tcPr>
          <w:p w14:paraId="40D72043" w14:textId="77777777" w:rsidR="00093AB4" w:rsidRPr="007D0AC5" w:rsidRDefault="00093AB4" w:rsidP="00093AB4">
            <w:pPr>
              <w:pStyle w:val="TableHeading"/>
              <w:ind w:left="0"/>
              <w:jc w:val="left"/>
            </w:pPr>
            <w:r w:rsidRPr="007D0AC5">
              <w:t xml:space="preserve">Fetus </w:t>
            </w:r>
            <w:r>
              <w:t>has</w:t>
            </w:r>
            <w:r w:rsidRPr="007D0AC5">
              <w:t xml:space="preserve"> FEB (%)</w:t>
            </w:r>
          </w:p>
        </w:tc>
      </w:tr>
      <w:tr w:rsidR="00093AB4" w:rsidRPr="00096D98" w14:paraId="3B8DFE97" w14:textId="77777777" w:rsidTr="00093AB4">
        <w:tc>
          <w:tcPr>
            <w:tcW w:w="3080" w:type="dxa"/>
          </w:tcPr>
          <w:p w14:paraId="708E8F5E" w14:textId="187B56B3" w:rsidR="00093AB4" w:rsidRPr="00096D98" w:rsidRDefault="00093AB4" w:rsidP="00093AB4">
            <w:pPr>
              <w:pStyle w:val="Tabletext1"/>
              <w:ind w:left="0"/>
              <w:jc w:val="left"/>
            </w:pPr>
            <w:r w:rsidRPr="00096D98">
              <w:t xml:space="preserve">Termination of </w:t>
            </w:r>
            <w:r w:rsidR="005D53E6">
              <w:t>p</w:t>
            </w:r>
            <w:r w:rsidRPr="00096D98">
              <w:t>regnancy (TOP) uptake rate</w:t>
            </w:r>
          </w:p>
        </w:tc>
        <w:tc>
          <w:tcPr>
            <w:tcW w:w="3081" w:type="dxa"/>
          </w:tcPr>
          <w:p w14:paraId="281EFE43" w14:textId="77777777" w:rsidR="00093AB4" w:rsidRPr="00096D98" w:rsidRDefault="00093AB4" w:rsidP="00093AB4">
            <w:pPr>
              <w:pStyle w:val="Tabletext1"/>
              <w:ind w:left="0"/>
              <w:jc w:val="left"/>
            </w:pPr>
            <w:r w:rsidRPr="00096D98">
              <w:t>95</w:t>
            </w:r>
          </w:p>
        </w:tc>
        <w:tc>
          <w:tcPr>
            <w:tcW w:w="3081" w:type="dxa"/>
          </w:tcPr>
          <w:p w14:paraId="480D2695" w14:textId="77777777" w:rsidR="00093AB4" w:rsidRPr="00096D98" w:rsidRDefault="00093AB4" w:rsidP="00093AB4">
            <w:pPr>
              <w:pStyle w:val="Tabletext1"/>
              <w:ind w:left="0"/>
              <w:jc w:val="left"/>
            </w:pPr>
            <w:r w:rsidRPr="00096D98">
              <w:t>65</w:t>
            </w:r>
          </w:p>
        </w:tc>
      </w:tr>
      <w:tr w:rsidR="00093AB4" w:rsidRPr="00096D98" w14:paraId="029D3E16" w14:textId="77777777" w:rsidTr="00093AB4">
        <w:tc>
          <w:tcPr>
            <w:tcW w:w="3080" w:type="dxa"/>
          </w:tcPr>
          <w:p w14:paraId="516CC63D" w14:textId="77777777" w:rsidR="00093AB4" w:rsidRPr="00096D98" w:rsidRDefault="00093AB4" w:rsidP="00093AB4">
            <w:pPr>
              <w:pStyle w:val="Tabletext1"/>
              <w:ind w:left="0"/>
              <w:jc w:val="left"/>
            </w:pPr>
            <w:r w:rsidRPr="00096D98">
              <w:t xml:space="preserve">Range </w:t>
            </w:r>
            <w:r>
              <w:t>identified in section B.6.ii</w:t>
            </w:r>
          </w:p>
        </w:tc>
        <w:tc>
          <w:tcPr>
            <w:tcW w:w="3081" w:type="dxa"/>
          </w:tcPr>
          <w:p w14:paraId="54FDF4C4" w14:textId="4EB9DE5A" w:rsidR="00093AB4" w:rsidRPr="00096D98" w:rsidRDefault="00093AB4" w:rsidP="00093AB4">
            <w:pPr>
              <w:pStyle w:val="Tabletext1"/>
              <w:ind w:left="0"/>
              <w:jc w:val="left"/>
            </w:pPr>
            <w:r w:rsidRPr="00096D98">
              <w:t>(92.3</w:t>
            </w:r>
            <w:r w:rsidR="005D53E6">
              <w:t>–</w:t>
            </w:r>
            <w:r w:rsidRPr="00096D98">
              <w:t>100)</w:t>
            </w:r>
          </w:p>
        </w:tc>
        <w:tc>
          <w:tcPr>
            <w:tcW w:w="3081" w:type="dxa"/>
          </w:tcPr>
          <w:p w14:paraId="2DA3DE8B" w14:textId="4B940DEB" w:rsidR="00093AB4" w:rsidRPr="00096D98" w:rsidRDefault="00093AB4" w:rsidP="00093AB4">
            <w:pPr>
              <w:pStyle w:val="Tabletext1"/>
              <w:ind w:left="0"/>
              <w:jc w:val="left"/>
            </w:pPr>
            <w:r w:rsidRPr="00096D98">
              <w:t>(0</w:t>
            </w:r>
            <w:r w:rsidR="005D53E6">
              <w:t>–</w:t>
            </w:r>
            <w:r w:rsidRPr="00096D98">
              <w:t>100)</w:t>
            </w:r>
          </w:p>
        </w:tc>
      </w:tr>
      <w:tr w:rsidR="00093AB4" w:rsidRPr="00096D98" w14:paraId="284D5E9E" w14:textId="77777777" w:rsidTr="00093AB4">
        <w:tc>
          <w:tcPr>
            <w:tcW w:w="3080" w:type="dxa"/>
          </w:tcPr>
          <w:p w14:paraId="65637F52" w14:textId="77777777" w:rsidR="00093AB4" w:rsidRPr="00096D98" w:rsidRDefault="00093AB4" w:rsidP="00093AB4">
            <w:pPr>
              <w:pStyle w:val="Tabletext1"/>
              <w:ind w:left="0"/>
              <w:jc w:val="left"/>
            </w:pPr>
            <w:r w:rsidRPr="00096D98">
              <w:t>Valu</w:t>
            </w:r>
            <w:r>
              <w:t>es used in sensitivity analysis</w:t>
            </w:r>
          </w:p>
        </w:tc>
        <w:tc>
          <w:tcPr>
            <w:tcW w:w="3081" w:type="dxa"/>
          </w:tcPr>
          <w:p w14:paraId="351868E0" w14:textId="757DF012" w:rsidR="00093AB4" w:rsidRPr="00096D98" w:rsidRDefault="00093AB4" w:rsidP="00093AB4">
            <w:pPr>
              <w:pStyle w:val="Tabletext1"/>
              <w:ind w:left="0"/>
              <w:jc w:val="left"/>
            </w:pPr>
            <w:r>
              <w:t>(80</w:t>
            </w:r>
            <w:r w:rsidR="005D53E6">
              <w:t>–</w:t>
            </w:r>
            <w:r w:rsidRPr="00096D98">
              <w:t>100</w:t>
            </w:r>
            <w:r>
              <w:t>)</w:t>
            </w:r>
          </w:p>
        </w:tc>
        <w:tc>
          <w:tcPr>
            <w:tcW w:w="3081" w:type="dxa"/>
          </w:tcPr>
          <w:p w14:paraId="047C1C11" w14:textId="7B6FE150" w:rsidR="00093AB4" w:rsidRPr="00096D98" w:rsidRDefault="00093AB4" w:rsidP="00093AB4">
            <w:pPr>
              <w:pStyle w:val="Tabletext1"/>
              <w:ind w:left="0"/>
              <w:jc w:val="left"/>
            </w:pPr>
            <w:r w:rsidRPr="002E6C1A">
              <w:t>(</w:t>
            </w:r>
            <w:r>
              <w:t>3</w:t>
            </w:r>
            <w:r w:rsidRPr="002E6C1A">
              <w:t>0</w:t>
            </w:r>
            <w:r w:rsidR="005D53E6">
              <w:t>–</w:t>
            </w:r>
            <w:r w:rsidRPr="002E6C1A">
              <w:t>100)</w:t>
            </w:r>
          </w:p>
        </w:tc>
      </w:tr>
    </w:tbl>
    <w:p w14:paraId="3B338DD8" w14:textId="77777777" w:rsidR="00093AB4" w:rsidRDefault="00093AB4" w:rsidP="00093AB4">
      <w:pPr>
        <w:pStyle w:val="Tablenotes0"/>
      </w:pPr>
      <w:r>
        <w:t>CF = cystic fibrosis; FEB = fetal echogenic bowel</w:t>
      </w:r>
    </w:p>
    <w:p w14:paraId="43D56505" w14:textId="77777777" w:rsidR="00093AB4" w:rsidRDefault="00093AB4" w:rsidP="00093AB4">
      <w:pPr>
        <w:pStyle w:val="Tablenotes0"/>
      </w:pPr>
    </w:p>
    <w:p w14:paraId="6C914A94" w14:textId="3AC7213C" w:rsidR="00093AB4" w:rsidRDefault="00093AB4" w:rsidP="00093AB4">
      <w:pPr>
        <w:pStyle w:val="Heading2"/>
        <w:numPr>
          <w:ilvl w:val="2"/>
          <w:numId w:val="8"/>
        </w:numPr>
      </w:pPr>
      <w:bookmarkStart w:id="309" w:name="_Toc418179923"/>
      <w:r w:rsidRPr="005D23E5">
        <w:lastRenderedPageBreak/>
        <w:t xml:space="preserve">Summary of </w:t>
      </w:r>
      <w:r w:rsidR="000E4855">
        <w:t>R</w:t>
      </w:r>
      <w:r w:rsidRPr="005D23E5">
        <w:t xml:space="preserve">esults of </w:t>
      </w:r>
      <w:r w:rsidR="000E4855">
        <w:t>P</w:t>
      </w:r>
      <w:r w:rsidRPr="005D23E5">
        <w:t xml:space="preserve">re-modelling </w:t>
      </w:r>
      <w:r w:rsidR="000E4855">
        <w:t>S</w:t>
      </w:r>
      <w:r w:rsidRPr="005D23E5">
        <w:t xml:space="preserve">tudies and their </w:t>
      </w:r>
      <w:r w:rsidR="000E4855">
        <w:t>A</w:t>
      </w:r>
      <w:r w:rsidRPr="005D23E5">
        <w:t xml:space="preserve">pplication in the </w:t>
      </w:r>
      <w:r w:rsidR="000E4855">
        <w:t>E</w:t>
      </w:r>
      <w:r w:rsidRPr="005D23E5">
        <w:t xml:space="preserve">conomic </w:t>
      </w:r>
      <w:r w:rsidR="000E4855">
        <w:t>E</w:t>
      </w:r>
      <w:r w:rsidRPr="005D23E5">
        <w:t>valuation</w:t>
      </w:r>
      <w:bookmarkEnd w:id="309"/>
    </w:p>
    <w:p w14:paraId="1CE700D6" w14:textId="0452D65D" w:rsidR="00093AB4" w:rsidRPr="005C7403" w:rsidRDefault="00093AB4" w:rsidP="00093AB4">
      <w:r>
        <w:fldChar w:fldCharType="begin"/>
      </w:r>
      <w:r>
        <w:instrText xml:space="preserve"> REF _Ref413881251 \h </w:instrText>
      </w:r>
      <w:r>
        <w:fldChar w:fldCharType="separate"/>
      </w:r>
      <w:r w:rsidR="00BB0E3E" w:rsidRPr="002D2515">
        <w:t xml:space="preserve">Table </w:t>
      </w:r>
      <w:r w:rsidR="00BB0E3E">
        <w:rPr>
          <w:noProof/>
        </w:rPr>
        <w:t>53</w:t>
      </w:r>
      <w:r>
        <w:fldChar w:fldCharType="end"/>
      </w:r>
      <w:r>
        <w:t xml:space="preserve"> </w:t>
      </w:r>
      <w:r w:rsidRPr="005D23E5">
        <w:t>provides a summary of the findings of e</w:t>
      </w:r>
      <w:r>
        <w:t xml:space="preserve">ach pre-modelling study and </w:t>
      </w:r>
      <w:r w:rsidR="00532C2D">
        <w:t xml:space="preserve">its </w:t>
      </w:r>
      <w:r>
        <w:t xml:space="preserve">implications to </w:t>
      </w:r>
      <w:r w:rsidRPr="005D23E5">
        <w:t xml:space="preserve">the economic evaluation presented in </w:t>
      </w:r>
      <w:r w:rsidRPr="004E1BBD">
        <w:t>Section D</w:t>
      </w:r>
      <w:r>
        <w:t>.</w:t>
      </w:r>
    </w:p>
    <w:p w14:paraId="6517C8F6" w14:textId="78F65FE9" w:rsidR="00093AB4" w:rsidRPr="00E64F24" w:rsidRDefault="00093AB4" w:rsidP="00093AB4">
      <w:pPr>
        <w:pStyle w:val="TableHeading"/>
      </w:pPr>
      <w:bookmarkStart w:id="310" w:name="_Ref413881251"/>
      <w:bookmarkStart w:id="311" w:name="_Ref416682918"/>
      <w:bookmarkStart w:id="312" w:name="_Toc416855345"/>
      <w:bookmarkStart w:id="313" w:name="_Toc418179450"/>
      <w:r w:rsidRPr="002D2515">
        <w:t xml:space="preserve">Table </w:t>
      </w:r>
      <w:fldSimple w:instr=" SEQ Table \* ARABIC ">
        <w:r w:rsidR="00BB0E3E">
          <w:rPr>
            <w:noProof/>
          </w:rPr>
          <w:t>53</w:t>
        </w:r>
      </w:fldSimple>
      <w:bookmarkEnd w:id="310"/>
      <w:r w:rsidRPr="00E64F24">
        <w:tab/>
        <w:t xml:space="preserve">Summary of results of </w:t>
      </w:r>
      <w:r>
        <w:t>pre-modelling</w:t>
      </w:r>
      <w:r w:rsidRPr="00E64F24">
        <w:t xml:space="preserve"> studies and their </w:t>
      </w:r>
      <w:r w:rsidR="00532C2D">
        <w:t>implication</w:t>
      </w:r>
      <w:r w:rsidR="00532C2D" w:rsidRPr="00E64F24">
        <w:t xml:space="preserve">s </w:t>
      </w:r>
      <w:r w:rsidRPr="00E64F24">
        <w:t>in the economic evaluation</w:t>
      </w:r>
      <w:bookmarkEnd w:id="311"/>
      <w:bookmarkEnd w:id="312"/>
      <w:bookmarkEnd w:id="313"/>
    </w:p>
    <w:tbl>
      <w:tblPr>
        <w:tblStyle w:val="TableGrid1"/>
        <w:tblW w:w="0" w:type="auto"/>
        <w:tblLook w:val="01E0" w:firstRow="1" w:lastRow="1" w:firstColumn="1" w:lastColumn="1" w:noHBand="0" w:noVBand="0"/>
        <w:tblCaption w:val="Summary of results of pre-modelling studies and their uses in the economic evaluation"/>
        <w:tblDescription w:val="This table summarises how different evidence was used to address the translation issues identified with the clinical evidence base, including by referring to how this additional evidence is used in the economic evaluation."/>
      </w:tblPr>
      <w:tblGrid>
        <w:gridCol w:w="1391"/>
        <w:gridCol w:w="3088"/>
        <w:gridCol w:w="4763"/>
      </w:tblGrid>
      <w:tr w:rsidR="00093AB4" w:rsidRPr="00016EF1" w14:paraId="077FE9DF"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1391" w:type="dxa"/>
          </w:tcPr>
          <w:p w14:paraId="5C85808C" w14:textId="77777777" w:rsidR="00093AB4" w:rsidRPr="00016EF1" w:rsidRDefault="00093AB4" w:rsidP="00093AB4">
            <w:pPr>
              <w:pStyle w:val="TableHeading"/>
              <w:jc w:val="left"/>
            </w:pPr>
            <w:r w:rsidRPr="00016EF1">
              <w:t>Section</w:t>
            </w:r>
          </w:p>
        </w:tc>
        <w:tc>
          <w:tcPr>
            <w:tcW w:w="3088" w:type="dxa"/>
          </w:tcPr>
          <w:p w14:paraId="08A16C61" w14:textId="77777777" w:rsidR="00093AB4" w:rsidRPr="00016EF1" w:rsidRDefault="00093AB4" w:rsidP="00093AB4">
            <w:pPr>
              <w:pStyle w:val="TableHeading"/>
              <w:jc w:val="left"/>
            </w:pPr>
            <w:r w:rsidRPr="00016EF1">
              <w:t>Pre-modelling study</w:t>
            </w:r>
          </w:p>
        </w:tc>
        <w:tc>
          <w:tcPr>
            <w:tcW w:w="0" w:type="auto"/>
          </w:tcPr>
          <w:p w14:paraId="33C77FD5" w14:textId="77777777" w:rsidR="00093AB4" w:rsidRPr="00016EF1" w:rsidRDefault="00093AB4" w:rsidP="00093AB4">
            <w:pPr>
              <w:pStyle w:val="TableHeading"/>
              <w:jc w:val="left"/>
            </w:pPr>
            <w:r w:rsidRPr="00016EF1">
              <w:t>Results and applications in Section D</w:t>
            </w:r>
          </w:p>
        </w:tc>
      </w:tr>
      <w:tr w:rsidR="00093AB4" w:rsidRPr="00016EF1" w14:paraId="2B01EE89" w14:textId="77777777" w:rsidTr="0042252D">
        <w:tc>
          <w:tcPr>
            <w:tcW w:w="1391" w:type="dxa"/>
          </w:tcPr>
          <w:p w14:paraId="513BBB2B" w14:textId="77777777" w:rsidR="00093AB4" w:rsidRPr="00016EF1" w:rsidRDefault="00093AB4" w:rsidP="00093AB4">
            <w:pPr>
              <w:pStyle w:val="Tabletext1"/>
              <w:jc w:val="left"/>
            </w:pPr>
            <w:r w:rsidRPr="00016EF1">
              <w:t>Section C.1.1</w:t>
            </w:r>
          </w:p>
        </w:tc>
        <w:tc>
          <w:tcPr>
            <w:tcW w:w="3088" w:type="dxa"/>
          </w:tcPr>
          <w:p w14:paraId="7B88526F" w14:textId="1ECA5B58" w:rsidR="00093AB4" w:rsidRPr="00016EF1" w:rsidRDefault="00093AB4" w:rsidP="00093AB4">
            <w:pPr>
              <w:pStyle w:val="Tabletext1"/>
              <w:jc w:val="left"/>
            </w:pPr>
            <w:r w:rsidRPr="00016EF1">
              <w:t xml:space="preserve">Diagnostic </w:t>
            </w:r>
            <w:r w:rsidR="00E02CBD">
              <w:t>a</w:t>
            </w:r>
            <w:r w:rsidRPr="00016EF1">
              <w:t xml:space="preserve">ccuracy of </w:t>
            </w:r>
            <w:r w:rsidRPr="00FD37D3">
              <w:t>CFTR</w:t>
            </w:r>
            <w:r w:rsidRPr="00016EF1">
              <w:t xml:space="preserve"> mutation tests</w:t>
            </w:r>
          </w:p>
        </w:tc>
        <w:tc>
          <w:tcPr>
            <w:tcW w:w="0" w:type="auto"/>
          </w:tcPr>
          <w:p w14:paraId="37CF6928" w14:textId="541EEF72" w:rsidR="00093AB4" w:rsidRPr="00016EF1" w:rsidRDefault="00093AB4" w:rsidP="00093AB4">
            <w:pPr>
              <w:pStyle w:val="Tabletext1"/>
              <w:jc w:val="left"/>
            </w:pPr>
            <w:r w:rsidRPr="00016EF1">
              <w:t xml:space="preserve">Diagnostic accuracy of all </w:t>
            </w:r>
            <w:r w:rsidRPr="00FD37D3">
              <w:t>CFTR</w:t>
            </w:r>
            <w:r w:rsidRPr="00016EF1">
              <w:t xml:space="preserve"> mutation tests is assumed </w:t>
            </w:r>
            <w:r w:rsidR="00532C2D">
              <w:t xml:space="preserve">to be </w:t>
            </w:r>
            <w:r w:rsidRPr="00016EF1">
              <w:t>100%</w:t>
            </w:r>
          </w:p>
        </w:tc>
      </w:tr>
      <w:tr w:rsidR="00093AB4" w:rsidRPr="00016EF1" w14:paraId="340CCF7E" w14:textId="77777777" w:rsidTr="0042252D">
        <w:tc>
          <w:tcPr>
            <w:tcW w:w="1391" w:type="dxa"/>
          </w:tcPr>
          <w:p w14:paraId="0428D0CB" w14:textId="77777777" w:rsidR="00093AB4" w:rsidRPr="00016EF1" w:rsidRDefault="00093AB4" w:rsidP="00093AB4">
            <w:pPr>
              <w:pStyle w:val="Tabletext1"/>
              <w:jc w:val="left"/>
            </w:pPr>
            <w:r w:rsidRPr="00016EF1">
              <w:t>Section C.1.2</w:t>
            </w:r>
          </w:p>
        </w:tc>
        <w:tc>
          <w:tcPr>
            <w:tcW w:w="3088" w:type="dxa"/>
          </w:tcPr>
          <w:p w14:paraId="2CDEB91D" w14:textId="77777777" w:rsidR="00093AB4" w:rsidRPr="00016EF1" w:rsidRDefault="00093AB4" w:rsidP="00093AB4">
            <w:pPr>
              <w:pStyle w:val="Tabletext1"/>
              <w:jc w:val="left"/>
            </w:pPr>
            <w:r w:rsidRPr="00016EF1">
              <w:t xml:space="preserve">Clinical sensitivity </w:t>
            </w:r>
            <w:r>
              <w:t xml:space="preserve">(detection rate) </w:t>
            </w:r>
            <w:r w:rsidRPr="00016EF1">
              <w:t xml:space="preserve">of </w:t>
            </w:r>
            <w:r w:rsidRPr="00FD37D3">
              <w:t>CFTR</w:t>
            </w:r>
            <w:r w:rsidRPr="00016EF1">
              <w:t xml:space="preserve"> mutation tests</w:t>
            </w:r>
          </w:p>
        </w:tc>
        <w:tc>
          <w:tcPr>
            <w:tcW w:w="0" w:type="auto"/>
          </w:tcPr>
          <w:p w14:paraId="77705E4E" w14:textId="77777777" w:rsidR="00093AB4" w:rsidRDefault="00093AB4" w:rsidP="00093AB4">
            <w:pPr>
              <w:pStyle w:val="Tabletext1"/>
              <w:jc w:val="left"/>
            </w:pPr>
            <w:r>
              <w:t>Sensitivity of p</w:t>
            </w:r>
            <w:r w:rsidRPr="00016EF1">
              <w:t>anel-based test is assumed</w:t>
            </w:r>
            <w:r>
              <w:t xml:space="preserve"> as follows:</w:t>
            </w:r>
          </w:p>
          <w:p w14:paraId="2CDECF32" w14:textId="41D4D642" w:rsidR="00093AB4" w:rsidRDefault="00395A9E" w:rsidP="00093AB4">
            <w:pPr>
              <w:pStyle w:val="Tabletext1"/>
              <w:jc w:val="left"/>
            </w:pPr>
            <w:r>
              <w:t>N</w:t>
            </w:r>
            <w:r w:rsidR="00093AB4">
              <w:t>umber of mutations (clinical sensitivity)</w:t>
            </w:r>
          </w:p>
          <w:p w14:paraId="7ABF8A8D" w14:textId="77777777" w:rsidR="00093AB4" w:rsidRDefault="00093AB4" w:rsidP="00093AB4">
            <w:pPr>
              <w:pStyle w:val="Tabletext1"/>
              <w:jc w:val="left"/>
            </w:pPr>
            <w:r>
              <w:t>10 (80%)</w:t>
            </w:r>
          </w:p>
          <w:p w14:paraId="213337D0" w14:textId="77777777" w:rsidR="00093AB4" w:rsidRDefault="00093AB4" w:rsidP="00093AB4">
            <w:pPr>
              <w:pStyle w:val="Tabletext1"/>
              <w:jc w:val="left"/>
            </w:pPr>
            <w:r>
              <w:t>17 (83.5%)</w:t>
            </w:r>
          </w:p>
          <w:p w14:paraId="44F0F251" w14:textId="77777777" w:rsidR="00093AB4" w:rsidRDefault="00093AB4" w:rsidP="00093AB4">
            <w:pPr>
              <w:pStyle w:val="Tabletext1"/>
              <w:jc w:val="left"/>
            </w:pPr>
            <w:r>
              <w:t>23 (88%)</w:t>
            </w:r>
          </w:p>
          <w:p w14:paraId="6A8CD967" w14:textId="77777777" w:rsidR="00093AB4" w:rsidRPr="00016EF1" w:rsidRDefault="00093AB4" w:rsidP="00093AB4">
            <w:pPr>
              <w:pStyle w:val="Tabletext1"/>
              <w:jc w:val="left"/>
            </w:pPr>
            <w:r>
              <w:t>32 (92%)</w:t>
            </w:r>
          </w:p>
          <w:p w14:paraId="387D254D" w14:textId="1D2C86C2" w:rsidR="00093AB4" w:rsidRPr="00016EF1" w:rsidRDefault="00093AB4" w:rsidP="00093AB4">
            <w:pPr>
              <w:pStyle w:val="Tabletext1"/>
              <w:jc w:val="left"/>
            </w:pPr>
            <w:r w:rsidRPr="00016EF1">
              <w:t xml:space="preserve">Whole gene test is assumed </w:t>
            </w:r>
            <w:r w:rsidR="00532C2D">
              <w:t xml:space="preserve">to be </w:t>
            </w:r>
            <w:r w:rsidRPr="00016EF1">
              <w:t>100% sensitive</w:t>
            </w:r>
          </w:p>
        </w:tc>
      </w:tr>
      <w:tr w:rsidR="00093AB4" w:rsidRPr="00016EF1" w14:paraId="73D20162" w14:textId="77777777" w:rsidTr="0042252D">
        <w:tc>
          <w:tcPr>
            <w:tcW w:w="1391" w:type="dxa"/>
          </w:tcPr>
          <w:p w14:paraId="6A80EA6A" w14:textId="77777777" w:rsidR="00093AB4" w:rsidRPr="00016EF1" w:rsidRDefault="00093AB4" w:rsidP="00093AB4">
            <w:pPr>
              <w:pStyle w:val="Tabletext1"/>
              <w:jc w:val="left"/>
            </w:pPr>
            <w:r w:rsidRPr="00016EF1">
              <w:t>Section C.1.3</w:t>
            </w:r>
          </w:p>
        </w:tc>
        <w:tc>
          <w:tcPr>
            <w:tcW w:w="3088" w:type="dxa"/>
          </w:tcPr>
          <w:p w14:paraId="6EADD5F2" w14:textId="77777777" w:rsidR="00093AB4" w:rsidRPr="00016EF1" w:rsidRDefault="00093AB4" w:rsidP="00093AB4">
            <w:pPr>
              <w:pStyle w:val="Tabletext1"/>
              <w:jc w:val="left"/>
            </w:pPr>
            <w:r w:rsidRPr="00016EF1">
              <w:t>Incidence of CF in fetuses showing FEB</w:t>
            </w:r>
          </w:p>
        </w:tc>
        <w:tc>
          <w:tcPr>
            <w:tcW w:w="0" w:type="auto"/>
          </w:tcPr>
          <w:p w14:paraId="1DF5A545" w14:textId="3B2F8635" w:rsidR="00093AB4" w:rsidRPr="00016EF1" w:rsidRDefault="00093AB4">
            <w:pPr>
              <w:pStyle w:val="Tabletext1"/>
              <w:jc w:val="left"/>
            </w:pPr>
            <w:r w:rsidRPr="00016EF1">
              <w:t>Incidence of FEB is</w:t>
            </w:r>
            <w:r>
              <w:t xml:space="preserve"> assumed to be 4.5%</w:t>
            </w:r>
            <w:r w:rsidR="00532C2D">
              <w:t>;</w:t>
            </w:r>
            <w:r>
              <w:t xml:space="preserve"> </w:t>
            </w:r>
            <w:r w:rsidR="00532C2D">
              <w:t>v</w:t>
            </w:r>
            <w:r>
              <w:t>alue</w:t>
            </w:r>
            <w:r w:rsidRPr="00016EF1">
              <w:t xml:space="preserve"> </w:t>
            </w:r>
            <w:r>
              <w:t>range of 2</w:t>
            </w:r>
            <w:r w:rsidRPr="00016EF1">
              <w:t>%</w:t>
            </w:r>
            <w:r w:rsidR="00FA7119">
              <w:t>–</w:t>
            </w:r>
            <w:r w:rsidRPr="00016EF1">
              <w:t xml:space="preserve">13% </w:t>
            </w:r>
            <w:r>
              <w:t>is</w:t>
            </w:r>
            <w:r w:rsidRPr="00016EF1">
              <w:t xml:space="preserve"> tested in sensitivity analysis</w:t>
            </w:r>
          </w:p>
        </w:tc>
      </w:tr>
      <w:tr w:rsidR="00093AB4" w:rsidRPr="00016EF1" w14:paraId="1E1E4B78" w14:textId="77777777" w:rsidTr="0042252D">
        <w:tc>
          <w:tcPr>
            <w:tcW w:w="1391" w:type="dxa"/>
          </w:tcPr>
          <w:p w14:paraId="5A8C0B14" w14:textId="77777777" w:rsidR="00093AB4" w:rsidRPr="00016EF1" w:rsidRDefault="00093AB4" w:rsidP="00093AB4">
            <w:pPr>
              <w:pStyle w:val="Tabletext1"/>
              <w:jc w:val="left"/>
            </w:pPr>
            <w:r w:rsidRPr="00016EF1">
              <w:t>Section C.1.4</w:t>
            </w:r>
          </w:p>
        </w:tc>
        <w:tc>
          <w:tcPr>
            <w:tcW w:w="3088" w:type="dxa"/>
          </w:tcPr>
          <w:p w14:paraId="4991EF7B" w14:textId="77777777" w:rsidR="00093AB4" w:rsidRPr="00016EF1" w:rsidRDefault="00093AB4" w:rsidP="00093AB4">
            <w:pPr>
              <w:pStyle w:val="Tabletext1"/>
              <w:jc w:val="left"/>
            </w:pPr>
            <w:r w:rsidRPr="00016EF1">
              <w:t xml:space="preserve">Risk of miscarriage </w:t>
            </w:r>
            <w:r>
              <w:t>attributable</w:t>
            </w:r>
            <w:r w:rsidRPr="00016EF1">
              <w:t xml:space="preserve"> </w:t>
            </w:r>
            <w:r>
              <w:t>to</w:t>
            </w:r>
            <w:r w:rsidRPr="00016EF1">
              <w:t xml:space="preserve"> invasive testing</w:t>
            </w:r>
          </w:p>
        </w:tc>
        <w:tc>
          <w:tcPr>
            <w:tcW w:w="0" w:type="auto"/>
          </w:tcPr>
          <w:p w14:paraId="7E9D2D21" w14:textId="77777777" w:rsidR="00093AB4" w:rsidRDefault="00093AB4" w:rsidP="00093AB4">
            <w:pPr>
              <w:pStyle w:val="Tabletext1"/>
              <w:jc w:val="left"/>
            </w:pPr>
            <w:r>
              <w:t>Parents known carriers: 0.15%</w:t>
            </w:r>
          </w:p>
          <w:p w14:paraId="6ED936F5" w14:textId="77777777" w:rsidR="00093AB4" w:rsidRPr="00016EF1" w:rsidRDefault="00093AB4" w:rsidP="00093AB4">
            <w:pPr>
              <w:pStyle w:val="Tabletext1"/>
              <w:jc w:val="left"/>
            </w:pPr>
            <w:r>
              <w:t>Fetus has FEB: 0.11%</w:t>
            </w:r>
          </w:p>
        </w:tc>
      </w:tr>
      <w:tr w:rsidR="00093AB4" w:rsidRPr="00016EF1" w14:paraId="27BF807A" w14:textId="77777777" w:rsidTr="0042252D">
        <w:tc>
          <w:tcPr>
            <w:tcW w:w="1391" w:type="dxa"/>
          </w:tcPr>
          <w:p w14:paraId="0B41F4D1" w14:textId="77777777" w:rsidR="00093AB4" w:rsidRPr="00016EF1" w:rsidRDefault="00093AB4" w:rsidP="00093AB4">
            <w:pPr>
              <w:pStyle w:val="Tabletext1"/>
              <w:jc w:val="left"/>
            </w:pPr>
            <w:r w:rsidRPr="00016EF1">
              <w:t>Section C.1.5</w:t>
            </w:r>
          </w:p>
        </w:tc>
        <w:tc>
          <w:tcPr>
            <w:tcW w:w="3088" w:type="dxa"/>
          </w:tcPr>
          <w:p w14:paraId="7C59AE91" w14:textId="77777777" w:rsidR="00093AB4" w:rsidRPr="00016EF1" w:rsidRDefault="00093AB4" w:rsidP="00093AB4">
            <w:pPr>
              <w:pStyle w:val="Tabletext1"/>
              <w:jc w:val="left"/>
            </w:pPr>
            <w:r w:rsidRPr="00016EF1">
              <w:t>TOP uptake rate</w:t>
            </w:r>
          </w:p>
        </w:tc>
        <w:tc>
          <w:tcPr>
            <w:tcW w:w="0" w:type="auto"/>
          </w:tcPr>
          <w:p w14:paraId="178AFD2B" w14:textId="293C7353" w:rsidR="00093AB4" w:rsidRDefault="00093AB4" w:rsidP="00093AB4">
            <w:pPr>
              <w:pStyle w:val="Tabletext1"/>
              <w:jc w:val="left"/>
            </w:pPr>
            <w:r>
              <w:t>Parents known carriers: (80%</w:t>
            </w:r>
            <w:r w:rsidR="00E02CBD">
              <w:t>–</w:t>
            </w:r>
            <w:r>
              <w:t>100%)</w:t>
            </w:r>
          </w:p>
          <w:p w14:paraId="4A1F2446" w14:textId="0F21095A" w:rsidR="00093AB4" w:rsidRPr="00016EF1" w:rsidRDefault="00093AB4" w:rsidP="00093AB4">
            <w:pPr>
              <w:pStyle w:val="Tabletext1"/>
              <w:jc w:val="left"/>
            </w:pPr>
            <w:r>
              <w:t>Fetus has FEB: (30%</w:t>
            </w:r>
            <w:r w:rsidR="00E02CBD">
              <w:t>–</w:t>
            </w:r>
            <w:r>
              <w:t>100%)</w:t>
            </w:r>
          </w:p>
        </w:tc>
      </w:tr>
    </w:tbl>
    <w:p w14:paraId="78B08323" w14:textId="77777777" w:rsidR="00093AB4" w:rsidRDefault="00093AB4" w:rsidP="006D2CA8">
      <w:pPr>
        <w:pStyle w:val="Tablenotes0"/>
        <w:jc w:val="left"/>
      </w:pPr>
      <w:r>
        <w:t xml:space="preserve">CF = cystic fibrosis; </w:t>
      </w:r>
      <w:r w:rsidRPr="00FD37D3">
        <w:t>CFTR</w:t>
      </w:r>
      <w:r>
        <w:t xml:space="preserve"> = cystic fibrosis </w:t>
      </w:r>
      <w:r w:rsidRPr="00FF3C43">
        <w:t>transmembrane conductance regulator</w:t>
      </w:r>
      <w:r>
        <w:t>; FEB = fetal echogenic bowel; TOP = termination of pregnancy</w:t>
      </w:r>
    </w:p>
    <w:p w14:paraId="10BDC168" w14:textId="01707F24" w:rsidR="00D27B8A" w:rsidRPr="00D27B8A" w:rsidRDefault="00D27B8A">
      <w:pPr>
        <w:pStyle w:val="Heading1"/>
        <w:tabs>
          <w:tab w:val="left" w:pos="2268"/>
        </w:tabs>
      </w:pPr>
      <w:bookmarkStart w:id="314" w:name="_Toc418179924"/>
      <w:r>
        <w:lastRenderedPageBreak/>
        <w:t>Section D</w:t>
      </w:r>
      <w:r>
        <w:tab/>
        <w:t xml:space="preserve">Economic </w:t>
      </w:r>
      <w:r w:rsidR="001E2D6D">
        <w:t>E</w:t>
      </w:r>
      <w:r>
        <w:t>valuation</w:t>
      </w:r>
      <w:bookmarkEnd w:id="314"/>
    </w:p>
    <w:p w14:paraId="38BAA725" w14:textId="77777777" w:rsidR="00093AB4" w:rsidRPr="009D5409" w:rsidRDefault="00093AB4" w:rsidP="00093AB4">
      <w:pPr>
        <w:pStyle w:val="CommentText"/>
        <w:rPr>
          <w:sz w:val="22"/>
        </w:rPr>
      </w:pPr>
      <w:bookmarkStart w:id="315" w:name="_Toc381796475"/>
      <w:r>
        <w:rPr>
          <w:sz w:val="22"/>
        </w:rPr>
        <w:t>E</w:t>
      </w:r>
      <w:r w:rsidRPr="009D5409">
        <w:rPr>
          <w:sz w:val="22"/>
        </w:rPr>
        <w:t xml:space="preserve">conomic </w:t>
      </w:r>
      <w:r>
        <w:rPr>
          <w:sz w:val="22"/>
        </w:rPr>
        <w:t xml:space="preserve">analyses are presented </w:t>
      </w:r>
      <w:r w:rsidRPr="009D5409">
        <w:rPr>
          <w:sz w:val="22"/>
        </w:rPr>
        <w:t>only for</w:t>
      </w:r>
      <w:r>
        <w:rPr>
          <w:sz w:val="22"/>
        </w:rPr>
        <w:t xml:space="preserve"> prenatal testing (</w:t>
      </w:r>
      <w:r w:rsidRPr="009D5409">
        <w:rPr>
          <w:sz w:val="22"/>
        </w:rPr>
        <w:t xml:space="preserve">populations </w:t>
      </w:r>
      <w:r>
        <w:rPr>
          <w:sz w:val="22"/>
        </w:rPr>
        <w:t>3a</w:t>
      </w:r>
      <w:r w:rsidRPr="009D5409">
        <w:rPr>
          <w:sz w:val="22"/>
        </w:rPr>
        <w:t xml:space="preserve"> and </w:t>
      </w:r>
      <w:r>
        <w:rPr>
          <w:sz w:val="22"/>
        </w:rPr>
        <w:t>3b)</w:t>
      </w:r>
      <w:r w:rsidRPr="009D5409">
        <w:rPr>
          <w:sz w:val="22"/>
        </w:rPr>
        <w:t>, as per section A.8</w:t>
      </w:r>
      <w:r>
        <w:rPr>
          <w:sz w:val="22"/>
        </w:rPr>
        <w:t>.</w:t>
      </w:r>
    </w:p>
    <w:p w14:paraId="25569475" w14:textId="77777777" w:rsidR="00737CDB" w:rsidRPr="007D607D" w:rsidRDefault="00737CDB" w:rsidP="00737CDB">
      <w:pPr>
        <w:pStyle w:val="Heading2"/>
        <w:numPr>
          <w:ilvl w:val="3"/>
          <w:numId w:val="9"/>
        </w:numPr>
      </w:pPr>
      <w:bookmarkStart w:id="316" w:name="_Toc418179925"/>
      <w:r w:rsidRPr="007D607D">
        <w:t>Overview</w:t>
      </w:r>
      <w:bookmarkEnd w:id="315"/>
      <w:bookmarkEnd w:id="316"/>
    </w:p>
    <w:p w14:paraId="54FA6D56" w14:textId="1DA2CA92" w:rsidR="00093AB4" w:rsidRDefault="00093AB4" w:rsidP="00093AB4">
      <w:bookmarkStart w:id="317" w:name="_Toc381796477"/>
      <w:r w:rsidRPr="00127652">
        <w:t xml:space="preserve">The clinical evaluation suggested that, relative to no genetic testing, prenatal genetic </w:t>
      </w:r>
      <w:r w:rsidRPr="00FD37D3">
        <w:t>CFTR</w:t>
      </w:r>
      <w:r w:rsidRPr="00127652">
        <w:t xml:space="preserve"> testing and associated interventions ha</w:t>
      </w:r>
      <w:r w:rsidR="00814773">
        <w:t>ve</w:t>
      </w:r>
      <w:r w:rsidRPr="00127652">
        <w:t xml:space="preserve"> slightly inferior safety and superior effectiveness based on the evidence profile given in section B.8. It was therefore decided that a cost-effectiveness analysis would be undertaken for the economic evaluation.</w:t>
      </w:r>
    </w:p>
    <w:p w14:paraId="2641679E" w14:textId="78592BA5" w:rsidR="00093AB4" w:rsidRDefault="00093AB4" w:rsidP="00093AB4">
      <w:r>
        <w:t xml:space="preserve">Most CF cases are currently diagnosed through </w:t>
      </w:r>
      <w:r w:rsidR="0067459F">
        <w:t>NBS</w:t>
      </w:r>
      <w:r>
        <w:t xml:space="preserve"> in Australia. Therefore, absence of prenatal testing and CF diagnosis after birth through </w:t>
      </w:r>
      <w:r w:rsidR="0067459F">
        <w:t>NBS</w:t>
      </w:r>
      <w:r>
        <w:t xml:space="preserve"> was considered current clinical practice and</w:t>
      </w:r>
      <w:r w:rsidR="0042671C">
        <w:t>,</w:t>
      </w:r>
      <w:r>
        <w:t xml:space="preserve"> thus, chosen as a comparator. Since the risks and subsequent decisions vary across populations 2a and 2b, separate models were constructed for each. Model 1 evaluates </w:t>
      </w:r>
      <w:r w:rsidR="00A93010">
        <w:t xml:space="preserve">the </w:t>
      </w:r>
      <w:r>
        <w:t xml:space="preserve">economic implications of introducing prenatal testing for a population of fetuses with parents known to be </w:t>
      </w:r>
      <w:r w:rsidRPr="00FD37D3">
        <w:t>CFTR</w:t>
      </w:r>
      <w:r>
        <w:t xml:space="preserve"> carriers (population 2a)</w:t>
      </w:r>
      <w:r w:rsidR="00814773">
        <w:t>,</w:t>
      </w:r>
      <w:r>
        <w:t xml:space="preserve"> and </w:t>
      </w:r>
      <w:r w:rsidR="009711F2">
        <w:t>m</w:t>
      </w:r>
      <w:r>
        <w:t>odel 2 comprises a population of fetuses who have FEB detected on the second</w:t>
      </w:r>
      <w:r w:rsidR="00A93010">
        <w:t>-</w:t>
      </w:r>
      <w:r>
        <w:t>trimester ultrasound (population 2b). The economic analysis takes the form of d</w:t>
      </w:r>
      <w:r w:rsidRPr="004C2F79">
        <w:t xml:space="preserve">ecision tree </w:t>
      </w:r>
      <w:r>
        <w:t>analyses, incorporating the incidence of CF, test sensitivity and parental choices for diagnostic tests and terminations</w:t>
      </w:r>
      <w:r w:rsidRPr="004C2F79">
        <w:t xml:space="preserve">. </w:t>
      </w:r>
      <w:r w:rsidRPr="001F3AC6">
        <w:t>The time horizon for the model is pregnancy to birth</w:t>
      </w:r>
      <w:r>
        <w:t xml:space="preserve"> (including </w:t>
      </w:r>
      <w:r w:rsidR="0067459F">
        <w:t>NBS</w:t>
      </w:r>
      <w:r>
        <w:t xml:space="preserve">). The resource implications of providing prenatal testing take into account the costs of diagnostic tests, termination, miscarriage, birth and </w:t>
      </w:r>
      <w:r w:rsidR="0067459F">
        <w:t>NBS</w:t>
      </w:r>
      <w:r w:rsidRPr="001F3AC6">
        <w:t>.</w:t>
      </w:r>
      <w:r>
        <w:t xml:space="preserve"> Outcomes were measured as number of CF cases diagnosed prenatally, number of procedure-related fetal losses, number of pre-informed CF births and number of CF births averted. Cost-effectiveness is presented as cost per CF case diagnosed prenatally, cost per pre-informed CF birth and cost per CF birth averted.</w:t>
      </w:r>
    </w:p>
    <w:p w14:paraId="3630D70A" w14:textId="3044D462" w:rsidR="00093AB4" w:rsidRPr="00183E4D" w:rsidRDefault="00093AB4" w:rsidP="00093AB4">
      <w:r>
        <w:t>Four scenarios were considered in the economic analys</w:t>
      </w:r>
      <w:r w:rsidR="00A959DD">
        <w:t>i</w:t>
      </w:r>
      <w:r>
        <w:t xml:space="preserve">s, based on the number of mutations included and </w:t>
      </w:r>
      <w:r w:rsidR="00A959DD">
        <w:t xml:space="preserve">the </w:t>
      </w:r>
      <w:r>
        <w:t>clinical sensitivity of a common mutation test. Various sensitivity analyses were also undertaken. Under the baseline assumptions (10</w:t>
      </w:r>
      <w:r w:rsidR="00A959DD">
        <w:t>-</w:t>
      </w:r>
      <w:r>
        <w:t>mutation panel with 80% test sensitivity and cost of $135), the incremental costs per CF birth averted are $1</w:t>
      </w:r>
      <w:r w:rsidR="00787794">
        <w:t>,</w:t>
      </w:r>
      <w:r>
        <w:t xml:space="preserve">898 and $23,254 for </w:t>
      </w:r>
      <w:r w:rsidR="009711F2">
        <w:t>m</w:t>
      </w:r>
      <w:r>
        <w:t xml:space="preserve">odel 1 and </w:t>
      </w:r>
      <w:r w:rsidR="009711F2">
        <w:t>m</w:t>
      </w:r>
      <w:r>
        <w:t>odel 2</w:t>
      </w:r>
      <w:r w:rsidR="00787794">
        <w:t>,</w:t>
      </w:r>
      <w:r>
        <w:t xml:space="preserve"> respectively. Although the mutation panels (additional scenarios) with higher sensitivity result in higher effectiveness, </w:t>
      </w:r>
      <w:r w:rsidR="00787794">
        <w:t xml:space="preserve">this </w:t>
      </w:r>
      <w:r>
        <w:t xml:space="preserve">is offset by the higher costs of the mutation test. The incremental costs per CF birth averted were observed to be driven largely by the cost of the diagnostic tests (common mutation test and whole gene sequencing). In </w:t>
      </w:r>
      <w:r w:rsidR="009711F2">
        <w:t>m</w:t>
      </w:r>
      <w:r>
        <w:t xml:space="preserve">odel 1 </w:t>
      </w:r>
      <w:r w:rsidR="00787794">
        <w:t xml:space="preserve">the </w:t>
      </w:r>
      <w:r>
        <w:t xml:space="preserve">incremental cost per CF birth averted is most sensitive to decreases in </w:t>
      </w:r>
      <w:r w:rsidRPr="007E7D30">
        <w:t>the uptake rate of terminations of CF-affected pregnancies</w:t>
      </w:r>
      <w:r w:rsidR="0012201A">
        <w:t>,</w:t>
      </w:r>
      <w:r w:rsidRPr="007E7D30">
        <w:t xml:space="preserve"> wh</w:t>
      </w:r>
      <w:r w:rsidR="00787794">
        <w:t>er</w:t>
      </w:r>
      <w:r w:rsidR="00410C98">
        <w:t>e</w:t>
      </w:r>
      <w:r w:rsidR="00787794">
        <w:t>as</w:t>
      </w:r>
      <w:r w:rsidRPr="007E7D30">
        <w:t xml:space="preserve"> in </w:t>
      </w:r>
      <w:r w:rsidR="009711F2">
        <w:t>m</w:t>
      </w:r>
      <w:r w:rsidRPr="007E7D30">
        <w:t xml:space="preserve">odel 2 </w:t>
      </w:r>
      <w:r w:rsidR="00787794">
        <w:t xml:space="preserve">the </w:t>
      </w:r>
      <w:r w:rsidRPr="007E7D30">
        <w:t>incremental cost per CF birth averted is most sensitive to the incidence of CF in this population and the uptake rate of terminations of CF-affected pregnancies</w:t>
      </w:r>
      <w:r>
        <w:t>.</w:t>
      </w:r>
    </w:p>
    <w:p w14:paraId="21EC04F6" w14:textId="5B948FFD" w:rsidR="00737CDB" w:rsidRPr="00183E4D" w:rsidRDefault="00737CDB" w:rsidP="00737CDB">
      <w:pPr>
        <w:pStyle w:val="Heading2"/>
        <w:numPr>
          <w:ilvl w:val="3"/>
          <w:numId w:val="9"/>
        </w:numPr>
      </w:pPr>
      <w:bookmarkStart w:id="318" w:name="_Toc418179926"/>
      <w:r w:rsidRPr="00183E4D">
        <w:lastRenderedPageBreak/>
        <w:t xml:space="preserve">Populations and </w:t>
      </w:r>
      <w:r w:rsidR="00DA4B04">
        <w:t>S</w:t>
      </w:r>
      <w:r w:rsidRPr="00183E4D">
        <w:t>ettings</w:t>
      </w:r>
      <w:bookmarkEnd w:id="317"/>
      <w:bookmarkEnd w:id="318"/>
    </w:p>
    <w:p w14:paraId="7687177F" w14:textId="2983652C" w:rsidR="00737CDB" w:rsidRPr="00127652" w:rsidRDefault="00737CDB" w:rsidP="00737CDB">
      <w:r w:rsidRPr="00127652">
        <w:t>The economic analysis compare</w:t>
      </w:r>
      <w:r w:rsidR="004C66E7">
        <w:t>s</w:t>
      </w:r>
      <w:r w:rsidRPr="00127652">
        <w:t xml:space="preserve"> </w:t>
      </w:r>
      <w:r w:rsidR="004C66E7" w:rsidRPr="00127652">
        <w:t xml:space="preserve">the costs associated with </w:t>
      </w:r>
      <w:r w:rsidRPr="00127652">
        <w:t xml:space="preserve">prenatal CF diagnosis </w:t>
      </w:r>
      <w:r w:rsidRPr="00127652">
        <w:rPr>
          <w:bCs/>
        </w:rPr>
        <w:t>in pregnancies where fetuses are assessed at high risk of having CF</w:t>
      </w:r>
      <w:r w:rsidR="00093AB4">
        <w:t xml:space="preserve"> </w:t>
      </w:r>
      <w:r w:rsidR="004C66E7">
        <w:t>(</w:t>
      </w:r>
      <w:r w:rsidR="00093AB4">
        <w:t>population</w:t>
      </w:r>
      <w:r w:rsidR="004C66E7">
        <w:t>s</w:t>
      </w:r>
      <w:r w:rsidR="00093AB4">
        <w:t xml:space="preserve"> 2a and 2b</w:t>
      </w:r>
      <w:r w:rsidRPr="00127652">
        <w:t xml:space="preserve"> in </w:t>
      </w:r>
      <w:r w:rsidRPr="00127652">
        <w:fldChar w:fldCharType="begin"/>
      </w:r>
      <w:r w:rsidRPr="00127652">
        <w:instrText xml:space="preserve"> REF _Ref401920123 \h  \* MERGEFORMAT </w:instrText>
      </w:r>
      <w:r w:rsidRPr="00127652">
        <w:fldChar w:fldCharType="separate"/>
      </w:r>
      <w:r w:rsidR="00BB0E3E">
        <w:t>Table 9</w:t>
      </w:r>
      <w:r w:rsidRPr="00127652">
        <w:fldChar w:fldCharType="end"/>
      </w:r>
      <w:r w:rsidR="004C66E7">
        <w:t>)</w:t>
      </w:r>
      <w:r w:rsidRPr="00127652" w:rsidDel="00090FF4">
        <w:t xml:space="preserve"> </w:t>
      </w:r>
      <w:r w:rsidRPr="00127652">
        <w:t xml:space="preserve">with no prenatal genetic testing, as these populations have not been assessed elsewhere. This includes prenatal diagnosis of couples who have a previous child with CF or </w:t>
      </w:r>
      <w:r w:rsidR="004C66E7">
        <w:t xml:space="preserve">a </w:t>
      </w:r>
      <w:r w:rsidR="00FD37D3" w:rsidRPr="00FD37D3">
        <w:t>CFTR</w:t>
      </w:r>
      <w:r w:rsidRPr="00127652">
        <w:t xml:space="preserve">-related disorder, or who are found to be carriers of a </w:t>
      </w:r>
      <w:r w:rsidR="00FD37D3" w:rsidRPr="00FD37D3">
        <w:t>CFTR</w:t>
      </w:r>
      <w:r w:rsidRPr="00127652">
        <w:t xml:space="preserve"> mutation (population with 1:4 risk) and where the fetus is found to have an ‘echogenic gut’ on ultrasound during the second trimester. </w:t>
      </w:r>
    </w:p>
    <w:p w14:paraId="379D63F0" w14:textId="2780D5D2" w:rsidR="00737CDB" w:rsidRPr="00127652" w:rsidRDefault="00737CDB" w:rsidP="00737CDB">
      <w:r w:rsidRPr="00127652">
        <w:t>Echogenic gut identified on mid</w:t>
      </w:r>
      <w:r w:rsidR="004C66E7">
        <w:t>-</w:t>
      </w:r>
      <w:r w:rsidRPr="00127652">
        <w:t xml:space="preserve">trimester ultrasound is a marker for poor fetal outcomes such as </w:t>
      </w:r>
      <w:r w:rsidRPr="00127652" w:rsidDel="00090FF4">
        <w:t>aneuploidy, congenital infection</w:t>
      </w:r>
      <w:r w:rsidRPr="00127652">
        <w:t>, intra</w:t>
      </w:r>
      <w:r w:rsidR="004C66E7">
        <w:t>-</w:t>
      </w:r>
      <w:r w:rsidRPr="00127652">
        <w:t>uterine growth restriction</w:t>
      </w:r>
      <w:r>
        <w:t xml:space="preserve">, </w:t>
      </w:r>
      <w:r w:rsidRPr="00E0400B">
        <w:t>amniotic haemorrhage</w:t>
      </w:r>
      <w:r w:rsidRPr="00127652" w:rsidDel="00090FF4">
        <w:t xml:space="preserve"> and CF</w:t>
      </w:r>
      <w:r w:rsidRPr="00127652">
        <w:t xml:space="preserve">. This means </w:t>
      </w:r>
      <w:r w:rsidR="00067A30">
        <w:t xml:space="preserve">that </w:t>
      </w:r>
      <w:r w:rsidRPr="00127652">
        <w:t xml:space="preserve">amniocentesis is often indicated not just for </w:t>
      </w:r>
      <w:r w:rsidR="00FD37D3" w:rsidRPr="00FD37D3">
        <w:t>CFTR</w:t>
      </w:r>
      <w:r w:rsidRPr="00127652">
        <w:t xml:space="preserve"> mutation testing. </w:t>
      </w:r>
      <w:r w:rsidRPr="00127652" w:rsidDel="00090FF4">
        <w:t xml:space="preserve">The pathway followed is generally dictated by risk assessment based on various factors such </w:t>
      </w:r>
      <w:r w:rsidRPr="00127652">
        <w:t xml:space="preserve">as </w:t>
      </w:r>
      <w:r w:rsidRPr="00127652" w:rsidDel="00090FF4">
        <w:t>maternal age</w:t>
      </w:r>
      <w:r w:rsidRPr="00127652">
        <w:t>,</w:t>
      </w:r>
      <w:r w:rsidRPr="00127652" w:rsidDel="00090FF4">
        <w:t xml:space="preserve"> </w:t>
      </w:r>
      <w:r w:rsidRPr="00127652">
        <w:t xml:space="preserve">results of biochemical serum screening, presence of other fetal structural anomalies, family history, </w:t>
      </w:r>
      <w:r w:rsidRPr="00127652" w:rsidDel="00090FF4">
        <w:t>ethnicity</w:t>
      </w:r>
      <w:r w:rsidRPr="00127652">
        <w:t xml:space="preserve"> </w:t>
      </w:r>
      <w:r w:rsidRPr="00127652" w:rsidDel="00090FF4">
        <w:t>and</w:t>
      </w:r>
      <w:r w:rsidRPr="00127652">
        <w:t xml:space="preserve"> parental preferences</w:t>
      </w:r>
      <w:r w:rsidR="00FC0D4E">
        <w:t xml:space="preserve"> </w:t>
      </w:r>
      <w:r>
        <w:fldChar w:fldCharType="begin">
          <w:fldData xml:space="preserve">PEVuZE5vdGU+PENpdGU+PEF1dGhvcj5TY290ZXQ8L0F1dGhvcj48WWVhcj4yMDEwPC9ZZWFyPjxS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</w:fldData>
        </w:fldChar>
      </w:r>
      <w:r w:rsidR="009A054F">
        <w:instrText xml:space="preserve"> ADDIN EN.CITE </w:instrText>
      </w:r>
      <w:r w:rsidR="009A054F">
        <w:fldChar w:fldCharType="begin">
          <w:fldData xml:space="preserve">PEVuZE5vdGU+PENpdGU+PEF1dGhvcj5TY290ZXQ8L0F1dGhvcj48WWVhcj4yMDEwPC9ZZWFyPjxS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</w:fldData>
        </w:fldChar>
      </w:r>
      <w:r w:rsidR="009A054F">
        <w:instrText xml:space="preserve"> ADDIN EN.CITE.DATA </w:instrText>
      </w:r>
      <w:r w:rsidR="009A054F">
        <w:fldChar w:fldCharType="end"/>
      </w:r>
      <w:r>
        <w:fldChar w:fldCharType="separate"/>
      </w:r>
      <w:r>
        <w:rPr>
          <w:noProof/>
        </w:rPr>
        <w:t>(</w:t>
      </w:r>
      <w:hyperlink w:anchor="_ENREF_112" w:tooltip="Scotet, 2010 #55" w:history="1">
        <w:r w:rsidR="00B46ABF">
          <w:rPr>
            <w:noProof/>
          </w:rPr>
          <w:t>Scotet et al. 2010</w:t>
        </w:r>
      </w:hyperlink>
      <w:r>
        <w:rPr>
          <w:noProof/>
        </w:rPr>
        <w:t>)</w:t>
      </w:r>
      <w:r>
        <w:fldChar w:fldCharType="end"/>
      </w:r>
      <w:r w:rsidR="00FC0D4E">
        <w:t>.</w:t>
      </w:r>
      <w:r>
        <w:t xml:space="preserve"> </w:t>
      </w:r>
      <w:r w:rsidRPr="00127652">
        <w:t>Therefore</w:t>
      </w:r>
      <w:r w:rsidR="00067A30">
        <w:t>,</w:t>
      </w:r>
      <w:r w:rsidRPr="00127652">
        <w:t xml:space="preserve"> only a part of this population</w:t>
      </w:r>
      <w:r w:rsidR="005E07E5">
        <w:t>—</w:t>
      </w:r>
      <w:r w:rsidRPr="00127652">
        <w:t xml:space="preserve">those who are being assessed </w:t>
      </w:r>
      <w:r w:rsidR="00067A30">
        <w:t xml:space="preserve">as being </w:t>
      </w:r>
      <w:r w:rsidRPr="00127652">
        <w:t>at higher risk of CF and indicative of invasive testing</w:t>
      </w:r>
      <w:r w:rsidR="005E07E5">
        <w:t>—</w:t>
      </w:r>
      <w:r>
        <w:t>are assumed to</w:t>
      </w:r>
      <w:r w:rsidRPr="00127652">
        <w:t xml:space="preserve"> under</w:t>
      </w:r>
      <w:r>
        <w:t>take</w:t>
      </w:r>
      <w:r w:rsidRPr="00127652">
        <w:t xml:space="preserve"> prenatal </w:t>
      </w:r>
      <w:r w:rsidR="00FD37D3" w:rsidRPr="00FD37D3">
        <w:t>CFTR</w:t>
      </w:r>
      <w:r w:rsidRPr="00127652">
        <w:t xml:space="preserve"> diagnostic testing.</w:t>
      </w:r>
    </w:p>
    <w:p w14:paraId="2C0FD152" w14:textId="4891FBDD" w:rsidR="00737CDB" w:rsidRPr="00127652" w:rsidRDefault="00737CDB" w:rsidP="00737CDB">
      <w:r w:rsidRPr="00127652">
        <w:t xml:space="preserve">Prenatal testing for CF consists of a search for the most common </w:t>
      </w:r>
      <w:r w:rsidR="00FD37D3" w:rsidRPr="00FD37D3">
        <w:t>CFTR</w:t>
      </w:r>
      <w:r w:rsidRPr="00127652">
        <w:t xml:space="preserve"> mutations in parental DNA samples. Their mutations are sought in </w:t>
      </w:r>
      <w:r w:rsidR="005E07E5">
        <w:t>CVS</w:t>
      </w:r>
      <w:r w:rsidRPr="00127652">
        <w:t>s or amniotic fluid cells, depending on the term of pregnancy. The fetus is considered affected with CF when it carries mutations from both parents</w:t>
      </w:r>
      <w:r w:rsidR="00067A30">
        <w:t>, who then</w:t>
      </w:r>
      <w:r w:rsidRPr="00127652">
        <w:t xml:space="preserve"> </w:t>
      </w:r>
      <w:r>
        <w:t xml:space="preserve">have an </w:t>
      </w:r>
      <w:r w:rsidRPr="00127652">
        <w:t xml:space="preserve">option of </w:t>
      </w:r>
      <w:r w:rsidR="00067A30">
        <w:t>TOP</w:t>
      </w:r>
      <w:r w:rsidRPr="00127652">
        <w:t>. It is important that fetal testing is done with</w:t>
      </w:r>
      <w:r w:rsidR="00FC0D4E">
        <w:t xml:space="preserve">in </w:t>
      </w:r>
      <w:r w:rsidRPr="00127652">
        <w:t xml:space="preserve">the valid timeframe to allow for </w:t>
      </w:r>
      <w:r w:rsidR="00067A30">
        <w:t xml:space="preserve">TOP </w:t>
      </w:r>
      <w:r w:rsidRPr="00127652">
        <w:t>if CF is diagnosed.</w:t>
      </w:r>
    </w:p>
    <w:p w14:paraId="75DDF62D" w14:textId="23781F7C" w:rsidR="00737CDB" w:rsidRPr="00127652" w:rsidRDefault="00737CDB" w:rsidP="006D2CA8">
      <w:pPr>
        <w:spacing w:after="120"/>
      </w:pPr>
      <w:r w:rsidRPr="00127652">
        <w:t xml:space="preserve">The following </w:t>
      </w:r>
      <w:r w:rsidR="00FD37D3" w:rsidRPr="00FD37D3">
        <w:t>CFTR</w:t>
      </w:r>
      <w:r w:rsidRPr="00127652">
        <w:t xml:space="preserve"> mutation analys</w:t>
      </w:r>
      <w:r w:rsidR="00067A30">
        <w:t>e</w:t>
      </w:r>
      <w:r w:rsidRPr="00127652">
        <w:t xml:space="preserve">s would be available for prenatal </w:t>
      </w:r>
      <w:r w:rsidR="00FD37D3" w:rsidRPr="00FD37D3">
        <w:t>CFTR</w:t>
      </w:r>
      <w:r w:rsidRPr="00127652">
        <w:t xml:space="preserve"> testing in each population:</w:t>
      </w:r>
    </w:p>
    <w:p w14:paraId="5F3A0FD0" w14:textId="550F0A8B" w:rsidR="00737CDB" w:rsidRPr="00127652" w:rsidRDefault="00067A30" w:rsidP="006D2CA8">
      <w:pPr>
        <w:numPr>
          <w:ilvl w:val="0"/>
          <w:numId w:val="19"/>
        </w:numPr>
        <w:spacing w:after="120"/>
      </w:pPr>
      <w:r>
        <w:t>c</w:t>
      </w:r>
      <w:r w:rsidR="00737CDB" w:rsidRPr="00127652">
        <w:t>ommon mutation test</w:t>
      </w:r>
      <w:r>
        <w:t>:</w:t>
      </w:r>
      <w:r w:rsidR="00737CDB" w:rsidRPr="00127652">
        <w:t xml:space="preserve"> </w:t>
      </w:r>
      <w:r>
        <w:t xml:space="preserve">a </w:t>
      </w:r>
      <w:r w:rsidR="00737CDB" w:rsidRPr="00127652">
        <w:t xml:space="preserve">minimum </w:t>
      </w:r>
      <w:r>
        <w:t xml:space="preserve">of </w:t>
      </w:r>
      <w:r w:rsidR="00737CDB" w:rsidRPr="00127652">
        <w:t>10 mutations tested (in parents)</w:t>
      </w:r>
    </w:p>
    <w:p w14:paraId="517D74F4" w14:textId="3D145030" w:rsidR="00737CDB" w:rsidRPr="00127652" w:rsidRDefault="00067A30" w:rsidP="006D2CA8">
      <w:pPr>
        <w:numPr>
          <w:ilvl w:val="0"/>
          <w:numId w:val="19"/>
        </w:numPr>
        <w:spacing w:after="120"/>
      </w:pPr>
      <w:r>
        <w:t>k</w:t>
      </w:r>
      <w:r w:rsidR="00737CDB" w:rsidRPr="00127652">
        <w:t>nown mutation test</w:t>
      </w:r>
      <w:r w:rsidR="00737CDB">
        <w:t>: s</w:t>
      </w:r>
      <w:r w:rsidR="00737CDB" w:rsidRPr="00127652">
        <w:t>ingle mutation test for F508del</w:t>
      </w:r>
      <w:r w:rsidR="00737CDB">
        <w:t xml:space="preserve"> or common mutation test</w:t>
      </w:r>
      <w:r w:rsidR="00737CDB" w:rsidRPr="00127652">
        <w:t xml:space="preserve"> (in fetus)</w:t>
      </w:r>
    </w:p>
    <w:p w14:paraId="54FC9F0A" w14:textId="4F55052C" w:rsidR="00737CDB" w:rsidRPr="00127652" w:rsidRDefault="00067A30" w:rsidP="006D2CA8">
      <w:pPr>
        <w:numPr>
          <w:ilvl w:val="0"/>
          <w:numId w:val="19"/>
        </w:numPr>
        <w:spacing w:after="120"/>
      </w:pPr>
      <w:r>
        <w:t>w</w:t>
      </w:r>
      <w:r w:rsidR="00737CDB" w:rsidRPr="00127652">
        <w:t>hole gene test (in fetus)</w:t>
      </w:r>
      <w:r>
        <w:t>.</w:t>
      </w:r>
    </w:p>
    <w:p w14:paraId="7A6E19C5" w14:textId="72994055" w:rsidR="00737CDB" w:rsidRPr="00127652" w:rsidRDefault="00737CDB" w:rsidP="00737CDB">
      <w:r w:rsidRPr="00127652">
        <w:t xml:space="preserve">In the parents of a fetus where no familial mutations are known, </w:t>
      </w:r>
      <w:r w:rsidR="00874239">
        <w:t xml:space="preserve">a </w:t>
      </w:r>
      <w:r w:rsidRPr="00127652">
        <w:t>common mutation analysis</w:t>
      </w:r>
      <w:r w:rsidR="00DF5916">
        <w:t xml:space="preserve"> </w:t>
      </w:r>
      <w:r w:rsidRPr="00127652">
        <w:t>would be done. If a mutation is found or known in both parents, known mutation analysis in the fetus would be performed (single mutation testing if both parents are carriers of F508del</w:t>
      </w:r>
      <w:r>
        <w:t xml:space="preserve"> and panel-based test in others</w:t>
      </w:r>
      <w:r w:rsidRPr="00127652">
        <w:t xml:space="preserve">), to target the previously identified parents’ known mutations. </w:t>
      </w:r>
      <w:r>
        <w:t xml:space="preserve">In cases where no common mutations have been identified in parents with </w:t>
      </w:r>
      <w:r w:rsidR="00874239">
        <w:t xml:space="preserve">a </w:t>
      </w:r>
      <w:r>
        <w:t xml:space="preserve">previous CF birth, a whole gene screen may be warranted in the fetus as </w:t>
      </w:r>
      <w:r w:rsidR="00874239">
        <w:t xml:space="preserve">the </w:t>
      </w:r>
      <w:r>
        <w:t>parents would be definite carriers of unidentified rare mutations</w:t>
      </w:r>
      <w:r w:rsidRPr="00127652">
        <w:t>.</w:t>
      </w:r>
      <w:r>
        <w:t xml:space="preserve"> In fetuses with FEB the residual risk of CF when no common mutations are identified in the parents would be low.</w:t>
      </w:r>
      <w:r w:rsidRPr="00127652">
        <w:t xml:space="preserve"> </w:t>
      </w:r>
      <w:r>
        <w:t>However, the risk of CF would be higher in the presence of FEB when only one parent is identified as a carrier</w:t>
      </w:r>
      <w:r w:rsidRPr="005B66B1">
        <w:t xml:space="preserve"> </w:t>
      </w:r>
      <w:r w:rsidR="00F57AF2">
        <w:fldChar w:fldCharType="begin">
          <w:fldData xml:space="preserve">PEVuZE5vdGU+PENpdGU+PEF1dGhvcj5Ib2RnZTwvQXV0aG9yPjxZZWFyPjE5OTk8L1llYXI+PFJl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</w:fldData>
        </w:fldChar>
      </w:r>
      <w:r w:rsidR="009A054F">
        <w:instrText xml:space="preserve"> ADDIN EN.CITE </w:instrText>
      </w:r>
      <w:r w:rsidR="009A054F">
        <w:fldChar w:fldCharType="begin">
          <w:fldData xml:space="preserve">PEVuZE5vdGU+PENpdGU+PEF1dGhvcj5Ib2RnZTwvQXV0aG9yPjxZZWFyPjE5OTk8L1llYXI+PFJl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</w:fldData>
        </w:fldChar>
      </w:r>
      <w:r w:rsidR="009A054F">
        <w:instrText xml:space="preserve"> ADDIN EN.CITE.DATA </w:instrText>
      </w:r>
      <w:r w:rsidR="009A054F">
        <w:fldChar w:fldCharType="end"/>
      </w:r>
      <w:r w:rsidR="00F57AF2">
        <w:fldChar w:fldCharType="separate"/>
      </w:r>
      <w:r w:rsidR="00F57AF2">
        <w:rPr>
          <w:noProof/>
        </w:rPr>
        <w:t>(</w:t>
      </w:r>
      <w:hyperlink w:anchor="_ENREF_53" w:tooltip="Hodge, 1999 #25" w:history="1">
        <w:r w:rsidR="00B46ABF">
          <w:rPr>
            <w:noProof/>
          </w:rPr>
          <w:t>Hodge et al. 1999</w:t>
        </w:r>
      </w:hyperlink>
      <w:r w:rsidR="00F57AF2">
        <w:rPr>
          <w:noProof/>
        </w:rPr>
        <w:t xml:space="preserve">; </w:t>
      </w:r>
      <w:hyperlink w:anchor="_ENREF_94" w:tooltip="Ogino, 2004 #46" w:history="1">
        <w:r w:rsidR="00B46ABF">
          <w:rPr>
            <w:noProof/>
          </w:rPr>
          <w:t>Ogino et al. 2004</w:t>
        </w:r>
      </w:hyperlink>
      <w:r w:rsidR="00F57AF2">
        <w:rPr>
          <w:noProof/>
        </w:rPr>
        <w:t>)</w:t>
      </w:r>
      <w:r w:rsidR="00F57AF2">
        <w:fldChar w:fldCharType="end"/>
      </w:r>
      <w:r>
        <w:t xml:space="preserve">. Therefore, </w:t>
      </w:r>
      <w:r w:rsidR="005E07E5">
        <w:t xml:space="preserve">a </w:t>
      </w:r>
      <w:r>
        <w:t>whole gene screen may be suggested in this case (see section D.3).</w:t>
      </w:r>
    </w:p>
    <w:p w14:paraId="6CDFA448" w14:textId="233705CB" w:rsidR="00737CDB" w:rsidRPr="00127652" w:rsidRDefault="00737CDB" w:rsidP="00737CDB">
      <w:r w:rsidRPr="00127652">
        <w:lastRenderedPageBreak/>
        <w:t xml:space="preserve">All parents undergoing prenatal genetic testing for </w:t>
      </w:r>
      <w:r w:rsidR="00874239">
        <w:t>CF</w:t>
      </w:r>
      <w:r w:rsidRPr="00127652">
        <w:t xml:space="preserve"> should undergo genetic counselling</w:t>
      </w:r>
      <w:r w:rsidR="00874239">
        <w:t>;</w:t>
      </w:r>
      <w:r w:rsidRPr="00127652">
        <w:t xml:space="preserve"> </w:t>
      </w:r>
      <w:r w:rsidR="00874239">
        <w:t>t</w:t>
      </w:r>
      <w:r w:rsidRPr="00127652">
        <w:t>herefore</w:t>
      </w:r>
      <w:r w:rsidR="00874239">
        <w:t>,</w:t>
      </w:r>
      <w:r w:rsidRPr="00127652">
        <w:t xml:space="preserve"> prenatal genetic </w:t>
      </w:r>
      <w:r w:rsidR="00FD37D3" w:rsidRPr="00FD37D3">
        <w:t>CFTR</w:t>
      </w:r>
      <w:r w:rsidRPr="00127652">
        <w:t xml:space="preserve"> testing should be restricted to specialist medical services that provide accredited genetic counselling. Obstetricians specialising in prenatal diagnosis or clinical geneticists should provide the service.</w:t>
      </w:r>
    </w:p>
    <w:p w14:paraId="5AAE58F6" w14:textId="37717539" w:rsidR="00737CDB" w:rsidRPr="00127652" w:rsidRDefault="00737CDB" w:rsidP="00737CDB">
      <w:r w:rsidRPr="00127652">
        <w:t xml:space="preserve">In the absence of prenatal genetic testing (comparator), the CF diagnosis is made during </w:t>
      </w:r>
      <w:r w:rsidR="0067459F">
        <w:t>NBS</w:t>
      </w:r>
      <w:r w:rsidR="009725EE">
        <w:t>,</w:t>
      </w:r>
      <w:r w:rsidRPr="00127652">
        <w:t xml:space="preserve"> which includes testing for elevated levels of IRT, DNA testing for common mutations</w:t>
      </w:r>
      <w:r w:rsidR="009725EE">
        <w:t>,</w:t>
      </w:r>
      <w:r w:rsidRPr="00127652">
        <w:t xml:space="preserve"> and </w:t>
      </w:r>
      <w:r w:rsidR="009725EE">
        <w:t xml:space="preserve">a </w:t>
      </w:r>
      <w:r w:rsidRPr="00127652">
        <w:t xml:space="preserve">sweat test as described in </w:t>
      </w:r>
      <w:r w:rsidR="00A156DF">
        <w:t>s</w:t>
      </w:r>
      <w:r w:rsidRPr="00127652">
        <w:t>ection A.2.2.</w:t>
      </w:r>
    </w:p>
    <w:p w14:paraId="6D97CA7A" w14:textId="64F8F7A1" w:rsidR="00737CDB" w:rsidRDefault="00737CDB" w:rsidP="00737CDB">
      <w:pPr>
        <w:pStyle w:val="Heading2"/>
        <w:numPr>
          <w:ilvl w:val="3"/>
          <w:numId w:val="9"/>
        </w:numPr>
      </w:pPr>
      <w:bookmarkStart w:id="319" w:name="_Toc381796478"/>
      <w:bookmarkStart w:id="320" w:name="_Toc418179927"/>
      <w:r w:rsidRPr="00183E4D">
        <w:t xml:space="preserve">Structure and </w:t>
      </w:r>
      <w:r w:rsidR="00EA09A3">
        <w:t>R</w:t>
      </w:r>
      <w:r w:rsidRPr="00183E4D">
        <w:t xml:space="preserve">ationale of the </w:t>
      </w:r>
      <w:r w:rsidR="00EA09A3">
        <w:t>E</w:t>
      </w:r>
      <w:r w:rsidRPr="00183E4D">
        <w:t xml:space="preserve">conomic </w:t>
      </w:r>
      <w:r w:rsidR="00EA09A3">
        <w:t>E</w:t>
      </w:r>
      <w:r w:rsidRPr="00183E4D">
        <w:t>valuation</w:t>
      </w:r>
      <w:bookmarkEnd w:id="319"/>
      <w:bookmarkEnd w:id="320"/>
    </w:p>
    <w:p w14:paraId="733FA6D9" w14:textId="77777777" w:rsidR="00737CDB" w:rsidRPr="00127652" w:rsidRDefault="00737CDB" w:rsidP="00737CDB">
      <w:pPr>
        <w:rPr>
          <w:b/>
        </w:rPr>
      </w:pPr>
      <w:bookmarkStart w:id="321" w:name="_Toc412551240"/>
      <w:r w:rsidRPr="00127652">
        <w:rPr>
          <w:b/>
        </w:rPr>
        <w:t>Literature review</w:t>
      </w:r>
      <w:bookmarkEnd w:id="321"/>
    </w:p>
    <w:p w14:paraId="6BF0CED6" w14:textId="3F15913F" w:rsidR="00737CDB" w:rsidRPr="00127652" w:rsidRDefault="00737CDB" w:rsidP="00737CDB">
      <w:r w:rsidRPr="00127652">
        <w:t xml:space="preserve">A literature search was conducted to identify published economic evaluations of prenatal diagnostic testing for </w:t>
      </w:r>
      <w:r w:rsidR="00FD37D3" w:rsidRPr="00FD37D3">
        <w:t>CFTR</w:t>
      </w:r>
      <w:r w:rsidRPr="00127652">
        <w:t xml:space="preserve"> mutations in fetuses at high risk of CF due to parents with </w:t>
      </w:r>
      <w:r w:rsidR="009725EE">
        <w:t xml:space="preserve">a </w:t>
      </w:r>
      <w:r w:rsidRPr="00127652">
        <w:t xml:space="preserve">previous child with CF (or </w:t>
      </w:r>
      <w:r w:rsidR="00FD37D3" w:rsidRPr="00FD37D3">
        <w:t>CFTR</w:t>
      </w:r>
      <w:r w:rsidR="009725EE">
        <w:t>-</w:t>
      </w:r>
      <w:r w:rsidRPr="00127652">
        <w:t>related disorders) and for fetuses showing echogenic bowel on the second</w:t>
      </w:r>
      <w:r w:rsidR="009725EE">
        <w:t>-</w:t>
      </w:r>
      <w:r w:rsidRPr="00127652">
        <w:t>trimester ultrasound. The search queries and results obtained are listed in</w:t>
      </w:r>
      <w:r>
        <w:t xml:space="preserve"> </w:t>
      </w:r>
      <w:r>
        <w:fldChar w:fldCharType="begin"/>
      </w:r>
      <w:r>
        <w:instrText xml:space="preserve"> REF _Ref413882099 \h  \* MERGEFORMAT </w:instrText>
      </w:r>
      <w:r>
        <w:fldChar w:fldCharType="separate"/>
      </w:r>
      <w:r w:rsidR="00BB0E3E">
        <w:t xml:space="preserve">Table </w:t>
      </w:r>
      <w:r w:rsidR="00BB0E3E">
        <w:rPr>
          <w:noProof/>
        </w:rPr>
        <w:t>99</w:t>
      </w:r>
      <w:r>
        <w:fldChar w:fldCharType="end"/>
      </w:r>
      <w:r>
        <w:t xml:space="preserve"> and </w:t>
      </w:r>
      <w:r>
        <w:fldChar w:fldCharType="begin"/>
      </w:r>
      <w:r>
        <w:instrText xml:space="preserve"> REF _Ref413882112 \h  \* MERGEFORMAT </w:instrText>
      </w:r>
      <w:r>
        <w:fldChar w:fldCharType="separate"/>
      </w:r>
      <w:r w:rsidR="00BB0E3E">
        <w:t xml:space="preserve">Table </w:t>
      </w:r>
      <w:r w:rsidR="00BB0E3E">
        <w:rPr>
          <w:noProof/>
        </w:rPr>
        <w:t>100</w:t>
      </w:r>
      <w:r>
        <w:fldChar w:fldCharType="end"/>
      </w:r>
      <w:r>
        <w:t>,</w:t>
      </w:r>
      <w:r w:rsidRPr="00127652">
        <w:t xml:space="preserve"> Appendix G.</w:t>
      </w:r>
    </w:p>
    <w:p w14:paraId="103BD943" w14:textId="63C3918B" w:rsidR="00737CDB" w:rsidRPr="00127652" w:rsidRDefault="00737CDB" w:rsidP="00737CDB">
      <w:r w:rsidRPr="00127652">
        <w:t xml:space="preserve">No studies were identified that evaluated the cost-effectiveness of prenatal diagnostic testing for </w:t>
      </w:r>
      <w:r w:rsidR="00FD37D3" w:rsidRPr="00FD37D3">
        <w:t>CFTR</w:t>
      </w:r>
      <w:r w:rsidRPr="00127652">
        <w:t xml:space="preserve"> mutations in the targeted high</w:t>
      </w:r>
      <w:r w:rsidR="0052315E">
        <w:t>-</w:t>
      </w:r>
      <w:r w:rsidRPr="00127652">
        <w:t>risk population (</w:t>
      </w:r>
      <w:r w:rsidR="0052315E">
        <w:t xml:space="preserve">i.e. a </w:t>
      </w:r>
      <w:r w:rsidRPr="00127652">
        <w:t xml:space="preserve">fetus with </w:t>
      </w:r>
      <w:r w:rsidR="0052315E">
        <w:t xml:space="preserve">a </w:t>
      </w:r>
      <w:r w:rsidRPr="00127652">
        <w:t>1:4 risk of CF or showing FEB on second</w:t>
      </w:r>
      <w:r w:rsidR="0052315E">
        <w:t>-</w:t>
      </w:r>
      <w:r w:rsidRPr="00127652">
        <w:t>t</w:t>
      </w:r>
      <w:r w:rsidR="00093AB4">
        <w:t>rimester ultrasound) compared with the current situation of</w:t>
      </w:r>
      <w:r w:rsidRPr="00127652">
        <w:t xml:space="preserve"> no prenatal testing.</w:t>
      </w:r>
    </w:p>
    <w:p w14:paraId="630A9A02" w14:textId="5D3933D1" w:rsidR="00737CDB" w:rsidRPr="00127652" w:rsidRDefault="00737CDB" w:rsidP="00737CDB">
      <w:r w:rsidRPr="00127652">
        <w:t xml:space="preserve">A broader search strategy identified </w:t>
      </w:r>
      <w:r>
        <w:t xml:space="preserve">a </w:t>
      </w:r>
      <w:r w:rsidRPr="00127652">
        <w:t xml:space="preserve">number of economic studies assessing the cost-effectiveness of different prenatal screening strategies for </w:t>
      </w:r>
      <w:r w:rsidR="0052315E">
        <w:t>CF</w:t>
      </w:r>
      <w:r w:rsidRPr="00127652">
        <w:t xml:space="preserve"> in the general pregnant population. Two of the identified studies were conducted in the Australian setting </w:t>
      </w:r>
      <w:r>
        <w:fldChar w:fldCharType="begin">
          <w:fldData xml:space="preserve">PEVuZE5vdGU+PENpdGU+PEF1dGhvcj5NYXh3ZWxsPC9BdXRob3I+PFllYXI+MjAxMDwvWWVhcj48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==
</w:fldData>
        </w:fldChar>
      </w:r>
      <w:r w:rsidR="009A054F">
        <w:instrText xml:space="preserve"> ADDIN EN.CITE </w:instrText>
      </w:r>
      <w:r w:rsidR="009A054F">
        <w:fldChar w:fldCharType="begin">
          <w:fldData xml:space="preserve">PEVuZE5vdGU+PENpdGU+PEF1dGhvcj5NYXh3ZWxsPC9BdXRob3I+PFllYXI+MjAxMDwvWWVhcj48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==
</w:fldData>
        </w:fldChar>
      </w:r>
      <w:r w:rsidR="009A054F">
        <w:instrText xml:space="preserve"> ADDIN EN.CITE.DATA </w:instrText>
      </w:r>
      <w:r w:rsidR="009A054F">
        <w:fldChar w:fldCharType="end"/>
      </w:r>
      <w:r>
        <w:fldChar w:fldCharType="separate"/>
      </w:r>
      <w:r>
        <w:rPr>
          <w:noProof/>
        </w:rPr>
        <w:t>(</w:t>
      </w:r>
      <w:hyperlink w:anchor="_ENREF_76" w:tooltip="Maxwell, 2010 #398" w:history="1">
        <w:r w:rsidR="00B46ABF">
          <w:rPr>
            <w:noProof/>
          </w:rPr>
          <w:t>Maxwell et al. 2010</w:t>
        </w:r>
      </w:hyperlink>
      <w:r>
        <w:rPr>
          <w:noProof/>
        </w:rPr>
        <w:t xml:space="preserve">; </w:t>
      </w:r>
      <w:hyperlink w:anchor="_ENREF_92" w:tooltip="Norman, 2012 #452" w:history="1">
        <w:r w:rsidR="00B46ABF">
          <w:rPr>
            <w:noProof/>
          </w:rPr>
          <w:t>Norman et al. 2012</w:t>
        </w:r>
      </w:hyperlink>
      <w:r>
        <w:rPr>
          <w:noProof/>
        </w:rPr>
        <w:t>)</w:t>
      </w:r>
      <w:r>
        <w:fldChar w:fldCharType="end"/>
      </w:r>
      <w:r w:rsidRPr="00127652">
        <w:t>. Maxwell et al</w:t>
      </w:r>
      <w:r w:rsidR="0052315E">
        <w:t>.</w:t>
      </w:r>
      <w:r w:rsidRPr="00127652">
        <w:t xml:space="preserve"> compared the costs, outcomes and cost savings of three models of prenatal </w:t>
      </w:r>
      <w:r w:rsidR="004A59D4">
        <w:t>CF</w:t>
      </w:r>
      <w:r w:rsidRPr="00127652">
        <w:t xml:space="preserve"> carrier screening (stepwise versus simultaneous screening of both parents) compared </w:t>
      </w:r>
      <w:r w:rsidR="004A59D4">
        <w:t>with</w:t>
      </w:r>
      <w:r w:rsidR="004A59D4" w:rsidRPr="00127652">
        <w:t xml:space="preserve"> </w:t>
      </w:r>
      <w:r w:rsidRPr="00127652">
        <w:t>no screening. Norman et al</w:t>
      </w:r>
      <w:r w:rsidR="004A59D4">
        <w:t>.</w:t>
      </w:r>
      <w:r w:rsidRPr="00127652">
        <w:t xml:space="preserve"> estimated the cost and outcomes from national carrier screening for </w:t>
      </w:r>
      <w:r w:rsidR="004A59D4">
        <w:t>CF</w:t>
      </w:r>
      <w:r w:rsidRPr="00127652">
        <w:t xml:space="preserve"> (stepwise screening of parents), including both initial and subsequent pregnancies. Both studies reported outcomes as costs per CF birth averted. These studies are summarised in </w:t>
      </w:r>
      <w:r>
        <w:fldChar w:fldCharType="begin"/>
      </w:r>
      <w:r>
        <w:instrText xml:space="preserve"> REF _Ref413882209 \h  \* MERGEFORMAT </w:instrText>
      </w:r>
      <w:r>
        <w:fldChar w:fldCharType="separate"/>
      </w:r>
      <w:r w:rsidR="00BB0E3E" w:rsidRPr="00393243">
        <w:t xml:space="preserve">Table </w:t>
      </w:r>
      <w:r w:rsidR="00BB0E3E">
        <w:t>101</w:t>
      </w:r>
      <w:r>
        <w:fldChar w:fldCharType="end"/>
      </w:r>
      <w:r w:rsidR="004A59D4">
        <w:t>,</w:t>
      </w:r>
      <w:r w:rsidR="004A59D4" w:rsidRPr="00127652">
        <w:t xml:space="preserve"> </w:t>
      </w:r>
      <w:r w:rsidRPr="00127652">
        <w:t>Appendix H.</w:t>
      </w:r>
    </w:p>
    <w:p w14:paraId="28C3212F" w14:textId="62E51FE2" w:rsidR="00737CDB" w:rsidRPr="00127652" w:rsidRDefault="00737CDB" w:rsidP="00737CDB">
      <w:r w:rsidRPr="00127652">
        <w:t xml:space="preserve">An approach similar to the above studies is used in the models presented here. The </w:t>
      </w:r>
      <w:r w:rsidR="004A59D4">
        <w:t>parent</w:t>
      </w:r>
      <w:r w:rsidR="004A59D4" w:rsidRPr="00127652">
        <w:t xml:space="preserve">s </w:t>
      </w:r>
      <w:r w:rsidRPr="00127652">
        <w:t xml:space="preserve">are screened first for the common </w:t>
      </w:r>
      <w:r w:rsidR="00FD37D3" w:rsidRPr="00FD37D3">
        <w:t>CFTR</w:t>
      </w:r>
      <w:r w:rsidRPr="00127652">
        <w:t xml:space="preserve"> mutations</w:t>
      </w:r>
      <w:r w:rsidR="004A59D4">
        <w:t>,</w:t>
      </w:r>
      <w:r w:rsidRPr="00127652">
        <w:t xml:space="preserve"> followed by invasive testing in </w:t>
      </w:r>
      <w:r w:rsidR="004A59D4">
        <w:t xml:space="preserve">the </w:t>
      </w:r>
      <w:r w:rsidRPr="00127652">
        <w:t xml:space="preserve">fetus. </w:t>
      </w:r>
      <w:r w:rsidR="004A59D4">
        <w:t>Parent</w:t>
      </w:r>
      <w:r w:rsidR="004A59D4" w:rsidRPr="00127652">
        <w:t xml:space="preserve">s </w:t>
      </w:r>
      <w:r w:rsidRPr="00127652">
        <w:t xml:space="preserve">have </w:t>
      </w:r>
      <w:r w:rsidR="004A59D4">
        <w:t xml:space="preserve">the </w:t>
      </w:r>
      <w:r w:rsidRPr="00127652">
        <w:t>choice to terminate the pregnancy if the fetus tests positive for CF. However, the target populations in the present mo</w:t>
      </w:r>
      <w:r>
        <w:t>dels are restricted to the high-risk</w:t>
      </w:r>
      <w:r w:rsidRPr="00127652">
        <w:t xml:space="preserve"> population and the clinical pathways are based on the clinical management algorithm presented in </w:t>
      </w:r>
      <w:r w:rsidR="00A156DF">
        <w:t>s</w:t>
      </w:r>
      <w:r w:rsidRPr="00127652">
        <w:t>ection A.5 (</w:t>
      </w:r>
      <w:r w:rsidR="005E07E5">
        <w:t xml:space="preserve">see </w:t>
      </w:r>
      <w:r w:rsidR="00723562">
        <w:t>Figure 3)</w:t>
      </w:r>
      <w:r w:rsidRPr="00127652">
        <w:t xml:space="preserve">. Outcomes are reported as </w:t>
      </w:r>
      <w:r>
        <w:t xml:space="preserve">costs per CF diagnosed and </w:t>
      </w:r>
      <w:r w:rsidRPr="00127652">
        <w:t>costs per CF birth averted</w:t>
      </w:r>
      <w:r w:rsidR="004A59D4">
        <w:t>,</w:t>
      </w:r>
      <w:r w:rsidRPr="00127652">
        <w:t xml:space="preserve"> similar to the above studies</w:t>
      </w:r>
      <w:r w:rsidR="004A59D4">
        <w:t>,</w:t>
      </w:r>
      <w:r w:rsidRPr="00127652">
        <w:t xml:space="preserve"> but the time horizon of the model</w:t>
      </w:r>
      <w:r>
        <w:t>s</w:t>
      </w:r>
      <w:r w:rsidRPr="00127652">
        <w:t xml:space="preserve"> is limited from pregnancy to birth (</w:t>
      </w:r>
      <w:r w:rsidR="00587116">
        <w:t xml:space="preserve">including </w:t>
      </w:r>
      <w:r w:rsidR="0067459F">
        <w:t>NBS</w:t>
      </w:r>
      <w:r w:rsidRPr="00127652">
        <w:t>)</w:t>
      </w:r>
      <w:r>
        <w:t xml:space="preserve"> and </w:t>
      </w:r>
      <w:r w:rsidRPr="00127652">
        <w:t xml:space="preserve">the lifetime costs associated with CF management </w:t>
      </w:r>
      <w:r w:rsidR="004A59D4">
        <w:t>are</w:t>
      </w:r>
      <w:r w:rsidR="004A59D4" w:rsidRPr="00127652">
        <w:t xml:space="preserve"> </w:t>
      </w:r>
      <w:r w:rsidRPr="00127652">
        <w:t>not considered in the models</w:t>
      </w:r>
      <w:r>
        <w:t xml:space="preserve"> </w:t>
      </w:r>
      <w:r w:rsidRPr="00127652">
        <w:t>presented</w:t>
      </w:r>
      <w:r>
        <w:t>. A</w:t>
      </w:r>
      <w:r w:rsidRPr="00D06BDF">
        <w:t xml:space="preserve"> discussion of the lifetime costs of treating someone with CF is provided</w:t>
      </w:r>
      <w:r>
        <w:t xml:space="preserve"> in section D.4</w:t>
      </w:r>
      <w:r w:rsidRPr="00127652">
        <w:t>.</w:t>
      </w:r>
    </w:p>
    <w:p w14:paraId="60DCD579" w14:textId="77777777" w:rsidR="00737CDB" w:rsidRPr="00127652" w:rsidRDefault="00737CDB" w:rsidP="00737CDB">
      <w:pPr>
        <w:rPr>
          <w:b/>
        </w:rPr>
      </w:pPr>
      <w:bookmarkStart w:id="322" w:name="_Toc412551241"/>
      <w:r w:rsidRPr="00127652">
        <w:rPr>
          <w:b/>
        </w:rPr>
        <w:lastRenderedPageBreak/>
        <w:t>Structure of the economic evaluation</w:t>
      </w:r>
      <w:bookmarkEnd w:id="322"/>
    </w:p>
    <w:p w14:paraId="12F67527" w14:textId="39F1D109" w:rsidR="00737CDB" w:rsidRPr="00127652" w:rsidRDefault="00737CDB" w:rsidP="006D2CA8">
      <w:pPr>
        <w:spacing w:after="120"/>
      </w:pPr>
      <w:r w:rsidRPr="00127652">
        <w:t xml:space="preserve">Two economic models are presented for the populations discussed in </w:t>
      </w:r>
      <w:r w:rsidR="00A156DF">
        <w:t>s</w:t>
      </w:r>
      <w:r w:rsidRPr="00127652">
        <w:t>ection D.2.</w:t>
      </w:r>
    </w:p>
    <w:p w14:paraId="24C4911C" w14:textId="0CED17B8" w:rsidR="00093AB4" w:rsidRPr="00127652" w:rsidRDefault="00093AB4" w:rsidP="006D2CA8">
      <w:pPr>
        <w:numPr>
          <w:ilvl w:val="0"/>
          <w:numId w:val="27"/>
        </w:numPr>
        <w:spacing w:after="120"/>
      </w:pPr>
      <w:r w:rsidRPr="00127652">
        <w:rPr>
          <w:b/>
        </w:rPr>
        <w:t>Model 1</w:t>
      </w:r>
      <w:r>
        <w:rPr>
          <w:b/>
        </w:rPr>
        <w:t xml:space="preserve"> (population 2</w:t>
      </w:r>
      <w:r w:rsidRPr="00D63022">
        <w:rPr>
          <w:b/>
        </w:rPr>
        <w:t>a)</w:t>
      </w:r>
      <w:r w:rsidRPr="00127652">
        <w:rPr>
          <w:b/>
        </w:rPr>
        <w:t>:</w:t>
      </w:r>
      <w:r w:rsidRPr="00127652">
        <w:t xml:space="preserve"> Fetus at risk of CF due to parents being </w:t>
      </w:r>
      <w:r>
        <w:t xml:space="preserve">CF </w:t>
      </w:r>
      <w:r w:rsidRPr="00127652">
        <w:t xml:space="preserve">carriers (known </w:t>
      </w:r>
      <w:r>
        <w:t xml:space="preserve">CF </w:t>
      </w:r>
      <w:r w:rsidRPr="00127652">
        <w:t xml:space="preserve">carriers or have </w:t>
      </w:r>
      <w:r w:rsidR="004A59D4">
        <w:t xml:space="preserve">a </w:t>
      </w:r>
      <w:r w:rsidRPr="00127652">
        <w:t>previous child clinically diagnosed with CF)</w:t>
      </w:r>
    </w:p>
    <w:p w14:paraId="23FFB2B8" w14:textId="7EB3B253" w:rsidR="00093AB4" w:rsidRPr="00127652" w:rsidRDefault="00093AB4" w:rsidP="006D2CA8">
      <w:pPr>
        <w:numPr>
          <w:ilvl w:val="0"/>
          <w:numId w:val="27"/>
        </w:numPr>
        <w:spacing w:after="120"/>
      </w:pPr>
      <w:r w:rsidRPr="00127652">
        <w:rPr>
          <w:b/>
        </w:rPr>
        <w:t>Model 2</w:t>
      </w:r>
      <w:r>
        <w:rPr>
          <w:b/>
        </w:rPr>
        <w:t xml:space="preserve"> (population 2b</w:t>
      </w:r>
      <w:r w:rsidRPr="00D63022">
        <w:rPr>
          <w:b/>
        </w:rPr>
        <w:t>)</w:t>
      </w:r>
      <w:r w:rsidRPr="00127652">
        <w:rPr>
          <w:b/>
        </w:rPr>
        <w:t>:</w:t>
      </w:r>
      <w:r w:rsidRPr="00127652">
        <w:t xml:space="preserve"> Fetus at risk of CF due to diagnosis of echogenic bowel on the second</w:t>
      </w:r>
      <w:r w:rsidR="004A59D4">
        <w:t>-</w:t>
      </w:r>
      <w:r w:rsidRPr="00127652">
        <w:t>trimester ultrasound</w:t>
      </w:r>
      <w:r w:rsidR="005E07E5">
        <w:t>.</w:t>
      </w:r>
      <w:r w:rsidRPr="00127652">
        <w:t xml:space="preserve"> </w:t>
      </w:r>
    </w:p>
    <w:p w14:paraId="2E918098" w14:textId="18061DAA" w:rsidR="00093AB4" w:rsidRPr="00127652" w:rsidRDefault="00093AB4" w:rsidP="00093AB4">
      <w:r w:rsidRPr="00127652">
        <w:t xml:space="preserve">In both models the comparator is no prenatal </w:t>
      </w:r>
      <w:r w:rsidRPr="00FD37D3">
        <w:t>CFTR</w:t>
      </w:r>
      <w:r w:rsidRPr="00127652">
        <w:t xml:space="preserve"> mutation testing followed by </w:t>
      </w:r>
      <w:r w:rsidR="0067459F">
        <w:t>NBS</w:t>
      </w:r>
      <w:r w:rsidR="004A59D4" w:rsidRPr="00127652">
        <w:t xml:space="preserve"> </w:t>
      </w:r>
      <w:r w:rsidRPr="00127652">
        <w:t>or clinical diagnosis after birth. The models take the form of cost-effectiveness analyses</w:t>
      </w:r>
      <w:r>
        <w:t xml:space="preserve">, </w:t>
      </w:r>
      <w:r w:rsidRPr="00127652">
        <w:t>estimat</w:t>
      </w:r>
      <w:r w:rsidR="004A59D4">
        <w:t>ing</w:t>
      </w:r>
      <w:r w:rsidRPr="00127652">
        <w:t xml:space="preserve"> the </w:t>
      </w:r>
      <w:r>
        <w:t>costs per CF case diagnosed</w:t>
      </w:r>
      <w:r w:rsidRPr="00D63022">
        <w:t xml:space="preserve"> </w:t>
      </w:r>
      <w:r>
        <w:t xml:space="preserve">prenatally, costs per pre-informed CF birth and </w:t>
      </w:r>
      <w:r w:rsidRPr="00127652">
        <w:t xml:space="preserve">costs per CF birth averted. A time horizon of pregnancy to birth (including </w:t>
      </w:r>
      <w:r w:rsidR="0067459F">
        <w:t>NBS</w:t>
      </w:r>
      <w:r w:rsidRPr="00127652">
        <w:t xml:space="preserve">) was chosen. </w:t>
      </w:r>
      <w:r>
        <w:t>Where applicable</w:t>
      </w:r>
      <w:r w:rsidR="004A59D4">
        <w:t>,</w:t>
      </w:r>
      <w:r>
        <w:t xml:space="preserve"> costs derived from older sources are updated to 2014</w:t>
      </w:r>
      <w:r w:rsidR="004A59D4">
        <w:t xml:space="preserve"> dollars </w:t>
      </w:r>
      <w:r>
        <w:t>using the consumer price index inflation calculator</w:t>
      </w:r>
      <w:r>
        <w:rPr>
          <w:rStyle w:val="FootnoteReference"/>
        </w:rPr>
        <w:footnoteReference w:id="13"/>
      </w:r>
      <w:r w:rsidR="004A59D4">
        <w:t>.</w:t>
      </w:r>
      <w:r>
        <w:t xml:space="preserve"> No discounting is applied to costs or outcomes since the modelled period is less than </w:t>
      </w:r>
      <w:r w:rsidR="004A59D4">
        <w:t>1 </w:t>
      </w:r>
      <w:r>
        <w:t>year.</w:t>
      </w:r>
    </w:p>
    <w:p w14:paraId="447D902B" w14:textId="2792998E" w:rsidR="00737CDB" w:rsidRPr="00127652" w:rsidRDefault="00737CDB" w:rsidP="00737CDB">
      <w:r w:rsidRPr="00127652">
        <w:t xml:space="preserve">The prenatal testing of </w:t>
      </w:r>
      <w:r w:rsidR="00FD37D3" w:rsidRPr="00FD37D3">
        <w:t>CFTR</w:t>
      </w:r>
      <w:r w:rsidRPr="00127652">
        <w:t xml:space="preserve"> mutations in </w:t>
      </w:r>
      <w:r w:rsidR="000D0813">
        <w:t xml:space="preserve">a </w:t>
      </w:r>
      <w:r w:rsidRPr="00127652">
        <w:t>fetus enables an early diagnosis of CF and provides the parents with a choice regarding whether to terminate the pregnancy if the fetus tests positive for CF. If the</w:t>
      </w:r>
      <w:r w:rsidR="000D0813">
        <w:t>y</w:t>
      </w:r>
      <w:r w:rsidRPr="00127652">
        <w:t xml:space="preserve"> decide to proceed with the affected pregnancy, they would be better prepared for managing CF once the child is born.</w:t>
      </w:r>
    </w:p>
    <w:p w14:paraId="20109E76" w14:textId="3E19A125" w:rsidR="00737CDB" w:rsidRPr="00127652" w:rsidRDefault="00737CDB" w:rsidP="00737CDB">
      <w:r w:rsidRPr="00127652">
        <w:t xml:space="preserve">A summary of the key characteristics of the economic evaluation is </w:t>
      </w:r>
      <w:r w:rsidR="00587116">
        <w:t>provided</w:t>
      </w:r>
      <w:r w:rsidR="00587116" w:rsidRPr="00127652">
        <w:t xml:space="preserve"> </w:t>
      </w:r>
      <w:r w:rsidRPr="00127652">
        <w:t xml:space="preserve">in </w:t>
      </w:r>
      <w:r w:rsidRPr="00127652">
        <w:fldChar w:fldCharType="begin"/>
      </w:r>
      <w:r w:rsidRPr="00127652">
        <w:instrText xml:space="preserve"> REF _Ref413619386 \h </w:instrText>
      </w:r>
      <w:r>
        <w:instrText xml:space="preserve"> \* MERGEFORMAT </w:instrText>
      </w:r>
      <w:r w:rsidRPr="00127652">
        <w:fldChar w:fldCharType="separate"/>
      </w:r>
      <w:r w:rsidR="00BB0E3E" w:rsidRPr="00127652">
        <w:t xml:space="preserve">Table </w:t>
      </w:r>
      <w:r w:rsidR="00BB0E3E">
        <w:rPr>
          <w:noProof/>
        </w:rPr>
        <w:t>54</w:t>
      </w:r>
      <w:r w:rsidRPr="00127652">
        <w:fldChar w:fldCharType="end"/>
      </w:r>
      <w:r w:rsidRPr="00127652">
        <w:t>.</w:t>
      </w:r>
    </w:p>
    <w:p w14:paraId="389BCA5E" w14:textId="77777777" w:rsidR="00737CDB" w:rsidRPr="00127652" w:rsidRDefault="00737CDB" w:rsidP="00737CDB">
      <w:pPr>
        <w:pStyle w:val="Caption"/>
      </w:pPr>
      <w:bookmarkStart w:id="323" w:name="_Ref413619386"/>
      <w:bookmarkStart w:id="324" w:name="_Toc416855346"/>
      <w:bookmarkStart w:id="325" w:name="_Toc418179451"/>
      <w:r w:rsidRPr="00127652">
        <w:t xml:space="preserve">Table </w:t>
      </w:r>
      <w:fldSimple w:instr=" SEQ Table \* ARABIC ">
        <w:r w:rsidR="00BB0E3E">
          <w:rPr>
            <w:noProof/>
          </w:rPr>
          <w:t>54</w:t>
        </w:r>
      </w:fldSimple>
      <w:bookmarkEnd w:id="323"/>
      <w:r w:rsidRPr="00127652">
        <w:tab/>
        <w:t>Summary of the economic evaluation</w:t>
      </w:r>
      <w:bookmarkEnd w:id="324"/>
      <w:bookmarkEnd w:id="325"/>
      <w:r w:rsidRPr="00127652">
        <w:t xml:space="preserve"> </w:t>
      </w:r>
    </w:p>
    <w:tbl>
      <w:tblPr>
        <w:tblStyle w:val="TableGrid1"/>
        <w:tblW w:w="0" w:type="auto"/>
        <w:tblLook w:val="01E0" w:firstRow="1" w:lastRow="1" w:firstColumn="1" w:lastColumn="1" w:noHBand="0" w:noVBand="0"/>
        <w:tblCaption w:val="Table 54 Summary of the economic evaluation"/>
        <w:tblDescription w:val="This table describes the key constructs of the economic evaluation provided in the assessment report."/>
      </w:tblPr>
      <w:tblGrid>
        <w:gridCol w:w="3119"/>
        <w:gridCol w:w="5953"/>
      </w:tblGrid>
      <w:tr w:rsidR="00737CDB" w:rsidRPr="00127652" w14:paraId="3F515ACB" w14:textId="77777777" w:rsidTr="00447183">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Pr>
          <w:p w14:paraId="4BAF4626" w14:textId="77777777" w:rsidR="00737CDB" w:rsidRPr="00AD3612" w:rsidRDefault="00737CDB" w:rsidP="006D2CA8">
            <w:pPr>
              <w:pStyle w:val="Tabletext1"/>
              <w:jc w:val="left"/>
              <w:rPr>
                <w:b/>
              </w:rPr>
            </w:pPr>
            <w:r w:rsidRPr="00AD3612">
              <w:rPr>
                <w:b/>
              </w:rPr>
              <w:t>Perspective</w:t>
            </w:r>
          </w:p>
        </w:tc>
        <w:tc>
          <w:tcPr>
            <w:tcW w:w="5953" w:type="dxa"/>
          </w:tcPr>
          <w:p w14:paraId="1E22FD05" w14:textId="2120048C" w:rsidR="00737CDB" w:rsidRPr="00127652" w:rsidRDefault="00737CDB" w:rsidP="006D2CA8">
            <w:pPr>
              <w:pStyle w:val="Tabletext1"/>
              <w:jc w:val="left"/>
              <w:rPr>
                <w:vanish/>
              </w:rPr>
            </w:pPr>
            <w:r w:rsidRPr="00127652">
              <w:t xml:space="preserve">Australian </w:t>
            </w:r>
            <w:r w:rsidR="00395A9E">
              <w:t>h</w:t>
            </w:r>
            <w:r w:rsidRPr="00127652">
              <w:t>ealthcare</w:t>
            </w:r>
          </w:p>
        </w:tc>
      </w:tr>
      <w:tr w:rsidR="00737CDB" w:rsidRPr="00127652" w14:paraId="76B95D02" w14:textId="77777777" w:rsidTr="0042252D">
        <w:trPr>
          <w:trHeight w:val="20"/>
        </w:trPr>
        <w:tc>
          <w:tcPr>
            <w:tcW w:w="3119" w:type="dxa"/>
          </w:tcPr>
          <w:p w14:paraId="2F14FD81" w14:textId="77777777" w:rsidR="00737CDB" w:rsidRPr="00AD3612" w:rsidRDefault="00737CDB" w:rsidP="006D2CA8">
            <w:pPr>
              <w:pStyle w:val="Tabletext1"/>
              <w:jc w:val="left"/>
              <w:rPr>
                <w:b/>
              </w:rPr>
            </w:pPr>
            <w:r w:rsidRPr="00AD3612">
              <w:rPr>
                <w:b/>
              </w:rPr>
              <w:t>Comparator</w:t>
            </w:r>
          </w:p>
        </w:tc>
        <w:tc>
          <w:tcPr>
            <w:tcW w:w="5953" w:type="dxa"/>
          </w:tcPr>
          <w:p w14:paraId="534E1CF2" w14:textId="77777777" w:rsidR="00737CDB" w:rsidRPr="00127652" w:rsidRDefault="00737CDB" w:rsidP="006D2CA8">
            <w:pPr>
              <w:pStyle w:val="Tabletext1"/>
              <w:jc w:val="left"/>
            </w:pPr>
            <w:r w:rsidRPr="00127652">
              <w:t>No prenatal diagnosis for cystic fibrosis (CF)</w:t>
            </w:r>
          </w:p>
        </w:tc>
      </w:tr>
      <w:tr w:rsidR="00737CDB" w:rsidRPr="00127652" w14:paraId="0F1CD85B" w14:textId="77777777" w:rsidTr="0042252D">
        <w:trPr>
          <w:trHeight w:val="20"/>
        </w:trPr>
        <w:tc>
          <w:tcPr>
            <w:tcW w:w="3119" w:type="dxa"/>
          </w:tcPr>
          <w:p w14:paraId="4032018C" w14:textId="77777777" w:rsidR="00737CDB" w:rsidRPr="00AD3612" w:rsidRDefault="00737CDB" w:rsidP="006D2CA8">
            <w:pPr>
              <w:pStyle w:val="Tabletext1"/>
              <w:jc w:val="left"/>
              <w:rPr>
                <w:b/>
              </w:rPr>
            </w:pPr>
            <w:r w:rsidRPr="00AD3612">
              <w:rPr>
                <w:b/>
              </w:rPr>
              <w:t>Type of economic evaluation</w:t>
            </w:r>
          </w:p>
        </w:tc>
        <w:tc>
          <w:tcPr>
            <w:tcW w:w="5953" w:type="dxa"/>
          </w:tcPr>
          <w:p w14:paraId="59724062" w14:textId="77777777" w:rsidR="00737CDB" w:rsidRPr="00127652" w:rsidRDefault="00737CDB" w:rsidP="006D2CA8">
            <w:pPr>
              <w:pStyle w:val="Tabletext1"/>
              <w:jc w:val="left"/>
              <w:rPr>
                <w:vanish/>
              </w:rPr>
            </w:pPr>
            <w:r w:rsidRPr="00127652">
              <w:t>Cost-effectiveness</w:t>
            </w:r>
          </w:p>
        </w:tc>
      </w:tr>
      <w:tr w:rsidR="00737CDB" w:rsidRPr="00127652" w14:paraId="0392CB29" w14:textId="77777777" w:rsidTr="0042252D">
        <w:trPr>
          <w:trHeight w:val="20"/>
        </w:trPr>
        <w:tc>
          <w:tcPr>
            <w:tcW w:w="3119" w:type="dxa"/>
          </w:tcPr>
          <w:p w14:paraId="60A4CBFC" w14:textId="77777777" w:rsidR="00737CDB" w:rsidRPr="00AD3612" w:rsidRDefault="00737CDB" w:rsidP="006D2CA8">
            <w:pPr>
              <w:pStyle w:val="Tabletext1"/>
              <w:jc w:val="left"/>
              <w:rPr>
                <w:b/>
              </w:rPr>
            </w:pPr>
            <w:r w:rsidRPr="00AD3612">
              <w:rPr>
                <w:b/>
              </w:rPr>
              <w:t>Sources of evidence</w:t>
            </w:r>
          </w:p>
        </w:tc>
        <w:tc>
          <w:tcPr>
            <w:tcW w:w="5953" w:type="dxa"/>
          </w:tcPr>
          <w:p w14:paraId="2D3273D7" w14:textId="645B4600" w:rsidR="00737CDB" w:rsidRPr="00127652" w:rsidRDefault="00737CDB" w:rsidP="006D2CA8">
            <w:pPr>
              <w:pStyle w:val="Tabletext1"/>
              <w:jc w:val="left"/>
              <w:rPr>
                <w:vanish/>
              </w:rPr>
            </w:pPr>
            <w:r w:rsidRPr="00127652">
              <w:t xml:space="preserve">Systematic </w:t>
            </w:r>
            <w:r w:rsidR="00395A9E">
              <w:t>r</w:t>
            </w:r>
            <w:r w:rsidRPr="00127652">
              <w:t>eview</w:t>
            </w:r>
          </w:p>
        </w:tc>
      </w:tr>
      <w:tr w:rsidR="00737CDB" w:rsidRPr="00127652" w14:paraId="6A24E304" w14:textId="77777777" w:rsidTr="0042252D">
        <w:trPr>
          <w:trHeight w:val="20"/>
        </w:trPr>
        <w:tc>
          <w:tcPr>
            <w:tcW w:w="3119" w:type="dxa"/>
            <w:hideMark/>
          </w:tcPr>
          <w:p w14:paraId="3188A562" w14:textId="77777777" w:rsidR="00737CDB" w:rsidRPr="00AD3612" w:rsidRDefault="00737CDB" w:rsidP="006D2CA8">
            <w:pPr>
              <w:pStyle w:val="Tabletext1"/>
              <w:jc w:val="left"/>
              <w:rPr>
                <w:b/>
              </w:rPr>
            </w:pPr>
            <w:r w:rsidRPr="00AD3612">
              <w:rPr>
                <w:b/>
              </w:rPr>
              <w:t>Time horizon</w:t>
            </w:r>
          </w:p>
        </w:tc>
        <w:tc>
          <w:tcPr>
            <w:tcW w:w="5953" w:type="dxa"/>
            <w:hideMark/>
          </w:tcPr>
          <w:p w14:paraId="623D70FF" w14:textId="1C99515B" w:rsidR="00737CDB" w:rsidRPr="00127652" w:rsidRDefault="00737CDB" w:rsidP="006D2CA8">
            <w:pPr>
              <w:pStyle w:val="Tabletext1"/>
              <w:jc w:val="left"/>
            </w:pPr>
            <w:r w:rsidRPr="00127652">
              <w:t xml:space="preserve">Pregnancy to </w:t>
            </w:r>
            <w:r w:rsidR="0067459F">
              <w:t>NBS</w:t>
            </w:r>
          </w:p>
        </w:tc>
      </w:tr>
      <w:tr w:rsidR="00737CDB" w:rsidRPr="00127652" w14:paraId="6C3EBB75" w14:textId="77777777" w:rsidTr="0042252D">
        <w:trPr>
          <w:trHeight w:val="20"/>
        </w:trPr>
        <w:tc>
          <w:tcPr>
            <w:tcW w:w="3119" w:type="dxa"/>
            <w:hideMark/>
          </w:tcPr>
          <w:p w14:paraId="2425FE60" w14:textId="77777777" w:rsidR="00737CDB" w:rsidRPr="00AD3612" w:rsidRDefault="00737CDB" w:rsidP="006D2CA8">
            <w:pPr>
              <w:pStyle w:val="Tabletext1"/>
              <w:jc w:val="left"/>
              <w:rPr>
                <w:b/>
              </w:rPr>
            </w:pPr>
            <w:r w:rsidRPr="00AD3612">
              <w:rPr>
                <w:b/>
              </w:rPr>
              <w:t>Outcomes</w:t>
            </w:r>
          </w:p>
        </w:tc>
        <w:tc>
          <w:tcPr>
            <w:tcW w:w="5953" w:type="dxa"/>
          </w:tcPr>
          <w:p w14:paraId="609C6E42" w14:textId="166938A9" w:rsidR="00737CDB" w:rsidRPr="00127652" w:rsidRDefault="00737CDB" w:rsidP="006D2CA8">
            <w:pPr>
              <w:pStyle w:val="Tabletext1"/>
              <w:jc w:val="left"/>
            </w:pPr>
            <w:r>
              <w:t>Costs per prenatal CF</w:t>
            </w:r>
            <w:r w:rsidR="00093AB4">
              <w:t xml:space="preserve"> case</w:t>
            </w:r>
            <w:r>
              <w:t xml:space="preserve"> detected, costs per CF birth averted, costs per pre-informed CF birth</w:t>
            </w:r>
          </w:p>
        </w:tc>
      </w:tr>
      <w:tr w:rsidR="00737CDB" w:rsidRPr="00127652" w14:paraId="418CFB5D" w14:textId="77777777" w:rsidTr="0042252D">
        <w:trPr>
          <w:trHeight w:val="20"/>
        </w:trPr>
        <w:tc>
          <w:tcPr>
            <w:tcW w:w="3119" w:type="dxa"/>
          </w:tcPr>
          <w:p w14:paraId="3DAA5D68" w14:textId="77777777" w:rsidR="00737CDB" w:rsidRPr="00AD3612" w:rsidRDefault="00737CDB" w:rsidP="006D2CA8">
            <w:pPr>
              <w:pStyle w:val="Tabletext1"/>
              <w:jc w:val="left"/>
              <w:rPr>
                <w:b/>
              </w:rPr>
            </w:pPr>
            <w:r>
              <w:rPr>
                <w:b/>
              </w:rPr>
              <w:t>Costs</w:t>
            </w:r>
          </w:p>
        </w:tc>
        <w:tc>
          <w:tcPr>
            <w:tcW w:w="5953" w:type="dxa"/>
          </w:tcPr>
          <w:p w14:paraId="4BCE39D2" w14:textId="77777777" w:rsidR="00737CDB" w:rsidRDefault="00737CDB" w:rsidP="006D2CA8">
            <w:pPr>
              <w:pStyle w:val="Tabletext1"/>
              <w:jc w:val="left"/>
            </w:pPr>
            <w:r>
              <w:t>Australian dollars, 2014 prices</w:t>
            </w:r>
          </w:p>
        </w:tc>
      </w:tr>
      <w:tr w:rsidR="00737CDB" w:rsidRPr="00127652" w14:paraId="31E5F769" w14:textId="77777777" w:rsidTr="0042252D">
        <w:trPr>
          <w:trHeight w:val="20"/>
        </w:trPr>
        <w:tc>
          <w:tcPr>
            <w:tcW w:w="3119" w:type="dxa"/>
            <w:hideMark/>
          </w:tcPr>
          <w:p w14:paraId="589402F7" w14:textId="77777777" w:rsidR="00737CDB" w:rsidRPr="00AD3612" w:rsidRDefault="00737CDB" w:rsidP="006D2CA8">
            <w:pPr>
              <w:pStyle w:val="Tabletext1"/>
              <w:jc w:val="left"/>
              <w:rPr>
                <w:b/>
              </w:rPr>
            </w:pPr>
            <w:r w:rsidRPr="00AD3612">
              <w:rPr>
                <w:b/>
              </w:rPr>
              <w:t>Methods used to generate results</w:t>
            </w:r>
          </w:p>
        </w:tc>
        <w:tc>
          <w:tcPr>
            <w:tcW w:w="5953" w:type="dxa"/>
          </w:tcPr>
          <w:p w14:paraId="414291F3" w14:textId="77777777" w:rsidR="00737CDB" w:rsidRPr="00127652" w:rsidRDefault="00737CDB" w:rsidP="006D2CA8">
            <w:pPr>
              <w:pStyle w:val="Tabletext1"/>
              <w:jc w:val="left"/>
            </w:pPr>
            <w:r w:rsidRPr="00127652">
              <w:t>Decision tree analysis</w:t>
            </w:r>
          </w:p>
        </w:tc>
      </w:tr>
      <w:tr w:rsidR="00737CDB" w:rsidRPr="00127652" w14:paraId="2CCEB238" w14:textId="77777777" w:rsidTr="0042252D">
        <w:trPr>
          <w:trHeight w:val="20"/>
        </w:trPr>
        <w:tc>
          <w:tcPr>
            <w:tcW w:w="3119" w:type="dxa"/>
            <w:hideMark/>
          </w:tcPr>
          <w:p w14:paraId="5E5152B5" w14:textId="77777777" w:rsidR="00737CDB" w:rsidRPr="00AD3612" w:rsidRDefault="00737CDB" w:rsidP="006D2CA8">
            <w:pPr>
              <w:pStyle w:val="Tabletext1"/>
              <w:jc w:val="left"/>
              <w:rPr>
                <w:b/>
              </w:rPr>
            </w:pPr>
            <w:r w:rsidRPr="00AD3612">
              <w:rPr>
                <w:b/>
              </w:rPr>
              <w:t>Discount rate</w:t>
            </w:r>
          </w:p>
        </w:tc>
        <w:tc>
          <w:tcPr>
            <w:tcW w:w="5953" w:type="dxa"/>
          </w:tcPr>
          <w:p w14:paraId="70DEC23E" w14:textId="77777777" w:rsidR="00737CDB" w:rsidRPr="00127652" w:rsidRDefault="00737CDB" w:rsidP="006D2CA8">
            <w:pPr>
              <w:pStyle w:val="Tabletext1"/>
              <w:jc w:val="left"/>
            </w:pPr>
            <w:r w:rsidRPr="00127652">
              <w:t>Not applicable</w:t>
            </w:r>
          </w:p>
        </w:tc>
      </w:tr>
      <w:tr w:rsidR="00737CDB" w:rsidRPr="00127652" w14:paraId="6E950126" w14:textId="77777777" w:rsidTr="0042252D">
        <w:trPr>
          <w:trHeight w:val="20"/>
        </w:trPr>
        <w:tc>
          <w:tcPr>
            <w:tcW w:w="3119" w:type="dxa"/>
            <w:hideMark/>
          </w:tcPr>
          <w:p w14:paraId="1097E530" w14:textId="77777777" w:rsidR="00737CDB" w:rsidRPr="00AD3612" w:rsidRDefault="00737CDB" w:rsidP="006D2CA8">
            <w:pPr>
              <w:pStyle w:val="Tabletext1"/>
              <w:jc w:val="left"/>
              <w:rPr>
                <w:b/>
              </w:rPr>
            </w:pPr>
            <w:r w:rsidRPr="00AD3612">
              <w:rPr>
                <w:b/>
              </w:rPr>
              <w:t>Software packages used</w:t>
            </w:r>
          </w:p>
        </w:tc>
        <w:tc>
          <w:tcPr>
            <w:tcW w:w="5953" w:type="dxa"/>
          </w:tcPr>
          <w:p w14:paraId="2E4029EC" w14:textId="77777777" w:rsidR="00737CDB" w:rsidRPr="00127652" w:rsidRDefault="00737CDB" w:rsidP="006D2CA8">
            <w:pPr>
              <w:pStyle w:val="Tabletext1"/>
              <w:jc w:val="left"/>
            </w:pPr>
            <w:r w:rsidRPr="00127652">
              <w:t>TreeAge Pro Software 2015</w:t>
            </w:r>
            <w:r>
              <w:t>, MS Excel 2010</w:t>
            </w:r>
          </w:p>
        </w:tc>
      </w:tr>
    </w:tbl>
    <w:p w14:paraId="6559F468" w14:textId="5DAF6D68" w:rsidR="00737CDB" w:rsidRPr="00127652" w:rsidRDefault="00737CDB" w:rsidP="00974958">
      <w:pPr>
        <w:keepNext/>
        <w:spacing w:before="240"/>
        <w:rPr>
          <w:i/>
        </w:rPr>
      </w:pPr>
      <w:r w:rsidRPr="00127652">
        <w:rPr>
          <w:i/>
        </w:rPr>
        <w:t>Model 1</w:t>
      </w:r>
      <w:r w:rsidR="00093AB4">
        <w:rPr>
          <w:i/>
        </w:rPr>
        <w:t xml:space="preserve"> (population 2a)</w:t>
      </w:r>
    </w:p>
    <w:p w14:paraId="47021F4F" w14:textId="4222A0DB" w:rsidR="00737CDB" w:rsidRPr="00127652" w:rsidRDefault="00737CDB" w:rsidP="00737CDB">
      <w:r w:rsidRPr="00127652">
        <w:t xml:space="preserve">In </w:t>
      </w:r>
      <w:r w:rsidR="009711F2">
        <w:t>m</w:t>
      </w:r>
      <w:r w:rsidRPr="00127652">
        <w:t xml:space="preserve">odel 1 parents are known to be carriers either due to a previous CF birth or previous diagnostic testing. In the prenatal </w:t>
      </w:r>
      <w:r w:rsidR="00FD37D3" w:rsidRPr="00FD37D3">
        <w:t>CFTR</w:t>
      </w:r>
      <w:r w:rsidRPr="00127652">
        <w:t xml:space="preserve"> mutation testing arm, both parents undergo genetic counselling followed by common </w:t>
      </w:r>
      <w:r w:rsidR="00FD37D3" w:rsidRPr="00FD37D3">
        <w:t>CFTR</w:t>
      </w:r>
      <w:r w:rsidRPr="00127652">
        <w:t xml:space="preserve"> mutation testing. If both parents are identified as carriers for common </w:t>
      </w:r>
      <w:r w:rsidRPr="00127652">
        <w:lastRenderedPageBreak/>
        <w:t>mutation</w:t>
      </w:r>
      <w:r w:rsidR="00E20657">
        <w:t>s</w:t>
      </w:r>
      <w:r w:rsidRPr="00127652">
        <w:t xml:space="preserve">, a CVS/amniocentesis followed by </w:t>
      </w:r>
      <w:r w:rsidR="00587116">
        <w:t xml:space="preserve">a </w:t>
      </w:r>
      <w:r w:rsidRPr="00127652">
        <w:t xml:space="preserve">known mutation analysis is performed for fetal CF diagnosis. If only one parent is identified as a common mutation carrier or no common mutations are identified in either parent, it is highly likely that </w:t>
      </w:r>
      <w:r w:rsidR="00E20657">
        <w:t xml:space="preserve">one or both </w:t>
      </w:r>
      <w:r w:rsidRPr="00127652">
        <w:t>parents is</w:t>
      </w:r>
      <w:r w:rsidR="00E20657">
        <w:t>/are</w:t>
      </w:r>
      <w:r w:rsidRPr="00127652">
        <w:t xml:space="preserve"> a carrier of </w:t>
      </w:r>
      <w:r w:rsidR="00E20657">
        <w:t xml:space="preserve">a </w:t>
      </w:r>
      <w:r w:rsidRPr="00127652">
        <w:t>rare mutation; therefore</w:t>
      </w:r>
      <w:r w:rsidR="00E20657">
        <w:t>,</w:t>
      </w:r>
      <w:r w:rsidRPr="00127652">
        <w:t xml:space="preserve"> a whole gene </w:t>
      </w:r>
      <w:r w:rsidR="00E20657">
        <w:t>screen</w:t>
      </w:r>
      <w:r w:rsidR="00E20657" w:rsidRPr="00127652">
        <w:t xml:space="preserve"> </w:t>
      </w:r>
      <w:r w:rsidRPr="00127652">
        <w:t xml:space="preserve">for </w:t>
      </w:r>
      <w:r w:rsidR="00FD37D3" w:rsidRPr="00FD37D3">
        <w:t>CFTR</w:t>
      </w:r>
      <w:r w:rsidRPr="00127652">
        <w:t xml:space="preserve"> mutation </w:t>
      </w:r>
      <w:r w:rsidR="00A83A59">
        <w:t>would</w:t>
      </w:r>
      <w:r w:rsidR="00A83A59" w:rsidRPr="00127652">
        <w:t xml:space="preserve"> </w:t>
      </w:r>
      <w:r w:rsidRPr="00127652">
        <w:t>be performed for fetal diagnosis. Miscarriages are known risks of these procedures</w:t>
      </w:r>
      <w:r>
        <w:t xml:space="preserve"> and are accounted for in the models</w:t>
      </w:r>
      <w:r w:rsidRPr="00127652">
        <w:t xml:space="preserve">. If a fetal diagnosis of CF is made, parents </w:t>
      </w:r>
      <w:r w:rsidR="00A83A59">
        <w:t>would</w:t>
      </w:r>
      <w:r w:rsidR="00A83A59" w:rsidRPr="00127652">
        <w:t xml:space="preserve"> </w:t>
      </w:r>
      <w:r w:rsidRPr="00127652">
        <w:t xml:space="preserve">have </w:t>
      </w:r>
      <w:r w:rsidR="00256E03">
        <w:t xml:space="preserve">the </w:t>
      </w:r>
      <w:r w:rsidRPr="00127652">
        <w:t xml:space="preserve">option </w:t>
      </w:r>
      <w:r w:rsidR="00256E03">
        <w:t>of</w:t>
      </w:r>
      <w:r w:rsidR="00256E03" w:rsidRPr="00127652">
        <w:t xml:space="preserve"> </w:t>
      </w:r>
      <w:r w:rsidRPr="00127652">
        <w:t xml:space="preserve">terminating the pregnancy. </w:t>
      </w:r>
      <w:r w:rsidR="00256E03">
        <w:t>P</w:t>
      </w:r>
      <w:r>
        <w:t xml:space="preserve">regnancies that are continued </w:t>
      </w:r>
      <w:r w:rsidR="00A83A59">
        <w:t xml:space="preserve">would </w:t>
      </w:r>
      <w:r>
        <w:t xml:space="preserve">follow the same path as in </w:t>
      </w:r>
      <w:r w:rsidR="00E046FB">
        <w:t xml:space="preserve">the </w:t>
      </w:r>
      <w:r>
        <w:t>no</w:t>
      </w:r>
      <w:r w:rsidR="00D65382">
        <w:t>-</w:t>
      </w:r>
      <w:r>
        <w:t>testing arm.</w:t>
      </w:r>
    </w:p>
    <w:p w14:paraId="3777F842" w14:textId="684591D9" w:rsidR="00737CDB" w:rsidRPr="00127652" w:rsidRDefault="00737CDB" w:rsidP="00737CDB">
      <w:r w:rsidRPr="00127652">
        <w:t>In the no</w:t>
      </w:r>
      <w:r w:rsidR="00D65382">
        <w:t>-</w:t>
      </w:r>
      <w:r w:rsidRPr="00127652">
        <w:t>testing arm (comparator)</w:t>
      </w:r>
      <w:r>
        <w:t>,</w:t>
      </w:r>
      <w:r w:rsidRPr="00127652">
        <w:t xml:space="preserve"> no prenatal </w:t>
      </w:r>
      <w:r w:rsidR="00FD37D3" w:rsidRPr="00FD37D3">
        <w:t>CFTR</w:t>
      </w:r>
      <w:r>
        <w:t xml:space="preserve"> </w:t>
      </w:r>
      <w:r w:rsidRPr="00127652">
        <w:t xml:space="preserve">testing is performed </w:t>
      </w:r>
      <w:r>
        <w:t>and the pregnancy is continued to full term with natural outcomes (</w:t>
      </w:r>
      <w:r w:rsidR="00A83A59">
        <w:t xml:space="preserve">i.e. </w:t>
      </w:r>
      <w:r>
        <w:t>miscarriage, stillbirth and live birth). T</w:t>
      </w:r>
      <w:r w:rsidRPr="00127652">
        <w:t xml:space="preserve">he </w:t>
      </w:r>
      <w:r>
        <w:t xml:space="preserve">CF </w:t>
      </w:r>
      <w:r w:rsidRPr="00127652">
        <w:t xml:space="preserve">diagnosis is made after </w:t>
      </w:r>
      <w:r w:rsidR="00E046FB">
        <w:t xml:space="preserve">the </w:t>
      </w:r>
      <w:r w:rsidRPr="00127652">
        <w:t xml:space="preserve">child’s birth through </w:t>
      </w:r>
      <w:r w:rsidR="0067459F">
        <w:t>NBS</w:t>
      </w:r>
      <w:r w:rsidRPr="00127652">
        <w:t xml:space="preserve">. As the modelled neonates are at higher risk of CF due to family history, genetic counselling and common </w:t>
      </w:r>
      <w:r w:rsidR="00FD37D3" w:rsidRPr="00FD37D3">
        <w:t>CFTR</w:t>
      </w:r>
      <w:r w:rsidRPr="00127652">
        <w:t xml:space="preserve"> mutation testing </w:t>
      </w:r>
      <w:r w:rsidR="00E046FB">
        <w:t>are</w:t>
      </w:r>
      <w:r w:rsidR="00E046FB" w:rsidRPr="00127652">
        <w:t xml:space="preserve"> </w:t>
      </w:r>
      <w:r w:rsidRPr="00127652">
        <w:t>offered irrespective of the results for IRT levels</w:t>
      </w:r>
      <w:r>
        <w:t xml:space="preserve"> </w:t>
      </w:r>
      <w:r w:rsidR="00F57AF2">
        <w:fldChar w:fldCharType="begin"/>
      </w:r>
      <w:r w:rsidR="009A054F">
        <w:instrText xml:space="preserve"> ADDIN EN.CITE &lt;EndNote&gt;&lt;Cite&gt;&lt;Author&gt;Wilcken&lt;/Author&gt;&lt;Year&gt;1995&lt;/Year&gt;&lt;RecNum&gt;77&lt;/RecNum&gt;&lt;IDText&gt;965-70&lt;/IDText&gt;&lt;DisplayText&gt;(Wilcken et al. 1995)&lt;/DisplayText&gt;&lt;record&gt;&lt;rec-number&gt;77&lt;/rec-number&gt;&lt;foreign-keys&gt;&lt;key app="EN" db-id="parffa0acae2voep5w3vv9rypas2tr522eef" timestamp="1430365869"&gt;77&lt;/key&gt;&lt;/foreign-keys&gt;&lt;ref-type name="Journal Article"&gt;17&lt;/ref-type&gt;&lt;contributors&gt;&lt;authors&gt;&lt;author&gt;Wilcken, B.&lt;/author&gt;&lt;author&gt;Wiley, V.&lt;/author&gt;&lt;author&gt;Sherry, G.&lt;/author&gt;&lt;author&gt;Bayliss, U.&lt;/author&gt;&lt;/authors&gt;&lt;/contributors&gt;&lt;auth-address&gt;New South Wales Newborn Screening Program, Royal Alexandra Hospital for Children, Sydney, Australia.&lt;/auth-address&gt;&lt;titles&gt;&lt;title&gt;Neonatal screening for cystic fibrosis: a comparison of two strategies for case detection in 1.2 million babies&lt;/title&gt;&lt;secondary-title&gt;J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pediatrics&lt;/abbr-1&gt;&lt;/alt-periodical&gt;&lt;pages&gt;965-70&lt;/pages&gt;&lt;volume&gt;127&lt;/volume&gt;&lt;number&gt;6&lt;/number&gt;&lt;edition&gt;1995/12/01&lt;/edition&gt;&lt;keywords&gt;&lt;keyword&gt;Australia/epidemiology&lt;/keyword&gt;&lt;keyword&gt;Clinical Protocols&lt;/keyword&gt;&lt;keyword&gt;Cystic Fibrosis/*diagnosis/epidemiology/genetics&lt;/keyword&gt;&lt;keyword&gt;DNA Probes&lt;/keyword&gt;&lt;keyword&gt;Heterozygote Detection&lt;/keyword&gt;&lt;keyword&gt;Homozygote&lt;/keyword&gt;&lt;keyword&gt;Humans&lt;/keyword&gt;&lt;keyword&gt;Incidence&lt;/keyword&gt;&lt;keyword&gt;Infant&lt;/keyword&gt;&lt;keyword&gt;Infant, Newborn&lt;/keyword&gt;&lt;keyword&gt;Mutagenesis&lt;/keyword&gt;&lt;keyword&gt;*Neonatal Screening/economics&lt;/keyword&gt;&lt;keyword&gt;Point Mutation&lt;/keyword&gt;&lt;keyword&gt;Prognosis&lt;/keyword&gt;&lt;keyword&gt;Retrospective Studies&lt;/keyword&gt;&lt;keyword&gt;Trypsin/blood&lt;/keyword&gt;&lt;/keywords&gt;&lt;dates&gt;&lt;year&gt;1995&lt;/year&gt;&lt;pub-dates&gt;&lt;date&gt;Dec&lt;/date&gt;&lt;/pub-dates&gt;&lt;/dates&gt;&lt;isbn&gt;0022-3476 (Print)&amp;#xD;0022-3476 (Linking)&lt;/isbn&gt;&lt;accession-num&gt;8523199&lt;/accession-num&gt;&lt;urls&gt;&lt;related-urls&gt;&lt;url&gt;http://www.ncbi.nlm.nih.gov/pubmed/8523199&lt;/url&gt;&lt;/related-urls&gt;&lt;/urls&gt;&lt;/record&gt;&lt;/Cite&gt;&lt;/EndNote&gt;</w:instrText>
      </w:r>
      <w:r w:rsidR="00F57AF2">
        <w:fldChar w:fldCharType="separate"/>
      </w:r>
      <w:r w:rsidR="00F57AF2">
        <w:rPr>
          <w:noProof/>
        </w:rPr>
        <w:t>(</w:t>
      </w:r>
      <w:hyperlink w:anchor="_ENREF_131" w:tooltip="Wilcken, 1995 #77" w:history="1">
        <w:r w:rsidR="00B46ABF">
          <w:rPr>
            <w:noProof/>
          </w:rPr>
          <w:t>Wilcken et al. 1995</w:t>
        </w:r>
      </w:hyperlink>
      <w:r w:rsidR="00F57AF2">
        <w:rPr>
          <w:noProof/>
        </w:rPr>
        <w:t>)</w:t>
      </w:r>
      <w:r w:rsidR="00F57AF2">
        <w:fldChar w:fldCharType="end"/>
      </w:r>
      <w:r w:rsidR="00E046FB">
        <w:t>.</w:t>
      </w:r>
      <w:r w:rsidRPr="00127652">
        <w:t xml:space="preserve"> Sweat tests are offered </w:t>
      </w:r>
      <w:r>
        <w:t>when</w:t>
      </w:r>
      <w:r w:rsidRPr="00127652">
        <w:t xml:space="preserve"> one mutation is identified in the neonate.</w:t>
      </w:r>
    </w:p>
    <w:p w14:paraId="107BDEA9" w14:textId="525A154B" w:rsidR="00737CDB" w:rsidRPr="00127652" w:rsidRDefault="00737CDB" w:rsidP="00737CDB">
      <w:pPr>
        <w:rPr>
          <w:i/>
        </w:rPr>
      </w:pPr>
      <w:r w:rsidRPr="00127652">
        <w:rPr>
          <w:i/>
        </w:rPr>
        <w:t>Model 2</w:t>
      </w:r>
      <w:r w:rsidR="00093AB4">
        <w:rPr>
          <w:i/>
        </w:rPr>
        <w:t xml:space="preserve"> </w:t>
      </w:r>
      <w:r w:rsidR="00093AB4" w:rsidRPr="009E3597">
        <w:rPr>
          <w:i/>
        </w:rPr>
        <w:t xml:space="preserve">(population </w:t>
      </w:r>
      <w:r w:rsidR="00093AB4">
        <w:rPr>
          <w:i/>
        </w:rPr>
        <w:t>2</w:t>
      </w:r>
      <w:r w:rsidR="00093AB4" w:rsidRPr="00C75216">
        <w:rPr>
          <w:i/>
        </w:rPr>
        <w:t>b)</w:t>
      </w:r>
    </w:p>
    <w:p w14:paraId="7B19B555" w14:textId="1DCF81FF" w:rsidR="00737CDB" w:rsidRDefault="00737CDB" w:rsidP="00737CDB">
      <w:r>
        <w:t>The</w:t>
      </w:r>
      <w:r w:rsidRPr="00E0400B">
        <w:t xml:space="preserve"> presence of FEB increases the probability that the fetus is affected with</w:t>
      </w:r>
      <w:r>
        <w:t xml:space="preserve"> one of a range of conditions such as </w:t>
      </w:r>
      <w:r w:rsidR="00E51C8A">
        <w:t>CF</w:t>
      </w:r>
      <w:r>
        <w:t xml:space="preserve"> aneuploidy, growth restrictions, </w:t>
      </w:r>
      <w:r w:rsidRPr="00E0400B">
        <w:t>congenital infection</w:t>
      </w:r>
      <w:r>
        <w:t xml:space="preserve"> and </w:t>
      </w:r>
      <w:r w:rsidRPr="00E0400B">
        <w:t>amniotic haemorrhage</w:t>
      </w:r>
      <w:r>
        <w:t xml:space="preserve">. </w:t>
      </w:r>
      <w:r w:rsidRPr="00E0400B">
        <w:t xml:space="preserve">For this reason the European and American </w:t>
      </w:r>
      <w:r w:rsidR="00E51C8A">
        <w:t>s</w:t>
      </w:r>
      <w:r w:rsidRPr="00E0400B">
        <w:t>ocieties recommend consideration of invasive diagnostic</w:t>
      </w:r>
      <w:r>
        <w:t xml:space="preserve"> testing </w:t>
      </w:r>
      <w:r w:rsidRPr="00E0400B">
        <w:t>for karyotype, viral infe</w:t>
      </w:r>
      <w:r>
        <w:t>ction titres and CF screening</w:t>
      </w:r>
      <w:r w:rsidRPr="00725A28">
        <w:t xml:space="preserve"> </w:t>
      </w:r>
      <w:r w:rsidRPr="00E0400B">
        <w:t>following the identification of FEB at 19</w:t>
      </w:r>
      <w:r w:rsidR="00E51C8A">
        <w:t>–</w:t>
      </w:r>
      <w:r w:rsidRPr="00E0400B">
        <w:t>20 weeks</w:t>
      </w:r>
      <w:r w:rsidR="00E51C8A">
        <w:t>’</w:t>
      </w:r>
      <w:r w:rsidRPr="00E0400B">
        <w:t xml:space="preserve"> gestation</w:t>
      </w:r>
      <w:r>
        <w:t xml:space="preserve">. However, to simplify the model structure these outcomes are not considered in the model. This is a conservative approach and will underestimate the cost-effectiveness of prenatal </w:t>
      </w:r>
      <w:r w:rsidR="00FD37D3" w:rsidRPr="00FD37D3">
        <w:t>CFTR</w:t>
      </w:r>
      <w:r>
        <w:t xml:space="preserve"> testing because invasive diagnostic testing would nevertheless be performed for other medical conditions in FEB fetuses</w:t>
      </w:r>
      <w:r w:rsidR="00E51C8A">
        <w:t>,</w:t>
      </w:r>
      <w:r>
        <w:t xml:space="preserve"> and the additional costs incurred </w:t>
      </w:r>
      <w:r w:rsidR="007C6A51">
        <w:t xml:space="preserve">would </w:t>
      </w:r>
      <w:r>
        <w:t xml:space="preserve">be </w:t>
      </w:r>
      <w:r w:rsidR="00E51C8A">
        <w:t xml:space="preserve">those </w:t>
      </w:r>
      <w:r>
        <w:t xml:space="preserve">of testing mutations in </w:t>
      </w:r>
      <w:r w:rsidR="00E51C8A">
        <w:t xml:space="preserve">the </w:t>
      </w:r>
      <w:r>
        <w:t>parents and the fetus</w:t>
      </w:r>
      <w:r w:rsidR="00E51C8A">
        <w:t>’s</w:t>
      </w:r>
      <w:r>
        <w:t xml:space="preserve"> blood sample. </w:t>
      </w:r>
    </w:p>
    <w:p w14:paraId="244E8A12" w14:textId="64172A2F" w:rsidR="00737CDB" w:rsidRPr="00127652" w:rsidRDefault="00737CDB" w:rsidP="00737CDB">
      <w:r w:rsidRPr="00127652">
        <w:t xml:space="preserve">Model 2 consists of parents with fetuses showing echogenic bowel and assessed at high risk of CF based on their risk profile. </w:t>
      </w:r>
      <w:r>
        <w:t xml:space="preserve">No data for the </w:t>
      </w:r>
      <w:r w:rsidR="00FD37D3" w:rsidRPr="00FD37D3">
        <w:t>CFTR</w:t>
      </w:r>
      <w:r>
        <w:t xml:space="preserve"> carrier frequencies among the parents of fetuses with FEB were found in the literature. Therefore, a prevalence</w:t>
      </w:r>
      <w:r w:rsidR="00E51C8A">
        <w:t>-</w:t>
      </w:r>
      <w:r>
        <w:t>based approach (based on Bayesian conditional probabilities) is used in modelling the prenatal testing arm</w:t>
      </w:r>
      <w:r w:rsidR="00E51C8A">
        <w:t>,</w:t>
      </w:r>
      <w:r>
        <w:t xml:space="preserve"> where the expected values are estimated in two categories based on the actual outcome</w:t>
      </w:r>
      <w:r w:rsidR="00E51C8A">
        <w:t>—</w:t>
      </w:r>
      <w:r>
        <w:t>fetuses with CF and fetuses with no CF. The remainder of the structure is similar to model 1. P</w:t>
      </w:r>
      <w:r w:rsidRPr="00127652">
        <w:t xml:space="preserve">arents undergo genetic counselling followed by common </w:t>
      </w:r>
      <w:r w:rsidR="00FD37D3" w:rsidRPr="00FD37D3">
        <w:t>CFTR</w:t>
      </w:r>
      <w:r w:rsidRPr="00127652">
        <w:t xml:space="preserve"> mutation testing. If both parents are identified as carriers for common mutation</w:t>
      </w:r>
      <w:r w:rsidR="00E51C8A">
        <w:t>s</w:t>
      </w:r>
      <w:r w:rsidRPr="00127652">
        <w:t xml:space="preserve">, amniocentesis followed by known mutation analysis is performed in the fetus. </w:t>
      </w:r>
      <w:r>
        <w:t>The</w:t>
      </w:r>
      <w:r w:rsidRPr="00127652">
        <w:t xml:space="preserve"> </w:t>
      </w:r>
      <w:r>
        <w:t>probability</w:t>
      </w:r>
      <w:r w:rsidRPr="00127652">
        <w:t xml:space="preserve"> of CF is higher when FEB is present and one parent is identified as </w:t>
      </w:r>
      <w:r w:rsidR="00E51C8A">
        <w:t xml:space="preserve">a </w:t>
      </w:r>
      <w:r w:rsidRPr="00127652">
        <w:t>carrier</w:t>
      </w:r>
      <w:r w:rsidR="007C6A51">
        <w:t>,</w:t>
      </w:r>
      <w:r w:rsidRPr="00127652">
        <w:t xml:space="preserve"> compared with the risk of CF in the general population</w:t>
      </w:r>
      <w:r>
        <w:t xml:space="preserve"> </w:t>
      </w:r>
      <w:r w:rsidR="00F57AF2">
        <w:fldChar w:fldCharType="begin">
          <w:fldData xml:space="preserve">PEVuZE5vdGU+PENpdGU+PEF1dGhvcj5Ib2RnZTwvQXV0aG9yPjxZZWFyPjE5OTk8L1llYXI+PFJl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</w:fldData>
        </w:fldChar>
      </w:r>
      <w:r w:rsidR="009A054F">
        <w:instrText xml:space="preserve"> ADDIN EN.CITE </w:instrText>
      </w:r>
      <w:r w:rsidR="009A054F">
        <w:fldChar w:fldCharType="begin">
          <w:fldData xml:space="preserve">PEVuZE5vdGU+PENpdGU+PEF1dGhvcj5Ib2RnZTwvQXV0aG9yPjxZZWFyPjE5OTk8L1llYXI+PFJl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</w:fldData>
        </w:fldChar>
      </w:r>
      <w:r w:rsidR="009A054F">
        <w:instrText xml:space="preserve"> ADDIN EN.CITE.DATA </w:instrText>
      </w:r>
      <w:r w:rsidR="009A054F">
        <w:fldChar w:fldCharType="end"/>
      </w:r>
      <w:r w:rsidR="00F57AF2">
        <w:fldChar w:fldCharType="separate"/>
      </w:r>
      <w:r w:rsidR="00F57AF2">
        <w:rPr>
          <w:noProof/>
        </w:rPr>
        <w:t>(</w:t>
      </w:r>
      <w:hyperlink w:anchor="_ENREF_53" w:tooltip="Hodge, 1999 #25" w:history="1">
        <w:r w:rsidR="00B46ABF">
          <w:rPr>
            <w:noProof/>
          </w:rPr>
          <w:t>Hodge et al. 1999</w:t>
        </w:r>
      </w:hyperlink>
      <w:r w:rsidR="00F57AF2">
        <w:rPr>
          <w:noProof/>
        </w:rPr>
        <w:t xml:space="preserve">; </w:t>
      </w:r>
      <w:hyperlink w:anchor="_ENREF_94" w:tooltip="Ogino, 2004 #46" w:history="1">
        <w:r w:rsidR="00B46ABF">
          <w:rPr>
            <w:noProof/>
          </w:rPr>
          <w:t>Ogino et al. 2004</w:t>
        </w:r>
      </w:hyperlink>
      <w:r w:rsidR="00F57AF2">
        <w:rPr>
          <w:noProof/>
        </w:rPr>
        <w:t>)</w:t>
      </w:r>
      <w:r w:rsidR="00F57AF2">
        <w:fldChar w:fldCharType="end"/>
      </w:r>
      <w:r w:rsidR="00E51C8A">
        <w:t>.</w:t>
      </w:r>
      <w:r w:rsidRPr="00127652">
        <w:t xml:space="preserve"> </w:t>
      </w:r>
      <w:r>
        <w:t>Thus, i</w:t>
      </w:r>
      <w:r w:rsidRPr="00127652">
        <w:t xml:space="preserve">f only one parent is identified as a carrier of </w:t>
      </w:r>
      <w:r w:rsidR="00E51C8A">
        <w:t xml:space="preserve">a </w:t>
      </w:r>
      <w:r w:rsidRPr="00127652">
        <w:t xml:space="preserve">common mutation, </w:t>
      </w:r>
      <w:r w:rsidR="00E51C8A">
        <w:t>they</w:t>
      </w:r>
      <w:r w:rsidR="00E51C8A" w:rsidRPr="00127652">
        <w:t xml:space="preserve"> </w:t>
      </w:r>
      <w:r w:rsidR="007C6A51">
        <w:t>would</w:t>
      </w:r>
      <w:r w:rsidR="007C6A51" w:rsidRPr="00127652">
        <w:t xml:space="preserve"> </w:t>
      </w:r>
      <w:r w:rsidRPr="00127652">
        <w:t xml:space="preserve">have </w:t>
      </w:r>
      <w:r w:rsidR="00E51C8A">
        <w:t>the</w:t>
      </w:r>
      <w:r w:rsidR="00E51C8A" w:rsidRPr="00127652">
        <w:t xml:space="preserve"> </w:t>
      </w:r>
      <w:r w:rsidRPr="00127652">
        <w:t xml:space="preserve">choice of invasive testing and </w:t>
      </w:r>
      <w:r w:rsidR="007C6A51">
        <w:t xml:space="preserve">a </w:t>
      </w:r>
      <w:r w:rsidRPr="00127652">
        <w:t>whole gene screen in the fetus due to the risk of unidentified rare mutations.</w:t>
      </w:r>
      <w:r>
        <w:t xml:space="preserve"> </w:t>
      </w:r>
      <w:r w:rsidRPr="00127652">
        <w:t xml:space="preserve">No fetal testing would be done in cases where no mutations are identified in the parents. However, there may be a residual risk of CF in the fetus due to unidentified rare mutations. The residual risk is </w:t>
      </w:r>
      <w:r w:rsidRPr="00127652">
        <w:lastRenderedPageBreak/>
        <w:t>dependent on the sensitivity of the common mutation panel selected for the testing</w:t>
      </w:r>
      <w:r>
        <w:t xml:space="preserve"> </w:t>
      </w:r>
      <w:r w:rsidRPr="00C55B2E">
        <w:t>(see discussion under section C.1.2)</w:t>
      </w:r>
      <w:r w:rsidRPr="00127652">
        <w:t xml:space="preserve">. As in model 1, parents </w:t>
      </w:r>
      <w:r w:rsidR="007C6A51">
        <w:t>would</w:t>
      </w:r>
      <w:r w:rsidR="007C6A51" w:rsidRPr="00127652">
        <w:t xml:space="preserve"> </w:t>
      </w:r>
      <w:r w:rsidRPr="00127652">
        <w:t xml:space="preserve">have </w:t>
      </w:r>
      <w:r w:rsidR="00E51C8A">
        <w:t>the</w:t>
      </w:r>
      <w:r w:rsidR="00E51C8A" w:rsidRPr="00127652">
        <w:t xml:space="preserve"> </w:t>
      </w:r>
      <w:r w:rsidRPr="00127652">
        <w:t xml:space="preserve">option </w:t>
      </w:r>
      <w:r w:rsidR="00E51C8A">
        <w:t>of</w:t>
      </w:r>
      <w:r w:rsidR="00E51C8A" w:rsidRPr="00127652">
        <w:t xml:space="preserve"> </w:t>
      </w:r>
      <w:r w:rsidRPr="00127652">
        <w:t xml:space="preserve">terminating the pregnancy if </w:t>
      </w:r>
      <w:r w:rsidR="00E51C8A">
        <w:t xml:space="preserve">the </w:t>
      </w:r>
      <w:r>
        <w:t>fetus test</w:t>
      </w:r>
      <w:r w:rsidR="00E51C8A">
        <w:t>s</w:t>
      </w:r>
      <w:r>
        <w:t xml:space="preserve"> positive for CF</w:t>
      </w:r>
      <w:r w:rsidR="00E51C8A">
        <w:t>,</w:t>
      </w:r>
      <w:r>
        <w:t xml:space="preserve"> and pregnancies </w:t>
      </w:r>
      <w:r w:rsidR="00E51C8A">
        <w:t xml:space="preserve">that </w:t>
      </w:r>
      <w:r>
        <w:t xml:space="preserve">are continued </w:t>
      </w:r>
      <w:r w:rsidR="007C6A51">
        <w:t xml:space="preserve">would </w:t>
      </w:r>
      <w:r>
        <w:t xml:space="preserve">follow the same path as in </w:t>
      </w:r>
      <w:r w:rsidR="00E51C8A">
        <w:t xml:space="preserve">the </w:t>
      </w:r>
      <w:r>
        <w:t>no</w:t>
      </w:r>
      <w:r w:rsidR="00D65382">
        <w:t>-</w:t>
      </w:r>
      <w:r>
        <w:t>testing arm.</w:t>
      </w:r>
    </w:p>
    <w:p w14:paraId="7413A8AE" w14:textId="5218D1CE" w:rsidR="00737CDB" w:rsidRPr="00127652" w:rsidRDefault="00737CDB" w:rsidP="00737CDB">
      <w:r w:rsidRPr="00127652">
        <w:t xml:space="preserve">In the comparator arm modelled pathways are similar to </w:t>
      </w:r>
      <w:r>
        <w:t>the comparator arm in model 1. T</w:t>
      </w:r>
      <w:r w:rsidRPr="00127652">
        <w:t xml:space="preserve">he diagnosis of CF is made through </w:t>
      </w:r>
      <w:r w:rsidR="00B63EC3">
        <w:t>NBS</w:t>
      </w:r>
      <w:r>
        <w:t xml:space="preserve"> (IRT</w:t>
      </w:r>
      <w:r w:rsidR="00853DDE">
        <w:t xml:space="preserve"> </w:t>
      </w:r>
      <w:r>
        <w:t>/</w:t>
      </w:r>
      <w:r w:rsidR="00853DDE">
        <w:t xml:space="preserve"> </w:t>
      </w:r>
      <w:r>
        <w:t>DNA testing</w:t>
      </w:r>
      <w:r w:rsidR="00853DDE">
        <w:t xml:space="preserve"> </w:t>
      </w:r>
      <w:r>
        <w:t>/</w:t>
      </w:r>
      <w:r w:rsidR="00853DDE">
        <w:t xml:space="preserve"> </w:t>
      </w:r>
      <w:r>
        <w:t>sweat test)</w:t>
      </w:r>
      <w:r w:rsidR="00853DDE">
        <w:t xml:space="preserve"> </w:t>
      </w:r>
      <w:r w:rsidR="00853DDE" w:rsidRPr="00127652">
        <w:t xml:space="preserve">after </w:t>
      </w:r>
      <w:r w:rsidR="00853DDE">
        <w:t xml:space="preserve">the </w:t>
      </w:r>
      <w:r w:rsidR="00853DDE" w:rsidRPr="00127652">
        <w:t>child’s birth</w:t>
      </w:r>
      <w:r>
        <w:t xml:space="preserve">. Unlike model 1, only </w:t>
      </w:r>
      <w:r w:rsidR="00853DDE">
        <w:t xml:space="preserve">a </w:t>
      </w:r>
      <w:r>
        <w:t xml:space="preserve">small proportion of infants </w:t>
      </w:r>
      <w:r w:rsidR="007C6A51">
        <w:t xml:space="preserve">would </w:t>
      </w:r>
      <w:r>
        <w:t xml:space="preserve">undergo DNA and sweat testing additional to IRT assay. This is discussed in detail in section D.4. </w:t>
      </w:r>
    </w:p>
    <w:p w14:paraId="313B1ABD" w14:textId="77777777" w:rsidR="00737CDB" w:rsidRPr="00127652" w:rsidRDefault="00737CDB" w:rsidP="006D2CA8">
      <w:pPr>
        <w:spacing w:after="120"/>
        <w:rPr>
          <w:i/>
        </w:rPr>
      </w:pPr>
      <w:r w:rsidRPr="00127652">
        <w:rPr>
          <w:i/>
        </w:rPr>
        <w:t>Model assumptions</w:t>
      </w:r>
    </w:p>
    <w:p w14:paraId="451D5075" w14:textId="2D35FA20" w:rsidR="00093AB4" w:rsidRDefault="00093AB4" w:rsidP="006D2CA8">
      <w:pPr>
        <w:numPr>
          <w:ilvl w:val="0"/>
          <w:numId w:val="28"/>
        </w:numPr>
        <w:spacing w:after="120"/>
      </w:pPr>
      <w:r>
        <w:t xml:space="preserve">Prenatal diagnostic </w:t>
      </w:r>
      <w:r w:rsidRPr="00FD37D3">
        <w:t>CFTR</w:t>
      </w:r>
      <w:r w:rsidRPr="00127652">
        <w:t xml:space="preserve"> testing is done within the valid timeframe to allow for </w:t>
      </w:r>
      <w:r w:rsidR="00853DDE">
        <w:t>TOP</w:t>
      </w:r>
      <w:r w:rsidRPr="00127652">
        <w:t xml:space="preserve"> if CF is diagnosed.</w:t>
      </w:r>
    </w:p>
    <w:p w14:paraId="10A464A2" w14:textId="77777777" w:rsidR="00093AB4" w:rsidRDefault="00093AB4" w:rsidP="006D2CA8">
      <w:pPr>
        <w:numPr>
          <w:ilvl w:val="0"/>
          <w:numId w:val="28"/>
        </w:numPr>
        <w:spacing w:after="120"/>
      </w:pPr>
      <w:r>
        <w:t>The parents accepting the test are prepared to take the risk of invasive testing.</w:t>
      </w:r>
    </w:p>
    <w:p w14:paraId="0DB56350" w14:textId="3B174A89" w:rsidR="00093AB4" w:rsidRPr="00127652" w:rsidRDefault="00093AB4" w:rsidP="006D2CA8">
      <w:pPr>
        <w:numPr>
          <w:ilvl w:val="0"/>
          <w:numId w:val="28"/>
        </w:numPr>
        <w:spacing w:after="120"/>
      </w:pPr>
      <w:r w:rsidRPr="00170DDE">
        <w:t>Consistent with the limited available evidence</w:t>
      </w:r>
      <w:r w:rsidR="00853DDE">
        <w:t>-</w:t>
      </w:r>
      <w:r w:rsidRPr="00170DDE">
        <w:t xml:space="preserve">base, mutation tests for this population group are assumed to be 100% sensitive and it is assumed that the tests used are appropriate for the mutations being identified. In the absence of any evidence, </w:t>
      </w:r>
      <w:r w:rsidR="00853DDE">
        <w:t>it is</w:t>
      </w:r>
      <w:r w:rsidRPr="00170DDE">
        <w:t xml:space="preserve"> assumed that the tests are also 100% specific</w:t>
      </w:r>
      <w:r>
        <w:t xml:space="preserve">. </w:t>
      </w:r>
      <w:r w:rsidR="00853DDE">
        <w:t>The a</w:t>
      </w:r>
      <w:r>
        <w:t>nalytical validity of the d</w:t>
      </w:r>
      <w:r w:rsidRPr="00127652">
        <w:t>iagnostic test</w:t>
      </w:r>
      <w:r>
        <w:t xml:space="preserve">s is, therefore, considered </w:t>
      </w:r>
      <w:r w:rsidR="00853DDE">
        <w:t xml:space="preserve">to be </w:t>
      </w:r>
      <w:r>
        <w:t>100%</w:t>
      </w:r>
      <w:r w:rsidR="00853DDE">
        <w:t>;</w:t>
      </w:r>
      <w:r>
        <w:t xml:space="preserve"> </w:t>
      </w:r>
      <w:r w:rsidR="00853DDE">
        <w:t>that is,</w:t>
      </w:r>
      <w:r>
        <w:t xml:space="preserve"> </w:t>
      </w:r>
      <w:r w:rsidR="00853DDE">
        <w:t xml:space="preserve">the </w:t>
      </w:r>
      <w:r>
        <w:t xml:space="preserve">mutation </w:t>
      </w:r>
      <w:r w:rsidRPr="00B05DB1">
        <w:t xml:space="preserve">tests </w:t>
      </w:r>
      <w:r>
        <w:t>are</w:t>
      </w:r>
      <w:r w:rsidRPr="00B05DB1">
        <w:t xml:space="preserve"> </w:t>
      </w:r>
      <w:r>
        <w:t xml:space="preserve">assumed to </w:t>
      </w:r>
      <w:r w:rsidRPr="001D2A62">
        <w:t>accurately detect the presence or absence of specific mutations</w:t>
      </w:r>
      <w:r>
        <w:t xml:space="preserve">. </w:t>
      </w:r>
      <w:r w:rsidR="00853DDE">
        <w:t>The i</w:t>
      </w:r>
      <w:r>
        <w:t>mpact of varying the test accuracy was not assessed in the sensitivity analyses</w:t>
      </w:r>
      <w:r w:rsidRPr="00127652">
        <w:t xml:space="preserve"> </w:t>
      </w:r>
      <w:r w:rsidR="00853DDE">
        <w:t>(s</w:t>
      </w:r>
      <w:r w:rsidRPr="00127652">
        <w:t xml:space="preserve">ee section C.1.1 for </w:t>
      </w:r>
      <w:r>
        <w:t xml:space="preserve">further </w:t>
      </w:r>
      <w:r w:rsidRPr="00127652">
        <w:t>discussion</w:t>
      </w:r>
      <w:r w:rsidR="00853DDE">
        <w:t>)</w:t>
      </w:r>
      <w:r w:rsidRPr="00127652">
        <w:t>.</w:t>
      </w:r>
    </w:p>
    <w:p w14:paraId="02AF99FB" w14:textId="11C5894A" w:rsidR="00093AB4" w:rsidRPr="00127652" w:rsidRDefault="00093AB4" w:rsidP="006D2CA8">
      <w:pPr>
        <w:numPr>
          <w:ilvl w:val="0"/>
          <w:numId w:val="28"/>
        </w:numPr>
        <w:spacing w:after="120"/>
      </w:pPr>
      <w:r w:rsidRPr="00127652">
        <w:t xml:space="preserve">Parenting partnerships are considered </w:t>
      </w:r>
      <w:r w:rsidR="00853DDE">
        <w:t xml:space="preserve">to be </w:t>
      </w:r>
      <w:r w:rsidRPr="00127652">
        <w:t xml:space="preserve">stable </w:t>
      </w:r>
      <w:r>
        <w:t>and transparent (i.e.</w:t>
      </w:r>
      <w:r w:rsidRPr="00127652">
        <w:t xml:space="preserve"> parents with a previous CF child </w:t>
      </w:r>
      <w:r>
        <w:t xml:space="preserve">between them </w:t>
      </w:r>
      <w:r w:rsidRPr="00127652">
        <w:t>are both assumed to be carriers).</w:t>
      </w:r>
    </w:p>
    <w:p w14:paraId="25B2E237" w14:textId="77777777" w:rsidR="00093AB4" w:rsidRPr="00127652" w:rsidRDefault="00093AB4" w:rsidP="006D2CA8">
      <w:pPr>
        <w:numPr>
          <w:ilvl w:val="0"/>
          <w:numId w:val="28"/>
        </w:numPr>
        <w:spacing w:after="120"/>
      </w:pPr>
      <w:r w:rsidRPr="00343F9F">
        <w:rPr>
          <w:i/>
        </w:rPr>
        <w:t>De novo</w:t>
      </w:r>
      <w:r w:rsidRPr="00127652">
        <w:t xml:space="preserve"> mutations are very rare and thus not included in the model.</w:t>
      </w:r>
    </w:p>
    <w:p w14:paraId="5A9D1C04" w14:textId="3593007E" w:rsidR="00093AB4" w:rsidRDefault="00093AB4" w:rsidP="006D2CA8">
      <w:pPr>
        <w:numPr>
          <w:ilvl w:val="0"/>
          <w:numId w:val="28"/>
        </w:numPr>
        <w:spacing w:after="120"/>
      </w:pPr>
      <w:r w:rsidRPr="00127652">
        <w:t xml:space="preserve">To simplify the model structure, it is assumed that whole gene testing will detect all </w:t>
      </w:r>
      <w:r w:rsidRPr="00FD37D3">
        <w:t>CFTR</w:t>
      </w:r>
      <w:r w:rsidRPr="00127652">
        <w:t xml:space="preserve"> mutations. </w:t>
      </w:r>
      <w:r w:rsidR="00853DDE">
        <w:t>However,</w:t>
      </w:r>
      <w:r w:rsidRPr="00127652">
        <w:t xml:space="preserve"> as discussed in section B.6.i, the residual risk for unidentified mutations is still 2% as large deletions/duplications involving the </w:t>
      </w:r>
      <w:r w:rsidRPr="00A21FD9">
        <w:rPr>
          <w:i/>
        </w:rPr>
        <w:t>CFTR</w:t>
      </w:r>
      <w:r w:rsidRPr="00127652">
        <w:t xml:space="preserve"> gene are not detectable by any sequencing assay. </w:t>
      </w:r>
    </w:p>
    <w:p w14:paraId="5848B399" w14:textId="4ECBAE02" w:rsidR="00093AB4" w:rsidRPr="00127652" w:rsidRDefault="00093AB4" w:rsidP="006D2CA8">
      <w:pPr>
        <w:numPr>
          <w:ilvl w:val="0"/>
          <w:numId w:val="28"/>
        </w:numPr>
        <w:spacing w:after="120"/>
      </w:pPr>
      <w:r>
        <w:t xml:space="preserve">It is assumed that </w:t>
      </w:r>
      <w:r w:rsidR="0067459F">
        <w:t>NBS</w:t>
      </w:r>
      <w:r>
        <w:t xml:space="preserve"> will identify all infants with CF; however</w:t>
      </w:r>
      <w:r w:rsidR="00853DDE">
        <w:t>,</w:t>
      </w:r>
      <w:r>
        <w:t xml:space="preserve"> in clinical practice </w:t>
      </w:r>
      <w:r w:rsidR="00853DDE">
        <w:t xml:space="preserve">it </w:t>
      </w:r>
      <w:r>
        <w:t xml:space="preserve">is found to be around 95% sensitive and nearly 5% </w:t>
      </w:r>
      <w:r w:rsidR="00853DDE">
        <w:t xml:space="preserve">of </w:t>
      </w:r>
      <w:r>
        <w:t xml:space="preserve">cases are missed and diagnosed later </w:t>
      </w:r>
      <w:r>
        <w:fldChar w:fldCharType="begin"/>
      </w:r>
      <w:r w:rsidR="009A054F">
        <w:instrText xml:space="preserve"> ADDIN EN.CITE &lt;EndNote&gt;&lt;Cite&gt;&lt;Author&gt;Mishra&lt;/Author&gt;&lt;Year&gt;2005&lt;/Year&gt;&lt;RecNum&gt;38&lt;/RecNum&gt;&lt;IDText&gt;135-153&lt;/IDText&gt;&lt;DisplayText&gt;(Mishra, Greaves &amp;amp; Massie 2005)&lt;/DisplayText&gt;&lt;record&gt;&lt;rec-number&gt;38&lt;/rec-number&gt;&lt;foreign-keys&gt;&lt;key app="EN" db-id="parffa0acae2voep5w3vv9rypas2tr522eef" timestamp="1430365847"&gt;38&lt;/key&gt;&lt;/foreign-keys&gt;&lt;ref-type name="Journal Article"&gt;17&lt;/ref-type&gt;&lt;contributors&gt;&lt;authors&gt;&lt;author&gt;Mishra, Avantika&lt;/author&gt;&lt;author&gt;Greaves, Ronda&lt;/author&gt;&lt;author&gt;Massie, John&lt;/author&gt;&lt;/authors&gt;&lt;/contributors&gt;&lt;titles&gt;&lt;title&gt;The Relevance of Sweat Testing for the Diagnosis of Cystic Fibrosis in the Genomic Era&lt;/title&gt;&lt;secondary-title&gt;The Clinical biochemist. Reviews / Australian Association of Clinical Biochemists.&lt;/secondary-title&gt;&lt;/titles&gt;&lt;periodical&gt;&lt;full-title&gt;The Clinical biochemist. Reviews / Australian Association of Clinical Biochemists.&lt;/full-title&gt;&lt;/periodical&gt;&lt;pages&gt;135-153&lt;/pages&gt;&lt;volume&gt;26&lt;/volume&gt;&lt;number&gt;4&lt;/number&gt;&lt;dates&gt;&lt;year&gt;2005&lt;/year&gt;&lt;/dates&gt;&lt;publisher&gt;The Australian Association of Clinical Biochemists&lt;/publisher&gt;&lt;isbn&gt;0159-8090&lt;/isbn&gt;&lt;accession-num&gt;PMC1320177&lt;/accession-num&gt;&lt;urls&gt;&lt;related-urls&gt;&lt;url&gt;http://www.ncbi.nlm.nih.gov/pmc/articles/PMC1320177/&lt;/url&gt;&lt;/related-urls&gt;&lt;/urls&gt;&lt;remote-database-name&gt;PMC&lt;/remote-database-name&gt;&lt;/record&gt;&lt;/Cite&gt;&lt;/EndNote&gt;</w:instrText>
      </w:r>
      <w:r>
        <w:fldChar w:fldCharType="separate"/>
      </w:r>
      <w:r>
        <w:rPr>
          <w:noProof/>
        </w:rPr>
        <w:t>(</w:t>
      </w:r>
      <w:hyperlink w:anchor="_ENREF_78" w:tooltip="Mishra, 2005 #38" w:history="1">
        <w:r w:rsidR="00B46ABF">
          <w:rPr>
            <w:noProof/>
          </w:rPr>
          <w:t>Mishra, Greaves &amp; Massie 2005</w:t>
        </w:r>
      </w:hyperlink>
      <w:r>
        <w:rPr>
          <w:noProof/>
        </w:rPr>
        <w:t>)</w:t>
      </w:r>
      <w:r>
        <w:fldChar w:fldCharType="end"/>
      </w:r>
      <w:r>
        <w:t>. This will underestimate the cost-effectiveness of prenatal testing.</w:t>
      </w:r>
    </w:p>
    <w:p w14:paraId="4A5421CB" w14:textId="6845EDFA" w:rsidR="004D4530" w:rsidRDefault="00737CDB" w:rsidP="00737CDB">
      <w:r w:rsidRPr="00127652">
        <w:t xml:space="preserve">The structure of the economic evaluations is shown in </w:t>
      </w:r>
      <w:r w:rsidRPr="00127652">
        <w:fldChar w:fldCharType="begin"/>
      </w:r>
      <w:r w:rsidRPr="00127652">
        <w:instrText xml:space="preserve"> REF _Ref412637098 \h </w:instrText>
      </w:r>
      <w:r>
        <w:instrText xml:space="preserve"> \* MERGEFORMAT </w:instrText>
      </w:r>
      <w:r w:rsidRPr="00127652">
        <w:fldChar w:fldCharType="separate"/>
      </w:r>
      <w:r w:rsidR="00BB0E3E" w:rsidRPr="000A1A2C">
        <w:t xml:space="preserve">Figure </w:t>
      </w:r>
      <w:r w:rsidR="00BB0E3E">
        <w:t>6</w:t>
      </w:r>
      <w:r w:rsidRPr="00127652">
        <w:fldChar w:fldCharType="end"/>
      </w:r>
      <w:r w:rsidRPr="00127652">
        <w:t xml:space="preserve"> and </w:t>
      </w:r>
      <w:r w:rsidRPr="00127652">
        <w:fldChar w:fldCharType="begin"/>
      </w:r>
      <w:r w:rsidRPr="00127652">
        <w:instrText xml:space="preserve"> REF _Ref412637106 \h </w:instrText>
      </w:r>
      <w:r>
        <w:instrText xml:space="preserve"> \* MERGEFORMAT </w:instrText>
      </w:r>
      <w:r w:rsidRPr="00127652">
        <w:fldChar w:fldCharType="separate"/>
      </w:r>
      <w:r w:rsidR="00BB0E3E" w:rsidRPr="000A1A2C">
        <w:t xml:space="preserve">Figure </w:t>
      </w:r>
      <w:r w:rsidR="00BB0E3E">
        <w:t>7</w:t>
      </w:r>
      <w:r w:rsidRPr="00127652">
        <w:fldChar w:fldCharType="end"/>
      </w:r>
      <w:r w:rsidRPr="00127652">
        <w:t>.</w:t>
      </w:r>
    </w:p>
    <w:p w14:paraId="5C9E6E7A" w14:textId="2511B1AC" w:rsidR="003A5AF9" w:rsidRPr="006B3E53" w:rsidRDefault="00E83FFB" w:rsidP="003A5AF9">
      <w:pPr>
        <w:rPr>
          <w:rFonts w:asciiTheme="minorHAnsi" w:hAnsiTheme="minorHAnsi"/>
        </w:rPr>
      </w:pPr>
      <w:r>
        <w:rPr>
          <w:rFonts w:asciiTheme="minorHAnsi" w:hAnsiTheme="minorHAnsi"/>
          <w:noProof/>
        </w:rPr>
        <w:lastRenderedPageBreak/>
        <w:drawing>
          <wp:inline distT="0" distB="0" distL="0" distR="0" wp14:anchorId="32D9CA8F" wp14:editId="4A426756">
            <wp:extent cx="5731510" cy="5101590"/>
            <wp:effectExtent l="0" t="0" r="2540" b="3810"/>
            <wp:docPr id="3" name="Picture 3" descr="In this model parents are known to be carriers, either due to a previous CF birth or previous diagnostic testing. In the prenatal CFTR mutation testing arm, both parents undergo genetic counselling followed by common CFTR mutation testing. If both parents are identified as carriers for common mutations, a CVS/amniocentesis followed by known mutation analysis is performed for fetal CF diagnosis. If only one parent is identified as a common mutation carrier or no common mutations are identified in either parent, it is highly likely that the parent(s) is/are a carrier of a rare mutation; therefore, a whole gene test for CFTR mutation will be performed for fetal diagnosis. Miscarriages are known risks of these procedures and are accounted for in the models. If a fetal diagnosis of CF is made, parents will have the option of terminating the pregnancy. Pregnancies that are continued will follow the same path as in the no-testing arm (comparator). In the comparator arm, no prenatal CFTR testing is performed and the pregnancy is continued to full term with natural outcomes (miscarriage, stillbirth and live births). The CF diagnosis is made after the child’s birth through newborn screening." title="Decision analytic structure of the economic evaluation for fetus at 1:4 risk of CF due to parents being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R mutation Testing-ParentsCarriers_16 June 2015 Edited_compressed.tif"/>
                    <pic:cNvPicPr/>
                  </pic:nvPicPr>
                  <pic:blipFill>
                    <a:blip r:embed="rId44">
                      <a:extLst>
                        <a:ext uri="{28A0092B-C50C-407E-A947-70E740481C1C}">
                          <a14:useLocalDpi xmlns:a14="http://schemas.microsoft.com/office/drawing/2010/main" val="0"/>
                        </a:ext>
                      </a:extLst>
                    </a:blip>
                    <a:stretch>
                      <a:fillRect/>
                    </a:stretch>
                  </pic:blipFill>
                  <pic:spPr>
                    <a:xfrm>
                      <a:off x="0" y="0"/>
                      <a:ext cx="5731510" cy="5101590"/>
                    </a:xfrm>
                    <a:prstGeom prst="rect">
                      <a:avLst/>
                    </a:prstGeom>
                  </pic:spPr>
                </pic:pic>
              </a:graphicData>
            </a:graphic>
          </wp:inline>
        </w:drawing>
      </w:r>
    </w:p>
    <w:p w14:paraId="4607D047" w14:textId="0C015F3A" w:rsidR="001A3889" w:rsidRDefault="00F120C4" w:rsidP="00E906B1">
      <w:pPr>
        <w:pStyle w:val="Tablenotes0"/>
        <w:jc w:val="left"/>
      </w:pPr>
      <w:r>
        <w:t>amnio = a</w:t>
      </w:r>
      <w:r w:rsidRPr="001A3889">
        <w:t>mniocentesis</w:t>
      </w:r>
      <w:r>
        <w:t xml:space="preserve">; </w:t>
      </w:r>
      <w:r w:rsidR="00737A28" w:rsidRPr="001A3889">
        <w:t>CF = cystic fibrosis;</w:t>
      </w:r>
      <w:r w:rsidR="00737A28">
        <w:t xml:space="preserve"> </w:t>
      </w:r>
      <w:r w:rsidR="001A3889">
        <w:t>CFTR =</w:t>
      </w:r>
      <w:r w:rsidR="001A3889" w:rsidRPr="001A3889">
        <w:rPr>
          <w:rFonts w:ascii="Calibri" w:hAnsi="Calibri" w:cs="Tahoma"/>
          <w:snapToGrid/>
          <w:sz w:val="22"/>
          <w:szCs w:val="22"/>
          <w:lang w:eastAsia="en-AU"/>
        </w:rPr>
        <w:t xml:space="preserve"> </w:t>
      </w:r>
      <w:r w:rsidR="001A3889" w:rsidRPr="001A3889">
        <w:t>cystic fibrosis transmembrane conductance regulator</w:t>
      </w:r>
      <w:r w:rsidR="001A3889">
        <w:t xml:space="preserve">; </w:t>
      </w:r>
      <w:r>
        <w:t xml:space="preserve">CMA = </w:t>
      </w:r>
      <w:r w:rsidRPr="00127652">
        <w:t>common mutation analysis</w:t>
      </w:r>
      <w:r>
        <w:t xml:space="preserve">; </w:t>
      </w:r>
      <w:r w:rsidR="001A3889">
        <w:t>CVS = c</w:t>
      </w:r>
      <w:r w:rsidR="001A3889" w:rsidRPr="001A3889">
        <w:t>horionic villus sampling</w:t>
      </w:r>
      <w:r w:rsidR="001A3889">
        <w:t xml:space="preserve">; </w:t>
      </w:r>
      <w:r>
        <w:t xml:space="preserve">FetalLoss_PR = procedure-related fetal loss; </w:t>
      </w:r>
    </w:p>
    <w:p w14:paraId="774E941D" w14:textId="20A18338" w:rsidR="00FA3530" w:rsidRDefault="00FA3530" w:rsidP="00997B41">
      <w:pPr>
        <w:pStyle w:val="Caption"/>
        <w:ind w:left="1134" w:hanging="1134"/>
      </w:pPr>
      <w:bookmarkStart w:id="326" w:name="_Ref412637098"/>
      <w:bookmarkStart w:id="327" w:name="_Toc416855406"/>
      <w:bookmarkStart w:id="328" w:name="_Toc423525561"/>
      <w:r w:rsidRPr="000A1A2C">
        <w:t xml:space="preserve">Figure </w:t>
      </w:r>
      <w:fldSimple w:instr=" SEQ Figure \* ARABIC ">
        <w:r w:rsidR="00BB0E3E">
          <w:rPr>
            <w:noProof/>
          </w:rPr>
          <w:t>6</w:t>
        </w:r>
      </w:fldSimple>
      <w:bookmarkEnd w:id="326"/>
      <w:r w:rsidRPr="00127652">
        <w:tab/>
        <w:t>Decision analytic structure of the economic evaluation for fetus at 1:4 risk of CF due to parents being carriers</w:t>
      </w:r>
      <w:bookmarkEnd w:id="327"/>
      <w:bookmarkEnd w:id="328"/>
    </w:p>
    <w:p w14:paraId="32A14AC3" w14:textId="77777777" w:rsidR="00E906B1" w:rsidRPr="00E906B1" w:rsidRDefault="00E906B1" w:rsidP="00E906B1"/>
    <w:p w14:paraId="450116E3" w14:textId="7B395EC5" w:rsidR="003A5AF9" w:rsidRPr="006B3E53" w:rsidRDefault="00E83FFB" w:rsidP="003A5AF9">
      <w:pPr>
        <w:rPr>
          <w:rFonts w:asciiTheme="minorHAnsi" w:hAnsiTheme="minorHAnsi"/>
        </w:rPr>
      </w:pPr>
      <w:r>
        <w:rPr>
          <w:rFonts w:asciiTheme="minorHAnsi" w:hAnsiTheme="minorHAnsi"/>
          <w:noProof/>
        </w:rPr>
        <w:lastRenderedPageBreak/>
        <w:drawing>
          <wp:inline distT="0" distB="0" distL="0" distR="0" wp14:anchorId="62F5A194" wp14:editId="7BDF7102">
            <wp:extent cx="5731510" cy="6485890"/>
            <wp:effectExtent l="0" t="0" r="2540" b="0"/>
            <wp:docPr id="4" name="Picture 4" descr="This model consists of parents with fetuses showing echogenic bowel and assessed at high risk of CF based on their risk profile. A prevalence-based approach is taken to model the pathways in the prenatal testing arm. Outcomes of interest are estimated by categorising the prenatal arm according to the true status of the fetuses; that is, those that have CF and those with no CF. Parents undergo genetic counselling followed by common CFTR mutation testing. If both parents are identified as carriers for common mutations, amniocentesis followed by known mutation analysis is performed in the fetus. The probability of CF is higher when FEB is present and one parent is identified as a carrier compared with the risk of CF in the general population. Thus, if only one parent is identified as a carrier of common mutation, parents will have a choice of invasive testing and whole gene screen in the fetus due to the risk of unidentified rare mutations. No fetal testing would be done in cases where no mutations are identified in the parents. However, there may be a residual risk of CF in the fetus due to unidentified rare mutations. Parents will have the option of terminating the pregnancy if the fetus tests positive for CF, and pregnancies that are continued will follow the same path as in the no-testing (comparator) arm. In the comparator arm the diagnosis of CF is made after the child’s birth through newborn screening (IRT/DNA testing/sweat test)" title="Decision analytic structure of the economic evaluation for fetus at high risk of CF due to echogenic bowel diagnosed on second-trimester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R mutation Testing-FEB_Edited 16 June 2015_compressed.tif"/>
                    <pic:cNvPicPr/>
                  </pic:nvPicPr>
                  <pic:blipFill>
                    <a:blip r:embed="rId45">
                      <a:extLst>
                        <a:ext uri="{28A0092B-C50C-407E-A947-70E740481C1C}">
                          <a14:useLocalDpi xmlns:a14="http://schemas.microsoft.com/office/drawing/2010/main" val="0"/>
                        </a:ext>
                      </a:extLst>
                    </a:blip>
                    <a:stretch>
                      <a:fillRect/>
                    </a:stretch>
                  </pic:blipFill>
                  <pic:spPr>
                    <a:xfrm>
                      <a:off x="0" y="0"/>
                      <a:ext cx="5731510" cy="6485890"/>
                    </a:xfrm>
                    <a:prstGeom prst="rect">
                      <a:avLst/>
                    </a:prstGeom>
                  </pic:spPr>
                </pic:pic>
              </a:graphicData>
            </a:graphic>
          </wp:inline>
        </w:drawing>
      </w:r>
    </w:p>
    <w:p w14:paraId="7CB10F83" w14:textId="06355BDD" w:rsidR="001A3889" w:rsidRDefault="001024FC" w:rsidP="00B86150">
      <w:pPr>
        <w:pStyle w:val="Tablenotes0"/>
        <w:jc w:val="left"/>
      </w:pPr>
      <w:r>
        <w:t>amnio = a</w:t>
      </w:r>
      <w:r w:rsidRPr="001A3889">
        <w:t>mniocentesis</w:t>
      </w:r>
      <w:r>
        <w:t xml:space="preserve">; </w:t>
      </w:r>
      <w:r w:rsidR="00737A28" w:rsidRPr="001A3889">
        <w:t xml:space="preserve">CF = cystic fibrosis; </w:t>
      </w:r>
      <w:r w:rsidR="001A3889">
        <w:t>CFTR =</w:t>
      </w:r>
      <w:r w:rsidR="001A3889" w:rsidRPr="001A3889">
        <w:rPr>
          <w:rFonts w:ascii="Calibri" w:hAnsi="Calibri" w:cs="Tahoma"/>
          <w:snapToGrid/>
          <w:sz w:val="22"/>
          <w:szCs w:val="22"/>
          <w:lang w:eastAsia="en-AU"/>
        </w:rPr>
        <w:t xml:space="preserve"> </w:t>
      </w:r>
      <w:r w:rsidR="001A3889" w:rsidRPr="001A3889">
        <w:t>cystic fibrosis transmembrane conductance regulator</w:t>
      </w:r>
      <w:r w:rsidR="001A3889">
        <w:t xml:space="preserve">; </w:t>
      </w:r>
      <w:r>
        <w:t xml:space="preserve">CMA = </w:t>
      </w:r>
      <w:r w:rsidRPr="00127652">
        <w:t>common mutation analysis</w:t>
      </w:r>
      <w:r>
        <w:t>; CVS = c</w:t>
      </w:r>
      <w:r w:rsidRPr="001A3889">
        <w:t>horionic villus sampling</w:t>
      </w:r>
      <w:r>
        <w:t xml:space="preserve">; </w:t>
      </w:r>
      <w:r w:rsidR="001A3889" w:rsidRPr="001A3889">
        <w:t>FEB = fetal echogenic bowel</w:t>
      </w:r>
      <w:r w:rsidR="001A3889">
        <w:t xml:space="preserve">; FetalLoss_PR = procedure-related fetal loss </w:t>
      </w:r>
    </w:p>
    <w:p w14:paraId="153639C3" w14:textId="4811EF26" w:rsidR="00DD4029" w:rsidRPr="00127652" w:rsidRDefault="00DD4029" w:rsidP="00997B41">
      <w:pPr>
        <w:pStyle w:val="TableHeading"/>
        <w:ind w:left="1134" w:hanging="1134"/>
      </w:pPr>
      <w:bookmarkStart w:id="329" w:name="_Ref412637106"/>
      <w:bookmarkStart w:id="330" w:name="_Toc416855407"/>
      <w:bookmarkStart w:id="331" w:name="_Toc423525562"/>
      <w:r w:rsidRPr="000A1A2C">
        <w:t xml:space="preserve">Figure </w:t>
      </w:r>
      <w:fldSimple w:instr=" SEQ Figure \* ARABIC ">
        <w:r w:rsidR="00BB0E3E">
          <w:rPr>
            <w:noProof/>
          </w:rPr>
          <w:t>7</w:t>
        </w:r>
      </w:fldSimple>
      <w:bookmarkEnd w:id="329"/>
      <w:r w:rsidRPr="00127652">
        <w:tab/>
        <w:t>Decision analytic structure of the economic evaluation for fetus at high risk of CF due to echogenic bowel diagnosed on second</w:t>
      </w:r>
      <w:r w:rsidR="00AE24A3">
        <w:t>-</w:t>
      </w:r>
      <w:r w:rsidRPr="00127652">
        <w:t>trimester ultrasound</w:t>
      </w:r>
      <w:bookmarkEnd w:id="330"/>
      <w:bookmarkEnd w:id="331"/>
    </w:p>
    <w:p w14:paraId="7E0E110D" w14:textId="77777777" w:rsidR="001A3889" w:rsidRDefault="001A3889" w:rsidP="00737CDB"/>
    <w:p w14:paraId="12B62096" w14:textId="77777777" w:rsidR="001A3889" w:rsidRDefault="001A3889" w:rsidP="00737CDB">
      <w:pPr>
        <w:sectPr w:rsidR="001A3889" w:rsidSect="005B7F97">
          <w:headerReference w:type="even" r:id="rId46"/>
          <w:headerReference w:type="default" r:id="rId47"/>
          <w:footerReference w:type="default" r:id="rId48"/>
          <w:headerReference w:type="first" r:id="rId49"/>
          <w:pgSz w:w="11906" w:h="16838"/>
          <w:pgMar w:top="1440" w:right="1440" w:bottom="1440" w:left="1440" w:header="720" w:footer="720" w:gutter="0"/>
          <w:paperSrc w:first="265" w:other="265"/>
          <w:cols w:space="720"/>
          <w:docGrid w:linePitch="299"/>
        </w:sectPr>
      </w:pPr>
    </w:p>
    <w:p w14:paraId="065113DE" w14:textId="77777777" w:rsidR="00737CDB" w:rsidRPr="00F46024" w:rsidRDefault="00737CDB" w:rsidP="00737CDB">
      <w:pPr>
        <w:rPr>
          <w:i/>
        </w:rPr>
      </w:pPr>
      <w:r w:rsidRPr="00F46024">
        <w:rPr>
          <w:i/>
        </w:rPr>
        <w:lastRenderedPageBreak/>
        <w:t>Model outcomes</w:t>
      </w:r>
    </w:p>
    <w:p w14:paraId="6F73E245" w14:textId="3673467B" w:rsidR="00737CDB" w:rsidRDefault="00737CDB" w:rsidP="00737CDB">
      <w:r>
        <w:t xml:space="preserve">The decision trees presented in </w:t>
      </w:r>
      <w:r w:rsidRPr="000A1A2C">
        <w:fldChar w:fldCharType="begin"/>
      </w:r>
      <w:r w:rsidRPr="000A1A2C">
        <w:instrText xml:space="preserve"> REF _Ref412637098 \h </w:instrText>
      </w:r>
      <w:r w:rsidRPr="000A1A2C">
        <w:fldChar w:fldCharType="separate"/>
      </w:r>
      <w:r w:rsidR="00BB0E3E" w:rsidRPr="000A1A2C">
        <w:t xml:space="preserve">Figure </w:t>
      </w:r>
      <w:r w:rsidR="00BB0E3E">
        <w:rPr>
          <w:noProof/>
        </w:rPr>
        <w:t>6</w:t>
      </w:r>
      <w:r w:rsidRPr="000A1A2C">
        <w:fldChar w:fldCharType="end"/>
      </w:r>
      <w:r w:rsidRPr="000A1A2C">
        <w:t xml:space="preserve"> and </w:t>
      </w:r>
      <w:r w:rsidRPr="000A1A2C">
        <w:fldChar w:fldCharType="begin"/>
      </w:r>
      <w:r w:rsidRPr="000A1A2C">
        <w:instrText xml:space="preserve"> REF _Ref412637106 \h </w:instrText>
      </w:r>
      <w:r w:rsidRPr="000A1A2C">
        <w:fldChar w:fldCharType="separate"/>
      </w:r>
      <w:r w:rsidR="00BB0E3E" w:rsidRPr="000A1A2C">
        <w:t xml:space="preserve">Figure </w:t>
      </w:r>
      <w:r w:rsidR="00BB0E3E">
        <w:rPr>
          <w:noProof/>
        </w:rPr>
        <w:t>7</w:t>
      </w:r>
      <w:r w:rsidRPr="000A1A2C">
        <w:fldChar w:fldCharType="end"/>
      </w:r>
      <w:r w:rsidR="00473437" w:rsidRPr="000A1A2C">
        <w:t xml:space="preserve"> cul</w:t>
      </w:r>
      <w:r w:rsidR="00473437">
        <w:t>minate in six</w:t>
      </w:r>
      <w:r>
        <w:t xml:space="preserve"> different categories according to the chosen outcome measure. These are referred to as ‘outcome states’ and summarised in </w:t>
      </w:r>
      <w:r>
        <w:fldChar w:fldCharType="begin"/>
      </w:r>
      <w:r>
        <w:instrText xml:space="preserve"> REF _Ref416429208 \h </w:instrText>
      </w:r>
      <w:r>
        <w:fldChar w:fldCharType="separate"/>
      </w:r>
      <w:r w:rsidR="00BB0E3E">
        <w:t xml:space="preserve">Table </w:t>
      </w:r>
      <w:r w:rsidR="00BB0E3E">
        <w:rPr>
          <w:noProof/>
        </w:rPr>
        <w:t>55</w:t>
      </w:r>
      <w:r>
        <w:fldChar w:fldCharType="end"/>
      </w:r>
      <w:r>
        <w:t>.</w:t>
      </w:r>
    </w:p>
    <w:p w14:paraId="4BBC5ADD" w14:textId="77777777" w:rsidR="00737CDB" w:rsidRDefault="00737CDB" w:rsidP="00737CDB">
      <w:pPr>
        <w:pStyle w:val="Caption"/>
      </w:pPr>
      <w:bookmarkStart w:id="332" w:name="_Ref416429208"/>
      <w:bookmarkStart w:id="333" w:name="_Toc416855347"/>
      <w:bookmarkStart w:id="334" w:name="_Toc418179452"/>
      <w:r>
        <w:t xml:space="preserve">Table </w:t>
      </w:r>
      <w:fldSimple w:instr=" SEQ Table \* ARABIC ">
        <w:r w:rsidR="00BB0E3E">
          <w:rPr>
            <w:noProof/>
          </w:rPr>
          <w:t>55</w:t>
        </w:r>
      </w:fldSimple>
      <w:bookmarkEnd w:id="332"/>
      <w:r>
        <w:tab/>
        <w:t>Summary of decision tree final outcome states in the economic evaluation</w:t>
      </w:r>
      <w:bookmarkEnd w:id="333"/>
      <w:bookmarkEnd w:id="334"/>
    </w:p>
    <w:tbl>
      <w:tblPr>
        <w:tblStyle w:val="TableGrid"/>
        <w:tblW w:w="5000" w:type="pct"/>
        <w:tblLook w:val="04A0" w:firstRow="1" w:lastRow="0" w:firstColumn="1" w:lastColumn="0" w:noHBand="0" w:noVBand="1"/>
        <w:tblCaption w:val="Summary of decision tree final outcome states in the economic evaluation"/>
        <w:tblDescription w:val="Outcomes states in the models are fetal loss, procedure-related fetal loss, no CF, CF-terminated, CF-birth-informed and CF-birth-uninformed."/>
      </w:tblPr>
      <w:tblGrid>
        <w:gridCol w:w="2235"/>
        <w:gridCol w:w="7007"/>
      </w:tblGrid>
      <w:tr w:rsidR="00737CDB" w:rsidRPr="00C93CFB" w14:paraId="4716AD52" w14:textId="77777777" w:rsidTr="007C1FC6">
        <w:trPr>
          <w:tblHeader/>
        </w:trPr>
        <w:tc>
          <w:tcPr>
            <w:tcW w:w="1209" w:type="pct"/>
          </w:tcPr>
          <w:p w14:paraId="13F6BC69" w14:textId="77777777" w:rsidR="00737CDB" w:rsidRPr="00C93CFB" w:rsidRDefault="00737CDB" w:rsidP="00B86150">
            <w:pPr>
              <w:pStyle w:val="Tabletext1"/>
              <w:ind w:left="0"/>
              <w:jc w:val="left"/>
              <w:rPr>
                <w:b/>
              </w:rPr>
            </w:pPr>
            <w:r w:rsidRPr="00C93CFB">
              <w:rPr>
                <w:b/>
              </w:rPr>
              <w:t>Outcome state</w:t>
            </w:r>
          </w:p>
        </w:tc>
        <w:tc>
          <w:tcPr>
            <w:tcW w:w="3791" w:type="pct"/>
            <w:tcBorders>
              <w:bottom w:val="single" w:sz="4" w:space="0" w:color="auto"/>
            </w:tcBorders>
          </w:tcPr>
          <w:p w14:paraId="7BA6BFBD" w14:textId="77777777" w:rsidR="00737CDB" w:rsidRPr="00C93CFB" w:rsidRDefault="00737CDB" w:rsidP="00B86150">
            <w:pPr>
              <w:pStyle w:val="Tabletext1"/>
              <w:ind w:left="0"/>
              <w:jc w:val="left"/>
              <w:rPr>
                <w:b/>
              </w:rPr>
            </w:pPr>
            <w:r w:rsidRPr="00C93CFB">
              <w:rPr>
                <w:b/>
              </w:rPr>
              <w:t>Inference</w:t>
            </w:r>
          </w:p>
        </w:tc>
      </w:tr>
      <w:tr w:rsidR="00737CDB" w14:paraId="2F2523B1" w14:textId="77777777" w:rsidTr="005B7F97">
        <w:tc>
          <w:tcPr>
            <w:tcW w:w="1209" w:type="pct"/>
          </w:tcPr>
          <w:p w14:paraId="4C03FFC6" w14:textId="77777777" w:rsidR="00737CDB" w:rsidRDefault="00737CDB" w:rsidP="00B86150">
            <w:pPr>
              <w:pStyle w:val="Tabletext1"/>
              <w:ind w:left="0"/>
              <w:jc w:val="left"/>
            </w:pPr>
            <w:r>
              <w:t>Fetal loss</w:t>
            </w:r>
          </w:p>
        </w:tc>
        <w:tc>
          <w:tcPr>
            <w:tcW w:w="3791" w:type="pct"/>
          </w:tcPr>
          <w:p w14:paraId="507838BA" w14:textId="5DBFD9DF" w:rsidR="00737CDB" w:rsidRDefault="00737CDB" w:rsidP="00B86150">
            <w:pPr>
              <w:pStyle w:val="Tabletext1"/>
              <w:ind w:left="0"/>
              <w:jc w:val="left"/>
            </w:pPr>
            <w:r>
              <w:t>Loss of fetus due to natural miscarriage or stillbirth</w:t>
            </w:r>
          </w:p>
        </w:tc>
      </w:tr>
      <w:tr w:rsidR="00737CDB" w14:paraId="21C80C21" w14:textId="77777777" w:rsidTr="005B7F97">
        <w:tc>
          <w:tcPr>
            <w:tcW w:w="1209" w:type="pct"/>
          </w:tcPr>
          <w:p w14:paraId="3ED71B43" w14:textId="77777777" w:rsidR="00737CDB" w:rsidRDefault="00737CDB" w:rsidP="00B86150">
            <w:pPr>
              <w:pStyle w:val="Tabletext1"/>
              <w:ind w:left="0"/>
              <w:jc w:val="left"/>
            </w:pPr>
            <w:r>
              <w:t>Procedure-related fetal loss</w:t>
            </w:r>
          </w:p>
        </w:tc>
        <w:tc>
          <w:tcPr>
            <w:tcW w:w="3791" w:type="pct"/>
            <w:tcBorders>
              <w:bottom w:val="single" w:sz="4" w:space="0" w:color="auto"/>
            </w:tcBorders>
          </w:tcPr>
          <w:p w14:paraId="5D3DAAA3" w14:textId="77777777" w:rsidR="00737CDB" w:rsidRDefault="00737CDB" w:rsidP="00B86150">
            <w:pPr>
              <w:pStyle w:val="Tabletext1"/>
              <w:ind w:left="0"/>
              <w:jc w:val="left"/>
            </w:pPr>
            <w:r>
              <w:t>Loss of fetus due to procedure-related miscarriage</w:t>
            </w:r>
          </w:p>
        </w:tc>
      </w:tr>
      <w:tr w:rsidR="00737CDB" w14:paraId="6BEB312F" w14:textId="77777777" w:rsidTr="005B7F97">
        <w:tc>
          <w:tcPr>
            <w:tcW w:w="1209" w:type="pct"/>
          </w:tcPr>
          <w:p w14:paraId="12860A75" w14:textId="77777777" w:rsidR="00737CDB" w:rsidRDefault="00737CDB" w:rsidP="00B86150">
            <w:pPr>
              <w:pStyle w:val="Tabletext1"/>
              <w:ind w:left="0"/>
              <w:jc w:val="left"/>
            </w:pPr>
            <w:r>
              <w:t>No CF</w:t>
            </w:r>
          </w:p>
        </w:tc>
        <w:tc>
          <w:tcPr>
            <w:tcW w:w="3791" w:type="pct"/>
            <w:tcBorders>
              <w:bottom w:val="single" w:sz="4" w:space="0" w:color="auto"/>
            </w:tcBorders>
          </w:tcPr>
          <w:p w14:paraId="3B4BF462" w14:textId="77777777" w:rsidR="00737CDB" w:rsidRDefault="00737CDB" w:rsidP="00B86150">
            <w:pPr>
              <w:pStyle w:val="Tabletext1"/>
              <w:ind w:left="0"/>
              <w:jc w:val="left"/>
            </w:pPr>
            <w:r>
              <w:t>Birth of a baby not affected with CF</w:t>
            </w:r>
          </w:p>
        </w:tc>
      </w:tr>
      <w:tr w:rsidR="00737CDB" w14:paraId="125010F3" w14:textId="77777777" w:rsidTr="005B7F97">
        <w:tc>
          <w:tcPr>
            <w:tcW w:w="1209" w:type="pct"/>
          </w:tcPr>
          <w:p w14:paraId="38CAD342" w14:textId="77777777" w:rsidR="00737CDB" w:rsidRDefault="00737CDB" w:rsidP="00B86150">
            <w:pPr>
              <w:pStyle w:val="Tabletext1"/>
              <w:ind w:left="0"/>
              <w:jc w:val="left"/>
            </w:pPr>
            <w:r>
              <w:t>CF-terminated</w:t>
            </w:r>
          </w:p>
        </w:tc>
        <w:tc>
          <w:tcPr>
            <w:tcW w:w="3791" w:type="pct"/>
          </w:tcPr>
          <w:p w14:paraId="58175621" w14:textId="77777777" w:rsidR="00737CDB" w:rsidRDefault="00737CDB" w:rsidP="00B86150">
            <w:pPr>
              <w:pStyle w:val="Tabletext1"/>
              <w:ind w:left="0"/>
              <w:jc w:val="left"/>
            </w:pPr>
            <w:r>
              <w:t>CF-affected pregnancy detected during prenatal testing and terminated</w:t>
            </w:r>
          </w:p>
        </w:tc>
      </w:tr>
      <w:tr w:rsidR="00737CDB" w14:paraId="7C78D000" w14:textId="77777777" w:rsidTr="005B7F97">
        <w:tc>
          <w:tcPr>
            <w:tcW w:w="1209" w:type="pct"/>
          </w:tcPr>
          <w:p w14:paraId="24A6EF67" w14:textId="77777777" w:rsidR="00737CDB" w:rsidRDefault="00737CDB" w:rsidP="00B86150">
            <w:pPr>
              <w:pStyle w:val="Tabletext1"/>
              <w:ind w:left="0"/>
              <w:jc w:val="left"/>
            </w:pPr>
            <w:r>
              <w:t>CF-birth-informed</w:t>
            </w:r>
          </w:p>
        </w:tc>
        <w:tc>
          <w:tcPr>
            <w:tcW w:w="3791" w:type="pct"/>
          </w:tcPr>
          <w:p w14:paraId="333B13F1" w14:textId="77777777" w:rsidR="00737CDB" w:rsidRDefault="00737CDB" w:rsidP="00B86150">
            <w:pPr>
              <w:pStyle w:val="Tabletext1"/>
              <w:ind w:left="0"/>
              <w:jc w:val="left"/>
            </w:pPr>
            <w:r>
              <w:t>Baby born with CF (pregnancy continued after CF diagnosis)</w:t>
            </w:r>
          </w:p>
        </w:tc>
      </w:tr>
      <w:tr w:rsidR="00737CDB" w14:paraId="357D4C5D" w14:textId="77777777" w:rsidTr="005B7F97">
        <w:tc>
          <w:tcPr>
            <w:tcW w:w="1209" w:type="pct"/>
          </w:tcPr>
          <w:p w14:paraId="41D08CD5" w14:textId="77777777" w:rsidR="00737CDB" w:rsidRDefault="00737CDB" w:rsidP="00B86150">
            <w:pPr>
              <w:pStyle w:val="Tabletext1"/>
              <w:ind w:left="0"/>
              <w:jc w:val="left"/>
            </w:pPr>
            <w:r>
              <w:t>CF-birth-uninformed</w:t>
            </w:r>
          </w:p>
        </w:tc>
        <w:tc>
          <w:tcPr>
            <w:tcW w:w="3791" w:type="pct"/>
            <w:tcBorders>
              <w:bottom w:val="single" w:sz="4" w:space="0" w:color="auto"/>
            </w:tcBorders>
          </w:tcPr>
          <w:p w14:paraId="78B79287" w14:textId="241634AD" w:rsidR="00737CDB" w:rsidRDefault="00737CDB" w:rsidP="00B86150">
            <w:pPr>
              <w:pStyle w:val="Tabletext1"/>
              <w:ind w:left="0"/>
              <w:jc w:val="left"/>
            </w:pPr>
            <w:r>
              <w:t>Baby born with CF (CF-affected fetus undetected during prenatal testing and CF-affected birth in the comparator arm)</w:t>
            </w:r>
          </w:p>
        </w:tc>
      </w:tr>
    </w:tbl>
    <w:p w14:paraId="22E7676D" w14:textId="77777777" w:rsidR="00737CDB" w:rsidRDefault="00737CDB" w:rsidP="00737CDB">
      <w:pPr>
        <w:pStyle w:val="Tablenotes0"/>
      </w:pPr>
      <w:r>
        <w:t>CF = cystic fibrosis</w:t>
      </w:r>
    </w:p>
    <w:p w14:paraId="227779B2" w14:textId="77777777" w:rsidR="00737CDB" w:rsidRDefault="00737CDB" w:rsidP="00737CDB"/>
    <w:p w14:paraId="5C8464E0" w14:textId="77777777" w:rsidR="00A12C92" w:rsidRPr="00127652" w:rsidRDefault="00A12C92" w:rsidP="00737CDB">
      <w:pPr>
        <w:sectPr w:rsidR="00A12C92" w:rsidRPr="00127652" w:rsidSect="00664598">
          <w:pgSz w:w="11906" w:h="16838"/>
          <w:pgMar w:top="1440" w:right="1440" w:bottom="1440" w:left="1440" w:header="720" w:footer="720" w:gutter="0"/>
          <w:paperSrc w:first="265" w:other="265"/>
          <w:cols w:space="720"/>
          <w:docGrid w:linePitch="299"/>
        </w:sectPr>
      </w:pPr>
    </w:p>
    <w:p w14:paraId="5E1EBC97" w14:textId="4EE4BDF8" w:rsidR="00737CDB" w:rsidRDefault="00737CDB" w:rsidP="00737CDB">
      <w:pPr>
        <w:pStyle w:val="Heading2"/>
        <w:numPr>
          <w:ilvl w:val="3"/>
          <w:numId w:val="9"/>
        </w:numPr>
      </w:pPr>
      <w:bookmarkStart w:id="335" w:name="_Toc381796479"/>
      <w:bookmarkStart w:id="336" w:name="_Toc418179928"/>
      <w:r w:rsidRPr="00183E4D">
        <w:lastRenderedPageBreak/>
        <w:t xml:space="preserve">Inputs to the </w:t>
      </w:r>
      <w:r w:rsidR="0043568D">
        <w:t>E</w:t>
      </w:r>
      <w:r w:rsidRPr="00183E4D">
        <w:t xml:space="preserve">conomic </w:t>
      </w:r>
      <w:r w:rsidR="0043568D">
        <w:t>E</w:t>
      </w:r>
      <w:r w:rsidRPr="00183E4D">
        <w:t>valuation</w:t>
      </w:r>
      <w:bookmarkEnd w:id="335"/>
      <w:bookmarkEnd w:id="336"/>
    </w:p>
    <w:p w14:paraId="5C35D72D" w14:textId="7CF420E3" w:rsidR="00737CDB" w:rsidRPr="00E448B3" w:rsidRDefault="009D10AA" w:rsidP="00737CDB">
      <w:pPr>
        <w:pStyle w:val="Heading3"/>
      </w:pPr>
      <w:bookmarkStart w:id="337" w:name="_Toc418179929"/>
      <w:r>
        <w:t>D.4.1.</w:t>
      </w:r>
      <w:r>
        <w:tab/>
      </w:r>
      <w:r w:rsidR="00737CDB" w:rsidRPr="00E448B3">
        <w:t>Test parameters</w:t>
      </w:r>
      <w:bookmarkEnd w:id="337"/>
    </w:p>
    <w:p w14:paraId="188CCFE3" w14:textId="6519BDEB" w:rsidR="00737CDB" w:rsidRDefault="0065610F" w:rsidP="00737CDB">
      <w:r>
        <w:rPr>
          <w:i/>
        </w:rPr>
        <w:t>Analytical validity</w:t>
      </w:r>
      <w:r w:rsidR="00737CDB">
        <w:rPr>
          <w:i/>
        </w:rPr>
        <w:t xml:space="preserve"> of </w:t>
      </w:r>
      <w:r w:rsidR="00FD37D3" w:rsidRPr="00FD37D3">
        <w:t>CFTR</w:t>
      </w:r>
      <w:r w:rsidR="00737CDB">
        <w:rPr>
          <w:i/>
        </w:rPr>
        <w:t xml:space="preserve"> </w:t>
      </w:r>
      <w:r w:rsidR="0043568D">
        <w:rPr>
          <w:i/>
        </w:rPr>
        <w:t>m</w:t>
      </w:r>
      <w:r w:rsidR="00737CDB" w:rsidRPr="00281C4A">
        <w:rPr>
          <w:i/>
        </w:rPr>
        <w:t xml:space="preserve">utation </w:t>
      </w:r>
      <w:r w:rsidR="0043568D">
        <w:rPr>
          <w:i/>
        </w:rPr>
        <w:t>t</w:t>
      </w:r>
      <w:r w:rsidR="00737CDB">
        <w:rPr>
          <w:i/>
        </w:rPr>
        <w:t>esting</w:t>
      </w:r>
      <w:r w:rsidR="00737CDB">
        <w:t xml:space="preserve"> </w:t>
      </w:r>
    </w:p>
    <w:p w14:paraId="6D0FF893" w14:textId="0D1FD239" w:rsidR="00737CDB" w:rsidRDefault="00737CDB" w:rsidP="00737CDB">
      <w:r>
        <w:t xml:space="preserve">As discussed in section C.1.1, the </w:t>
      </w:r>
      <w:r w:rsidR="0065610F">
        <w:t>analytical validity</w:t>
      </w:r>
      <w:r>
        <w:t xml:space="preserve"> of all </w:t>
      </w:r>
      <w:r w:rsidR="00FD37D3" w:rsidRPr="00FD37D3">
        <w:t>CFTR</w:t>
      </w:r>
      <w:r>
        <w:t xml:space="preserve"> mutation tests is assumed to be 100%.</w:t>
      </w:r>
    </w:p>
    <w:p w14:paraId="18C019B0" w14:textId="07A6638E" w:rsidR="00737CDB" w:rsidRDefault="00737CDB" w:rsidP="00737CDB">
      <w:r>
        <w:rPr>
          <w:i/>
        </w:rPr>
        <w:t xml:space="preserve">Clinical sensitivity of </w:t>
      </w:r>
      <w:r w:rsidR="00FD37D3" w:rsidRPr="00FD37D3">
        <w:t>CFTR</w:t>
      </w:r>
      <w:r>
        <w:rPr>
          <w:i/>
        </w:rPr>
        <w:t xml:space="preserve"> </w:t>
      </w:r>
      <w:r w:rsidR="0043568D">
        <w:rPr>
          <w:i/>
        </w:rPr>
        <w:t>m</w:t>
      </w:r>
      <w:r w:rsidRPr="00281C4A">
        <w:rPr>
          <w:i/>
        </w:rPr>
        <w:t xml:space="preserve">utation </w:t>
      </w:r>
      <w:r w:rsidR="0043568D">
        <w:rPr>
          <w:i/>
        </w:rPr>
        <w:t>t</w:t>
      </w:r>
      <w:r>
        <w:rPr>
          <w:i/>
        </w:rPr>
        <w:t>esting</w:t>
      </w:r>
    </w:p>
    <w:p w14:paraId="1CA63933" w14:textId="0C3D3FB2" w:rsidR="00737CDB" w:rsidRDefault="00737CDB" w:rsidP="00737CDB">
      <w:r>
        <w:t xml:space="preserve">A clinical sensitivity of 80% for </w:t>
      </w:r>
      <w:r w:rsidR="00AB33F5">
        <w:t xml:space="preserve">a </w:t>
      </w:r>
      <w:r>
        <w:t>10</w:t>
      </w:r>
      <w:r w:rsidR="00AB33F5">
        <w:t>-</w:t>
      </w:r>
      <w:r>
        <w:t>mutation panel is assumed for</w:t>
      </w:r>
      <w:r w:rsidRPr="002557CC">
        <w:t xml:space="preserve"> </w:t>
      </w:r>
      <w:r w:rsidR="00FD37D3" w:rsidRPr="00FD37D3">
        <w:t>CFTR</w:t>
      </w:r>
      <w:r w:rsidRPr="002557CC">
        <w:t xml:space="preserve"> common mutation testing</w:t>
      </w:r>
      <w:r>
        <w:t xml:space="preserve"> in the base</w:t>
      </w:r>
      <w:r w:rsidR="00EA0D7B">
        <w:t>-</w:t>
      </w:r>
      <w:r>
        <w:t xml:space="preserve">case evaluations. Economic </w:t>
      </w:r>
      <w:r w:rsidRPr="00711261">
        <w:t xml:space="preserve">analyses relevant to current practice </w:t>
      </w:r>
      <w:r>
        <w:t>are presented for alternative scenarios</w:t>
      </w:r>
      <w:r w:rsidR="00EA0D7B">
        <w:t>,</w:t>
      </w:r>
      <w:r>
        <w:t xml:space="preserve"> comprising panels with higher clinical sensitivity </w:t>
      </w:r>
      <w:r w:rsidR="00EA0D7B">
        <w:t>(s</w:t>
      </w:r>
      <w:r>
        <w:t>ee section C.1.</w:t>
      </w:r>
      <w:r w:rsidRPr="00DE4FC9">
        <w:t>2</w:t>
      </w:r>
      <w:r>
        <w:t xml:space="preserve"> and </w:t>
      </w:r>
      <w:r w:rsidRPr="00DE4FC9">
        <w:fldChar w:fldCharType="begin"/>
      </w:r>
      <w:r w:rsidRPr="00DE4FC9">
        <w:instrText xml:space="preserve"> REF _Ref290223126 \h </w:instrText>
      </w:r>
      <w:r w:rsidRPr="00DE4FC9">
        <w:fldChar w:fldCharType="separate"/>
      </w:r>
      <w:r w:rsidR="00BB0E3E" w:rsidRPr="00DA7924">
        <w:t xml:space="preserve">Table </w:t>
      </w:r>
      <w:r w:rsidR="00BB0E3E">
        <w:rPr>
          <w:noProof/>
        </w:rPr>
        <w:t>50</w:t>
      </w:r>
      <w:r w:rsidRPr="00DE4FC9">
        <w:fldChar w:fldCharType="end"/>
      </w:r>
      <w:r>
        <w:t xml:space="preserve"> for further details</w:t>
      </w:r>
      <w:r w:rsidR="00EA0D7B">
        <w:t>)</w:t>
      </w:r>
      <w:r>
        <w:t>.</w:t>
      </w:r>
    </w:p>
    <w:p w14:paraId="2FED1F36" w14:textId="3CC19E10" w:rsidR="00737CDB" w:rsidRPr="003772D1" w:rsidRDefault="00737CDB" w:rsidP="00737CDB">
      <w:pPr>
        <w:rPr>
          <w:i/>
        </w:rPr>
      </w:pPr>
      <w:r>
        <w:rPr>
          <w:i/>
        </w:rPr>
        <w:t xml:space="preserve">Probability of identifying </w:t>
      </w:r>
      <w:r w:rsidR="00FD37D3" w:rsidRPr="00FD37D3">
        <w:t>CFTR</w:t>
      </w:r>
      <w:r>
        <w:rPr>
          <w:i/>
        </w:rPr>
        <w:t xml:space="preserve"> mutations in both </w:t>
      </w:r>
      <w:r w:rsidRPr="003772D1">
        <w:rPr>
          <w:i/>
        </w:rPr>
        <w:t>parents</w:t>
      </w:r>
    </w:p>
    <w:p w14:paraId="36D3319C" w14:textId="65EFBE37" w:rsidR="00737CDB" w:rsidRDefault="00737CDB" w:rsidP="00737CDB">
      <w:r>
        <w:t xml:space="preserve">In model 1 both parents are assumed to be definite carriers because of </w:t>
      </w:r>
      <w:r w:rsidR="004E5A62">
        <w:t xml:space="preserve">having a </w:t>
      </w:r>
      <w:r>
        <w:t>previous child with CF. However, the parental carrier status determination will depend on the clinical sensitivity of the panel selected for the common mutation testing. Therefore, common mutation analysis will identify around 64% of couples with two mutations and 36% with one or no mutations in the base</w:t>
      </w:r>
      <w:r w:rsidR="00EE214B">
        <w:t>-</w:t>
      </w:r>
      <w:r>
        <w:t xml:space="preserve">case evaluations. The detailed derivation of these probabilities is provided in </w:t>
      </w:r>
      <w:r>
        <w:fldChar w:fldCharType="begin"/>
      </w:r>
      <w:r>
        <w:instrText xml:space="preserve"> REF _Ref414966504 \h </w:instrText>
      </w:r>
      <w:r>
        <w:fldChar w:fldCharType="separate"/>
      </w:r>
      <w:r w:rsidR="00BB0E3E">
        <w:t xml:space="preserve">Table </w:t>
      </w:r>
      <w:r w:rsidR="00BB0E3E">
        <w:rPr>
          <w:noProof/>
        </w:rPr>
        <w:t>103</w:t>
      </w:r>
      <w:r>
        <w:fldChar w:fldCharType="end"/>
      </w:r>
      <w:r w:rsidR="00EE214B">
        <w:t>,</w:t>
      </w:r>
      <w:r w:rsidR="00DF5916">
        <w:t xml:space="preserve"> </w:t>
      </w:r>
      <w:r>
        <w:t>Appendix J.</w:t>
      </w:r>
    </w:p>
    <w:p w14:paraId="5F230317" w14:textId="4FED87A9" w:rsidR="00737CDB" w:rsidRDefault="00737CDB" w:rsidP="00737CDB">
      <w:r>
        <w:t>In Australia 1</w:t>
      </w:r>
      <w:r w:rsidR="00EE214B">
        <w:t xml:space="preserve"> in </w:t>
      </w:r>
      <w:r>
        <w:t xml:space="preserve">25 people are carriers </w:t>
      </w:r>
      <w:r w:rsidR="00EE214B">
        <w:t xml:space="preserve">of </w:t>
      </w:r>
      <w:r w:rsidR="00FD37D3" w:rsidRPr="00FD37D3">
        <w:t>CFTR</w:t>
      </w:r>
      <w:r>
        <w:t xml:space="preserve"> mutation</w:t>
      </w:r>
      <w:r w:rsidR="00EE214B">
        <w:t>s</w:t>
      </w:r>
      <w:r>
        <w:t xml:space="preserve">. However, the carrier rate in model 2 is assumed to be greater than the carrier rate in </w:t>
      </w:r>
      <w:r w:rsidR="00EE214B">
        <w:t xml:space="preserve">the </w:t>
      </w:r>
      <w:r>
        <w:t>general population, due to the presence of FEB. The chances of identifying mutations in parents will depend on the clinical sensitivity of the common mutation panel and the prevalence of CF in FEB. Parents of fetuses diagnosed with CF are definite carriers</w:t>
      </w:r>
      <w:r w:rsidR="00EE214B">
        <w:t>,</w:t>
      </w:r>
      <w:r>
        <w:t xml:space="preserve"> and the chances of identifying two mutations, one mutation and no mutations are 64%, 32% and 4%</w:t>
      </w:r>
      <w:r w:rsidR="00EE214B">
        <w:t>,</w:t>
      </w:r>
      <w:r>
        <w:t xml:space="preserve"> respectively</w:t>
      </w:r>
      <w:r w:rsidR="00EE214B">
        <w:t>,</w:t>
      </w:r>
      <w:r>
        <w:t xml:space="preserve"> using common mutation testing. For parents of fetuses with no CF the carrier rate as prevalent in the general population (4%) is assumed</w:t>
      </w:r>
      <w:r w:rsidR="004E5A62">
        <w:t>,</w:t>
      </w:r>
      <w:r>
        <w:t xml:space="preserve"> and the identification of </w:t>
      </w:r>
      <w:r w:rsidR="00FD37D3" w:rsidRPr="00FD37D3">
        <w:t>CFTR</w:t>
      </w:r>
      <w:r>
        <w:t xml:space="preserve"> mutations is derived based on that. The model arms with one or no mutation</w:t>
      </w:r>
      <w:r w:rsidR="00417334">
        <w:t>s</w:t>
      </w:r>
      <w:r>
        <w:t xml:space="preserve"> identified in these parents will also include </w:t>
      </w:r>
      <w:r w:rsidR="00EE214B">
        <w:t xml:space="preserve">those </w:t>
      </w:r>
      <w:r>
        <w:t xml:space="preserve">who are not </w:t>
      </w:r>
      <w:r w:rsidR="00FD37D3" w:rsidRPr="00FD37D3">
        <w:t>CFTR</w:t>
      </w:r>
      <w:r>
        <w:t xml:space="preserve"> carriers </w:t>
      </w:r>
      <w:r w:rsidR="00EE214B">
        <w:t>(s</w:t>
      </w:r>
      <w:r>
        <w:t xml:space="preserve">ee </w:t>
      </w:r>
      <w:r>
        <w:fldChar w:fldCharType="begin"/>
      </w:r>
      <w:r>
        <w:instrText xml:space="preserve"> REF _Ref414966504 \h </w:instrText>
      </w:r>
      <w:r>
        <w:fldChar w:fldCharType="separate"/>
      </w:r>
      <w:r w:rsidR="00BB0E3E">
        <w:t xml:space="preserve">Table </w:t>
      </w:r>
      <w:r w:rsidR="00BB0E3E">
        <w:rPr>
          <w:noProof/>
        </w:rPr>
        <w:t>103</w:t>
      </w:r>
      <w:r>
        <w:fldChar w:fldCharType="end"/>
      </w:r>
      <w:r>
        <w:t>, Appendix J</w:t>
      </w:r>
      <w:r w:rsidR="00EE214B">
        <w:t>,</w:t>
      </w:r>
      <w:r>
        <w:t xml:space="preserve"> for detailed derivations</w:t>
      </w:r>
      <w:r w:rsidR="00EE214B">
        <w:t>)</w:t>
      </w:r>
      <w:r>
        <w:t>.</w:t>
      </w:r>
    </w:p>
    <w:p w14:paraId="5D3A65E4" w14:textId="77777777" w:rsidR="00737CDB" w:rsidRPr="00B8367A" w:rsidRDefault="00737CDB" w:rsidP="00737CDB">
      <w:pPr>
        <w:rPr>
          <w:i/>
        </w:rPr>
      </w:pPr>
      <w:r w:rsidRPr="00B8367A">
        <w:rPr>
          <w:i/>
        </w:rPr>
        <w:t>Risk of CF in fetus</w:t>
      </w:r>
    </w:p>
    <w:p w14:paraId="2463C22F" w14:textId="77EEFCEF" w:rsidR="00737CDB" w:rsidRDefault="00737CDB" w:rsidP="00737CDB">
      <w:r w:rsidRPr="00C55535">
        <w:t xml:space="preserve">In cases where both parents are </w:t>
      </w:r>
      <w:r>
        <w:t xml:space="preserve">known </w:t>
      </w:r>
      <w:r w:rsidRPr="00C55535">
        <w:t xml:space="preserve">carriers of </w:t>
      </w:r>
      <w:r w:rsidR="00FD37D3" w:rsidRPr="00FD37D3">
        <w:t>CFTR</w:t>
      </w:r>
      <w:r w:rsidRPr="00C55535">
        <w:t xml:space="preserve"> mutations, there is </w:t>
      </w:r>
      <w:r>
        <w:t xml:space="preserve">a </w:t>
      </w:r>
      <w:r w:rsidRPr="00C55535">
        <w:t>1 in 4 chance</w:t>
      </w:r>
      <w:r>
        <w:t xml:space="preserve"> (25%)</w:t>
      </w:r>
      <w:r w:rsidRPr="00C55535">
        <w:t xml:space="preserve"> that the child will have CF</w:t>
      </w:r>
      <w:r w:rsidR="004659EB">
        <w:t>,</w:t>
      </w:r>
      <w:r w:rsidRPr="00281C4A">
        <w:t xml:space="preserve"> compared </w:t>
      </w:r>
      <w:r w:rsidR="004659EB">
        <w:t>with</w:t>
      </w:r>
      <w:r w:rsidR="004659EB" w:rsidRPr="00281C4A">
        <w:t xml:space="preserve"> </w:t>
      </w:r>
      <w:r w:rsidRPr="00281C4A">
        <w:t>approximately 0.04</w:t>
      </w:r>
      <w:r>
        <w:t>%</w:t>
      </w:r>
      <w:r w:rsidRPr="00281C4A">
        <w:t xml:space="preserve"> in the general population.</w:t>
      </w:r>
    </w:p>
    <w:p w14:paraId="221D3D33" w14:textId="3676FCBE" w:rsidR="00737CDB" w:rsidRDefault="004659EB" w:rsidP="00737CDB">
      <w:r>
        <w:t>An i</w:t>
      </w:r>
      <w:r w:rsidR="00737CDB">
        <w:t xml:space="preserve">ncidence of 2% </w:t>
      </w:r>
      <w:r>
        <w:t xml:space="preserve">of </w:t>
      </w:r>
      <w:r w:rsidR="00737CDB">
        <w:t>CF cases is assumed in the FEB population</w:t>
      </w:r>
      <w:r w:rsidR="00737CDB" w:rsidRPr="00C95720">
        <w:t xml:space="preserve"> </w:t>
      </w:r>
      <w:r w:rsidR="00737CDB">
        <w:t>in the base</w:t>
      </w:r>
      <w:r>
        <w:t>-</w:t>
      </w:r>
      <w:r w:rsidR="00737CDB">
        <w:t xml:space="preserve">case analysis. The effect of </w:t>
      </w:r>
      <w:r>
        <w:t xml:space="preserve">a </w:t>
      </w:r>
      <w:r w:rsidR="00737CDB">
        <w:t>higher incidence of CF (2</w:t>
      </w:r>
      <w:r w:rsidR="004E5A62">
        <w:t>%</w:t>
      </w:r>
      <w:r>
        <w:t>–</w:t>
      </w:r>
      <w:r w:rsidR="00737CDB">
        <w:t xml:space="preserve">13%) on the cost-effectiveness of </w:t>
      </w:r>
      <w:r w:rsidR="00FD37D3" w:rsidRPr="00FD37D3">
        <w:t>CFTR</w:t>
      </w:r>
      <w:r w:rsidR="00737CDB">
        <w:t xml:space="preserve"> prenatal testing in this population is investigated in the sensitivity analysis </w:t>
      </w:r>
      <w:r>
        <w:t>(s</w:t>
      </w:r>
      <w:r w:rsidR="00737CDB">
        <w:t>ee section C.1.3 for further details</w:t>
      </w:r>
      <w:r>
        <w:t>)</w:t>
      </w:r>
      <w:r w:rsidR="00737CDB">
        <w:t>.</w:t>
      </w:r>
    </w:p>
    <w:p w14:paraId="56C182E0" w14:textId="77777777" w:rsidR="00737CDB" w:rsidRPr="00F6033C" w:rsidRDefault="00737CDB" w:rsidP="00737CDB">
      <w:pPr>
        <w:rPr>
          <w:i/>
        </w:rPr>
      </w:pPr>
      <w:r w:rsidRPr="00F6033C">
        <w:rPr>
          <w:i/>
        </w:rPr>
        <w:lastRenderedPageBreak/>
        <w:t>Risk of miscarriage</w:t>
      </w:r>
    </w:p>
    <w:p w14:paraId="58C6B1CD" w14:textId="2A4879C5" w:rsidR="00737CDB" w:rsidRDefault="00737CDB" w:rsidP="00737CDB">
      <w:r>
        <w:t>The background and procedure</w:t>
      </w:r>
      <w:r w:rsidR="00786DC2">
        <w:t>-</w:t>
      </w:r>
      <w:r>
        <w:t>related risks of miscarriage</w:t>
      </w:r>
      <w:r w:rsidR="00786DC2">
        <w:t>,</w:t>
      </w:r>
      <w:r>
        <w:t xml:space="preserve"> as estimated in </w:t>
      </w:r>
      <w:r>
        <w:fldChar w:fldCharType="begin"/>
      </w:r>
      <w:r>
        <w:instrText xml:space="preserve"> REF _Ref413062869 \h  \* MERGEFORMAT </w:instrText>
      </w:r>
      <w:r>
        <w:fldChar w:fldCharType="separate"/>
      </w:r>
      <w:r w:rsidR="00BB0E3E" w:rsidRPr="00096D98">
        <w:t xml:space="preserve">Table </w:t>
      </w:r>
      <w:r w:rsidR="00BB0E3E">
        <w:rPr>
          <w:noProof/>
        </w:rPr>
        <w:t>51</w:t>
      </w:r>
      <w:r>
        <w:fldChar w:fldCharType="end"/>
      </w:r>
      <w:r>
        <w:t>, section C.1.4</w:t>
      </w:r>
      <w:r w:rsidR="00786DC2">
        <w:t>,</w:t>
      </w:r>
      <w:r>
        <w:t xml:space="preserve"> are used in the base</w:t>
      </w:r>
      <w:r w:rsidR="00786DC2">
        <w:t>-</w:t>
      </w:r>
      <w:r>
        <w:t xml:space="preserve">case analysis and sensitivity analysis. In summary, a background risk of 1.05% and </w:t>
      </w:r>
      <w:r w:rsidR="00786DC2">
        <w:t xml:space="preserve">a </w:t>
      </w:r>
      <w:r>
        <w:t xml:space="preserve">procedure-related risk of 0.15% </w:t>
      </w:r>
      <w:r w:rsidR="00786DC2">
        <w:t xml:space="preserve">are </w:t>
      </w:r>
      <w:r>
        <w:t>assumed for model 1</w:t>
      </w:r>
      <w:r w:rsidR="004E5A62">
        <w:t>,</w:t>
      </w:r>
      <w:r>
        <w:t xml:space="preserve"> </w:t>
      </w:r>
      <w:r w:rsidR="004E5A62">
        <w:t xml:space="preserve">and </w:t>
      </w:r>
      <w:r>
        <w:t xml:space="preserve">a background risk of 0.67% and </w:t>
      </w:r>
      <w:r w:rsidR="00786DC2">
        <w:t xml:space="preserve">a </w:t>
      </w:r>
      <w:r>
        <w:t xml:space="preserve">procedure-related risk of 0.11% </w:t>
      </w:r>
      <w:r w:rsidR="00786DC2">
        <w:t xml:space="preserve">are </w:t>
      </w:r>
      <w:r>
        <w:t>assumed</w:t>
      </w:r>
      <w:r w:rsidRPr="00466C20">
        <w:t xml:space="preserve"> </w:t>
      </w:r>
      <w:r>
        <w:t>for model 2. In sensitivity analysis 95%</w:t>
      </w:r>
      <w:r w:rsidR="00786DC2">
        <w:t>CI</w:t>
      </w:r>
      <w:r>
        <w:t xml:space="preserve"> ranges of background and procedure-related risks are tested.</w:t>
      </w:r>
    </w:p>
    <w:p w14:paraId="599FEAED" w14:textId="77777777" w:rsidR="00737CDB" w:rsidRPr="00917E28" w:rsidRDefault="00737CDB" w:rsidP="00737CDB">
      <w:pPr>
        <w:rPr>
          <w:i/>
        </w:rPr>
      </w:pPr>
      <w:r w:rsidRPr="00917E28">
        <w:rPr>
          <w:i/>
        </w:rPr>
        <w:t>Termination acceptance rate</w:t>
      </w:r>
    </w:p>
    <w:p w14:paraId="67045DB0" w14:textId="3A1FA1C5" w:rsidR="00737CDB" w:rsidRDefault="00737CDB" w:rsidP="00737CDB">
      <w:r>
        <w:t>Different termination acceptance rates are used for the modelled populations</w:t>
      </w:r>
      <w:r w:rsidR="00786DC2">
        <w:t>,</w:t>
      </w:r>
      <w:r>
        <w:t xml:space="preserve"> as discussed in section </w:t>
      </w:r>
      <w:r w:rsidRPr="00EF07D7">
        <w:t>C.1.5</w:t>
      </w:r>
      <w:r>
        <w:t>. In model 1 (fetus with parents known CF carriers) the termination uptake rate of 95% is assumed in the base</w:t>
      </w:r>
      <w:r w:rsidR="001A343C">
        <w:t>-</w:t>
      </w:r>
      <w:r>
        <w:t>case analysis, whereas an uptake rate of 65% is assumed in model 2 (fetus with FEB).</w:t>
      </w:r>
    </w:p>
    <w:p w14:paraId="2D8B0FBE" w14:textId="7761B89F" w:rsidR="00737CDB" w:rsidRDefault="00737CDB" w:rsidP="00737CDB">
      <w:r>
        <w:t xml:space="preserve">The uptake of </w:t>
      </w:r>
      <w:r w:rsidR="001A343C">
        <w:t>TOP</w:t>
      </w:r>
      <w:r>
        <w:t xml:space="preserve"> can affect the outcome costs per CF birth averted; therefore</w:t>
      </w:r>
      <w:r w:rsidR="001A343C">
        <w:t>,</w:t>
      </w:r>
      <w:r>
        <w:t xml:space="preserve"> the effect of uptake rates between 80% and 100% for model 1 and between 30% and 100% in model 2 are assessed in </w:t>
      </w:r>
      <w:r w:rsidR="004E5A62">
        <w:t xml:space="preserve">the </w:t>
      </w:r>
      <w:r>
        <w:t>sensitivity analys</w:t>
      </w:r>
      <w:r w:rsidR="001A343C">
        <w:t>i</w:t>
      </w:r>
      <w:r>
        <w:t>s (</w:t>
      </w:r>
      <w:r>
        <w:fldChar w:fldCharType="begin"/>
      </w:r>
      <w:r>
        <w:instrText xml:space="preserve"> REF _Ref413618410 \h  \* MERGEFORMAT </w:instrText>
      </w:r>
      <w:r>
        <w:fldChar w:fldCharType="separate"/>
      </w:r>
      <w:r w:rsidR="00BB0E3E" w:rsidRPr="007E1D5D">
        <w:t xml:space="preserve">Table </w:t>
      </w:r>
      <w:r w:rsidR="00BB0E3E">
        <w:rPr>
          <w:noProof/>
        </w:rPr>
        <w:t>52</w:t>
      </w:r>
      <w:r>
        <w:fldChar w:fldCharType="end"/>
      </w:r>
      <w:r>
        <w:t xml:space="preserve">). </w:t>
      </w:r>
    </w:p>
    <w:p w14:paraId="4AE7A797" w14:textId="7AF4B494" w:rsidR="00737CDB" w:rsidRPr="00836856" w:rsidRDefault="00737CDB" w:rsidP="00737CDB">
      <w:pPr>
        <w:rPr>
          <w:i/>
        </w:rPr>
      </w:pPr>
      <w:r w:rsidRPr="00836856">
        <w:rPr>
          <w:i/>
        </w:rPr>
        <w:t>Risk of stillbirth</w:t>
      </w:r>
    </w:p>
    <w:p w14:paraId="34153535" w14:textId="51B26499" w:rsidR="00737CDB" w:rsidRDefault="00737CDB" w:rsidP="00737CDB">
      <w:r>
        <w:t>In Australia s</w:t>
      </w:r>
      <w:r w:rsidRPr="004C5E0D">
        <w:t>tillbirth is classified as an infant who dies after 20</w:t>
      </w:r>
      <w:r w:rsidR="001A343C">
        <w:t> </w:t>
      </w:r>
      <w:r w:rsidRPr="004C5E0D">
        <w:t>weeks</w:t>
      </w:r>
      <w:r w:rsidR="004E5A62">
        <w:t>’ gestation</w:t>
      </w:r>
      <w:r w:rsidRPr="004C5E0D">
        <w:t xml:space="preserve"> or </w:t>
      </w:r>
      <w:r w:rsidR="005176C2">
        <w:t xml:space="preserve">when they </w:t>
      </w:r>
      <w:r w:rsidRPr="004C5E0D">
        <w:t>weigh more than 400</w:t>
      </w:r>
      <w:r w:rsidR="001A343C">
        <w:t> </w:t>
      </w:r>
      <w:r w:rsidRPr="004C5E0D">
        <w:t>grams</w:t>
      </w:r>
      <w:r w:rsidR="001A343C">
        <w:t>;</w:t>
      </w:r>
      <w:r w:rsidRPr="004C5E0D">
        <w:t xml:space="preserve"> </w:t>
      </w:r>
      <w:r w:rsidR="001A343C">
        <w:t>b</w:t>
      </w:r>
      <w:r w:rsidRPr="004C5E0D">
        <w:t>abies lost before 20</w:t>
      </w:r>
      <w:r w:rsidR="001A343C">
        <w:t> </w:t>
      </w:r>
      <w:r w:rsidRPr="004C5E0D">
        <w:t>weeks are termed miscarried</w:t>
      </w:r>
      <w:r>
        <w:t>.</w:t>
      </w:r>
      <w:r w:rsidRPr="004C5E0D">
        <w:t xml:space="preserve"> </w:t>
      </w:r>
      <w:r>
        <w:t>The risk of stillbirth is estimated to be 0.006 (6 per 1</w:t>
      </w:r>
      <w:r w:rsidR="005176C2">
        <w:t>,</w:t>
      </w:r>
      <w:r>
        <w:t>000) from ABS data (2012)</w:t>
      </w:r>
      <w:r>
        <w:rPr>
          <w:rStyle w:val="FootnoteReference"/>
        </w:rPr>
        <w:footnoteReference w:id="14"/>
      </w:r>
      <w:r>
        <w:t xml:space="preserve"> and is assumed to be constant between model arms in both models 1 and 2.</w:t>
      </w:r>
    </w:p>
    <w:p w14:paraId="2CA6F491" w14:textId="77777777" w:rsidR="00737CDB" w:rsidRDefault="00737CDB" w:rsidP="00737CDB">
      <w:r>
        <w:t xml:space="preserve">Test parameters used in the economic models are summarised in </w:t>
      </w:r>
      <w:r>
        <w:fldChar w:fldCharType="begin"/>
      </w:r>
      <w:r>
        <w:instrText xml:space="preserve"> REF _Ref413765012 \h  \* MERGEFORMAT </w:instrText>
      </w:r>
      <w:r>
        <w:fldChar w:fldCharType="separate"/>
      </w:r>
      <w:r w:rsidR="00BB0E3E">
        <w:t xml:space="preserve">Table </w:t>
      </w:r>
      <w:r w:rsidR="00BB0E3E">
        <w:rPr>
          <w:noProof/>
        </w:rPr>
        <w:t>56</w:t>
      </w:r>
      <w:r>
        <w:fldChar w:fldCharType="end"/>
      </w:r>
      <w:r>
        <w:t xml:space="preserve">. </w:t>
      </w:r>
    </w:p>
    <w:p w14:paraId="1C012F00" w14:textId="77777777" w:rsidR="00737CDB" w:rsidRDefault="00737CDB" w:rsidP="00737CDB">
      <w:pPr>
        <w:pStyle w:val="Caption"/>
      </w:pPr>
      <w:bookmarkStart w:id="338" w:name="_Ref413765012"/>
      <w:bookmarkStart w:id="339" w:name="_Toc416855348"/>
      <w:bookmarkStart w:id="340" w:name="_Toc418179453"/>
      <w:r>
        <w:t xml:space="preserve">Table </w:t>
      </w:r>
      <w:fldSimple w:instr=" SEQ Table \* ARABIC ">
        <w:r w:rsidR="00BB0E3E">
          <w:rPr>
            <w:noProof/>
          </w:rPr>
          <w:t>56</w:t>
        </w:r>
      </w:fldSimple>
      <w:bookmarkEnd w:id="338"/>
      <w:r>
        <w:tab/>
        <w:t>Summary of estimated values for test parameters used in the economic models</w:t>
      </w:r>
      <w:bookmarkEnd w:id="339"/>
      <w:bookmarkEnd w:id="340"/>
    </w:p>
    <w:tbl>
      <w:tblPr>
        <w:tblStyle w:val="TableGrid"/>
        <w:tblW w:w="0" w:type="auto"/>
        <w:tblLook w:val="04A0" w:firstRow="1" w:lastRow="0" w:firstColumn="1" w:lastColumn="0" w:noHBand="0" w:noVBand="1"/>
        <w:tblCaption w:val="Summary of estimated values for test parameters used in the economic models"/>
        <w:tblDescription w:val="Summary of estimated values for test parameters used in the economic models"/>
      </w:tblPr>
      <w:tblGrid>
        <w:gridCol w:w="2235"/>
        <w:gridCol w:w="1520"/>
        <w:gridCol w:w="1725"/>
        <w:gridCol w:w="1747"/>
        <w:gridCol w:w="2015"/>
      </w:tblGrid>
      <w:tr w:rsidR="00652866" w:rsidRPr="002C334A" w14:paraId="69C3D9AA" w14:textId="77777777" w:rsidTr="00DC559E">
        <w:trPr>
          <w:tblHeader/>
        </w:trPr>
        <w:tc>
          <w:tcPr>
            <w:tcW w:w="2235" w:type="dxa"/>
            <w:tcBorders>
              <w:right w:val="single" w:sz="4" w:space="0" w:color="auto"/>
            </w:tcBorders>
          </w:tcPr>
          <w:p w14:paraId="7474E20C" w14:textId="77777777" w:rsidR="00652866" w:rsidRPr="002C334A" w:rsidRDefault="00652866" w:rsidP="00103ACE">
            <w:pPr>
              <w:pStyle w:val="Tabletext1"/>
              <w:ind w:left="0"/>
              <w:jc w:val="left"/>
              <w:rPr>
                <w:b/>
              </w:rPr>
            </w:pPr>
            <w:r w:rsidRPr="002C334A">
              <w:rPr>
                <w:b/>
              </w:rPr>
              <w:t>Parameter</w:t>
            </w:r>
          </w:p>
        </w:tc>
        <w:tc>
          <w:tcPr>
            <w:tcW w:w="1520" w:type="dxa"/>
            <w:tcBorders>
              <w:top w:val="single" w:sz="4" w:space="0" w:color="auto"/>
              <w:left w:val="single" w:sz="4" w:space="0" w:color="auto"/>
              <w:bottom w:val="single" w:sz="4" w:space="0" w:color="auto"/>
              <w:right w:val="nil"/>
            </w:tcBorders>
          </w:tcPr>
          <w:p w14:paraId="3AEB1F77" w14:textId="77777777" w:rsidR="00652866" w:rsidRPr="002C334A" w:rsidRDefault="00652866" w:rsidP="00652866">
            <w:pPr>
              <w:pStyle w:val="Tabletext1"/>
              <w:ind w:left="-108"/>
              <w:jc w:val="center"/>
              <w:rPr>
                <w:b/>
              </w:rPr>
            </w:pPr>
            <w:r w:rsidRPr="002C334A">
              <w:rPr>
                <w:b/>
              </w:rPr>
              <w:t>Model 1</w:t>
            </w:r>
            <w:r>
              <w:rPr>
                <w:b/>
              </w:rPr>
              <w:t xml:space="preserve">: </w:t>
            </w:r>
            <w:r w:rsidRPr="00EB48F9">
              <w:rPr>
                <w:b/>
              </w:rPr>
              <w:t>Both parents known CF carriers</w:t>
            </w:r>
          </w:p>
        </w:tc>
        <w:tc>
          <w:tcPr>
            <w:tcW w:w="1725" w:type="dxa"/>
            <w:tcBorders>
              <w:top w:val="single" w:sz="4" w:space="0" w:color="auto"/>
              <w:left w:val="nil"/>
              <w:bottom w:val="single" w:sz="4" w:space="0" w:color="auto"/>
              <w:right w:val="single" w:sz="4" w:space="0" w:color="auto"/>
            </w:tcBorders>
          </w:tcPr>
          <w:p w14:paraId="784AAC93" w14:textId="6C37FCD3" w:rsidR="00652866" w:rsidRPr="002C334A" w:rsidRDefault="00652866" w:rsidP="00FE63E6">
            <w:pPr>
              <w:pStyle w:val="Tabletext1"/>
              <w:ind w:left="-108"/>
              <w:jc w:val="center"/>
              <w:rPr>
                <w:b/>
              </w:rPr>
            </w:pPr>
          </w:p>
        </w:tc>
        <w:tc>
          <w:tcPr>
            <w:tcW w:w="1747" w:type="dxa"/>
            <w:tcBorders>
              <w:top w:val="single" w:sz="4" w:space="0" w:color="auto"/>
              <w:left w:val="single" w:sz="4" w:space="0" w:color="auto"/>
              <w:bottom w:val="single" w:sz="4" w:space="0" w:color="auto"/>
              <w:right w:val="nil"/>
            </w:tcBorders>
          </w:tcPr>
          <w:p w14:paraId="694F0A0D" w14:textId="77777777" w:rsidR="00652866" w:rsidRPr="002C334A" w:rsidRDefault="00652866" w:rsidP="00FE63E6">
            <w:pPr>
              <w:pStyle w:val="Tabletext1"/>
              <w:ind w:left="-93"/>
              <w:jc w:val="center"/>
              <w:rPr>
                <w:b/>
              </w:rPr>
            </w:pPr>
            <w:r w:rsidRPr="002C334A">
              <w:rPr>
                <w:b/>
              </w:rPr>
              <w:t>Model 2</w:t>
            </w:r>
            <w:r>
              <w:rPr>
                <w:b/>
              </w:rPr>
              <w:t>: Fetus has FEB</w:t>
            </w:r>
          </w:p>
        </w:tc>
        <w:tc>
          <w:tcPr>
            <w:tcW w:w="2015" w:type="dxa"/>
            <w:tcBorders>
              <w:top w:val="single" w:sz="4" w:space="0" w:color="auto"/>
              <w:left w:val="nil"/>
              <w:bottom w:val="single" w:sz="4" w:space="0" w:color="auto"/>
              <w:right w:val="single" w:sz="4" w:space="0" w:color="auto"/>
            </w:tcBorders>
          </w:tcPr>
          <w:p w14:paraId="0F87DA06" w14:textId="2DC4932E" w:rsidR="00652866" w:rsidRPr="002C334A" w:rsidRDefault="00652866" w:rsidP="00FE63E6">
            <w:pPr>
              <w:pStyle w:val="Tabletext1"/>
              <w:ind w:left="-93"/>
              <w:jc w:val="center"/>
              <w:rPr>
                <w:b/>
              </w:rPr>
            </w:pPr>
          </w:p>
        </w:tc>
      </w:tr>
      <w:tr w:rsidR="00737CDB" w:rsidRPr="00D120CD" w14:paraId="2BDADF8A" w14:textId="77777777" w:rsidTr="00652866">
        <w:tc>
          <w:tcPr>
            <w:tcW w:w="2235" w:type="dxa"/>
          </w:tcPr>
          <w:p w14:paraId="19824586" w14:textId="77777777" w:rsidR="00737CDB" w:rsidRPr="00D120CD" w:rsidRDefault="00737CDB" w:rsidP="00103ACE">
            <w:pPr>
              <w:pStyle w:val="Tabletext1"/>
              <w:jc w:val="left"/>
              <w:rPr>
                <w:i/>
              </w:rPr>
            </w:pPr>
          </w:p>
        </w:tc>
        <w:tc>
          <w:tcPr>
            <w:tcW w:w="1520" w:type="dxa"/>
            <w:tcBorders>
              <w:top w:val="single" w:sz="4" w:space="0" w:color="auto"/>
            </w:tcBorders>
          </w:tcPr>
          <w:p w14:paraId="35B1D556" w14:textId="43CA1461" w:rsidR="00737CDB" w:rsidRPr="00D120CD" w:rsidRDefault="00737CDB" w:rsidP="00103ACE">
            <w:pPr>
              <w:pStyle w:val="Tabletext1"/>
              <w:ind w:left="0"/>
              <w:jc w:val="left"/>
              <w:rPr>
                <w:i/>
              </w:rPr>
            </w:pPr>
            <w:r w:rsidRPr="00D120CD">
              <w:rPr>
                <w:i/>
              </w:rPr>
              <w:t>Base-case</w:t>
            </w:r>
          </w:p>
        </w:tc>
        <w:tc>
          <w:tcPr>
            <w:tcW w:w="1725" w:type="dxa"/>
            <w:tcBorders>
              <w:top w:val="single" w:sz="4" w:space="0" w:color="auto"/>
            </w:tcBorders>
          </w:tcPr>
          <w:p w14:paraId="02520BCE" w14:textId="3A7C9C10" w:rsidR="00737CDB" w:rsidRPr="00D120CD" w:rsidRDefault="00737CDB" w:rsidP="00103ACE">
            <w:pPr>
              <w:pStyle w:val="Tabletext1"/>
              <w:ind w:left="0"/>
              <w:jc w:val="left"/>
              <w:rPr>
                <w:i/>
              </w:rPr>
            </w:pPr>
            <w:r w:rsidRPr="00D120CD">
              <w:rPr>
                <w:i/>
              </w:rPr>
              <w:t xml:space="preserve">Sensitivity </w:t>
            </w:r>
            <w:r w:rsidR="00395A9E">
              <w:rPr>
                <w:i/>
              </w:rPr>
              <w:t>a</w:t>
            </w:r>
            <w:r w:rsidRPr="00D120CD">
              <w:rPr>
                <w:i/>
              </w:rPr>
              <w:t>nalysis</w:t>
            </w:r>
          </w:p>
        </w:tc>
        <w:tc>
          <w:tcPr>
            <w:tcW w:w="1747" w:type="dxa"/>
            <w:tcBorders>
              <w:top w:val="single" w:sz="4" w:space="0" w:color="auto"/>
            </w:tcBorders>
          </w:tcPr>
          <w:p w14:paraId="209B7CDC" w14:textId="597BEEF2" w:rsidR="00737CDB" w:rsidRPr="00D120CD" w:rsidRDefault="00737CDB" w:rsidP="00103ACE">
            <w:pPr>
              <w:pStyle w:val="Tabletext1"/>
              <w:ind w:left="0"/>
              <w:jc w:val="left"/>
              <w:rPr>
                <w:i/>
              </w:rPr>
            </w:pPr>
            <w:r w:rsidRPr="00D120CD">
              <w:rPr>
                <w:i/>
              </w:rPr>
              <w:t>Base-case</w:t>
            </w:r>
          </w:p>
        </w:tc>
        <w:tc>
          <w:tcPr>
            <w:tcW w:w="2015" w:type="dxa"/>
            <w:tcBorders>
              <w:top w:val="single" w:sz="4" w:space="0" w:color="auto"/>
            </w:tcBorders>
          </w:tcPr>
          <w:p w14:paraId="0811BF0C" w14:textId="028AB1A7" w:rsidR="00737CDB" w:rsidRPr="00D120CD" w:rsidRDefault="00737CDB" w:rsidP="00103ACE">
            <w:pPr>
              <w:pStyle w:val="Tabletext1"/>
              <w:ind w:left="0"/>
              <w:jc w:val="left"/>
              <w:rPr>
                <w:i/>
              </w:rPr>
            </w:pPr>
            <w:r w:rsidRPr="00D120CD">
              <w:rPr>
                <w:i/>
              </w:rPr>
              <w:t xml:space="preserve">Sensitivity </w:t>
            </w:r>
            <w:r w:rsidR="00395A9E">
              <w:rPr>
                <w:i/>
              </w:rPr>
              <w:t>a</w:t>
            </w:r>
            <w:r w:rsidRPr="00D120CD">
              <w:rPr>
                <w:i/>
              </w:rPr>
              <w:t>nalysis</w:t>
            </w:r>
          </w:p>
        </w:tc>
      </w:tr>
      <w:tr w:rsidR="00737CDB" w:rsidRPr="00C464ED" w14:paraId="061E085A" w14:textId="77777777" w:rsidTr="00103ACE">
        <w:tc>
          <w:tcPr>
            <w:tcW w:w="2235" w:type="dxa"/>
          </w:tcPr>
          <w:p w14:paraId="06BE831C" w14:textId="77777777" w:rsidR="00737CDB" w:rsidRPr="00411381" w:rsidRDefault="00737CDB" w:rsidP="00103ACE">
            <w:pPr>
              <w:pStyle w:val="Tabletext1"/>
              <w:ind w:left="0"/>
              <w:jc w:val="left"/>
            </w:pPr>
            <w:r w:rsidRPr="00411381">
              <w:t>Clinical sensitivity common mutation test</w:t>
            </w:r>
          </w:p>
        </w:tc>
        <w:tc>
          <w:tcPr>
            <w:tcW w:w="1520" w:type="dxa"/>
          </w:tcPr>
          <w:p w14:paraId="55B871B5" w14:textId="77777777" w:rsidR="00737CDB" w:rsidRPr="00411381" w:rsidRDefault="00737CDB" w:rsidP="00103ACE">
            <w:pPr>
              <w:pStyle w:val="Tabletext1"/>
              <w:ind w:left="0"/>
              <w:jc w:val="left"/>
            </w:pPr>
            <w:r w:rsidRPr="00411381">
              <w:t>80%</w:t>
            </w:r>
          </w:p>
        </w:tc>
        <w:tc>
          <w:tcPr>
            <w:tcW w:w="1725" w:type="dxa"/>
          </w:tcPr>
          <w:p w14:paraId="1FEF10DC" w14:textId="1DCE1130" w:rsidR="00737CDB" w:rsidRPr="00411381" w:rsidRDefault="00737CDB" w:rsidP="00103ACE">
            <w:pPr>
              <w:pStyle w:val="Tabletext1"/>
              <w:ind w:left="0"/>
              <w:jc w:val="left"/>
            </w:pPr>
            <w:r>
              <w:t>80%</w:t>
            </w:r>
            <w:r w:rsidR="00395A9E">
              <w:t>–</w:t>
            </w:r>
            <w:r w:rsidRPr="00411381">
              <w:t xml:space="preserve">92% </w:t>
            </w:r>
          </w:p>
        </w:tc>
        <w:tc>
          <w:tcPr>
            <w:tcW w:w="1747" w:type="dxa"/>
          </w:tcPr>
          <w:p w14:paraId="3166952D" w14:textId="77777777" w:rsidR="00737CDB" w:rsidRPr="00411381" w:rsidRDefault="00737CDB" w:rsidP="00103ACE">
            <w:pPr>
              <w:pStyle w:val="Tabletext1"/>
              <w:ind w:left="0"/>
              <w:jc w:val="left"/>
            </w:pPr>
            <w:r w:rsidRPr="00411381">
              <w:t>80%</w:t>
            </w:r>
          </w:p>
        </w:tc>
        <w:tc>
          <w:tcPr>
            <w:tcW w:w="2015" w:type="dxa"/>
          </w:tcPr>
          <w:p w14:paraId="47759D3D" w14:textId="057616CA" w:rsidR="00737CDB" w:rsidRPr="00411381" w:rsidRDefault="00737CDB" w:rsidP="00103ACE">
            <w:pPr>
              <w:pStyle w:val="Tabletext1"/>
              <w:ind w:left="0"/>
              <w:jc w:val="left"/>
            </w:pPr>
            <w:r>
              <w:t>80%</w:t>
            </w:r>
            <w:r w:rsidR="00395A9E">
              <w:t>–</w:t>
            </w:r>
            <w:r w:rsidRPr="00411381">
              <w:t xml:space="preserve">92% </w:t>
            </w:r>
          </w:p>
        </w:tc>
      </w:tr>
      <w:tr w:rsidR="00737CDB" w:rsidRPr="00C464ED" w14:paraId="74E73A06" w14:textId="77777777" w:rsidTr="00103ACE">
        <w:tc>
          <w:tcPr>
            <w:tcW w:w="2235" w:type="dxa"/>
          </w:tcPr>
          <w:p w14:paraId="49331A58" w14:textId="77777777" w:rsidR="00737CDB" w:rsidRPr="00411381" w:rsidRDefault="00737CDB" w:rsidP="00103ACE">
            <w:pPr>
              <w:pStyle w:val="Tabletext1"/>
              <w:ind w:left="0"/>
              <w:jc w:val="left"/>
            </w:pPr>
            <w:r w:rsidRPr="00411381">
              <w:t>Risk of CF</w:t>
            </w:r>
          </w:p>
        </w:tc>
        <w:tc>
          <w:tcPr>
            <w:tcW w:w="1520" w:type="dxa"/>
          </w:tcPr>
          <w:p w14:paraId="48867DE8" w14:textId="77777777" w:rsidR="00737CDB" w:rsidRPr="00411381" w:rsidRDefault="00737CDB" w:rsidP="00103ACE">
            <w:pPr>
              <w:pStyle w:val="Tabletext1"/>
              <w:ind w:left="0"/>
              <w:jc w:val="left"/>
            </w:pPr>
            <w:r w:rsidRPr="00411381">
              <w:t>25%</w:t>
            </w:r>
          </w:p>
        </w:tc>
        <w:tc>
          <w:tcPr>
            <w:tcW w:w="1725" w:type="dxa"/>
          </w:tcPr>
          <w:p w14:paraId="6A99023F" w14:textId="77777777" w:rsidR="00737CDB" w:rsidRPr="00411381" w:rsidRDefault="00737CDB" w:rsidP="00103ACE">
            <w:pPr>
              <w:pStyle w:val="Tabletext1"/>
              <w:ind w:left="0"/>
              <w:jc w:val="left"/>
            </w:pPr>
            <w:r>
              <w:t>Not varied</w:t>
            </w:r>
          </w:p>
        </w:tc>
        <w:tc>
          <w:tcPr>
            <w:tcW w:w="1747" w:type="dxa"/>
          </w:tcPr>
          <w:p w14:paraId="0AF82A58" w14:textId="77777777" w:rsidR="00737CDB" w:rsidRPr="00411381" w:rsidRDefault="00737CDB" w:rsidP="00103ACE">
            <w:pPr>
              <w:pStyle w:val="Tabletext1"/>
              <w:ind w:left="0"/>
              <w:jc w:val="left"/>
            </w:pPr>
            <w:r>
              <w:t>4.5</w:t>
            </w:r>
            <w:r w:rsidRPr="00411381">
              <w:t>%</w:t>
            </w:r>
          </w:p>
        </w:tc>
        <w:tc>
          <w:tcPr>
            <w:tcW w:w="2015" w:type="dxa"/>
          </w:tcPr>
          <w:p w14:paraId="6D7D2451" w14:textId="1E54FE47" w:rsidR="00737CDB" w:rsidRPr="00411381" w:rsidRDefault="00737CDB" w:rsidP="00103ACE">
            <w:pPr>
              <w:pStyle w:val="Tabletext1"/>
              <w:ind w:left="0"/>
              <w:jc w:val="left"/>
            </w:pPr>
            <w:r>
              <w:t>2%</w:t>
            </w:r>
            <w:r w:rsidR="00395A9E">
              <w:t>–</w:t>
            </w:r>
            <w:r>
              <w:t>13%</w:t>
            </w:r>
          </w:p>
        </w:tc>
      </w:tr>
      <w:tr w:rsidR="00737CDB" w:rsidRPr="00C464ED" w14:paraId="57E1460E" w14:textId="77777777" w:rsidTr="00103ACE">
        <w:tc>
          <w:tcPr>
            <w:tcW w:w="2235" w:type="dxa"/>
          </w:tcPr>
          <w:p w14:paraId="65A9E918" w14:textId="3DABBACA" w:rsidR="00737CDB" w:rsidRPr="00411381" w:rsidRDefault="00737CDB" w:rsidP="00103ACE">
            <w:pPr>
              <w:pStyle w:val="Tabletext1"/>
              <w:ind w:left="0"/>
              <w:jc w:val="left"/>
            </w:pPr>
            <w:r w:rsidRPr="00411381">
              <w:t xml:space="preserve">Background risk of </w:t>
            </w:r>
            <w:r w:rsidR="001A343C">
              <w:t>m</w:t>
            </w:r>
            <w:r w:rsidRPr="00411381">
              <w:t>iscarriage</w:t>
            </w:r>
          </w:p>
        </w:tc>
        <w:tc>
          <w:tcPr>
            <w:tcW w:w="1520" w:type="dxa"/>
          </w:tcPr>
          <w:p w14:paraId="426033BB" w14:textId="77777777" w:rsidR="00737CDB" w:rsidRPr="00411381" w:rsidRDefault="00737CDB" w:rsidP="00103ACE">
            <w:pPr>
              <w:pStyle w:val="Tabletext1"/>
              <w:ind w:left="0"/>
              <w:jc w:val="left"/>
            </w:pPr>
            <w:r>
              <w:t>1.05%</w:t>
            </w:r>
          </w:p>
        </w:tc>
        <w:tc>
          <w:tcPr>
            <w:tcW w:w="1725" w:type="dxa"/>
          </w:tcPr>
          <w:p w14:paraId="7FAD69FE" w14:textId="77777777" w:rsidR="00737CDB" w:rsidRPr="00411381" w:rsidRDefault="00737CDB" w:rsidP="00103ACE">
            <w:pPr>
              <w:pStyle w:val="Tabletext1"/>
              <w:ind w:left="0"/>
              <w:jc w:val="left"/>
            </w:pPr>
            <w:r w:rsidRPr="00CF0ECD">
              <w:t>(0.51%, 1.8%)</w:t>
            </w:r>
          </w:p>
        </w:tc>
        <w:tc>
          <w:tcPr>
            <w:tcW w:w="1747" w:type="dxa"/>
          </w:tcPr>
          <w:p w14:paraId="3AC8260B" w14:textId="77777777" w:rsidR="00737CDB" w:rsidRPr="00411381" w:rsidRDefault="00737CDB" w:rsidP="00103ACE">
            <w:pPr>
              <w:pStyle w:val="Tabletext1"/>
              <w:ind w:left="0"/>
              <w:jc w:val="left"/>
            </w:pPr>
            <w:r w:rsidRPr="00BD3D88">
              <w:t>0.67%</w:t>
            </w:r>
          </w:p>
        </w:tc>
        <w:tc>
          <w:tcPr>
            <w:tcW w:w="2015" w:type="dxa"/>
          </w:tcPr>
          <w:p w14:paraId="2B6835B6" w14:textId="77777777" w:rsidR="00737CDB" w:rsidRPr="00411381" w:rsidRDefault="00737CDB" w:rsidP="00103ACE">
            <w:pPr>
              <w:pStyle w:val="Tabletext1"/>
              <w:ind w:left="0"/>
              <w:jc w:val="left"/>
            </w:pPr>
            <w:r>
              <w:t>(</w:t>
            </w:r>
            <w:r w:rsidRPr="00C464ED">
              <w:t>0.46%</w:t>
            </w:r>
            <w:r>
              <w:t>, 0.91%)</w:t>
            </w:r>
          </w:p>
        </w:tc>
      </w:tr>
      <w:tr w:rsidR="00737CDB" w:rsidRPr="00C464ED" w14:paraId="6764B920" w14:textId="77777777" w:rsidTr="00103ACE">
        <w:tc>
          <w:tcPr>
            <w:tcW w:w="2235" w:type="dxa"/>
          </w:tcPr>
          <w:p w14:paraId="7849771A" w14:textId="77777777" w:rsidR="00737CDB" w:rsidRPr="00411381" w:rsidRDefault="00737CDB" w:rsidP="00103ACE">
            <w:pPr>
              <w:pStyle w:val="Tabletext1"/>
              <w:ind w:left="0"/>
              <w:jc w:val="left"/>
            </w:pPr>
            <w:r w:rsidRPr="00411381">
              <w:t>Procedure-related risk of miscarriage</w:t>
            </w:r>
          </w:p>
        </w:tc>
        <w:tc>
          <w:tcPr>
            <w:tcW w:w="1520" w:type="dxa"/>
          </w:tcPr>
          <w:p w14:paraId="356B0F7D" w14:textId="77777777" w:rsidR="00737CDB" w:rsidRPr="00411381" w:rsidRDefault="00737CDB" w:rsidP="00103ACE">
            <w:pPr>
              <w:pStyle w:val="Tabletext1"/>
              <w:ind w:left="0"/>
              <w:jc w:val="left"/>
            </w:pPr>
            <w:r w:rsidRPr="00CF0ECD">
              <w:t>0.15%</w:t>
            </w:r>
          </w:p>
        </w:tc>
        <w:tc>
          <w:tcPr>
            <w:tcW w:w="1725" w:type="dxa"/>
          </w:tcPr>
          <w:p w14:paraId="673E0FBD" w14:textId="77777777" w:rsidR="00737CDB" w:rsidRPr="00411381" w:rsidRDefault="00737CDB" w:rsidP="00103ACE">
            <w:pPr>
              <w:pStyle w:val="Tabletext1"/>
              <w:ind w:left="0"/>
              <w:jc w:val="left"/>
            </w:pPr>
            <w:r w:rsidRPr="00CF0ECD">
              <w:t>(0%, 0.57%)</w:t>
            </w:r>
          </w:p>
        </w:tc>
        <w:tc>
          <w:tcPr>
            <w:tcW w:w="1747" w:type="dxa"/>
          </w:tcPr>
          <w:p w14:paraId="52EEC3FD" w14:textId="77777777" w:rsidR="00737CDB" w:rsidRPr="00411381" w:rsidRDefault="00737CDB" w:rsidP="00103ACE">
            <w:pPr>
              <w:pStyle w:val="Tabletext1"/>
              <w:ind w:left="0"/>
              <w:jc w:val="left"/>
            </w:pPr>
            <w:r w:rsidRPr="00CF0ECD">
              <w:t>0.11%</w:t>
            </w:r>
          </w:p>
        </w:tc>
        <w:tc>
          <w:tcPr>
            <w:tcW w:w="2015" w:type="dxa"/>
          </w:tcPr>
          <w:p w14:paraId="2CE1A431" w14:textId="77777777" w:rsidR="00737CDB" w:rsidRPr="00411381" w:rsidRDefault="00737CDB" w:rsidP="00103ACE">
            <w:pPr>
              <w:pStyle w:val="Tabletext1"/>
              <w:ind w:left="0"/>
              <w:jc w:val="left"/>
            </w:pPr>
            <w:r w:rsidRPr="00CF0ECD">
              <w:t>(0%, 0.26%)</w:t>
            </w:r>
          </w:p>
        </w:tc>
      </w:tr>
      <w:tr w:rsidR="00737CDB" w:rsidRPr="00C464ED" w14:paraId="38EA3B78" w14:textId="77777777" w:rsidTr="00103ACE">
        <w:tc>
          <w:tcPr>
            <w:tcW w:w="2235" w:type="dxa"/>
          </w:tcPr>
          <w:p w14:paraId="1E1EEBDA" w14:textId="0029BECA" w:rsidR="00737CDB" w:rsidRPr="00411381" w:rsidRDefault="00737CDB" w:rsidP="00103ACE">
            <w:pPr>
              <w:pStyle w:val="Tabletext1"/>
              <w:ind w:left="0"/>
              <w:jc w:val="left"/>
            </w:pPr>
            <w:r w:rsidRPr="00411381">
              <w:lastRenderedPageBreak/>
              <w:t>Risk of stillbirth</w:t>
            </w:r>
          </w:p>
        </w:tc>
        <w:tc>
          <w:tcPr>
            <w:tcW w:w="1520" w:type="dxa"/>
          </w:tcPr>
          <w:p w14:paraId="234ABAE7" w14:textId="77777777" w:rsidR="00737CDB" w:rsidRPr="00411381" w:rsidRDefault="00737CDB" w:rsidP="00103ACE">
            <w:pPr>
              <w:pStyle w:val="Tabletext1"/>
              <w:ind w:left="0"/>
              <w:jc w:val="left"/>
            </w:pPr>
            <w:r>
              <w:t>0.006</w:t>
            </w:r>
          </w:p>
        </w:tc>
        <w:tc>
          <w:tcPr>
            <w:tcW w:w="1725" w:type="dxa"/>
          </w:tcPr>
          <w:p w14:paraId="04F0E5F2" w14:textId="77777777" w:rsidR="00737CDB" w:rsidRPr="00411381" w:rsidRDefault="00737CDB" w:rsidP="00103ACE">
            <w:pPr>
              <w:pStyle w:val="Tabletext1"/>
              <w:ind w:left="0"/>
              <w:jc w:val="left"/>
            </w:pPr>
            <w:r>
              <w:t>Not varied</w:t>
            </w:r>
          </w:p>
        </w:tc>
        <w:tc>
          <w:tcPr>
            <w:tcW w:w="1747" w:type="dxa"/>
          </w:tcPr>
          <w:p w14:paraId="28B226F8" w14:textId="77777777" w:rsidR="00737CDB" w:rsidRPr="00411381" w:rsidRDefault="00737CDB" w:rsidP="00103ACE">
            <w:pPr>
              <w:pStyle w:val="Tabletext1"/>
              <w:ind w:left="0"/>
              <w:jc w:val="left"/>
            </w:pPr>
            <w:r>
              <w:t>0.006</w:t>
            </w:r>
          </w:p>
        </w:tc>
        <w:tc>
          <w:tcPr>
            <w:tcW w:w="2015" w:type="dxa"/>
          </w:tcPr>
          <w:p w14:paraId="558DB875" w14:textId="77777777" w:rsidR="00737CDB" w:rsidRPr="00411381" w:rsidRDefault="00737CDB" w:rsidP="00103ACE">
            <w:pPr>
              <w:pStyle w:val="Tabletext1"/>
              <w:ind w:left="0"/>
              <w:jc w:val="left"/>
            </w:pPr>
            <w:r>
              <w:t>Not varied</w:t>
            </w:r>
          </w:p>
        </w:tc>
      </w:tr>
      <w:tr w:rsidR="00737CDB" w:rsidRPr="00C464ED" w14:paraId="30097D3B" w14:textId="77777777" w:rsidTr="00103ACE">
        <w:tc>
          <w:tcPr>
            <w:tcW w:w="2235" w:type="dxa"/>
          </w:tcPr>
          <w:p w14:paraId="0CF831B4" w14:textId="3FFCF8B7" w:rsidR="00737CDB" w:rsidRPr="00411381" w:rsidRDefault="008035E3" w:rsidP="00103ACE">
            <w:pPr>
              <w:pStyle w:val="Tabletext1"/>
              <w:ind w:left="0"/>
              <w:jc w:val="left"/>
            </w:pPr>
            <w:r>
              <w:t xml:space="preserve">TOP </w:t>
            </w:r>
            <w:r w:rsidR="00737CDB" w:rsidRPr="00411381">
              <w:t>acceptance rate</w:t>
            </w:r>
          </w:p>
        </w:tc>
        <w:tc>
          <w:tcPr>
            <w:tcW w:w="1520" w:type="dxa"/>
          </w:tcPr>
          <w:p w14:paraId="28978854" w14:textId="77777777" w:rsidR="00737CDB" w:rsidRPr="00411381" w:rsidRDefault="00737CDB" w:rsidP="00103ACE">
            <w:pPr>
              <w:pStyle w:val="Tabletext1"/>
              <w:ind w:left="0"/>
              <w:jc w:val="left"/>
            </w:pPr>
            <w:r w:rsidRPr="00411381">
              <w:t>95%</w:t>
            </w:r>
          </w:p>
        </w:tc>
        <w:tc>
          <w:tcPr>
            <w:tcW w:w="1725" w:type="dxa"/>
          </w:tcPr>
          <w:p w14:paraId="5855D25C" w14:textId="66DE6537" w:rsidR="00737CDB" w:rsidRPr="00411381" w:rsidRDefault="00737CDB" w:rsidP="00103ACE">
            <w:pPr>
              <w:pStyle w:val="Tabletext1"/>
              <w:ind w:left="0"/>
              <w:jc w:val="left"/>
            </w:pPr>
            <w:r>
              <w:t>80%</w:t>
            </w:r>
            <w:r w:rsidR="001E7E2B">
              <w:t>–</w:t>
            </w:r>
            <w:r>
              <w:t>100%</w:t>
            </w:r>
          </w:p>
        </w:tc>
        <w:tc>
          <w:tcPr>
            <w:tcW w:w="1747" w:type="dxa"/>
          </w:tcPr>
          <w:p w14:paraId="6F73F713" w14:textId="77777777" w:rsidR="00737CDB" w:rsidRPr="00411381" w:rsidRDefault="00737CDB" w:rsidP="00103ACE">
            <w:pPr>
              <w:pStyle w:val="Tabletext1"/>
              <w:ind w:left="0"/>
              <w:jc w:val="left"/>
            </w:pPr>
            <w:r w:rsidRPr="00411381">
              <w:t>65%</w:t>
            </w:r>
          </w:p>
        </w:tc>
        <w:tc>
          <w:tcPr>
            <w:tcW w:w="2015" w:type="dxa"/>
          </w:tcPr>
          <w:p w14:paraId="4EDA8412" w14:textId="7CDDCC90" w:rsidR="00737CDB" w:rsidRPr="00411381" w:rsidRDefault="00737CDB" w:rsidP="00103ACE">
            <w:pPr>
              <w:pStyle w:val="Tabletext1"/>
              <w:ind w:left="0"/>
              <w:jc w:val="left"/>
            </w:pPr>
            <w:r>
              <w:t>30%</w:t>
            </w:r>
            <w:r w:rsidR="001E7E2B">
              <w:t>–</w:t>
            </w:r>
            <w:r>
              <w:t>100%</w:t>
            </w:r>
          </w:p>
        </w:tc>
      </w:tr>
    </w:tbl>
    <w:p w14:paraId="77162057" w14:textId="0D63E1D8" w:rsidR="00737CDB" w:rsidRDefault="00737A28" w:rsidP="00737CDB">
      <w:pPr>
        <w:pStyle w:val="Tablenotes0"/>
      </w:pPr>
      <w:r>
        <w:t xml:space="preserve">CF = cystic fibrosis; </w:t>
      </w:r>
      <w:r w:rsidR="00737CDB">
        <w:t>FEB = fetal echogenic bowel</w:t>
      </w:r>
      <w:r w:rsidR="008035E3">
        <w:t>; TOP = t</w:t>
      </w:r>
      <w:r w:rsidR="008035E3" w:rsidRPr="00411381">
        <w:t>ermination of pregnancy</w:t>
      </w:r>
    </w:p>
    <w:p w14:paraId="26E396A1" w14:textId="3C9EA39E" w:rsidR="00737CDB" w:rsidRPr="00EE1AAE" w:rsidRDefault="009D10AA" w:rsidP="00737CDB">
      <w:pPr>
        <w:pStyle w:val="Heading3"/>
      </w:pPr>
      <w:bookmarkStart w:id="341" w:name="_Toc418179930"/>
      <w:r>
        <w:t>D.4.2.</w:t>
      </w:r>
      <w:r>
        <w:tab/>
      </w:r>
      <w:r w:rsidR="00737CDB">
        <w:t>Healthcare resources</w:t>
      </w:r>
      <w:bookmarkEnd w:id="341"/>
    </w:p>
    <w:p w14:paraId="04165D0F" w14:textId="77777777" w:rsidR="00737CDB" w:rsidRPr="00E448B3" w:rsidRDefault="00737CDB" w:rsidP="00737CDB">
      <w:pPr>
        <w:rPr>
          <w:i/>
        </w:rPr>
      </w:pPr>
      <w:r w:rsidRPr="00E448B3">
        <w:rPr>
          <w:i/>
        </w:rPr>
        <w:t>Cost of genetic testing</w:t>
      </w:r>
    </w:p>
    <w:p w14:paraId="68FCAF43" w14:textId="74778B9C" w:rsidR="00737CDB" w:rsidRDefault="00737CDB" w:rsidP="00737CDB">
      <w:r>
        <w:rPr>
          <w:lang w:val="en-GB"/>
        </w:rPr>
        <w:t xml:space="preserve">The applicant did not provide a </w:t>
      </w:r>
      <w:r w:rsidRPr="00406985">
        <w:rPr>
          <w:lang w:val="en-GB"/>
        </w:rPr>
        <w:t xml:space="preserve">proposed item fee for each of the proposed tests. </w:t>
      </w:r>
      <w:r>
        <w:rPr>
          <w:lang w:val="en-GB"/>
        </w:rPr>
        <w:t xml:space="preserve">At present </w:t>
      </w:r>
      <w:r w:rsidR="00183E3B">
        <w:rPr>
          <w:lang w:val="en-GB"/>
        </w:rPr>
        <w:t xml:space="preserve">the </w:t>
      </w:r>
      <w:r>
        <w:rPr>
          <w:lang w:val="en-GB"/>
        </w:rPr>
        <w:t xml:space="preserve">cost of different </w:t>
      </w:r>
      <w:r w:rsidR="00FD37D3" w:rsidRPr="00FD37D3">
        <w:rPr>
          <w:lang w:val="en-GB"/>
        </w:rPr>
        <w:t>CFTR</w:t>
      </w:r>
      <w:r>
        <w:rPr>
          <w:lang w:val="en-GB"/>
        </w:rPr>
        <w:t xml:space="preserve"> mutation tests and </w:t>
      </w:r>
      <w:r w:rsidR="00183E3B">
        <w:rPr>
          <w:lang w:val="en-GB"/>
        </w:rPr>
        <w:t xml:space="preserve">the </w:t>
      </w:r>
      <w:r>
        <w:rPr>
          <w:lang w:val="en-GB"/>
        </w:rPr>
        <w:t>number of mutations tested varies across Australia (</w:t>
      </w:r>
      <w:r w:rsidR="00183E3B">
        <w:rPr>
          <w:lang w:val="en-GB"/>
        </w:rPr>
        <w:t xml:space="preserve">see </w:t>
      </w:r>
      <w:r>
        <w:rPr>
          <w:lang w:val="en-GB"/>
        </w:rPr>
        <w:t>Appendix I). T</w:t>
      </w:r>
      <w:r w:rsidRPr="0054048A">
        <w:t>he cost of</w:t>
      </w:r>
      <w:r>
        <w:t xml:space="preserve"> common mutation testing</w:t>
      </w:r>
      <w:r w:rsidRPr="0054048A">
        <w:t xml:space="preserve"> is</w:t>
      </w:r>
      <w:r>
        <w:t xml:space="preserve"> identified</w:t>
      </w:r>
      <w:r w:rsidRPr="0054048A">
        <w:t xml:space="preserve"> </w:t>
      </w:r>
      <w:r w:rsidR="00183E3B">
        <w:t xml:space="preserve">as </w:t>
      </w:r>
      <w:r w:rsidRPr="0054048A">
        <w:t>between $</w:t>
      </w:r>
      <w:r>
        <w:t>168</w:t>
      </w:r>
      <w:r w:rsidRPr="0054048A">
        <w:t xml:space="preserve"> and $</w:t>
      </w:r>
      <w:r>
        <w:t>300</w:t>
      </w:r>
      <w:r w:rsidRPr="0054048A">
        <w:t xml:space="preserve"> per test</w:t>
      </w:r>
      <w:r>
        <w:t>,</w:t>
      </w:r>
      <w:r w:rsidRPr="0054048A">
        <w:t xml:space="preserve"> for testing </w:t>
      </w:r>
      <w:r w:rsidR="00183E3B">
        <w:t xml:space="preserve">of </w:t>
      </w:r>
      <w:r w:rsidRPr="0054048A">
        <w:t xml:space="preserve">between </w:t>
      </w:r>
      <w:r>
        <w:t>11</w:t>
      </w:r>
      <w:r w:rsidRPr="0054048A">
        <w:t xml:space="preserve"> and</w:t>
      </w:r>
      <w:r>
        <w:t xml:space="preserve"> </w:t>
      </w:r>
      <w:r w:rsidR="001C7741">
        <w:t>44</w:t>
      </w:r>
      <w:r w:rsidRPr="0054048A">
        <w:t xml:space="preserve"> </w:t>
      </w:r>
      <w:r w:rsidR="00FD37D3" w:rsidRPr="00FD37D3">
        <w:t>CFTR</w:t>
      </w:r>
      <w:r w:rsidRPr="0054048A">
        <w:t xml:space="preserve"> mutations.</w:t>
      </w:r>
      <w:r>
        <w:t xml:space="preserve"> </w:t>
      </w:r>
      <w:r w:rsidR="00183E3B">
        <w:t>S</w:t>
      </w:r>
      <w:r>
        <w:t>ingle mutation testing varies between $50 to $160</w:t>
      </w:r>
      <w:r w:rsidR="006E0993">
        <w:t>,</w:t>
      </w:r>
      <w:r>
        <w:t xml:space="preserve"> </w:t>
      </w:r>
      <w:r w:rsidRPr="00737F64">
        <w:t>and whole gene sequencing costs around $1</w:t>
      </w:r>
      <w:r w:rsidR="00183E3B">
        <w:t>,</w:t>
      </w:r>
      <w:r w:rsidRPr="00737F64">
        <w:t xml:space="preserve">000. </w:t>
      </w:r>
      <w:r>
        <w:t>In accord</w:t>
      </w:r>
      <w:r w:rsidR="006E0993">
        <w:t>ance</w:t>
      </w:r>
      <w:r w:rsidRPr="00737F64">
        <w:t xml:space="preserve"> with proposed MBS listing (</w:t>
      </w:r>
      <w:r w:rsidR="00183E3B">
        <w:t xml:space="preserve">see </w:t>
      </w:r>
      <w:r w:rsidRPr="00737F64">
        <w:t xml:space="preserve">Table 8, section A.3), </w:t>
      </w:r>
      <w:r w:rsidR="00183E3B">
        <w:t xml:space="preserve">the </w:t>
      </w:r>
      <w:r w:rsidRPr="00737F64">
        <w:t xml:space="preserve">cost of </w:t>
      </w:r>
      <w:r w:rsidR="00183E3B">
        <w:t xml:space="preserve">a </w:t>
      </w:r>
      <w:r w:rsidRPr="00737F64">
        <w:t xml:space="preserve">panel-based test corresponding to detecting </w:t>
      </w:r>
      <w:r w:rsidR="00183E3B">
        <w:t>10</w:t>
      </w:r>
      <w:r w:rsidR="00183E3B" w:rsidRPr="00737F64">
        <w:t xml:space="preserve"> </w:t>
      </w:r>
      <w:r w:rsidRPr="00737F64">
        <w:t>mutations was searched. Maxwell et al</w:t>
      </w:r>
      <w:r w:rsidR="00183E3B">
        <w:t>. (2010)</w:t>
      </w:r>
      <w:r w:rsidRPr="00737F64">
        <w:t xml:space="preserve"> suggested a figure of $116.77 per test for prenatal screening based on a </w:t>
      </w:r>
      <w:r w:rsidR="00183E3B">
        <w:t>10-</w:t>
      </w:r>
      <w:r w:rsidRPr="00737F64">
        <w:t>mutation panel</w:t>
      </w:r>
      <w:r w:rsidR="00183E3B">
        <w:t>,</w:t>
      </w:r>
      <w:r w:rsidRPr="00737F64">
        <w:t xml:space="preserve"> includ</w:t>
      </w:r>
      <w:r w:rsidR="006E0993">
        <w:t>ing</w:t>
      </w:r>
      <w:r w:rsidRPr="00737F64">
        <w:t xml:space="preserve"> cost</w:t>
      </w:r>
      <w:r w:rsidR="00183E3B">
        <w:t>s</w:t>
      </w:r>
      <w:r w:rsidRPr="00737F64">
        <w:t xml:space="preserve"> for sample collection, DNA extraction, labour and consumables. This estimate is considered reasonable and </w:t>
      </w:r>
      <w:r w:rsidR="00183E3B">
        <w:t xml:space="preserve">is </w:t>
      </w:r>
      <w:r w:rsidRPr="00737F64">
        <w:t>assumed in the base</w:t>
      </w:r>
      <w:r w:rsidR="00183E3B">
        <w:t>-</w:t>
      </w:r>
      <w:r w:rsidRPr="00737F64">
        <w:t>case evaluations</w:t>
      </w:r>
      <w:r w:rsidR="00577E95">
        <w:t>,</w:t>
      </w:r>
      <w:r w:rsidRPr="00737F64">
        <w:t xml:space="preserve"> convert</w:t>
      </w:r>
      <w:r w:rsidR="00577E95">
        <w:t>ed</w:t>
      </w:r>
      <w:r>
        <w:t xml:space="preserve"> to 2014</w:t>
      </w:r>
      <w:r w:rsidR="00183E3B">
        <w:t xml:space="preserve"> dollars </w:t>
      </w:r>
      <w:r>
        <w:t>(</w:t>
      </w:r>
      <w:r w:rsidR="00183E3B">
        <w:t>i.e.</w:t>
      </w:r>
      <w:r>
        <w:t xml:space="preserve"> $135).</w:t>
      </w:r>
    </w:p>
    <w:p w14:paraId="40DC7AA0" w14:textId="4C4C5A01" w:rsidR="00737CDB" w:rsidRDefault="00737CDB" w:rsidP="00737CDB">
      <w:r>
        <w:t>Among other scenarios, only test costs corresponding to 32 mutations were found</w:t>
      </w:r>
      <w:r w:rsidR="004A64EA">
        <w:t>,</w:t>
      </w:r>
      <w:r>
        <w:t xml:space="preserve"> ranging between $200 and </w:t>
      </w:r>
      <w:r w:rsidRPr="00FF44CF">
        <w:t>$290 (</w:t>
      </w:r>
      <w:r w:rsidR="004A64EA">
        <w:t xml:space="preserve">see </w:t>
      </w:r>
      <w:r w:rsidRPr="00FF44CF">
        <w:fldChar w:fldCharType="begin"/>
      </w:r>
      <w:r w:rsidRPr="00FF44CF">
        <w:instrText xml:space="preserve"> REF _Ref414949288 \h </w:instrText>
      </w:r>
      <w:r>
        <w:instrText xml:space="preserve"> \* MERGEFORMAT </w:instrText>
      </w:r>
      <w:r w:rsidRPr="00FF44CF">
        <w:fldChar w:fldCharType="separate"/>
      </w:r>
      <w:r w:rsidR="00BB0E3E" w:rsidRPr="00393243">
        <w:t xml:space="preserve">Table </w:t>
      </w:r>
      <w:r w:rsidR="00BB0E3E">
        <w:rPr>
          <w:noProof/>
        </w:rPr>
        <w:t>102</w:t>
      </w:r>
      <w:r w:rsidRPr="00FF44CF">
        <w:fldChar w:fldCharType="end"/>
      </w:r>
      <w:r w:rsidRPr="00FF44CF">
        <w:t>).</w:t>
      </w:r>
      <w:r>
        <w:t xml:space="preserve"> </w:t>
      </w:r>
      <w:r w:rsidRPr="00E2499D">
        <w:t xml:space="preserve">The technology and cost of DNA diagnostic testing for a CF mutation are changing rapidly. These costs will likely decline and the number of mutations screened will quickly increase. Therefore, </w:t>
      </w:r>
      <w:r>
        <w:t xml:space="preserve">the cost of </w:t>
      </w:r>
      <w:r w:rsidR="004A64EA">
        <w:t xml:space="preserve">a </w:t>
      </w:r>
      <w:r w:rsidRPr="00E2499D">
        <w:t>32</w:t>
      </w:r>
      <w:r w:rsidR="004A64EA">
        <w:t>-</w:t>
      </w:r>
      <w:r w:rsidRPr="00E2499D">
        <w:t xml:space="preserve">mutation panel test is </w:t>
      </w:r>
      <w:r>
        <w:t>assumed to be</w:t>
      </w:r>
      <w:r w:rsidRPr="00E2499D">
        <w:t xml:space="preserve"> $200.</w:t>
      </w:r>
      <w:r>
        <w:t xml:space="preserve"> For panel</w:t>
      </w:r>
      <w:r w:rsidR="004A64EA">
        <w:t>s</w:t>
      </w:r>
      <w:r>
        <w:t xml:space="preserve"> including 17 mutations and 23 mutations, costs of $150 and $170</w:t>
      </w:r>
      <w:r w:rsidR="00577E95">
        <w:t>, respectively,</w:t>
      </w:r>
      <w:r>
        <w:t xml:space="preserve"> are assumed. </w:t>
      </w:r>
      <w:r w:rsidR="00577E95">
        <w:t>S</w:t>
      </w:r>
      <w:r>
        <w:t xml:space="preserve">ome of the laboratories in Australia test higher number of mutations for </w:t>
      </w:r>
      <w:r w:rsidR="004A64EA">
        <w:t xml:space="preserve">a </w:t>
      </w:r>
      <w:r>
        <w:t>lower price</w:t>
      </w:r>
      <w:r w:rsidR="004A64EA">
        <w:t>;</w:t>
      </w:r>
      <w:r>
        <w:t xml:space="preserve"> for example</w:t>
      </w:r>
      <w:r w:rsidR="004A64EA">
        <w:t>,</w:t>
      </w:r>
      <w:r>
        <w:t xml:space="preserve"> Healthscope </w:t>
      </w:r>
      <w:r w:rsidR="004A64EA">
        <w:t>P</w:t>
      </w:r>
      <w:r>
        <w:t xml:space="preserve">athology in Victoria charges $150 for testing 44 </w:t>
      </w:r>
      <w:r w:rsidR="00FD37D3" w:rsidRPr="00FD37D3">
        <w:t>CFTR</w:t>
      </w:r>
      <w:r>
        <w:t xml:space="preserve"> mutations</w:t>
      </w:r>
      <w:r>
        <w:rPr>
          <w:rStyle w:val="FootnoteReference"/>
        </w:rPr>
        <w:footnoteReference w:id="15"/>
      </w:r>
      <w:r w:rsidR="004A64EA">
        <w:t>.</w:t>
      </w:r>
      <w:r>
        <w:t xml:space="preserve"> However, the corresponding data for clinical sensitivity was not available</w:t>
      </w:r>
      <w:r w:rsidR="004A64EA">
        <w:t>;</w:t>
      </w:r>
      <w:r>
        <w:t xml:space="preserve"> </w:t>
      </w:r>
      <w:r w:rsidR="004A64EA">
        <w:t>t</w:t>
      </w:r>
      <w:r>
        <w:t xml:space="preserve">herefore, these scenarios were not included in the analysis. </w:t>
      </w:r>
      <w:r w:rsidRPr="0069062F">
        <w:fldChar w:fldCharType="begin"/>
      </w:r>
      <w:r w:rsidRPr="0069062F">
        <w:instrText xml:space="preserve"> REF _Ref290240954 \h  \* MERGEFORMAT </w:instrText>
      </w:r>
      <w:r w:rsidRPr="0069062F">
        <w:fldChar w:fldCharType="separate"/>
      </w:r>
      <w:r w:rsidR="00BB0E3E" w:rsidRPr="002F0760">
        <w:t xml:space="preserve">Table </w:t>
      </w:r>
      <w:r w:rsidR="00BB0E3E">
        <w:t>57</w:t>
      </w:r>
      <w:r w:rsidRPr="0069062F">
        <w:fldChar w:fldCharType="end"/>
      </w:r>
      <w:r>
        <w:t xml:space="preserve"> summarises the costs estimated for common mutation testing for all scenarios.</w:t>
      </w:r>
      <w:r w:rsidR="0065610F">
        <w:t xml:space="preserve"> </w:t>
      </w:r>
      <w:r w:rsidR="004A64EA">
        <w:t>T</w:t>
      </w:r>
      <w:r w:rsidR="0065610F">
        <w:t xml:space="preserve">he </w:t>
      </w:r>
      <w:r w:rsidR="00820E42">
        <w:t xml:space="preserve">diagnostic tests used in the analysis are assumed to include </w:t>
      </w:r>
      <w:r w:rsidR="00820E42" w:rsidRPr="00737F64">
        <w:t>cost</w:t>
      </w:r>
      <w:r w:rsidR="00820E42">
        <w:t>s</w:t>
      </w:r>
      <w:r w:rsidR="00820E42" w:rsidRPr="00737F64">
        <w:t xml:space="preserve"> for sample col</w:t>
      </w:r>
      <w:r w:rsidR="00820E42">
        <w:t xml:space="preserve">lection, DNA extraction, labour, </w:t>
      </w:r>
      <w:r w:rsidR="00820E42" w:rsidRPr="00737F64">
        <w:t>consumable</w:t>
      </w:r>
      <w:r w:rsidR="00820E42">
        <w:t xml:space="preserve">s and </w:t>
      </w:r>
      <w:r w:rsidR="0065610F">
        <w:t xml:space="preserve">additional costs associated with </w:t>
      </w:r>
      <w:r w:rsidR="00820E42">
        <w:t>test failure, and these costs are not distinctly included in the model.</w:t>
      </w:r>
    </w:p>
    <w:p w14:paraId="65592B6F" w14:textId="77777777" w:rsidR="00737CDB" w:rsidRPr="002F0760" w:rsidRDefault="00737CDB" w:rsidP="00F57AF2">
      <w:pPr>
        <w:pStyle w:val="Caption"/>
      </w:pPr>
      <w:bookmarkStart w:id="342" w:name="_Ref290240954"/>
      <w:bookmarkStart w:id="343" w:name="_Toc416855349"/>
      <w:bookmarkStart w:id="344" w:name="_Toc418179454"/>
      <w:r w:rsidRPr="002F0760">
        <w:lastRenderedPageBreak/>
        <w:t xml:space="preserve">Table </w:t>
      </w:r>
      <w:fldSimple w:instr=" SEQ Table \* ARABIC ">
        <w:r w:rsidR="00BB0E3E">
          <w:rPr>
            <w:noProof/>
          </w:rPr>
          <w:t>57</w:t>
        </w:r>
      </w:fldSimple>
      <w:bookmarkEnd w:id="342"/>
      <w:r w:rsidRPr="002F0760">
        <w:tab/>
      </w:r>
      <w:r>
        <w:t>Costs of common mutation testing used for the scenarios analysed in the economic models</w:t>
      </w:r>
      <w:bookmarkEnd w:id="343"/>
      <w:bookmarkEnd w:id="344"/>
    </w:p>
    <w:tbl>
      <w:tblPr>
        <w:tblStyle w:val="TableGrid2"/>
        <w:tblW w:w="5000" w:type="pct"/>
        <w:tblLayout w:type="fixed"/>
        <w:tblLook w:val="04A0" w:firstRow="1" w:lastRow="0" w:firstColumn="1" w:lastColumn="0" w:noHBand="0" w:noVBand="1"/>
        <w:tblCaption w:val="Costs of common mutation testing used for the scenarios analysed in the economic models"/>
        <w:tblDescription w:val="Costs of common mutation testing used for the scenarios analysed in the economic models"/>
      </w:tblPr>
      <w:tblGrid>
        <w:gridCol w:w="2310"/>
        <w:gridCol w:w="2310"/>
        <w:gridCol w:w="2311"/>
        <w:gridCol w:w="2311"/>
      </w:tblGrid>
      <w:tr w:rsidR="00737CDB" w:rsidRPr="00DD5F34" w14:paraId="52D092D8" w14:textId="77777777" w:rsidTr="00A12C92">
        <w:trPr>
          <w:cnfStyle w:val="100000000000" w:firstRow="1" w:lastRow="0" w:firstColumn="0" w:lastColumn="0" w:oddVBand="0" w:evenVBand="0" w:oddHBand="0" w:evenHBand="0" w:firstRowFirstColumn="0" w:firstRowLastColumn="0" w:lastRowFirstColumn="0" w:lastRowLastColumn="0"/>
          <w:trHeight w:val="300"/>
          <w:tblHeader/>
        </w:trPr>
        <w:tc>
          <w:tcPr>
            <w:tcW w:w="1250" w:type="pct"/>
            <w:noWrap/>
            <w:hideMark/>
          </w:tcPr>
          <w:p w14:paraId="28E41CF7" w14:textId="77777777" w:rsidR="00737CDB" w:rsidRPr="00DD5F34" w:rsidRDefault="00737CDB" w:rsidP="00FE63E6">
            <w:pPr>
              <w:pStyle w:val="TableText0"/>
              <w:jc w:val="left"/>
              <w:rPr>
                <w:b/>
              </w:rPr>
            </w:pPr>
            <w:r w:rsidRPr="00DD5F34">
              <w:rPr>
                <w:b/>
              </w:rPr>
              <w:t>Number of common mutations included in the panel</w:t>
            </w:r>
          </w:p>
        </w:tc>
        <w:tc>
          <w:tcPr>
            <w:tcW w:w="1250" w:type="pct"/>
            <w:noWrap/>
            <w:hideMark/>
          </w:tcPr>
          <w:p w14:paraId="5237E8D3" w14:textId="77777777" w:rsidR="00737CDB" w:rsidRPr="00DD5F34" w:rsidRDefault="00737CDB" w:rsidP="00FE63E6">
            <w:pPr>
              <w:pStyle w:val="TableText0"/>
              <w:jc w:val="left"/>
              <w:rPr>
                <w:b/>
              </w:rPr>
            </w:pPr>
            <w:r w:rsidRPr="00DD5F34">
              <w:rPr>
                <w:b/>
              </w:rPr>
              <w:t>Cost</w:t>
            </w:r>
          </w:p>
        </w:tc>
        <w:tc>
          <w:tcPr>
            <w:tcW w:w="1250" w:type="pct"/>
          </w:tcPr>
          <w:p w14:paraId="45EBD03A" w14:textId="77777777" w:rsidR="00737CDB" w:rsidRPr="00DD5F34" w:rsidRDefault="00737CDB" w:rsidP="00FE63E6">
            <w:pPr>
              <w:pStyle w:val="TableText0"/>
              <w:jc w:val="left"/>
              <w:rPr>
                <w:b/>
              </w:rPr>
            </w:pPr>
            <w:r w:rsidRPr="00DD5F34">
              <w:rPr>
                <w:b/>
              </w:rPr>
              <w:t>Source</w:t>
            </w:r>
          </w:p>
        </w:tc>
        <w:tc>
          <w:tcPr>
            <w:tcW w:w="1250" w:type="pct"/>
          </w:tcPr>
          <w:p w14:paraId="02A0184A" w14:textId="77777777" w:rsidR="00737CDB" w:rsidRPr="00DD5F34" w:rsidRDefault="00737CDB" w:rsidP="00FE63E6">
            <w:pPr>
              <w:pStyle w:val="TableText0"/>
              <w:jc w:val="left"/>
              <w:rPr>
                <w:b/>
              </w:rPr>
            </w:pPr>
            <w:r w:rsidRPr="00DD5F34">
              <w:rPr>
                <w:b/>
              </w:rPr>
              <w:t>Model usage</w:t>
            </w:r>
          </w:p>
        </w:tc>
      </w:tr>
      <w:tr w:rsidR="00737CDB" w:rsidRPr="00643C8F" w14:paraId="4B0DE1FE" w14:textId="77777777" w:rsidTr="005B7F97">
        <w:trPr>
          <w:trHeight w:val="300"/>
        </w:trPr>
        <w:tc>
          <w:tcPr>
            <w:tcW w:w="1250" w:type="pct"/>
            <w:noWrap/>
            <w:hideMark/>
          </w:tcPr>
          <w:p w14:paraId="269E38A5" w14:textId="77777777" w:rsidR="00737CDB" w:rsidRPr="00643C8F" w:rsidRDefault="00737CDB" w:rsidP="00FE63E6">
            <w:pPr>
              <w:pStyle w:val="TableText0"/>
              <w:jc w:val="left"/>
            </w:pPr>
            <w:r w:rsidRPr="00643C8F">
              <w:t>10</w:t>
            </w:r>
          </w:p>
        </w:tc>
        <w:tc>
          <w:tcPr>
            <w:tcW w:w="1250" w:type="pct"/>
            <w:noWrap/>
            <w:hideMark/>
          </w:tcPr>
          <w:p w14:paraId="1EEFEA0F" w14:textId="77777777" w:rsidR="00737CDB" w:rsidRPr="00643C8F" w:rsidRDefault="00737CDB" w:rsidP="00FE63E6">
            <w:pPr>
              <w:pStyle w:val="TableText0"/>
              <w:jc w:val="left"/>
            </w:pPr>
            <w:r w:rsidRPr="00643C8F">
              <w:t>$135</w:t>
            </w:r>
          </w:p>
        </w:tc>
        <w:tc>
          <w:tcPr>
            <w:tcW w:w="1250" w:type="pct"/>
          </w:tcPr>
          <w:p w14:paraId="74F30C4D" w14:textId="700F85CD" w:rsidR="00737CDB" w:rsidRPr="00643C8F" w:rsidRDefault="00737CDB" w:rsidP="00FE63E6">
            <w:pPr>
              <w:pStyle w:val="TableText0"/>
              <w:jc w:val="left"/>
            </w:pPr>
            <w:r w:rsidRPr="00643C8F">
              <w:fldChar w:fldCharType="begin">
                <w:fldData xml:space="preserve">PEVuZE5vdGU+PENpdGU+PEF1dGhvcj5NYXh3ZWxsPC9BdXRob3I+PFllYXI+MjAxMDwvWWVhcj48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</w:fldData>
              </w:fldChar>
            </w:r>
            <w:r w:rsidR="009A054F">
              <w:instrText xml:space="preserve"> ADDIN EN.CITE </w:instrText>
            </w:r>
            <w:r w:rsidR="009A054F">
              <w:fldChar w:fldCharType="begin">
                <w:fldData xml:space="preserve">PEVuZE5vdGU+PENpdGU+PEF1dGhvcj5NYXh3ZWxsPC9BdXRob3I+PFllYXI+MjAxMDwvWWVhcj48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</w:fldData>
              </w:fldChar>
            </w:r>
            <w:r w:rsidR="009A054F">
              <w:instrText xml:space="preserve"> ADDIN EN.CITE.DATA </w:instrText>
            </w:r>
            <w:r w:rsidR="009A054F">
              <w:fldChar w:fldCharType="end"/>
            </w:r>
            <w:r w:rsidRPr="00643C8F">
              <w:fldChar w:fldCharType="separate"/>
            </w:r>
            <w:hyperlink w:anchor="_ENREF_76" w:tooltip="Maxwell, 2010 #398" w:history="1">
              <w:r w:rsidR="00B46ABF" w:rsidRPr="00643C8F">
                <w:rPr>
                  <w:noProof/>
                </w:rPr>
                <w:t xml:space="preserve">Maxwell et al. </w:t>
              </w:r>
              <w:r w:rsidR="004A64EA">
                <w:rPr>
                  <w:noProof/>
                </w:rPr>
                <w:t>(</w:t>
              </w:r>
              <w:r w:rsidR="00B46ABF" w:rsidRPr="00643C8F">
                <w:rPr>
                  <w:noProof/>
                </w:rPr>
                <w:t>2010</w:t>
              </w:r>
            </w:hyperlink>
            <w:r w:rsidRPr="00643C8F">
              <w:fldChar w:fldCharType="end"/>
            </w:r>
            <w:r w:rsidR="004A64EA">
              <w:t>)</w:t>
            </w:r>
          </w:p>
        </w:tc>
        <w:tc>
          <w:tcPr>
            <w:tcW w:w="1250" w:type="pct"/>
          </w:tcPr>
          <w:p w14:paraId="2B2BD16C" w14:textId="1E8CEB42" w:rsidR="00737CDB" w:rsidRPr="00643C8F" w:rsidRDefault="00737CDB" w:rsidP="00FE63E6">
            <w:pPr>
              <w:pStyle w:val="TableText0"/>
              <w:jc w:val="left"/>
            </w:pPr>
            <w:r w:rsidRPr="00643C8F">
              <w:t>Base</w:t>
            </w:r>
            <w:r w:rsidR="001E7E2B">
              <w:t>-</w:t>
            </w:r>
            <w:r w:rsidRPr="00643C8F">
              <w:t>case analysis</w:t>
            </w:r>
          </w:p>
        </w:tc>
      </w:tr>
      <w:tr w:rsidR="00737CDB" w:rsidRPr="00643C8F" w14:paraId="5121178F" w14:textId="77777777" w:rsidTr="005B7F97">
        <w:trPr>
          <w:trHeight w:val="300"/>
        </w:trPr>
        <w:tc>
          <w:tcPr>
            <w:tcW w:w="1250" w:type="pct"/>
            <w:noWrap/>
            <w:hideMark/>
          </w:tcPr>
          <w:p w14:paraId="6EA3AB3B" w14:textId="77777777" w:rsidR="00737CDB" w:rsidRPr="00643C8F" w:rsidRDefault="00737CDB" w:rsidP="00FE63E6">
            <w:pPr>
              <w:pStyle w:val="TableText0"/>
              <w:jc w:val="left"/>
            </w:pPr>
            <w:r w:rsidRPr="00643C8F">
              <w:t>17</w:t>
            </w:r>
          </w:p>
        </w:tc>
        <w:tc>
          <w:tcPr>
            <w:tcW w:w="1250" w:type="pct"/>
            <w:noWrap/>
            <w:hideMark/>
          </w:tcPr>
          <w:p w14:paraId="17ECEE19" w14:textId="77777777" w:rsidR="00737CDB" w:rsidRPr="00643C8F" w:rsidRDefault="00737CDB" w:rsidP="00FE63E6">
            <w:pPr>
              <w:pStyle w:val="TableText0"/>
              <w:jc w:val="left"/>
            </w:pPr>
            <w:r w:rsidRPr="00643C8F">
              <w:t>$150</w:t>
            </w:r>
          </w:p>
        </w:tc>
        <w:tc>
          <w:tcPr>
            <w:tcW w:w="1250" w:type="pct"/>
          </w:tcPr>
          <w:p w14:paraId="7776EBB4" w14:textId="565F5DE2" w:rsidR="00737CDB" w:rsidRPr="00643C8F" w:rsidRDefault="00737CDB" w:rsidP="00FE63E6">
            <w:pPr>
              <w:pStyle w:val="TableText0"/>
              <w:jc w:val="left"/>
            </w:pPr>
            <w:r w:rsidRPr="00643C8F">
              <w:t>Assumption</w:t>
            </w:r>
            <w:r w:rsidR="006E1F8D">
              <w:t xml:space="preserve"> </w:t>
            </w:r>
            <w:r w:rsidRPr="00FA4DDA">
              <w:rPr>
                <w:vertAlign w:val="superscript"/>
              </w:rPr>
              <w:t>a</w:t>
            </w:r>
          </w:p>
        </w:tc>
        <w:tc>
          <w:tcPr>
            <w:tcW w:w="1250" w:type="pct"/>
          </w:tcPr>
          <w:p w14:paraId="283D4231" w14:textId="77777777" w:rsidR="00737CDB" w:rsidRPr="00643C8F" w:rsidRDefault="00737CDB" w:rsidP="00FE63E6">
            <w:pPr>
              <w:pStyle w:val="TableText0"/>
              <w:jc w:val="left"/>
            </w:pPr>
            <w:r>
              <w:t>Additional</w:t>
            </w:r>
            <w:r w:rsidRPr="00643C8F">
              <w:t xml:space="preserve"> scenario 1</w:t>
            </w:r>
          </w:p>
        </w:tc>
      </w:tr>
      <w:tr w:rsidR="00737CDB" w:rsidRPr="00643C8F" w14:paraId="45CE2ACC" w14:textId="77777777" w:rsidTr="005B7F97">
        <w:trPr>
          <w:trHeight w:val="300"/>
        </w:trPr>
        <w:tc>
          <w:tcPr>
            <w:tcW w:w="1250" w:type="pct"/>
            <w:noWrap/>
            <w:hideMark/>
          </w:tcPr>
          <w:p w14:paraId="7D91A6E8" w14:textId="77777777" w:rsidR="00737CDB" w:rsidRPr="00643C8F" w:rsidRDefault="00737CDB" w:rsidP="00FE63E6">
            <w:pPr>
              <w:pStyle w:val="TableText0"/>
              <w:jc w:val="left"/>
            </w:pPr>
            <w:r w:rsidRPr="00643C8F">
              <w:t>23</w:t>
            </w:r>
          </w:p>
        </w:tc>
        <w:tc>
          <w:tcPr>
            <w:tcW w:w="1250" w:type="pct"/>
            <w:noWrap/>
            <w:hideMark/>
          </w:tcPr>
          <w:p w14:paraId="57BD09F1" w14:textId="77777777" w:rsidR="00737CDB" w:rsidRPr="00643C8F" w:rsidRDefault="00737CDB" w:rsidP="00FE63E6">
            <w:pPr>
              <w:pStyle w:val="TableText0"/>
              <w:jc w:val="left"/>
            </w:pPr>
            <w:r w:rsidRPr="00643C8F">
              <w:t>$</w:t>
            </w:r>
            <w:r>
              <w:t>17</w:t>
            </w:r>
            <w:r w:rsidRPr="00643C8F">
              <w:t>0</w:t>
            </w:r>
          </w:p>
        </w:tc>
        <w:tc>
          <w:tcPr>
            <w:tcW w:w="1250" w:type="pct"/>
          </w:tcPr>
          <w:p w14:paraId="0A333F8A" w14:textId="338D3755" w:rsidR="00737CDB" w:rsidRPr="00643C8F" w:rsidRDefault="00737CDB" w:rsidP="00FE63E6">
            <w:pPr>
              <w:pStyle w:val="TableText0"/>
              <w:jc w:val="left"/>
            </w:pPr>
            <w:r w:rsidRPr="00643C8F">
              <w:t>Assumption</w:t>
            </w:r>
            <w:r w:rsidR="006E1F8D">
              <w:t xml:space="preserve"> </w:t>
            </w:r>
            <w:r w:rsidRPr="00FA4DDA">
              <w:rPr>
                <w:vertAlign w:val="superscript"/>
              </w:rPr>
              <w:t>b</w:t>
            </w:r>
          </w:p>
        </w:tc>
        <w:tc>
          <w:tcPr>
            <w:tcW w:w="1250" w:type="pct"/>
          </w:tcPr>
          <w:p w14:paraId="6B195491" w14:textId="77777777" w:rsidR="00737CDB" w:rsidRPr="00643C8F" w:rsidRDefault="00737CDB" w:rsidP="00FE63E6">
            <w:pPr>
              <w:pStyle w:val="TableText0"/>
              <w:jc w:val="left"/>
            </w:pPr>
            <w:r>
              <w:t>Additional</w:t>
            </w:r>
            <w:r w:rsidRPr="00643C8F">
              <w:t xml:space="preserve"> scenario 2</w:t>
            </w:r>
          </w:p>
        </w:tc>
      </w:tr>
      <w:tr w:rsidR="00737CDB" w:rsidRPr="00643C8F" w14:paraId="0CFA33C0" w14:textId="77777777" w:rsidTr="005B7F97">
        <w:trPr>
          <w:trHeight w:val="300"/>
        </w:trPr>
        <w:tc>
          <w:tcPr>
            <w:tcW w:w="1250" w:type="pct"/>
            <w:noWrap/>
            <w:hideMark/>
          </w:tcPr>
          <w:p w14:paraId="114CB226" w14:textId="77777777" w:rsidR="00737CDB" w:rsidRPr="00643C8F" w:rsidRDefault="00737CDB" w:rsidP="00FE63E6">
            <w:pPr>
              <w:pStyle w:val="TableText0"/>
              <w:jc w:val="left"/>
            </w:pPr>
            <w:r w:rsidRPr="00643C8F">
              <w:t>32</w:t>
            </w:r>
          </w:p>
        </w:tc>
        <w:tc>
          <w:tcPr>
            <w:tcW w:w="1250" w:type="pct"/>
            <w:noWrap/>
            <w:hideMark/>
          </w:tcPr>
          <w:p w14:paraId="465B0DB5" w14:textId="77777777" w:rsidR="00737CDB" w:rsidRPr="00643C8F" w:rsidRDefault="00737CDB" w:rsidP="00FE63E6">
            <w:pPr>
              <w:pStyle w:val="TableText0"/>
              <w:jc w:val="left"/>
            </w:pPr>
            <w:r w:rsidRPr="00643C8F">
              <w:t>$200</w:t>
            </w:r>
          </w:p>
        </w:tc>
        <w:tc>
          <w:tcPr>
            <w:tcW w:w="1250" w:type="pct"/>
          </w:tcPr>
          <w:p w14:paraId="2E29B18C" w14:textId="77777777" w:rsidR="00737CDB" w:rsidRPr="00643C8F" w:rsidRDefault="00737CDB" w:rsidP="00FE63E6">
            <w:pPr>
              <w:pStyle w:val="TableText0"/>
              <w:jc w:val="left"/>
            </w:pPr>
            <w:r w:rsidRPr="00643C8F">
              <w:fldChar w:fldCharType="begin"/>
            </w:r>
            <w:r w:rsidRPr="00643C8F">
              <w:instrText xml:space="preserve"> REF _Ref414949288 \h  \* MERGEFORMAT </w:instrText>
            </w:r>
            <w:r w:rsidRPr="00643C8F">
              <w:fldChar w:fldCharType="separate"/>
            </w:r>
            <w:r w:rsidR="00BB0E3E" w:rsidRPr="00393243">
              <w:t xml:space="preserve">Table </w:t>
            </w:r>
            <w:r w:rsidR="00BB0E3E">
              <w:rPr>
                <w:noProof/>
              </w:rPr>
              <w:t>102</w:t>
            </w:r>
            <w:r w:rsidRPr="00643C8F">
              <w:fldChar w:fldCharType="end"/>
            </w:r>
            <w:r>
              <w:t>, Appendix I</w:t>
            </w:r>
          </w:p>
        </w:tc>
        <w:tc>
          <w:tcPr>
            <w:tcW w:w="1250" w:type="pct"/>
          </w:tcPr>
          <w:p w14:paraId="108D04B4" w14:textId="77777777" w:rsidR="00737CDB" w:rsidRPr="00643C8F" w:rsidRDefault="00737CDB" w:rsidP="00FE63E6">
            <w:pPr>
              <w:pStyle w:val="TableText0"/>
              <w:jc w:val="left"/>
            </w:pPr>
            <w:r>
              <w:t>Additional</w:t>
            </w:r>
            <w:r w:rsidRPr="00643C8F">
              <w:t xml:space="preserve"> </w:t>
            </w:r>
            <w:r>
              <w:t>scenario 3</w:t>
            </w:r>
          </w:p>
        </w:tc>
      </w:tr>
    </w:tbl>
    <w:p w14:paraId="75A015BA" w14:textId="281FCEF8" w:rsidR="00737CDB" w:rsidRDefault="00737CDB" w:rsidP="00FE63E6">
      <w:pPr>
        <w:pStyle w:val="Tablenotes0"/>
        <w:spacing w:after="0"/>
        <w:jc w:val="left"/>
      </w:pPr>
      <w:r w:rsidRPr="00FA4DDA">
        <w:rPr>
          <w:vertAlign w:val="superscript"/>
        </w:rPr>
        <w:t>a</w:t>
      </w:r>
      <w:r>
        <w:t xml:space="preserve"> Based on lowest identified published price of ‘common mutation test’ available</w:t>
      </w:r>
      <w:r w:rsidR="008F285A">
        <w:t>—</w:t>
      </w:r>
      <w:r>
        <w:t>in actual fact this price is quoted for 38</w:t>
      </w:r>
      <w:r w:rsidR="00D92166">
        <w:t>-</w:t>
      </w:r>
      <w:r>
        <w:t xml:space="preserve"> and 44</w:t>
      </w:r>
      <w:r w:rsidR="00D92166">
        <w:t>-</w:t>
      </w:r>
      <w:r>
        <w:t>mutation panels (see Table 101, Appendix I).</w:t>
      </w:r>
    </w:p>
    <w:p w14:paraId="196E7DA1" w14:textId="6753CB8B" w:rsidR="00737CDB" w:rsidRDefault="00737CDB" w:rsidP="00FE63E6">
      <w:pPr>
        <w:pStyle w:val="Tablenotes0"/>
        <w:spacing w:after="240"/>
        <w:jc w:val="left"/>
      </w:pPr>
      <w:r w:rsidRPr="00E7291D">
        <w:rPr>
          <w:vertAlign w:val="superscript"/>
        </w:rPr>
        <w:t>b</w:t>
      </w:r>
      <w:r>
        <w:rPr>
          <w:vertAlign w:val="superscript"/>
        </w:rPr>
        <w:t xml:space="preserve"> </w:t>
      </w:r>
      <w:r>
        <w:t>Arbitrary value chosen within the range of costs of 17 mutation panel and 32 mutations panel</w:t>
      </w:r>
    </w:p>
    <w:p w14:paraId="3ED6431C" w14:textId="306EB243" w:rsidR="00737CDB" w:rsidRDefault="00737CDB" w:rsidP="00A12C92">
      <w:pPr>
        <w:spacing w:before="240"/>
        <w:rPr>
          <w:lang w:val="en-GB"/>
        </w:rPr>
      </w:pPr>
      <w:r w:rsidRPr="00737F64">
        <w:t>A cost of $</w:t>
      </w:r>
      <w:r>
        <w:t>80</w:t>
      </w:r>
      <w:r w:rsidRPr="00737F64">
        <w:t xml:space="preserve"> is assumed for single mutation testing </w:t>
      </w:r>
      <w:r>
        <w:t>(</w:t>
      </w:r>
      <w:r>
        <w:fldChar w:fldCharType="begin"/>
      </w:r>
      <w:r>
        <w:instrText xml:space="preserve"> REF _Ref414949288 \h </w:instrText>
      </w:r>
      <w:r>
        <w:fldChar w:fldCharType="separate"/>
      </w:r>
      <w:r w:rsidR="00BB0E3E" w:rsidRPr="00393243">
        <w:t xml:space="preserve">Table </w:t>
      </w:r>
      <w:r w:rsidR="00BB0E3E">
        <w:rPr>
          <w:noProof/>
        </w:rPr>
        <w:t>102</w:t>
      </w:r>
      <w:r>
        <w:fldChar w:fldCharType="end"/>
      </w:r>
      <w:r>
        <w:t>)</w:t>
      </w:r>
      <w:r w:rsidRPr="00737F64">
        <w:t>.</w:t>
      </w:r>
      <w:r>
        <w:t xml:space="preserve"> </w:t>
      </w:r>
      <w:r w:rsidRPr="00737F64">
        <w:t>According to Australian data (Figure 1), approximately 85% of CF patients have at least one copy of the F508del mutation</w:t>
      </w:r>
      <w:r w:rsidR="00D92166">
        <w:t>,</w:t>
      </w:r>
      <w:r w:rsidRPr="00737F64">
        <w:t xml:space="preserve"> with 52% having two copies. Therefore, it is assumed that single mutation test</w:t>
      </w:r>
      <w:r w:rsidR="00D92166">
        <w:t>ing</w:t>
      </w:r>
      <w:r w:rsidRPr="00737F64">
        <w:t xml:space="preserve"> is performed in 65% (52</w:t>
      </w:r>
      <w:r w:rsidR="00A10A3C">
        <w:t>%</w:t>
      </w:r>
      <w:r w:rsidR="00D92166">
        <w:t>–</w:t>
      </w:r>
      <w:r w:rsidRPr="001B2DC6">
        <w:t>80</w:t>
      </w:r>
      <w:r w:rsidRPr="00737F64">
        <w:t xml:space="preserve">%) of the fetuses </w:t>
      </w:r>
      <w:r w:rsidR="00D92166">
        <w:t>of</w:t>
      </w:r>
      <w:r w:rsidRPr="00737F64">
        <w:t xml:space="preserve"> parents identified as carriers</w:t>
      </w:r>
      <w:r w:rsidR="00A3014F">
        <w:t>,</w:t>
      </w:r>
      <w:r w:rsidRPr="00737F64">
        <w:t xml:space="preserve"> and the remaining 35% will have common mutation testing to identify the other known mutations. Therefore, a weighted cost of common mutation and single mutation testing ($</w:t>
      </w:r>
      <w:r>
        <w:t>99</w:t>
      </w:r>
      <w:r w:rsidRPr="00737F64">
        <w:t xml:space="preserve">) is used for known mutation analysis for diagnosis of CF in fetuses in both models. </w:t>
      </w:r>
      <w:r w:rsidR="00A3014F">
        <w:t>The c</w:t>
      </w:r>
      <w:r>
        <w:t xml:space="preserve">ost of </w:t>
      </w:r>
      <w:r w:rsidRPr="00737F64">
        <w:t xml:space="preserve">whole gene </w:t>
      </w:r>
      <w:r>
        <w:t>sequencing is assumed to be $1</w:t>
      </w:r>
      <w:r w:rsidR="00A3014F">
        <w:t>,</w:t>
      </w:r>
      <w:r>
        <w:t>000 (</w:t>
      </w:r>
      <w:r w:rsidR="00A3014F">
        <w:t xml:space="preserve">see </w:t>
      </w:r>
      <w:r>
        <w:fldChar w:fldCharType="begin"/>
      </w:r>
      <w:r>
        <w:instrText xml:space="preserve"> REF _Ref414949288 \h </w:instrText>
      </w:r>
      <w:r>
        <w:fldChar w:fldCharType="separate"/>
      </w:r>
      <w:r w:rsidR="00BB0E3E" w:rsidRPr="00393243">
        <w:t xml:space="preserve">Table </w:t>
      </w:r>
      <w:r w:rsidR="00BB0E3E">
        <w:rPr>
          <w:noProof/>
        </w:rPr>
        <w:t>102</w:t>
      </w:r>
      <w:r>
        <w:fldChar w:fldCharType="end"/>
      </w:r>
      <w:r>
        <w:t>) in the base</w:t>
      </w:r>
      <w:r w:rsidR="00A3014F">
        <w:t>-</w:t>
      </w:r>
      <w:r>
        <w:t>case evaluations. The applicant advised that this cost may be valid for gene sequencing done using</w:t>
      </w:r>
      <w:r>
        <w:rPr>
          <w:lang w:val="en-GB"/>
        </w:rPr>
        <w:t xml:space="preserve"> conventional Sanger sequencing. However, the recent </w:t>
      </w:r>
      <w:r w:rsidR="0028216E">
        <w:rPr>
          <w:lang w:val="en-GB"/>
        </w:rPr>
        <w:t>n</w:t>
      </w:r>
      <w:r>
        <w:rPr>
          <w:lang w:val="en-GB"/>
        </w:rPr>
        <w:t>ext</w:t>
      </w:r>
      <w:r w:rsidR="0028216E">
        <w:rPr>
          <w:lang w:val="en-GB"/>
        </w:rPr>
        <w:t>-g</w:t>
      </w:r>
      <w:r>
        <w:rPr>
          <w:lang w:val="en-GB"/>
        </w:rPr>
        <w:t xml:space="preserve">eneration </w:t>
      </w:r>
      <w:r w:rsidR="0028216E">
        <w:rPr>
          <w:lang w:val="en-GB"/>
        </w:rPr>
        <w:t>s</w:t>
      </w:r>
      <w:r>
        <w:rPr>
          <w:lang w:val="en-GB"/>
        </w:rPr>
        <w:t>equencing (</w:t>
      </w:r>
      <w:r w:rsidRPr="008D54BB">
        <w:rPr>
          <w:lang w:val="en-GB"/>
        </w:rPr>
        <w:t>NGS</w:t>
      </w:r>
      <w:r>
        <w:rPr>
          <w:lang w:val="en-GB"/>
        </w:rPr>
        <w:t>)</w:t>
      </w:r>
      <w:r w:rsidRPr="008D54BB">
        <w:rPr>
          <w:lang w:val="en-GB"/>
        </w:rPr>
        <w:t xml:space="preserve"> </w:t>
      </w:r>
      <w:r>
        <w:rPr>
          <w:lang w:val="en-GB"/>
        </w:rPr>
        <w:t>based</w:t>
      </w:r>
      <w:r w:rsidRPr="008D54BB">
        <w:rPr>
          <w:lang w:val="en-GB"/>
        </w:rPr>
        <w:t xml:space="preserve"> on throughput</w:t>
      </w:r>
      <w:r>
        <w:rPr>
          <w:lang w:val="en-GB"/>
        </w:rPr>
        <w:t xml:space="preserve"> is promising as</w:t>
      </w:r>
      <w:r w:rsidRPr="008D54BB">
        <w:rPr>
          <w:lang w:val="en-GB"/>
        </w:rPr>
        <w:t xml:space="preserve"> </w:t>
      </w:r>
      <w:r w:rsidR="00543913">
        <w:rPr>
          <w:lang w:val="en-GB"/>
        </w:rPr>
        <w:t xml:space="preserve">a </w:t>
      </w:r>
      <w:r w:rsidRPr="008D54BB">
        <w:rPr>
          <w:lang w:val="en-GB"/>
        </w:rPr>
        <w:t>more cost</w:t>
      </w:r>
      <w:r w:rsidR="0028216E">
        <w:rPr>
          <w:lang w:val="en-GB"/>
        </w:rPr>
        <w:t>-</w:t>
      </w:r>
      <w:r w:rsidRPr="008D54BB">
        <w:rPr>
          <w:lang w:val="en-GB"/>
        </w:rPr>
        <w:t>effective option</w:t>
      </w:r>
      <w:r w:rsidRPr="00581404">
        <w:rPr>
          <w:lang w:val="en-GB"/>
        </w:rPr>
        <w:t xml:space="preserve"> </w:t>
      </w:r>
      <w:r>
        <w:rPr>
          <w:lang w:val="en-GB"/>
        </w:rPr>
        <w:t xml:space="preserve">for </w:t>
      </w:r>
      <w:r w:rsidRPr="008D54BB">
        <w:rPr>
          <w:lang w:val="en-GB"/>
        </w:rPr>
        <w:t xml:space="preserve">whole gene sequencing, potentially halving this </w:t>
      </w:r>
      <w:r>
        <w:rPr>
          <w:lang w:val="en-GB"/>
        </w:rPr>
        <w:t>cost</w:t>
      </w:r>
      <w:r>
        <w:rPr>
          <w:rStyle w:val="FootnoteReference"/>
          <w:lang w:val="en-GB"/>
        </w:rPr>
        <w:footnoteReference w:id="16"/>
      </w:r>
      <w:r w:rsidR="00543913">
        <w:rPr>
          <w:lang w:val="en-GB"/>
        </w:rPr>
        <w:t>.</w:t>
      </w:r>
      <w:r>
        <w:rPr>
          <w:lang w:val="en-GB"/>
        </w:rPr>
        <w:t xml:space="preserve"> Subsequently, the impact of lowering the cost of whole gene testing to $500 is assessed in the sensitivity analysis. </w:t>
      </w:r>
      <w:r w:rsidRPr="00737F64">
        <w:t xml:space="preserve">The estimated costs for different genetic tests used in the evaluation are summarised in </w:t>
      </w:r>
      <w:r>
        <w:fldChar w:fldCharType="begin"/>
      </w:r>
      <w:r>
        <w:instrText xml:space="preserve"> REF _Ref413768552 \h </w:instrText>
      </w:r>
      <w:r>
        <w:fldChar w:fldCharType="separate"/>
      </w:r>
      <w:r w:rsidR="00BB0E3E" w:rsidRPr="00737F64">
        <w:t xml:space="preserve">Table </w:t>
      </w:r>
      <w:r w:rsidR="00BB0E3E">
        <w:rPr>
          <w:noProof/>
        </w:rPr>
        <w:t>58</w:t>
      </w:r>
      <w:r>
        <w:fldChar w:fldCharType="end"/>
      </w:r>
      <w:r w:rsidRPr="00737F64">
        <w:t>.</w:t>
      </w:r>
    </w:p>
    <w:p w14:paraId="3CD956CC" w14:textId="21B98244" w:rsidR="00737CDB" w:rsidRPr="00737F64" w:rsidRDefault="00737CDB" w:rsidP="00737CDB">
      <w:pPr>
        <w:pStyle w:val="Caption"/>
      </w:pPr>
      <w:bookmarkStart w:id="345" w:name="_Ref413768552"/>
      <w:bookmarkStart w:id="346" w:name="_Toc416855350"/>
      <w:bookmarkStart w:id="347" w:name="_Toc418179455"/>
      <w:r w:rsidRPr="00737F64">
        <w:t xml:space="preserve">Table </w:t>
      </w:r>
      <w:fldSimple w:instr=" SEQ Table \* ARABIC ">
        <w:r w:rsidR="00BB0E3E">
          <w:rPr>
            <w:noProof/>
          </w:rPr>
          <w:t>58</w:t>
        </w:r>
      </w:fldSimple>
      <w:bookmarkEnd w:id="345"/>
      <w:r w:rsidRPr="00737F64">
        <w:tab/>
        <w:t xml:space="preserve">Estimated cost of </w:t>
      </w:r>
      <w:r w:rsidR="00FD37D3" w:rsidRPr="00FD37D3">
        <w:t>CFTR</w:t>
      </w:r>
      <w:r w:rsidRPr="00737F64">
        <w:t xml:space="preserve"> mutation testing used in </w:t>
      </w:r>
      <w:r>
        <w:t>base</w:t>
      </w:r>
      <w:r w:rsidR="002B3030">
        <w:t>-</w:t>
      </w:r>
      <w:r>
        <w:t xml:space="preserve">case </w:t>
      </w:r>
      <w:r w:rsidRPr="00737F64">
        <w:t xml:space="preserve">economic </w:t>
      </w:r>
      <w:r>
        <w:t>evaluations</w:t>
      </w:r>
      <w:bookmarkEnd w:id="346"/>
      <w:bookmarkEnd w:id="347"/>
    </w:p>
    <w:tbl>
      <w:tblPr>
        <w:tblStyle w:val="TableGrid"/>
        <w:tblW w:w="5000" w:type="pct"/>
        <w:tblLook w:val="04A0" w:firstRow="1" w:lastRow="0" w:firstColumn="1" w:lastColumn="0" w:noHBand="0" w:noVBand="1"/>
        <w:tblCaption w:val="Estimated cost of CFTR mutation testing used in base–case economic evaluations"/>
        <w:tblDescription w:val="Estimated cost of CFTR mutation testing used in base–case economic evaluations"/>
      </w:tblPr>
      <w:tblGrid>
        <w:gridCol w:w="4621"/>
        <w:gridCol w:w="4621"/>
      </w:tblGrid>
      <w:tr w:rsidR="00737CDB" w:rsidRPr="00737F64" w14:paraId="01A871C3" w14:textId="77777777" w:rsidTr="005B7F97">
        <w:trPr>
          <w:tblHeader/>
        </w:trPr>
        <w:tc>
          <w:tcPr>
            <w:tcW w:w="2500" w:type="pct"/>
          </w:tcPr>
          <w:p w14:paraId="78E3B0D7" w14:textId="77777777" w:rsidR="00737CDB" w:rsidRPr="00737F64" w:rsidRDefault="00737CDB" w:rsidP="005B7F97">
            <w:pPr>
              <w:pStyle w:val="Caption"/>
              <w:ind w:left="0"/>
            </w:pPr>
            <w:r w:rsidRPr="00737F64">
              <w:t>Test type</w:t>
            </w:r>
          </w:p>
        </w:tc>
        <w:tc>
          <w:tcPr>
            <w:tcW w:w="2500" w:type="pct"/>
          </w:tcPr>
          <w:p w14:paraId="5204150D" w14:textId="77777777" w:rsidR="00737CDB" w:rsidRPr="00737F64" w:rsidRDefault="00737CDB" w:rsidP="00FE63E6">
            <w:pPr>
              <w:pStyle w:val="Caption"/>
              <w:ind w:left="0"/>
              <w:jc w:val="center"/>
            </w:pPr>
            <w:r w:rsidRPr="00737F64">
              <w:t>Cost</w:t>
            </w:r>
          </w:p>
        </w:tc>
      </w:tr>
      <w:tr w:rsidR="00737CDB" w:rsidRPr="00737F64" w14:paraId="3A71763B" w14:textId="77777777" w:rsidTr="005B7F97">
        <w:tc>
          <w:tcPr>
            <w:tcW w:w="2500" w:type="pct"/>
          </w:tcPr>
          <w:p w14:paraId="3620F7BE" w14:textId="77777777" w:rsidR="00737CDB" w:rsidRPr="00737F64" w:rsidRDefault="00737CDB" w:rsidP="005B7F97">
            <w:pPr>
              <w:pStyle w:val="Tabletext1"/>
              <w:ind w:left="0"/>
            </w:pPr>
            <w:r w:rsidRPr="00737F64">
              <w:t>Common mutation test (parents)</w:t>
            </w:r>
          </w:p>
        </w:tc>
        <w:tc>
          <w:tcPr>
            <w:tcW w:w="2500" w:type="pct"/>
          </w:tcPr>
          <w:p w14:paraId="29CD0CD1" w14:textId="77777777" w:rsidR="00737CDB" w:rsidRPr="00737F64" w:rsidRDefault="00737CDB" w:rsidP="00FE63E6">
            <w:pPr>
              <w:pStyle w:val="Tabletext1"/>
              <w:ind w:left="0" w:right="1938"/>
              <w:jc w:val="right"/>
              <w:rPr>
                <w:rFonts w:eastAsiaTheme="minorHAnsi"/>
                <w:lang w:eastAsia="en-US"/>
              </w:rPr>
            </w:pPr>
            <w:r w:rsidRPr="00737F64">
              <w:t>$135</w:t>
            </w:r>
          </w:p>
        </w:tc>
      </w:tr>
      <w:tr w:rsidR="00737CDB" w:rsidRPr="00737F64" w14:paraId="3F40B2FB" w14:textId="77777777" w:rsidTr="005B7F97">
        <w:tc>
          <w:tcPr>
            <w:tcW w:w="2500" w:type="pct"/>
          </w:tcPr>
          <w:p w14:paraId="2DD19A23" w14:textId="64C740F2" w:rsidR="00737CDB" w:rsidRPr="00737F64" w:rsidRDefault="00737CDB" w:rsidP="005B7F97">
            <w:pPr>
              <w:pStyle w:val="Tabletext1"/>
              <w:ind w:left="0"/>
            </w:pPr>
            <w:r w:rsidRPr="00737F64">
              <w:t>Single mutation test</w:t>
            </w:r>
            <w:r w:rsidR="006E1F8D">
              <w:t xml:space="preserve"> </w:t>
            </w:r>
            <w:r w:rsidR="008F285A" w:rsidRPr="00FE63E6">
              <w:rPr>
                <w:vertAlign w:val="superscript"/>
              </w:rPr>
              <w:t>a</w:t>
            </w:r>
            <w:r w:rsidRPr="00737F64">
              <w:t xml:space="preserve"> (fetus)</w:t>
            </w:r>
          </w:p>
        </w:tc>
        <w:tc>
          <w:tcPr>
            <w:tcW w:w="2500" w:type="pct"/>
          </w:tcPr>
          <w:p w14:paraId="5D130F59" w14:textId="77777777" w:rsidR="00737CDB" w:rsidRPr="00E7291D" w:rsidRDefault="00737CDB" w:rsidP="00FE63E6">
            <w:pPr>
              <w:pStyle w:val="Tabletext1"/>
              <w:ind w:left="0" w:right="1938"/>
              <w:jc w:val="right"/>
            </w:pPr>
            <w:r>
              <w:t>$8</w:t>
            </w:r>
            <w:r w:rsidRPr="00737F64">
              <w:t>0</w:t>
            </w:r>
          </w:p>
        </w:tc>
      </w:tr>
      <w:tr w:rsidR="00737CDB" w:rsidRPr="00737F64" w14:paraId="5714E63E" w14:textId="77777777" w:rsidTr="005B7F97">
        <w:tc>
          <w:tcPr>
            <w:tcW w:w="2500" w:type="pct"/>
          </w:tcPr>
          <w:p w14:paraId="301F255F" w14:textId="77777777" w:rsidR="00737CDB" w:rsidRPr="00737F64" w:rsidRDefault="00737CDB" w:rsidP="005B7F97">
            <w:pPr>
              <w:pStyle w:val="Tabletext1"/>
              <w:ind w:left="0"/>
            </w:pPr>
            <w:r w:rsidRPr="00737F64">
              <w:t>Known mutation test (fetus)</w:t>
            </w:r>
          </w:p>
        </w:tc>
        <w:tc>
          <w:tcPr>
            <w:tcW w:w="2500" w:type="pct"/>
          </w:tcPr>
          <w:p w14:paraId="35E96D5A" w14:textId="77777777" w:rsidR="00737CDB" w:rsidRPr="00E7291D" w:rsidRDefault="00737CDB" w:rsidP="00FE63E6">
            <w:pPr>
              <w:pStyle w:val="Tabletext1"/>
              <w:ind w:left="0" w:right="1938"/>
              <w:jc w:val="right"/>
            </w:pPr>
            <w:r>
              <w:t>$99</w:t>
            </w:r>
          </w:p>
        </w:tc>
      </w:tr>
      <w:tr w:rsidR="00737CDB" w:rsidRPr="00C9320C" w14:paraId="25AD1823" w14:textId="77777777" w:rsidTr="005B7F97">
        <w:tc>
          <w:tcPr>
            <w:tcW w:w="2500" w:type="pct"/>
          </w:tcPr>
          <w:p w14:paraId="57D1BC7A" w14:textId="77777777" w:rsidR="00737CDB" w:rsidRPr="00737F64" w:rsidRDefault="00737CDB" w:rsidP="005B7F97">
            <w:pPr>
              <w:pStyle w:val="Tabletext1"/>
              <w:ind w:left="0"/>
            </w:pPr>
            <w:r w:rsidRPr="00737F64">
              <w:t>Whole gene sequencing (fetus)</w:t>
            </w:r>
          </w:p>
        </w:tc>
        <w:tc>
          <w:tcPr>
            <w:tcW w:w="2500" w:type="pct"/>
          </w:tcPr>
          <w:p w14:paraId="24387A00" w14:textId="0B35B167" w:rsidR="00737CDB" w:rsidRPr="00E7291D" w:rsidRDefault="00737CDB" w:rsidP="00FE63E6">
            <w:pPr>
              <w:pStyle w:val="Tabletext1"/>
              <w:ind w:left="0" w:right="1938"/>
              <w:jc w:val="right"/>
            </w:pPr>
            <w:r w:rsidRPr="00737F64">
              <w:t>$1</w:t>
            </w:r>
            <w:r w:rsidR="008F285A">
              <w:t>,</w:t>
            </w:r>
            <w:r w:rsidRPr="00737F64">
              <w:t>000</w:t>
            </w:r>
          </w:p>
        </w:tc>
      </w:tr>
    </w:tbl>
    <w:p w14:paraId="5C8FB3D6" w14:textId="41652242" w:rsidR="00103ACE" w:rsidRDefault="008F285A" w:rsidP="00FE63E6">
      <w:pPr>
        <w:pStyle w:val="Tablenotes0"/>
        <w:spacing w:after="0"/>
      </w:pPr>
      <w:r w:rsidRPr="00FE63E6">
        <w:rPr>
          <w:vertAlign w:val="superscript"/>
        </w:rPr>
        <w:t>a</w:t>
      </w:r>
      <w:r>
        <w:t xml:space="preserve"> </w:t>
      </w:r>
      <w:r w:rsidR="00543913">
        <w:t>A s</w:t>
      </w:r>
      <w:r w:rsidR="00103ACE">
        <w:t>ingle mutation test is performed to identify one or two F508del mutations.</w:t>
      </w:r>
    </w:p>
    <w:p w14:paraId="545BA9A2" w14:textId="77777777" w:rsidR="00A10A3C" w:rsidRDefault="00A10A3C" w:rsidP="00A10A3C">
      <w:pPr>
        <w:pStyle w:val="Tablenotes0"/>
        <w:spacing w:after="0"/>
      </w:pPr>
      <w:r w:rsidRPr="00FD37D3">
        <w:t>CFTR</w:t>
      </w:r>
      <w:r>
        <w:t xml:space="preserve"> = cystic fibrosis transmembrane conductance regulator </w:t>
      </w:r>
    </w:p>
    <w:p w14:paraId="1084DE95" w14:textId="77777777" w:rsidR="00A10A3C" w:rsidRDefault="00A10A3C" w:rsidP="000F73B8">
      <w:pPr>
        <w:pStyle w:val="Tablenotes0"/>
        <w:spacing w:after="240"/>
      </w:pPr>
    </w:p>
    <w:p w14:paraId="623BEA70" w14:textId="77777777" w:rsidR="00737CDB" w:rsidRPr="00F43F68" w:rsidRDefault="00737CDB" w:rsidP="000F73B8">
      <w:pPr>
        <w:spacing w:before="240"/>
        <w:rPr>
          <w:i/>
        </w:rPr>
      </w:pPr>
      <w:r w:rsidRPr="00F43F68">
        <w:rPr>
          <w:i/>
        </w:rPr>
        <w:t>Cost associated with medical procedures</w:t>
      </w:r>
    </w:p>
    <w:p w14:paraId="2F9DA99F" w14:textId="374CA268" w:rsidR="00737CDB" w:rsidRDefault="00737CDB" w:rsidP="00737CDB">
      <w:r>
        <w:t>The c</w:t>
      </w:r>
      <w:r w:rsidRPr="00F43F68">
        <w:t>osts of CVS, amniocente</w:t>
      </w:r>
      <w:r>
        <w:t>sis and</w:t>
      </w:r>
      <w:r w:rsidRPr="00F43F68">
        <w:t xml:space="preserve"> </w:t>
      </w:r>
      <w:r w:rsidR="00A10A3C">
        <w:t xml:space="preserve">a </w:t>
      </w:r>
      <w:r w:rsidRPr="00F43F68">
        <w:t>sweat test were estimated using MB</w:t>
      </w:r>
      <w:r w:rsidR="00236695">
        <w:t>S</w:t>
      </w:r>
      <w:r w:rsidRPr="00F43F68">
        <w:t xml:space="preserve"> </w:t>
      </w:r>
      <w:r w:rsidR="000A3383">
        <w:t>i</w:t>
      </w:r>
      <w:r w:rsidRPr="00F43F68">
        <w:t xml:space="preserve">tem numbers </w:t>
      </w:r>
      <w:r>
        <w:t>16603 ($121.85), 16600 ($63.50)</w:t>
      </w:r>
      <w:r w:rsidRPr="00F43F68">
        <w:t xml:space="preserve"> and 66686 ($50.65)</w:t>
      </w:r>
      <w:r w:rsidR="000A3383">
        <w:t>,</w:t>
      </w:r>
      <w:r w:rsidRPr="00F43F68">
        <w:t xml:space="preserve"> respectively.</w:t>
      </w:r>
      <w:r>
        <w:t xml:space="preserve"> </w:t>
      </w:r>
    </w:p>
    <w:p w14:paraId="4E8117EC" w14:textId="41BB21AE" w:rsidR="00737CDB" w:rsidRDefault="00737CDB" w:rsidP="00737CDB">
      <w:r w:rsidRPr="002E3CDC">
        <w:lastRenderedPageBreak/>
        <w:t>In model</w:t>
      </w:r>
      <w:r w:rsidR="000A3383">
        <w:t>,</w:t>
      </w:r>
      <w:r w:rsidRPr="002E3CDC">
        <w:t xml:space="preserve"> 1 where the fetus has </w:t>
      </w:r>
      <w:r>
        <w:t>known parent carriers</w:t>
      </w:r>
      <w:r w:rsidRPr="002E3CDC">
        <w:t>, the proportion</w:t>
      </w:r>
      <w:r w:rsidR="00A10A3C">
        <w:t>s</w:t>
      </w:r>
      <w:r w:rsidRPr="002E3CDC">
        <w:t xml:space="preserve"> of invasive tests performed by amniocentesis </w:t>
      </w:r>
      <w:r w:rsidR="000A3383">
        <w:t xml:space="preserve">and CVS </w:t>
      </w:r>
      <w:r w:rsidR="00A10A3C">
        <w:t>are</w:t>
      </w:r>
      <w:r w:rsidR="00A10A3C" w:rsidRPr="002E3CDC">
        <w:t xml:space="preserve"> </w:t>
      </w:r>
      <w:r w:rsidRPr="002E3CDC">
        <w:t>estimated to be 66% and 34%</w:t>
      </w:r>
      <w:r w:rsidR="000A3383">
        <w:t>, respectively</w:t>
      </w:r>
      <w:r w:rsidRPr="002E3CDC">
        <w:t xml:space="preserve"> (see section C.1.4). Therefore, a weighted cost of $83.34 </w:t>
      </w:r>
      <w:r>
        <w:t xml:space="preserve">(0.66*$63.50 + 0.34*$121.85) </w:t>
      </w:r>
      <w:r w:rsidRPr="002E3CDC">
        <w:t xml:space="preserve">is used in model 1. However, fetuses in model 2 will undergo amniocentesis only (as CVS is unavailable at the gestational age when FEB is identified), and so the cost of amniocentesis alone </w:t>
      </w:r>
      <w:r w:rsidR="000A3383">
        <w:t xml:space="preserve">($63.50) </w:t>
      </w:r>
      <w:r w:rsidRPr="002E3CDC">
        <w:t>is used in model 2 for invasive testing.</w:t>
      </w:r>
      <w:r>
        <w:t xml:space="preserve"> </w:t>
      </w:r>
    </w:p>
    <w:p w14:paraId="497F866F" w14:textId="1A87FE9E" w:rsidR="00737CDB" w:rsidRDefault="00737CDB" w:rsidP="00737CDB">
      <w:r w:rsidRPr="00D23DC5">
        <w:t xml:space="preserve">The costs of termination, delivery and miscarriage </w:t>
      </w:r>
      <w:r w:rsidRPr="00EE1AAE">
        <w:t xml:space="preserve">were estimated using Australian Diagnosis-Related Group </w:t>
      </w:r>
      <w:r w:rsidR="00A10A3C">
        <w:t xml:space="preserve">(DRG) </w:t>
      </w:r>
      <w:r w:rsidRPr="00EE1AAE">
        <w:t xml:space="preserve">data from 2011 to 2012. These data provide an estimate of the total cost of managing a specific type of patient including a wide range of different types of cost. In the present model </w:t>
      </w:r>
      <w:r w:rsidRPr="00D23DC5">
        <w:t>DRGO05Z, DRGO60C and DRGO63Z</w:t>
      </w:r>
      <w:r w:rsidRPr="00EE1AAE">
        <w:t xml:space="preserve"> were used, </w:t>
      </w:r>
      <w:r w:rsidR="00A813C2">
        <w:t>thus</w:t>
      </w:r>
      <w:r w:rsidR="00A813C2" w:rsidRPr="00EE1AAE">
        <w:t xml:space="preserve"> </w:t>
      </w:r>
      <w:r w:rsidRPr="00EE1AAE">
        <w:t>estimat</w:t>
      </w:r>
      <w:r w:rsidR="00A813C2">
        <w:t>ing</w:t>
      </w:r>
      <w:r w:rsidRPr="00EE1AAE">
        <w:t xml:space="preserve"> the total cost of a termination to be $2,257</w:t>
      </w:r>
      <w:r>
        <w:t xml:space="preserve"> (</w:t>
      </w:r>
      <w:r w:rsidR="000A3383">
        <w:t>$</w:t>
      </w:r>
      <w:r w:rsidRPr="00C9320C">
        <w:t>2,41</w:t>
      </w:r>
      <w:r>
        <w:t>2 in 2014</w:t>
      </w:r>
      <w:r w:rsidR="000A3383">
        <w:t xml:space="preserve"> dollars</w:t>
      </w:r>
      <w:r>
        <w:t>)</w:t>
      </w:r>
      <w:r w:rsidR="000A3383">
        <w:t>;</w:t>
      </w:r>
      <w:r>
        <w:t xml:space="preserve"> </w:t>
      </w:r>
      <w:r w:rsidR="000A3383">
        <w:t xml:space="preserve">a </w:t>
      </w:r>
      <w:r w:rsidRPr="00EE1AAE">
        <w:t>single, uncomplicated vaginal delivery to be $3,588</w:t>
      </w:r>
      <w:r>
        <w:t xml:space="preserve"> (</w:t>
      </w:r>
      <w:r w:rsidR="000A3383">
        <w:t>$</w:t>
      </w:r>
      <w:r w:rsidRPr="00C9320C">
        <w:t>3,83</w:t>
      </w:r>
      <w:r>
        <w:t>4 in 2014</w:t>
      </w:r>
      <w:r w:rsidR="000A3383">
        <w:t xml:space="preserve"> dollars); </w:t>
      </w:r>
      <w:r w:rsidRPr="00D23DC5">
        <w:t xml:space="preserve">and </w:t>
      </w:r>
      <w:r w:rsidR="00A569B1">
        <w:t>a</w:t>
      </w:r>
      <w:r w:rsidR="000A3383">
        <w:t xml:space="preserve"> </w:t>
      </w:r>
      <w:r w:rsidR="00A569B1">
        <w:t>termina</w:t>
      </w:r>
      <w:r w:rsidRPr="00D23DC5">
        <w:t>tion without procedures to be $1</w:t>
      </w:r>
      <w:r w:rsidR="000A3383">
        <w:t>,</w:t>
      </w:r>
      <w:r w:rsidRPr="00D23DC5">
        <w:t>775 (</w:t>
      </w:r>
      <w:r w:rsidR="000A3383">
        <w:t>$</w:t>
      </w:r>
      <w:r w:rsidRPr="00D23DC5">
        <w:t>1,897 in 2014</w:t>
      </w:r>
      <w:r w:rsidR="00472A5E">
        <w:t xml:space="preserve"> </w:t>
      </w:r>
      <w:r w:rsidR="000A3383">
        <w:t>dollars</w:t>
      </w:r>
      <w:r w:rsidR="000A3383" w:rsidRPr="00D23DC5">
        <w:t>).</w:t>
      </w:r>
    </w:p>
    <w:p w14:paraId="3C553807" w14:textId="77777777" w:rsidR="00737CDB" w:rsidRPr="00DE0C0F" w:rsidRDefault="00737CDB" w:rsidP="00737CDB">
      <w:pPr>
        <w:rPr>
          <w:i/>
        </w:rPr>
      </w:pPr>
      <w:r w:rsidRPr="00C40981">
        <w:rPr>
          <w:i/>
        </w:rPr>
        <w:t xml:space="preserve">Cost of </w:t>
      </w:r>
      <w:r>
        <w:rPr>
          <w:i/>
        </w:rPr>
        <w:t xml:space="preserve">medical </w:t>
      </w:r>
      <w:r w:rsidRPr="00C40981">
        <w:rPr>
          <w:i/>
        </w:rPr>
        <w:t>practitioner</w:t>
      </w:r>
      <w:r>
        <w:rPr>
          <w:i/>
        </w:rPr>
        <w:t xml:space="preserve"> </w:t>
      </w:r>
      <w:r w:rsidRPr="00DE0C0F">
        <w:rPr>
          <w:i/>
        </w:rPr>
        <w:t>(clinical geneticist)</w:t>
      </w:r>
    </w:p>
    <w:p w14:paraId="2C532702" w14:textId="59E7EFE2" w:rsidR="00737CDB" w:rsidRPr="003935DA" w:rsidRDefault="00737CDB" w:rsidP="00737CDB">
      <w:r>
        <w:t>The cost of genetic counselling by a c</w:t>
      </w:r>
      <w:r w:rsidRPr="00755BE6">
        <w:t>linical geneticist</w:t>
      </w:r>
      <w:r>
        <w:t xml:space="preserve"> is estimated to be </w:t>
      </w:r>
      <w:r w:rsidRPr="00755BE6">
        <w:t>$263.90</w:t>
      </w:r>
      <w:r>
        <w:t xml:space="preserve"> (for the initial consult) and $132.10 (for subsequent consults) from MBS item number 132</w:t>
      </w:r>
      <w:r w:rsidR="00A813C2">
        <w:t>,</w:t>
      </w:r>
      <w:r>
        <w:t xml:space="preserve"> which covers </w:t>
      </w:r>
      <w:r w:rsidR="00091A85">
        <w:t xml:space="preserve">specialist </w:t>
      </w:r>
      <w:r w:rsidRPr="00091A85">
        <w:rPr>
          <w:lang w:val="en-US"/>
        </w:rPr>
        <w:t>professional attendance</w:t>
      </w:r>
      <w:r w:rsidRPr="003935DA">
        <w:rPr>
          <w:lang w:val="en-US"/>
        </w:rPr>
        <w:t xml:space="preserve"> of at least 45</w:t>
      </w:r>
      <w:r w:rsidR="00A813C2">
        <w:rPr>
          <w:lang w:val="en-US"/>
        </w:rPr>
        <w:t> </w:t>
      </w:r>
      <w:r w:rsidRPr="003935DA">
        <w:rPr>
          <w:lang w:val="en-US"/>
        </w:rPr>
        <w:t>minutes</w:t>
      </w:r>
      <w:r w:rsidR="00A813C2">
        <w:rPr>
          <w:lang w:val="en-US"/>
        </w:rPr>
        <w:t>’</w:t>
      </w:r>
      <w:r w:rsidRPr="003935DA">
        <w:rPr>
          <w:lang w:val="en-US"/>
        </w:rPr>
        <w:t xml:space="preserve"> duration for an initial assessment of a patient</w:t>
      </w:r>
      <w:r w:rsidR="00A813C2">
        <w:rPr>
          <w:lang w:val="en-US"/>
        </w:rPr>
        <w:t>,</w:t>
      </w:r>
      <w:r w:rsidRPr="003935DA">
        <w:rPr>
          <w:lang w:val="en-US"/>
        </w:rPr>
        <w:t xml:space="preserve"> </w:t>
      </w:r>
      <w:r>
        <w:rPr>
          <w:lang w:val="en-US"/>
        </w:rPr>
        <w:t xml:space="preserve">and </w:t>
      </w:r>
      <w:r w:rsidR="00A813C2">
        <w:rPr>
          <w:lang w:val="en-US"/>
        </w:rPr>
        <w:t xml:space="preserve">MBS </w:t>
      </w:r>
      <w:r>
        <w:rPr>
          <w:lang w:val="en-US"/>
        </w:rPr>
        <w:t xml:space="preserve">item number 133 for </w:t>
      </w:r>
      <w:r w:rsidR="00F02D64">
        <w:rPr>
          <w:lang w:val="en-US"/>
        </w:rPr>
        <w:t xml:space="preserve">specialist </w:t>
      </w:r>
      <w:r w:rsidRPr="009B26F9">
        <w:t>professional attendance of at least 20</w:t>
      </w:r>
      <w:r w:rsidR="00A813C2">
        <w:t> </w:t>
      </w:r>
      <w:r w:rsidRPr="009B26F9">
        <w:t>minutes</w:t>
      </w:r>
      <w:r w:rsidR="00A813C2">
        <w:t>’</w:t>
      </w:r>
      <w:r w:rsidRPr="009B26F9">
        <w:t xml:space="preserve"> duration subsequent to the first attendance</w:t>
      </w:r>
      <w:r w:rsidR="00472A5E">
        <w:t>,</w:t>
      </w:r>
      <w:r w:rsidRPr="009B26F9">
        <w:t xml:space="preserve"> in a single course of treatment for a review of a patient</w:t>
      </w:r>
      <w:r>
        <w:t>.</w:t>
      </w:r>
      <w:r w:rsidRPr="003935DA">
        <w:rPr>
          <w:lang w:val="en-US"/>
        </w:rPr>
        <w:t xml:space="preserve"> </w:t>
      </w:r>
    </w:p>
    <w:p w14:paraId="0D0C2FA0" w14:textId="77777777" w:rsidR="00737CDB" w:rsidRPr="00C40981" w:rsidRDefault="00737CDB" w:rsidP="00737CDB">
      <w:pPr>
        <w:rPr>
          <w:i/>
        </w:rPr>
      </w:pPr>
      <w:r w:rsidRPr="00C40981">
        <w:rPr>
          <w:i/>
        </w:rPr>
        <w:t xml:space="preserve">Cost of newborn CF diagnosis </w:t>
      </w:r>
    </w:p>
    <w:p w14:paraId="278BD3EF" w14:textId="3258533C" w:rsidR="00737CDB" w:rsidRDefault="00737CDB" w:rsidP="00737CDB">
      <w:r>
        <w:t xml:space="preserve">As discussed in section A.2.2, </w:t>
      </w:r>
      <w:r w:rsidR="0067459F">
        <w:t>NBS</w:t>
      </w:r>
      <w:r>
        <w:t xml:space="preserve"> for </w:t>
      </w:r>
      <w:r w:rsidR="00FD37D3" w:rsidRPr="00FD37D3">
        <w:t>CFTR</w:t>
      </w:r>
      <w:r>
        <w:t xml:space="preserve"> is a three</w:t>
      </w:r>
      <w:r w:rsidR="00271E9F">
        <w:t>-</w:t>
      </w:r>
      <w:r>
        <w:t xml:space="preserve">tier process with IRT immunoassay offered to all neonates, </w:t>
      </w:r>
      <w:r w:rsidR="00FD37D3" w:rsidRPr="00FD37D3">
        <w:t>CFTR</w:t>
      </w:r>
      <w:r>
        <w:t xml:space="preserve"> mutation analysis offered to infants with elevated IRT and at a high risk of having CF (</w:t>
      </w:r>
      <w:r w:rsidR="00271E9F">
        <w:t xml:space="preserve">i.e. with </w:t>
      </w:r>
      <w:r w:rsidR="00C016BF">
        <w:t xml:space="preserve">a </w:t>
      </w:r>
      <w:r>
        <w:t>family history or other relevant medical conditions such as meconium ileus)</w:t>
      </w:r>
      <w:r w:rsidR="00271E9F">
        <w:t>,</w:t>
      </w:r>
      <w:r>
        <w:t xml:space="preserve"> followed by sweat tests and parental genetic counselling for those identified with one mutation. </w:t>
      </w:r>
      <w:r w:rsidRPr="002673F5">
        <w:t xml:space="preserve">It is unclear how much of each of these </w:t>
      </w:r>
      <w:r w:rsidR="00C016BF">
        <w:t>level</w:t>
      </w:r>
      <w:r w:rsidR="00C016BF" w:rsidRPr="002673F5">
        <w:t xml:space="preserve">s </w:t>
      </w:r>
      <w:r w:rsidRPr="002673F5">
        <w:t>of screening</w:t>
      </w:r>
      <w:r>
        <w:t xml:space="preserve"> </w:t>
      </w:r>
      <w:r w:rsidRPr="002673F5">
        <w:t>activity is being done currently</w:t>
      </w:r>
      <w:r w:rsidR="00C016BF">
        <w:t>,</w:t>
      </w:r>
      <w:r w:rsidRPr="002673F5">
        <w:t xml:space="preserve"> and the likely degree of substitution if </w:t>
      </w:r>
      <w:r>
        <w:t xml:space="preserve">prenatal testing </w:t>
      </w:r>
      <w:r w:rsidRPr="002673F5">
        <w:t>were</w:t>
      </w:r>
      <w:r>
        <w:t xml:space="preserve"> </w:t>
      </w:r>
      <w:r w:rsidRPr="002673F5">
        <w:t>to be implemented.</w:t>
      </w:r>
      <w:r>
        <w:t xml:space="preserve"> Therefore, a weighted cost of newborn </w:t>
      </w:r>
      <w:r w:rsidR="00FD37D3" w:rsidRPr="00FD37D3">
        <w:t>CFTR</w:t>
      </w:r>
      <w:r>
        <w:t xml:space="preserve"> diagnosis is derived based on the number of tests estimated to be performed for the infants in each group</w:t>
      </w:r>
      <w:r w:rsidR="00271E9F">
        <w:t>,</w:t>
      </w:r>
      <w:r>
        <w:t xml:space="preserve"> conditional </w:t>
      </w:r>
      <w:r w:rsidR="00271E9F">
        <w:t xml:space="preserve">on </w:t>
      </w:r>
      <w:r>
        <w:t xml:space="preserve">the </w:t>
      </w:r>
      <w:r w:rsidR="00271E9F">
        <w:t xml:space="preserve">associated </w:t>
      </w:r>
      <w:r>
        <w:t xml:space="preserve">risk of CF. </w:t>
      </w:r>
    </w:p>
    <w:p w14:paraId="3A4E4440" w14:textId="15778461" w:rsidR="00737CDB" w:rsidRDefault="00737CDB" w:rsidP="00737CDB">
      <w:r>
        <w:t xml:space="preserve">In model 1, due to </w:t>
      </w:r>
      <w:r w:rsidR="00C016BF">
        <w:t xml:space="preserve">a </w:t>
      </w:r>
      <w:r>
        <w:t>family history of CF</w:t>
      </w:r>
      <w:r w:rsidR="00C016BF">
        <w:t>,</w:t>
      </w:r>
      <w:r>
        <w:t xml:space="preserve"> all infants will undergo IRT and </w:t>
      </w:r>
      <w:r w:rsidR="00FD37D3" w:rsidRPr="00FD37D3">
        <w:t>CFTR</w:t>
      </w:r>
      <w:r>
        <w:t xml:space="preserve"> testing</w:t>
      </w:r>
      <w:r w:rsidR="00C016BF">
        <w:t>,</w:t>
      </w:r>
      <w:r>
        <w:t xml:space="preserve"> and approximately 50% of the infants will undergo </w:t>
      </w:r>
      <w:r w:rsidR="00B02816">
        <w:t xml:space="preserve">a </w:t>
      </w:r>
      <w:r>
        <w:t>sweat test (</w:t>
      </w:r>
      <w:r w:rsidR="00C016BF">
        <w:t xml:space="preserve">i.e. the </w:t>
      </w:r>
      <w:r>
        <w:t xml:space="preserve">carrier rate in </w:t>
      </w:r>
      <w:r w:rsidR="00E30CA9">
        <w:t xml:space="preserve">the </w:t>
      </w:r>
      <w:r>
        <w:t xml:space="preserve">1:4 risk population is 50%). </w:t>
      </w:r>
    </w:p>
    <w:p w14:paraId="679D2F94" w14:textId="3E60D61B" w:rsidR="00737CDB" w:rsidRDefault="00737CDB" w:rsidP="00737CDB">
      <w:r>
        <w:t>It is estimated that the majority (66</w:t>
      </w:r>
      <w:r w:rsidRPr="0036459D">
        <w:t>%) of FEB pregna</w:t>
      </w:r>
      <w:r>
        <w:t xml:space="preserve">ncies will be normal at birth </w:t>
      </w:r>
      <w:r w:rsidRPr="00B02816">
        <w:t>(</w:t>
      </w:r>
      <w:r w:rsidR="00B02816" w:rsidRPr="00FE63E6">
        <w:t xml:space="preserve">i.e. </w:t>
      </w:r>
      <w:r w:rsidRPr="00B02816">
        <w:t>benign and transient FEB)</w:t>
      </w:r>
      <w:r w:rsidR="00B02816" w:rsidRPr="00FE63E6">
        <w:t>, and</w:t>
      </w:r>
      <w:r w:rsidRPr="00B02816">
        <w:t xml:space="preserve"> others </w:t>
      </w:r>
      <w:r w:rsidR="00B02816" w:rsidRPr="00FE63E6">
        <w:t xml:space="preserve">will be </w:t>
      </w:r>
      <w:r w:rsidRPr="00B02816">
        <w:t xml:space="preserve">potentially associated with medically significant outcomes such as CF, aneuploidy, growth restrictions and infections </w:t>
      </w:r>
      <w:r w:rsidR="00F57AF2" w:rsidRPr="008C2810">
        <w:fldChar w:fldCharType="begin">
          <w:fldData xml:space="preserve">PEVuZE5vdGU+PENpdGU+PEF1dGhvcj5TaW1vbi1Cb3V5PC9BdXRob3I+PFllYXI+MjAwMzwvWWVh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</w:fldData>
        </w:fldChar>
      </w:r>
      <w:r w:rsidR="009A054F" w:rsidRPr="00B02816">
        <w:instrText xml:space="preserve"> ADDIN EN.CITE </w:instrText>
      </w:r>
      <w:r w:rsidR="009A054F" w:rsidRPr="008C2810">
        <w:fldChar w:fldCharType="begin">
          <w:fldData xml:space="preserve">PEVuZE5vdGU+PENpdGU+PEF1dGhvcj5TaW1vbi1Cb3V5PC9BdXRob3I+PFllYXI+MjAwMzwvWWVh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</w:fldData>
        </w:fldChar>
      </w:r>
      <w:r w:rsidR="009A054F" w:rsidRPr="00B02816">
        <w:instrText xml:space="preserve"> ADDIN EN.CITE.DATA </w:instrText>
      </w:r>
      <w:r w:rsidR="009A054F" w:rsidRPr="008C2810">
        <w:fldChar w:fldCharType="end"/>
      </w:r>
      <w:r w:rsidR="00F57AF2" w:rsidRPr="008C2810">
        <w:fldChar w:fldCharType="separate"/>
      </w:r>
      <w:r w:rsidR="00F57AF2" w:rsidRPr="00B02816">
        <w:rPr>
          <w:noProof/>
        </w:rPr>
        <w:t>(</w:t>
      </w:r>
      <w:hyperlink w:anchor="_ENREF_114" w:tooltip="Simon-Bouy, 2003 #63" w:history="1">
        <w:r w:rsidR="00B46ABF" w:rsidRPr="00B02816">
          <w:rPr>
            <w:noProof/>
          </w:rPr>
          <w:t>Simon-Bouy et al. 2003</w:t>
        </w:r>
      </w:hyperlink>
      <w:r w:rsidR="00F57AF2" w:rsidRPr="00B02816">
        <w:rPr>
          <w:noProof/>
        </w:rPr>
        <w:t>)</w:t>
      </w:r>
      <w:r w:rsidR="00F57AF2" w:rsidRPr="008C2810">
        <w:fldChar w:fldCharType="end"/>
      </w:r>
      <w:r>
        <w:t xml:space="preserve">. Also, in infants with </w:t>
      </w:r>
      <w:r>
        <w:lastRenderedPageBreak/>
        <w:t xml:space="preserve">bowel obstructions the IRT level is quite often not elevated </w:t>
      </w:r>
      <w:r w:rsidR="00E30CA9">
        <w:t xml:space="preserve">and </w:t>
      </w:r>
      <w:r>
        <w:t xml:space="preserve">genetic testing is </w:t>
      </w:r>
      <w:r w:rsidR="00E30CA9">
        <w:t xml:space="preserve">therefore </w:t>
      </w:r>
      <w:r>
        <w:t>recommended due to the higher incidence of CF in this populatio</w:t>
      </w:r>
      <w:r w:rsidR="000C7D08">
        <w:t>n</w:t>
      </w:r>
      <w:r>
        <w:rPr>
          <w:rStyle w:val="FootnoteReference"/>
        </w:rPr>
        <w:footnoteReference w:id="17"/>
      </w:r>
      <w:r w:rsidR="00E30CA9">
        <w:t>.</w:t>
      </w:r>
      <w:r>
        <w:t xml:space="preserve"> </w:t>
      </w:r>
      <w:r w:rsidR="00E30CA9">
        <w:t>Consequently</w:t>
      </w:r>
      <w:r>
        <w:t xml:space="preserve">, in </w:t>
      </w:r>
      <w:r w:rsidR="00B02816">
        <w:t xml:space="preserve">the </w:t>
      </w:r>
      <w:r>
        <w:t>model 2 base</w:t>
      </w:r>
      <w:r w:rsidR="000C7D08">
        <w:t>-</w:t>
      </w:r>
      <w:r>
        <w:t>case</w:t>
      </w:r>
      <w:r w:rsidR="000C7D08">
        <w:t xml:space="preserve"> </w:t>
      </w:r>
      <w:r>
        <w:t>analysis</w:t>
      </w:r>
      <w:r w:rsidR="00E30CA9">
        <w:t>,</w:t>
      </w:r>
      <w:r>
        <w:t xml:space="preserve"> 34% of infants with </w:t>
      </w:r>
      <w:r w:rsidR="00E30CA9">
        <w:t xml:space="preserve">a </w:t>
      </w:r>
      <w:r>
        <w:t xml:space="preserve">history of FEB are considered to be at higher risk and will undergo IRT and </w:t>
      </w:r>
      <w:r w:rsidR="00FD37D3" w:rsidRPr="00FD37D3">
        <w:t>CFTR</w:t>
      </w:r>
      <w:r>
        <w:t xml:space="preserve"> testing followed by sweat tests in carriers. However, as discussed in section D.3,</w:t>
      </w:r>
      <w:r w:rsidRPr="003B09A9">
        <w:t xml:space="preserve"> </w:t>
      </w:r>
      <w:r>
        <w:t xml:space="preserve">prenatal invasive diagnostic testing </w:t>
      </w:r>
      <w:r w:rsidRPr="003B09A9">
        <w:t>may be able to detect other congenital</w:t>
      </w:r>
      <w:r>
        <w:t xml:space="preserve"> </w:t>
      </w:r>
      <w:r w:rsidRPr="003B09A9">
        <w:t xml:space="preserve">abnormalities, </w:t>
      </w:r>
      <w:r w:rsidR="00E30CA9">
        <w:t xml:space="preserve">although </w:t>
      </w:r>
      <w:r w:rsidRPr="003B09A9">
        <w:t xml:space="preserve">this evaluation has focused on </w:t>
      </w:r>
      <w:r w:rsidR="00FD37D3" w:rsidRPr="00FD37D3">
        <w:t>CFTR</w:t>
      </w:r>
      <w:r>
        <w:t xml:space="preserve"> diagnostic testing </w:t>
      </w:r>
      <w:r w:rsidRPr="003B09A9">
        <w:t>alone</w:t>
      </w:r>
      <w:r>
        <w:t>.</w:t>
      </w:r>
      <w:r w:rsidRPr="003B09A9">
        <w:t xml:space="preserve"> Nevertheless, to the extent that ultrasound screening may be capable of detecting other</w:t>
      </w:r>
      <w:r>
        <w:t xml:space="preserve"> significant </w:t>
      </w:r>
      <w:r w:rsidRPr="003B09A9">
        <w:t xml:space="preserve">abnormalities, the </w:t>
      </w:r>
      <w:r>
        <w:t xml:space="preserve">overall benefits and </w:t>
      </w:r>
      <w:r w:rsidRPr="003B09A9">
        <w:t xml:space="preserve">estimates of cost-effectiveness </w:t>
      </w:r>
      <w:r>
        <w:t xml:space="preserve">associated with the process </w:t>
      </w:r>
      <w:r w:rsidRPr="003B09A9">
        <w:t>are underestimated.</w:t>
      </w:r>
    </w:p>
    <w:p w14:paraId="693DCA32" w14:textId="7F289A38" w:rsidR="00473437" w:rsidRDefault="00473437" w:rsidP="00473437">
      <w:r>
        <w:t xml:space="preserve">The carrier rate in the FEB population is expected to be higher compared with </w:t>
      </w:r>
      <w:r w:rsidR="00B02816">
        <w:t>that</w:t>
      </w:r>
      <w:r>
        <w:t xml:space="preserve"> in the general population</w:t>
      </w:r>
      <w:r w:rsidR="00E30CA9">
        <w:t>,</w:t>
      </w:r>
      <w:r>
        <w:t xml:space="preserve"> </w:t>
      </w:r>
      <w:r w:rsidR="00E30CA9">
        <w:t xml:space="preserve">as </w:t>
      </w:r>
      <w:r>
        <w:t>sourced from the literature</w:t>
      </w:r>
      <w:r w:rsidR="009A054F">
        <w:t xml:space="preserve">. Scotet et al. </w:t>
      </w:r>
      <w:r w:rsidR="009A054F">
        <w:fldChar w:fldCharType="begin">
          <w:fldData xml:space="preserve">PEVuZE5vdGU+PENpdGUgRXhjbHVkZUF1dGg9IjEiPjxBdXRob3I+U2NvdGV0PC9BdXRob3I+PFll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eTwvYWJici0xPjwvYWx0LXBlcmlvZGljYWw+PHBhZ2VzPjU5Mi5lMS02PC9wYWdlcz48dm9sdW1l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</w:fldData>
        </w:fldChar>
      </w:r>
      <w:r w:rsidR="009A054F">
        <w:instrText xml:space="preserve"> ADDIN EN.CITE </w:instrText>
      </w:r>
      <w:r w:rsidR="009A054F">
        <w:fldChar w:fldCharType="begin">
          <w:fldData xml:space="preserve">PEVuZE5vdGU+PENpdGUgRXhjbHVkZUF1dGg9IjEiPjxBdXRob3I+U2NvdGV0PC9BdXRob3I+PFll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eTwvYWJici0xPjwvYWx0LXBlcmlvZGljYWw+PHBhZ2VzPjU5Mi5lMS02PC9wYWdlcz48dm9sdW1l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</w:fldData>
        </w:fldChar>
      </w:r>
      <w:r w:rsidR="009A054F">
        <w:instrText xml:space="preserve"> ADDIN EN.CITE.DATA </w:instrText>
      </w:r>
      <w:r w:rsidR="009A054F">
        <w:fldChar w:fldCharType="end"/>
      </w:r>
      <w:r w:rsidR="009A054F">
        <w:fldChar w:fldCharType="separate"/>
      </w:r>
      <w:r w:rsidR="009A054F">
        <w:rPr>
          <w:noProof/>
        </w:rPr>
        <w:t>(</w:t>
      </w:r>
      <w:hyperlink w:anchor="_ENREF_112" w:tooltip="Scotet, 2010 #55" w:history="1">
        <w:r w:rsidR="00B46ABF">
          <w:rPr>
            <w:noProof/>
          </w:rPr>
          <w:t>2010</w:t>
        </w:r>
      </w:hyperlink>
      <w:r w:rsidR="009A054F">
        <w:rPr>
          <w:noProof/>
        </w:rPr>
        <w:t>)</w:t>
      </w:r>
      <w:r w:rsidR="009A054F">
        <w:fldChar w:fldCharType="end"/>
      </w:r>
      <w:r w:rsidR="009A054F">
        <w:t xml:space="preserve"> </w:t>
      </w:r>
      <w:r>
        <w:t xml:space="preserve">reported a carrier rate of 6.6% in a review of cases of FEB diagnosed in pregnant women living in Brittany and referred for </w:t>
      </w:r>
      <w:r w:rsidRPr="00A21FD9">
        <w:rPr>
          <w:i/>
        </w:rPr>
        <w:t>CFTR</w:t>
      </w:r>
      <w:r>
        <w:t xml:space="preserve"> gene analysis over the </w:t>
      </w:r>
      <w:r w:rsidR="00E30CA9">
        <w:t xml:space="preserve">period </w:t>
      </w:r>
      <w:r>
        <w:t>1992</w:t>
      </w:r>
      <w:r w:rsidR="00E30CA9">
        <w:t>–</w:t>
      </w:r>
      <w:r>
        <w:t xml:space="preserve">2007. In a study of </w:t>
      </w:r>
      <w:r w:rsidR="00E30CA9">
        <w:t xml:space="preserve">a </w:t>
      </w:r>
      <w:r>
        <w:t xml:space="preserve">neonatal </w:t>
      </w:r>
      <w:r w:rsidRPr="00FD37D3">
        <w:t>CFTR</w:t>
      </w:r>
      <w:r>
        <w:t xml:space="preserve"> screening program in South Australia, </w:t>
      </w:r>
      <w:r w:rsidR="009A054F">
        <w:t xml:space="preserve">Ranieri et al. </w:t>
      </w:r>
      <w:r w:rsidR="00E30CA9">
        <w:t xml:space="preserve">(1994) </w:t>
      </w:r>
      <w:r>
        <w:t>found that approximately 7% of the neonates selected for mutation analysis</w:t>
      </w:r>
      <w:r w:rsidR="00E30CA9">
        <w:t>,</w:t>
      </w:r>
      <w:r>
        <w:t xml:space="preserve"> based on elevated IRT or other risk factors</w:t>
      </w:r>
      <w:r w:rsidR="00E30CA9">
        <w:t>,</w:t>
      </w:r>
      <w:r>
        <w:t xml:space="preserve"> were carriers for five of the common mutations included in the mutation panel. Therefore</w:t>
      </w:r>
      <w:r w:rsidR="00E30CA9">
        <w:t>,</w:t>
      </w:r>
      <w:r>
        <w:t xml:space="preserve"> in model 2 it is assumed that 7% of those tested for mutations will be offered sweat test</w:t>
      </w:r>
      <w:r w:rsidR="00E30CA9">
        <w:t>s</w:t>
      </w:r>
      <w:r>
        <w:t xml:space="preserve"> and parental genetic counselling.</w:t>
      </w:r>
    </w:p>
    <w:p w14:paraId="22438FA1" w14:textId="0F06B5FA" w:rsidR="00737CDB" w:rsidRDefault="00737CDB" w:rsidP="00737CDB">
      <w:r>
        <w:t xml:space="preserve">The unit costs of IRT and </w:t>
      </w:r>
      <w:r w:rsidR="00FD37D3" w:rsidRPr="00FD37D3">
        <w:t>CFTR</w:t>
      </w:r>
      <w:r>
        <w:t xml:space="preserve"> genetic screening are difficult to estimate since these are performed as part of neonatal screening and are block funded. The </w:t>
      </w:r>
      <w:r w:rsidR="00FD37D3" w:rsidRPr="00FD37D3">
        <w:t>CFTR</w:t>
      </w:r>
      <w:r>
        <w:t xml:space="preserve"> genetic testing </w:t>
      </w:r>
      <w:r w:rsidRPr="00D27D9F">
        <w:t xml:space="preserve">as part of </w:t>
      </w:r>
      <w:r w:rsidR="0067459F">
        <w:t>NBS</w:t>
      </w:r>
      <w:r w:rsidRPr="00D27D9F">
        <w:t xml:space="preserve"> may be limited to </w:t>
      </w:r>
      <w:r w:rsidR="00E30CA9">
        <w:t xml:space="preserve">either </w:t>
      </w:r>
      <w:r>
        <w:t xml:space="preserve">three </w:t>
      </w:r>
      <w:r w:rsidRPr="00D27D9F">
        <w:t xml:space="preserve">mutations </w:t>
      </w:r>
      <w:r>
        <w:t xml:space="preserve">(F508del, </w:t>
      </w:r>
      <w:r w:rsidRPr="00D27D9F">
        <w:t>G542X and G551D</w:t>
      </w:r>
      <w:r>
        <w:t>)</w:t>
      </w:r>
      <w:r w:rsidRPr="00D27D9F">
        <w:t xml:space="preserve"> or </w:t>
      </w:r>
      <w:r w:rsidR="00E30CA9">
        <w:t xml:space="preserve">a </w:t>
      </w:r>
      <w:r w:rsidRPr="00D27D9F">
        <w:t xml:space="preserve">broader mutation panel via a </w:t>
      </w:r>
      <w:r w:rsidR="00FD37D3" w:rsidRPr="00FD37D3">
        <w:t>CFTR</w:t>
      </w:r>
      <w:r w:rsidRPr="00D27D9F">
        <w:t xml:space="preserve"> diagnostic lab</w:t>
      </w:r>
      <w:r>
        <w:t>.</w:t>
      </w:r>
      <w:r w:rsidRPr="00D27D9F">
        <w:t xml:space="preserve"> </w:t>
      </w:r>
      <w:r>
        <w:t>There are no common set</w:t>
      </w:r>
      <w:r w:rsidR="00E30CA9">
        <w:t>s of</w:t>
      </w:r>
      <w:r>
        <w:t xml:space="preserve"> mutations being tested across laboratories in Australia</w:t>
      </w:r>
      <w:r>
        <w:rPr>
          <w:rStyle w:val="FootnoteReference"/>
        </w:rPr>
        <w:footnoteReference w:id="18"/>
      </w:r>
      <w:r w:rsidR="00E30CA9">
        <w:t>.</w:t>
      </w:r>
      <w:r>
        <w:t xml:space="preserve"> </w:t>
      </w:r>
      <w:r w:rsidRPr="0070168C">
        <w:rPr>
          <w:bCs/>
        </w:rPr>
        <w:t>Victorian Clinical Genetics Services</w:t>
      </w:r>
      <w:r>
        <w:rPr>
          <w:bCs/>
        </w:rPr>
        <w:t xml:space="preserve"> (VCGS)</w:t>
      </w:r>
      <w:r w:rsidR="00E30CA9">
        <w:rPr>
          <w:bCs/>
        </w:rPr>
        <w:t>,</w:t>
      </w:r>
      <w:r>
        <w:rPr>
          <w:bCs/>
        </w:rPr>
        <w:t xml:space="preserve"> which operates Victoria’s </w:t>
      </w:r>
      <w:r w:rsidR="0067459F">
        <w:rPr>
          <w:bCs/>
        </w:rPr>
        <w:t>NBS</w:t>
      </w:r>
      <w:r>
        <w:rPr>
          <w:bCs/>
        </w:rPr>
        <w:t xml:space="preserve"> program</w:t>
      </w:r>
      <w:r w:rsidR="00E30CA9">
        <w:rPr>
          <w:bCs/>
        </w:rPr>
        <w:t>,</w:t>
      </w:r>
      <w:r>
        <w:rPr>
          <w:bCs/>
        </w:rPr>
        <w:t xml:space="preserve"> was contacted during the assessment. VCGS indicated that </w:t>
      </w:r>
      <w:r w:rsidR="00ED3ACD">
        <w:rPr>
          <w:bCs/>
        </w:rPr>
        <w:t xml:space="preserve">a </w:t>
      </w:r>
      <w:r>
        <w:rPr>
          <w:bCs/>
        </w:rPr>
        <w:t>f</w:t>
      </w:r>
      <w:r w:rsidRPr="00577EFC">
        <w:rPr>
          <w:bCs/>
        </w:rPr>
        <w:t>irst</w:t>
      </w:r>
      <w:r w:rsidR="00ED3ACD">
        <w:rPr>
          <w:bCs/>
        </w:rPr>
        <w:t>-</w:t>
      </w:r>
      <w:r w:rsidRPr="00577EFC">
        <w:rPr>
          <w:bCs/>
        </w:rPr>
        <w:t>tier IRT immunoassay would cost around $5 per sample</w:t>
      </w:r>
      <w:r>
        <w:rPr>
          <w:bCs/>
        </w:rPr>
        <w:t xml:space="preserve"> (</w:t>
      </w:r>
      <w:r w:rsidRPr="00577EFC">
        <w:rPr>
          <w:bCs/>
        </w:rPr>
        <w:t>includ</w:t>
      </w:r>
      <w:r w:rsidR="00B02816">
        <w:rPr>
          <w:bCs/>
        </w:rPr>
        <w:t>ing</w:t>
      </w:r>
      <w:r w:rsidRPr="00577EFC">
        <w:rPr>
          <w:bCs/>
        </w:rPr>
        <w:t xml:space="preserve"> consumables, labour and overheads</w:t>
      </w:r>
      <w:r>
        <w:rPr>
          <w:bCs/>
        </w:rPr>
        <w:t>) and around</w:t>
      </w:r>
      <w:r w:rsidRPr="00577EFC">
        <w:rPr>
          <w:bCs/>
        </w:rPr>
        <w:t xml:space="preserve"> $100 per sample for </w:t>
      </w:r>
      <w:r>
        <w:rPr>
          <w:bCs/>
        </w:rPr>
        <w:t xml:space="preserve">testing </w:t>
      </w:r>
      <w:r w:rsidR="00FD37D3" w:rsidRPr="00FD37D3">
        <w:rPr>
          <w:bCs/>
        </w:rPr>
        <w:t>CFTR</w:t>
      </w:r>
      <w:r w:rsidRPr="00577EFC">
        <w:rPr>
          <w:bCs/>
        </w:rPr>
        <w:t xml:space="preserve"> mutations</w:t>
      </w:r>
      <w:r>
        <w:rPr>
          <w:rStyle w:val="FootnoteReference"/>
          <w:bCs/>
        </w:rPr>
        <w:footnoteReference w:id="19"/>
      </w:r>
      <w:r w:rsidR="00707CE6">
        <w:rPr>
          <w:bCs/>
        </w:rPr>
        <w:t>.</w:t>
      </w:r>
    </w:p>
    <w:p w14:paraId="14E9C971" w14:textId="3C0EE71F" w:rsidR="00737CDB" w:rsidRDefault="00737CDB" w:rsidP="00737CDB">
      <w:pPr>
        <w:spacing w:before="240"/>
      </w:pPr>
      <w:r>
        <w:t>According to HESP member advice, t</w:t>
      </w:r>
      <w:r w:rsidRPr="00E5690C">
        <w:t xml:space="preserve">he CF screen is only one part of </w:t>
      </w:r>
      <w:r w:rsidR="0067459F">
        <w:t>NBS</w:t>
      </w:r>
      <w:r w:rsidR="00027A5C">
        <w:t>,</w:t>
      </w:r>
      <w:r>
        <w:t xml:space="preserve"> and a</w:t>
      </w:r>
      <w:r w:rsidRPr="00E5690C">
        <w:t xml:space="preserve">ll babies should undergo </w:t>
      </w:r>
      <w:r w:rsidR="00027A5C">
        <w:t>screening</w:t>
      </w:r>
      <w:r w:rsidR="00027A5C" w:rsidRPr="00E5690C">
        <w:t xml:space="preserve"> </w:t>
      </w:r>
      <w:r>
        <w:t xml:space="preserve">(including CF) </w:t>
      </w:r>
      <w:r w:rsidRPr="00E5690C">
        <w:t xml:space="preserve">to minimise the risk </w:t>
      </w:r>
      <w:r>
        <w:t>of inadvertently missing cases irrespective of prenatal testing results</w:t>
      </w:r>
      <w:r>
        <w:rPr>
          <w:rStyle w:val="FootnoteReference"/>
        </w:rPr>
        <w:footnoteReference w:id="20"/>
      </w:r>
      <w:r w:rsidR="00027A5C">
        <w:t>.</w:t>
      </w:r>
      <w:r w:rsidRPr="00E5690C">
        <w:t xml:space="preserve"> </w:t>
      </w:r>
      <w:r>
        <w:t xml:space="preserve">Therefore, </w:t>
      </w:r>
      <w:r w:rsidR="0067459F">
        <w:t>NBS</w:t>
      </w:r>
      <w:r w:rsidRPr="0093376C">
        <w:t xml:space="preserve"> cost</w:t>
      </w:r>
      <w:r w:rsidR="00027A5C">
        <w:t>s</w:t>
      </w:r>
      <w:r w:rsidRPr="0093376C">
        <w:t xml:space="preserve"> for neonates w</w:t>
      </w:r>
      <w:r>
        <w:t>ho have had prenatal CF testing</w:t>
      </w:r>
      <w:r w:rsidRPr="0093376C">
        <w:t xml:space="preserve"> w</w:t>
      </w:r>
      <w:r>
        <w:t>ould</w:t>
      </w:r>
      <w:r w:rsidRPr="0093376C">
        <w:t xml:space="preserve"> </w:t>
      </w:r>
      <w:r>
        <w:t xml:space="preserve">be similar to those without prenatal screening except that the cost of genetic counselling in these cases is assumed to be $132.10 (MBS item </w:t>
      </w:r>
      <w:r w:rsidR="00027A5C">
        <w:t xml:space="preserve">number </w:t>
      </w:r>
      <w:r>
        <w:t>133 for subsequent professional consultations). A sensitivity analysis is performed excluding</w:t>
      </w:r>
      <w:r w:rsidRPr="0093376C">
        <w:t xml:space="preserve"> costs of </w:t>
      </w:r>
      <w:r w:rsidR="00FD37D3" w:rsidRPr="00FD37D3">
        <w:t>CFTR</w:t>
      </w:r>
      <w:r w:rsidRPr="0093376C">
        <w:t xml:space="preserve"> testing</w:t>
      </w:r>
      <w:r>
        <w:t xml:space="preserve"> from the </w:t>
      </w:r>
      <w:r w:rsidR="0067459F">
        <w:t>NBS</w:t>
      </w:r>
      <w:r>
        <w:t xml:space="preserve"> costs in prenatally tested infants</w:t>
      </w:r>
      <w:r w:rsidR="00027A5C">
        <w:t>,</w:t>
      </w:r>
      <w:r>
        <w:t xml:space="preserve"> assuming that genetic testing</w:t>
      </w:r>
      <w:r w:rsidRPr="0093376C">
        <w:t xml:space="preserve"> </w:t>
      </w:r>
      <w:r>
        <w:t>is</w:t>
      </w:r>
      <w:r w:rsidRPr="0093376C">
        <w:t xml:space="preserve"> not </w:t>
      </w:r>
      <w:r>
        <w:t>required</w:t>
      </w:r>
      <w:r w:rsidRPr="0093376C">
        <w:t xml:space="preserve"> once the CF status is determined. </w:t>
      </w:r>
      <w:r w:rsidRPr="0093376C">
        <w:fldChar w:fldCharType="begin"/>
      </w:r>
      <w:r w:rsidRPr="0093376C">
        <w:instrText xml:space="preserve"> REF _Ref414952436 \h  \* MERGEFORMAT </w:instrText>
      </w:r>
      <w:r w:rsidRPr="0093376C">
        <w:fldChar w:fldCharType="separate"/>
      </w:r>
      <w:r w:rsidR="00BB0E3E">
        <w:t xml:space="preserve">Table </w:t>
      </w:r>
      <w:r w:rsidR="00BB0E3E">
        <w:rPr>
          <w:noProof/>
        </w:rPr>
        <w:t>59</w:t>
      </w:r>
      <w:r w:rsidRPr="0093376C">
        <w:fldChar w:fldCharType="end"/>
      </w:r>
      <w:r w:rsidRPr="0093376C">
        <w:t xml:space="preserve"> provides the estimated cost of newborn CF screen</w:t>
      </w:r>
      <w:r>
        <w:t>ing used in the base-case economic models.</w:t>
      </w:r>
      <w:r w:rsidRPr="0023263D">
        <w:t xml:space="preserve"> </w:t>
      </w:r>
      <w:r>
        <w:lastRenderedPageBreak/>
        <w:t xml:space="preserve">Only common mutation panel testing is included as part of </w:t>
      </w:r>
      <w:r w:rsidR="00027A5C">
        <w:t>a</w:t>
      </w:r>
      <w:r w:rsidR="00B02816">
        <w:t>n</w:t>
      </w:r>
      <w:r w:rsidR="00027A5C">
        <w:t xml:space="preserve"> </w:t>
      </w:r>
      <w:r w:rsidR="0067459F">
        <w:t>NBS</w:t>
      </w:r>
      <w:r>
        <w:t xml:space="preserve"> program</w:t>
      </w:r>
      <w:r w:rsidR="00027A5C">
        <w:t>,</w:t>
      </w:r>
      <w:r>
        <w:t xml:space="preserve"> and whole gene testing for infants with inconclusive results </w:t>
      </w:r>
      <w:r w:rsidR="00027A5C">
        <w:t xml:space="preserve">is </w:t>
      </w:r>
      <w:r>
        <w:t>not considered. These are included as part of the current proposed MBS item number 4 (see section A.3).</w:t>
      </w:r>
    </w:p>
    <w:p w14:paraId="67E19F22" w14:textId="77777777" w:rsidR="00737CDB" w:rsidRDefault="00737CDB" w:rsidP="00737CDB">
      <w:pPr>
        <w:pStyle w:val="Caption"/>
      </w:pPr>
      <w:bookmarkStart w:id="348" w:name="_Ref414952436"/>
      <w:bookmarkStart w:id="349" w:name="_Toc416855351"/>
      <w:bookmarkStart w:id="350" w:name="_Toc418179456"/>
      <w:r>
        <w:t xml:space="preserve">Table </w:t>
      </w:r>
      <w:fldSimple w:instr=" SEQ Table \* ARABIC ">
        <w:r w:rsidR="00BB0E3E">
          <w:rPr>
            <w:noProof/>
          </w:rPr>
          <w:t>59</w:t>
        </w:r>
      </w:fldSimple>
      <w:bookmarkEnd w:id="348"/>
      <w:r>
        <w:tab/>
        <w:t>Weighted cost of newborn screening for cystic fibrosis</w:t>
      </w:r>
      <w:bookmarkEnd w:id="349"/>
      <w:bookmarkEnd w:id="350"/>
    </w:p>
    <w:tbl>
      <w:tblPr>
        <w:tblStyle w:val="TableGrid"/>
        <w:tblW w:w="0" w:type="auto"/>
        <w:tblLook w:val="04A0" w:firstRow="1" w:lastRow="0" w:firstColumn="1" w:lastColumn="0" w:noHBand="0" w:noVBand="1"/>
        <w:tblCaption w:val="Weighted cost of newborn screening for cystic fibrosis"/>
        <w:tblDescription w:val="Weighted cost of newborn screening for cystic fibrosis"/>
      </w:tblPr>
      <w:tblGrid>
        <w:gridCol w:w="4077"/>
        <w:gridCol w:w="1418"/>
        <w:gridCol w:w="1984"/>
        <w:gridCol w:w="1763"/>
      </w:tblGrid>
      <w:tr w:rsidR="0058191D" w:rsidRPr="00383085" w14:paraId="16997EF9" w14:textId="77777777" w:rsidTr="0058191D">
        <w:trPr>
          <w:tblHeader/>
        </w:trPr>
        <w:tc>
          <w:tcPr>
            <w:tcW w:w="4077" w:type="dxa"/>
          </w:tcPr>
          <w:p w14:paraId="55A2C633" w14:textId="77777777" w:rsidR="0058191D" w:rsidRPr="00383085" w:rsidRDefault="0058191D" w:rsidP="00F07365">
            <w:pPr>
              <w:pStyle w:val="Tabletext1"/>
              <w:ind w:left="0"/>
              <w:jc w:val="left"/>
              <w:rPr>
                <w:b/>
              </w:rPr>
            </w:pPr>
            <w:r w:rsidRPr="00383085">
              <w:rPr>
                <w:b/>
              </w:rPr>
              <w:t>Resource</w:t>
            </w:r>
          </w:p>
        </w:tc>
        <w:tc>
          <w:tcPr>
            <w:tcW w:w="1418" w:type="dxa"/>
          </w:tcPr>
          <w:p w14:paraId="609A6D1D" w14:textId="77777777" w:rsidR="0058191D" w:rsidRDefault="0058191D" w:rsidP="00FE63E6">
            <w:pPr>
              <w:pStyle w:val="Tabletext1"/>
              <w:ind w:left="0"/>
              <w:jc w:val="center"/>
              <w:rPr>
                <w:b/>
              </w:rPr>
            </w:pPr>
            <w:r w:rsidRPr="00383085">
              <w:rPr>
                <w:b/>
              </w:rPr>
              <w:t>Cost</w:t>
            </w:r>
          </w:p>
          <w:p w14:paraId="1F58E288" w14:textId="77777777" w:rsidR="0058191D" w:rsidRPr="00383085" w:rsidRDefault="0058191D" w:rsidP="00FE63E6">
            <w:pPr>
              <w:pStyle w:val="Tabletext1"/>
              <w:ind w:left="0"/>
              <w:jc w:val="center"/>
              <w:rPr>
                <w:b/>
              </w:rPr>
            </w:pPr>
            <w:r>
              <w:rPr>
                <w:b/>
              </w:rPr>
              <w:t>(A)</w:t>
            </w:r>
          </w:p>
        </w:tc>
        <w:tc>
          <w:tcPr>
            <w:tcW w:w="1984" w:type="dxa"/>
          </w:tcPr>
          <w:p w14:paraId="043352A4" w14:textId="77777777" w:rsidR="0058191D" w:rsidRDefault="0058191D" w:rsidP="00FE63E6">
            <w:pPr>
              <w:pStyle w:val="Tabletext1"/>
              <w:ind w:left="0"/>
              <w:jc w:val="center"/>
              <w:rPr>
                <w:b/>
              </w:rPr>
            </w:pPr>
            <w:r w:rsidRPr="00383085">
              <w:rPr>
                <w:b/>
              </w:rPr>
              <w:t>Model 1</w:t>
            </w:r>
            <w:r>
              <w:rPr>
                <w:b/>
              </w:rPr>
              <w:t xml:space="preserve"> – Both parents known CF carriers</w:t>
            </w:r>
          </w:p>
          <w:p w14:paraId="384FEB77" w14:textId="3FF602D1" w:rsidR="0058191D" w:rsidRPr="00383085" w:rsidRDefault="0058191D" w:rsidP="00FE63E6">
            <w:pPr>
              <w:pStyle w:val="Tabletext1"/>
              <w:ind w:left="0"/>
              <w:jc w:val="center"/>
              <w:rPr>
                <w:b/>
              </w:rPr>
            </w:pPr>
            <w:r>
              <w:rPr>
                <w:b/>
              </w:rPr>
              <w:t>(B)</w:t>
            </w:r>
          </w:p>
        </w:tc>
        <w:tc>
          <w:tcPr>
            <w:tcW w:w="1763" w:type="dxa"/>
          </w:tcPr>
          <w:p w14:paraId="5FCEAFA3" w14:textId="77777777" w:rsidR="0058191D" w:rsidRDefault="0058191D" w:rsidP="00FE63E6">
            <w:pPr>
              <w:pStyle w:val="Tabletext1"/>
              <w:ind w:left="0"/>
              <w:jc w:val="center"/>
              <w:rPr>
                <w:b/>
              </w:rPr>
            </w:pPr>
            <w:r w:rsidRPr="00383085">
              <w:rPr>
                <w:b/>
              </w:rPr>
              <w:t>Model 2</w:t>
            </w:r>
            <w:r>
              <w:rPr>
                <w:b/>
              </w:rPr>
              <w:t xml:space="preserve"> – Fetus has FEB</w:t>
            </w:r>
          </w:p>
          <w:p w14:paraId="0DC9ED19" w14:textId="1734FA5A" w:rsidR="0058191D" w:rsidRPr="00383085" w:rsidRDefault="0058191D" w:rsidP="00FE63E6">
            <w:pPr>
              <w:pStyle w:val="Tabletext1"/>
              <w:ind w:left="0"/>
              <w:jc w:val="center"/>
              <w:rPr>
                <w:b/>
              </w:rPr>
            </w:pPr>
            <w:r>
              <w:rPr>
                <w:b/>
              </w:rPr>
              <w:t>(C)</w:t>
            </w:r>
          </w:p>
        </w:tc>
      </w:tr>
      <w:tr w:rsidR="00737CDB" w:rsidRPr="009F2783" w14:paraId="3315441C" w14:textId="77777777" w:rsidTr="0058191D">
        <w:tc>
          <w:tcPr>
            <w:tcW w:w="4077" w:type="dxa"/>
          </w:tcPr>
          <w:p w14:paraId="19A8D45A" w14:textId="77777777" w:rsidR="00737CDB" w:rsidRPr="009F2783" w:rsidRDefault="00737CDB" w:rsidP="00F07365">
            <w:pPr>
              <w:pStyle w:val="Tabletext1"/>
              <w:ind w:left="0"/>
              <w:jc w:val="left"/>
            </w:pPr>
            <w:r w:rsidRPr="00442010">
              <w:t>IRT</w:t>
            </w:r>
            <w:r>
              <w:t xml:space="preserve"> immunoassay</w:t>
            </w:r>
          </w:p>
        </w:tc>
        <w:tc>
          <w:tcPr>
            <w:tcW w:w="1418" w:type="dxa"/>
          </w:tcPr>
          <w:p w14:paraId="7CE73584" w14:textId="4008592A" w:rsidR="00737CDB" w:rsidRPr="009F2783" w:rsidRDefault="00737CDB" w:rsidP="00FE63E6">
            <w:pPr>
              <w:pStyle w:val="Tabletext1"/>
              <w:ind w:left="0" w:right="317"/>
              <w:jc w:val="right"/>
            </w:pPr>
            <w:r>
              <w:t>$5</w:t>
            </w:r>
            <w:r w:rsidR="00D83EDE">
              <w:t>.00</w:t>
            </w:r>
          </w:p>
        </w:tc>
        <w:tc>
          <w:tcPr>
            <w:tcW w:w="1984" w:type="dxa"/>
          </w:tcPr>
          <w:p w14:paraId="4CFD0B54" w14:textId="77777777" w:rsidR="00737CDB" w:rsidRPr="009F2783" w:rsidRDefault="00737CDB" w:rsidP="00FE63E6">
            <w:pPr>
              <w:pStyle w:val="Tabletext1"/>
              <w:ind w:left="0" w:right="317"/>
              <w:jc w:val="right"/>
            </w:pPr>
            <w:r>
              <w:t>100%</w:t>
            </w:r>
          </w:p>
        </w:tc>
        <w:tc>
          <w:tcPr>
            <w:tcW w:w="1763" w:type="dxa"/>
          </w:tcPr>
          <w:p w14:paraId="22A87174" w14:textId="77777777" w:rsidR="00737CDB" w:rsidRPr="009F2783" w:rsidRDefault="00737CDB" w:rsidP="00FE63E6">
            <w:pPr>
              <w:pStyle w:val="Tabletext1"/>
              <w:ind w:left="0" w:right="317"/>
              <w:jc w:val="right"/>
            </w:pPr>
            <w:r>
              <w:t>100%</w:t>
            </w:r>
          </w:p>
        </w:tc>
      </w:tr>
      <w:tr w:rsidR="00737CDB" w:rsidRPr="00442010" w14:paraId="3D4BF374" w14:textId="77777777" w:rsidTr="0058191D">
        <w:tc>
          <w:tcPr>
            <w:tcW w:w="4077" w:type="dxa"/>
          </w:tcPr>
          <w:p w14:paraId="51E2BF43" w14:textId="78CC18A4" w:rsidR="00737CDB" w:rsidRPr="00442010" w:rsidRDefault="00FD37D3" w:rsidP="00F07365">
            <w:pPr>
              <w:pStyle w:val="Tabletext1"/>
              <w:ind w:left="0"/>
              <w:jc w:val="left"/>
            </w:pPr>
            <w:r w:rsidRPr="00FD37D3">
              <w:t>CFTR</w:t>
            </w:r>
            <w:r w:rsidR="00737CDB" w:rsidRPr="00442010">
              <w:t xml:space="preserve"> testing</w:t>
            </w:r>
          </w:p>
        </w:tc>
        <w:tc>
          <w:tcPr>
            <w:tcW w:w="1418" w:type="dxa"/>
          </w:tcPr>
          <w:p w14:paraId="02D0460F" w14:textId="1B516CE9" w:rsidR="00737CDB" w:rsidRPr="00442010" w:rsidRDefault="00737CDB" w:rsidP="00FE63E6">
            <w:pPr>
              <w:pStyle w:val="Tabletext1"/>
              <w:ind w:left="0" w:right="317"/>
              <w:jc w:val="right"/>
            </w:pPr>
            <w:r>
              <w:t>$100</w:t>
            </w:r>
            <w:r w:rsidR="00D83EDE">
              <w:t>.00</w:t>
            </w:r>
          </w:p>
        </w:tc>
        <w:tc>
          <w:tcPr>
            <w:tcW w:w="1984" w:type="dxa"/>
          </w:tcPr>
          <w:p w14:paraId="0B1C6354" w14:textId="77777777" w:rsidR="00737CDB" w:rsidRPr="00442010" w:rsidRDefault="00737CDB" w:rsidP="00FE63E6">
            <w:pPr>
              <w:pStyle w:val="Tabletext1"/>
              <w:ind w:left="0" w:right="317"/>
              <w:jc w:val="right"/>
            </w:pPr>
            <w:r>
              <w:t>100%</w:t>
            </w:r>
          </w:p>
        </w:tc>
        <w:tc>
          <w:tcPr>
            <w:tcW w:w="1763" w:type="dxa"/>
          </w:tcPr>
          <w:p w14:paraId="5B1B31A2" w14:textId="77777777" w:rsidR="00737CDB" w:rsidRPr="00442010" w:rsidRDefault="00737CDB" w:rsidP="00FE63E6">
            <w:pPr>
              <w:pStyle w:val="Tabletext1"/>
              <w:ind w:left="0" w:right="317"/>
              <w:jc w:val="right"/>
            </w:pPr>
            <w:r>
              <w:t>34%</w:t>
            </w:r>
          </w:p>
        </w:tc>
      </w:tr>
      <w:tr w:rsidR="00737CDB" w:rsidRPr="00442010" w14:paraId="59BEE468" w14:textId="77777777" w:rsidTr="0058191D">
        <w:tc>
          <w:tcPr>
            <w:tcW w:w="4077" w:type="dxa"/>
          </w:tcPr>
          <w:p w14:paraId="25C76B01" w14:textId="77777777" w:rsidR="00737CDB" w:rsidRPr="00442010" w:rsidRDefault="00737CDB" w:rsidP="00F07365">
            <w:pPr>
              <w:pStyle w:val="Tabletext1"/>
              <w:ind w:left="0"/>
              <w:jc w:val="left"/>
            </w:pPr>
            <w:r w:rsidRPr="00442010">
              <w:t>Sweat test</w:t>
            </w:r>
          </w:p>
        </w:tc>
        <w:tc>
          <w:tcPr>
            <w:tcW w:w="1418" w:type="dxa"/>
          </w:tcPr>
          <w:p w14:paraId="6E60D23D" w14:textId="77777777" w:rsidR="00737CDB" w:rsidRPr="00442010" w:rsidRDefault="00737CDB" w:rsidP="00FE63E6">
            <w:pPr>
              <w:pStyle w:val="Tabletext1"/>
              <w:ind w:left="0" w:right="317"/>
              <w:jc w:val="right"/>
            </w:pPr>
            <w:r w:rsidRPr="001F260C">
              <w:t>$50.65</w:t>
            </w:r>
          </w:p>
        </w:tc>
        <w:tc>
          <w:tcPr>
            <w:tcW w:w="1984" w:type="dxa"/>
          </w:tcPr>
          <w:p w14:paraId="136E55F0" w14:textId="77777777" w:rsidR="00737CDB" w:rsidRPr="00442010" w:rsidRDefault="00737CDB" w:rsidP="00FE63E6">
            <w:pPr>
              <w:pStyle w:val="Tabletext1"/>
              <w:ind w:left="0" w:right="317"/>
              <w:jc w:val="right"/>
            </w:pPr>
            <w:r>
              <w:t>50%</w:t>
            </w:r>
          </w:p>
        </w:tc>
        <w:tc>
          <w:tcPr>
            <w:tcW w:w="1763" w:type="dxa"/>
          </w:tcPr>
          <w:p w14:paraId="0AE3A1B2" w14:textId="22C5525A" w:rsidR="00737CDB" w:rsidRPr="00442010" w:rsidRDefault="00737CDB" w:rsidP="00FE63E6">
            <w:pPr>
              <w:pStyle w:val="Tabletext1"/>
              <w:ind w:left="0" w:right="317"/>
              <w:jc w:val="right"/>
            </w:pPr>
            <w:r>
              <w:t>2.4%</w:t>
            </w:r>
            <w:r w:rsidR="006E1F8D">
              <w:t xml:space="preserve"> </w:t>
            </w:r>
            <w:r w:rsidR="00D83EDE">
              <w:rPr>
                <w:vertAlign w:val="superscript"/>
              </w:rPr>
              <w:t>b</w:t>
            </w:r>
          </w:p>
        </w:tc>
      </w:tr>
      <w:tr w:rsidR="00737CDB" w:rsidRPr="00442010" w14:paraId="7EAC7941" w14:textId="77777777" w:rsidTr="00FE63E6">
        <w:tc>
          <w:tcPr>
            <w:tcW w:w="4077" w:type="dxa"/>
            <w:tcBorders>
              <w:bottom w:val="single" w:sz="4" w:space="0" w:color="auto"/>
            </w:tcBorders>
          </w:tcPr>
          <w:p w14:paraId="0B4D5335" w14:textId="06F5021E" w:rsidR="00737CDB" w:rsidRPr="00442010" w:rsidRDefault="00737CDB" w:rsidP="00F07365">
            <w:pPr>
              <w:pStyle w:val="Tabletext1"/>
              <w:ind w:left="0"/>
              <w:jc w:val="left"/>
            </w:pPr>
            <w:r>
              <w:t>G</w:t>
            </w:r>
            <w:r w:rsidRPr="00442010">
              <w:t>enetic counselling</w:t>
            </w:r>
            <w:r w:rsidR="006E1F8D">
              <w:t xml:space="preserve"> </w:t>
            </w:r>
            <w:r w:rsidR="00D83EDE" w:rsidRPr="00FE63E6">
              <w:rPr>
                <w:vertAlign w:val="superscript"/>
              </w:rPr>
              <w:t>a</w:t>
            </w:r>
          </w:p>
        </w:tc>
        <w:tc>
          <w:tcPr>
            <w:tcW w:w="1418" w:type="dxa"/>
            <w:tcBorders>
              <w:bottom w:val="single" w:sz="4" w:space="0" w:color="auto"/>
            </w:tcBorders>
          </w:tcPr>
          <w:p w14:paraId="307DE189" w14:textId="77777777" w:rsidR="00737CDB" w:rsidRPr="00442010" w:rsidRDefault="00737CDB" w:rsidP="00FE63E6">
            <w:pPr>
              <w:pStyle w:val="Tabletext1"/>
              <w:ind w:left="0" w:right="317"/>
              <w:jc w:val="right"/>
            </w:pPr>
            <w:r w:rsidRPr="001F260C">
              <w:t>$263.90</w:t>
            </w:r>
          </w:p>
        </w:tc>
        <w:tc>
          <w:tcPr>
            <w:tcW w:w="1984" w:type="dxa"/>
          </w:tcPr>
          <w:p w14:paraId="684210F8" w14:textId="77777777" w:rsidR="00737CDB" w:rsidRPr="00442010" w:rsidRDefault="00737CDB" w:rsidP="00FE63E6">
            <w:pPr>
              <w:pStyle w:val="Tabletext1"/>
              <w:ind w:left="0" w:right="317"/>
              <w:jc w:val="right"/>
            </w:pPr>
            <w:r>
              <w:t>50%</w:t>
            </w:r>
          </w:p>
        </w:tc>
        <w:tc>
          <w:tcPr>
            <w:tcW w:w="1763" w:type="dxa"/>
          </w:tcPr>
          <w:p w14:paraId="4991EFE1" w14:textId="005EEDF4" w:rsidR="00737CDB" w:rsidRPr="00442010" w:rsidRDefault="00737CDB" w:rsidP="00FE63E6">
            <w:pPr>
              <w:pStyle w:val="Tabletext1"/>
              <w:ind w:left="0" w:right="317"/>
              <w:jc w:val="right"/>
            </w:pPr>
            <w:r>
              <w:t>2.4%</w:t>
            </w:r>
            <w:r w:rsidR="006E1F8D">
              <w:t xml:space="preserve"> </w:t>
            </w:r>
            <w:r w:rsidR="00D83EDE">
              <w:rPr>
                <w:vertAlign w:val="superscript"/>
              </w:rPr>
              <w:t>b</w:t>
            </w:r>
          </w:p>
        </w:tc>
      </w:tr>
      <w:tr w:rsidR="00737CDB" w:rsidRPr="00442010" w14:paraId="4242849B" w14:textId="77777777" w:rsidTr="00FE63E6">
        <w:tc>
          <w:tcPr>
            <w:tcW w:w="4077" w:type="dxa"/>
            <w:tcBorders>
              <w:right w:val="single" w:sz="4" w:space="0" w:color="auto"/>
            </w:tcBorders>
          </w:tcPr>
          <w:p w14:paraId="39B4AFBF" w14:textId="54DB4DD4" w:rsidR="00737CDB" w:rsidRDefault="00737CDB" w:rsidP="00F07365">
            <w:pPr>
              <w:pStyle w:val="Tabletext1"/>
              <w:ind w:left="0"/>
              <w:jc w:val="left"/>
            </w:pPr>
            <w:r>
              <w:t xml:space="preserve">Weighted </w:t>
            </w:r>
            <w:r w:rsidR="00892C5D">
              <w:t>NBS</w:t>
            </w:r>
            <w:r>
              <w:t xml:space="preserve"> cost (for infant with no prenatal </w:t>
            </w:r>
            <w:r w:rsidR="00FD37D3" w:rsidRPr="00FD37D3">
              <w:t>CFTR</w:t>
            </w:r>
            <w:r>
              <w:t xml:space="preserve"> testing)</w:t>
            </w:r>
          </w:p>
        </w:tc>
        <w:tc>
          <w:tcPr>
            <w:tcW w:w="1418" w:type="dxa"/>
            <w:tcBorders>
              <w:left w:val="single" w:sz="4" w:space="0" w:color="auto"/>
              <w:bottom w:val="single" w:sz="4" w:space="0" w:color="auto"/>
            </w:tcBorders>
          </w:tcPr>
          <w:p w14:paraId="63C6F30C" w14:textId="77777777" w:rsidR="00737CDB" w:rsidRPr="001F260C" w:rsidRDefault="00737CDB" w:rsidP="00F07365">
            <w:pPr>
              <w:pStyle w:val="Tabletext1"/>
              <w:ind w:left="0"/>
              <w:jc w:val="left"/>
            </w:pPr>
          </w:p>
        </w:tc>
        <w:tc>
          <w:tcPr>
            <w:tcW w:w="1984" w:type="dxa"/>
          </w:tcPr>
          <w:p w14:paraId="62670A32" w14:textId="77777777" w:rsidR="00737CDB" w:rsidRDefault="00737CDB" w:rsidP="00F07365">
            <w:pPr>
              <w:pStyle w:val="Tabletext1"/>
              <w:ind w:left="0"/>
              <w:jc w:val="left"/>
            </w:pPr>
            <w:r>
              <w:t>∑A×B = $262.28</w:t>
            </w:r>
          </w:p>
        </w:tc>
        <w:tc>
          <w:tcPr>
            <w:tcW w:w="1763" w:type="dxa"/>
          </w:tcPr>
          <w:p w14:paraId="25FEFD27" w14:textId="77777777" w:rsidR="00737CDB" w:rsidRDefault="00737CDB" w:rsidP="00F07365">
            <w:pPr>
              <w:pStyle w:val="Tabletext1"/>
              <w:ind w:left="0"/>
              <w:jc w:val="left"/>
            </w:pPr>
            <w:r>
              <w:t>∑A×C = $46.49</w:t>
            </w:r>
          </w:p>
        </w:tc>
      </w:tr>
      <w:tr w:rsidR="00737CDB" w:rsidRPr="00442010" w14:paraId="6CC9A8B3" w14:textId="77777777" w:rsidTr="00FE63E6">
        <w:tc>
          <w:tcPr>
            <w:tcW w:w="4077" w:type="dxa"/>
            <w:tcBorders>
              <w:right w:val="single" w:sz="4" w:space="0" w:color="auto"/>
            </w:tcBorders>
          </w:tcPr>
          <w:p w14:paraId="0CE5F412" w14:textId="7C45B3F3" w:rsidR="00737CDB" w:rsidRDefault="00737CDB" w:rsidP="00F07365">
            <w:pPr>
              <w:pStyle w:val="Tabletext1"/>
              <w:ind w:left="0"/>
              <w:jc w:val="left"/>
            </w:pPr>
            <w:r>
              <w:t xml:space="preserve">Weighted </w:t>
            </w:r>
            <w:r w:rsidR="00892C5D">
              <w:t>NBS</w:t>
            </w:r>
            <w:r>
              <w:t xml:space="preserve"> cost (for infant with prenatal </w:t>
            </w:r>
            <w:r w:rsidR="00FD37D3" w:rsidRPr="00FD37D3">
              <w:t>CFTR</w:t>
            </w:r>
            <w:r>
              <w:t xml:space="preserve"> testing)</w:t>
            </w:r>
          </w:p>
        </w:tc>
        <w:tc>
          <w:tcPr>
            <w:tcW w:w="1418" w:type="dxa"/>
            <w:tcBorders>
              <w:left w:val="single" w:sz="4" w:space="0" w:color="auto"/>
            </w:tcBorders>
          </w:tcPr>
          <w:p w14:paraId="6CD10E22" w14:textId="77777777" w:rsidR="00737CDB" w:rsidRPr="001F260C" w:rsidRDefault="00737CDB" w:rsidP="00F07365">
            <w:pPr>
              <w:pStyle w:val="Tabletext1"/>
              <w:ind w:left="0"/>
              <w:jc w:val="left"/>
            </w:pPr>
          </w:p>
        </w:tc>
        <w:tc>
          <w:tcPr>
            <w:tcW w:w="1984" w:type="dxa"/>
          </w:tcPr>
          <w:p w14:paraId="2B182603" w14:textId="77777777" w:rsidR="00737CDB" w:rsidRDefault="00737CDB" w:rsidP="00FE63E6">
            <w:pPr>
              <w:pStyle w:val="Tabletext1"/>
              <w:ind w:left="0" w:right="317"/>
              <w:jc w:val="right"/>
            </w:pPr>
            <w:r>
              <w:t>$196.38</w:t>
            </w:r>
          </w:p>
        </w:tc>
        <w:tc>
          <w:tcPr>
            <w:tcW w:w="1763" w:type="dxa"/>
          </w:tcPr>
          <w:p w14:paraId="58771E13" w14:textId="77777777" w:rsidR="00737CDB" w:rsidRDefault="00737CDB" w:rsidP="00FE63E6">
            <w:pPr>
              <w:pStyle w:val="Tabletext1"/>
              <w:ind w:left="0" w:right="317"/>
              <w:jc w:val="right"/>
            </w:pPr>
            <w:r>
              <w:t>$43.35</w:t>
            </w:r>
          </w:p>
        </w:tc>
      </w:tr>
    </w:tbl>
    <w:p w14:paraId="0F59C727" w14:textId="68477B10" w:rsidR="00737CDB" w:rsidRDefault="00D83EDE" w:rsidP="00737CDB">
      <w:pPr>
        <w:pStyle w:val="Tablenotes0"/>
        <w:spacing w:after="0"/>
      </w:pPr>
      <w:r w:rsidRPr="00FE63E6">
        <w:rPr>
          <w:vertAlign w:val="superscript"/>
        </w:rPr>
        <w:t>a</w:t>
      </w:r>
      <w:r>
        <w:t xml:space="preserve"> </w:t>
      </w:r>
      <w:r w:rsidR="00737CDB">
        <w:t xml:space="preserve">Cost of genetic counselling for </w:t>
      </w:r>
      <w:r w:rsidR="00892C5D">
        <w:t>NBS</w:t>
      </w:r>
      <w:r w:rsidR="00737CDB">
        <w:t xml:space="preserve"> in infant who had prenatal testing is assumed to be $132.10 (MBS item </w:t>
      </w:r>
      <w:r w:rsidR="00B1120C">
        <w:t xml:space="preserve">number </w:t>
      </w:r>
      <w:r w:rsidR="00737CDB">
        <w:t>133).</w:t>
      </w:r>
    </w:p>
    <w:p w14:paraId="0239DAD8" w14:textId="233C71B0" w:rsidR="00737CDB" w:rsidRPr="00E32E80" w:rsidRDefault="00D83EDE" w:rsidP="00737CDB">
      <w:pPr>
        <w:pStyle w:val="Tablenotes0"/>
        <w:spacing w:after="0"/>
      </w:pPr>
      <w:r>
        <w:rPr>
          <w:vertAlign w:val="superscript"/>
        </w:rPr>
        <w:t>b</w:t>
      </w:r>
      <w:r w:rsidR="00737CDB" w:rsidRPr="00E32E80">
        <w:rPr>
          <w:rFonts w:ascii="Calibri" w:hAnsi="Calibri" w:cs="Tahoma"/>
          <w:snapToGrid/>
          <w:sz w:val="22"/>
          <w:szCs w:val="22"/>
          <w:lang w:eastAsia="en-AU"/>
        </w:rPr>
        <w:t xml:space="preserve"> </w:t>
      </w:r>
      <w:r w:rsidR="00737CDB" w:rsidRPr="00E32E80">
        <w:t xml:space="preserve">This is calculated as 7% of </w:t>
      </w:r>
      <w:r w:rsidR="00B1120C">
        <w:t xml:space="preserve">the </w:t>
      </w:r>
      <w:r w:rsidR="00737CDB">
        <w:t>34</w:t>
      </w:r>
      <w:r w:rsidR="00737CDB" w:rsidRPr="00E32E80">
        <w:t xml:space="preserve">% </w:t>
      </w:r>
      <w:r w:rsidR="00B1120C">
        <w:t xml:space="preserve">of </w:t>
      </w:r>
      <w:r w:rsidR="00737CDB" w:rsidRPr="00E32E80">
        <w:t xml:space="preserve">infants </w:t>
      </w:r>
      <w:r w:rsidR="00B1120C">
        <w:t>test</w:t>
      </w:r>
      <w:r w:rsidR="00B1120C" w:rsidRPr="00E32E80">
        <w:t xml:space="preserve">ed </w:t>
      </w:r>
      <w:r w:rsidR="00737CDB" w:rsidRPr="00E32E80">
        <w:t xml:space="preserve">for </w:t>
      </w:r>
      <w:r w:rsidR="00FD37D3" w:rsidRPr="00FD37D3">
        <w:t>CFTR</w:t>
      </w:r>
      <w:r w:rsidR="00737CDB" w:rsidRPr="00E32E80">
        <w:t xml:space="preserve"> mutations</w:t>
      </w:r>
      <w:r w:rsidR="00447F31">
        <w:t>.</w:t>
      </w:r>
      <w:r w:rsidR="00737CDB" w:rsidRPr="00E32E80">
        <w:rPr>
          <w:vertAlign w:val="superscript"/>
        </w:rPr>
        <w:t>.</w:t>
      </w:r>
    </w:p>
    <w:p w14:paraId="008D4260" w14:textId="60E237B7" w:rsidR="00737CDB" w:rsidRPr="00E32E80" w:rsidRDefault="0063028E" w:rsidP="00FE63E6">
      <w:pPr>
        <w:pStyle w:val="Tablenotes0"/>
        <w:spacing w:after="240"/>
      </w:pPr>
      <w:r>
        <w:t>CF = cystic fibrosi</w:t>
      </w:r>
      <w:r w:rsidR="00100568">
        <w:t>s</w:t>
      </w:r>
      <w:r>
        <w:t xml:space="preserve">; </w:t>
      </w:r>
      <w:r w:rsidR="00FD37D3" w:rsidRPr="00FD37D3">
        <w:t>CFTR</w:t>
      </w:r>
      <w:r w:rsidR="00737CDB" w:rsidRPr="00E32E80">
        <w:t xml:space="preserve"> = cystic fibrosis trans</w:t>
      </w:r>
      <w:r w:rsidR="00737CDB">
        <w:t>membrane</w:t>
      </w:r>
      <w:r w:rsidR="00F73DCB">
        <w:t xml:space="preserve"> conductance regulator</w:t>
      </w:r>
      <w:r w:rsidR="0067459F">
        <w:t xml:space="preserve">; </w:t>
      </w:r>
      <w:r w:rsidR="0045122B">
        <w:t xml:space="preserve">FEB = </w:t>
      </w:r>
      <w:r w:rsidR="0045122B" w:rsidRPr="00FE63E6">
        <w:t>fetal echogenic bowel;</w:t>
      </w:r>
      <w:r w:rsidR="0045122B" w:rsidRPr="00E32E80">
        <w:t xml:space="preserve"> IRT = immunoreactive trypsin;</w:t>
      </w:r>
      <w:r w:rsidR="002B52F8">
        <w:t xml:space="preserve"> </w:t>
      </w:r>
      <w:r w:rsidR="0045122B" w:rsidRPr="00E32E80">
        <w:t>IRT = immunoreactive trypsin;</w:t>
      </w:r>
      <w:r w:rsidR="0045122B">
        <w:t xml:space="preserve"> </w:t>
      </w:r>
      <w:r w:rsidR="0067459F">
        <w:t>NBS = newborn screening</w:t>
      </w:r>
    </w:p>
    <w:p w14:paraId="46380F4E" w14:textId="04C9170B" w:rsidR="00737CDB" w:rsidRDefault="00B1120C" w:rsidP="000F73B8">
      <w:pPr>
        <w:spacing w:before="240"/>
      </w:pPr>
      <w:r>
        <w:t>P</w:t>
      </w:r>
      <w:r w:rsidR="00737CDB">
        <w:t xml:space="preserve">renatal diagnostic testing provides parents with information on fetal status and may allow them to consider the options of </w:t>
      </w:r>
      <w:r>
        <w:t xml:space="preserve">either </w:t>
      </w:r>
      <w:r w:rsidR="00737CDB">
        <w:t xml:space="preserve">terminating or continuing the affected pregnancy. Identifying a fetus at risk presents a change in routine management of pregnancy. The primary outcomes of interest in this assessment are the cost per prenatal CF detected and the cost per CF birth averted. The incremental cost </w:t>
      </w:r>
      <w:r w:rsidR="00737CDB" w:rsidRPr="00D66011">
        <w:t xml:space="preserve">per </w:t>
      </w:r>
      <w:r w:rsidR="00737CDB">
        <w:t xml:space="preserve">prenatal CF detected and </w:t>
      </w:r>
      <w:r>
        <w:t>the</w:t>
      </w:r>
      <w:r w:rsidR="00737CDB">
        <w:t xml:space="preserve"> incremental cost per pre-informed CF birth will provide </w:t>
      </w:r>
      <w:r>
        <w:t xml:space="preserve">the </w:t>
      </w:r>
      <w:r w:rsidR="00737CDB">
        <w:t>incremental cost for additional information (prenatal diagnosis)</w:t>
      </w:r>
      <w:r>
        <w:t>,</w:t>
      </w:r>
      <w:r w:rsidR="00737CDB">
        <w:t xml:space="preserve"> and the ICER per CF birth averted will provide the incremental cost for integrating change in pregnancy management (</w:t>
      </w:r>
      <w:r>
        <w:t xml:space="preserve">i.e. </w:t>
      </w:r>
      <w:r w:rsidR="00737CDB">
        <w:t xml:space="preserve">termination of affected pregnancy) as a result of testing. </w:t>
      </w:r>
      <w:r w:rsidR="00737CDB" w:rsidRPr="00E7291D">
        <w:t xml:space="preserve">Accordingly, the cost per CF diagnosis takes into account the costs of prenatal testing (parental mutation testing and fetal diagnostic testing), termination, miscarriage, stillbirth, live birth and </w:t>
      </w:r>
      <w:r w:rsidR="00892C5D">
        <w:t>NBS</w:t>
      </w:r>
      <w:r w:rsidR="00737CDB" w:rsidRPr="00E7291D">
        <w:t>.</w:t>
      </w:r>
      <w:r w:rsidR="00737CDB">
        <w:t xml:space="preserve"> </w:t>
      </w:r>
      <w:r w:rsidR="00737CDB">
        <w:fldChar w:fldCharType="begin"/>
      </w:r>
      <w:r w:rsidR="00737CDB">
        <w:instrText xml:space="preserve"> REF _Ref413768854 \h  \* MERGEFORMAT </w:instrText>
      </w:r>
      <w:r w:rsidR="00737CDB">
        <w:fldChar w:fldCharType="separate"/>
      </w:r>
      <w:r w:rsidR="00BB0E3E">
        <w:t xml:space="preserve">Table </w:t>
      </w:r>
      <w:r w:rsidR="00BB0E3E">
        <w:rPr>
          <w:noProof/>
        </w:rPr>
        <w:t>60</w:t>
      </w:r>
      <w:r w:rsidR="00737CDB">
        <w:fldChar w:fldCharType="end"/>
      </w:r>
      <w:r w:rsidR="00737CDB">
        <w:t xml:space="preserve"> summarises the cost</w:t>
      </w:r>
      <w:r w:rsidR="00A11C0E">
        <w:t>s</w:t>
      </w:r>
      <w:r w:rsidR="00737CDB">
        <w:t xml:space="preserve"> of medical test</w:t>
      </w:r>
      <w:r w:rsidR="00A11C0E">
        <w:t>s</w:t>
      </w:r>
      <w:r w:rsidR="00737CDB">
        <w:t xml:space="preserve"> and services used in models 1 and 2.</w:t>
      </w:r>
    </w:p>
    <w:p w14:paraId="6FAFF72C" w14:textId="77777777" w:rsidR="00737CDB" w:rsidRDefault="00737CDB" w:rsidP="00737CDB">
      <w:pPr>
        <w:pStyle w:val="Caption"/>
      </w:pPr>
      <w:bookmarkStart w:id="351" w:name="_Ref413768854"/>
      <w:bookmarkStart w:id="352" w:name="_Toc416855352"/>
      <w:bookmarkStart w:id="353" w:name="_Toc418179457"/>
      <w:r>
        <w:t xml:space="preserve">Table </w:t>
      </w:r>
      <w:fldSimple w:instr=" SEQ Table \* ARABIC ">
        <w:r w:rsidR="00BB0E3E">
          <w:rPr>
            <w:noProof/>
          </w:rPr>
          <w:t>60</w:t>
        </w:r>
      </w:fldSimple>
      <w:bookmarkEnd w:id="351"/>
      <w:r>
        <w:tab/>
        <w:t>Cost of health resources used in the economic evaluations</w:t>
      </w:r>
      <w:bookmarkEnd w:id="352"/>
      <w:bookmarkEnd w:id="353"/>
    </w:p>
    <w:tbl>
      <w:tblPr>
        <w:tblStyle w:val="TableGrid"/>
        <w:tblW w:w="0" w:type="auto"/>
        <w:tblLook w:val="04A0" w:firstRow="1" w:lastRow="0" w:firstColumn="1" w:lastColumn="0" w:noHBand="0" w:noVBand="1"/>
        <w:tblCaption w:val="Cost of health resources used in the economic evaluations"/>
        <w:tblDescription w:val="Cost of health resources used in the economic evaluations"/>
      </w:tblPr>
      <w:tblGrid>
        <w:gridCol w:w="2310"/>
        <w:gridCol w:w="2051"/>
        <w:gridCol w:w="2268"/>
        <w:gridCol w:w="2613"/>
      </w:tblGrid>
      <w:tr w:rsidR="0058191D" w:rsidRPr="001F260C" w14:paraId="0A3E8756" w14:textId="77777777" w:rsidTr="0058191D">
        <w:trPr>
          <w:tblHeader/>
        </w:trPr>
        <w:tc>
          <w:tcPr>
            <w:tcW w:w="2310" w:type="dxa"/>
          </w:tcPr>
          <w:p w14:paraId="4CAA49E5" w14:textId="77777777" w:rsidR="0058191D" w:rsidRPr="001F260C" w:rsidRDefault="0058191D" w:rsidP="00FE63E6">
            <w:pPr>
              <w:pStyle w:val="TableHeading"/>
              <w:ind w:left="0"/>
              <w:jc w:val="left"/>
            </w:pPr>
            <w:r w:rsidRPr="001F260C">
              <w:t>Resource</w:t>
            </w:r>
          </w:p>
        </w:tc>
        <w:tc>
          <w:tcPr>
            <w:tcW w:w="2051" w:type="dxa"/>
          </w:tcPr>
          <w:p w14:paraId="3BE1BA39" w14:textId="77692F74" w:rsidR="0058191D" w:rsidRPr="001F260C" w:rsidRDefault="0058191D" w:rsidP="00FE63E6">
            <w:pPr>
              <w:pStyle w:val="TableHeading"/>
              <w:ind w:left="0"/>
              <w:jc w:val="center"/>
            </w:pPr>
            <w:r w:rsidRPr="000E4640">
              <w:t>Model 1</w:t>
            </w:r>
            <w:r w:rsidRPr="005D5424">
              <w:t xml:space="preserve"> </w:t>
            </w:r>
            <w:r>
              <w:t>– Both parents known CF carriers</w:t>
            </w:r>
          </w:p>
        </w:tc>
        <w:tc>
          <w:tcPr>
            <w:tcW w:w="2268" w:type="dxa"/>
          </w:tcPr>
          <w:p w14:paraId="5DB1E2FD" w14:textId="4AECBF06" w:rsidR="0058191D" w:rsidRPr="001F260C" w:rsidRDefault="0058191D" w:rsidP="00FE63E6">
            <w:pPr>
              <w:pStyle w:val="TableHeading"/>
              <w:ind w:left="0"/>
              <w:jc w:val="center"/>
            </w:pPr>
            <w:r w:rsidRPr="001F260C">
              <w:t>Model 2</w:t>
            </w:r>
            <w:r>
              <w:t xml:space="preserve"> </w:t>
            </w:r>
            <w:r w:rsidRPr="000E4640">
              <w:t>– Fetus has FEB</w:t>
            </w:r>
          </w:p>
        </w:tc>
        <w:tc>
          <w:tcPr>
            <w:tcW w:w="2613" w:type="dxa"/>
          </w:tcPr>
          <w:p w14:paraId="0C5DEC4A" w14:textId="77777777" w:rsidR="0058191D" w:rsidRPr="001F260C" w:rsidRDefault="0058191D" w:rsidP="00FE63E6">
            <w:pPr>
              <w:pStyle w:val="TableHeading"/>
              <w:ind w:left="0"/>
              <w:jc w:val="left"/>
            </w:pPr>
            <w:r w:rsidRPr="001F260C">
              <w:t>Source</w:t>
            </w:r>
          </w:p>
        </w:tc>
      </w:tr>
      <w:tr w:rsidR="00737CDB" w:rsidRPr="001F260C" w14:paraId="1FA34DF6" w14:textId="77777777" w:rsidTr="0058191D">
        <w:tc>
          <w:tcPr>
            <w:tcW w:w="2310" w:type="dxa"/>
          </w:tcPr>
          <w:p w14:paraId="1BDAA76A" w14:textId="77777777" w:rsidR="00737CDB" w:rsidRPr="001F260C" w:rsidRDefault="00737CDB">
            <w:pPr>
              <w:pStyle w:val="Tabletext1"/>
              <w:ind w:left="0"/>
              <w:jc w:val="left"/>
            </w:pPr>
            <w:r w:rsidRPr="001F260C">
              <w:t>Invasive test</w:t>
            </w:r>
            <w:r>
              <w:t xml:space="preserve"> (weighted cost)</w:t>
            </w:r>
          </w:p>
        </w:tc>
        <w:tc>
          <w:tcPr>
            <w:tcW w:w="2051" w:type="dxa"/>
          </w:tcPr>
          <w:p w14:paraId="2E5557B0" w14:textId="77777777" w:rsidR="00737CDB" w:rsidRPr="001F260C" w:rsidRDefault="00737CDB" w:rsidP="00FE63E6">
            <w:pPr>
              <w:pStyle w:val="Tabletext1"/>
              <w:ind w:left="0" w:right="459"/>
              <w:jc w:val="right"/>
            </w:pPr>
            <w:r w:rsidRPr="002E3CDC">
              <w:t>$83.34</w:t>
            </w:r>
          </w:p>
        </w:tc>
        <w:tc>
          <w:tcPr>
            <w:tcW w:w="2268" w:type="dxa"/>
          </w:tcPr>
          <w:p w14:paraId="1B11CE09" w14:textId="77777777" w:rsidR="00737CDB" w:rsidRPr="001F260C" w:rsidRDefault="00737CDB" w:rsidP="00FE63E6">
            <w:pPr>
              <w:pStyle w:val="Tabletext1"/>
              <w:ind w:left="0" w:right="459"/>
              <w:jc w:val="right"/>
            </w:pPr>
            <w:r w:rsidRPr="001F260C">
              <w:t>$</w:t>
            </w:r>
            <w:r>
              <w:t>63.50</w:t>
            </w:r>
          </w:p>
        </w:tc>
        <w:tc>
          <w:tcPr>
            <w:tcW w:w="2613" w:type="dxa"/>
          </w:tcPr>
          <w:p w14:paraId="1519F39B" w14:textId="3185C2B6" w:rsidR="00737CDB" w:rsidRPr="001F260C" w:rsidRDefault="00737CDB" w:rsidP="00D141F1">
            <w:pPr>
              <w:pStyle w:val="Tabletext1"/>
              <w:ind w:left="0"/>
              <w:jc w:val="left"/>
            </w:pPr>
            <w:r w:rsidRPr="001F260C">
              <w:t xml:space="preserve">MBS </w:t>
            </w:r>
            <w:r w:rsidR="00A11C0E">
              <w:t>i</w:t>
            </w:r>
            <w:r w:rsidRPr="001F260C">
              <w:t>tem number</w:t>
            </w:r>
            <w:r w:rsidR="00A11C0E">
              <w:t>s</w:t>
            </w:r>
            <w:r w:rsidRPr="001F260C">
              <w:t xml:space="preserve"> 16600</w:t>
            </w:r>
            <w:r>
              <w:t xml:space="preserve"> </w:t>
            </w:r>
            <w:r w:rsidRPr="001F260C">
              <w:t>and 16603</w:t>
            </w:r>
          </w:p>
        </w:tc>
      </w:tr>
      <w:tr w:rsidR="00737CDB" w:rsidRPr="001F260C" w14:paraId="720D3FA6" w14:textId="77777777" w:rsidTr="0058191D">
        <w:tc>
          <w:tcPr>
            <w:tcW w:w="2310" w:type="dxa"/>
          </w:tcPr>
          <w:p w14:paraId="56F2A93D" w14:textId="77777777" w:rsidR="00737CDB" w:rsidRPr="001F260C" w:rsidRDefault="00737CDB">
            <w:pPr>
              <w:pStyle w:val="Tabletext1"/>
              <w:ind w:left="0"/>
              <w:jc w:val="left"/>
            </w:pPr>
            <w:r w:rsidRPr="001F260C">
              <w:t>Sweat test</w:t>
            </w:r>
          </w:p>
        </w:tc>
        <w:tc>
          <w:tcPr>
            <w:tcW w:w="2051" w:type="dxa"/>
          </w:tcPr>
          <w:p w14:paraId="36535EF4" w14:textId="77777777" w:rsidR="00737CDB" w:rsidRPr="001F260C" w:rsidRDefault="00737CDB" w:rsidP="00FE63E6">
            <w:pPr>
              <w:pStyle w:val="Tabletext1"/>
              <w:ind w:left="0" w:right="459"/>
              <w:jc w:val="right"/>
            </w:pPr>
            <w:r w:rsidRPr="001F260C">
              <w:t>$50.65</w:t>
            </w:r>
          </w:p>
        </w:tc>
        <w:tc>
          <w:tcPr>
            <w:tcW w:w="2268" w:type="dxa"/>
          </w:tcPr>
          <w:p w14:paraId="376E8FA8" w14:textId="77777777" w:rsidR="00737CDB" w:rsidRPr="001F260C" w:rsidRDefault="00737CDB" w:rsidP="00FE63E6">
            <w:pPr>
              <w:pStyle w:val="Tabletext1"/>
              <w:ind w:left="0" w:right="459"/>
              <w:jc w:val="right"/>
            </w:pPr>
            <w:r w:rsidRPr="001F260C">
              <w:t>$50.65</w:t>
            </w:r>
          </w:p>
        </w:tc>
        <w:tc>
          <w:tcPr>
            <w:tcW w:w="2613" w:type="dxa"/>
          </w:tcPr>
          <w:p w14:paraId="2789F1C8" w14:textId="77777777" w:rsidR="00737CDB" w:rsidRPr="001F260C" w:rsidRDefault="00737CDB" w:rsidP="00D141F1">
            <w:pPr>
              <w:pStyle w:val="Tabletext1"/>
              <w:ind w:left="0"/>
              <w:jc w:val="left"/>
            </w:pPr>
            <w:r w:rsidRPr="001F260C">
              <w:t>MBS Item number 66686</w:t>
            </w:r>
          </w:p>
        </w:tc>
      </w:tr>
      <w:tr w:rsidR="00737CDB" w:rsidRPr="001F260C" w14:paraId="406FAAC2" w14:textId="77777777" w:rsidTr="0058191D">
        <w:tc>
          <w:tcPr>
            <w:tcW w:w="2310" w:type="dxa"/>
          </w:tcPr>
          <w:p w14:paraId="014FB3C7" w14:textId="77777777" w:rsidR="00737CDB" w:rsidRPr="001F260C" w:rsidRDefault="00737CDB">
            <w:pPr>
              <w:pStyle w:val="Tabletext1"/>
              <w:ind w:left="0"/>
              <w:jc w:val="left"/>
            </w:pPr>
            <w:r w:rsidRPr="001F260C">
              <w:t>Genetic counselling</w:t>
            </w:r>
            <w:r>
              <w:t xml:space="preserve"> (initial)</w:t>
            </w:r>
          </w:p>
        </w:tc>
        <w:tc>
          <w:tcPr>
            <w:tcW w:w="2051" w:type="dxa"/>
          </w:tcPr>
          <w:p w14:paraId="69B07F21" w14:textId="77777777" w:rsidR="00737CDB" w:rsidRPr="001F260C" w:rsidRDefault="00737CDB" w:rsidP="00FE63E6">
            <w:pPr>
              <w:pStyle w:val="Tabletext1"/>
              <w:ind w:left="0" w:right="459"/>
              <w:jc w:val="right"/>
            </w:pPr>
            <w:r w:rsidRPr="001F260C">
              <w:t>$263.90</w:t>
            </w:r>
          </w:p>
        </w:tc>
        <w:tc>
          <w:tcPr>
            <w:tcW w:w="2268" w:type="dxa"/>
          </w:tcPr>
          <w:p w14:paraId="330A0AC7" w14:textId="77777777" w:rsidR="00737CDB" w:rsidRPr="001F260C" w:rsidRDefault="00737CDB" w:rsidP="00FE63E6">
            <w:pPr>
              <w:pStyle w:val="Tabletext1"/>
              <w:ind w:left="0" w:right="459"/>
              <w:jc w:val="right"/>
            </w:pPr>
            <w:r w:rsidRPr="001F260C">
              <w:t>$263.90</w:t>
            </w:r>
          </w:p>
        </w:tc>
        <w:tc>
          <w:tcPr>
            <w:tcW w:w="2613" w:type="dxa"/>
          </w:tcPr>
          <w:p w14:paraId="234C47EA" w14:textId="77777777" w:rsidR="00737CDB" w:rsidRPr="001F260C" w:rsidRDefault="00737CDB" w:rsidP="00D141F1">
            <w:pPr>
              <w:pStyle w:val="Tabletext1"/>
              <w:ind w:left="0"/>
              <w:jc w:val="left"/>
            </w:pPr>
            <w:r w:rsidRPr="001F260C">
              <w:t>MBS Item number</w:t>
            </w:r>
            <w:r>
              <w:t xml:space="preserve"> 132</w:t>
            </w:r>
          </w:p>
        </w:tc>
      </w:tr>
      <w:tr w:rsidR="00737CDB" w:rsidRPr="00853B40" w14:paraId="65B1FCBE" w14:textId="77777777" w:rsidTr="0058191D">
        <w:tc>
          <w:tcPr>
            <w:tcW w:w="2310" w:type="dxa"/>
          </w:tcPr>
          <w:p w14:paraId="16F6AAA6" w14:textId="77777777" w:rsidR="00737CDB" w:rsidRPr="001F260C" w:rsidRDefault="00737CDB">
            <w:pPr>
              <w:pStyle w:val="Tabletext1"/>
              <w:ind w:left="0"/>
              <w:jc w:val="left"/>
            </w:pPr>
            <w:r w:rsidRPr="001F260C">
              <w:t>Genetic counselling</w:t>
            </w:r>
            <w:r>
              <w:t xml:space="preserve"> (subsequent session)</w:t>
            </w:r>
          </w:p>
        </w:tc>
        <w:tc>
          <w:tcPr>
            <w:tcW w:w="2051" w:type="dxa"/>
          </w:tcPr>
          <w:p w14:paraId="0FFD5170" w14:textId="77777777" w:rsidR="00737CDB" w:rsidRPr="001F260C" w:rsidRDefault="00737CDB" w:rsidP="00FE63E6">
            <w:pPr>
              <w:pStyle w:val="Tabletext1"/>
              <w:ind w:left="0" w:right="459"/>
              <w:jc w:val="right"/>
            </w:pPr>
            <w:r w:rsidRPr="001F260C">
              <w:t>$</w:t>
            </w:r>
            <w:r>
              <w:t>132.10</w:t>
            </w:r>
          </w:p>
        </w:tc>
        <w:tc>
          <w:tcPr>
            <w:tcW w:w="2268" w:type="dxa"/>
          </w:tcPr>
          <w:p w14:paraId="0429F2D5" w14:textId="77777777" w:rsidR="00737CDB" w:rsidRPr="001F260C" w:rsidRDefault="00737CDB" w:rsidP="00FE63E6">
            <w:pPr>
              <w:pStyle w:val="Tabletext1"/>
              <w:ind w:left="0" w:right="459"/>
              <w:jc w:val="right"/>
            </w:pPr>
            <w:r w:rsidRPr="001F260C">
              <w:t>$</w:t>
            </w:r>
            <w:r>
              <w:t>132.10</w:t>
            </w:r>
          </w:p>
        </w:tc>
        <w:tc>
          <w:tcPr>
            <w:tcW w:w="2613" w:type="dxa"/>
          </w:tcPr>
          <w:p w14:paraId="5855913F" w14:textId="77777777" w:rsidR="00737CDB" w:rsidRPr="001F260C" w:rsidRDefault="00737CDB" w:rsidP="00D141F1">
            <w:pPr>
              <w:pStyle w:val="Tabletext1"/>
              <w:ind w:left="0"/>
              <w:jc w:val="left"/>
            </w:pPr>
            <w:r w:rsidRPr="001F260C">
              <w:t>MBS Item number</w:t>
            </w:r>
            <w:r>
              <w:t xml:space="preserve"> 133</w:t>
            </w:r>
          </w:p>
        </w:tc>
      </w:tr>
      <w:tr w:rsidR="00737CDB" w:rsidRPr="001F260C" w14:paraId="423A66EF" w14:textId="77777777" w:rsidTr="0058191D">
        <w:tc>
          <w:tcPr>
            <w:tcW w:w="2310" w:type="dxa"/>
          </w:tcPr>
          <w:p w14:paraId="783A0393" w14:textId="738B7F0E" w:rsidR="00737CDB" w:rsidRPr="001F260C" w:rsidRDefault="00737CDB">
            <w:pPr>
              <w:pStyle w:val="Tabletext1"/>
              <w:ind w:left="0"/>
              <w:jc w:val="left"/>
            </w:pPr>
            <w:r w:rsidRPr="001F260C">
              <w:t>Termination of pregnancy (</w:t>
            </w:r>
            <w:r w:rsidR="00230522">
              <w:t xml:space="preserve">in </w:t>
            </w:r>
            <w:r w:rsidRPr="001F260C">
              <w:t>2014</w:t>
            </w:r>
            <w:r w:rsidR="00230522">
              <w:t xml:space="preserve"> dollars</w:t>
            </w:r>
            <w:r w:rsidRPr="001F260C">
              <w:t>)</w:t>
            </w:r>
          </w:p>
        </w:tc>
        <w:tc>
          <w:tcPr>
            <w:tcW w:w="2051" w:type="dxa"/>
          </w:tcPr>
          <w:p w14:paraId="64A81696" w14:textId="5520F828" w:rsidR="00737CDB" w:rsidRPr="001F260C" w:rsidRDefault="00737CDB" w:rsidP="00FE63E6">
            <w:pPr>
              <w:pStyle w:val="Tabletext1"/>
              <w:ind w:left="0" w:right="459"/>
              <w:jc w:val="right"/>
            </w:pPr>
            <w:r w:rsidRPr="001F260C">
              <w:t>$2</w:t>
            </w:r>
            <w:r w:rsidR="00D83EDE">
              <w:t>,</w:t>
            </w:r>
            <w:r w:rsidRPr="001F260C">
              <w:t>412</w:t>
            </w:r>
            <w:r w:rsidR="00D83EDE">
              <w:t>.00</w:t>
            </w:r>
          </w:p>
        </w:tc>
        <w:tc>
          <w:tcPr>
            <w:tcW w:w="2268" w:type="dxa"/>
          </w:tcPr>
          <w:p w14:paraId="1F775FD2" w14:textId="46B52981" w:rsidR="00737CDB" w:rsidRPr="001F260C" w:rsidRDefault="00737CDB" w:rsidP="00FE63E6">
            <w:pPr>
              <w:pStyle w:val="Tabletext1"/>
              <w:ind w:left="0" w:right="459"/>
              <w:jc w:val="right"/>
            </w:pPr>
            <w:r w:rsidRPr="001F260C">
              <w:t>$2</w:t>
            </w:r>
            <w:r w:rsidR="00D83EDE">
              <w:t>,</w:t>
            </w:r>
            <w:r w:rsidRPr="001F260C">
              <w:t>412</w:t>
            </w:r>
            <w:r w:rsidR="00D83EDE">
              <w:t>.00</w:t>
            </w:r>
          </w:p>
        </w:tc>
        <w:tc>
          <w:tcPr>
            <w:tcW w:w="2613" w:type="dxa"/>
          </w:tcPr>
          <w:p w14:paraId="41A3C146" w14:textId="77777777" w:rsidR="00737CDB" w:rsidRPr="001F260C" w:rsidRDefault="00737CDB" w:rsidP="00D141F1">
            <w:pPr>
              <w:pStyle w:val="Tabletext1"/>
              <w:ind w:left="0"/>
              <w:jc w:val="left"/>
            </w:pPr>
            <w:r w:rsidRPr="001F260C">
              <w:t>DRG O05Z</w:t>
            </w:r>
          </w:p>
        </w:tc>
      </w:tr>
      <w:tr w:rsidR="00737CDB" w:rsidRPr="001F260C" w14:paraId="4FA7BF89" w14:textId="77777777" w:rsidTr="0058191D">
        <w:tc>
          <w:tcPr>
            <w:tcW w:w="2310" w:type="dxa"/>
          </w:tcPr>
          <w:p w14:paraId="558BA3C2" w14:textId="49962C1A" w:rsidR="00737CDB" w:rsidRPr="00D23DC5" w:rsidRDefault="00737CDB">
            <w:pPr>
              <w:pStyle w:val="Tabletext1"/>
              <w:ind w:left="0"/>
              <w:jc w:val="left"/>
            </w:pPr>
            <w:r w:rsidRPr="00D23DC5">
              <w:t>Miscarriage (</w:t>
            </w:r>
            <w:r w:rsidR="00230522">
              <w:t xml:space="preserve">in </w:t>
            </w:r>
            <w:r w:rsidRPr="00D23DC5">
              <w:t>2014</w:t>
            </w:r>
            <w:r w:rsidR="00230522">
              <w:t xml:space="preserve"> dollars</w:t>
            </w:r>
            <w:r w:rsidRPr="00D23DC5">
              <w:t>)</w:t>
            </w:r>
          </w:p>
        </w:tc>
        <w:tc>
          <w:tcPr>
            <w:tcW w:w="2051" w:type="dxa"/>
          </w:tcPr>
          <w:p w14:paraId="69162782" w14:textId="6CDD06B2" w:rsidR="00737CDB" w:rsidRPr="00D23DC5" w:rsidRDefault="00737CDB" w:rsidP="00FE63E6">
            <w:pPr>
              <w:pStyle w:val="Tabletext1"/>
              <w:ind w:left="0" w:right="459"/>
              <w:jc w:val="right"/>
            </w:pPr>
            <w:r w:rsidRPr="00D23DC5">
              <w:t>$1</w:t>
            </w:r>
            <w:r w:rsidR="00D83EDE">
              <w:t>,</w:t>
            </w:r>
            <w:r w:rsidRPr="00D23DC5">
              <w:t>897</w:t>
            </w:r>
            <w:r w:rsidR="00D83EDE">
              <w:t>.00</w:t>
            </w:r>
          </w:p>
        </w:tc>
        <w:tc>
          <w:tcPr>
            <w:tcW w:w="2268" w:type="dxa"/>
          </w:tcPr>
          <w:p w14:paraId="11F6A4DC" w14:textId="0D245A9E" w:rsidR="00737CDB" w:rsidRPr="00D23DC5" w:rsidRDefault="00737CDB" w:rsidP="00FE63E6">
            <w:pPr>
              <w:pStyle w:val="Tabletext1"/>
              <w:ind w:left="0" w:right="459"/>
              <w:jc w:val="right"/>
            </w:pPr>
            <w:r w:rsidRPr="00D23DC5">
              <w:t>$1</w:t>
            </w:r>
            <w:r w:rsidR="00D83EDE">
              <w:t>,</w:t>
            </w:r>
            <w:r w:rsidRPr="00D23DC5">
              <w:t>897</w:t>
            </w:r>
            <w:r w:rsidR="00D83EDE">
              <w:t>.00</w:t>
            </w:r>
          </w:p>
        </w:tc>
        <w:tc>
          <w:tcPr>
            <w:tcW w:w="2613" w:type="dxa"/>
          </w:tcPr>
          <w:p w14:paraId="3E1F3E59" w14:textId="77777777" w:rsidR="00737CDB" w:rsidRPr="00D23DC5" w:rsidRDefault="00737CDB" w:rsidP="00D141F1">
            <w:pPr>
              <w:pStyle w:val="Tabletext1"/>
              <w:ind w:left="0"/>
              <w:jc w:val="left"/>
            </w:pPr>
            <w:r w:rsidRPr="00D23DC5">
              <w:t>DRG O63Z</w:t>
            </w:r>
          </w:p>
        </w:tc>
      </w:tr>
      <w:tr w:rsidR="00737CDB" w:rsidRPr="001F260C" w14:paraId="79CB6AD2" w14:textId="77777777" w:rsidTr="0058191D">
        <w:tc>
          <w:tcPr>
            <w:tcW w:w="2310" w:type="dxa"/>
          </w:tcPr>
          <w:p w14:paraId="716BD77D" w14:textId="2126D091" w:rsidR="00737CDB" w:rsidRPr="001F260C" w:rsidRDefault="00737CDB">
            <w:pPr>
              <w:pStyle w:val="Tabletext1"/>
              <w:ind w:left="0"/>
              <w:jc w:val="left"/>
            </w:pPr>
            <w:r w:rsidRPr="001F260C">
              <w:lastRenderedPageBreak/>
              <w:t>Single, uncomplicated vaginal delivery (</w:t>
            </w:r>
            <w:r w:rsidR="00230522">
              <w:t xml:space="preserve">in </w:t>
            </w:r>
            <w:r w:rsidRPr="001F260C">
              <w:t>2014</w:t>
            </w:r>
            <w:r w:rsidR="00230522">
              <w:t xml:space="preserve"> dollars</w:t>
            </w:r>
            <w:r w:rsidRPr="001F260C">
              <w:t>)</w:t>
            </w:r>
          </w:p>
        </w:tc>
        <w:tc>
          <w:tcPr>
            <w:tcW w:w="2051" w:type="dxa"/>
          </w:tcPr>
          <w:p w14:paraId="5136C5C1" w14:textId="4F04FB2A" w:rsidR="00737CDB" w:rsidRPr="001F260C" w:rsidRDefault="00737CDB" w:rsidP="00FE63E6">
            <w:pPr>
              <w:pStyle w:val="Tabletext1"/>
              <w:ind w:left="0" w:right="459"/>
              <w:jc w:val="right"/>
            </w:pPr>
            <w:r w:rsidRPr="001F260C">
              <w:t>$3</w:t>
            </w:r>
            <w:r w:rsidR="00D83EDE">
              <w:t>,</w:t>
            </w:r>
            <w:r w:rsidRPr="001F260C">
              <w:t>834</w:t>
            </w:r>
            <w:r w:rsidR="00D83EDE">
              <w:t>.00</w:t>
            </w:r>
          </w:p>
        </w:tc>
        <w:tc>
          <w:tcPr>
            <w:tcW w:w="2268" w:type="dxa"/>
          </w:tcPr>
          <w:p w14:paraId="3D4D53F5" w14:textId="104C0268" w:rsidR="00737CDB" w:rsidRPr="001F260C" w:rsidRDefault="00737CDB" w:rsidP="00FE63E6">
            <w:pPr>
              <w:pStyle w:val="Tabletext1"/>
              <w:ind w:left="0" w:right="459"/>
              <w:jc w:val="right"/>
            </w:pPr>
            <w:r w:rsidRPr="001F260C">
              <w:t>$3</w:t>
            </w:r>
            <w:r w:rsidR="00D83EDE">
              <w:t>,</w:t>
            </w:r>
            <w:r w:rsidRPr="001F260C">
              <w:t>834</w:t>
            </w:r>
            <w:r w:rsidR="00D83EDE">
              <w:t>.00</w:t>
            </w:r>
          </w:p>
        </w:tc>
        <w:tc>
          <w:tcPr>
            <w:tcW w:w="2613" w:type="dxa"/>
          </w:tcPr>
          <w:p w14:paraId="5A9AA57C" w14:textId="77777777" w:rsidR="00737CDB" w:rsidRPr="001F260C" w:rsidRDefault="00737CDB" w:rsidP="00D141F1">
            <w:pPr>
              <w:pStyle w:val="Tabletext1"/>
              <w:ind w:left="0"/>
              <w:jc w:val="left"/>
            </w:pPr>
            <w:r w:rsidRPr="001F260C">
              <w:t>DRGO60C</w:t>
            </w:r>
          </w:p>
        </w:tc>
      </w:tr>
      <w:tr w:rsidR="00737CDB" w:rsidRPr="001F260C" w14:paraId="12B0563E" w14:textId="77777777" w:rsidTr="0058191D">
        <w:tc>
          <w:tcPr>
            <w:tcW w:w="2310" w:type="dxa"/>
          </w:tcPr>
          <w:p w14:paraId="0BCE0642" w14:textId="17DC3487" w:rsidR="00737CDB" w:rsidRPr="001F260C" w:rsidRDefault="00737CDB">
            <w:pPr>
              <w:pStyle w:val="Tabletext1"/>
              <w:ind w:left="0"/>
              <w:jc w:val="left"/>
            </w:pPr>
            <w:r>
              <w:t xml:space="preserve">NBS (for infant with no prenatal </w:t>
            </w:r>
            <w:r w:rsidR="00FD37D3" w:rsidRPr="00FD37D3">
              <w:t>CFTR</w:t>
            </w:r>
            <w:r>
              <w:t xml:space="preserve"> testing)</w:t>
            </w:r>
          </w:p>
        </w:tc>
        <w:tc>
          <w:tcPr>
            <w:tcW w:w="2051" w:type="dxa"/>
          </w:tcPr>
          <w:p w14:paraId="79D2D123" w14:textId="77777777" w:rsidR="00737CDB" w:rsidRPr="001F260C" w:rsidRDefault="00737CDB" w:rsidP="00FE63E6">
            <w:pPr>
              <w:pStyle w:val="Tabletext1"/>
              <w:ind w:left="0" w:right="459"/>
              <w:jc w:val="right"/>
            </w:pPr>
            <w:r>
              <w:t>$262.28</w:t>
            </w:r>
          </w:p>
        </w:tc>
        <w:tc>
          <w:tcPr>
            <w:tcW w:w="2268" w:type="dxa"/>
          </w:tcPr>
          <w:p w14:paraId="27AE30A4" w14:textId="77777777" w:rsidR="00737CDB" w:rsidRPr="001F260C" w:rsidRDefault="00737CDB" w:rsidP="00FE63E6">
            <w:pPr>
              <w:pStyle w:val="Tabletext1"/>
              <w:ind w:left="0" w:right="459"/>
              <w:jc w:val="right"/>
            </w:pPr>
            <w:r>
              <w:t>$127.02</w:t>
            </w:r>
          </w:p>
        </w:tc>
        <w:tc>
          <w:tcPr>
            <w:tcW w:w="2613" w:type="dxa"/>
          </w:tcPr>
          <w:p w14:paraId="608CC00B" w14:textId="77777777" w:rsidR="00737CDB" w:rsidRPr="001F260C" w:rsidRDefault="00737CDB" w:rsidP="00D141F1">
            <w:pPr>
              <w:pStyle w:val="Tabletext1"/>
              <w:ind w:left="0"/>
              <w:jc w:val="left"/>
            </w:pPr>
            <w:r>
              <w:fldChar w:fldCharType="begin"/>
            </w:r>
            <w:r>
              <w:instrText xml:space="preserve"> REF _Ref414952436 \h  \* MERGEFORMAT </w:instrText>
            </w:r>
            <w:r>
              <w:fldChar w:fldCharType="separate"/>
            </w:r>
            <w:r w:rsidR="00BB0E3E">
              <w:t>Table 59</w:t>
            </w:r>
            <w:r>
              <w:fldChar w:fldCharType="end"/>
            </w:r>
          </w:p>
        </w:tc>
      </w:tr>
    </w:tbl>
    <w:p w14:paraId="11E93FC0" w14:textId="065C8118" w:rsidR="00737CDB" w:rsidRDefault="0063028E" w:rsidP="00737CDB">
      <w:pPr>
        <w:pStyle w:val="Tablenotes0"/>
      </w:pPr>
      <w:r>
        <w:t>CF</w:t>
      </w:r>
      <w:r w:rsidRPr="00E32E80">
        <w:t xml:space="preserve"> = cystic fibrosis</w:t>
      </w:r>
      <w:r>
        <w:t>;</w:t>
      </w:r>
      <w:r w:rsidDel="0063028E">
        <w:t xml:space="preserve"> </w:t>
      </w:r>
      <w:r w:rsidR="00FD37D3" w:rsidRPr="00FD37D3">
        <w:t>CFTR</w:t>
      </w:r>
      <w:r w:rsidR="00737CDB" w:rsidRPr="00E32E80">
        <w:t xml:space="preserve"> = cystic fibrosis trans</w:t>
      </w:r>
      <w:r w:rsidR="00737CDB">
        <w:t>membrane</w:t>
      </w:r>
      <w:r w:rsidR="00737CDB" w:rsidRPr="00E32E80">
        <w:t xml:space="preserve"> </w:t>
      </w:r>
      <w:r w:rsidR="00737CDB">
        <w:t xml:space="preserve">conductance regulator; </w:t>
      </w:r>
      <w:r>
        <w:t xml:space="preserve">FEB = </w:t>
      </w:r>
      <w:r w:rsidRPr="00FE63E6">
        <w:t>fetal echogenic bowel</w:t>
      </w:r>
      <w:r>
        <w:t xml:space="preserve">; DRG = </w:t>
      </w:r>
      <w:r w:rsidRPr="00EE1AAE">
        <w:t>Diagnosis-Related</w:t>
      </w:r>
      <w:r>
        <w:t xml:space="preserve"> Group; MBS = Medicare Benefits Schedule; </w:t>
      </w:r>
      <w:r w:rsidR="00737CDB">
        <w:t xml:space="preserve">NBS = </w:t>
      </w:r>
      <w:r w:rsidR="001B527E">
        <w:t>n</w:t>
      </w:r>
      <w:r w:rsidR="00737CDB" w:rsidRPr="001F260C">
        <w:t>ewborn screening</w:t>
      </w:r>
    </w:p>
    <w:p w14:paraId="3C3F5735" w14:textId="77777777" w:rsidR="00737CDB" w:rsidRPr="00304D03" w:rsidRDefault="00737CDB" w:rsidP="000F73B8">
      <w:pPr>
        <w:spacing w:before="240"/>
        <w:rPr>
          <w:i/>
        </w:rPr>
      </w:pPr>
      <w:r w:rsidRPr="00304D03">
        <w:rPr>
          <w:i/>
        </w:rPr>
        <w:t>Costs excluded</w:t>
      </w:r>
    </w:p>
    <w:p w14:paraId="65015768" w14:textId="7005FD8B" w:rsidR="00737CDB" w:rsidRDefault="00737CDB" w:rsidP="00737CDB">
      <w:r>
        <w:t>The cost of other health resources</w:t>
      </w:r>
      <w:r w:rsidR="00141B06">
        <w:t>,</w:t>
      </w:r>
      <w:r>
        <w:t xml:space="preserve"> such as antenatal care and management by general physicians / obstetricians, routine blood tests and ultrasounds</w:t>
      </w:r>
      <w:r w:rsidR="00141B06">
        <w:t>,</w:t>
      </w:r>
      <w:r>
        <w:t xml:space="preserve"> apply similarly across both intervention and comparator arms of the models, </w:t>
      </w:r>
      <w:r w:rsidR="00141B06">
        <w:t xml:space="preserve">and </w:t>
      </w:r>
      <w:r>
        <w:t xml:space="preserve">therefore are not included in the analysis. </w:t>
      </w:r>
    </w:p>
    <w:p w14:paraId="7F8311BC" w14:textId="12D4F602" w:rsidR="00737CDB" w:rsidRDefault="00737CDB" w:rsidP="00737CDB">
      <w:r>
        <w:t>Of note, some</w:t>
      </w:r>
      <w:r w:rsidRPr="00185AEB">
        <w:t xml:space="preserve"> economic studies include the lifetime extra cost of care for infants born with CF</w:t>
      </w:r>
      <w:r w:rsidR="00141B06">
        <w:t>,</w:t>
      </w:r>
      <w:r>
        <w:t xml:space="preserve"> which are then used to offset the costs of prenatal diagnosis to show plausible savings associated with prenatal CF screening</w:t>
      </w:r>
      <w:r w:rsidRPr="00185AEB">
        <w:t xml:space="preserve">. </w:t>
      </w:r>
      <w:r>
        <w:t xml:space="preserve">As CF is an irreversible and progressive disease, the healthcare costs associated with managing CF are very high and </w:t>
      </w:r>
      <w:r w:rsidRPr="00DB255A">
        <w:t xml:space="preserve">rise </w:t>
      </w:r>
      <w:r>
        <w:t>with disease progression. In a recent study V</w:t>
      </w:r>
      <w:r w:rsidRPr="00185AEB">
        <w:t>an Gool et al</w:t>
      </w:r>
      <w:r w:rsidR="00141B06">
        <w:t>.</w:t>
      </w:r>
      <w:r w:rsidRPr="00185AEB">
        <w:t xml:space="preserve"> </w:t>
      </w:r>
      <w:r w:rsidR="00141B06">
        <w:t xml:space="preserve">(2013) </w:t>
      </w:r>
      <w:r w:rsidRPr="00185AEB">
        <w:t xml:space="preserve">analysed costs of care of CF by age and health states </w:t>
      </w:r>
      <w:r>
        <w:t>b</w:t>
      </w:r>
      <w:r w:rsidRPr="00185AEB">
        <w:t xml:space="preserve">ased on </w:t>
      </w:r>
      <w:r>
        <w:t xml:space="preserve">data from </w:t>
      </w:r>
      <w:r w:rsidR="00141B06">
        <w:t xml:space="preserve">the </w:t>
      </w:r>
      <w:r w:rsidRPr="00185AEB">
        <w:t>Australian Cystic Fibrosis Data Registry (ACFDR)</w:t>
      </w:r>
      <w:r w:rsidR="00141B06">
        <w:t>,</w:t>
      </w:r>
      <w:r>
        <w:t xml:space="preserve"> and reported t</w:t>
      </w:r>
      <w:r w:rsidRPr="00DB255A">
        <w:t xml:space="preserve">he mean annual cost for managing patients with CF </w:t>
      </w:r>
      <w:r>
        <w:t>to be $26,279</w:t>
      </w:r>
      <w:r w:rsidRPr="00DB255A">
        <w:t xml:space="preserve">, with a lifetime </w:t>
      </w:r>
      <w:r>
        <w:t xml:space="preserve">healthcare </w:t>
      </w:r>
      <w:r w:rsidRPr="00DB255A">
        <w:t>cost of</w:t>
      </w:r>
      <w:r>
        <w:t xml:space="preserve"> </w:t>
      </w:r>
      <w:r w:rsidRPr="00DB255A">
        <w:t>$</w:t>
      </w:r>
      <w:r>
        <w:t>516,413 (3.5% discount rate)</w:t>
      </w:r>
      <w:r>
        <w:rPr>
          <w:rStyle w:val="FootnoteReference"/>
        </w:rPr>
        <w:footnoteReference w:id="21"/>
      </w:r>
      <w:r w:rsidR="002B52F8">
        <w:t>.</w:t>
      </w:r>
      <w:r w:rsidRPr="00DB255A">
        <w:t xml:space="preserve"> </w:t>
      </w:r>
      <w:r w:rsidR="00275A28">
        <w:t>The a</w:t>
      </w:r>
      <w:r w:rsidRPr="00DB255A">
        <w:t xml:space="preserve">verage costs for patients with severe disease were </w:t>
      </w:r>
      <w:r>
        <w:t xml:space="preserve">reportedly </w:t>
      </w:r>
      <w:r w:rsidRPr="00DB255A">
        <w:t>three times higher than those for patients with mild disease</w:t>
      </w:r>
      <w:r>
        <w:t>.</w:t>
      </w:r>
      <w:r w:rsidRPr="00185AEB">
        <w:t xml:space="preserve"> </w:t>
      </w:r>
    </w:p>
    <w:p w14:paraId="624C5B25" w14:textId="4860D105" w:rsidR="00737CDB" w:rsidRPr="00E21F1E" w:rsidRDefault="00737CDB" w:rsidP="00737CDB">
      <w:r w:rsidRPr="00E21F1E">
        <w:t xml:space="preserve">In a simple </w:t>
      </w:r>
      <w:r w:rsidRPr="00FE63E6">
        <w:t>cost analysis</w:t>
      </w:r>
      <w:r w:rsidRPr="00141B06">
        <w:t xml:space="preserve">, including such costs will greatly favour intervention. However, where </w:t>
      </w:r>
      <w:r w:rsidRPr="00FE63E6">
        <w:t>cost-effectiveness</w:t>
      </w:r>
      <w:r w:rsidRPr="00141B06">
        <w:t xml:space="preserve"> analysis is requi</w:t>
      </w:r>
      <w:r w:rsidRPr="00E21F1E">
        <w:t>red, a time horizon including lifetime costs n</w:t>
      </w:r>
      <w:r>
        <w:t>ecessitates (to eliminate bias)</w:t>
      </w:r>
      <w:r w:rsidRPr="00E21F1E">
        <w:t xml:space="preserve"> a requirement for estimates of lifetime outcomes such as quality-adjusted life years</w:t>
      </w:r>
      <w:r w:rsidR="00141B06">
        <w:t>—that is,</w:t>
      </w:r>
      <w:r w:rsidRPr="00E21F1E">
        <w:t xml:space="preserve"> lifetime utility estimates associated with CF and utility effects associated with </w:t>
      </w:r>
      <w:r w:rsidR="00141B06">
        <w:t>TOP</w:t>
      </w:r>
      <w:r w:rsidR="006D212B">
        <w:t>—</w:t>
      </w:r>
      <w:r w:rsidRPr="00E21F1E">
        <w:t xml:space="preserve">and potentially but not necessarily subsequent pregnancies and children </w:t>
      </w:r>
      <w:r w:rsidR="00141B06">
        <w:t>that</w:t>
      </w:r>
      <w:r w:rsidR="00141B06" w:rsidRPr="00E21F1E">
        <w:t xml:space="preserve"> </w:t>
      </w:r>
      <w:r w:rsidRPr="00E21F1E">
        <w:t xml:space="preserve">are dependent on the decision to terminate or not. Given that such estimates are not able to be reliably estimated, including only the cost of care for a CF child would provide a distorted picture of the cost-effectiveness of prenatal </w:t>
      </w:r>
      <w:r w:rsidR="00FD37D3" w:rsidRPr="00FD37D3">
        <w:t>CFTR</w:t>
      </w:r>
      <w:r w:rsidRPr="00E21F1E">
        <w:t xml:space="preserve"> testing. Therefore, the economic analysis undertaken for this assessment consider</w:t>
      </w:r>
      <w:r w:rsidR="00DB6917">
        <w:t>s</w:t>
      </w:r>
      <w:r w:rsidRPr="00E21F1E">
        <w:t xml:space="preserve"> the time horizon of pregnancy to </w:t>
      </w:r>
      <w:r w:rsidR="00892C5D">
        <w:t>NBS</w:t>
      </w:r>
      <w:r w:rsidRPr="00E21F1E">
        <w:t xml:space="preserve"> but does not attempt to make comparisons regarding lifetime utilities and costs of care in CF or non-CF patients. </w:t>
      </w:r>
    </w:p>
    <w:p w14:paraId="26519267" w14:textId="77777777" w:rsidR="00737CDB" w:rsidRPr="00183E4D" w:rsidRDefault="00737CDB" w:rsidP="00737CDB">
      <w:pPr>
        <w:pStyle w:val="Heading2"/>
        <w:numPr>
          <w:ilvl w:val="3"/>
          <w:numId w:val="9"/>
        </w:numPr>
      </w:pPr>
      <w:bookmarkStart w:id="354" w:name="_Toc381796480"/>
      <w:bookmarkStart w:id="355" w:name="_Toc418179931"/>
      <w:r>
        <w:lastRenderedPageBreak/>
        <w:t>Results of</w:t>
      </w:r>
      <w:r w:rsidRPr="00183E4D">
        <w:t xml:space="preserve"> the </w:t>
      </w:r>
      <w:r>
        <w:t>Economic E</w:t>
      </w:r>
      <w:r w:rsidRPr="00183E4D">
        <w:t>valuation</w:t>
      </w:r>
      <w:bookmarkEnd w:id="354"/>
      <w:bookmarkEnd w:id="355"/>
    </w:p>
    <w:p w14:paraId="35AE9824" w14:textId="0BCBAF13" w:rsidR="00D141F1" w:rsidRPr="00D141F1" w:rsidRDefault="00737CDB" w:rsidP="00A5186D">
      <w:pPr>
        <w:spacing w:after="120"/>
      </w:pPr>
      <w:r w:rsidRPr="00FC4A03">
        <w:t xml:space="preserve">The model </w:t>
      </w:r>
      <w:r>
        <w:t xml:space="preserve">provides </w:t>
      </w:r>
      <w:r w:rsidRPr="00FC4A03">
        <w:t>several possible outcomes, including fe</w:t>
      </w:r>
      <w:r>
        <w:t>tal loss (</w:t>
      </w:r>
      <w:r w:rsidR="00377E1E">
        <w:t xml:space="preserve">i.e. </w:t>
      </w:r>
      <w:r>
        <w:t>miscarriage and still</w:t>
      </w:r>
      <w:r w:rsidRPr="00FC4A03">
        <w:t xml:space="preserve">birth), </w:t>
      </w:r>
      <w:r>
        <w:t>unplanned fetal loss (</w:t>
      </w:r>
      <w:r w:rsidR="00377E1E">
        <w:t xml:space="preserve">i.e. </w:t>
      </w:r>
      <w:r>
        <w:t xml:space="preserve">procedure-related miscarriage), </w:t>
      </w:r>
      <w:r w:rsidRPr="00FC4A03">
        <w:t xml:space="preserve">elective </w:t>
      </w:r>
      <w:r w:rsidR="00377E1E">
        <w:t>termina</w:t>
      </w:r>
      <w:r w:rsidR="00377E1E" w:rsidRPr="00FC4A03">
        <w:t xml:space="preserve">tion </w:t>
      </w:r>
      <w:r w:rsidRPr="00FC4A03">
        <w:t xml:space="preserve">of a CF-affected </w:t>
      </w:r>
      <w:r>
        <w:t>fetus, birth of a healthy baby with no CF</w:t>
      </w:r>
      <w:r w:rsidR="00377E1E">
        <w:t>,</w:t>
      </w:r>
      <w:r w:rsidRPr="00FC4A03">
        <w:t xml:space="preserve"> </w:t>
      </w:r>
      <w:r>
        <w:t>and</w:t>
      </w:r>
      <w:r w:rsidRPr="00FC4A03">
        <w:t xml:space="preserve"> </w:t>
      </w:r>
      <w:r>
        <w:t>birth of a CF-affected baby (</w:t>
      </w:r>
      <w:r>
        <w:fldChar w:fldCharType="begin"/>
      </w:r>
      <w:r>
        <w:instrText xml:space="preserve"> REF _Ref416429208 \h </w:instrText>
      </w:r>
      <w:r>
        <w:fldChar w:fldCharType="separate"/>
      </w:r>
      <w:r w:rsidR="00BB0E3E">
        <w:t xml:space="preserve">Table </w:t>
      </w:r>
      <w:r w:rsidR="00BB0E3E">
        <w:rPr>
          <w:noProof/>
        </w:rPr>
        <w:t>55</w:t>
      </w:r>
      <w:r>
        <w:fldChar w:fldCharType="end"/>
      </w:r>
      <w:r>
        <w:t>).</w:t>
      </w:r>
      <w:r w:rsidRPr="00FC4A03">
        <w:t xml:space="preserve"> The cost-effectiveness </w:t>
      </w:r>
      <w:r w:rsidR="00D141F1" w:rsidRPr="00D141F1">
        <w:t xml:space="preserve">measures analysed relate to the costs associated with the </w:t>
      </w:r>
      <w:r w:rsidR="00D141F1">
        <w:t xml:space="preserve">clinically important outcomes. </w:t>
      </w:r>
      <w:r w:rsidR="00D141F1" w:rsidRPr="00D141F1">
        <w:t>These are the cost per case of CF diagnosed prenatally</w:t>
      </w:r>
      <w:r w:rsidR="009712BD">
        <w:t>,</w:t>
      </w:r>
      <w:r w:rsidR="00D141F1">
        <w:t xml:space="preserve"> </w:t>
      </w:r>
      <w:r w:rsidR="00D141F1" w:rsidRPr="00D141F1">
        <w:t>the cost per pre-informed CF birth and the cost per CF birth averted. The results of the economic evaluation are presented for f</w:t>
      </w:r>
      <w:r w:rsidR="00D141F1">
        <w:t>our</w:t>
      </w:r>
      <w:r w:rsidR="00D141F1" w:rsidRPr="00D141F1">
        <w:t xml:space="preserve"> scenarios based on the number of mutations in the common mutation panel test. The different panel sizes vary with respect to clinical sensitivity and the cost associated with common mutation testing, as discussed in </w:t>
      </w:r>
      <w:r w:rsidR="00A156DF">
        <w:t>s</w:t>
      </w:r>
      <w:r w:rsidR="00D141F1" w:rsidRPr="00D141F1">
        <w:t xml:space="preserve">ection C.1.2 and </w:t>
      </w:r>
      <w:r w:rsidR="00A156DF">
        <w:t>s</w:t>
      </w:r>
      <w:r w:rsidR="00D141F1" w:rsidRPr="00D141F1">
        <w:t>ection D.4</w:t>
      </w:r>
      <w:r w:rsidR="00D141F1">
        <w:t xml:space="preserve">. </w:t>
      </w:r>
      <w:r w:rsidR="00D141F1" w:rsidRPr="00D141F1">
        <w:t>The scenarios are summarised below:</w:t>
      </w:r>
    </w:p>
    <w:p w14:paraId="62EC4973" w14:textId="73FBCEA6" w:rsidR="00737CDB" w:rsidRDefault="00737CDB" w:rsidP="00FE63E6">
      <w:pPr>
        <w:pStyle w:val="ListParagraph"/>
        <w:numPr>
          <w:ilvl w:val="0"/>
          <w:numId w:val="49"/>
        </w:numPr>
        <w:spacing w:after="120"/>
      </w:pPr>
      <w:r>
        <w:t>Base</w:t>
      </w:r>
      <w:r w:rsidR="009712BD">
        <w:t>-</w:t>
      </w:r>
      <w:r>
        <w:t xml:space="preserve">case scenario: </w:t>
      </w:r>
      <w:r w:rsidR="009712BD">
        <w:t>c</w:t>
      </w:r>
      <w:r>
        <w:t xml:space="preserve">ommon mutation panel test identifying 10 mutations with 80% sensitivity at </w:t>
      </w:r>
      <w:r w:rsidR="009712BD">
        <w:t xml:space="preserve">a </w:t>
      </w:r>
      <w:r>
        <w:t>cost of $135.</w:t>
      </w:r>
    </w:p>
    <w:p w14:paraId="1DCAB285" w14:textId="6EC3C012" w:rsidR="00737CDB" w:rsidRDefault="00737CDB" w:rsidP="00FE63E6">
      <w:pPr>
        <w:pStyle w:val="ListParagraph"/>
        <w:numPr>
          <w:ilvl w:val="0"/>
          <w:numId w:val="40"/>
        </w:numPr>
        <w:spacing w:after="120"/>
      </w:pPr>
      <w:r>
        <w:t xml:space="preserve">Additional scenario 1: common mutation panel test identifying 17 mutations with 83.5% sensitivity at </w:t>
      </w:r>
      <w:r w:rsidR="009712BD">
        <w:t xml:space="preserve">a </w:t>
      </w:r>
      <w:r>
        <w:t>cost of $150.</w:t>
      </w:r>
    </w:p>
    <w:p w14:paraId="042F67D2" w14:textId="3CF9987F" w:rsidR="00737CDB" w:rsidRDefault="00737CDB" w:rsidP="00FE63E6">
      <w:pPr>
        <w:pStyle w:val="ListParagraph"/>
        <w:numPr>
          <w:ilvl w:val="0"/>
          <w:numId w:val="40"/>
        </w:numPr>
        <w:spacing w:after="120"/>
      </w:pPr>
      <w:r>
        <w:t>Additional scenario 2: common mutation panel test identifying 23 mutations with 88% sensitivity a</w:t>
      </w:r>
      <w:r w:rsidR="009712BD">
        <w:t>t</w:t>
      </w:r>
      <w:r>
        <w:t xml:space="preserve"> </w:t>
      </w:r>
      <w:r w:rsidR="009712BD">
        <w:t xml:space="preserve">a </w:t>
      </w:r>
      <w:r>
        <w:t xml:space="preserve">cost </w:t>
      </w:r>
      <w:r w:rsidR="009712BD">
        <w:t xml:space="preserve">of </w:t>
      </w:r>
      <w:r>
        <w:t>$170.</w:t>
      </w:r>
    </w:p>
    <w:p w14:paraId="29AE8C0D" w14:textId="5EA50367" w:rsidR="00737CDB" w:rsidRPr="00FC4A03" w:rsidRDefault="00737CDB" w:rsidP="00FE63E6">
      <w:pPr>
        <w:pStyle w:val="ListParagraph"/>
        <w:numPr>
          <w:ilvl w:val="0"/>
          <w:numId w:val="40"/>
        </w:numPr>
        <w:spacing w:after="120"/>
      </w:pPr>
      <w:r>
        <w:t xml:space="preserve">Additional scenario 3: common mutation panel test identifying 32 mutations with 92% sensitivity at </w:t>
      </w:r>
      <w:r w:rsidR="009712BD">
        <w:t xml:space="preserve">a </w:t>
      </w:r>
      <w:r>
        <w:t>cost of $200.</w:t>
      </w:r>
    </w:p>
    <w:p w14:paraId="283FA15F" w14:textId="3E437EA8" w:rsidR="00737CDB" w:rsidRPr="00FC4A03" w:rsidRDefault="00737CDB" w:rsidP="00FE63E6">
      <w:pPr>
        <w:spacing w:after="120"/>
      </w:pPr>
      <w:r w:rsidRPr="00FC4A03">
        <w:t xml:space="preserve">The following </w:t>
      </w:r>
      <w:r w:rsidR="00890CDE">
        <w:t xml:space="preserve">is a </w:t>
      </w:r>
      <w:r w:rsidRPr="00FC4A03">
        <w:t>summar</w:t>
      </w:r>
      <w:r w:rsidR="00890CDE">
        <w:t>y</w:t>
      </w:r>
      <w:r w:rsidRPr="00FC4A03">
        <w:t xml:space="preserve"> </w:t>
      </w:r>
      <w:r w:rsidR="00890CDE">
        <w:t xml:space="preserve">of </w:t>
      </w:r>
      <w:r w:rsidRPr="00FC4A03">
        <w:t>the results of the economic evaluation:</w:t>
      </w:r>
    </w:p>
    <w:p w14:paraId="2C1E7A67" w14:textId="16F5609C" w:rsidR="00737CDB" w:rsidRPr="00FC4A03" w:rsidRDefault="00737CDB" w:rsidP="00FE63E6">
      <w:pPr>
        <w:pStyle w:val="ListParagraph"/>
        <w:numPr>
          <w:ilvl w:val="0"/>
          <w:numId w:val="50"/>
        </w:numPr>
        <w:spacing w:after="120"/>
      </w:pPr>
      <w:r w:rsidRPr="00FC4A03">
        <w:t xml:space="preserve">disaggregated by decision tree probabilities, </w:t>
      </w:r>
      <w:r>
        <w:t>results per outcome states</w:t>
      </w:r>
      <w:r w:rsidRPr="00FC4A03">
        <w:t xml:space="preserve"> </w:t>
      </w:r>
      <w:r w:rsidR="00C759A2">
        <w:t xml:space="preserve">for </w:t>
      </w:r>
      <w:r>
        <w:t>base</w:t>
      </w:r>
      <w:r w:rsidR="00890CDE">
        <w:t>-</w:t>
      </w:r>
      <w:r>
        <w:t xml:space="preserve">case </w:t>
      </w:r>
      <w:r w:rsidRPr="00FC4A03">
        <w:t xml:space="preserve">scenario only </w:t>
      </w:r>
      <w:r w:rsidR="00C759A2">
        <w:t>(</w:t>
      </w:r>
      <w:r w:rsidRPr="00FC4A03">
        <w:t xml:space="preserve">additional scenarios are presented in Appendix </w:t>
      </w:r>
      <w:r>
        <w:t>J</w:t>
      </w:r>
      <w:r w:rsidR="00C759A2">
        <w:t>)</w:t>
      </w:r>
    </w:p>
    <w:p w14:paraId="284A806F" w14:textId="14BAFE49" w:rsidR="00737CDB" w:rsidRPr="00FC4A03" w:rsidRDefault="00890CDE" w:rsidP="00FE63E6">
      <w:pPr>
        <w:pStyle w:val="ListParagraph"/>
        <w:numPr>
          <w:ilvl w:val="0"/>
          <w:numId w:val="50"/>
        </w:numPr>
        <w:spacing w:after="120"/>
      </w:pPr>
      <w:r>
        <w:t>f</w:t>
      </w:r>
      <w:r w:rsidR="00737CDB" w:rsidRPr="00FC4A03">
        <w:t xml:space="preserve">or the </w:t>
      </w:r>
      <w:r w:rsidR="00737CDB">
        <w:t>base</w:t>
      </w:r>
      <w:r w:rsidR="006D212B">
        <w:t>-</w:t>
      </w:r>
      <w:r w:rsidR="00737CDB">
        <w:t xml:space="preserve">case </w:t>
      </w:r>
      <w:r w:rsidR="00D141F1">
        <w:t>scenario</w:t>
      </w:r>
      <w:r>
        <w:t>:</w:t>
      </w:r>
      <w:r w:rsidR="00737CDB" w:rsidRPr="00FC4A03">
        <w:t xml:space="preserve"> the </w:t>
      </w:r>
      <w:r w:rsidR="00737CDB">
        <w:t xml:space="preserve">incremental </w:t>
      </w:r>
      <w:r w:rsidR="00737CDB" w:rsidRPr="00FC4A03">
        <w:t xml:space="preserve">cost-effectiveness </w:t>
      </w:r>
      <w:r w:rsidR="00737CDB">
        <w:t>for</w:t>
      </w:r>
      <w:r w:rsidR="00737CDB" w:rsidRPr="00FC4A03">
        <w:t xml:space="preserve"> </w:t>
      </w:r>
      <w:r w:rsidR="00737CDB">
        <w:t xml:space="preserve">prenatal </w:t>
      </w:r>
      <w:r w:rsidR="00737CDB" w:rsidRPr="00FC4A03">
        <w:t xml:space="preserve">CF </w:t>
      </w:r>
      <w:r w:rsidR="00737CDB">
        <w:t>detected, pre-informed CF birth</w:t>
      </w:r>
      <w:r w:rsidR="00737CDB" w:rsidRPr="00FC4A03">
        <w:t xml:space="preserve"> and CF birth averted</w:t>
      </w:r>
      <w:r w:rsidR="00737CDB">
        <w:t xml:space="preserve"> </w:t>
      </w:r>
      <w:r w:rsidR="00737CDB" w:rsidRPr="00FC4A03">
        <w:t>(additional scenarios in Appendix</w:t>
      </w:r>
      <w:r w:rsidR="00737CDB">
        <w:t xml:space="preserve"> J</w:t>
      </w:r>
      <w:r w:rsidR="00737CDB" w:rsidRPr="00FC4A03">
        <w:t>)</w:t>
      </w:r>
    </w:p>
    <w:p w14:paraId="4D2DF2F2" w14:textId="7A832E2B" w:rsidR="00737CDB" w:rsidRPr="00FC4A03" w:rsidRDefault="00890CDE" w:rsidP="00FE63E6">
      <w:pPr>
        <w:pStyle w:val="ListParagraph"/>
        <w:numPr>
          <w:ilvl w:val="0"/>
          <w:numId w:val="50"/>
        </w:numPr>
        <w:spacing w:after="120"/>
        <w:ind w:left="714" w:hanging="357"/>
      </w:pPr>
      <w:r>
        <w:t>f</w:t>
      </w:r>
      <w:r w:rsidR="00D141F1">
        <w:t>or each of the three additional scenarios</w:t>
      </w:r>
      <w:r>
        <w:t>,</w:t>
      </w:r>
      <w:r w:rsidR="00D141F1">
        <w:t xml:space="preserve"> </w:t>
      </w:r>
      <w:r w:rsidR="00737CDB">
        <w:t>incremental cost-effectiveness</w:t>
      </w:r>
    </w:p>
    <w:p w14:paraId="76CE18D5" w14:textId="158F1EFC" w:rsidR="00737CDB" w:rsidRPr="00FC4A03" w:rsidRDefault="00890CDE" w:rsidP="00FE63E6">
      <w:pPr>
        <w:pStyle w:val="ListParagraph"/>
        <w:numPr>
          <w:ilvl w:val="0"/>
          <w:numId w:val="50"/>
        </w:numPr>
        <w:spacing w:after="120"/>
      </w:pPr>
      <w:r>
        <w:t>n</w:t>
      </w:r>
      <w:r w:rsidR="00D141F1">
        <w:t xml:space="preserve">umerous </w:t>
      </w:r>
      <w:r w:rsidR="00737CDB" w:rsidRPr="00FC4A03">
        <w:t>sensitivity analyses</w:t>
      </w:r>
      <w:r w:rsidR="00737CDB">
        <w:t xml:space="preserve"> (</w:t>
      </w:r>
      <w:r w:rsidR="006D212B">
        <w:t xml:space="preserve">see </w:t>
      </w:r>
      <w:r w:rsidR="00737CDB">
        <w:t>section D.6)</w:t>
      </w:r>
      <w:r w:rsidR="000D641D">
        <w:t>.</w:t>
      </w:r>
    </w:p>
    <w:p w14:paraId="5B9BAB4C" w14:textId="3EAC024D" w:rsidR="00737CDB" w:rsidRPr="001D2BAE" w:rsidRDefault="0063487A" w:rsidP="00737CDB">
      <w:pPr>
        <w:pStyle w:val="Heading3"/>
      </w:pPr>
      <w:bookmarkStart w:id="356" w:name="_Toc418179932"/>
      <w:r>
        <w:t>D.5.2.</w:t>
      </w:r>
      <w:r>
        <w:tab/>
      </w:r>
      <w:r w:rsidR="00737CDB">
        <w:t>Outcome</w:t>
      </w:r>
      <w:r w:rsidR="00737CDB" w:rsidRPr="001D2BAE">
        <w:t xml:space="preserve"> probabilities</w:t>
      </w:r>
      <w:r w:rsidR="00737CDB">
        <w:t xml:space="preserve"> and incremental effects</w:t>
      </w:r>
      <w:bookmarkEnd w:id="356"/>
    </w:p>
    <w:p w14:paraId="7E076FA0" w14:textId="2EA46AA9" w:rsidR="00737CDB" w:rsidRPr="00FC4A03" w:rsidRDefault="00737CDB" w:rsidP="00737CDB">
      <w:r w:rsidRPr="00FC4A03">
        <w:t xml:space="preserve">The results of the decision tree analysis are presented </w:t>
      </w:r>
      <w:r w:rsidRPr="000A1A2C">
        <w:t xml:space="preserve">in </w:t>
      </w:r>
      <w:r w:rsidRPr="000A1A2C">
        <w:fldChar w:fldCharType="begin"/>
      </w:r>
      <w:r w:rsidRPr="000A1A2C">
        <w:instrText xml:space="preserve"> REF _Ref416438663 \h </w:instrText>
      </w:r>
      <w:r w:rsidRPr="000A1A2C">
        <w:fldChar w:fldCharType="separate"/>
      </w:r>
      <w:r w:rsidR="00BB0E3E" w:rsidRPr="00592E11">
        <w:t xml:space="preserve">Figure </w:t>
      </w:r>
      <w:r w:rsidR="00BB0E3E">
        <w:rPr>
          <w:noProof/>
        </w:rPr>
        <w:t>10</w:t>
      </w:r>
      <w:r w:rsidRPr="000A1A2C">
        <w:fldChar w:fldCharType="end"/>
      </w:r>
      <w:r w:rsidRPr="000A1A2C">
        <w:t xml:space="preserve"> (model 1) and </w:t>
      </w:r>
      <w:r w:rsidRPr="000A1A2C">
        <w:fldChar w:fldCharType="begin"/>
      </w:r>
      <w:r w:rsidRPr="000A1A2C">
        <w:instrText xml:space="preserve"> REF _Ref416438672 \h </w:instrText>
      </w:r>
      <w:r w:rsidRPr="000A1A2C">
        <w:fldChar w:fldCharType="separate"/>
      </w:r>
      <w:r w:rsidR="00BB0E3E" w:rsidRPr="008B1274">
        <w:t xml:space="preserve">Figure </w:t>
      </w:r>
      <w:r w:rsidR="00BB0E3E">
        <w:rPr>
          <w:noProof/>
        </w:rPr>
        <w:t>11</w:t>
      </w:r>
      <w:r w:rsidRPr="000A1A2C">
        <w:fldChar w:fldCharType="end"/>
      </w:r>
      <w:r w:rsidRPr="000A1A2C">
        <w:t xml:space="preserve"> (</w:t>
      </w:r>
      <w:r w:rsidRPr="00FC4A03">
        <w:t xml:space="preserve">model 2), Appendix </w:t>
      </w:r>
      <w:r>
        <w:t>J</w:t>
      </w:r>
      <w:r w:rsidRPr="00FC4A03">
        <w:t xml:space="preserve">. The probability at each decision tree terminal of the intervention (prenatal testing) arm is derived from a composite of </w:t>
      </w:r>
      <w:r w:rsidR="008013EA">
        <w:t xml:space="preserve">the </w:t>
      </w:r>
      <w:r w:rsidRPr="00FC4A03">
        <w:t>incidence of CF in the tested population, clinical sensitivity of the common mutation panel</w:t>
      </w:r>
      <w:r>
        <w:t xml:space="preserve">, carrier rate in </w:t>
      </w:r>
      <w:r w:rsidR="008013EA">
        <w:t xml:space="preserve">the </w:t>
      </w:r>
      <w:r>
        <w:t xml:space="preserve">parents, risk of fetal loss </w:t>
      </w:r>
      <w:r w:rsidRPr="00FC4A03">
        <w:t xml:space="preserve">and uptake rate of termination of affected pregnancy. </w:t>
      </w:r>
      <w:r>
        <w:t xml:space="preserve">The comparator arm presents the natural outcomes of pregnancy in the absence of prenatal </w:t>
      </w:r>
      <w:r w:rsidR="00FD37D3" w:rsidRPr="00FD37D3">
        <w:t>CFTR</w:t>
      </w:r>
      <w:r>
        <w:t xml:space="preserve"> testing followed by diagnosis of CF through </w:t>
      </w:r>
      <w:r w:rsidR="00892C5D">
        <w:t>NBS</w:t>
      </w:r>
      <w:r>
        <w:t>.</w:t>
      </w:r>
    </w:p>
    <w:p w14:paraId="7E525857" w14:textId="749CA950" w:rsidR="00737CDB" w:rsidRPr="00FC4A03" w:rsidRDefault="00737CDB" w:rsidP="00737CDB">
      <w:r w:rsidRPr="00FC4A03">
        <w:t xml:space="preserve">The </w:t>
      </w:r>
      <w:r>
        <w:t>outcomes and incremental effects (per 100 pregnancies)</w:t>
      </w:r>
      <w:r w:rsidRPr="00FC4A03">
        <w:t xml:space="preserve">, as derived from the decision tree analysis, </w:t>
      </w:r>
      <w:r w:rsidR="008013EA">
        <w:t>are</w:t>
      </w:r>
      <w:r w:rsidR="008013EA" w:rsidRPr="00FC4A03">
        <w:t xml:space="preserve"> </w:t>
      </w:r>
      <w:r w:rsidRPr="00FC4A03">
        <w:t xml:space="preserve">presented in </w:t>
      </w:r>
      <w:r w:rsidRPr="003152A5">
        <w:fldChar w:fldCharType="begin"/>
      </w:r>
      <w:r w:rsidRPr="003152A5">
        <w:instrText xml:space="preserve"> REF _Ref416438876 \h </w:instrText>
      </w:r>
      <w:r>
        <w:instrText xml:space="preserve"> \* MERGEFORMAT </w:instrText>
      </w:r>
      <w:r w:rsidRPr="003152A5">
        <w:fldChar w:fldCharType="separate"/>
      </w:r>
      <w:r w:rsidR="00BB0E3E" w:rsidRPr="00FC4A03">
        <w:t xml:space="preserve">Table </w:t>
      </w:r>
      <w:r w:rsidR="00BB0E3E">
        <w:t>61</w:t>
      </w:r>
      <w:r w:rsidRPr="003152A5">
        <w:fldChar w:fldCharType="end"/>
      </w:r>
      <w:r>
        <w:t xml:space="preserve"> and </w:t>
      </w:r>
      <w:r w:rsidRPr="00696F0C">
        <w:fldChar w:fldCharType="begin"/>
      </w:r>
      <w:r w:rsidRPr="00696F0C">
        <w:instrText xml:space="preserve"> REF _Ref417458397 \h  \* MERGEFORMAT </w:instrText>
      </w:r>
      <w:r w:rsidRPr="00696F0C">
        <w:fldChar w:fldCharType="separate"/>
      </w:r>
      <w:r w:rsidR="00BB0E3E" w:rsidRPr="00FC4A03">
        <w:t xml:space="preserve">Table </w:t>
      </w:r>
      <w:r w:rsidR="00BB0E3E">
        <w:t>62</w:t>
      </w:r>
      <w:r w:rsidRPr="00696F0C">
        <w:fldChar w:fldCharType="end"/>
      </w:r>
      <w:r w:rsidRPr="003152A5">
        <w:t>.</w:t>
      </w:r>
      <w:r>
        <w:t xml:space="preserve"> </w:t>
      </w:r>
      <w:r w:rsidRPr="00E21F1E">
        <w:t>All outcomes may be considered clinically relevant.</w:t>
      </w:r>
    </w:p>
    <w:p w14:paraId="3813EE54" w14:textId="400DA7A0" w:rsidR="00737CDB" w:rsidRPr="00FC4A03" w:rsidRDefault="00737CDB" w:rsidP="00EB52B2">
      <w:pPr>
        <w:pStyle w:val="Caption"/>
        <w:ind w:left="1134" w:hanging="1134"/>
      </w:pPr>
      <w:bookmarkStart w:id="357" w:name="_Ref416438876"/>
      <w:bookmarkStart w:id="358" w:name="_Toc416855353"/>
      <w:bookmarkStart w:id="359" w:name="_Toc418179458"/>
      <w:r w:rsidRPr="00FC4A03">
        <w:lastRenderedPageBreak/>
        <w:t xml:space="preserve">Table </w:t>
      </w:r>
      <w:fldSimple w:instr=" SEQ Table \* ARABIC ">
        <w:r w:rsidR="00BB0E3E">
          <w:rPr>
            <w:noProof/>
          </w:rPr>
          <w:t>61</w:t>
        </w:r>
      </w:fldSimple>
      <w:bookmarkEnd w:id="357"/>
      <w:r w:rsidRPr="00FC4A03">
        <w:tab/>
        <w:t xml:space="preserve">Outcome </w:t>
      </w:r>
      <w:r>
        <w:t>and incremental effects (per 100 pregnancies) for</w:t>
      </w:r>
      <w:r w:rsidRPr="00FC4A03">
        <w:t xml:space="preserve"> </w:t>
      </w:r>
      <w:r>
        <w:t>base</w:t>
      </w:r>
      <w:r w:rsidR="007113DD">
        <w:t>-</w:t>
      </w:r>
      <w:r>
        <w:t xml:space="preserve">case </w:t>
      </w:r>
      <w:bookmarkEnd w:id="358"/>
      <w:r w:rsidR="00D141F1" w:rsidRPr="00D141F1">
        <w:t xml:space="preserve">scenario in </w:t>
      </w:r>
      <w:r w:rsidR="007113DD">
        <w:t>m</w:t>
      </w:r>
      <w:r w:rsidR="00D141F1" w:rsidRPr="00D141F1">
        <w:t xml:space="preserve">odel 1 (Both </w:t>
      </w:r>
      <w:r w:rsidR="007113DD">
        <w:t>p</w:t>
      </w:r>
      <w:r w:rsidR="00D141F1" w:rsidRPr="00D141F1">
        <w:t>arents known CF carriers)</w:t>
      </w:r>
      <w:bookmarkEnd w:id="359"/>
    </w:p>
    <w:tbl>
      <w:tblPr>
        <w:tblStyle w:val="TableGrid9"/>
        <w:tblW w:w="0" w:type="auto"/>
        <w:tblLook w:val="04A0" w:firstRow="1" w:lastRow="0" w:firstColumn="1" w:lastColumn="0" w:noHBand="0" w:noVBand="1"/>
        <w:tblCaption w:val="Outcome and incremental effects (per 100 pregnancies) for base-case scenario: model1"/>
        <w:tblDescription w:val="Outcome and incremental effects (per 100 pregnancies) for base-case scenario: model1"/>
      </w:tblPr>
      <w:tblGrid>
        <w:gridCol w:w="2235"/>
        <w:gridCol w:w="1701"/>
        <w:gridCol w:w="1729"/>
        <w:gridCol w:w="1560"/>
        <w:gridCol w:w="1791"/>
      </w:tblGrid>
      <w:tr w:rsidR="00737CDB" w:rsidRPr="0089415C" w14:paraId="19B6209E" w14:textId="77777777" w:rsidTr="00F07365">
        <w:trPr>
          <w:tblHeader/>
        </w:trPr>
        <w:tc>
          <w:tcPr>
            <w:tcW w:w="2235" w:type="dxa"/>
            <w:shd w:val="clear" w:color="auto" w:fill="auto"/>
          </w:tcPr>
          <w:p w14:paraId="6FAAD591" w14:textId="77777777" w:rsidR="00737CDB" w:rsidRPr="0089415C" w:rsidRDefault="00737CDB" w:rsidP="00F07365">
            <w:pPr>
              <w:pStyle w:val="TableHeading"/>
              <w:jc w:val="left"/>
              <w:rPr>
                <w:snapToGrid w:val="0"/>
              </w:rPr>
            </w:pPr>
            <w:r w:rsidRPr="0089415C">
              <w:rPr>
                <w:snapToGrid w:val="0"/>
              </w:rPr>
              <w:t>Outcome</w:t>
            </w:r>
          </w:p>
        </w:tc>
        <w:tc>
          <w:tcPr>
            <w:tcW w:w="1701" w:type="dxa"/>
            <w:shd w:val="clear" w:color="auto" w:fill="auto"/>
          </w:tcPr>
          <w:p w14:paraId="07D01FB4" w14:textId="77777777" w:rsidR="00737CDB" w:rsidRPr="0089415C" w:rsidRDefault="00737CDB" w:rsidP="00FE63E6">
            <w:pPr>
              <w:pStyle w:val="TableHeading"/>
              <w:jc w:val="center"/>
              <w:rPr>
                <w:rFonts w:eastAsia="Times New Roman"/>
                <w:snapToGrid w:val="0"/>
                <w:lang w:eastAsia="en-AU"/>
              </w:rPr>
            </w:pPr>
            <w:r w:rsidRPr="0089415C">
              <w:rPr>
                <w:snapToGrid w:val="0"/>
              </w:rPr>
              <w:t>Prenatal testing</w:t>
            </w:r>
          </w:p>
        </w:tc>
        <w:tc>
          <w:tcPr>
            <w:tcW w:w="1729" w:type="dxa"/>
            <w:shd w:val="clear" w:color="auto" w:fill="auto"/>
          </w:tcPr>
          <w:p w14:paraId="565CF1F7" w14:textId="77777777" w:rsidR="00737CDB" w:rsidRPr="0089415C" w:rsidRDefault="00737CDB" w:rsidP="00FE63E6">
            <w:pPr>
              <w:pStyle w:val="TableHeading"/>
              <w:jc w:val="center"/>
              <w:rPr>
                <w:rFonts w:eastAsia="Times New Roman"/>
                <w:snapToGrid w:val="0"/>
                <w:lang w:eastAsia="en-AU"/>
              </w:rPr>
            </w:pPr>
            <w:r w:rsidRPr="0089415C">
              <w:rPr>
                <w:snapToGrid w:val="0"/>
              </w:rPr>
              <w:t>No prenatal testing</w:t>
            </w:r>
          </w:p>
        </w:tc>
        <w:tc>
          <w:tcPr>
            <w:tcW w:w="1560" w:type="dxa"/>
            <w:shd w:val="clear" w:color="auto" w:fill="auto"/>
          </w:tcPr>
          <w:p w14:paraId="46BB65B3" w14:textId="77777777" w:rsidR="00737CDB" w:rsidRPr="0089415C" w:rsidRDefault="00737CDB" w:rsidP="00FE63E6">
            <w:pPr>
              <w:pStyle w:val="TableHeading"/>
              <w:jc w:val="center"/>
              <w:rPr>
                <w:rFonts w:eastAsia="Times New Roman"/>
                <w:snapToGrid w:val="0"/>
                <w:lang w:eastAsia="en-AU"/>
              </w:rPr>
            </w:pPr>
            <w:r w:rsidRPr="0089415C">
              <w:rPr>
                <w:snapToGrid w:val="0"/>
              </w:rPr>
              <w:t>Incremental effectiveness</w:t>
            </w:r>
          </w:p>
        </w:tc>
        <w:tc>
          <w:tcPr>
            <w:tcW w:w="1791" w:type="dxa"/>
            <w:shd w:val="clear" w:color="auto" w:fill="auto"/>
          </w:tcPr>
          <w:p w14:paraId="1E395D1F" w14:textId="7A9F9BA8" w:rsidR="00737CDB" w:rsidRPr="0089415C" w:rsidRDefault="00C93FD7">
            <w:pPr>
              <w:pStyle w:val="TableHeading"/>
              <w:jc w:val="left"/>
              <w:rPr>
                <w:rFonts w:eastAsia="Times New Roman"/>
                <w:snapToGrid w:val="0"/>
                <w:lang w:eastAsia="en-AU"/>
              </w:rPr>
            </w:pPr>
            <w:r>
              <w:rPr>
                <w:snapToGrid w:val="0"/>
              </w:rPr>
              <w:t>Nature of effect</w:t>
            </w:r>
          </w:p>
        </w:tc>
      </w:tr>
      <w:tr w:rsidR="00737CDB" w:rsidRPr="0089415C" w14:paraId="1D9841CB" w14:textId="77777777" w:rsidTr="00F07365">
        <w:tc>
          <w:tcPr>
            <w:tcW w:w="2235" w:type="dxa"/>
          </w:tcPr>
          <w:p w14:paraId="7B0E0345" w14:textId="77777777" w:rsidR="00737CDB" w:rsidRPr="0089415C" w:rsidRDefault="00737CDB" w:rsidP="00F07365">
            <w:pPr>
              <w:pStyle w:val="TableText0"/>
              <w:jc w:val="left"/>
              <w:rPr>
                <w:rFonts w:cs="Arial"/>
                <w:snapToGrid w:val="0"/>
              </w:rPr>
            </w:pPr>
            <w:r w:rsidRPr="0089415C">
              <w:rPr>
                <w:rFonts w:cs="Arial"/>
                <w:snapToGrid w:val="0"/>
              </w:rPr>
              <w:t>Prenatal CF diagnosed</w:t>
            </w:r>
          </w:p>
        </w:tc>
        <w:tc>
          <w:tcPr>
            <w:tcW w:w="1701" w:type="dxa"/>
          </w:tcPr>
          <w:p w14:paraId="63A05EE8"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24.94</w:t>
            </w:r>
          </w:p>
        </w:tc>
        <w:tc>
          <w:tcPr>
            <w:tcW w:w="1729" w:type="dxa"/>
          </w:tcPr>
          <w:p w14:paraId="1A65D967"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w:t>
            </w:r>
          </w:p>
        </w:tc>
        <w:tc>
          <w:tcPr>
            <w:tcW w:w="1560" w:type="dxa"/>
          </w:tcPr>
          <w:p w14:paraId="50520634"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24.94</w:t>
            </w:r>
          </w:p>
        </w:tc>
        <w:tc>
          <w:tcPr>
            <w:tcW w:w="1791" w:type="dxa"/>
          </w:tcPr>
          <w:p w14:paraId="75C4E529" w14:textId="060D25A1"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3845F73C" w14:textId="77777777" w:rsidTr="00F07365">
        <w:tc>
          <w:tcPr>
            <w:tcW w:w="2235" w:type="dxa"/>
            <w:tcBorders>
              <w:bottom w:val="nil"/>
            </w:tcBorders>
          </w:tcPr>
          <w:p w14:paraId="7520D1CC" w14:textId="77777777" w:rsidR="00737CDB" w:rsidRPr="0089415C" w:rsidRDefault="00737CDB" w:rsidP="00F07365">
            <w:pPr>
              <w:pStyle w:val="TableText0"/>
              <w:jc w:val="left"/>
              <w:rPr>
                <w:rFonts w:cs="Arial"/>
                <w:snapToGrid w:val="0"/>
              </w:rPr>
            </w:pPr>
            <w:r w:rsidRPr="0089415C">
              <w:rPr>
                <w:rFonts w:cs="Arial"/>
                <w:snapToGrid w:val="0"/>
              </w:rPr>
              <w:t>CF births total:</w:t>
            </w:r>
          </w:p>
        </w:tc>
        <w:tc>
          <w:tcPr>
            <w:tcW w:w="1701" w:type="dxa"/>
            <w:tcBorders>
              <w:bottom w:val="nil"/>
            </w:tcBorders>
          </w:tcPr>
          <w:p w14:paraId="071D8323"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1.23</w:t>
            </w:r>
          </w:p>
        </w:tc>
        <w:tc>
          <w:tcPr>
            <w:tcW w:w="1729" w:type="dxa"/>
            <w:tcBorders>
              <w:bottom w:val="nil"/>
            </w:tcBorders>
          </w:tcPr>
          <w:p w14:paraId="123C8B4B"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24.59</w:t>
            </w:r>
          </w:p>
        </w:tc>
        <w:tc>
          <w:tcPr>
            <w:tcW w:w="1560" w:type="dxa"/>
            <w:tcBorders>
              <w:bottom w:val="nil"/>
            </w:tcBorders>
          </w:tcPr>
          <w:p w14:paraId="37B86ADA" w14:textId="66E4766C" w:rsidR="00737CDB" w:rsidRPr="0089415C" w:rsidRDefault="001B527E" w:rsidP="00FE63E6">
            <w:pPr>
              <w:pStyle w:val="TableText0"/>
              <w:ind w:right="318"/>
              <w:jc w:val="right"/>
              <w:rPr>
                <w:rFonts w:eastAsia="Times New Roman" w:cs="Arial"/>
                <w:snapToGrid w:val="0"/>
              </w:rPr>
            </w:pPr>
            <w:r>
              <w:rPr>
                <w:rFonts w:cs="Arial"/>
                <w:snapToGrid w:val="0"/>
              </w:rPr>
              <w:t>–</w:t>
            </w:r>
            <w:r w:rsidR="00737CDB" w:rsidRPr="0089415C">
              <w:rPr>
                <w:rFonts w:cs="Arial"/>
                <w:snapToGrid w:val="0"/>
              </w:rPr>
              <w:t>23.36</w:t>
            </w:r>
          </w:p>
        </w:tc>
        <w:tc>
          <w:tcPr>
            <w:tcW w:w="1791" w:type="dxa"/>
            <w:tcBorders>
              <w:bottom w:val="nil"/>
            </w:tcBorders>
          </w:tcPr>
          <w:p w14:paraId="38E80649" w14:textId="77777777" w:rsidR="00737CDB" w:rsidRPr="0089415C" w:rsidRDefault="00737CDB" w:rsidP="00F07365">
            <w:pPr>
              <w:pStyle w:val="TableText0"/>
              <w:jc w:val="left"/>
              <w:rPr>
                <w:rFonts w:cs="Arial"/>
                <w:snapToGrid w:val="0"/>
              </w:rPr>
            </w:pPr>
          </w:p>
        </w:tc>
      </w:tr>
      <w:tr w:rsidR="00737CDB" w:rsidRPr="0089415C" w14:paraId="2CA62710" w14:textId="77777777" w:rsidTr="00F07365">
        <w:tc>
          <w:tcPr>
            <w:tcW w:w="2235" w:type="dxa"/>
            <w:tcBorders>
              <w:top w:val="nil"/>
              <w:bottom w:val="nil"/>
            </w:tcBorders>
          </w:tcPr>
          <w:p w14:paraId="6F2A9508" w14:textId="3ED3E970" w:rsidR="00737CDB" w:rsidRPr="0089415C" w:rsidRDefault="00891FEF" w:rsidP="00FE63E6">
            <w:pPr>
              <w:pStyle w:val="TableText0"/>
              <w:tabs>
                <w:tab w:val="left" w:pos="142"/>
              </w:tabs>
              <w:jc w:val="left"/>
              <w:rPr>
                <w:rFonts w:eastAsia="Times New Roman" w:cs="Arial"/>
                <w:snapToGrid w:val="0"/>
              </w:rPr>
            </w:pPr>
            <w:r>
              <w:rPr>
                <w:rFonts w:cs="Arial"/>
                <w:snapToGrid w:val="0"/>
              </w:rPr>
              <w:tab/>
            </w:r>
            <w:r w:rsidR="00737CDB" w:rsidRPr="0089415C">
              <w:rPr>
                <w:rFonts w:cs="Arial"/>
                <w:snapToGrid w:val="0"/>
              </w:rPr>
              <w:t>informed</w:t>
            </w:r>
          </w:p>
        </w:tc>
        <w:tc>
          <w:tcPr>
            <w:tcW w:w="1701" w:type="dxa"/>
            <w:tcBorders>
              <w:top w:val="nil"/>
              <w:bottom w:val="nil"/>
            </w:tcBorders>
          </w:tcPr>
          <w:p w14:paraId="4FA444BF"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1.23</w:t>
            </w:r>
          </w:p>
        </w:tc>
        <w:tc>
          <w:tcPr>
            <w:tcW w:w="1729" w:type="dxa"/>
            <w:tcBorders>
              <w:top w:val="nil"/>
              <w:bottom w:val="nil"/>
            </w:tcBorders>
          </w:tcPr>
          <w:p w14:paraId="6BEE4281"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w:t>
            </w:r>
          </w:p>
        </w:tc>
        <w:tc>
          <w:tcPr>
            <w:tcW w:w="1560" w:type="dxa"/>
            <w:tcBorders>
              <w:top w:val="nil"/>
              <w:bottom w:val="nil"/>
            </w:tcBorders>
          </w:tcPr>
          <w:p w14:paraId="2E7A3704"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1.23</w:t>
            </w:r>
          </w:p>
        </w:tc>
        <w:tc>
          <w:tcPr>
            <w:tcW w:w="1791" w:type="dxa"/>
            <w:tcBorders>
              <w:top w:val="nil"/>
              <w:bottom w:val="nil"/>
            </w:tcBorders>
          </w:tcPr>
          <w:p w14:paraId="219D5A83" w14:textId="41694B8F"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72F2471E" w14:textId="77777777" w:rsidTr="00F07365">
        <w:tc>
          <w:tcPr>
            <w:tcW w:w="2235" w:type="dxa"/>
            <w:tcBorders>
              <w:top w:val="nil"/>
            </w:tcBorders>
          </w:tcPr>
          <w:p w14:paraId="7D35519F" w14:textId="62AF4CD8" w:rsidR="00737CDB" w:rsidRPr="0089415C" w:rsidRDefault="00891FEF" w:rsidP="00FE63E6">
            <w:pPr>
              <w:pStyle w:val="TableText0"/>
              <w:tabs>
                <w:tab w:val="left" w:pos="142"/>
              </w:tabs>
              <w:jc w:val="left"/>
              <w:rPr>
                <w:rFonts w:eastAsia="Times New Roman" w:cs="Arial"/>
                <w:snapToGrid w:val="0"/>
              </w:rPr>
            </w:pPr>
            <w:r>
              <w:rPr>
                <w:rFonts w:cs="Arial"/>
                <w:snapToGrid w:val="0"/>
              </w:rPr>
              <w:tab/>
            </w:r>
            <w:r w:rsidR="00737CDB" w:rsidRPr="0089415C">
              <w:rPr>
                <w:rFonts w:cs="Arial"/>
                <w:snapToGrid w:val="0"/>
              </w:rPr>
              <w:t>uninformed</w:t>
            </w:r>
          </w:p>
        </w:tc>
        <w:tc>
          <w:tcPr>
            <w:tcW w:w="1701" w:type="dxa"/>
            <w:tcBorders>
              <w:top w:val="nil"/>
            </w:tcBorders>
          </w:tcPr>
          <w:p w14:paraId="0189458A"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0.0</w:t>
            </w:r>
          </w:p>
        </w:tc>
        <w:tc>
          <w:tcPr>
            <w:tcW w:w="1729" w:type="dxa"/>
            <w:tcBorders>
              <w:top w:val="nil"/>
            </w:tcBorders>
          </w:tcPr>
          <w:p w14:paraId="0A3D6D84"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24.59</w:t>
            </w:r>
          </w:p>
        </w:tc>
        <w:tc>
          <w:tcPr>
            <w:tcW w:w="1560" w:type="dxa"/>
            <w:tcBorders>
              <w:top w:val="nil"/>
            </w:tcBorders>
          </w:tcPr>
          <w:p w14:paraId="719F2523" w14:textId="659FEA25" w:rsidR="00737CDB" w:rsidRPr="0089415C" w:rsidRDefault="001B527E" w:rsidP="00FE63E6">
            <w:pPr>
              <w:pStyle w:val="TableText0"/>
              <w:ind w:right="318"/>
              <w:jc w:val="right"/>
              <w:rPr>
                <w:rFonts w:eastAsia="Times New Roman" w:cs="Arial"/>
                <w:b/>
                <w:snapToGrid w:val="0"/>
              </w:rPr>
            </w:pPr>
            <w:r>
              <w:rPr>
                <w:rFonts w:cs="Arial"/>
                <w:snapToGrid w:val="0"/>
              </w:rPr>
              <w:t>–</w:t>
            </w:r>
            <w:r w:rsidR="00737CDB" w:rsidRPr="0089415C">
              <w:rPr>
                <w:rFonts w:cs="Arial"/>
                <w:snapToGrid w:val="0"/>
              </w:rPr>
              <w:t>24.59</w:t>
            </w:r>
          </w:p>
        </w:tc>
        <w:tc>
          <w:tcPr>
            <w:tcW w:w="1791" w:type="dxa"/>
            <w:tcBorders>
              <w:top w:val="nil"/>
            </w:tcBorders>
          </w:tcPr>
          <w:p w14:paraId="0160A04C" w14:textId="77777777" w:rsidR="00737CDB" w:rsidRPr="0089415C" w:rsidRDefault="00737CDB" w:rsidP="00F07365">
            <w:pPr>
              <w:pStyle w:val="TableText0"/>
              <w:jc w:val="left"/>
              <w:rPr>
                <w:rFonts w:cs="Arial"/>
                <w:snapToGrid w:val="0"/>
              </w:rPr>
            </w:pPr>
          </w:p>
        </w:tc>
      </w:tr>
      <w:tr w:rsidR="00737CDB" w:rsidRPr="0089415C" w14:paraId="38C49047" w14:textId="77777777" w:rsidTr="00F07365">
        <w:tc>
          <w:tcPr>
            <w:tcW w:w="2235" w:type="dxa"/>
            <w:tcBorders>
              <w:top w:val="nil"/>
            </w:tcBorders>
          </w:tcPr>
          <w:p w14:paraId="539F3CFD" w14:textId="77777777" w:rsidR="00737CDB" w:rsidRPr="0089415C" w:rsidRDefault="00737CDB" w:rsidP="00F07365">
            <w:pPr>
              <w:pStyle w:val="TableText0"/>
              <w:jc w:val="left"/>
              <w:rPr>
                <w:rFonts w:cs="Arial"/>
                <w:snapToGrid w:val="0"/>
              </w:rPr>
            </w:pPr>
            <w:r w:rsidRPr="0089415C">
              <w:rPr>
                <w:rFonts w:cs="Arial"/>
                <w:snapToGrid w:val="0"/>
              </w:rPr>
              <w:t>CF birth averted</w:t>
            </w:r>
          </w:p>
        </w:tc>
        <w:tc>
          <w:tcPr>
            <w:tcW w:w="1701" w:type="dxa"/>
            <w:tcBorders>
              <w:top w:val="nil"/>
            </w:tcBorders>
          </w:tcPr>
          <w:p w14:paraId="1EF39B4A"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23.72</w:t>
            </w:r>
          </w:p>
        </w:tc>
        <w:tc>
          <w:tcPr>
            <w:tcW w:w="1729" w:type="dxa"/>
            <w:tcBorders>
              <w:top w:val="nil"/>
            </w:tcBorders>
          </w:tcPr>
          <w:p w14:paraId="02993682"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w:t>
            </w:r>
          </w:p>
        </w:tc>
        <w:tc>
          <w:tcPr>
            <w:tcW w:w="1560" w:type="dxa"/>
            <w:tcBorders>
              <w:top w:val="nil"/>
            </w:tcBorders>
          </w:tcPr>
          <w:p w14:paraId="4ACCDDC9"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23.72</w:t>
            </w:r>
          </w:p>
        </w:tc>
        <w:tc>
          <w:tcPr>
            <w:tcW w:w="1791" w:type="dxa"/>
            <w:tcBorders>
              <w:top w:val="nil"/>
            </w:tcBorders>
          </w:tcPr>
          <w:p w14:paraId="30654994" w14:textId="7F847E05"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08C27AF4" w14:textId="77777777" w:rsidTr="00F07365">
        <w:tc>
          <w:tcPr>
            <w:tcW w:w="2235" w:type="dxa"/>
          </w:tcPr>
          <w:p w14:paraId="67DFC1A4" w14:textId="77777777" w:rsidR="00737CDB" w:rsidRPr="0089415C" w:rsidRDefault="00737CDB" w:rsidP="00F07365">
            <w:pPr>
              <w:pStyle w:val="TableText0"/>
              <w:jc w:val="left"/>
              <w:rPr>
                <w:rFonts w:cs="Arial"/>
                <w:snapToGrid w:val="0"/>
              </w:rPr>
            </w:pPr>
            <w:r w:rsidRPr="0089415C">
              <w:rPr>
                <w:rFonts w:cs="Arial"/>
                <w:snapToGrid w:val="0"/>
              </w:rPr>
              <w:t>Fetal loss</w:t>
            </w:r>
          </w:p>
        </w:tc>
        <w:tc>
          <w:tcPr>
            <w:tcW w:w="1701" w:type="dxa"/>
          </w:tcPr>
          <w:p w14:paraId="0E14A638"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1.26</w:t>
            </w:r>
          </w:p>
        </w:tc>
        <w:tc>
          <w:tcPr>
            <w:tcW w:w="1729" w:type="dxa"/>
          </w:tcPr>
          <w:p w14:paraId="49396C90"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1.65</w:t>
            </w:r>
          </w:p>
        </w:tc>
        <w:tc>
          <w:tcPr>
            <w:tcW w:w="1560" w:type="dxa"/>
          </w:tcPr>
          <w:p w14:paraId="3B06AF52" w14:textId="42E67046" w:rsidR="00737CDB" w:rsidRPr="0089415C" w:rsidRDefault="001B527E" w:rsidP="00FE63E6">
            <w:pPr>
              <w:pStyle w:val="TableText0"/>
              <w:ind w:right="318"/>
              <w:jc w:val="right"/>
              <w:rPr>
                <w:rFonts w:eastAsia="Times New Roman" w:cs="Arial"/>
                <w:b/>
                <w:snapToGrid w:val="0"/>
              </w:rPr>
            </w:pPr>
            <w:r>
              <w:rPr>
                <w:rFonts w:cs="Arial"/>
                <w:snapToGrid w:val="0"/>
              </w:rPr>
              <w:t>–</w:t>
            </w:r>
            <w:r w:rsidR="00737CDB" w:rsidRPr="0089415C">
              <w:rPr>
                <w:rFonts w:cs="Arial"/>
                <w:snapToGrid w:val="0"/>
              </w:rPr>
              <w:t>0.40</w:t>
            </w:r>
          </w:p>
        </w:tc>
        <w:tc>
          <w:tcPr>
            <w:tcW w:w="1791" w:type="dxa"/>
          </w:tcPr>
          <w:p w14:paraId="0A80C2EB" w14:textId="77777777" w:rsidR="00737CDB" w:rsidRPr="0089415C" w:rsidRDefault="00737CDB" w:rsidP="00F07365">
            <w:pPr>
              <w:pStyle w:val="TableText0"/>
              <w:jc w:val="left"/>
              <w:rPr>
                <w:rFonts w:cs="Arial"/>
                <w:snapToGrid w:val="0"/>
              </w:rPr>
            </w:pPr>
          </w:p>
        </w:tc>
      </w:tr>
      <w:tr w:rsidR="00737CDB" w:rsidRPr="0089415C" w14:paraId="1E6B5EBF" w14:textId="77777777" w:rsidTr="00F07365">
        <w:tc>
          <w:tcPr>
            <w:tcW w:w="2235" w:type="dxa"/>
          </w:tcPr>
          <w:p w14:paraId="27F3A45B" w14:textId="1D6DF750" w:rsidR="00737CDB" w:rsidRPr="0089415C" w:rsidRDefault="00737CDB" w:rsidP="00F07365">
            <w:pPr>
              <w:pStyle w:val="TableText0"/>
              <w:jc w:val="left"/>
              <w:rPr>
                <w:rFonts w:cs="Arial"/>
                <w:snapToGrid w:val="0"/>
              </w:rPr>
            </w:pPr>
            <w:r w:rsidRPr="0089415C">
              <w:rPr>
                <w:rFonts w:cs="Arial"/>
                <w:snapToGrid w:val="0"/>
              </w:rPr>
              <w:t>Procedure</w:t>
            </w:r>
            <w:r w:rsidR="007113DD">
              <w:rPr>
                <w:rFonts w:cs="Arial"/>
                <w:snapToGrid w:val="0"/>
              </w:rPr>
              <w:t>-</w:t>
            </w:r>
            <w:r w:rsidRPr="0089415C">
              <w:rPr>
                <w:rFonts w:cs="Arial"/>
                <w:snapToGrid w:val="0"/>
              </w:rPr>
              <w:t>related fetal loss</w:t>
            </w:r>
          </w:p>
        </w:tc>
        <w:tc>
          <w:tcPr>
            <w:tcW w:w="1701" w:type="dxa"/>
          </w:tcPr>
          <w:p w14:paraId="48F4F600"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0.15</w:t>
            </w:r>
          </w:p>
        </w:tc>
        <w:tc>
          <w:tcPr>
            <w:tcW w:w="1729" w:type="dxa"/>
          </w:tcPr>
          <w:p w14:paraId="788E27A7"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w:t>
            </w:r>
          </w:p>
        </w:tc>
        <w:tc>
          <w:tcPr>
            <w:tcW w:w="1560" w:type="dxa"/>
          </w:tcPr>
          <w:p w14:paraId="009420B7"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0.15</w:t>
            </w:r>
          </w:p>
        </w:tc>
        <w:tc>
          <w:tcPr>
            <w:tcW w:w="1791" w:type="dxa"/>
          </w:tcPr>
          <w:p w14:paraId="4DB7C773" w14:textId="18E37430" w:rsidR="00737CDB" w:rsidRPr="0089415C" w:rsidRDefault="00737CDB" w:rsidP="00F07365">
            <w:pPr>
              <w:pStyle w:val="TableText0"/>
              <w:jc w:val="left"/>
              <w:rPr>
                <w:rFonts w:cs="Arial"/>
                <w:snapToGrid w:val="0"/>
              </w:rPr>
            </w:pPr>
            <w:r w:rsidRPr="0089415C">
              <w:rPr>
                <w:rFonts w:cs="Arial"/>
                <w:snapToGrid w:val="0"/>
              </w:rPr>
              <w:t>Harm</w:t>
            </w:r>
          </w:p>
        </w:tc>
      </w:tr>
      <w:tr w:rsidR="00737CDB" w:rsidRPr="0089415C" w14:paraId="3CFFF05F" w14:textId="77777777" w:rsidTr="00F07365">
        <w:tc>
          <w:tcPr>
            <w:tcW w:w="2235" w:type="dxa"/>
          </w:tcPr>
          <w:p w14:paraId="181E8DC5" w14:textId="77777777" w:rsidR="00737CDB" w:rsidRPr="0089415C" w:rsidRDefault="00737CDB" w:rsidP="00F07365">
            <w:pPr>
              <w:pStyle w:val="TableText0"/>
              <w:jc w:val="left"/>
              <w:rPr>
                <w:rFonts w:cs="Arial"/>
                <w:snapToGrid w:val="0"/>
              </w:rPr>
            </w:pPr>
            <w:r w:rsidRPr="0089415C">
              <w:rPr>
                <w:rFonts w:cs="Arial"/>
                <w:snapToGrid w:val="0"/>
              </w:rPr>
              <w:t>No CF</w:t>
            </w:r>
          </w:p>
        </w:tc>
        <w:tc>
          <w:tcPr>
            <w:tcW w:w="1701" w:type="dxa"/>
          </w:tcPr>
          <w:p w14:paraId="673183DF"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73.65</w:t>
            </w:r>
          </w:p>
        </w:tc>
        <w:tc>
          <w:tcPr>
            <w:tcW w:w="1729" w:type="dxa"/>
          </w:tcPr>
          <w:p w14:paraId="719D02E3" w14:textId="77777777" w:rsidR="00737CDB" w:rsidRPr="0089415C" w:rsidRDefault="00737CDB" w:rsidP="00FE63E6">
            <w:pPr>
              <w:pStyle w:val="TableText0"/>
              <w:ind w:right="318"/>
              <w:jc w:val="right"/>
              <w:rPr>
                <w:rFonts w:eastAsia="Times New Roman" w:cs="Arial"/>
                <w:snapToGrid w:val="0"/>
              </w:rPr>
            </w:pPr>
            <w:r w:rsidRPr="0089415C">
              <w:rPr>
                <w:rFonts w:cs="Arial"/>
                <w:snapToGrid w:val="0"/>
              </w:rPr>
              <w:t>73.76</w:t>
            </w:r>
          </w:p>
        </w:tc>
        <w:tc>
          <w:tcPr>
            <w:tcW w:w="1560" w:type="dxa"/>
          </w:tcPr>
          <w:p w14:paraId="2F84A87D" w14:textId="1EB56F49" w:rsidR="00737CDB" w:rsidRPr="0089415C" w:rsidRDefault="001B527E" w:rsidP="00FE63E6">
            <w:pPr>
              <w:pStyle w:val="TableText0"/>
              <w:ind w:right="318"/>
              <w:jc w:val="right"/>
              <w:rPr>
                <w:rFonts w:eastAsia="Times New Roman" w:cs="Arial"/>
                <w:b/>
                <w:smallCaps/>
                <w:noProof/>
                <w:snapToGrid w:val="0"/>
              </w:rPr>
            </w:pPr>
            <w:r>
              <w:rPr>
                <w:rFonts w:cs="Arial"/>
                <w:snapToGrid w:val="0"/>
              </w:rPr>
              <w:t>–</w:t>
            </w:r>
            <w:r w:rsidR="00737CDB" w:rsidRPr="0089415C">
              <w:rPr>
                <w:rFonts w:cs="Arial"/>
                <w:snapToGrid w:val="0"/>
              </w:rPr>
              <w:t>0.11</w:t>
            </w:r>
          </w:p>
        </w:tc>
        <w:tc>
          <w:tcPr>
            <w:tcW w:w="1791" w:type="dxa"/>
          </w:tcPr>
          <w:p w14:paraId="0F409E27" w14:textId="77777777" w:rsidR="00737CDB" w:rsidRPr="0089415C" w:rsidRDefault="00737CDB" w:rsidP="00F07365">
            <w:pPr>
              <w:pStyle w:val="TableText0"/>
              <w:jc w:val="left"/>
              <w:rPr>
                <w:rFonts w:cs="Arial"/>
                <w:snapToGrid w:val="0"/>
              </w:rPr>
            </w:pPr>
            <w:r w:rsidRPr="0089415C">
              <w:rPr>
                <w:rFonts w:cs="Arial"/>
                <w:snapToGrid w:val="0"/>
              </w:rPr>
              <w:t>-</w:t>
            </w:r>
          </w:p>
        </w:tc>
      </w:tr>
    </w:tbl>
    <w:p w14:paraId="41B53AD0" w14:textId="77777777" w:rsidR="00737CDB" w:rsidRPr="00FC4A03" w:rsidRDefault="00737CDB" w:rsidP="00737CDB">
      <w:pPr>
        <w:widowControl w:val="0"/>
        <w:spacing w:after="120" w:line="240" w:lineRule="auto"/>
        <w:rPr>
          <w:rFonts w:ascii="Arial Narrow" w:hAnsi="Arial Narrow" w:cs="Arial"/>
          <w:snapToGrid w:val="0"/>
          <w:sz w:val="18"/>
          <w:szCs w:val="20"/>
          <w:lang w:eastAsia="en-US"/>
        </w:rPr>
      </w:pPr>
      <w:r w:rsidRPr="00FC4A03">
        <w:rPr>
          <w:rFonts w:ascii="Arial Narrow" w:hAnsi="Arial Narrow" w:cs="Arial"/>
          <w:snapToGrid w:val="0"/>
          <w:sz w:val="18"/>
          <w:szCs w:val="20"/>
          <w:lang w:eastAsia="en-US"/>
        </w:rPr>
        <w:t>CF = cystic fibrosis</w:t>
      </w:r>
    </w:p>
    <w:p w14:paraId="609E1048" w14:textId="5A618CC2" w:rsidR="00737CDB" w:rsidRPr="00FC4A03" w:rsidRDefault="00737CDB" w:rsidP="00022486">
      <w:pPr>
        <w:pStyle w:val="Caption"/>
        <w:spacing w:before="240"/>
        <w:ind w:left="1134" w:hanging="1134"/>
      </w:pPr>
      <w:bookmarkStart w:id="360" w:name="_Ref417458397"/>
      <w:bookmarkStart w:id="361" w:name="_Toc418179459"/>
      <w:r w:rsidRPr="00FC4A03">
        <w:t xml:space="preserve">Table </w:t>
      </w:r>
      <w:fldSimple w:instr=" SEQ Table \* ARABIC ">
        <w:r w:rsidR="00BB0E3E">
          <w:rPr>
            <w:noProof/>
          </w:rPr>
          <w:t>62</w:t>
        </w:r>
      </w:fldSimple>
      <w:bookmarkEnd w:id="360"/>
      <w:r w:rsidRPr="00FC4A03">
        <w:tab/>
        <w:t xml:space="preserve">Outcome </w:t>
      </w:r>
      <w:r>
        <w:t>and incremental effects (per 100 pregnancies) for</w:t>
      </w:r>
      <w:r w:rsidRPr="00FC4A03">
        <w:t xml:space="preserve"> </w:t>
      </w:r>
      <w:r>
        <w:t>base</w:t>
      </w:r>
      <w:r w:rsidR="007113DD">
        <w:t>-</w:t>
      </w:r>
      <w:r>
        <w:t>case scenario</w:t>
      </w:r>
      <w:r w:rsidR="00C93FD7">
        <w:t xml:space="preserve"> in</w:t>
      </w:r>
      <w:r>
        <w:t xml:space="preserve"> </w:t>
      </w:r>
      <w:r w:rsidR="007113DD">
        <w:t>m</w:t>
      </w:r>
      <w:r>
        <w:t>odel</w:t>
      </w:r>
      <w:r w:rsidR="00045613">
        <w:t xml:space="preserve"> </w:t>
      </w:r>
      <w:r>
        <w:t>2</w:t>
      </w:r>
      <w:r w:rsidR="00C93FD7">
        <w:t xml:space="preserve"> (Fetus with FEB)</w:t>
      </w:r>
      <w:bookmarkEnd w:id="361"/>
    </w:p>
    <w:tbl>
      <w:tblPr>
        <w:tblStyle w:val="TableGrid9"/>
        <w:tblW w:w="0" w:type="auto"/>
        <w:tblLook w:val="04A0" w:firstRow="1" w:lastRow="0" w:firstColumn="1" w:lastColumn="0" w:noHBand="0" w:noVBand="1"/>
        <w:tblCaption w:val="Outcome and incremental effects (per 100 pregnancies) for base-case scenario: model2"/>
        <w:tblDescription w:val="Outcome and incremental effects (per 100 pregnancies) for base-case scenario: model2"/>
      </w:tblPr>
      <w:tblGrid>
        <w:gridCol w:w="2235"/>
        <w:gridCol w:w="1701"/>
        <w:gridCol w:w="1729"/>
        <w:gridCol w:w="1596"/>
        <w:gridCol w:w="1791"/>
      </w:tblGrid>
      <w:tr w:rsidR="00737CDB" w:rsidRPr="0089415C" w14:paraId="0C5D1C86" w14:textId="77777777" w:rsidTr="007C1FC6">
        <w:trPr>
          <w:tblHeader/>
        </w:trPr>
        <w:tc>
          <w:tcPr>
            <w:tcW w:w="2235" w:type="dxa"/>
            <w:shd w:val="clear" w:color="auto" w:fill="auto"/>
          </w:tcPr>
          <w:p w14:paraId="2AE38861" w14:textId="77777777" w:rsidR="00737CDB" w:rsidRPr="0089415C" w:rsidRDefault="00737CDB" w:rsidP="00F07365">
            <w:pPr>
              <w:pStyle w:val="TableHeading"/>
              <w:jc w:val="left"/>
              <w:rPr>
                <w:snapToGrid w:val="0"/>
              </w:rPr>
            </w:pPr>
            <w:r w:rsidRPr="0089415C">
              <w:rPr>
                <w:snapToGrid w:val="0"/>
              </w:rPr>
              <w:t>Outcome</w:t>
            </w:r>
          </w:p>
        </w:tc>
        <w:tc>
          <w:tcPr>
            <w:tcW w:w="1701" w:type="dxa"/>
            <w:shd w:val="clear" w:color="auto" w:fill="auto"/>
          </w:tcPr>
          <w:p w14:paraId="75F3AC21" w14:textId="77777777" w:rsidR="00737CDB" w:rsidRPr="0089415C" w:rsidRDefault="00737CDB" w:rsidP="00FE63E6">
            <w:pPr>
              <w:pStyle w:val="TableHeading"/>
              <w:jc w:val="center"/>
              <w:rPr>
                <w:rFonts w:eastAsia="Times New Roman"/>
                <w:snapToGrid w:val="0"/>
                <w:lang w:eastAsia="en-AU"/>
              </w:rPr>
            </w:pPr>
            <w:r w:rsidRPr="0089415C">
              <w:rPr>
                <w:snapToGrid w:val="0"/>
              </w:rPr>
              <w:t>Prenatal testing</w:t>
            </w:r>
          </w:p>
        </w:tc>
        <w:tc>
          <w:tcPr>
            <w:tcW w:w="1729" w:type="dxa"/>
            <w:shd w:val="clear" w:color="auto" w:fill="auto"/>
          </w:tcPr>
          <w:p w14:paraId="201F655A" w14:textId="77777777" w:rsidR="00737CDB" w:rsidRPr="0089415C" w:rsidRDefault="00737CDB" w:rsidP="00FE63E6">
            <w:pPr>
              <w:pStyle w:val="TableHeading"/>
              <w:jc w:val="center"/>
              <w:rPr>
                <w:rFonts w:eastAsia="Times New Roman"/>
                <w:snapToGrid w:val="0"/>
                <w:lang w:eastAsia="en-AU"/>
              </w:rPr>
            </w:pPr>
            <w:r w:rsidRPr="0089415C">
              <w:rPr>
                <w:snapToGrid w:val="0"/>
              </w:rPr>
              <w:t>No prenatal testing</w:t>
            </w:r>
          </w:p>
        </w:tc>
        <w:tc>
          <w:tcPr>
            <w:tcW w:w="1560" w:type="dxa"/>
            <w:shd w:val="clear" w:color="auto" w:fill="auto"/>
          </w:tcPr>
          <w:p w14:paraId="6F7FEECE" w14:textId="77777777" w:rsidR="00737CDB" w:rsidRPr="0089415C" w:rsidRDefault="00737CDB" w:rsidP="00FE63E6">
            <w:pPr>
              <w:pStyle w:val="TableHeading"/>
              <w:jc w:val="center"/>
              <w:rPr>
                <w:rFonts w:eastAsia="Times New Roman"/>
                <w:snapToGrid w:val="0"/>
                <w:lang w:eastAsia="en-AU"/>
              </w:rPr>
            </w:pPr>
            <w:r w:rsidRPr="0089415C">
              <w:rPr>
                <w:snapToGrid w:val="0"/>
              </w:rPr>
              <w:t>Incremental effectiveness</w:t>
            </w:r>
          </w:p>
        </w:tc>
        <w:tc>
          <w:tcPr>
            <w:tcW w:w="1791" w:type="dxa"/>
            <w:shd w:val="clear" w:color="auto" w:fill="auto"/>
          </w:tcPr>
          <w:p w14:paraId="19F94F1F" w14:textId="5A2BCCAC" w:rsidR="00737CDB" w:rsidRPr="0089415C" w:rsidRDefault="00C93FD7">
            <w:pPr>
              <w:pStyle w:val="TableHeading"/>
              <w:jc w:val="left"/>
              <w:rPr>
                <w:rFonts w:eastAsia="Times New Roman"/>
                <w:snapToGrid w:val="0"/>
                <w:lang w:eastAsia="en-AU"/>
              </w:rPr>
            </w:pPr>
            <w:r>
              <w:rPr>
                <w:snapToGrid w:val="0"/>
              </w:rPr>
              <w:t>Nature of effect</w:t>
            </w:r>
          </w:p>
        </w:tc>
      </w:tr>
      <w:tr w:rsidR="00737CDB" w:rsidRPr="0089415C" w14:paraId="65183081" w14:textId="77777777" w:rsidTr="00F07365">
        <w:tc>
          <w:tcPr>
            <w:tcW w:w="2235" w:type="dxa"/>
          </w:tcPr>
          <w:p w14:paraId="6B1C065C" w14:textId="77777777" w:rsidR="00737CDB" w:rsidRPr="0089415C" w:rsidRDefault="00737CDB" w:rsidP="00F07365">
            <w:pPr>
              <w:pStyle w:val="TableText0"/>
              <w:jc w:val="left"/>
              <w:rPr>
                <w:rFonts w:cs="Arial"/>
                <w:snapToGrid w:val="0"/>
              </w:rPr>
            </w:pPr>
            <w:r w:rsidRPr="0089415C">
              <w:rPr>
                <w:rFonts w:cs="Arial"/>
                <w:snapToGrid w:val="0"/>
              </w:rPr>
              <w:t>Prenatal CF diagnosed</w:t>
            </w:r>
          </w:p>
        </w:tc>
        <w:tc>
          <w:tcPr>
            <w:tcW w:w="1701" w:type="dxa"/>
          </w:tcPr>
          <w:p w14:paraId="2D2CF4C7"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3.58</w:t>
            </w:r>
          </w:p>
        </w:tc>
        <w:tc>
          <w:tcPr>
            <w:tcW w:w="1729" w:type="dxa"/>
          </w:tcPr>
          <w:p w14:paraId="30B74BCA"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w:t>
            </w:r>
          </w:p>
        </w:tc>
        <w:tc>
          <w:tcPr>
            <w:tcW w:w="1560" w:type="dxa"/>
          </w:tcPr>
          <w:p w14:paraId="02E34187"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3.58</w:t>
            </w:r>
          </w:p>
        </w:tc>
        <w:tc>
          <w:tcPr>
            <w:tcW w:w="1791" w:type="dxa"/>
          </w:tcPr>
          <w:p w14:paraId="635593E9" w14:textId="3FCA82F7"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22529DED" w14:textId="77777777" w:rsidTr="00F07365">
        <w:tc>
          <w:tcPr>
            <w:tcW w:w="2235" w:type="dxa"/>
            <w:tcBorders>
              <w:bottom w:val="nil"/>
            </w:tcBorders>
          </w:tcPr>
          <w:p w14:paraId="6C09B40E" w14:textId="77777777" w:rsidR="00737CDB" w:rsidRPr="0089415C" w:rsidRDefault="00737CDB" w:rsidP="00F07365">
            <w:pPr>
              <w:pStyle w:val="TableText0"/>
              <w:jc w:val="left"/>
              <w:rPr>
                <w:rFonts w:cs="Arial"/>
                <w:snapToGrid w:val="0"/>
              </w:rPr>
            </w:pPr>
            <w:r w:rsidRPr="0089415C">
              <w:rPr>
                <w:rFonts w:cs="Arial"/>
                <w:snapToGrid w:val="0"/>
              </w:rPr>
              <w:t>CF births total:</w:t>
            </w:r>
          </w:p>
        </w:tc>
        <w:tc>
          <w:tcPr>
            <w:tcW w:w="1701" w:type="dxa"/>
            <w:tcBorders>
              <w:bottom w:val="nil"/>
            </w:tcBorders>
          </w:tcPr>
          <w:p w14:paraId="4B4D6C34"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2.13</w:t>
            </w:r>
          </w:p>
        </w:tc>
        <w:tc>
          <w:tcPr>
            <w:tcW w:w="1729" w:type="dxa"/>
            <w:tcBorders>
              <w:bottom w:val="nil"/>
            </w:tcBorders>
          </w:tcPr>
          <w:p w14:paraId="743CEF1D"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4.44</w:t>
            </w:r>
          </w:p>
        </w:tc>
        <w:tc>
          <w:tcPr>
            <w:tcW w:w="1560" w:type="dxa"/>
            <w:tcBorders>
              <w:bottom w:val="nil"/>
            </w:tcBorders>
          </w:tcPr>
          <w:p w14:paraId="60AE1EC6" w14:textId="6B61CF6E" w:rsidR="00737CDB" w:rsidRPr="0089415C" w:rsidRDefault="00667DD9" w:rsidP="00FE63E6">
            <w:pPr>
              <w:pStyle w:val="TableText0"/>
              <w:tabs>
                <w:tab w:val="decimal" w:pos="742"/>
              </w:tabs>
              <w:ind w:right="318"/>
              <w:jc w:val="left"/>
              <w:rPr>
                <w:rFonts w:eastAsia="Times New Roman" w:cs="Arial"/>
                <w:snapToGrid w:val="0"/>
              </w:rPr>
            </w:pPr>
            <w:r>
              <w:rPr>
                <w:rFonts w:cs="Arial"/>
                <w:snapToGrid w:val="0"/>
              </w:rPr>
              <w:t>–</w:t>
            </w:r>
            <w:r w:rsidR="00737CDB" w:rsidRPr="0089415C">
              <w:rPr>
                <w:rFonts w:cs="Arial"/>
                <w:snapToGrid w:val="0"/>
              </w:rPr>
              <w:t>2.31</w:t>
            </w:r>
          </w:p>
        </w:tc>
        <w:tc>
          <w:tcPr>
            <w:tcW w:w="1791" w:type="dxa"/>
            <w:tcBorders>
              <w:bottom w:val="nil"/>
            </w:tcBorders>
          </w:tcPr>
          <w:p w14:paraId="12DF79DC" w14:textId="77777777" w:rsidR="00737CDB" w:rsidRPr="0089415C" w:rsidRDefault="00737CDB" w:rsidP="00F07365">
            <w:pPr>
              <w:pStyle w:val="TableText0"/>
              <w:jc w:val="left"/>
              <w:rPr>
                <w:rFonts w:cs="Arial"/>
                <w:snapToGrid w:val="0"/>
              </w:rPr>
            </w:pPr>
          </w:p>
        </w:tc>
      </w:tr>
      <w:tr w:rsidR="00737CDB" w:rsidRPr="0089415C" w14:paraId="6788CD1B" w14:textId="77777777" w:rsidTr="00F07365">
        <w:tc>
          <w:tcPr>
            <w:tcW w:w="2235" w:type="dxa"/>
            <w:tcBorders>
              <w:top w:val="nil"/>
              <w:bottom w:val="nil"/>
            </w:tcBorders>
          </w:tcPr>
          <w:p w14:paraId="56815EFE" w14:textId="5165A891" w:rsidR="00737CDB" w:rsidRPr="0089415C" w:rsidRDefault="001B527E" w:rsidP="00FE63E6">
            <w:pPr>
              <w:pStyle w:val="TableText0"/>
              <w:tabs>
                <w:tab w:val="left" w:pos="142"/>
              </w:tabs>
              <w:jc w:val="left"/>
              <w:rPr>
                <w:rFonts w:eastAsia="Times New Roman" w:cs="Arial"/>
                <w:snapToGrid w:val="0"/>
              </w:rPr>
            </w:pPr>
            <w:r>
              <w:rPr>
                <w:rFonts w:cs="Arial"/>
                <w:snapToGrid w:val="0"/>
              </w:rPr>
              <w:tab/>
            </w:r>
            <w:r w:rsidR="00737CDB" w:rsidRPr="0089415C">
              <w:rPr>
                <w:rFonts w:cs="Arial"/>
                <w:snapToGrid w:val="0"/>
              </w:rPr>
              <w:t>informed</w:t>
            </w:r>
          </w:p>
        </w:tc>
        <w:tc>
          <w:tcPr>
            <w:tcW w:w="1701" w:type="dxa"/>
            <w:tcBorders>
              <w:top w:val="nil"/>
              <w:bottom w:val="nil"/>
            </w:tcBorders>
          </w:tcPr>
          <w:p w14:paraId="3C262492"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1.24</w:t>
            </w:r>
          </w:p>
        </w:tc>
        <w:tc>
          <w:tcPr>
            <w:tcW w:w="1729" w:type="dxa"/>
            <w:tcBorders>
              <w:top w:val="nil"/>
              <w:bottom w:val="nil"/>
            </w:tcBorders>
          </w:tcPr>
          <w:p w14:paraId="1E55B6E7"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w:t>
            </w:r>
          </w:p>
        </w:tc>
        <w:tc>
          <w:tcPr>
            <w:tcW w:w="1560" w:type="dxa"/>
            <w:tcBorders>
              <w:top w:val="nil"/>
              <w:bottom w:val="nil"/>
            </w:tcBorders>
          </w:tcPr>
          <w:p w14:paraId="595688CB"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1.24</w:t>
            </w:r>
          </w:p>
        </w:tc>
        <w:tc>
          <w:tcPr>
            <w:tcW w:w="1791" w:type="dxa"/>
            <w:tcBorders>
              <w:top w:val="nil"/>
              <w:bottom w:val="nil"/>
            </w:tcBorders>
          </w:tcPr>
          <w:p w14:paraId="67CABB85" w14:textId="570F1C10"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4385587C" w14:textId="77777777" w:rsidTr="00F07365">
        <w:tc>
          <w:tcPr>
            <w:tcW w:w="2235" w:type="dxa"/>
            <w:tcBorders>
              <w:top w:val="nil"/>
            </w:tcBorders>
          </w:tcPr>
          <w:p w14:paraId="06318551" w14:textId="44009B8A" w:rsidR="00737CDB" w:rsidRPr="0089415C" w:rsidRDefault="001B527E" w:rsidP="00FE63E6">
            <w:pPr>
              <w:pStyle w:val="TableText0"/>
              <w:tabs>
                <w:tab w:val="left" w:pos="142"/>
              </w:tabs>
              <w:jc w:val="left"/>
              <w:rPr>
                <w:rFonts w:eastAsia="Times New Roman" w:cs="Arial"/>
                <w:snapToGrid w:val="0"/>
              </w:rPr>
            </w:pPr>
            <w:r>
              <w:rPr>
                <w:rFonts w:cs="Arial"/>
                <w:snapToGrid w:val="0"/>
              </w:rPr>
              <w:tab/>
            </w:r>
            <w:r w:rsidR="00737CDB" w:rsidRPr="0089415C">
              <w:rPr>
                <w:rFonts w:cs="Arial"/>
                <w:snapToGrid w:val="0"/>
              </w:rPr>
              <w:t>uninformed</w:t>
            </w:r>
          </w:p>
        </w:tc>
        <w:tc>
          <w:tcPr>
            <w:tcW w:w="1701" w:type="dxa"/>
            <w:tcBorders>
              <w:top w:val="nil"/>
            </w:tcBorders>
          </w:tcPr>
          <w:p w14:paraId="34D4153F"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0.89</w:t>
            </w:r>
          </w:p>
        </w:tc>
        <w:tc>
          <w:tcPr>
            <w:tcW w:w="1729" w:type="dxa"/>
            <w:tcBorders>
              <w:top w:val="nil"/>
            </w:tcBorders>
          </w:tcPr>
          <w:p w14:paraId="473FDACB"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4.44</w:t>
            </w:r>
          </w:p>
        </w:tc>
        <w:tc>
          <w:tcPr>
            <w:tcW w:w="1560" w:type="dxa"/>
            <w:tcBorders>
              <w:top w:val="nil"/>
            </w:tcBorders>
          </w:tcPr>
          <w:p w14:paraId="77B96D77" w14:textId="225FB0D0" w:rsidR="00737CDB" w:rsidRPr="0089415C" w:rsidRDefault="00667DD9" w:rsidP="00FE63E6">
            <w:pPr>
              <w:pStyle w:val="TableText0"/>
              <w:tabs>
                <w:tab w:val="decimal" w:pos="742"/>
              </w:tabs>
              <w:ind w:right="318"/>
              <w:jc w:val="left"/>
              <w:rPr>
                <w:rFonts w:eastAsia="Times New Roman" w:cs="Arial"/>
                <w:b/>
                <w:snapToGrid w:val="0"/>
              </w:rPr>
            </w:pPr>
            <w:r>
              <w:rPr>
                <w:rFonts w:cs="Arial"/>
                <w:snapToGrid w:val="0"/>
              </w:rPr>
              <w:t>–</w:t>
            </w:r>
            <w:r w:rsidR="00737CDB" w:rsidRPr="0089415C">
              <w:rPr>
                <w:rFonts w:cs="Arial"/>
                <w:snapToGrid w:val="0"/>
              </w:rPr>
              <w:t>3.55</w:t>
            </w:r>
          </w:p>
        </w:tc>
        <w:tc>
          <w:tcPr>
            <w:tcW w:w="1791" w:type="dxa"/>
            <w:tcBorders>
              <w:top w:val="nil"/>
            </w:tcBorders>
          </w:tcPr>
          <w:p w14:paraId="1FA978A0" w14:textId="77777777" w:rsidR="00737CDB" w:rsidRPr="0089415C" w:rsidRDefault="00737CDB" w:rsidP="00F07365">
            <w:pPr>
              <w:pStyle w:val="TableText0"/>
              <w:jc w:val="left"/>
              <w:rPr>
                <w:rFonts w:cs="Arial"/>
                <w:snapToGrid w:val="0"/>
              </w:rPr>
            </w:pPr>
          </w:p>
        </w:tc>
      </w:tr>
      <w:tr w:rsidR="00737CDB" w:rsidRPr="0089415C" w14:paraId="191F6B6A" w14:textId="77777777" w:rsidTr="00F07365">
        <w:tc>
          <w:tcPr>
            <w:tcW w:w="2235" w:type="dxa"/>
            <w:tcBorders>
              <w:top w:val="nil"/>
            </w:tcBorders>
          </w:tcPr>
          <w:p w14:paraId="6DA05606" w14:textId="77777777" w:rsidR="00737CDB" w:rsidRPr="0089415C" w:rsidRDefault="00737CDB" w:rsidP="00F07365">
            <w:pPr>
              <w:pStyle w:val="TableText0"/>
              <w:jc w:val="left"/>
              <w:rPr>
                <w:rFonts w:cs="Arial"/>
                <w:snapToGrid w:val="0"/>
              </w:rPr>
            </w:pPr>
            <w:r w:rsidRPr="0089415C">
              <w:rPr>
                <w:rFonts w:cs="Arial"/>
                <w:snapToGrid w:val="0"/>
              </w:rPr>
              <w:t>CF birth averted</w:t>
            </w:r>
          </w:p>
        </w:tc>
        <w:tc>
          <w:tcPr>
            <w:tcW w:w="1701" w:type="dxa"/>
            <w:tcBorders>
              <w:top w:val="nil"/>
            </w:tcBorders>
          </w:tcPr>
          <w:p w14:paraId="3B11213C"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2.34</w:t>
            </w:r>
          </w:p>
        </w:tc>
        <w:tc>
          <w:tcPr>
            <w:tcW w:w="1729" w:type="dxa"/>
            <w:tcBorders>
              <w:top w:val="nil"/>
            </w:tcBorders>
          </w:tcPr>
          <w:p w14:paraId="1B34DAC8"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w:t>
            </w:r>
          </w:p>
        </w:tc>
        <w:tc>
          <w:tcPr>
            <w:tcW w:w="1560" w:type="dxa"/>
            <w:tcBorders>
              <w:top w:val="nil"/>
            </w:tcBorders>
          </w:tcPr>
          <w:p w14:paraId="55B9F848"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2.34</w:t>
            </w:r>
          </w:p>
        </w:tc>
        <w:tc>
          <w:tcPr>
            <w:tcW w:w="1791" w:type="dxa"/>
            <w:tcBorders>
              <w:top w:val="nil"/>
            </w:tcBorders>
          </w:tcPr>
          <w:p w14:paraId="5A76C2E3" w14:textId="79B485F3" w:rsidR="00737CDB" w:rsidRPr="0089415C" w:rsidRDefault="00737CDB" w:rsidP="00F07365">
            <w:pPr>
              <w:pStyle w:val="TableText0"/>
              <w:jc w:val="left"/>
              <w:rPr>
                <w:rFonts w:cs="Arial"/>
                <w:snapToGrid w:val="0"/>
              </w:rPr>
            </w:pPr>
            <w:r w:rsidRPr="0089415C">
              <w:rPr>
                <w:rFonts w:cs="Arial"/>
                <w:snapToGrid w:val="0"/>
              </w:rPr>
              <w:t>Benefit</w:t>
            </w:r>
          </w:p>
        </w:tc>
      </w:tr>
      <w:tr w:rsidR="00737CDB" w:rsidRPr="0089415C" w14:paraId="2819D924" w14:textId="77777777" w:rsidTr="00F07365">
        <w:tc>
          <w:tcPr>
            <w:tcW w:w="2235" w:type="dxa"/>
          </w:tcPr>
          <w:p w14:paraId="65687907" w14:textId="77777777" w:rsidR="00737CDB" w:rsidRPr="0089415C" w:rsidRDefault="00737CDB" w:rsidP="00F07365">
            <w:pPr>
              <w:pStyle w:val="TableText0"/>
              <w:jc w:val="left"/>
              <w:rPr>
                <w:rFonts w:cs="Arial"/>
                <w:snapToGrid w:val="0"/>
              </w:rPr>
            </w:pPr>
            <w:r w:rsidRPr="0089415C">
              <w:rPr>
                <w:rFonts w:cs="Arial"/>
                <w:snapToGrid w:val="0"/>
              </w:rPr>
              <w:t>Fetal loss</w:t>
            </w:r>
          </w:p>
        </w:tc>
        <w:tc>
          <w:tcPr>
            <w:tcW w:w="1701" w:type="dxa"/>
          </w:tcPr>
          <w:p w14:paraId="73F7F23B"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1.24</w:t>
            </w:r>
          </w:p>
        </w:tc>
        <w:tc>
          <w:tcPr>
            <w:tcW w:w="1729" w:type="dxa"/>
          </w:tcPr>
          <w:p w14:paraId="0A14C8D5"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1.27</w:t>
            </w:r>
          </w:p>
        </w:tc>
        <w:tc>
          <w:tcPr>
            <w:tcW w:w="1560" w:type="dxa"/>
          </w:tcPr>
          <w:p w14:paraId="5A694F8C" w14:textId="4C0EED29" w:rsidR="00737CDB" w:rsidRPr="0089415C" w:rsidRDefault="00667DD9" w:rsidP="00FE63E6">
            <w:pPr>
              <w:pStyle w:val="TableText0"/>
              <w:tabs>
                <w:tab w:val="decimal" w:pos="742"/>
              </w:tabs>
              <w:ind w:right="318"/>
              <w:jc w:val="left"/>
              <w:rPr>
                <w:rFonts w:eastAsia="Times New Roman" w:cs="Arial"/>
                <w:b/>
                <w:i/>
                <w:snapToGrid w:val="0"/>
                <w:color w:val="000000"/>
              </w:rPr>
            </w:pPr>
            <w:r>
              <w:rPr>
                <w:rFonts w:cs="Arial"/>
                <w:snapToGrid w:val="0"/>
              </w:rPr>
              <w:t>–</w:t>
            </w:r>
            <w:r w:rsidR="00737CDB" w:rsidRPr="0089415C">
              <w:rPr>
                <w:rFonts w:cs="Arial"/>
                <w:snapToGrid w:val="0"/>
              </w:rPr>
              <w:t>0.03</w:t>
            </w:r>
          </w:p>
        </w:tc>
        <w:tc>
          <w:tcPr>
            <w:tcW w:w="1791" w:type="dxa"/>
          </w:tcPr>
          <w:p w14:paraId="151D823B" w14:textId="77777777" w:rsidR="00737CDB" w:rsidRPr="0089415C" w:rsidRDefault="00737CDB" w:rsidP="00F07365">
            <w:pPr>
              <w:pStyle w:val="TableText0"/>
              <w:jc w:val="left"/>
              <w:rPr>
                <w:rFonts w:cs="Arial"/>
                <w:snapToGrid w:val="0"/>
              </w:rPr>
            </w:pPr>
          </w:p>
        </w:tc>
      </w:tr>
      <w:tr w:rsidR="00737CDB" w:rsidRPr="0089415C" w14:paraId="0DB53924" w14:textId="77777777" w:rsidTr="00F07365">
        <w:tc>
          <w:tcPr>
            <w:tcW w:w="2235" w:type="dxa"/>
          </w:tcPr>
          <w:p w14:paraId="02AC0D67" w14:textId="77777777" w:rsidR="00737CDB" w:rsidRPr="0089415C" w:rsidRDefault="00737CDB" w:rsidP="00F07365">
            <w:pPr>
              <w:pStyle w:val="TableText0"/>
              <w:jc w:val="left"/>
              <w:rPr>
                <w:rFonts w:cs="Arial"/>
                <w:snapToGrid w:val="0"/>
              </w:rPr>
            </w:pPr>
            <w:r w:rsidRPr="0089415C">
              <w:rPr>
                <w:rFonts w:cs="Arial"/>
                <w:snapToGrid w:val="0"/>
              </w:rPr>
              <w:t>Procedure related fetal loss</w:t>
            </w:r>
          </w:p>
        </w:tc>
        <w:tc>
          <w:tcPr>
            <w:tcW w:w="1701" w:type="dxa"/>
          </w:tcPr>
          <w:p w14:paraId="1D8ADB4C"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0.007</w:t>
            </w:r>
          </w:p>
        </w:tc>
        <w:tc>
          <w:tcPr>
            <w:tcW w:w="1729" w:type="dxa"/>
          </w:tcPr>
          <w:p w14:paraId="730BB2E6"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w:t>
            </w:r>
          </w:p>
        </w:tc>
        <w:tc>
          <w:tcPr>
            <w:tcW w:w="1560" w:type="dxa"/>
          </w:tcPr>
          <w:p w14:paraId="22DB0C8E"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0.007</w:t>
            </w:r>
          </w:p>
        </w:tc>
        <w:tc>
          <w:tcPr>
            <w:tcW w:w="1791" w:type="dxa"/>
          </w:tcPr>
          <w:p w14:paraId="487D65BF" w14:textId="1D83A9F3" w:rsidR="00737CDB" w:rsidRPr="0089415C" w:rsidRDefault="00737CDB" w:rsidP="00F07365">
            <w:pPr>
              <w:pStyle w:val="TableText0"/>
              <w:jc w:val="left"/>
              <w:rPr>
                <w:rFonts w:cs="Arial"/>
                <w:snapToGrid w:val="0"/>
              </w:rPr>
            </w:pPr>
            <w:r w:rsidRPr="0089415C">
              <w:rPr>
                <w:rFonts w:cs="Arial"/>
                <w:snapToGrid w:val="0"/>
              </w:rPr>
              <w:t>Harm</w:t>
            </w:r>
          </w:p>
        </w:tc>
      </w:tr>
      <w:tr w:rsidR="00737CDB" w:rsidRPr="0089415C" w14:paraId="0A16A6A6" w14:textId="77777777" w:rsidTr="00F07365">
        <w:tc>
          <w:tcPr>
            <w:tcW w:w="2235" w:type="dxa"/>
          </w:tcPr>
          <w:p w14:paraId="7C5DCB01" w14:textId="77777777" w:rsidR="00737CDB" w:rsidRPr="0089415C" w:rsidRDefault="00737CDB" w:rsidP="00F07365">
            <w:pPr>
              <w:pStyle w:val="TableText0"/>
              <w:jc w:val="left"/>
              <w:rPr>
                <w:rFonts w:cs="Arial"/>
                <w:snapToGrid w:val="0"/>
              </w:rPr>
            </w:pPr>
            <w:r w:rsidRPr="0089415C">
              <w:rPr>
                <w:rFonts w:cs="Arial"/>
                <w:snapToGrid w:val="0"/>
              </w:rPr>
              <w:t>No CF</w:t>
            </w:r>
          </w:p>
        </w:tc>
        <w:tc>
          <w:tcPr>
            <w:tcW w:w="1701" w:type="dxa"/>
          </w:tcPr>
          <w:p w14:paraId="3541D6A8"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94.28</w:t>
            </w:r>
          </w:p>
        </w:tc>
        <w:tc>
          <w:tcPr>
            <w:tcW w:w="1729" w:type="dxa"/>
          </w:tcPr>
          <w:p w14:paraId="39D4B716"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94.29</w:t>
            </w:r>
          </w:p>
        </w:tc>
        <w:tc>
          <w:tcPr>
            <w:tcW w:w="1560" w:type="dxa"/>
          </w:tcPr>
          <w:p w14:paraId="3080887B" w14:textId="77777777" w:rsidR="00737CDB" w:rsidRPr="0089415C" w:rsidRDefault="00737CDB" w:rsidP="00FE63E6">
            <w:pPr>
              <w:pStyle w:val="TableText0"/>
              <w:tabs>
                <w:tab w:val="decimal" w:pos="742"/>
              </w:tabs>
              <w:ind w:right="318"/>
              <w:jc w:val="left"/>
              <w:rPr>
                <w:rFonts w:eastAsia="Times New Roman" w:cs="Arial"/>
                <w:snapToGrid w:val="0"/>
              </w:rPr>
            </w:pPr>
            <w:r w:rsidRPr="0089415C">
              <w:rPr>
                <w:rFonts w:cs="Arial"/>
                <w:snapToGrid w:val="0"/>
              </w:rPr>
              <w:t>0.00</w:t>
            </w:r>
          </w:p>
        </w:tc>
        <w:tc>
          <w:tcPr>
            <w:tcW w:w="1791" w:type="dxa"/>
          </w:tcPr>
          <w:p w14:paraId="4E00A715" w14:textId="77777777" w:rsidR="00737CDB" w:rsidRPr="0089415C" w:rsidRDefault="00737CDB" w:rsidP="00F07365">
            <w:pPr>
              <w:pStyle w:val="TableText0"/>
              <w:jc w:val="left"/>
              <w:rPr>
                <w:rFonts w:cs="Arial"/>
                <w:snapToGrid w:val="0"/>
              </w:rPr>
            </w:pPr>
            <w:r w:rsidRPr="0089415C">
              <w:rPr>
                <w:rFonts w:cs="Arial"/>
                <w:snapToGrid w:val="0"/>
              </w:rPr>
              <w:t>-</w:t>
            </w:r>
          </w:p>
        </w:tc>
      </w:tr>
    </w:tbl>
    <w:p w14:paraId="2203F5DD" w14:textId="12623725" w:rsidR="00737CDB" w:rsidRPr="00FC4A03" w:rsidRDefault="00737CDB" w:rsidP="00737CDB">
      <w:pPr>
        <w:widowControl w:val="0"/>
        <w:spacing w:after="120" w:line="240" w:lineRule="auto"/>
        <w:rPr>
          <w:rFonts w:ascii="Arial Narrow" w:hAnsi="Arial Narrow" w:cs="Arial"/>
          <w:snapToGrid w:val="0"/>
          <w:sz w:val="18"/>
          <w:szCs w:val="20"/>
          <w:lang w:eastAsia="en-US"/>
        </w:rPr>
      </w:pPr>
      <w:r w:rsidRPr="00FC4A03">
        <w:rPr>
          <w:rFonts w:ascii="Arial Narrow" w:hAnsi="Arial Narrow" w:cs="Arial"/>
          <w:snapToGrid w:val="0"/>
          <w:sz w:val="18"/>
          <w:szCs w:val="20"/>
          <w:lang w:eastAsia="en-US"/>
        </w:rPr>
        <w:t>CF = cystic fibrosis</w:t>
      </w:r>
      <w:r w:rsidR="00C93FD7">
        <w:rPr>
          <w:rFonts w:ascii="Arial Narrow" w:hAnsi="Arial Narrow" w:cs="Arial"/>
          <w:snapToGrid w:val="0"/>
          <w:sz w:val="18"/>
          <w:szCs w:val="20"/>
          <w:lang w:eastAsia="en-US"/>
        </w:rPr>
        <w:t>; FEB = fetal echogenic bowel</w:t>
      </w:r>
    </w:p>
    <w:p w14:paraId="0CFBE4AC" w14:textId="5157C5C5" w:rsidR="00737CDB" w:rsidRDefault="00737CDB" w:rsidP="000F73B8">
      <w:pPr>
        <w:spacing w:before="240"/>
      </w:pPr>
      <w:r>
        <w:t xml:space="preserve">Since fetuses are diagnosed through </w:t>
      </w:r>
      <w:r w:rsidR="00892C5D">
        <w:t>NBS</w:t>
      </w:r>
      <w:r>
        <w:t xml:space="preserve"> in the comparator arm, the prenatal CF diagnosis is zero in this strategy. Similarly, the </w:t>
      </w:r>
      <w:r w:rsidR="00C93FD7">
        <w:t>procedure-related</w:t>
      </w:r>
      <w:r>
        <w:t xml:space="preserve"> fetal loss is assumed </w:t>
      </w:r>
      <w:r w:rsidR="007113DD">
        <w:t xml:space="preserve">to be </w:t>
      </w:r>
      <w:r>
        <w:t xml:space="preserve">zero in this strategy since there is no invasive testing performed on the fetuses for </w:t>
      </w:r>
      <w:r w:rsidR="00FD37D3" w:rsidRPr="00FD37D3">
        <w:t>CFTR</w:t>
      </w:r>
      <w:r>
        <w:t xml:space="preserve"> mutation testing. There are fewer CF-affected births in </w:t>
      </w:r>
      <w:r w:rsidR="00E96A2F">
        <w:t xml:space="preserve">the </w:t>
      </w:r>
      <w:r>
        <w:t xml:space="preserve">intervention arm compared with </w:t>
      </w:r>
      <w:r w:rsidR="00E96A2F">
        <w:t xml:space="preserve">the </w:t>
      </w:r>
      <w:r>
        <w:t xml:space="preserve">comparator since prenatal testing is associated with </w:t>
      </w:r>
      <w:r w:rsidR="00E96A2F">
        <w:t xml:space="preserve">a </w:t>
      </w:r>
      <w:r>
        <w:t xml:space="preserve">change in pregnancy management </w:t>
      </w:r>
      <w:r w:rsidR="00C93FD7" w:rsidRPr="00C93FD7">
        <w:t>(generally termination of affected fetuses</w:t>
      </w:r>
      <w:r>
        <w:t>)</w:t>
      </w:r>
      <w:r w:rsidR="007113DD">
        <w:t>,</w:t>
      </w:r>
      <w:r>
        <w:t xml:space="preserve"> resulting in fewer CF births. The </w:t>
      </w:r>
      <w:r w:rsidR="00F73DCB">
        <w:t>number</w:t>
      </w:r>
      <w:r>
        <w:t xml:space="preserve"> of </w:t>
      </w:r>
      <w:r w:rsidR="00E96A2F">
        <w:t xml:space="preserve">babies born </w:t>
      </w:r>
      <w:r>
        <w:t>with</w:t>
      </w:r>
      <w:r w:rsidR="00963C59">
        <w:t>out</w:t>
      </w:r>
      <w:r>
        <w:t xml:space="preserve"> CF </w:t>
      </w:r>
      <w:r w:rsidR="00F73DCB">
        <w:t>would be</w:t>
      </w:r>
      <w:r>
        <w:t xml:space="preserve"> similar across </w:t>
      </w:r>
      <w:r w:rsidR="007113DD">
        <w:t xml:space="preserve">the </w:t>
      </w:r>
      <w:r>
        <w:t>two strategies in both models.</w:t>
      </w:r>
    </w:p>
    <w:p w14:paraId="3680559B" w14:textId="2D4C818E" w:rsidR="00737CDB" w:rsidRDefault="00737CDB" w:rsidP="00737CDB">
      <w:r>
        <w:t>The incremental effectiveness is derived by subtracting outcomes of</w:t>
      </w:r>
      <w:r w:rsidR="00434FA5">
        <w:t xml:space="preserve"> the</w:t>
      </w:r>
      <w:r>
        <w:t xml:space="preserve"> no prenatal testing strategy from outcomes of </w:t>
      </w:r>
      <w:r w:rsidR="00434FA5">
        <w:t xml:space="preserve">the </w:t>
      </w:r>
      <w:r>
        <w:t>prenatal testing strategy. Overall</w:t>
      </w:r>
      <w:r w:rsidR="00D23B14">
        <w:t>,</w:t>
      </w:r>
      <w:r>
        <w:t xml:space="preserve"> prenatal testing is associated with benefits due to </w:t>
      </w:r>
      <w:r w:rsidR="00434FA5">
        <w:t xml:space="preserve">the </w:t>
      </w:r>
      <w:r>
        <w:t xml:space="preserve">increased </w:t>
      </w:r>
      <w:r w:rsidR="00434FA5">
        <w:t xml:space="preserve">rate of </w:t>
      </w:r>
      <w:r>
        <w:t xml:space="preserve">prenatal CF </w:t>
      </w:r>
      <w:r w:rsidR="00434FA5">
        <w:t>diagnoses</w:t>
      </w:r>
      <w:r>
        <w:t xml:space="preserve"> </w:t>
      </w:r>
      <w:r w:rsidR="007113DD">
        <w:t xml:space="preserve">and </w:t>
      </w:r>
      <w:r w:rsidR="00434FA5">
        <w:t xml:space="preserve">the </w:t>
      </w:r>
      <w:r>
        <w:t xml:space="preserve">lower </w:t>
      </w:r>
      <w:r w:rsidR="00434FA5">
        <w:t xml:space="preserve">number of babies born with </w:t>
      </w:r>
      <w:r>
        <w:t>CF</w:t>
      </w:r>
      <w:r w:rsidR="00434FA5">
        <w:t>,</w:t>
      </w:r>
      <w:r>
        <w:t xml:space="preserve"> </w:t>
      </w:r>
      <w:r w:rsidR="007113DD">
        <w:t xml:space="preserve">and is </w:t>
      </w:r>
      <w:r>
        <w:t xml:space="preserve">driven by </w:t>
      </w:r>
      <w:r w:rsidR="00D23B14">
        <w:t xml:space="preserve">a </w:t>
      </w:r>
      <w:r>
        <w:t>change in management (</w:t>
      </w:r>
      <w:r w:rsidR="007113DD">
        <w:t xml:space="preserve">i.e. </w:t>
      </w:r>
      <w:r>
        <w:t xml:space="preserve">terminations of CF-affected fetuses) </w:t>
      </w:r>
      <w:r w:rsidR="007113DD">
        <w:t xml:space="preserve">and the </w:t>
      </w:r>
      <w:r>
        <w:t xml:space="preserve">lower </w:t>
      </w:r>
      <w:r w:rsidR="00434FA5">
        <w:t xml:space="preserve">number of </w:t>
      </w:r>
      <w:r>
        <w:t>uninformed CF births</w:t>
      </w:r>
      <w:r w:rsidR="001559E5">
        <w:t xml:space="preserve">, although there is a </w:t>
      </w:r>
      <w:r>
        <w:t xml:space="preserve">small </w:t>
      </w:r>
      <w:r w:rsidR="007113DD">
        <w:t xml:space="preserve">risk of </w:t>
      </w:r>
      <w:r>
        <w:t>harm due to procedure</w:t>
      </w:r>
      <w:r w:rsidR="007113DD">
        <w:t>-</w:t>
      </w:r>
      <w:r>
        <w:t>related fetal loss (</w:t>
      </w:r>
      <w:r w:rsidR="007113DD">
        <w:t xml:space="preserve">i.e. </w:t>
      </w:r>
      <w:r>
        <w:t>miscarriages due to invasive testing).</w:t>
      </w:r>
    </w:p>
    <w:p w14:paraId="7460DAD8" w14:textId="67E10FA6" w:rsidR="00737CDB" w:rsidRPr="007D17E5" w:rsidRDefault="0063487A" w:rsidP="00737CDB">
      <w:pPr>
        <w:pStyle w:val="Heading3"/>
      </w:pPr>
      <w:bookmarkStart w:id="362" w:name="_Toc418179933"/>
      <w:r>
        <w:lastRenderedPageBreak/>
        <w:t>D.5.2.</w:t>
      </w:r>
      <w:r>
        <w:tab/>
      </w:r>
      <w:r w:rsidR="00737CDB" w:rsidRPr="007D17E5">
        <w:t>Incremental cost</w:t>
      </w:r>
      <w:r w:rsidR="00737CDB">
        <w:t>s</w:t>
      </w:r>
      <w:bookmarkEnd w:id="362"/>
    </w:p>
    <w:p w14:paraId="42B891DF" w14:textId="117EFCB4" w:rsidR="00737CDB" w:rsidRDefault="00737CDB" w:rsidP="00737CDB">
      <w:r>
        <w:t xml:space="preserve">The incremental cost and cost-effectiveness of prenatal </w:t>
      </w:r>
      <w:r w:rsidR="00FD37D3" w:rsidRPr="00FD37D3">
        <w:t>CFTR</w:t>
      </w:r>
      <w:r>
        <w:t xml:space="preserve"> testing compared with no prenatal testing for both modelled populations are presented in </w:t>
      </w:r>
      <w:r>
        <w:fldChar w:fldCharType="begin"/>
      </w:r>
      <w:r>
        <w:instrText xml:space="preserve"> REF _Ref416441308 \h </w:instrText>
      </w:r>
      <w:r>
        <w:fldChar w:fldCharType="separate"/>
      </w:r>
      <w:r w:rsidR="00BB0E3E">
        <w:t xml:space="preserve">Table </w:t>
      </w:r>
      <w:r w:rsidR="00BB0E3E">
        <w:rPr>
          <w:noProof/>
        </w:rPr>
        <w:t>63</w:t>
      </w:r>
      <w:r>
        <w:fldChar w:fldCharType="end"/>
      </w:r>
      <w:r>
        <w:t xml:space="preserve">. Prenatal </w:t>
      </w:r>
      <w:r w:rsidR="00FD37D3" w:rsidRPr="00FD37D3">
        <w:t>CFTR</w:t>
      </w:r>
      <w:r>
        <w:t xml:space="preserve"> testing is associated with incremental cost</w:t>
      </w:r>
      <w:r w:rsidR="00F07ECF">
        <w:t>s</w:t>
      </w:r>
      <w:r>
        <w:t xml:space="preserve"> ($450 for model 1 and $544 for model 2) largely driven by the cost of </w:t>
      </w:r>
      <w:r w:rsidR="00FD37D3" w:rsidRPr="00FD37D3">
        <w:t>CFTR</w:t>
      </w:r>
      <w:r>
        <w:t xml:space="preserve"> mutation testing in parents and fetuses</w:t>
      </w:r>
      <w:r w:rsidR="007113DD">
        <w:t>,</w:t>
      </w:r>
      <w:r w:rsidR="000F3426">
        <w:t xml:space="preserve"> and </w:t>
      </w:r>
      <w:r w:rsidR="007113DD">
        <w:t xml:space="preserve">the </w:t>
      </w:r>
      <w:r w:rsidR="000F3426">
        <w:t>costs associated with elective terminations</w:t>
      </w:r>
      <w:r>
        <w:t xml:space="preserve">, offset by the costs incurred during childbirth and </w:t>
      </w:r>
      <w:r w:rsidR="00892C5D">
        <w:t>NBS</w:t>
      </w:r>
      <w:r>
        <w:t>.</w:t>
      </w:r>
      <w:r w:rsidR="00C93FD7">
        <w:t xml:space="preserve"> </w:t>
      </w:r>
      <w:r w:rsidR="00C93FD7" w:rsidRPr="00C93FD7">
        <w:t xml:space="preserve">The incremental costs are calculated per individual pregnancy in </w:t>
      </w:r>
      <w:r w:rsidR="004D5F06">
        <w:fldChar w:fldCharType="begin"/>
      </w:r>
      <w:r w:rsidR="004D5F06">
        <w:instrText xml:space="preserve"> REF _Ref416441308 \h </w:instrText>
      </w:r>
      <w:r w:rsidR="004D5F06">
        <w:fldChar w:fldCharType="separate"/>
      </w:r>
      <w:r w:rsidR="00BB0E3E">
        <w:t xml:space="preserve">Table </w:t>
      </w:r>
      <w:r w:rsidR="00BB0E3E">
        <w:rPr>
          <w:noProof/>
        </w:rPr>
        <w:t>63</w:t>
      </w:r>
      <w:r w:rsidR="004D5F06">
        <w:fldChar w:fldCharType="end"/>
      </w:r>
      <w:r w:rsidR="004D5F06">
        <w:t xml:space="preserve"> </w:t>
      </w:r>
      <w:r w:rsidR="008315EE">
        <w:t xml:space="preserve">below. </w:t>
      </w:r>
      <w:r w:rsidR="00C93FD7" w:rsidRPr="00C93FD7">
        <w:t>These are multiplied by 100 to estimate the incremental costs for a cohort of 100 pregnancies</w:t>
      </w:r>
      <w:r w:rsidR="007113DD">
        <w:t xml:space="preserve"> as</w:t>
      </w:r>
      <w:r w:rsidR="00C93FD7" w:rsidRPr="00C93FD7">
        <w:t xml:space="preserve"> in</w:t>
      </w:r>
      <w:r w:rsidR="004D5F06">
        <w:t xml:space="preserve"> </w:t>
      </w:r>
      <w:r w:rsidR="004D5F06">
        <w:fldChar w:fldCharType="begin"/>
      </w:r>
      <w:r w:rsidR="004D5F06">
        <w:instrText xml:space="preserve"> REF _Ref418075177 \h </w:instrText>
      </w:r>
      <w:r w:rsidR="004D5F06">
        <w:fldChar w:fldCharType="separate"/>
      </w:r>
      <w:r w:rsidR="00BB0E3E">
        <w:t xml:space="preserve">Table </w:t>
      </w:r>
      <w:r w:rsidR="00BB0E3E">
        <w:rPr>
          <w:noProof/>
        </w:rPr>
        <w:t>64</w:t>
      </w:r>
      <w:r w:rsidR="004D5F06">
        <w:fldChar w:fldCharType="end"/>
      </w:r>
      <w:r w:rsidR="00C93FD7" w:rsidRPr="00C93FD7">
        <w:t>.</w:t>
      </w:r>
    </w:p>
    <w:p w14:paraId="3DC0E62A" w14:textId="4FB1380B" w:rsidR="00737CDB" w:rsidRDefault="00737CDB" w:rsidP="00737CDB">
      <w:pPr>
        <w:pStyle w:val="Caption"/>
      </w:pPr>
      <w:bookmarkStart w:id="363" w:name="_Ref416441308"/>
      <w:bookmarkStart w:id="364" w:name="_Toc416855354"/>
      <w:bookmarkStart w:id="365" w:name="_Toc418179460"/>
      <w:r>
        <w:t xml:space="preserve">Table </w:t>
      </w:r>
      <w:fldSimple w:instr=" SEQ Table \* ARABIC ">
        <w:r w:rsidR="00BB0E3E">
          <w:rPr>
            <w:noProof/>
          </w:rPr>
          <w:t>63</w:t>
        </w:r>
      </w:fldSimple>
      <w:bookmarkEnd w:id="363"/>
      <w:r>
        <w:tab/>
        <w:t>Incremental costs, base</w:t>
      </w:r>
      <w:r w:rsidR="005B5908">
        <w:t>-</w:t>
      </w:r>
      <w:r>
        <w:t>case scenario</w:t>
      </w:r>
      <w:bookmarkEnd w:id="364"/>
      <w:bookmarkEnd w:id="365"/>
    </w:p>
    <w:tbl>
      <w:tblPr>
        <w:tblStyle w:val="TableGrid9"/>
        <w:tblW w:w="5000" w:type="pct"/>
        <w:tblLook w:val="04A0" w:firstRow="1" w:lastRow="0" w:firstColumn="1" w:lastColumn="0" w:noHBand="0" w:noVBand="1"/>
        <w:tblCaption w:val="Incremental costs, base case scenario"/>
        <w:tblDescription w:val="Incremental costs, base case scenario"/>
      </w:tblPr>
      <w:tblGrid>
        <w:gridCol w:w="3996"/>
        <w:gridCol w:w="1830"/>
        <w:gridCol w:w="2152"/>
        <w:gridCol w:w="1264"/>
      </w:tblGrid>
      <w:tr w:rsidR="00737CDB" w:rsidRPr="0089415C" w14:paraId="58732E6B" w14:textId="77777777" w:rsidTr="0008335F">
        <w:trPr>
          <w:tblHeader/>
        </w:trPr>
        <w:tc>
          <w:tcPr>
            <w:tcW w:w="2162" w:type="pct"/>
            <w:tcBorders>
              <w:bottom w:val="single" w:sz="4" w:space="0" w:color="auto"/>
            </w:tcBorders>
            <w:shd w:val="clear" w:color="auto" w:fill="FFFFFF" w:themeFill="background1"/>
          </w:tcPr>
          <w:p w14:paraId="2C4A9E0B" w14:textId="77777777" w:rsidR="00737CDB" w:rsidRPr="0089415C" w:rsidRDefault="00737CDB" w:rsidP="00F73DCB">
            <w:pPr>
              <w:pStyle w:val="TableHeading"/>
              <w:rPr>
                <w:snapToGrid w:val="0"/>
              </w:rPr>
            </w:pPr>
            <w:r w:rsidRPr="0089415C">
              <w:rPr>
                <w:snapToGrid w:val="0"/>
              </w:rPr>
              <w:t>Cost</w:t>
            </w:r>
          </w:p>
        </w:tc>
        <w:tc>
          <w:tcPr>
            <w:tcW w:w="990" w:type="pct"/>
            <w:tcBorders>
              <w:bottom w:val="single" w:sz="4" w:space="0" w:color="auto"/>
            </w:tcBorders>
            <w:shd w:val="clear" w:color="auto" w:fill="FFFFFF" w:themeFill="background1"/>
          </w:tcPr>
          <w:p w14:paraId="459DDC18" w14:textId="77777777" w:rsidR="00737CDB" w:rsidRPr="0089415C" w:rsidRDefault="00737CDB" w:rsidP="00FE63E6">
            <w:pPr>
              <w:pStyle w:val="TableHeading"/>
              <w:jc w:val="center"/>
              <w:rPr>
                <w:rFonts w:eastAsia="Times New Roman"/>
                <w:snapToGrid w:val="0"/>
                <w:lang w:eastAsia="en-AU"/>
              </w:rPr>
            </w:pPr>
            <w:r w:rsidRPr="0089415C">
              <w:rPr>
                <w:snapToGrid w:val="0"/>
              </w:rPr>
              <w:t>Prenatal testing</w:t>
            </w:r>
          </w:p>
        </w:tc>
        <w:tc>
          <w:tcPr>
            <w:tcW w:w="1164" w:type="pct"/>
            <w:tcBorders>
              <w:bottom w:val="single" w:sz="4" w:space="0" w:color="auto"/>
            </w:tcBorders>
            <w:shd w:val="clear" w:color="auto" w:fill="FFFFFF" w:themeFill="background1"/>
          </w:tcPr>
          <w:p w14:paraId="5411653A" w14:textId="1B29CAAC" w:rsidR="00737CDB" w:rsidRPr="0089415C" w:rsidRDefault="00737CDB" w:rsidP="00FE63E6">
            <w:pPr>
              <w:pStyle w:val="TableHeading"/>
              <w:jc w:val="center"/>
              <w:rPr>
                <w:rFonts w:eastAsia="Times New Roman"/>
                <w:snapToGrid w:val="0"/>
                <w:lang w:eastAsia="en-AU"/>
              </w:rPr>
            </w:pPr>
            <w:r w:rsidRPr="0089415C">
              <w:rPr>
                <w:snapToGrid w:val="0"/>
              </w:rPr>
              <w:t>No prenatal testing</w:t>
            </w:r>
          </w:p>
        </w:tc>
        <w:tc>
          <w:tcPr>
            <w:tcW w:w="684" w:type="pct"/>
            <w:tcBorders>
              <w:bottom w:val="single" w:sz="4" w:space="0" w:color="auto"/>
            </w:tcBorders>
            <w:shd w:val="clear" w:color="auto" w:fill="FFFFFF" w:themeFill="background1"/>
          </w:tcPr>
          <w:p w14:paraId="3A653A1D" w14:textId="77777777" w:rsidR="00737CDB" w:rsidRPr="0089415C" w:rsidRDefault="00737CDB" w:rsidP="00FE63E6">
            <w:pPr>
              <w:pStyle w:val="TableHeading"/>
              <w:jc w:val="center"/>
              <w:rPr>
                <w:rFonts w:eastAsia="Times New Roman"/>
                <w:snapToGrid w:val="0"/>
                <w:lang w:eastAsia="en-AU"/>
              </w:rPr>
            </w:pPr>
            <w:r w:rsidRPr="0089415C">
              <w:rPr>
                <w:snapToGrid w:val="0"/>
              </w:rPr>
              <w:t>Increment</w:t>
            </w:r>
          </w:p>
        </w:tc>
      </w:tr>
      <w:tr w:rsidR="00737CDB" w:rsidRPr="0089415C" w14:paraId="627E2E4A" w14:textId="77777777" w:rsidTr="0008335F">
        <w:tc>
          <w:tcPr>
            <w:tcW w:w="2162" w:type="pct"/>
            <w:tcBorders>
              <w:top w:val="single" w:sz="4" w:space="0" w:color="auto"/>
              <w:left w:val="single" w:sz="4" w:space="0" w:color="auto"/>
              <w:bottom w:val="single" w:sz="4" w:space="0" w:color="auto"/>
              <w:right w:val="nil"/>
            </w:tcBorders>
            <w:shd w:val="clear" w:color="auto" w:fill="auto"/>
          </w:tcPr>
          <w:p w14:paraId="55C8AE70" w14:textId="5CBFCFBE" w:rsidR="00737CDB" w:rsidRPr="0008335F" w:rsidRDefault="004D5F06" w:rsidP="0089415C">
            <w:pPr>
              <w:pStyle w:val="TableText0"/>
              <w:jc w:val="left"/>
              <w:rPr>
                <w:rFonts w:cs="Arial"/>
                <w:i/>
                <w:snapToGrid w:val="0"/>
              </w:rPr>
            </w:pPr>
            <w:r w:rsidRPr="0008335F">
              <w:rPr>
                <w:rFonts w:cs="Arial"/>
                <w:i/>
                <w:snapToGrid w:val="0"/>
              </w:rPr>
              <w:t>Model 1 (</w:t>
            </w:r>
            <w:r w:rsidR="007113DD">
              <w:rPr>
                <w:rFonts w:cs="Arial"/>
                <w:i/>
                <w:snapToGrid w:val="0"/>
              </w:rPr>
              <w:t>P</w:t>
            </w:r>
            <w:r w:rsidRPr="0008335F">
              <w:rPr>
                <w:rFonts w:cs="Arial"/>
                <w:i/>
                <w:snapToGrid w:val="0"/>
              </w:rPr>
              <w:t>arents are known CF carriers)</w:t>
            </w:r>
          </w:p>
        </w:tc>
        <w:tc>
          <w:tcPr>
            <w:tcW w:w="990" w:type="pct"/>
            <w:tcBorders>
              <w:top w:val="single" w:sz="4" w:space="0" w:color="auto"/>
              <w:left w:val="nil"/>
              <w:bottom w:val="single" w:sz="4" w:space="0" w:color="auto"/>
              <w:right w:val="nil"/>
            </w:tcBorders>
            <w:shd w:val="clear" w:color="auto" w:fill="auto"/>
          </w:tcPr>
          <w:p w14:paraId="0ED8EA4A" w14:textId="77777777" w:rsidR="00737CDB" w:rsidRPr="0089415C" w:rsidRDefault="00737CDB" w:rsidP="00FE63E6">
            <w:pPr>
              <w:pStyle w:val="TableText0"/>
              <w:jc w:val="center"/>
              <w:rPr>
                <w:rFonts w:eastAsia="Times New Roman" w:cs="Arial"/>
                <w:snapToGrid w:val="0"/>
              </w:rPr>
            </w:pPr>
          </w:p>
        </w:tc>
        <w:tc>
          <w:tcPr>
            <w:tcW w:w="1164" w:type="pct"/>
            <w:tcBorders>
              <w:top w:val="single" w:sz="4" w:space="0" w:color="auto"/>
              <w:left w:val="nil"/>
              <w:bottom w:val="single" w:sz="4" w:space="0" w:color="auto"/>
              <w:right w:val="nil"/>
            </w:tcBorders>
            <w:shd w:val="clear" w:color="auto" w:fill="auto"/>
          </w:tcPr>
          <w:p w14:paraId="32A0C611" w14:textId="77777777" w:rsidR="00737CDB" w:rsidRPr="0089415C" w:rsidRDefault="00737CDB" w:rsidP="00FE63E6">
            <w:pPr>
              <w:pStyle w:val="TableText0"/>
              <w:jc w:val="center"/>
              <w:rPr>
                <w:rFonts w:eastAsia="Times New Roman" w:cs="Arial"/>
                <w:snapToGrid w:val="0"/>
              </w:rPr>
            </w:pPr>
          </w:p>
        </w:tc>
        <w:tc>
          <w:tcPr>
            <w:tcW w:w="684" w:type="pct"/>
            <w:tcBorders>
              <w:top w:val="single" w:sz="4" w:space="0" w:color="auto"/>
              <w:left w:val="nil"/>
              <w:bottom w:val="single" w:sz="4" w:space="0" w:color="auto"/>
              <w:right w:val="single" w:sz="4" w:space="0" w:color="auto"/>
            </w:tcBorders>
            <w:shd w:val="clear" w:color="auto" w:fill="auto"/>
          </w:tcPr>
          <w:p w14:paraId="5CDB41F5" w14:textId="77777777" w:rsidR="00737CDB" w:rsidRPr="0089415C" w:rsidRDefault="00737CDB" w:rsidP="00FE63E6">
            <w:pPr>
              <w:pStyle w:val="TableText0"/>
              <w:jc w:val="center"/>
              <w:rPr>
                <w:rFonts w:eastAsia="Times New Roman" w:cs="Arial"/>
                <w:snapToGrid w:val="0"/>
              </w:rPr>
            </w:pPr>
          </w:p>
        </w:tc>
      </w:tr>
      <w:tr w:rsidR="00737CDB" w:rsidRPr="0089415C" w14:paraId="690C9769" w14:textId="77777777" w:rsidTr="0008335F">
        <w:tc>
          <w:tcPr>
            <w:tcW w:w="2162" w:type="pct"/>
            <w:tcBorders>
              <w:top w:val="single" w:sz="4" w:space="0" w:color="auto"/>
            </w:tcBorders>
          </w:tcPr>
          <w:p w14:paraId="1DC2C85E" w14:textId="2B4BCA0F" w:rsidR="00737CDB" w:rsidRPr="0089415C" w:rsidRDefault="00737CDB" w:rsidP="0089415C">
            <w:pPr>
              <w:pStyle w:val="TableText0"/>
              <w:jc w:val="left"/>
              <w:rPr>
                <w:rFonts w:cs="Arial"/>
                <w:snapToGrid w:val="0"/>
              </w:rPr>
            </w:pPr>
            <w:r w:rsidRPr="0089415C">
              <w:rPr>
                <w:rFonts w:cs="Arial"/>
                <w:snapToGrid w:val="0"/>
              </w:rPr>
              <w:t xml:space="preserve">Cost per </w:t>
            </w:r>
            <w:r w:rsidR="004D5F06" w:rsidRPr="004D5F06">
              <w:rPr>
                <w:rFonts w:cs="Arial"/>
                <w:snapToGrid w:val="0"/>
              </w:rPr>
              <w:t>pregnancy</w:t>
            </w:r>
          </w:p>
        </w:tc>
        <w:tc>
          <w:tcPr>
            <w:tcW w:w="990" w:type="pct"/>
            <w:tcBorders>
              <w:top w:val="single" w:sz="4" w:space="0" w:color="auto"/>
            </w:tcBorders>
          </w:tcPr>
          <w:p w14:paraId="548D7ED0" w14:textId="36EACCE2" w:rsidR="00737CDB" w:rsidRPr="0089415C" w:rsidRDefault="00737CDB" w:rsidP="00FE63E6">
            <w:pPr>
              <w:pStyle w:val="TableText0"/>
              <w:jc w:val="center"/>
              <w:rPr>
                <w:rFonts w:eastAsia="Times New Roman" w:cs="Arial"/>
                <w:snapToGrid w:val="0"/>
              </w:rPr>
            </w:pPr>
            <w:r w:rsidRPr="0089415C">
              <w:rPr>
                <w:rFonts w:cs="Arial"/>
                <w:snapToGrid w:val="0"/>
              </w:rPr>
              <w:t>$4</w:t>
            </w:r>
            <w:r w:rsidR="004C4367">
              <w:rPr>
                <w:rFonts w:cs="Arial"/>
                <w:snapToGrid w:val="0"/>
              </w:rPr>
              <w:t>,</w:t>
            </w:r>
            <w:r w:rsidRPr="0089415C">
              <w:rPr>
                <w:rFonts w:cs="Arial"/>
                <w:snapToGrid w:val="0"/>
              </w:rPr>
              <w:t>521.66</w:t>
            </w:r>
          </w:p>
        </w:tc>
        <w:tc>
          <w:tcPr>
            <w:tcW w:w="1164" w:type="pct"/>
            <w:tcBorders>
              <w:top w:val="single" w:sz="4" w:space="0" w:color="auto"/>
            </w:tcBorders>
          </w:tcPr>
          <w:p w14:paraId="5346C209" w14:textId="13528CDC" w:rsidR="00737CDB" w:rsidRPr="0089415C" w:rsidRDefault="00737CDB" w:rsidP="00FE63E6">
            <w:pPr>
              <w:pStyle w:val="TableText0"/>
              <w:jc w:val="center"/>
              <w:rPr>
                <w:rFonts w:eastAsia="Times New Roman" w:cs="Arial"/>
                <w:snapToGrid w:val="0"/>
              </w:rPr>
            </w:pPr>
            <w:r w:rsidRPr="0089415C">
              <w:rPr>
                <w:rFonts w:cs="Arial"/>
                <w:snapToGrid w:val="0"/>
              </w:rPr>
              <w:t>$4</w:t>
            </w:r>
            <w:r w:rsidR="004C4367">
              <w:rPr>
                <w:rFonts w:cs="Arial"/>
                <w:snapToGrid w:val="0"/>
              </w:rPr>
              <w:t>,</w:t>
            </w:r>
            <w:r w:rsidRPr="0089415C">
              <w:rPr>
                <w:rFonts w:cs="Arial"/>
                <w:snapToGrid w:val="0"/>
              </w:rPr>
              <w:t>071.61</w:t>
            </w:r>
          </w:p>
        </w:tc>
        <w:tc>
          <w:tcPr>
            <w:tcW w:w="684" w:type="pct"/>
            <w:tcBorders>
              <w:top w:val="single" w:sz="4" w:space="0" w:color="auto"/>
            </w:tcBorders>
          </w:tcPr>
          <w:p w14:paraId="5C8EB041" w14:textId="77777777" w:rsidR="00737CDB" w:rsidRPr="0089415C" w:rsidRDefault="00737CDB" w:rsidP="00FE63E6">
            <w:pPr>
              <w:pStyle w:val="TableText0"/>
              <w:jc w:val="center"/>
              <w:rPr>
                <w:rFonts w:eastAsia="Times New Roman" w:cs="Arial"/>
                <w:snapToGrid w:val="0"/>
              </w:rPr>
            </w:pPr>
            <w:r w:rsidRPr="0089415C">
              <w:rPr>
                <w:rFonts w:cs="Arial"/>
                <w:snapToGrid w:val="0"/>
              </w:rPr>
              <w:t>$450.05</w:t>
            </w:r>
          </w:p>
        </w:tc>
      </w:tr>
      <w:tr w:rsidR="00737CDB" w:rsidRPr="0008335F" w14:paraId="727477BC" w14:textId="77777777" w:rsidTr="0008335F">
        <w:tc>
          <w:tcPr>
            <w:tcW w:w="2162" w:type="pct"/>
            <w:tcBorders>
              <w:right w:val="nil"/>
            </w:tcBorders>
            <w:shd w:val="clear" w:color="auto" w:fill="auto"/>
          </w:tcPr>
          <w:p w14:paraId="13FB1CB7" w14:textId="42BBCB5F" w:rsidR="00737CDB" w:rsidRPr="0008335F" w:rsidRDefault="004D5F06" w:rsidP="0089415C">
            <w:pPr>
              <w:pStyle w:val="TableText0"/>
              <w:jc w:val="left"/>
              <w:rPr>
                <w:rFonts w:cs="Arial"/>
                <w:i/>
                <w:snapToGrid w:val="0"/>
              </w:rPr>
            </w:pPr>
            <w:r w:rsidRPr="0008335F">
              <w:rPr>
                <w:rFonts w:cs="Arial"/>
                <w:i/>
                <w:snapToGrid w:val="0"/>
              </w:rPr>
              <w:t>Model 2 (Fetus has FEB)</w:t>
            </w:r>
          </w:p>
        </w:tc>
        <w:tc>
          <w:tcPr>
            <w:tcW w:w="990" w:type="pct"/>
            <w:tcBorders>
              <w:left w:val="nil"/>
              <w:right w:val="nil"/>
            </w:tcBorders>
            <w:shd w:val="clear" w:color="auto" w:fill="auto"/>
          </w:tcPr>
          <w:p w14:paraId="23895ADE" w14:textId="77777777" w:rsidR="00737CDB" w:rsidRPr="0008335F" w:rsidRDefault="00737CDB" w:rsidP="00FE63E6">
            <w:pPr>
              <w:pStyle w:val="TableText0"/>
              <w:jc w:val="center"/>
              <w:rPr>
                <w:rFonts w:eastAsia="Times New Roman" w:cs="Arial"/>
                <w:i/>
                <w:snapToGrid w:val="0"/>
              </w:rPr>
            </w:pPr>
          </w:p>
        </w:tc>
        <w:tc>
          <w:tcPr>
            <w:tcW w:w="1164" w:type="pct"/>
            <w:tcBorders>
              <w:left w:val="nil"/>
              <w:right w:val="nil"/>
            </w:tcBorders>
            <w:shd w:val="clear" w:color="auto" w:fill="auto"/>
          </w:tcPr>
          <w:p w14:paraId="676FCDF0" w14:textId="77777777" w:rsidR="00737CDB" w:rsidRPr="0008335F" w:rsidRDefault="00737CDB" w:rsidP="00FE63E6">
            <w:pPr>
              <w:pStyle w:val="TableText0"/>
              <w:jc w:val="center"/>
              <w:rPr>
                <w:rFonts w:eastAsia="Times New Roman" w:cs="Arial"/>
                <w:i/>
                <w:snapToGrid w:val="0"/>
              </w:rPr>
            </w:pPr>
          </w:p>
        </w:tc>
        <w:tc>
          <w:tcPr>
            <w:tcW w:w="684" w:type="pct"/>
            <w:tcBorders>
              <w:left w:val="nil"/>
            </w:tcBorders>
            <w:shd w:val="clear" w:color="auto" w:fill="auto"/>
          </w:tcPr>
          <w:p w14:paraId="473C617B" w14:textId="77777777" w:rsidR="00737CDB" w:rsidRPr="0008335F" w:rsidRDefault="00737CDB" w:rsidP="00FE63E6">
            <w:pPr>
              <w:pStyle w:val="TableText0"/>
              <w:jc w:val="center"/>
              <w:rPr>
                <w:rFonts w:eastAsia="Times New Roman" w:cs="Arial"/>
                <w:i/>
                <w:snapToGrid w:val="0"/>
              </w:rPr>
            </w:pPr>
          </w:p>
        </w:tc>
      </w:tr>
      <w:tr w:rsidR="00737CDB" w:rsidRPr="0089415C" w14:paraId="17BCED93" w14:textId="77777777" w:rsidTr="0008335F">
        <w:tc>
          <w:tcPr>
            <w:tcW w:w="2162" w:type="pct"/>
          </w:tcPr>
          <w:p w14:paraId="79224F25" w14:textId="767BFE00" w:rsidR="00737CDB" w:rsidRPr="0089415C" w:rsidRDefault="00737CDB" w:rsidP="0089415C">
            <w:pPr>
              <w:pStyle w:val="TableText0"/>
              <w:jc w:val="left"/>
              <w:rPr>
                <w:rFonts w:cs="Arial"/>
                <w:snapToGrid w:val="0"/>
              </w:rPr>
            </w:pPr>
            <w:r w:rsidRPr="0089415C">
              <w:rPr>
                <w:rFonts w:cs="Arial"/>
                <w:snapToGrid w:val="0"/>
              </w:rPr>
              <w:t xml:space="preserve">Cost per </w:t>
            </w:r>
            <w:r w:rsidR="004D5F06" w:rsidRPr="004D5F06">
              <w:rPr>
                <w:rFonts w:cs="Arial"/>
                <w:snapToGrid w:val="0"/>
              </w:rPr>
              <w:t>pregnancy</w:t>
            </w:r>
          </w:p>
        </w:tc>
        <w:tc>
          <w:tcPr>
            <w:tcW w:w="990" w:type="pct"/>
          </w:tcPr>
          <w:p w14:paraId="3443355B" w14:textId="68C2C6D3" w:rsidR="00737CDB" w:rsidRPr="0089415C" w:rsidRDefault="00737CDB" w:rsidP="00FE63E6">
            <w:pPr>
              <w:pStyle w:val="TableText0"/>
              <w:jc w:val="center"/>
              <w:rPr>
                <w:rFonts w:eastAsia="Times New Roman" w:cs="Arial"/>
                <w:snapToGrid w:val="0"/>
              </w:rPr>
            </w:pPr>
            <w:r w:rsidRPr="0089415C">
              <w:rPr>
                <w:rFonts w:cs="Arial"/>
                <w:snapToGrid w:val="0"/>
              </w:rPr>
              <w:t>$4</w:t>
            </w:r>
            <w:r w:rsidR="004C4367">
              <w:rPr>
                <w:rFonts w:cs="Arial"/>
                <w:snapToGrid w:val="0"/>
              </w:rPr>
              <w:t>,</w:t>
            </w:r>
            <w:r w:rsidRPr="0089415C">
              <w:rPr>
                <w:rFonts w:cs="Arial"/>
                <w:snapToGrid w:val="0"/>
              </w:rPr>
              <w:t>410.</w:t>
            </w:r>
            <w:r w:rsidR="002B5BD6" w:rsidRPr="0089415C">
              <w:rPr>
                <w:rFonts w:cs="Arial"/>
                <w:snapToGrid w:val="0"/>
              </w:rPr>
              <w:t>45</w:t>
            </w:r>
          </w:p>
        </w:tc>
        <w:tc>
          <w:tcPr>
            <w:tcW w:w="1164" w:type="pct"/>
          </w:tcPr>
          <w:p w14:paraId="1162A1BA" w14:textId="77777777" w:rsidR="00737CDB" w:rsidRPr="0089415C" w:rsidRDefault="00737CDB" w:rsidP="00FE63E6">
            <w:pPr>
              <w:pStyle w:val="TableText0"/>
              <w:jc w:val="center"/>
              <w:rPr>
                <w:rFonts w:eastAsia="Times New Roman" w:cs="Arial"/>
                <w:snapToGrid w:val="0"/>
              </w:rPr>
            </w:pPr>
            <w:r w:rsidRPr="0089415C">
              <w:rPr>
                <w:rFonts w:cs="Arial"/>
                <w:snapToGrid w:val="0"/>
              </w:rPr>
              <w:t>$3,866.92</w:t>
            </w:r>
          </w:p>
        </w:tc>
        <w:tc>
          <w:tcPr>
            <w:tcW w:w="684" w:type="pct"/>
          </w:tcPr>
          <w:p w14:paraId="0FE322DB" w14:textId="77777777" w:rsidR="00737CDB" w:rsidRPr="0089415C" w:rsidRDefault="00737CDB" w:rsidP="00FE63E6">
            <w:pPr>
              <w:pStyle w:val="TableText0"/>
              <w:jc w:val="center"/>
              <w:rPr>
                <w:rFonts w:eastAsia="Times New Roman" w:cs="Arial"/>
                <w:snapToGrid w:val="0"/>
              </w:rPr>
            </w:pPr>
            <w:r w:rsidRPr="0089415C">
              <w:rPr>
                <w:rFonts w:cs="Arial"/>
                <w:snapToGrid w:val="0"/>
              </w:rPr>
              <w:t>$543.</w:t>
            </w:r>
            <w:r w:rsidR="002B5BD6" w:rsidRPr="0089415C">
              <w:rPr>
                <w:rFonts w:cs="Arial"/>
                <w:snapToGrid w:val="0"/>
              </w:rPr>
              <w:t>54</w:t>
            </w:r>
          </w:p>
        </w:tc>
      </w:tr>
    </w:tbl>
    <w:p w14:paraId="1CD4B418" w14:textId="6314FAEA" w:rsidR="00737CDB" w:rsidRDefault="00737CDB" w:rsidP="00737CDB">
      <w:pPr>
        <w:pStyle w:val="Tablenotes0"/>
      </w:pPr>
      <w:r>
        <w:t>CF = cystic fibrosis</w:t>
      </w:r>
      <w:r w:rsidR="004C4367">
        <w:t xml:space="preserve">; FEB = </w:t>
      </w:r>
      <w:r w:rsidR="004C4367" w:rsidRPr="00FE63E6">
        <w:t>fetal echogenic bowel</w:t>
      </w:r>
    </w:p>
    <w:p w14:paraId="270DC746" w14:textId="40223EAD" w:rsidR="00737CDB" w:rsidRPr="007D17E5" w:rsidRDefault="0063487A" w:rsidP="00737CDB">
      <w:pPr>
        <w:pStyle w:val="Heading3"/>
      </w:pPr>
      <w:bookmarkStart w:id="366" w:name="_Ref418079609"/>
      <w:bookmarkStart w:id="367" w:name="_Ref418079626"/>
      <w:bookmarkStart w:id="368" w:name="_Ref418173884"/>
      <w:bookmarkStart w:id="369" w:name="_Toc418179934"/>
      <w:r>
        <w:t>D.5.3.</w:t>
      </w:r>
      <w:r>
        <w:tab/>
      </w:r>
      <w:r w:rsidR="00737CDB" w:rsidRPr="007D17E5">
        <w:t>Incremental cost</w:t>
      </w:r>
      <w:r w:rsidR="00737CDB">
        <w:t>-e</w:t>
      </w:r>
      <w:r w:rsidR="00737CDB" w:rsidRPr="007D17E5">
        <w:t>ffectiveness</w:t>
      </w:r>
      <w:bookmarkEnd w:id="366"/>
      <w:bookmarkEnd w:id="367"/>
      <w:bookmarkEnd w:id="368"/>
      <w:bookmarkEnd w:id="369"/>
    </w:p>
    <w:p w14:paraId="56A29801" w14:textId="77777777" w:rsidR="00737CDB" w:rsidRDefault="00737CDB" w:rsidP="00FE63E6">
      <w:pPr>
        <w:spacing w:after="120"/>
      </w:pPr>
      <w:bookmarkStart w:id="370" w:name="_Toc416561669"/>
      <w:r>
        <w:t>The incremental cost-effectiveness estimates are calculated as below:</w:t>
      </w:r>
    </w:p>
    <w:p w14:paraId="36AE3475" w14:textId="77777777" w:rsidR="00737CDB" w:rsidRDefault="00737CDB" w:rsidP="00737CDB">
      <w:pPr>
        <w:pStyle w:val="ListParagraph"/>
        <w:numPr>
          <w:ilvl w:val="0"/>
          <w:numId w:val="42"/>
        </w:numPr>
      </w:pPr>
      <w:r w:rsidRPr="00567379">
        <w:t xml:space="preserve">Cost per </w:t>
      </w:r>
      <w:r>
        <w:t>outcome of interest</w:t>
      </w:r>
    </w:p>
    <w:p w14:paraId="541F3B07" w14:textId="7BC355B4" w:rsidR="00737CDB" w:rsidRPr="007E1999" w:rsidRDefault="00737CDB" w:rsidP="00737CDB">
      <w:pPr>
        <w:pStyle w:val="ListParagraph"/>
        <w:ind w:left="720"/>
        <w:rPr>
          <w:sz w:val="20"/>
          <w:szCs w:val="20"/>
        </w:rPr>
      </w:pPr>
      <m:oMathPara>
        <m:oMath>
          <m:r>
            <w:rPr>
              <w:rFonts w:ascii="Cambria Math" w:hAnsi="Cambria Math"/>
              <w:sz w:val="20"/>
              <w:szCs w:val="20"/>
            </w:rPr>
            <m:t xml:space="preserve">ICER= </m:t>
          </m:r>
          <m:f>
            <m:fPr>
              <m:ctrlPr>
                <w:rPr>
                  <w:rFonts w:ascii="Cambria Math" w:hAnsi="Cambria Math"/>
                  <w:i/>
                  <w:sz w:val="20"/>
                  <w:szCs w:val="20"/>
                </w:rPr>
              </m:ctrlPr>
            </m:fPr>
            <m:num>
              <m:r>
                <w:rPr>
                  <w:rFonts w:ascii="Cambria Math" w:hAnsi="Cambria Math"/>
                  <w:sz w:val="20"/>
                  <w:szCs w:val="20"/>
                </w:rPr>
                <m:t xml:space="preserve">cost of prenatal testing-cost of current practice </m:t>
              </m:r>
            </m:num>
            <m:den>
              <m:r>
                <w:rPr>
                  <w:rFonts w:ascii="Cambria Math" w:hAnsi="Cambria Math"/>
                  <w:sz w:val="20"/>
                  <w:szCs w:val="20"/>
                </w:rPr>
                <m:t xml:space="preserve">number of outcomes </m:t>
              </m:r>
              <m:d>
                <m:dPr>
                  <m:ctrlPr>
                    <w:rPr>
                      <w:rFonts w:ascii="Cambria Math" w:hAnsi="Cambria Math"/>
                      <w:i/>
                      <w:sz w:val="20"/>
                      <w:szCs w:val="20"/>
                    </w:rPr>
                  </m:ctrlPr>
                </m:dPr>
                <m:e>
                  <m:r>
                    <w:rPr>
                      <w:rFonts w:ascii="Cambria Math" w:hAnsi="Cambria Math"/>
                      <w:sz w:val="20"/>
                      <w:szCs w:val="20"/>
                    </w:rPr>
                    <m:t>of interest</m:t>
                  </m:r>
                </m:e>
              </m:d>
              <m:r>
                <w:rPr>
                  <w:rFonts w:ascii="Cambria Math" w:hAnsi="Cambria Math"/>
                  <w:sz w:val="20"/>
                  <w:szCs w:val="20"/>
                </w:rPr>
                <m:t xml:space="preserve"> with testing available-number of outcomes (o)</m:t>
              </m:r>
            </m:den>
          </m:f>
        </m:oMath>
      </m:oMathPara>
    </w:p>
    <w:p w14:paraId="4D28632B" w14:textId="2FAAF844" w:rsidR="00737CDB" w:rsidRDefault="00737CDB" w:rsidP="000F73B8">
      <w:pPr>
        <w:pStyle w:val="Caption"/>
        <w:spacing w:before="360"/>
      </w:pPr>
      <w:bookmarkStart w:id="371" w:name="_Ref418075177"/>
      <w:bookmarkStart w:id="372" w:name="_Toc418179461"/>
      <w:r>
        <w:t xml:space="preserve">Table </w:t>
      </w:r>
      <w:fldSimple w:instr=" SEQ Table \* ARABIC ">
        <w:r w:rsidR="00BB0E3E">
          <w:rPr>
            <w:noProof/>
          </w:rPr>
          <w:t>64</w:t>
        </w:r>
      </w:fldSimple>
      <w:bookmarkEnd w:id="371"/>
      <w:r>
        <w:rPr>
          <w:noProof/>
        </w:rPr>
        <w:tab/>
      </w:r>
      <w:r w:rsidR="00891A76" w:rsidRPr="006D049F">
        <w:t xml:space="preserve">Incremental </w:t>
      </w:r>
      <w:r w:rsidR="00891A76">
        <w:t>cost-effectiveness ratios</w:t>
      </w:r>
      <w:r>
        <w:rPr>
          <w:noProof/>
        </w:rPr>
        <w:t>, base</w:t>
      </w:r>
      <w:r w:rsidR="005B5908">
        <w:rPr>
          <w:noProof/>
        </w:rPr>
        <w:t>-</w:t>
      </w:r>
      <w:r>
        <w:rPr>
          <w:noProof/>
        </w:rPr>
        <w:t>case scenario</w:t>
      </w:r>
      <w:bookmarkEnd w:id="370"/>
      <w:bookmarkEnd w:id="372"/>
    </w:p>
    <w:tbl>
      <w:tblPr>
        <w:tblStyle w:val="TableGrid9"/>
        <w:tblW w:w="5000" w:type="pct"/>
        <w:tblLook w:val="04A0" w:firstRow="1" w:lastRow="0" w:firstColumn="1" w:lastColumn="0" w:noHBand="0" w:noVBand="1"/>
        <w:tblCaption w:val="ICER, base case scenario"/>
        <w:tblDescription w:val="ICER, base case scenario"/>
      </w:tblPr>
      <w:tblGrid>
        <w:gridCol w:w="4190"/>
        <w:gridCol w:w="2163"/>
        <w:gridCol w:w="2889"/>
      </w:tblGrid>
      <w:tr w:rsidR="00737CDB" w:rsidRPr="00517F92" w14:paraId="5E830F84" w14:textId="77777777" w:rsidTr="000F73B8">
        <w:trPr>
          <w:tblHeader/>
        </w:trPr>
        <w:tc>
          <w:tcPr>
            <w:tcW w:w="2267" w:type="pct"/>
          </w:tcPr>
          <w:p w14:paraId="21714A7B" w14:textId="77777777" w:rsidR="00737CDB" w:rsidRPr="00517F92" w:rsidRDefault="00737CDB" w:rsidP="005B7F97">
            <w:pPr>
              <w:spacing w:before="40" w:after="40" w:line="240" w:lineRule="auto"/>
              <w:rPr>
                <w:rFonts w:ascii="Arial Narrow" w:hAnsi="Arial Narrow"/>
                <w:b/>
                <w:sz w:val="20"/>
                <w:szCs w:val="20"/>
              </w:rPr>
            </w:pPr>
            <w:r w:rsidRPr="00517F92">
              <w:rPr>
                <w:rFonts w:ascii="Arial Narrow" w:hAnsi="Arial Narrow"/>
                <w:b/>
                <w:sz w:val="20"/>
                <w:szCs w:val="20"/>
              </w:rPr>
              <w:t>Clinically relevant outcomes</w:t>
            </w:r>
          </w:p>
        </w:tc>
        <w:tc>
          <w:tcPr>
            <w:tcW w:w="1170" w:type="pct"/>
            <w:tcBorders>
              <w:bottom w:val="single" w:sz="4" w:space="0" w:color="auto"/>
            </w:tcBorders>
          </w:tcPr>
          <w:p w14:paraId="314B1BD3" w14:textId="4D031FD8" w:rsidR="00737CDB" w:rsidRPr="00517F92" w:rsidRDefault="00737CDB" w:rsidP="00FE63E6">
            <w:pPr>
              <w:spacing w:before="40" w:after="40" w:line="240" w:lineRule="auto"/>
              <w:jc w:val="center"/>
              <w:rPr>
                <w:rFonts w:ascii="Arial Narrow" w:eastAsia="Times New Roman" w:hAnsi="Arial Narrow"/>
                <w:b/>
                <w:sz w:val="20"/>
                <w:szCs w:val="20"/>
                <w:lang w:eastAsia="en-AU"/>
              </w:rPr>
            </w:pPr>
            <w:r w:rsidRPr="00517F92">
              <w:rPr>
                <w:rFonts w:ascii="Arial Narrow" w:hAnsi="Arial Narrow"/>
                <w:b/>
                <w:sz w:val="20"/>
                <w:szCs w:val="20"/>
              </w:rPr>
              <w:t>Incremental outcomes</w:t>
            </w:r>
            <w:r w:rsidR="004C4367">
              <w:rPr>
                <w:rFonts w:ascii="Arial Narrow" w:eastAsia="Times New Roman" w:hAnsi="Arial Narrow"/>
                <w:b/>
                <w:sz w:val="20"/>
                <w:szCs w:val="20"/>
                <w:lang w:eastAsia="en-AU"/>
              </w:rPr>
              <w:br/>
            </w:r>
            <w:r w:rsidRPr="00517F92">
              <w:rPr>
                <w:rFonts w:ascii="Arial Narrow" w:hAnsi="Arial Narrow"/>
                <w:b/>
                <w:sz w:val="20"/>
                <w:szCs w:val="20"/>
              </w:rPr>
              <w:t>(per</w:t>
            </w:r>
            <w:r w:rsidR="008E3F40">
              <w:rPr>
                <w:rFonts w:ascii="Arial Narrow" w:hAnsi="Arial Narrow"/>
                <w:b/>
                <w:sz w:val="20"/>
                <w:szCs w:val="20"/>
              </w:rPr>
              <w:t xml:space="preserve"> </w:t>
            </w:r>
            <w:r w:rsidRPr="00517F92">
              <w:rPr>
                <w:rFonts w:ascii="Arial Narrow" w:hAnsi="Arial Narrow"/>
                <w:b/>
                <w:sz w:val="20"/>
                <w:szCs w:val="20"/>
              </w:rPr>
              <w:t>100 pregnancies)</w:t>
            </w:r>
          </w:p>
        </w:tc>
        <w:tc>
          <w:tcPr>
            <w:tcW w:w="1563" w:type="pct"/>
            <w:tcBorders>
              <w:bottom w:val="single" w:sz="4" w:space="0" w:color="auto"/>
            </w:tcBorders>
          </w:tcPr>
          <w:p w14:paraId="29773D9A" w14:textId="5176DFC3" w:rsidR="00737CDB" w:rsidRPr="00517F92" w:rsidRDefault="00737CDB">
            <w:pPr>
              <w:spacing w:before="40" w:after="40" w:line="240" w:lineRule="auto"/>
              <w:jc w:val="center"/>
              <w:rPr>
                <w:rFonts w:ascii="Arial Narrow" w:eastAsia="Times New Roman" w:hAnsi="Arial Narrow"/>
                <w:b/>
                <w:sz w:val="20"/>
                <w:szCs w:val="20"/>
                <w:lang w:eastAsia="en-AU"/>
              </w:rPr>
            </w:pPr>
            <w:r w:rsidRPr="00517F92">
              <w:rPr>
                <w:rFonts w:ascii="Arial Narrow" w:hAnsi="Arial Narrow"/>
                <w:b/>
                <w:sz w:val="20"/>
                <w:szCs w:val="20"/>
              </w:rPr>
              <w:t>ICER ($/</w:t>
            </w:r>
            <w:r w:rsidR="008E3F40" w:rsidRPr="00517F92">
              <w:rPr>
                <w:rFonts w:ascii="Arial Narrow" w:hAnsi="Arial Narrow"/>
                <w:b/>
                <w:sz w:val="20"/>
                <w:szCs w:val="20"/>
              </w:rPr>
              <w:t>outcome</w:t>
            </w:r>
            <w:r w:rsidRPr="00517F92">
              <w:rPr>
                <w:rFonts w:ascii="Arial Narrow" w:hAnsi="Arial Narrow"/>
                <w:b/>
                <w:sz w:val="20"/>
                <w:szCs w:val="20"/>
              </w:rPr>
              <w:t>)</w:t>
            </w:r>
          </w:p>
        </w:tc>
      </w:tr>
      <w:tr w:rsidR="00737CDB" w:rsidRPr="00517F92" w14:paraId="1A332D15" w14:textId="77777777" w:rsidTr="005B7F97">
        <w:tc>
          <w:tcPr>
            <w:tcW w:w="2267" w:type="pct"/>
            <w:tcBorders>
              <w:right w:val="single" w:sz="4" w:space="0" w:color="auto"/>
            </w:tcBorders>
          </w:tcPr>
          <w:p w14:paraId="64F71B3C" w14:textId="0BE984D4" w:rsidR="00737CDB" w:rsidRPr="00517F92" w:rsidRDefault="00473437" w:rsidP="00473437">
            <w:pPr>
              <w:spacing w:before="40" w:after="40" w:line="240" w:lineRule="auto"/>
              <w:rPr>
                <w:rFonts w:ascii="Arial Narrow" w:hAnsi="Arial Narrow"/>
                <w:i/>
                <w:sz w:val="20"/>
                <w:szCs w:val="20"/>
              </w:rPr>
            </w:pPr>
            <w:r>
              <w:rPr>
                <w:rFonts w:ascii="Arial Narrow" w:hAnsi="Arial Narrow"/>
                <w:i/>
                <w:sz w:val="20"/>
                <w:szCs w:val="20"/>
              </w:rPr>
              <w:t>Model 1</w:t>
            </w:r>
            <w:r w:rsidR="008E3F40">
              <w:rPr>
                <w:rFonts w:ascii="Arial Narrow" w:hAnsi="Arial Narrow"/>
                <w:i/>
                <w:sz w:val="20"/>
                <w:szCs w:val="20"/>
              </w:rPr>
              <w:t xml:space="preserve"> </w:t>
            </w:r>
            <w:r w:rsidR="00737CDB" w:rsidRPr="00517F92">
              <w:rPr>
                <w:rFonts w:ascii="Arial Narrow" w:hAnsi="Arial Narrow"/>
                <w:i/>
                <w:sz w:val="20"/>
                <w:szCs w:val="20"/>
              </w:rPr>
              <w:t>(</w:t>
            </w:r>
            <w:r w:rsidR="00627706">
              <w:rPr>
                <w:rFonts w:ascii="Arial Narrow" w:hAnsi="Arial Narrow"/>
                <w:i/>
                <w:sz w:val="20"/>
                <w:szCs w:val="20"/>
              </w:rPr>
              <w:t>P</w:t>
            </w:r>
            <w:r w:rsidR="00737CDB" w:rsidRPr="00517F92">
              <w:rPr>
                <w:rFonts w:ascii="Arial Narrow" w:hAnsi="Arial Narrow"/>
                <w:i/>
                <w:sz w:val="20"/>
                <w:szCs w:val="20"/>
              </w:rPr>
              <w:t xml:space="preserve">arents </w:t>
            </w:r>
            <w:r w:rsidR="00737CDB">
              <w:rPr>
                <w:rFonts w:ascii="Arial Narrow" w:hAnsi="Arial Narrow"/>
                <w:i/>
                <w:sz w:val="20"/>
                <w:szCs w:val="20"/>
              </w:rPr>
              <w:t xml:space="preserve">are </w:t>
            </w:r>
            <w:r w:rsidR="00737CDB" w:rsidRPr="00517F92">
              <w:rPr>
                <w:rFonts w:ascii="Arial Narrow" w:hAnsi="Arial Narrow"/>
                <w:i/>
                <w:sz w:val="20"/>
                <w:szCs w:val="20"/>
              </w:rPr>
              <w:t xml:space="preserve">known </w:t>
            </w:r>
            <w:r w:rsidR="00737CDB">
              <w:rPr>
                <w:rFonts w:ascii="Arial Narrow" w:hAnsi="Arial Narrow"/>
                <w:i/>
                <w:sz w:val="20"/>
                <w:szCs w:val="20"/>
              </w:rPr>
              <w:t xml:space="preserve">CF </w:t>
            </w:r>
            <w:r w:rsidR="00737CDB" w:rsidRPr="00517F92">
              <w:rPr>
                <w:rFonts w:ascii="Arial Narrow" w:hAnsi="Arial Narrow"/>
                <w:i/>
                <w:sz w:val="20"/>
                <w:szCs w:val="20"/>
              </w:rPr>
              <w:t>carriers)</w:t>
            </w:r>
          </w:p>
        </w:tc>
        <w:tc>
          <w:tcPr>
            <w:tcW w:w="1170" w:type="pct"/>
            <w:tcBorders>
              <w:left w:val="single" w:sz="4" w:space="0" w:color="auto"/>
              <w:right w:val="nil"/>
            </w:tcBorders>
          </w:tcPr>
          <w:p w14:paraId="76DCB64B" w14:textId="09F872B4" w:rsidR="00737CDB" w:rsidRPr="00517F92" w:rsidRDefault="00737CDB" w:rsidP="005B7F97">
            <w:pPr>
              <w:spacing w:before="40" w:after="40" w:line="240" w:lineRule="auto"/>
              <w:rPr>
                <w:rFonts w:ascii="Arial Narrow" w:hAnsi="Arial Narrow"/>
                <w:i/>
                <w:sz w:val="20"/>
                <w:szCs w:val="20"/>
              </w:rPr>
            </w:pPr>
            <w:r w:rsidRPr="00517F92">
              <w:rPr>
                <w:rFonts w:ascii="Arial Narrow" w:hAnsi="Arial Narrow"/>
                <w:i/>
                <w:sz w:val="20"/>
                <w:szCs w:val="20"/>
              </w:rPr>
              <w:t>Incremental cost: $45</w:t>
            </w:r>
            <w:r w:rsidR="008315EE">
              <w:rPr>
                <w:rFonts w:ascii="Arial Narrow" w:hAnsi="Arial Narrow"/>
                <w:i/>
                <w:sz w:val="20"/>
                <w:szCs w:val="20"/>
              </w:rPr>
              <w:t>,</w:t>
            </w:r>
            <w:r w:rsidRPr="00517F92">
              <w:rPr>
                <w:rFonts w:ascii="Arial Narrow" w:hAnsi="Arial Narrow"/>
                <w:i/>
                <w:sz w:val="20"/>
                <w:szCs w:val="20"/>
              </w:rPr>
              <w:t>0</w:t>
            </w:r>
            <w:r w:rsidR="008315EE">
              <w:rPr>
                <w:rFonts w:ascii="Arial Narrow" w:hAnsi="Arial Narrow"/>
                <w:i/>
                <w:sz w:val="20"/>
                <w:szCs w:val="20"/>
              </w:rPr>
              <w:t>05</w:t>
            </w:r>
          </w:p>
        </w:tc>
        <w:tc>
          <w:tcPr>
            <w:tcW w:w="1563" w:type="pct"/>
            <w:tcBorders>
              <w:left w:val="nil"/>
            </w:tcBorders>
          </w:tcPr>
          <w:p w14:paraId="0C4A51DC" w14:textId="77777777" w:rsidR="00737CDB" w:rsidRPr="00517F92" w:rsidRDefault="00737CDB" w:rsidP="005B7F97">
            <w:pPr>
              <w:spacing w:before="40" w:after="40" w:line="240" w:lineRule="auto"/>
              <w:jc w:val="right"/>
              <w:rPr>
                <w:rFonts w:ascii="Arial Narrow" w:hAnsi="Arial Narrow"/>
                <w:i/>
                <w:sz w:val="20"/>
                <w:szCs w:val="20"/>
              </w:rPr>
            </w:pPr>
          </w:p>
        </w:tc>
      </w:tr>
      <w:tr w:rsidR="00737CDB" w:rsidRPr="00FC4A03" w14:paraId="080475D1" w14:textId="77777777" w:rsidTr="005B7F97">
        <w:tc>
          <w:tcPr>
            <w:tcW w:w="2267" w:type="pct"/>
          </w:tcPr>
          <w:p w14:paraId="38552F09" w14:textId="77777777" w:rsidR="00737CDB" w:rsidRPr="00C10431" w:rsidRDefault="00737CDB" w:rsidP="005B7F97">
            <w:pPr>
              <w:spacing w:before="40" w:after="40" w:line="240" w:lineRule="auto"/>
              <w:rPr>
                <w:rFonts w:ascii="Arial Narrow" w:hAnsi="Arial Narrow"/>
                <w:sz w:val="20"/>
                <w:szCs w:val="20"/>
              </w:rPr>
            </w:pPr>
            <w:r>
              <w:rPr>
                <w:rFonts w:ascii="Arial Narrow" w:hAnsi="Arial Narrow"/>
                <w:sz w:val="20"/>
                <w:szCs w:val="20"/>
              </w:rPr>
              <w:t>Diagnosis of CF in utero</w:t>
            </w:r>
          </w:p>
        </w:tc>
        <w:tc>
          <w:tcPr>
            <w:tcW w:w="1170" w:type="pct"/>
          </w:tcPr>
          <w:p w14:paraId="36FA2CC9"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24.94</w:t>
            </w:r>
          </w:p>
        </w:tc>
        <w:tc>
          <w:tcPr>
            <w:tcW w:w="1563" w:type="pct"/>
          </w:tcPr>
          <w:p w14:paraId="3694DD8F" w14:textId="77777777" w:rsidR="00737CDB" w:rsidRDefault="00737CDB" w:rsidP="008315EE">
            <w:pPr>
              <w:spacing w:before="40" w:after="40" w:line="240" w:lineRule="auto"/>
              <w:jc w:val="right"/>
              <w:rPr>
                <w:rFonts w:ascii="Arial Narrow" w:hAnsi="Arial Narrow"/>
                <w:sz w:val="20"/>
                <w:szCs w:val="20"/>
              </w:rPr>
            </w:pPr>
            <w:r>
              <w:rPr>
                <w:rFonts w:ascii="Arial Narrow" w:hAnsi="Arial Narrow"/>
                <w:sz w:val="20"/>
                <w:szCs w:val="20"/>
              </w:rPr>
              <w:t>$1,804 / prenatal CF detected</w:t>
            </w:r>
          </w:p>
        </w:tc>
      </w:tr>
      <w:tr w:rsidR="00737CDB" w:rsidRPr="00FC4A03" w14:paraId="1E60ECC7" w14:textId="77777777" w:rsidTr="005B7F97">
        <w:tc>
          <w:tcPr>
            <w:tcW w:w="2267" w:type="pct"/>
          </w:tcPr>
          <w:p w14:paraId="2E28959D" w14:textId="77777777" w:rsidR="00737CDB" w:rsidRPr="00C10431" w:rsidRDefault="00737CDB" w:rsidP="005B7F97">
            <w:pPr>
              <w:spacing w:before="40" w:after="40" w:line="240" w:lineRule="auto"/>
              <w:rPr>
                <w:rFonts w:ascii="Arial Narrow" w:hAnsi="Arial Narrow"/>
                <w:sz w:val="20"/>
                <w:szCs w:val="20"/>
              </w:rPr>
            </w:pPr>
            <w:r>
              <w:rPr>
                <w:rFonts w:ascii="Arial Narrow" w:hAnsi="Arial Narrow"/>
                <w:sz w:val="20"/>
                <w:szCs w:val="20"/>
              </w:rPr>
              <w:t>CF birth averted</w:t>
            </w:r>
          </w:p>
        </w:tc>
        <w:tc>
          <w:tcPr>
            <w:tcW w:w="1170" w:type="pct"/>
          </w:tcPr>
          <w:p w14:paraId="660074D6"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23.72</w:t>
            </w:r>
          </w:p>
        </w:tc>
        <w:tc>
          <w:tcPr>
            <w:tcW w:w="1563" w:type="pct"/>
          </w:tcPr>
          <w:p w14:paraId="3A8F168D" w14:textId="38940C28" w:rsidR="00737CDB" w:rsidRDefault="005D43E7" w:rsidP="008315EE">
            <w:pPr>
              <w:spacing w:before="40" w:after="40" w:line="240" w:lineRule="auto"/>
              <w:jc w:val="right"/>
              <w:rPr>
                <w:rFonts w:ascii="Arial Narrow" w:hAnsi="Arial Narrow"/>
                <w:sz w:val="20"/>
                <w:szCs w:val="20"/>
              </w:rPr>
            </w:pPr>
            <w:r>
              <w:rPr>
                <w:rFonts w:ascii="Arial Narrow" w:hAnsi="Arial Narrow"/>
                <w:sz w:val="20"/>
                <w:szCs w:val="20"/>
              </w:rPr>
              <w:t>$1,898</w:t>
            </w:r>
            <w:r w:rsidR="00737CDB">
              <w:rPr>
                <w:rFonts w:ascii="Arial Narrow" w:hAnsi="Arial Narrow"/>
                <w:sz w:val="20"/>
                <w:szCs w:val="20"/>
              </w:rPr>
              <w:t xml:space="preserve"> / CF birth averted</w:t>
            </w:r>
          </w:p>
        </w:tc>
      </w:tr>
      <w:tr w:rsidR="00737CDB" w:rsidRPr="00FC4A03" w14:paraId="5CAB1C3E" w14:textId="77777777" w:rsidTr="005B7F97">
        <w:tc>
          <w:tcPr>
            <w:tcW w:w="2267" w:type="pct"/>
          </w:tcPr>
          <w:p w14:paraId="076841B3" w14:textId="189966F3" w:rsidR="00737CDB" w:rsidRDefault="00737CDB" w:rsidP="005B7F97">
            <w:pPr>
              <w:spacing w:before="40" w:after="40" w:line="240" w:lineRule="auto"/>
              <w:rPr>
                <w:rFonts w:ascii="Arial Narrow" w:hAnsi="Arial Narrow"/>
                <w:sz w:val="20"/>
                <w:szCs w:val="20"/>
              </w:rPr>
            </w:pPr>
            <w:r>
              <w:rPr>
                <w:rFonts w:ascii="Arial Narrow" w:hAnsi="Arial Narrow"/>
                <w:sz w:val="20"/>
                <w:szCs w:val="20"/>
              </w:rPr>
              <w:t>Pre-</w:t>
            </w:r>
            <w:r w:rsidR="00627706">
              <w:rPr>
                <w:rFonts w:ascii="Arial Narrow" w:hAnsi="Arial Narrow"/>
                <w:sz w:val="20"/>
                <w:szCs w:val="20"/>
              </w:rPr>
              <w:t>i</w:t>
            </w:r>
            <w:r>
              <w:rPr>
                <w:rFonts w:ascii="Arial Narrow" w:hAnsi="Arial Narrow"/>
                <w:sz w:val="20"/>
                <w:szCs w:val="20"/>
              </w:rPr>
              <w:t>nformed CF birth</w:t>
            </w:r>
          </w:p>
        </w:tc>
        <w:tc>
          <w:tcPr>
            <w:tcW w:w="1170" w:type="pct"/>
            <w:tcBorders>
              <w:bottom w:val="single" w:sz="4" w:space="0" w:color="auto"/>
            </w:tcBorders>
          </w:tcPr>
          <w:p w14:paraId="45AD145E"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1.23</w:t>
            </w:r>
          </w:p>
        </w:tc>
        <w:tc>
          <w:tcPr>
            <w:tcW w:w="1563" w:type="pct"/>
            <w:tcBorders>
              <w:bottom w:val="single" w:sz="4" w:space="0" w:color="auto"/>
            </w:tcBorders>
          </w:tcPr>
          <w:p w14:paraId="1BF337A9" w14:textId="77777777" w:rsidR="00737CDB" w:rsidRDefault="00737CDB" w:rsidP="008315EE">
            <w:pPr>
              <w:spacing w:before="40" w:after="40" w:line="240" w:lineRule="auto"/>
              <w:jc w:val="right"/>
              <w:rPr>
                <w:rFonts w:ascii="Arial Narrow" w:hAnsi="Arial Narrow"/>
                <w:sz w:val="20"/>
                <w:szCs w:val="20"/>
              </w:rPr>
            </w:pPr>
            <w:r>
              <w:rPr>
                <w:rFonts w:ascii="Arial Narrow" w:hAnsi="Arial Narrow"/>
                <w:sz w:val="20"/>
                <w:szCs w:val="20"/>
              </w:rPr>
              <w:t>$36,649 / pre-informed CF birth</w:t>
            </w:r>
          </w:p>
        </w:tc>
      </w:tr>
      <w:tr w:rsidR="00737CDB" w:rsidRPr="00517F92" w14:paraId="4639B0A5" w14:textId="77777777" w:rsidTr="005B7F97">
        <w:tc>
          <w:tcPr>
            <w:tcW w:w="2267" w:type="pct"/>
            <w:tcBorders>
              <w:right w:val="single" w:sz="4" w:space="0" w:color="auto"/>
            </w:tcBorders>
          </w:tcPr>
          <w:p w14:paraId="2B676C2A" w14:textId="60DD7029" w:rsidR="00737CDB" w:rsidRPr="00517F92" w:rsidRDefault="00737CDB" w:rsidP="00473437">
            <w:pPr>
              <w:spacing w:before="40" w:after="40" w:line="240" w:lineRule="auto"/>
              <w:jc w:val="left"/>
              <w:rPr>
                <w:rFonts w:ascii="Arial Narrow" w:hAnsi="Arial Narrow"/>
                <w:i/>
                <w:sz w:val="20"/>
                <w:szCs w:val="20"/>
              </w:rPr>
            </w:pPr>
            <w:r w:rsidRPr="00517F92">
              <w:rPr>
                <w:rFonts w:ascii="Arial Narrow" w:hAnsi="Arial Narrow"/>
                <w:i/>
                <w:sz w:val="20"/>
                <w:szCs w:val="20"/>
              </w:rPr>
              <w:t>Model 2 (Fetus has FEB)</w:t>
            </w:r>
          </w:p>
        </w:tc>
        <w:tc>
          <w:tcPr>
            <w:tcW w:w="1170" w:type="pct"/>
            <w:tcBorders>
              <w:left w:val="single" w:sz="4" w:space="0" w:color="auto"/>
              <w:right w:val="nil"/>
            </w:tcBorders>
          </w:tcPr>
          <w:p w14:paraId="39AD417A" w14:textId="466ED84C" w:rsidR="00737CDB" w:rsidRPr="00517F92" w:rsidRDefault="008315EE" w:rsidP="005B7F97">
            <w:pPr>
              <w:spacing w:before="40" w:after="40" w:line="240" w:lineRule="auto"/>
              <w:rPr>
                <w:rFonts w:ascii="Arial Narrow" w:hAnsi="Arial Narrow"/>
                <w:i/>
                <w:sz w:val="20"/>
                <w:szCs w:val="20"/>
              </w:rPr>
            </w:pPr>
            <w:r>
              <w:rPr>
                <w:rFonts w:ascii="Arial Narrow" w:hAnsi="Arial Narrow"/>
                <w:i/>
                <w:sz w:val="20"/>
                <w:szCs w:val="20"/>
              </w:rPr>
              <w:t>Incremental cost: $54,354</w:t>
            </w:r>
          </w:p>
        </w:tc>
        <w:tc>
          <w:tcPr>
            <w:tcW w:w="1563" w:type="pct"/>
            <w:tcBorders>
              <w:left w:val="nil"/>
            </w:tcBorders>
          </w:tcPr>
          <w:p w14:paraId="46B5C454" w14:textId="77777777" w:rsidR="00737CDB" w:rsidRPr="00517F92" w:rsidRDefault="00737CDB" w:rsidP="005B7F97">
            <w:pPr>
              <w:spacing w:before="40" w:after="40" w:line="240" w:lineRule="auto"/>
              <w:jc w:val="right"/>
              <w:rPr>
                <w:rFonts w:ascii="Arial Narrow" w:hAnsi="Arial Narrow"/>
                <w:i/>
                <w:sz w:val="20"/>
                <w:szCs w:val="20"/>
              </w:rPr>
            </w:pPr>
          </w:p>
        </w:tc>
      </w:tr>
      <w:tr w:rsidR="00737CDB" w:rsidRPr="00FC4A03" w14:paraId="266E1282" w14:textId="77777777" w:rsidTr="005B7F97">
        <w:tc>
          <w:tcPr>
            <w:tcW w:w="2267" w:type="pct"/>
          </w:tcPr>
          <w:p w14:paraId="2E3A7386" w14:textId="77777777" w:rsidR="00737CDB" w:rsidRDefault="00737CDB" w:rsidP="005B7F97">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170" w:type="pct"/>
          </w:tcPr>
          <w:p w14:paraId="136E9D65"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3.58</w:t>
            </w:r>
          </w:p>
        </w:tc>
        <w:tc>
          <w:tcPr>
            <w:tcW w:w="1563" w:type="pct"/>
          </w:tcPr>
          <w:p w14:paraId="1598EAA2" w14:textId="2F489F4E" w:rsidR="00737CDB" w:rsidRDefault="00E3189A" w:rsidP="008315EE">
            <w:pPr>
              <w:spacing w:before="40" w:after="40" w:line="240" w:lineRule="auto"/>
              <w:jc w:val="right"/>
              <w:rPr>
                <w:rFonts w:ascii="Arial Narrow" w:hAnsi="Arial Narrow"/>
                <w:sz w:val="20"/>
                <w:szCs w:val="20"/>
              </w:rPr>
            </w:pPr>
            <w:r>
              <w:rPr>
                <w:rFonts w:ascii="Arial Narrow" w:hAnsi="Arial Narrow"/>
                <w:sz w:val="20"/>
                <w:szCs w:val="20"/>
              </w:rPr>
              <w:t>$15,182</w:t>
            </w:r>
            <w:r w:rsidR="00737CDB">
              <w:rPr>
                <w:rFonts w:ascii="Arial Narrow" w:hAnsi="Arial Narrow"/>
                <w:sz w:val="20"/>
                <w:szCs w:val="20"/>
              </w:rPr>
              <w:t xml:space="preserve"> / prenatal CF detected</w:t>
            </w:r>
          </w:p>
        </w:tc>
      </w:tr>
      <w:tr w:rsidR="00737CDB" w:rsidRPr="00FC4A03" w14:paraId="7F1E207F" w14:textId="77777777" w:rsidTr="005B7F97">
        <w:tc>
          <w:tcPr>
            <w:tcW w:w="2267" w:type="pct"/>
          </w:tcPr>
          <w:p w14:paraId="67C8CDE8" w14:textId="77777777" w:rsidR="00737CDB" w:rsidRDefault="00737CDB" w:rsidP="005B7F97">
            <w:pPr>
              <w:spacing w:before="40" w:after="40" w:line="240" w:lineRule="auto"/>
              <w:jc w:val="left"/>
              <w:rPr>
                <w:rFonts w:ascii="Arial Narrow" w:hAnsi="Arial Narrow"/>
                <w:sz w:val="20"/>
                <w:szCs w:val="20"/>
              </w:rPr>
            </w:pPr>
            <w:r>
              <w:rPr>
                <w:rFonts w:ascii="Arial Narrow" w:hAnsi="Arial Narrow"/>
                <w:sz w:val="20"/>
                <w:szCs w:val="20"/>
              </w:rPr>
              <w:t>CF birth averted</w:t>
            </w:r>
          </w:p>
        </w:tc>
        <w:tc>
          <w:tcPr>
            <w:tcW w:w="1170" w:type="pct"/>
          </w:tcPr>
          <w:p w14:paraId="1D901E77"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2.34</w:t>
            </w:r>
          </w:p>
        </w:tc>
        <w:tc>
          <w:tcPr>
            <w:tcW w:w="1563" w:type="pct"/>
          </w:tcPr>
          <w:p w14:paraId="3CED8543" w14:textId="13D24BD2" w:rsidR="00737CDB" w:rsidRDefault="00737CDB" w:rsidP="008315EE">
            <w:pPr>
              <w:spacing w:before="40" w:after="40" w:line="240" w:lineRule="auto"/>
              <w:jc w:val="right"/>
              <w:rPr>
                <w:rFonts w:ascii="Arial Narrow" w:hAnsi="Arial Narrow"/>
                <w:sz w:val="20"/>
                <w:szCs w:val="20"/>
              </w:rPr>
            </w:pPr>
            <w:r w:rsidRPr="00E85BFA">
              <w:rPr>
                <w:rFonts w:ascii="Arial Narrow" w:hAnsi="Arial Narrow"/>
                <w:sz w:val="20"/>
                <w:szCs w:val="20"/>
              </w:rPr>
              <w:t>$23,2</w:t>
            </w:r>
            <w:r w:rsidR="00E3189A">
              <w:rPr>
                <w:rFonts w:ascii="Arial Narrow" w:hAnsi="Arial Narrow"/>
                <w:sz w:val="20"/>
                <w:szCs w:val="20"/>
              </w:rPr>
              <w:t>5</w:t>
            </w:r>
            <w:r w:rsidR="005D43E7">
              <w:rPr>
                <w:rFonts w:ascii="Arial Narrow" w:hAnsi="Arial Narrow"/>
                <w:sz w:val="20"/>
                <w:szCs w:val="20"/>
              </w:rPr>
              <w:t>4</w:t>
            </w:r>
            <w:r>
              <w:rPr>
                <w:rFonts w:ascii="Arial Narrow" w:hAnsi="Arial Narrow"/>
                <w:sz w:val="20"/>
                <w:szCs w:val="20"/>
              </w:rPr>
              <w:t xml:space="preserve"> / CF birth averted</w:t>
            </w:r>
          </w:p>
        </w:tc>
      </w:tr>
      <w:tr w:rsidR="00737CDB" w:rsidRPr="00FC4A03" w14:paraId="5347DD31" w14:textId="77777777" w:rsidTr="005B7F97">
        <w:tc>
          <w:tcPr>
            <w:tcW w:w="2267" w:type="pct"/>
          </w:tcPr>
          <w:p w14:paraId="41D19B14" w14:textId="500F3904" w:rsidR="00737CDB" w:rsidRDefault="00737CDB" w:rsidP="005B7F97">
            <w:pPr>
              <w:spacing w:before="40" w:after="40" w:line="240" w:lineRule="auto"/>
              <w:jc w:val="left"/>
              <w:rPr>
                <w:rFonts w:ascii="Arial Narrow" w:hAnsi="Arial Narrow"/>
                <w:sz w:val="20"/>
                <w:szCs w:val="20"/>
              </w:rPr>
            </w:pPr>
            <w:r>
              <w:rPr>
                <w:rFonts w:ascii="Arial Narrow" w:hAnsi="Arial Narrow"/>
                <w:sz w:val="20"/>
                <w:szCs w:val="20"/>
              </w:rPr>
              <w:t>Pre-</w:t>
            </w:r>
            <w:r w:rsidR="00627706">
              <w:rPr>
                <w:rFonts w:ascii="Arial Narrow" w:hAnsi="Arial Narrow"/>
                <w:sz w:val="20"/>
                <w:szCs w:val="20"/>
              </w:rPr>
              <w:t>i</w:t>
            </w:r>
            <w:r>
              <w:rPr>
                <w:rFonts w:ascii="Arial Narrow" w:hAnsi="Arial Narrow"/>
                <w:sz w:val="20"/>
                <w:szCs w:val="20"/>
              </w:rPr>
              <w:t>nformed CF birth</w:t>
            </w:r>
          </w:p>
        </w:tc>
        <w:tc>
          <w:tcPr>
            <w:tcW w:w="1170" w:type="pct"/>
          </w:tcPr>
          <w:p w14:paraId="21371A52" w14:textId="77777777" w:rsidR="00737CDB" w:rsidRDefault="00737CDB" w:rsidP="00FE63E6">
            <w:pPr>
              <w:spacing w:before="40" w:after="40" w:line="240" w:lineRule="auto"/>
              <w:ind w:right="325"/>
              <w:jc w:val="right"/>
              <w:rPr>
                <w:rFonts w:ascii="Arial Narrow" w:eastAsia="Times New Roman" w:hAnsi="Arial Narrow"/>
                <w:sz w:val="20"/>
                <w:szCs w:val="20"/>
                <w:lang w:eastAsia="en-AU"/>
              </w:rPr>
            </w:pPr>
            <w:r>
              <w:rPr>
                <w:rFonts w:ascii="Arial Narrow" w:hAnsi="Arial Narrow"/>
                <w:sz w:val="20"/>
                <w:szCs w:val="20"/>
              </w:rPr>
              <w:t>1.24</w:t>
            </w:r>
          </w:p>
        </w:tc>
        <w:tc>
          <w:tcPr>
            <w:tcW w:w="1563" w:type="pct"/>
          </w:tcPr>
          <w:p w14:paraId="59F97D46" w14:textId="04DF2BE8" w:rsidR="00737CDB" w:rsidRDefault="002B5BD6" w:rsidP="008315EE">
            <w:pPr>
              <w:spacing w:before="40" w:after="40" w:line="240" w:lineRule="auto"/>
              <w:jc w:val="right"/>
              <w:rPr>
                <w:rFonts w:ascii="Arial Narrow" w:hAnsi="Arial Narrow"/>
                <w:sz w:val="20"/>
                <w:szCs w:val="20"/>
              </w:rPr>
            </w:pPr>
            <w:r>
              <w:rPr>
                <w:rFonts w:ascii="Arial Narrow" w:hAnsi="Arial Narrow"/>
                <w:sz w:val="20"/>
                <w:szCs w:val="20"/>
              </w:rPr>
              <w:t>$43,</w:t>
            </w:r>
            <w:r w:rsidR="00E3189A">
              <w:rPr>
                <w:rFonts w:ascii="Arial Narrow" w:hAnsi="Arial Narrow"/>
                <w:sz w:val="20"/>
                <w:szCs w:val="20"/>
              </w:rPr>
              <w:t>727</w:t>
            </w:r>
            <w:r w:rsidR="00737CDB">
              <w:rPr>
                <w:rFonts w:ascii="Arial Narrow" w:hAnsi="Arial Narrow"/>
                <w:sz w:val="20"/>
                <w:szCs w:val="20"/>
              </w:rPr>
              <w:t xml:space="preserve"> / pre-informed CF birth</w:t>
            </w:r>
          </w:p>
        </w:tc>
      </w:tr>
    </w:tbl>
    <w:p w14:paraId="06FD76D3" w14:textId="0DB99B0F" w:rsidR="00737CDB" w:rsidRDefault="00737CDB" w:rsidP="00737CDB">
      <w:pPr>
        <w:pStyle w:val="Tablenotes0"/>
      </w:pPr>
      <w:r>
        <w:t>CF = cystic fibrosis; FEB</w:t>
      </w:r>
      <w:r w:rsidR="008E3F40">
        <w:t xml:space="preserve"> </w:t>
      </w:r>
      <w:r>
        <w:t>=</w:t>
      </w:r>
      <w:r w:rsidR="008E3F40">
        <w:t xml:space="preserve"> </w:t>
      </w:r>
      <w:r>
        <w:t xml:space="preserve">fetal echogenic bowel; ICER = </w:t>
      </w:r>
      <w:r w:rsidR="00EC0247">
        <w:rPr>
          <w:noProof/>
        </w:rPr>
        <w:t>i</w:t>
      </w:r>
      <w:r>
        <w:rPr>
          <w:noProof/>
        </w:rPr>
        <w:t>ncremental cost-effectiveness ratio</w:t>
      </w:r>
    </w:p>
    <w:p w14:paraId="51CE848E" w14:textId="3D8789EF" w:rsidR="0008335F" w:rsidRPr="0008335F" w:rsidRDefault="0008335F" w:rsidP="0008335F">
      <w:pPr>
        <w:spacing w:before="240"/>
      </w:pPr>
      <w:r w:rsidRPr="0008335F">
        <w:t xml:space="preserve">Consideration </w:t>
      </w:r>
      <w:r w:rsidR="00627706">
        <w:t>of</w:t>
      </w:r>
      <w:r w:rsidR="00627706" w:rsidRPr="0008335F">
        <w:t xml:space="preserve"> </w:t>
      </w:r>
      <w:r w:rsidRPr="0008335F">
        <w:t>the identified costs in the context of the estimated lifetime costs of CF-related healthcare (estimated at ~$516,413/CF-affected person (discounted)</w:t>
      </w:r>
      <w:r w:rsidR="00F07ECF">
        <w:t>;</w:t>
      </w:r>
      <w:r w:rsidRPr="0008335F">
        <w:t xml:space="preserve"> see section D.4 under </w:t>
      </w:r>
      <w:r w:rsidRPr="0008335F">
        <w:rPr>
          <w:i/>
        </w:rPr>
        <w:t>Excluded costs</w:t>
      </w:r>
      <w:r w:rsidRPr="0008335F">
        <w:t>) indicates that genetic testing results in a significant saving in healthcare costs. However</w:t>
      </w:r>
      <w:r w:rsidR="00627706">
        <w:t>,</w:t>
      </w:r>
      <w:r w:rsidRPr="0008335F">
        <w:t xml:space="preserve"> from an economic perspective this should be interpreted with caution since it is a cost </w:t>
      </w:r>
      <w:r w:rsidRPr="0008335F">
        <w:lastRenderedPageBreak/>
        <w:t>analysis only and does not take into account the value associated with clinical outcomes</w:t>
      </w:r>
      <w:r w:rsidR="00627706">
        <w:t>;</w:t>
      </w:r>
      <w:r w:rsidRPr="0008335F">
        <w:t xml:space="preserve"> </w:t>
      </w:r>
      <w:r w:rsidR="00627706">
        <w:t>that is,</w:t>
      </w:r>
      <w:r w:rsidRPr="0008335F">
        <w:t xml:space="preserve"> life, CF-affected or otherwise.</w:t>
      </w:r>
    </w:p>
    <w:p w14:paraId="7AC0201A" w14:textId="49DF499B" w:rsidR="0008335F" w:rsidRPr="0008335F" w:rsidRDefault="0008335F" w:rsidP="0008335F">
      <w:pPr>
        <w:spacing w:before="240"/>
      </w:pPr>
      <w:r w:rsidRPr="0008335F">
        <w:t>Furthermore, the calculated ICERs above consider only one relevant outcome at a time and do not simultaneously incorporate the multiple outcomes of clinical relevance</w:t>
      </w:r>
      <w:r w:rsidR="00F8303B">
        <w:t xml:space="preserve">. </w:t>
      </w:r>
      <w:r w:rsidRPr="0008335F">
        <w:t>This makes the overall value difficult to interpret for decision-making purposes. Therefore</w:t>
      </w:r>
      <w:r w:rsidR="00627706">
        <w:t>,</w:t>
      </w:r>
      <w:r w:rsidRPr="0008335F">
        <w:t xml:space="preserve"> an alternative presentation of the economic model </w:t>
      </w:r>
      <w:r w:rsidR="00627706">
        <w:t>that</w:t>
      </w:r>
      <w:r w:rsidR="00627706" w:rsidRPr="0008335F">
        <w:t xml:space="preserve"> </w:t>
      </w:r>
      <w:r w:rsidRPr="0008335F">
        <w:t>incorporates all outcomes is presented</w:t>
      </w:r>
      <w:r w:rsidR="00F07ECF">
        <w:t>,</w:t>
      </w:r>
      <w:r w:rsidRPr="0008335F">
        <w:t xml:space="preserve"> </w:t>
      </w:r>
      <w:r w:rsidR="00F07ECF">
        <w:t xml:space="preserve">and </w:t>
      </w:r>
      <w:r w:rsidRPr="0008335F">
        <w:t>calculation of the collective outcomes resulting from a given expenditure associated with the proposed testing is presented</w:t>
      </w:r>
      <w:r w:rsidR="00F8303B">
        <w:t>.</w:t>
      </w:r>
    </w:p>
    <w:p w14:paraId="379C7CCF" w14:textId="1617ACB5" w:rsidR="0008335F" w:rsidRPr="0008335F" w:rsidRDefault="0008335F" w:rsidP="0008335F">
      <w:pPr>
        <w:spacing w:before="240"/>
        <w:rPr>
          <w:i/>
        </w:rPr>
      </w:pPr>
      <w:r w:rsidRPr="0008335F">
        <w:rPr>
          <w:i/>
        </w:rPr>
        <w:t xml:space="preserve">Summary </w:t>
      </w:r>
      <w:r w:rsidR="00627706">
        <w:rPr>
          <w:i/>
        </w:rPr>
        <w:t>of m</w:t>
      </w:r>
      <w:r w:rsidRPr="0008335F">
        <w:rPr>
          <w:i/>
        </w:rPr>
        <w:t>odel 1: Both parents are known CF carriers</w:t>
      </w:r>
    </w:p>
    <w:p w14:paraId="096CD251" w14:textId="5575C545" w:rsidR="0008335F" w:rsidRPr="0008335F" w:rsidRDefault="0008335F" w:rsidP="00FE63E6">
      <w:pPr>
        <w:spacing w:before="240" w:after="120"/>
      </w:pPr>
      <w:r w:rsidRPr="0008335F">
        <w:t>For every additional net spend of $50,000 associated with the listing</w:t>
      </w:r>
      <w:r w:rsidR="00F07ECF">
        <w:t xml:space="preserve">—that is, </w:t>
      </w:r>
      <w:r w:rsidRPr="0008335F">
        <w:t xml:space="preserve">$60,991 will be spent directly on testing but a saving of $10,991 </w:t>
      </w:r>
      <w:r w:rsidR="00F07ECF" w:rsidRPr="0008335F">
        <w:t xml:space="preserve">will be made </w:t>
      </w:r>
      <w:r w:rsidRPr="0008335F">
        <w:t xml:space="preserve">on other associated costs </w:t>
      </w:r>
      <w:r w:rsidR="00CF0C11">
        <w:t>(</w:t>
      </w:r>
      <w:r w:rsidR="00F8303B">
        <w:t>e.g. birth of CF</w:t>
      </w:r>
      <w:r w:rsidR="00627706">
        <w:t>-</w:t>
      </w:r>
      <w:r w:rsidR="00F8303B">
        <w:t>affected child</w:t>
      </w:r>
      <w:r w:rsidR="00076B84">
        <w:t>,</w:t>
      </w:r>
      <w:r w:rsidR="00F8303B">
        <w:t xml:space="preserve"> </w:t>
      </w:r>
      <w:r w:rsidR="00CF0C11">
        <w:t>diagnosis of CF after birth and genetic counselling)</w:t>
      </w:r>
      <w:r w:rsidR="00F07ECF">
        <w:t>—</w:t>
      </w:r>
      <w:r w:rsidRPr="0008335F">
        <w:t>the following outcomes will be obtained:</w:t>
      </w:r>
    </w:p>
    <w:p w14:paraId="2ECD1AFC" w14:textId="77777777" w:rsidR="0008335F" w:rsidRPr="0008335F" w:rsidRDefault="0008335F" w:rsidP="00FE63E6">
      <w:pPr>
        <w:spacing w:before="120" w:after="120"/>
        <w:rPr>
          <w:u w:val="single"/>
        </w:rPr>
      </w:pPr>
      <w:r w:rsidRPr="0008335F">
        <w:rPr>
          <w:u w:val="single"/>
        </w:rPr>
        <w:t>Benefits</w:t>
      </w:r>
    </w:p>
    <w:p w14:paraId="0D90F9CF" w14:textId="77777777" w:rsidR="0008335F" w:rsidRPr="0008335F" w:rsidRDefault="0008335F" w:rsidP="00FE63E6">
      <w:pPr>
        <w:numPr>
          <w:ilvl w:val="0"/>
          <w:numId w:val="42"/>
        </w:numPr>
        <w:spacing w:before="120" w:after="120"/>
        <w:ind w:hanging="357"/>
      </w:pPr>
      <w:r w:rsidRPr="0008335F">
        <w:t>111.1 pregnancies will be tested, and from this</w:t>
      </w:r>
    </w:p>
    <w:p w14:paraId="0DCC3FE3" w14:textId="46036F98" w:rsidR="0008335F" w:rsidRPr="0008335F" w:rsidRDefault="0008335F" w:rsidP="00FE63E6">
      <w:pPr>
        <w:numPr>
          <w:ilvl w:val="0"/>
          <w:numId w:val="42"/>
        </w:numPr>
        <w:spacing w:before="120" w:after="120"/>
        <w:ind w:hanging="357"/>
      </w:pPr>
      <w:r w:rsidRPr="0008335F">
        <w:t>27.7 in</w:t>
      </w:r>
      <w:r w:rsidR="00627706">
        <w:t>-</w:t>
      </w:r>
      <w:r w:rsidRPr="0008335F">
        <w:t>utero diagnoses of CF will be made</w:t>
      </w:r>
      <w:r w:rsidR="00627706">
        <w:t>,</w:t>
      </w:r>
      <w:r w:rsidRPr="0008335F">
        <w:t xml:space="preserve"> enabl</w:t>
      </w:r>
      <w:r w:rsidR="00627706">
        <w:t>ing:</w:t>
      </w:r>
    </w:p>
    <w:p w14:paraId="6FBB9817" w14:textId="77777777" w:rsidR="0008335F" w:rsidRPr="0008335F" w:rsidRDefault="0008335F" w:rsidP="00FE63E6">
      <w:pPr>
        <w:numPr>
          <w:ilvl w:val="1"/>
          <w:numId w:val="47"/>
        </w:numPr>
        <w:spacing w:before="120" w:after="120"/>
        <w:ind w:hanging="357"/>
      </w:pPr>
      <w:r w:rsidRPr="0008335F">
        <w:t>26.35 CF births to be averted, and</w:t>
      </w:r>
    </w:p>
    <w:p w14:paraId="0AC6A624" w14:textId="77777777" w:rsidR="0008335F" w:rsidRPr="0008335F" w:rsidRDefault="0008335F" w:rsidP="00FE63E6">
      <w:pPr>
        <w:numPr>
          <w:ilvl w:val="1"/>
          <w:numId w:val="47"/>
        </w:numPr>
        <w:spacing w:before="120" w:after="120"/>
        <w:ind w:hanging="357"/>
      </w:pPr>
      <w:r w:rsidRPr="0008335F">
        <w:t>1.36 CF births to occur with pre-informed parents.</w:t>
      </w:r>
    </w:p>
    <w:p w14:paraId="01E06941" w14:textId="77777777" w:rsidR="0008335F" w:rsidRPr="0008335F" w:rsidRDefault="0008335F" w:rsidP="00FE63E6">
      <w:pPr>
        <w:spacing w:before="120" w:after="120"/>
      </w:pPr>
      <w:r w:rsidRPr="0008335F">
        <w:rPr>
          <w:u w:val="single"/>
        </w:rPr>
        <w:t>Harms</w:t>
      </w:r>
    </w:p>
    <w:p w14:paraId="1932A29B" w14:textId="31B57179" w:rsidR="0008335F" w:rsidRPr="0008335F" w:rsidRDefault="0008335F" w:rsidP="00FE63E6">
      <w:pPr>
        <w:numPr>
          <w:ilvl w:val="0"/>
          <w:numId w:val="48"/>
        </w:numPr>
        <w:spacing w:before="240" w:after="120"/>
      </w:pPr>
      <w:r w:rsidRPr="0008335F">
        <w:t>0.17 additional unplanned fetal losses (i.e. 1/654 pregnancies tested)</w:t>
      </w:r>
      <w:r w:rsidR="00627706">
        <w:t xml:space="preserve"> will occur.</w:t>
      </w:r>
    </w:p>
    <w:p w14:paraId="4694CC6F" w14:textId="0CDD055F" w:rsidR="0008335F" w:rsidRPr="0008335F" w:rsidRDefault="0008335F" w:rsidP="0008335F">
      <w:pPr>
        <w:spacing w:before="240"/>
        <w:rPr>
          <w:i/>
        </w:rPr>
      </w:pPr>
      <w:r w:rsidRPr="0008335F">
        <w:rPr>
          <w:i/>
        </w:rPr>
        <w:t xml:space="preserve">Summary </w:t>
      </w:r>
      <w:r w:rsidR="00627706">
        <w:rPr>
          <w:i/>
        </w:rPr>
        <w:t>m</w:t>
      </w:r>
      <w:r w:rsidRPr="0008335F">
        <w:rPr>
          <w:i/>
        </w:rPr>
        <w:t>odel 2: Fetus with FEB</w:t>
      </w:r>
    </w:p>
    <w:p w14:paraId="55738AAD" w14:textId="0EA02A27" w:rsidR="0008335F" w:rsidRPr="0008335F" w:rsidRDefault="0008335F" w:rsidP="00FE63E6">
      <w:pPr>
        <w:spacing w:before="240" w:after="120"/>
      </w:pPr>
      <w:r w:rsidRPr="0008335F">
        <w:t>For every additional $50,000 spent associated with the listing</w:t>
      </w:r>
      <w:r w:rsidR="00C45D83">
        <w:t xml:space="preserve">—that is, </w:t>
      </w:r>
      <w:r w:rsidRPr="0008335F">
        <w:t xml:space="preserve">$28,489 will be spent directly on genetic testing </w:t>
      </w:r>
      <w:r w:rsidR="00627706">
        <w:t xml:space="preserve">and </w:t>
      </w:r>
      <w:r w:rsidRPr="0008335F">
        <w:t>$21,511 will be the associated costs</w:t>
      </w:r>
      <w:r w:rsidR="00C45D83">
        <w:t>—</w:t>
      </w:r>
      <w:r w:rsidRPr="0008335F">
        <w:t>the following outcomes will be obtained</w:t>
      </w:r>
      <w:r w:rsidR="00627706">
        <w:t>:</w:t>
      </w:r>
    </w:p>
    <w:p w14:paraId="4C9BEC35" w14:textId="77777777" w:rsidR="0008335F" w:rsidRPr="0008335F" w:rsidRDefault="0008335F" w:rsidP="00FE63E6">
      <w:pPr>
        <w:spacing w:before="120" w:after="120"/>
        <w:rPr>
          <w:u w:val="single"/>
        </w:rPr>
      </w:pPr>
      <w:r w:rsidRPr="0008335F">
        <w:rPr>
          <w:u w:val="single"/>
        </w:rPr>
        <w:t>Benefits</w:t>
      </w:r>
    </w:p>
    <w:p w14:paraId="14C19389" w14:textId="77777777" w:rsidR="0008335F" w:rsidRPr="0008335F" w:rsidRDefault="0008335F" w:rsidP="00FE63E6">
      <w:pPr>
        <w:numPr>
          <w:ilvl w:val="0"/>
          <w:numId w:val="42"/>
        </w:numPr>
        <w:spacing w:before="120" w:after="120"/>
        <w:ind w:hanging="357"/>
      </w:pPr>
      <w:r w:rsidRPr="0008335F">
        <w:t>92 pregnancies will be tested</w:t>
      </w:r>
    </w:p>
    <w:p w14:paraId="61459FEC" w14:textId="44522D13" w:rsidR="0008335F" w:rsidRPr="0008335F" w:rsidRDefault="0008335F" w:rsidP="00FE63E6">
      <w:pPr>
        <w:numPr>
          <w:ilvl w:val="0"/>
          <w:numId w:val="42"/>
        </w:numPr>
        <w:spacing w:before="120" w:after="120"/>
        <w:ind w:hanging="357"/>
      </w:pPr>
      <w:r w:rsidRPr="0008335F">
        <w:t>3.29 in</w:t>
      </w:r>
      <w:r w:rsidR="00627706">
        <w:t>-</w:t>
      </w:r>
      <w:r w:rsidRPr="0008335F">
        <w:t>utero diagnoses of CF</w:t>
      </w:r>
      <w:r w:rsidR="00627706">
        <w:t xml:space="preserve"> will be made</w:t>
      </w:r>
      <w:r w:rsidRPr="0008335F">
        <w:t>, enabling</w:t>
      </w:r>
      <w:r w:rsidR="00D02355">
        <w:t>:</w:t>
      </w:r>
    </w:p>
    <w:p w14:paraId="47150091" w14:textId="77777777" w:rsidR="0008335F" w:rsidRPr="0008335F" w:rsidRDefault="0008335F" w:rsidP="00FE63E6">
      <w:pPr>
        <w:numPr>
          <w:ilvl w:val="1"/>
          <w:numId w:val="47"/>
        </w:numPr>
        <w:spacing w:before="120" w:after="120"/>
        <w:ind w:hanging="357"/>
      </w:pPr>
      <w:r w:rsidRPr="0008335F">
        <w:t>2.15 CF births to be averted, and</w:t>
      </w:r>
    </w:p>
    <w:p w14:paraId="0BC3A0BB" w14:textId="77777777" w:rsidR="0008335F" w:rsidRPr="0008335F" w:rsidRDefault="0008335F" w:rsidP="00FE63E6">
      <w:pPr>
        <w:numPr>
          <w:ilvl w:val="1"/>
          <w:numId w:val="47"/>
        </w:numPr>
        <w:spacing w:before="120" w:after="120"/>
        <w:ind w:hanging="357"/>
      </w:pPr>
      <w:r w:rsidRPr="0008335F">
        <w:t>1.14 CF births to occur with pre-informed parents.</w:t>
      </w:r>
    </w:p>
    <w:p w14:paraId="6AF9E88B" w14:textId="77777777" w:rsidR="0008335F" w:rsidRPr="0008335F" w:rsidRDefault="0008335F" w:rsidP="00FE63E6">
      <w:pPr>
        <w:spacing w:before="120" w:after="120"/>
        <w:rPr>
          <w:u w:val="single"/>
        </w:rPr>
      </w:pPr>
      <w:r w:rsidRPr="0008335F">
        <w:rPr>
          <w:u w:val="single"/>
        </w:rPr>
        <w:t>Harms</w:t>
      </w:r>
    </w:p>
    <w:p w14:paraId="105B08B2" w14:textId="77376B3B" w:rsidR="0008335F" w:rsidRPr="0008335F" w:rsidRDefault="0008335F" w:rsidP="00FE63E6">
      <w:pPr>
        <w:numPr>
          <w:ilvl w:val="0"/>
          <w:numId w:val="48"/>
        </w:numPr>
        <w:spacing w:before="120" w:after="120"/>
        <w:ind w:hanging="357"/>
      </w:pPr>
      <w:r w:rsidRPr="0008335F">
        <w:t>0.01 additional unplanned fetal losses (i.e. 1/9</w:t>
      </w:r>
      <w:r w:rsidR="00D02355">
        <w:t>,</w:t>
      </w:r>
      <w:r w:rsidRPr="0008335F">
        <w:t>200 pregnancies tested)</w:t>
      </w:r>
      <w:r w:rsidR="00D02355">
        <w:t xml:space="preserve"> will occur, and</w:t>
      </w:r>
    </w:p>
    <w:p w14:paraId="0F69533C" w14:textId="1F981C87" w:rsidR="0008335F" w:rsidRPr="0008335F" w:rsidRDefault="0008335F" w:rsidP="00FE63E6">
      <w:pPr>
        <w:numPr>
          <w:ilvl w:val="0"/>
          <w:numId w:val="48"/>
        </w:numPr>
        <w:spacing w:before="120" w:after="120"/>
        <w:ind w:hanging="357"/>
      </w:pPr>
      <w:r w:rsidRPr="0008335F">
        <w:t>0.82 births with CF undetected despite in</w:t>
      </w:r>
      <w:r w:rsidR="00D02355">
        <w:t>-</w:t>
      </w:r>
      <w:r w:rsidRPr="0008335F">
        <w:t>utero testing (i.e. 1/112 pregnancies tested)</w:t>
      </w:r>
      <w:r w:rsidR="00D02355">
        <w:t xml:space="preserve"> will occur</w:t>
      </w:r>
      <w:r w:rsidRPr="0008335F">
        <w:t>.</w:t>
      </w:r>
    </w:p>
    <w:p w14:paraId="6DCA9A1A" w14:textId="298B2CBA" w:rsidR="00737CDB" w:rsidRDefault="00737CDB" w:rsidP="00231C83">
      <w:pPr>
        <w:spacing w:before="240"/>
      </w:pPr>
      <w:r w:rsidRPr="00183E4D">
        <w:lastRenderedPageBreak/>
        <w:t xml:space="preserve">The overall </w:t>
      </w:r>
      <w:r>
        <w:t xml:space="preserve">and incremental </w:t>
      </w:r>
      <w:r w:rsidRPr="00183E4D">
        <w:t xml:space="preserve">costs and </w:t>
      </w:r>
      <w:r>
        <w:t xml:space="preserve">key </w:t>
      </w:r>
      <w:r w:rsidRPr="00183E4D">
        <w:t>outcomes</w:t>
      </w:r>
      <w:r>
        <w:t xml:space="preserve"> (</w:t>
      </w:r>
      <w:r w:rsidR="00D02355">
        <w:t xml:space="preserve">i.e. </w:t>
      </w:r>
      <w:r>
        <w:t>CF births diagnosed, averted)</w:t>
      </w:r>
      <w:r w:rsidRPr="00183E4D">
        <w:t xml:space="preserve"> for the </w:t>
      </w:r>
      <w:r>
        <w:t>test</w:t>
      </w:r>
      <w:r w:rsidRPr="00183E4D">
        <w:t xml:space="preserve"> and comparator in </w:t>
      </w:r>
      <w:r>
        <w:t>the</w:t>
      </w:r>
      <w:r w:rsidRPr="00183E4D">
        <w:t xml:space="preserve"> model, </w:t>
      </w:r>
      <w:r>
        <w:t>for the additional scenarios with varying common mutation panels</w:t>
      </w:r>
      <w:r w:rsidR="00D02355">
        <w:t>,</w:t>
      </w:r>
      <w:r>
        <w:t xml:space="preserve"> are calculate</w:t>
      </w:r>
      <w:r w:rsidR="00891A76">
        <w:t xml:space="preserve">d and presented in Appendix J. </w:t>
      </w:r>
      <w:r>
        <w:t xml:space="preserve">A summary of the </w:t>
      </w:r>
      <w:r w:rsidRPr="00183E4D">
        <w:t>incremental costs</w:t>
      </w:r>
      <w:r>
        <w:t xml:space="preserve"> per CF births averted</w:t>
      </w:r>
      <w:r w:rsidRPr="00183E4D">
        <w:t xml:space="preserve"> </w:t>
      </w:r>
      <w:r w:rsidR="00B21713">
        <w:t>is</w:t>
      </w:r>
      <w:r w:rsidR="00B21713" w:rsidRPr="00183E4D">
        <w:t xml:space="preserve"> </w:t>
      </w:r>
      <w:r w:rsidRPr="00183E4D">
        <w:t xml:space="preserve">shown in </w:t>
      </w:r>
      <w:r>
        <w:fldChar w:fldCharType="begin"/>
      </w:r>
      <w:r>
        <w:instrText xml:space="preserve"> REF _Ref416445824 \h </w:instrText>
      </w:r>
      <w:r>
        <w:fldChar w:fldCharType="separate"/>
      </w:r>
      <w:r w:rsidR="00BB0E3E">
        <w:t xml:space="preserve">Table </w:t>
      </w:r>
      <w:r w:rsidR="00BB0E3E">
        <w:rPr>
          <w:noProof/>
        </w:rPr>
        <w:t>65</w:t>
      </w:r>
      <w:r>
        <w:fldChar w:fldCharType="end"/>
      </w:r>
      <w:r>
        <w:t>.</w:t>
      </w:r>
    </w:p>
    <w:p w14:paraId="1086D1F5" w14:textId="5B3FB290" w:rsidR="00737CDB" w:rsidRDefault="00737CDB" w:rsidP="00022486">
      <w:pPr>
        <w:pStyle w:val="Caption"/>
        <w:ind w:left="1134" w:hanging="1134"/>
      </w:pPr>
      <w:bookmarkStart w:id="373" w:name="_Ref416445824"/>
      <w:bookmarkStart w:id="374" w:name="_Toc416855357"/>
      <w:bookmarkStart w:id="375" w:name="_Toc418179462"/>
      <w:r>
        <w:t xml:space="preserve">Table </w:t>
      </w:r>
      <w:fldSimple w:instr=" SEQ Table \* ARABIC ">
        <w:r w:rsidR="00BB0E3E">
          <w:rPr>
            <w:noProof/>
          </w:rPr>
          <w:t>65</w:t>
        </w:r>
      </w:fldSimple>
      <w:bookmarkEnd w:id="373"/>
      <w:r>
        <w:tab/>
      </w:r>
      <w:r w:rsidRPr="006D049F">
        <w:t xml:space="preserve">Incremental </w:t>
      </w:r>
      <w:r w:rsidRPr="003013FD">
        <w:t xml:space="preserve">cost-effectiveness ratios </w:t>
      </w:r>
      <w:r w:rsidRPr="006D049F">
        <w:t>for additional scenarios</w:t>
      </w:r>
      <w:bookmarkEnd w:id="374"/>
      <w:r w:rsidR="00076B84">
        <w:t xml:space="preserve"> </w:t>
      </w:r>
      <w:r w:rsidR="00076B84" w:rsidRPr="00076B84">
        <w:t>with increased numbers of mutations included in the common mutation testing panel</w:t>
      </w:r>
      <w:bookmarkEnd w:id="375"/>
    </w:p>
    <w:tbl>
      <w:tblPr>
        <w:tblStyle w:val="TableGrid11"/>
        <w:tblW w:w="5000" w:type="pct"/>
        <w:tblLook w:val="04A0" w:firstRow="1" w:lastRow="0" w:firstColumn="1" w:lastColumn="0" w:noHBand="0" w:noVBand="1"/>
        <w:tblCaption w:val="Incremental cost-effectiveness ratios for additional scenarios"/>
        <w:tblDescription w:val="Incremental cost-effectiveness ratios for additional scenarios"/>
      </w:tblPr>
      <w:tblGrid>
        <w:gridCol w:w="3436"/>
        <w:gridCol w:w="1917"/>
        <w:gridCol w:w="1985"/>
        <w:gridCol w:w="1904"/>
      </w:tblGrid>
      <w:tr w:rsidR="00737CDB" w:rsidRPr="00B41D88" w14:paraId="71A87C29" w14:textId="77777777" w:rsidTr="007C1FC6">
        <w:trPr>
          <w:cnfStyle w:val="100000000000" w:firstRow="1" w:lastRow="0" w:firstColumn="0" w:lastColumn="0" w:oddVBand="0" w:evenVBand="0" w:oddHBand="0" w:evenHBand="0" w:firstRowFirstColumn="0" w:firstRowLastColumn="0" w:lastRowFirstColumn="0" w:lastRowLastColumn="0"/>
          <w:trHeight w:val="300"/>
          <w:tblHeader/>
        </w:trPr>
        <w:tc>
          <w:tcPr>
            <w:tcW w:w="1859" w:type="pct"/>
            <w:hideMark/>
          </w:tcPr>
          <w:p w14:paraId="1F3156E2" w14:textId="77777777" w:rsidR="00737CDB" w:rsidRPr="00B41D88" w:rsidRDefault="00737CDB" w:rsidP="00E3189A">
            <w:pPr>
              <w:pStyle w:val="TableHeading"/>
              <w:jc w:val="left"/>
              <w:rPr>
                <w:rFonts w:cs="Arial"/>
                <w:snapToGrid w:val="0"/>
              </w:rPr>
            </w:pPr>
            <w:r w:rsidRPr="00B41D88">
              <w:t>Strategy</w:t>
            </w:r>
          </w:p>
        </w:tc>
        <w:tc>
          <w:tcPr>
            <w:tcW w:w="1037" w:type="pct"/>
            <w:tcBorders>
              <w:bottom w:val="single" w:sz="4" w:space="0" w:color="auto"/>
            </w:tcBorders>
            <w:hideMark/>
          </w:tcPr>
          <w:p w14:paraId="42DEDC64" w14:textId="35B213BB" w:rsidR="00737CDB" w:rsidRPr="00B41D88" w:rsidRDefault="00737CDB" w:rsidP="00FE63E6">
            <w:pPr>
              <w:pStyle w:val="TableHeading"/>
              <w:jc w:val="center"/>
              <w:rPr>
                <w:rFonts w:cs="Arial"/>
                <w:snapToGrid w:val="0"/>
              </w:rPr>
            </w:pPr>
            <w:r>
              <w:t>17</w:t>
            </w:r>
            <w:r w:rsidR="00D02355">
              <w:t>-</w:t>
            </w:r>
            <w:r>
              <w:t>mutation panel</w:t>
            </w:r>
          </w:p>
        </w:tc>
        <w:tc>
          <w:tcPr>
            <w:tcW w:w="1074" w:type="pct"/>
            <w:tcBorders>
              <w:bottom w:val="single" w:sz="4" w:space="0" w:color="auto"/>
            </w:tcBorders>
            <w:hideMark/>
          </w:tcPr>
          <w:p w14:paraId="7AB9BC52" w14:textId="0BABC979" w:rsidR="00737CDB" w:rsidRPr="00B41D88" w:rsidRDefault="00737CDB" w:rsidP="00FE63E6">
            <w:pPr>
              <w:pStyle w:val="TableHeading"/>
              <w:jc w:val="center"/>
              <w:rPr>
                <w:rFonts w:cs="Arial"/>
                <w:snapToGrid w:val="0"/>
              </w:rPr>
            </w:pPr>
            <w:r>
              <w:t>23</w:t>
            </w:r>
            <w:r w:rsidR="00D02355">
              <w:t>-</w:t>
            </w:r>
            <w:r>
              <w:t>mutation panel</w:t>
            </w:r>
          </w:p>
        </w:tc>
        <w:tc>
          <w:tcPr>
            <w:tcW w:w="1030" w:type="pct"/>
            <w:tcBorders>
              <w:bottom w:val="single" w:sz="4" w:space="0" w:color="auto"/>
            </w:tcBorders>
            <w:hideMark/>
          </w:tcPr>
          <w:p w14:paraId="427A8761" w14:textId="77777777" w:rsidR="00737CDB" w:rsidRPr="00B41D88" w:rsidRDefault="00737CDB" w:rsidP="00FE63E6">
            <w:pPr>
              <w:pStyle w:val="TableHeading"/>
              <w:jc w:val="center"/>
              <w:rPr>
                <w:rFonts w:cs="Arial"/>
                <w:snapToGrid w:val="0"/>
              </w:rPr>
            </w:pPr>
            <w:r>
              <w:t>32 mutation panel</w:t>
            </w:r>
          </w:p>
        </w:tc>
      </w:tr>
      <w:tr w:rsidR="00737CDB" w:rsidRPr="00775B7F" w14:paraId="5E701014" w14:textId="77777777" w:rsidTr="00E3189A">
        <w:trPr>
          <w:trHeight w:val="300"/>
        </w:trPr>
        <w:tc>
          <w:tcPr>
            <w:tcW w:w="1859" w:type="pct"/>
            <w:tcBorders>
              <w:right w:val="nil"/>
            </w:tcBorders>
            <w:shd w:val="clear" w:color="auto" w:fill="F2F2F2" w:themeFill="background1" w:themeFillShade="F2"/>
          </w:tcPr>
          <w:p w14:paraId="67B02E9F" w14:textId="585CE6F2" w:rsidR="00737CDB" w:rsidRPr="00775B7F" w:rsidRDefault="00737CDB" w:rsidP="00E3189A">
            <w:pPr>
              <w:pStyle w:val="TableText0"/>
              <w:jc w:val="left"/>
              <w:rPr>
                <w:b/>
                <w:i/>
              </w:rPr>
            </w:pPr>
            <w:r w:rsidRPr="00775B7F">
              <w:rPr>
                <w:rFonts w:cs="Arial"/>
                <w:i/>
                <w:snapToGrid w:val="0"/>
              </w:rPr>
              <w:t>Model 1</w:t>
            </w:r>
            <w:r w:rsidR="00775B7F" w:rsidRPr="00775B7F">
              <w:rPr>
                <w:rFonts w:cs="Arial"/>
                <w:i/>
                <w:snapToGrid w:val="0"/>
              </w:rPr>
              <w:t xml:space="preserve"> (</w:t>
            </w:r>
            <w:r w:rsidR="00EC0247">
              <w:rPr>
                <w:rFonts w:cs="Arial"/>
                <w:i/>
                <w:snapToGrid w:val="0"/>
              </w:rPr>
              <w:t>P</w:t>
            </w:r>
            <w:r w:rsidR="00775B7F" w:rsidRPr="00775B7F">
              <w:rPr>
                <w:rFonts w:cs="Arial"/>
                <w:i/>
                <w:snapToGrid w:val="0"/>
              </w:rPr>
              <w:t>arents are known CF carriers)</w:t>
            </w:r>
          </w:p>
        </w:tc>
        <w:tc>
          <w:tcPr>
            <w:tcW w:w="1037" w:type="pct"/>
            <w:tcBorders>
              <w:left w:val="nil"/>
              <w:right w:val="nil"/>
            </w:tcBorders>
            <w:shd w:val="clear" w:color="auto" w:fill="F2F2F2" w:themeFill="background1" w:themeFillShade="F2"/>
          </w:tcPr>
          <w:p w14:paraId="6CF9822B" w14:textId="77777777" w:rsidR="00737CDB" w:rsidRPr="00775B7F" w:rsidRDefault="00737CDB" w:rsidP="00E3189A">
            <w:pPr>
              <w:pStyle w:val="TableText0"/>
              <w:jc w:val="left"/>
              <w:rPr>
                <w:b/>
                <w:i/>
              </w:rPr>
            </w:pPr>
          </w:p>
        </w:tc>
        <w:tc>
          <w:tcPr>
            <w:tcW w:w="1074" w:type="pct"/>
            <w:tcBorders>
              <w:left w:val="nil"/>
              <w:right w:val="nil"/>
            </w:tcBorders>
            <w:shd w:val="clear" w:color="auto" w:fill="F2F2F2" w:themeFill="background1" w:themeFillShade="F2"/>
          </w:tcPr>
          <w:p w14:paraId="3B03A7DA" w14:textId="77777777" w:rsidR="00737CDB" w:rsidRPr="00775B7F" w:rsidRDefault="00737CDB" w:rsidP="00E3189A">
            <w:pPr>
              <w:pStyle w:val="TableText0"/>
              <w:jc w:val="left"/>
              <w:rPr>
                <w:b/>
                <w:i/>
              </w:rPr>
            </w:pPr>
          </w:p>
        </w:tc>
        <w:tc>
          <w:tcPr>
            <w:tcW w:w="1030" w:type="pct"/>
            <w:tcBorders>
              <w:left w:val="nil"/>
              <w:bottom w:val="single" w:sz="4" w:space="0" w:color="auto"/>
              <w:right w:val="single" w:sz="4" w:space="0" w:color="auto"/>
            </w:tcBorders>
            <w:shd w:val="clear" w:color="auto" w:fill="F2F2F2" w:themeFill="background1" w:themeFillShade="F2"/>
          </w:tcPr>
          <w:p w14:paraId="164B3655" w14:textId="77777777" w:rsidR="00737CDB" w:rsidRPr="00775B7F" w:rsidRDefault="00737CDB" w:rsidP="00E3189A">
            <w:pPr>
              <w:pStyle w:val="TableText0"/>
              <w:jc w:val="left"/>
              <w:rPr>
                <w:b/>
                <w:i/>
              </w:rPr>
            </w:pPr>
          </w:p>
        </w:tc>
      </w:tr>
      <w:tr w:rsidR="00737CDB" w:rsidRPr="0028495F" w14:paraId="73AE1619" w14:textId="77777777" w:rsidTr="00FE63E6">
        <w:tc>
          <w:tcPr>
            <w:tcW w:w="1859" w:type="pct"/>
            <w:hideMark/>
          </w:tcPr>
          <w:p w14:paraId="0C25A7C2" w14:textId="77777777" w:rsidR="00737CDB" w:rsidRPr="0028495F" w:rsidRDefault="00737CDB" w:rsidP="00E3189A">
            <w:pPr>
              <w:pStyle w:val="TableText0"/>
              <w:jc w:val="left"/>
              <w:rPr>
                <w:rFonts w:cs="Arial"/>
                <w:snapToGrid w:val="0"/>
              </w:rPr>
            </w:pPr>
            <w:r>
              <w:rPr>
                <w:rFonts w:cs="Arial"/>
                <w:snapToGrid w:val="0"/>
              </w:rPr>
              <w:t>Incremental cost per prenatal CF diagnosed</w:t>
            </w:r>
          </w:p>
        </w:tc>
        <w:tc>
          <w:tcPr>
            <w:tcW w:w="1037" w:type="pct"/>
          </w:tcPr>
          <w:p w14:paraId="1BA184D0"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$1,816</w:t>
            </w:r>
          </w:p>
        </w:tc>
        <w:tc>
          <w:tcPr>
            <w:tcW w:w="1074" w:type="pct"/>
          </w:tcPr>
          <w:p w14:paraId="1E70D00B"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$1,840</w:t>
            </w:r>
          </w:p>
        </w:tc>
        <w:tc>
          <w:tcPr>
            <w:tcW w:w="1030" w:type="pct"/>
          </w:tcPr>
          <w:p w14:paraId="68E9FD7A"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$1,977</w:t>
            </w:r>
          </w:p>
        </w:tc>
      </w:tr>
      <w:tr w:rsidR="00737CDB" w:rsidRPr="0028495F" w14:paraId="7D24F830" w14:textId="77777777" w:rsidTr="00FE63E6">
        <w:tc>
          <w:tcPr>
            <w:tcW w:w="1859" w:type="pct"/>
            <w:hideMark/>
          </w:tcPr>
          <w:p w14:paraId="7892A2AF" w14:textId="77777777" w:rsidR="00737CDB" w:rsidRPr="0028495F" w:rsidRDefault="00737CDB" w:rsidP="00E3189A">
            <w:pPr>
              <w:pStyle w:val="TableText0"/>
              <w:jc w:val="left"/>
              <w:rPr>
                <w:rFonts w:cs="Arial"/>
                <w:snapToGrid w:val="0"/>
              </w:rPr>
            </w:pPr>
            <w:r>
              <w:rPr>
                <w:rFonts w:cs="Arial"/>
                <w:snapToGrid w:val="0"/>
              </w:rPr>
              <w:t>Incremental cost per CF birth averted</w:t>
            </w:r>
          </w:p>
        </w:tc>
        <w:tc>
          <w:tcPr>
            <w:tcW w:w="1037" w:type="pct"/>
          </w:tcPr>
          <w:p w14:paraId="2C77F91B"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$1,910</w:t>
            </w:r>
          </w:p>
        </w:tc>
        <w:tc>
          <w:tcPr>
            <w:tcW w:w="1074" w:type="pct"/>
          </w:tcPr>
          <w:p w14:paraId="119C3915"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$1,935</w:t>
            </w:r>
          </w:p>
        </w:tc>
        <w:tc>
          <w:tcPr>
            <w:tcW w:w="1030" w:type="pct"/>
            <w:tcBorders>
              <w:bottom w:val="single" w:sz="4" w:space="0" w:color="auto"/>
            </w:tcBorders>
          </w:tcPr>
          <w:p w14:paraId="31469DEA" w14:textId="77777777" w:rsidR="00737CDB" w:rsidRPr="0028495F" w:rsidRDefault="00737CDB" w:rsidP="00FE63E6">
            <w:pPr>
              <w:pStyle w:val="TableText0"/>
              <w:tabs>
                <w:tab w:val="left" w:pos="1384"/>
              </w:tabs>
              <w:ind w:right="317"/>
              <w:jc w:val="right"/>
              <w:rPr>
                <w:rFonts w:cs="Arial"/>
                <w:snapToGrid w:val="0"/>
              </w:rPr>
            </w:pPr>
            <w:r>
              <w:rPr>
                <w:rFonts w:cs="Arial"/>
                <w:snapToGrid w:val="0"/>
              </w:rPr>
              <w:t>$2,079</w:t>
            </w:r>
          </w:p>
        </w:tc>
      </w:tr>
      <w:tr w:rsidR="00737CDB" w:rsidRPr="00B41D88" w14:paraId="194E397A" w14:textId="77777777" w:rsidTr="00FE63E6">
        <w:tc>
          <w:tcPr>
            <w:tcW w:w="1859" w:type="pct"/>
            <w:tcBorders>
              <w:right w:val="nil"/>
            </w:tcBorders>
            <w:shd w:val="clear" w:color="auto" w:fill="F2F2F2" w:themeFill="background1" w:themeFillShade="F2"/>
          </w:tcPr>
          <w:p w14:paraId="0E525602" w14:textId="3CB8B554" w:rsidR="00737CDB" w:rsidRPr="00B41D88" w:rsidRDefault="00737CDB" w:rsidP="00E3189A">
            <w:pPr>
              <w:pStyle w:val="TableText0"/>
              <w:jc w:val="left"/>
              <w:rPr>
                <w:b/>
              </w:rPr>
            </w:pPr>
            <w:r w:rsidRPr="00775B7F">
              <w:rPr>
                <w:rFonts w:cs="Arial"/>
                <w:i/>
                <w:snapToGrid w:val="0"/>
              </w:rPr>
              <w:t>Model 2</w:t>
            </w:r>
            <w:r w:rsidR="00775B7F">
              <w:rPr>
                <w:rFonts w:cs="Arial"/>
                <w:snapToGrid w:val="0"/>
              </w:rPr>
              <w:t xml:space="preserve"> </w:t>
            </w:r>
            <w:r w:rsidR="00775B7F" w:rsidRPr="00775B7F">
              <w:rPr>
                <w:rFonts w:cs="Arial"/>
                <w:i/>
                <w:snapToGrid w:val="0"/>
              </w:rPr>
              <w:t>(Fetus has FEB)</w:t>
            </w:r>
          </w:p>
        </w:tc>
        <w:tc>
          <w:tcPr>
            <w:tcW w:w="1037" w:type="pct"/>
            <w:tcBorders>
              <w:left w:val="nil"/>
              <w:right w:val="nil"/>
            </w:tcBorders>
            <w:shd w:val="clear" w:color="auto" w:fill="F2F2F2" w:themeFill="background1" w:themeFillShade="F2"/>
          </w:tcPr>
          <w:p w14:paraId="07BA34EA" w14:textId="77777777" w:rsidR="00737CDB" w:rsidRPr="00B41D88" w:rsidRDefault="00737CDB" w:rsidP="00FE63E6">
            <w:pPr>
              <w:pStyle w:val="TableText0"/>
              <w:tabs>
                <w:tab w:val="left" w:pos="1384"/>
              </w:tabs>
              <w:ind w:right="317"/>
              <w:jc w:val="right"/>
              <w:rPr>
                <w:b/>
              </w:rPr>
            </w:pPr>
          </w:p>
        </w:tc>
        <w:tc>
          <w:tcPr>
            <w:tcW w:w="1074" w:type="pct"/>
            <w:tcBorders>
              <w:left w:val="nil"/>
              <w:right w:val="nil"/>
            </w:tcBorders>
            <w:shd w:val="clear" w:color="auto" w:fill="F2F2F2" w:themeFill="background1" w:themeFillShade="F2"/>
          </w:tcPr>
          <w:p w14:paraId="0D8CB29A" w14:textId="77777777" w:rsidR="00737CDB" w:rsidRPr="00B41D88" w:rsidRDefault="00737CDB" w:rsidP="00FE63E6">
            <w:pPr>
              <w:pStyle w:val="TableText0"/>
              <w:tabs>
                <w:tab w:val="left" w:pos="1384"/>
              </w:tabs>
              <w:ind w:right="317"/>
              <w:jc w:val="right"/>
              <w:rPr>
                <w:b/>
              </w:rPr>
            </w:pPr>
          </w:p>
        </w:tc>
        <w:tc>
          <w:tcPr>
            <w:tcW w:w="1030" w:type="pct"/>
            <w:tcBorders>
              <w:left w:val="nil"/>
              <w:bottom w:val="single" w:sz="4" w:space="0" w:color="auto"/>
              <w:right w:val="single" w:sz="4" w:space="0" w:color="auto"/>
            </w:tcBorders>
            <w:shd w:val="clear" w:color="auto" w:fill="F2F2F2" w:themeFill="background1" w:themeFillShade="F2"/>
          </w:tcPr>
          <w:p w14:paraId="69AC7D42" w14:textId="77777777" w:rsidR="00737CDB" w:rsidRPr="00B41D88" w:rsidRDefault="00737CDB" w:rsidP="00FE63E6">
            <w:pPr>
              <w:pStyle w:val="TableText0"/>
              <w:tabs>
                <w:tab w:val="left" w:pos="1384"/>
              </w:tabs>
              <w:ind w:right="317"/>
              <w:jc w:val="right"/>
              <w:rPr>
                <w:b/>
              </w:rPr>
            </w:pPr>
          </w:p>
        </w:tc>
      </w:tr>
      <w:tr w:rsidR="00737CDB" w:rsidRPr="0028495F" w14:paraId="0DBC7433" w14:textId="77777777" w:rsidTr="00FE63E6">
        <w:tc>
          <w:tcPr>
            <w:tcW w:w="1859" w:type="pct"/>
          </w:tcPr>
          <w:p w14:paraId="68FFB165" w14:textId="77777777" w:rsidR="00737CDB" w:rsidRPr="0028495F" w:rsidRDefault="00737CDB" w:rsidP="00E3189A">
            <w:pPr>
              <w:pStyle w:val="TableText0"/>
              <w:jc w:val="left"/>
              <w:rPr>
                <w:rFonts w:cs="Arial"/>
                <w:snapToGrid w:val="0"/>
              </w:rPr>
            </w:pPr>
            <w:r>
              <w:rPr>
                <w:rFonts w:cs="Arial"/>
                <w:snapToGrid w:val="0"/>
              </w:rPr>
              <w:t>Incremental cost per prenatal CF diagnosed</w:t>
            </w:r>
          </w:p>
        </w:tc>
        <w:tc>
          <w:tcPr>
            <w:tcW w:w="1037" w:type="pct"/>
          </w:tcPr>
          <w:p w14:paraId="344552BF" w14:textId="0FE4601A" w:rsidR="00737CDB" w:rsidRPr="0028495F" w:rsidRDefault="00737CDB" w:rsidP="00FE63E6">
            <w:pPr>
              <w:pStyle w:val="TableText0"/>
              <w:tabs>
                <w:tab w:val="left" w:pos="1384"/>
              </w:tabs>
              <w:ind w:right="317"/>
              <w:jc w:val="right"/>
              <w:rPr>
                <w:rFonts w:cs="Arial"/>
                <w:snapToGrid w:val="0"/>
              </w:rPr>
            </w:pPr>
            <w:r>
              <w:rPr>
                <w:rFonts w:cs="Arial"/>
                <w:snapToGrid w:val="0"/>
              </w:rPr>
              <w:t>$</w:t>
            </w:r>
            <w:r w:rsidR="00F07365">
              <w:rPr>
                <w:rFonts w:cs="Arial"/>
                <w:snapToGrid w:val="0"/>
              </w:rPr>
              <w:t>15,331</w:t>
            </w:r>
          </w:p>
        </w:tc>
        <w:tc>
          <w:tcPr>
            <w:tcW w:w="1074" w:type="pct"/>
          </w:tcPr>
          <w:p w14:paraId="6284482B" w14:textId="03CCDAB8" w:rsidR="00737CDB" w:rsidRPr="0028495F" w:rsidRDefault="00F07365" w:rsidP="00FE63E6">
            <w:pPr>
              <w:pStyle w:val="TableText0"/>
              <w:tabs>
                <w:tab w:val="left" w:pos="1384"/>
              </w:tabs>
              <w:ind w:right="317"/>
              <w:jc w:val="right"/>
              <w:rPr>
                <w:rFonts w:cs="Arial"/>
                <w:snapToGrid w:val="0"/>
              </w:rPr>
            </w:pPr>
            <w:r>
              <w:rPr>
                <w:rFonts w:cs="Arial"/>
                <w:snapToGrid w:val="0"/>
              </w:rPr>
              <w:t>$15,537</w:t>
            </w:r>
          </w:p>
        </w:tc>
        <w:tc>
          <w:tcPr>
            <w:tcW w:w="1030" w:type="pct"/>
          </w:tcPr>
          <w:p w14:paraId="07D19136" w14:textId="3775F364" w:rsidR="00737CDB" w:rsidRPr="0028495F" w:rsidRDefault="00F07365" w:rsidP="00FE63E6">
            <w:pPr>
              <w:pStyle w:val="TableText0"/>
              <w:tabs>
                <w:tab w:val="left" w:pos="1384"/>
              </w:tabs>
              <w:ind w:right="317"/>
              <w:jc w:val="right"/>
              <w:rPr>
                <w:rFonts w:cs="Arial"/>
                <w:snapToGrid w:val="0"/>
              </w:rPr>
            </w:pPr>
            <w:r>
              <w:rPr>
                <w:rFonts w:cs="Arial"/>
                <w:snapToGrid w:val="0"/>
              </w:rPr>
              <w:t>$16,304</w:t>
            </w:r>
          </w:p>
        </w:tc>
      </w:tr>
      <w:tr w:rsidR="00737CDB" w:rsidRPr="0028495F" w14:paraId="00932C18" w14:textId="77777777" w:rsidTr="00FE63E6">
        <w:tc>
          <w:tcPr>
            <w:tcW w:w="1859" w:type="pct"/>
          </w:tcPr>
          <w:p w14:paraId="11C2891E" w14:textId="77777777" w:rsidR="00737CDB" w:rsidRPr="0028495F" w:rsidRDefault="00737CDB" w:rsidP="00E3189A">
            <w:pPr>
              <w:pStyle w:val="TableText0"/>
              <w:jc w:val="left"/>
              <w:rPr>
                <w:rFonts w:cs="Arial"/>
                <w:snapToGrid w:val="0"/>
              </w:rPr>
            </w:pPr>
            <w:r>
              <w:rPr>
                <w:rFonts w:cs="Arial"/>
                <w:snapToGrid w:val="0"/>
              </w:rPr>
              <w:t>Incremental cost per CF birth averted</w:t>
            </w:r>
          </w:p>
        </w:tc>
        <w:tc>
          <w:tcPr>
            <w:tcW w:w="1037" w:type="pct"/>
          </w:tcPr>
          <w:p w14:paraId="6F130D67" w14:textId="344B174B" w:rsidR="00737CDB" w:rsidRPr="0028495F" w:rsidRDefault="00F07365" w:rsidP="00FE63E6">
            <w:pPr>
              <w:pStyle w:val="TableText0"/>
              <w:tabs>
                <w:tab w:val="left" w:pos="1384"/>
              </w:tabs>
              <w:ind w:right="317"/>
              <w:jc w:val="right"/>
              <w:rPr>
                <w:rFonts w:cs="Arial"/>
                <w:snapToGrid w:val="0"/>
              </w:rPr>
            </w:pPr>
            <w:r>
              <w:rPr>
                <w:rFonts w:cs="Arial"/>
                <w:snapToGrid w:val="0"/>
              </w:rPr>
              <w:t>$23,480</w:t>
            </w:r>
          </w:p>
        </w:tc>
        <w:tc>
          <w:tcPr>
            <w:tcW w:w="1074" w:type="pct"/>
          </w:tcPr>
          <w:p w14:paraId="48F60986" w14:textId="4285391B" w:rsidR="00737CDB" w:rsidRPr="0028495F" w:rsidRDefault="00F07365" w:rsidP="00FE63E6">
            <w:pPr>
              <w:pStyle w:val="TableText0"/>
              <w:tabs>
                <w:tab w:val="left" w:pos="1384"/>
              </w:tabs>
              <w:ind w:right="317"/>
              <w:jc w:val="right"/>
              <w:rPr>
                <w:rFonts w:cs="Arial"/>
                <w:snapToGrid w:val="0"/>
              </w:rPr>
            </w:pPr>
            <w:r>
              <w:t>$23,794</w:t>
            </w:r>
          </w:p>
        </w:tc>
        <w:tc>
          <w:tcPr>
            <w:tcW w:w="1030" w:type="pct"/>
            <w:tcBorders>
              <w:bottom w:val="single" w:sz="4" w:space="0" w:color="auto"/>
            </w:tcBorders>
          </w:tcPr>
          <w:p w14:paraId="21D8431B" w14:textId="04E9A270" w:rsidR="00737CDB" w:rsidRPr="0028495F" w:rsidRDefault="00F07365" w:rsidP="00FE63E6">
            <w:pPr>
              <w:pStyle w:val="TableText0"/>
              <w:tabs>
                <w:tab w:val="left" w:pos="1384"/>
              </w:tabs>
              <w:ind w:right="317"/>
              <w:jc w:val="right"/>
              <w:rPr>
                <w:rFonts w:cs="Arial"/>
                <w:snapToGrid w:val="0"/>
              </w:rPr>
            </w:pPr>
            <w:r>
              <w:t>$24,972</w:t>
            </w:r>
          </w:p>
        </w:tc>
      </w:tr>
    </w:tbl>
    <w:p w14:paraId="290F3A8F" w14:textId="401B0B47" w:rsidR="00737CDB" w:rsidRDefault="00737CDB" w:rsidP="00737CDB">
      <w:pPr>
        <w:pStyle w:val="Tablenotes0"/>
      </w:pPr>
      <w:r>
        <w:t>CF = cystic fibrosis</w:t>
      </w:r>
      <w:r w:rsidR="00775B7F">
        <w:t>; FEB</w:t>
      </w:r>
      <w:r w:rsidR="00D02355">
        <w:t xml:space="preserve"> </w:t>
      </w:r>
      <w:r w:rsidR="00775B7F">
        <w:t>=</w:t>
      </w:r>
      <w:r w:rsidR="00D02355">
        <w:t xml:space="preserve"> </w:t>
      </w:r>
      <w:r w:rsidR="00775B7F">
        <w:t>fetal echogenic bowel</w:t>
      </w:r>
    </w:p>
    <w:p w14:paraId="48464F60" w14:textId="36B027AC" w:rsidR="00737CDB" w:rsidRDefault="00737CDB" w:rsidP="00231C83">
      <w:pPr>
        <w:spacing w:before="240"/>
      </w:pPr>
      <w:r>
        <w:t>Prenatal testing is most cost-effective in the base</w:t>
      </w:r>
      <w:r w:rsidR="00D02355">
        <w:t>-</w:t>
      </w:r>
      <w:r>
        <w:t>case scenario (</w:t>
      </w:r>
      <w:r w:rsidR="00D02355">
        <w:t xml:space="preserve">i.e. </w:t>
      </w:r>
      <w:r>
        <w:t xml:space="preserve">testing </w:t>
      </w:r>
      <w:r w:rsidR="008E6856">
        <w:t xml:space="preserve">for </w:t>
      </w:r>
      <w:r>
        <w:t xml:space="preserve">10 </w:t>
      </w:r>
      <w:r w:rsidR="00FD37D3" w:rsidRPr="00FD37D3">
        <w:t>CFTR</w:t>
      </w:r>
      <w:r>
        <w:t xml:space="preserve"> mutations with 80% sensitivity and </w:t>
      </w:r>
      <w:r w:rsidR="00D02355">
        <w:t xml:space="preserve">a </w:t>
      </w:r>
      <w:r>
        <w:t xml:space="preserve">cost of $135) in both models. In this scenario the cost of </w:t>
      </w:r>
      <w:r w:rsidR="007A7A13">
        <w:t>the</w:t>
      </w:r>
      <w:r w:rsidR="00D02355">
        <w:t xml:space="preserve"> </w:t>
      </w:r>
      <w:r>
        <w:t xml:space="preserve">common mutation test is the lowest. In </w:t>
      </w:r>
      <w:r w:rsidR="005F46EE">
        <w:t>m</w:t>
      </w:r>
      <w:r>
        <w:t xml:space="preserve">odel 1 the higher clinical sensitivity results in higher effectiveness as </w:t>
      </w:r>
      <w:r w:rsidR="007B4CD8">
        <w:t>a larger</w:t>
      </w:r>
      <w:r>
        <w:t xml:space="preserve"> number of mutations will be detected using </w:t>
      </w:r>
      <w:r w:rsidR="007A17B9">
        <w:t xml:space="preserve">the </w:t>
      </w:r>
      <w:r>
        <w:t xml:space="preserve">common mutation test, reducing the use of costlier whole gene sequencing. In </w:t>
      </w:r>
      <w:r w:rsidR="005F46EE">
        <w:t>m</w:t>
      </w:r>
      <w:r>
        <w:t xml:space="preserve">odel 2 the higher clinical sensitivity will reduce </w:t>
      </w:r>
      <w:r w:rsidR="007A17B9">
        <w:t xml:space="preserve">the </w:t>
      </w:r>
      <w:r>
        <w:t xml:space="preserve">use of whole gene testing as well as the number of undiagnosed cases of CF. While scenarios with higher test sensitivity result in </w:t>
      </w:r>
      <w:r w:rsidR="005D4D89">
        <w:t xml:space="preserve">an </w:t>
      </w:r>
      <w:r w:rsidR="007E52D3">
        <w:t xml:space="preserve">increased </w:t>
      </w:r>
      <w:r>
        <w:t>increment</w:t>
      </w:r>
      <w:r w:rsidR="007E52D3">
        <w:t>al</w:t>
      </w:r>
      <w:r>
        <w:t xml:space="preserve"> effectiveness</w:t>
      </w:r>
      <w:r w:rsidR="007A7A13">
        <w:t>,</w:t>
      </w:r>
      <w:r>
        <w:t xml:space="preserve"> this is </w:t>
      </w:r>
      <w:r w:rsidR="007E52D3" w:rsidRPr="007E52D3">
        <w:t xml:space="preserve">also associated with an </w:t>
      </w:r>
      <w:r>
        <w:t xml:space="preserve">increased cost </w:t>
      </w:r>
      <w:bookmarkStart w:id="376" w:name="_Ref378943976"/>
      <w:r w:rsidR="002A4CA3">
        <w:t>of the extended mutation panel.</w:t>
      </w:r>
    </w:p>
    <w:p w14:paraId="4C5FE988" w14:textId="46912824" w:rsidR="00737CDB" w:rsidRPr="00183E4D" w:rsidRDefault="00737CDB" w:rsidP="00737CDB">
      <w:pPr>
        <w:pStyle w:val="Heading2"/>
        <w:numPr>
          <w:ilvl w:val="3"/>
          <w:numId w:val="9"/>
        </w:numPr>
      </w:pPr>
      <w:bookmarkStart w:id="377" w:name="_Toc418179935"/>
      <w:r w:rsidRPr="00183E4D">
        <w:t xml:space="preserve">Sensitivity </w:t>
      </w:r>
      <w:r w:rsidR="004201D8">
        <w:t>A</w:t>
      </w:r>
      <w:r w:rsidRPr="00183E4D">
        <w:t>nalys</w:t>
      </w:r>
      <w:r w:rsidR="008E6856">
        <w:t>i</w:t>
      </w:r>
      <w:r w:rsidRPr="00183E4D">
        <w:t>s</w:t>
      </w:r>
      <w:bookmarkEnd w:id="377"/>
    </w:p>
    <w:p w14:paraId="168EEBDD" w14:textId="46CE9A53" w:rsidR="00737CDB" w:rsidRDefault="00737CDB" w:rsidP="000840DA">
      <w:pPr>
        <w:spacing w:after="0"/>
      </w:pPr>
      <w:bookmarkStart w:id="378" w:name="_Ref379457727"/>
      <w:r>
        <w:t>Sensitivity analys</w:t>
      </w:r>
      <w:r w:rsidR="008E6856">
        <w:t>i</w:t>
      </w:r>
      <w:r>
        <w:t xml:space="preserve">s </w:t>
      </w:r>
      <w:r w:rsidRPr="002673F5">
        <w:t>consider</w:t>
      </w:r>
      <w:r w:rsidR="008E6856">
        <w:t>s</w:t>
      </w:r>
      <w:r w:rsidRPr="002673F5">
        <w:t xml:space="preserve"> variations on key assumptions including </w:t>
      </w:r>
      <w:r>
        <w:t xml:space="preserve">clinical sensitivity of the common mutation test, cost of whole gene sequencing, incidence of CF in fetuses with FEB, </w:t>
      </w:r>
      <w:r w:rsidRPr="002673F5">
        <w:t>uptake</w:t>
      </w:r>
      <w:r>
        <w:t xml:space="preserve"> of pregnancy termination</w:t>
      </w:r>
      <w:r w:rsidRPr="002673F5">
        <w:t xml:space="preserve"> and</w:t>
      </w:r>
      <w:r>
        <w:t xml:space="preserve"> uptake of</w:t>
      </w:r>
      <w:r w:rsidRPr="002673F5">
        <w:t xml:space="preserve"> </w:t>
      </w:r>
      <w:r>
        <w:t xml:space="preserve">invasive testing in FEB (where only one parent is identified as </w:t>
      </w:r>
      <w:r w:rsidR="00011BE2">
        <w:t xml:space="preserve">a </w:t>
      </w:r>
      <w:r>
        <w:t xml:space="preserve">carrier), </w:t>
      </w:r>
      <w:r w:rsidR="00011BE2">
        <w:t xml:space="preserve">and </w:t>
      </w:r>
      <w:r>
        <w:t xml:space="preserve">fetal loss due to </w:t>
      </w:r>
      <w:r w:rsidR="009C5F32">
        <w:t>procedure</w:t>
      </w:r>
      <w:r w:rsidR="00011BE2">
        <w:t>-</w:t>
      </w:r>
      <w:r w:rsidR="009C5F32">
        <w:t xml:space="preserve">related </w:t>
      </w:r>
      <w:r>
        <w:t>miscarriages for the base-case (</w:t>
      </w:r>
      <w:r w:rsidR="00753D3E">
        <w:t>10</w:t>
      </w:r>
      <w:r w:rsidR="00AB33F5">
        <w:t>-</w:t>
      </w:r>
      <w:r>
        <w:t>mutation panel) scenario using 95%</w:t>
      </w:r>
      <w:r w:rsidR="00011BE2">
        <w:t>CI</w:t>
      </w:r>
      <w:r>
        <w:t xml:space="preserve">s or plausible upper and lower limits. </w:t>
      </w:r>
      <w:r w:rsidR="00011BE2">
        <w:t>The a</w:t>
      </w:r>
      <w:r>
        <w:t>nalyses are presented in a tornado analys</w:t>
      </w:r>
      <w:r w:rsidR="00011BE2">
        <w:t>i</w:t>
      </w:r>
      <w:r>
        <w:t xml:space="preserve">s for both </w:t>
      </w:r>
      <w:r w:rsidR="00F51D70">
        <w:t>m</w:t>
      </w:r>
      <w:r>
        <w:t xml:space="preserve">odel </w:t>
      </w:r>
      <w:r w:rsidRPr="000A1A2C">
        <w:t>1</w:t>
      </w:r>
      <w:r w:rsidR="000840DA">
        <w:t>(Figure 9)</w:t>
      </w:r>
      <w:r w:rsidR="00011BE2">
        <w:t>,</w:t>
      </w:r>
      <w:r>
        <w:t xml:space="preserve"> and key results</w:t>
      </w:r>
      <w:r w:rsidR="00D57710">
        <w:t xml:space="preserve"> (</w:t>
      </w:r>
      <w:r w:rsidR="004C2D61">
        <w:t xml:space="preserve">reported </w:t>
      </w:r>
      <w:r w:rsidR="00D57710">
        <w:t>ICERs are</w:t>
      </w:r>
      <w:r w:rsidR="004C2D61">
        <w:t xml:space="preserve"> for</w:t>
      </w:r>
      <w:r w:rsidR="00D57710">
        <w:t xml:space="preserve"> incremental cost per CF birth averted)</w:t>
      </w:r>
      <w:r>
        <w:t xml:space="preserve"> </w:t>
      </w:r>
      <w:r w:rsidR="00011BE2">
        <w:t xml:space="preserve">are </w:t>
      </w:r>
      <w:r>
        <w:t xml:space="preserve">summarised in </w:t>
      </w:r>
      <w:r w:rsidRPr="00B01912">
        <w:fldChar w:fldCharType="begin"/>
      </w:r>
      <w:r w:rsidRPr="00B01912">
        <w:instrText xml:space="preserve"> REF _Ref416541038 \h  \* MERGEFORMAT </w:instrText>
      </w:r>
      <w:r w:rsidRPr="00B01912">
        <w:fldChar w:fldCharType="separate"/>
      </w:r>
      <w:r w:rsidR="00BB0E3E" w:rsidRPr="006709A4">
        <w:t xml:space="preserve">Table </w:t>
      </w:r>
      <w:r w:rsidR="00BB0E3E">
        <w:t>66</w:t>
      </w:r>
      <w:r w:rsidRPr="00B01912">
        <w:fldChar w:fldCharType="end"/>
      </w:r>
      <w:r w:rsidRPr="00B01912">
        <w:t>.</w:t>
      </w:r>
    </w:p>
    <w:p w14:paraId="462C710D" w14:textId="4D1E04A6" w:rsidR="002A4CA3" w:rsidRPr="002A4CA3" w:rsidRDefault="002A4CA3" w:rsidP="002A4CA3">
      <w:r w:rsidRPr="002A4CA3">
        <w:t xml:space="preserve">In </w:t>
      </w:r>
      <w:r w:rsidR="000E2EEF">
        <w:t>m</w:t>
      </w:r>
      <w:r w:rsidRPr="002A4CA3">
        <w:t>odel 1 the tornado analys</w:t>
      </w:r>
      <w:r w:rsidR="000E2EEF">
        <w:t>i</w:t>
      </w:r>
      <w:r w:rsidRPr="002A4CA3">
        <w:t>s indicate</w:t>
      </w:r>
      <w:r w:rsidR="000E2EEF">
        <w:t>s</w:t>
      </w:r>
      <w:r w:rsidRPr="002A4CA3">
        <w:t xml:space="preserve"> that the ICER with respect to $/birth averted is most sensitive to the uptake rate of terminations of CF-affected pregnancies (</w:t>
      </w:r>
      <w:r w:rsidR="000E2EEF">
        <w:t xml:space="preserve">i.e. </w:t>
      </w:r>
      <w:r w:rsidRPr="002A4CA3">
        <w:t>ICER exceeding $2,500/</w:t>
      </w:r>
      <w:r>
        <w:t>CF</w:t>
      </w:r>
      <w:r w:rsidR="00F85E5F">
        <w:t xml:space="preserve"> </w:t>
      </w:r>
      <w:r>
        <w:t>birth averted</w:t>
      </w:r>
      <w:r w:rsidR="000E2EEF">
        <w:t>,</w:t>
      </w:r>
      <w:r w:rsidRPr="002A4CA3">
        <w:t xml:space="preserve"> where termination rate decreases to 80% for CF-affected pregnancies) followed by the cost of </w:t>
      </w:r>
      <w:r w:rsidR="00892C5D">
        <w:t>NBS</w:t>
      </w:r>
      <w:r w:rsidRPr="002A4CA3">
        <w:t xml:space="preserve"> in infants tested prenatally, the test sensitivity of the common mutation panel and the cost of whole gene sequencing.</w:t>
      </w:r>
    </w:p>
    <w:p w14:paraId="03FB2E84" w14:textId="567D6CBB" w:rsidR="00737CDB" w:rsidRPr="002673F5" w:rsidRDefault="00737CDB" w:rsidP="00737CDB">
      <w:r>
        <w:t xml:space="preserve"> In </w:t>
      </w:r>
      <w:r w:rsidR="000E2EEF">
        <w:t>m</w:t>
      </w:r>
      <w:r>
        <w:t xml:space="preserve">odel 2 the ICER is most sensitive to changes in the incidence of CF in the tested population </w:t>
      </w:r>
      <w:r w:rsidR="007F78A1">
        <w:t>(</w:t>
      </w:r>
      <w:r w:rsidR="000E2EEF">
        <w:t xml:space="preserve">i.e. </w:t>
      </w:r>
      <w:r w:rsidR="007F78A1">
        <w:t>ICER exceeding $53,000</w:t>
      </w:r>
      <w:r w:rsidR="002A4CA3">
        <w:t>/CF birth averted</w:t>
      </w:r>
      <w:r w:rsidR="007F78A1">
        <w:t xml:space="preserve"> when </w:t>
      </w:r>
      <w:r w:rsidR="005E5D1A">
        <w:t xml:space="preserve">the </w:t>
      </w:r>
      <w:r w:rsidR="007F78A1">
        <w:t xml:space="preserve">incidence of </w:t>
      </w:r>
      <w:r w:rsidR="005E5D1A">
        <w:t xml:space="preserve">CF within those with </w:t>
      </w:r>
      <w:r w:rsidR="007F78A1">
        <w:t xml:space="preserve">FEB is 2%) </w:t>
      </w:r>
      <w:r>
        <w:t xml:space="preserve">and </w:t>
      </w:r>
      <w:r>
        <w:lastRenderedPageBreak/>
        <w:t xml:space="preserve">termination of pregnancy uptake rates. The uptake rates of invasive testing when one parent is identified as </w:t>
      </w:r>
      <w:r w:rsidR="00AE391D">
        <w:t xml:space="preserve">a </w:t>
      </w:r>
      <w:r>
        <w:t xml:space="preserve">carrier and </w:t>
      </w:r>
      <w:r w:rsidR="00AE391D">
        <w:t xml:space="preserve">the </w:t>
      </w:r>
      <w:r>
        <w:t xml:space="preserve">clinical sensitivity of the common mutation test have a </w:t>
      </w:r>
      <w:r w:rsidR="006479B1">
        <w:t>lower</w:t>
      </w:r>
      <w:r>
        <w:t xml:space="preserve"> </w:t>
      </w:r>
      <w:r w:rsidR="002A4CA3">
        <w:t>impact</w:t>
      </w:r>
      <w:r>
        <w:t xml:space="preserve"> on </w:t>
      </w:r>
      <w:r w:rsidR="006479B1">
        <w:t xml:space="preserve">the </w:t>
      </w:r>
      <w:r>
        <w:t>cost-effectiveness</w:t>
      </w:r>
      <w:r w:rsidR="006479B1">
        <w:t xml:space="preserve"> results </w:t>
      </w:r>
      <w:r>
        <w:t>in this model.</w:t>
      </w:r>
    </w:p>
    <w:p w14:paraId="39C97015" w14:textId="24C1346D" w:rsidR="002351FB" w:rsidRPr="002351FB" w:rsidRDefault="002351FB" w:rsidP="002351FB">
      <w:pPr>
        <w:rPr>
          <w:i/>
        </w:rPr>
      </w:pPr>
      <w:r w:rsidRPr="002351FB">
        <w:rPr>
          <w:i/>
        </w:rPr>
        <w:t>Termination rate in CF</w:t>
      </w:r>
      <w:r w:rsidR="001859B0">
        <w:rPr>
          <w:i/>
        </w:rPr>
        <w:t>-</w:t>
      </w:r>
      <w:r w:rsidRPr="002351FB">
        <w:rPr>
          <w:i/>
        </w:rPr>
        <w:t>affected pregnancies</w:t>
      </w:r>
    </w:p>
    <w:p w14:paraId="56343E64" w14:textId="07CE8AB2" w:rsidR="00737CDB" w:rsidRDefault="00737CDB" w:rsidP="00737CDB">
      <w:r>
        <w:t>The termination uptake rates of CF-affected</w:t>
      </w:r>
      <w:r w:rsidRPr="00C447A5">
        <w:t xml:space="preserve"> </w:t>
      </w:r>
      <w:r>
        <w:t xml:space="preserve">pregnancies in the tested populations could vary considerably depending on the personal choices of parents and </w:t>
      </w:r>
      <w:r w:rsidR="006838CF">
        <w:t xml:space="preserve">the </w:t>
      </w:r>
      <w:r>
        <w:t xml:space="preserve">timely diagnosis of affected </w:t>
      </w:r>
      <w:r w:rsidR="006838CF">
        <w:t>pregnancies</w:t>
      </w:r>
      <w:r>
        <w:t>. As previously discussed</w:t>
      </w:r>
      <w:r w:rsidR="00F85E5F">
        <w:t xml:space="preserve"> in section C.1.5</w:t>
      </w:r>
      <w:r>
        <w:t xml:space="preserve">, parents with </w:t>
      </w:r>
      <w:r w:rsidR="006838CF">
        <w:t xml:space="preserve">a </w:t>
      </w:r>
      <w:r>
        <w:t xml:space="preserve">previous </w:t>
      </w:r>
      <w:r w:rsidR="006838CF">
        <w:t xml:space="preserve">child diagnosed with CF </w:t>
      </w:r>
      <w:r w:rsidR="002351FB">
        <w:t>are expected to</w:t>
      </w:r>
      <w:r>
        <w:t xml:space="preserve"> have higher uptake rates of terminations of affected pregnancies compared with parents of fetuses with FEB</w:t>
      </w:r>
      <w:r w:rsidR="001859B0">
        <w:t>,</w:t>
      </w:r>
      <w:r w:rsidR="002351FB">
        <w:t xml:space="preserve"> as </w:t>
      </w:r>
      <w:r w:rsidR="002351FB" w:rsidRPr="002351FB">
        <w:t>some CF</w:t>
      </w:r>
      <w:r w:rsidR="001859B0">
        <w:t>-</w:t>
      </w:r>
      <w:r w:rsidR="002351FB" w:rsidRPr="002351FB">
        <w:t>affected pregnancies with FEB may be diagnosed too late for termination</w:t>
      </w:r>
      <w:r w:rsidR="006838CF">
        <w:t>.</w:t>
      </w:r>
      <w:r>
        <w:t xml:space="preserve"> </w:t>
      </w:r>
      <w:r w:rsidR="006479B1">
        <w:t>Therefore, the termination uptake rates were varied in the range 80%</w:t>
      </w:r>
      <w:r w:rsidR="00954853">
        <w:t>–</w:t>
      </w:r>
      <w:r w:rsidR="006479B1">
        <w:t xml:space="preserve">100% for </w:t>
      </w:r>
      <w:r w:rsidR="001859B0">
        <w:t>m</w:t>
      </w:r>
      <w:r w:rsidR="006479B1">
        <w:t>odel 1 and 30%</w:t>
      </w:r>
      <w:r w:rsidR="00954853">
        <w:t>–</w:t>
      </w:r>
      <w:r w:rsidR="006479B1">
        <w:t xml:space="preserve">100% for </w:t>
      </w:r>
      <w:r w:rsidR="001859B0">
        <w:t>m</w:t>
      </w:r>
      <w:r w:rsidR="006479B1">
        <w:t xml:space="preserve">odel 2 in the sensitivity analyses. </w:t>
      </w:r>
      <w:r>
        <w:t xml:space="preserve">The higher </w:t>
      </w:r>
      <w:r w:rsidR="002351FB">
        <w:t>rate</w:t>
      </w:r>
      <w:r>
        <w:t xml:space="preserve"> of terminations will result in fewer CF births and thus higher cost-effectiveness of the intervention, in contrast to </w:t>
      </w:r>
      <w:r w:rsidR="003D5AFC">
        <w:t xml:space="preserve">a </w:t>
      </w:r>
      <w:r>
        <w:t xml:space="preserve">higher </w:t>
      </w:r>
      <w:r w:rsidR="003D5AFC">
        <w:t xml:space="preserve">number of </w:t>
      </w:r>
      <w:r>
        <w:t>CF births and lower cost-effectiveness (</w:t>
      </w:r>
      <w:r w:rsidR="001859B0">
        <w:t xml:space="preserve">i.e. </w:t>
      </w:r>
      <w:r>
        <w:t>ICER exceeding $</w:t>
      </w:r>
      <w:r w:rsidR="007F78A1">
        <w:t>52,077</w:t>
      </w:r>
      <w:r w:rsidR="002351FB">
        <w:t>/CF birth averted</w:t>
      </w:r>
      <w:r w:rsidR="006479B1">
        <w:t xml:space="preserve"> for 3</w:t>
      </w:r>
      <w:r>
        <w:t xml:space="preserve">0% terminations in FEB) with </w:t>
      </w:r>
      <w:r w:rsidR="003D5AFC">
        <w:t xml:space="preserve">a </w:t>
      </w:r>
      <w:r>
        <w:t xml:space="preserve">lower </w:t>
      </w:r>
      <w:r w:rsidR="003D5AFC">
        <w:t xml:space="preserve">rate </w:t>
      </w:r>
      <w:r>
        <w:t xml:space="preserve">of terminations. </w:t>
      </w:r>
    </w:p>
    <w:p w14:paraId="393620F1" w14:textId="77777777" w:rsidR="002351FB" w:rsidRPr="002351FB" w:rsidRDefault="002351FB" w:rsidP="002351FB">
      <w:pPr>
        <w:rPr>
          <w:i/>
        </w:rPr>
      </w:pPr>
      <w:r w:rsidRPr="002351FB">
        <w:rPr>
          <w:i/>
        </w:rPr>
        <w:t>Incidence of CF in the FEB population</w:t>
      </w:r>
    </w:p>
    <w:p w14:paraId="2D4A6443" w14:textId="2DA1A324" w:rsidR="00737CDB" w:rsidRDefault="00737CDB" w:rsidP="00737CDB">
      <w:r>
        <w:t xml:space="preserve">There is considerable uncertainty in the estimated incidence of CF in </w:t>
      </w:r>
      <w:r w:rsidR="00B12F65">
        <w:t xml:space="preserve">the </w:t>
      </w:r>
      <w:r>
        <w:t xml:space="preserve">FEB population. The </w:t>
      </w:r>
      <w:r w:rsidR="001859B0">
        <w:t xml:space="preserve">literature </w:t>
      </w:r>
      <w:r>
        <w:t xml:space="preserve">review identified </w:t>
      </w:r>
      <w:r w:rsidR="00B12F65">
        <w:t xml:space="preserve">that the </w:t>
      </w:r>
      <w:r>
        <w:t xml:space="preserve">incidence of CF </w:t>
      </w:r>
      <w:r w:rsidR="00B12F65">
        <w:t xml:space="preserve">varied </w:t>
      </w:r>
      <w:r>
        <w:t>in the range 2%</w:t>
      </w:r>
      <w:r w:rsidR="001859B0">
        <w:t>–</w:t>
      </w:r>
      <w:r>
        <w:t>13%, whereas the two Australian studies reported incidence</w:t>
      </w:r>
      <w:r w:rsidR="00B12F65">
        <w:t xml:space="preserve"> rates</w:t>
      </w:r>
      <w:r>
        <w:t xml:space="preserve"> of 3% and 6%. Therefore, a range of 2%</w:t>
      </w:r>
      <w:r w:rsidR="00954853">
        <w:t>–</w:t>
      </w:r>
      <w:r>
        <w:t xml:space="preserve">13% was applied in the tornado </w:t>
      </w:r>
      <w:r w:rsidR="00D57710">
        <w:t xml:space="preserve">sensitivity </w:t>
      </w:r>
      <w:r>
        <w:t>analysis. Increasing the incidence was observed to increase the cost-effectiveness of prenatal testing; and</w:t>
      </w:r>
      <w:r w:rsidR="00D52E0F">
        <w:t>,</w:t>
      </w:r>
      <w:r>
        <w:t xml:space="preserve"> conversely, decreasing the incidence decreased the cost-effectiveness of prenatal tes</w:t>
      </w:r>
      <w:r w:rsidR="00D57710">
        <w:t xml:space="preserve">ting, increasing the incremental cost per </w:t>
      </w:r>
      <w:r w:rsidR="00954853">
        <w:t xml:space="preserve">CF </w:t>
      </w:r>
      <w:r w:rsidR="00D57710">
        <w:t>birth averted to $53</w:t>
      </w:r>
      <w:r>
        <w:t>,</w:t>
      </w:r>
      <w:r w:rsidR="00D57710">
        <w:t>56</w:t>
      </w:r>
      <w:r w:rsidR="007F78A1">
        <w:t>5</w:t>
      </w:r>
      <w:r w:rsidR="002351FB">
        <w:t xml:space="preserve"> </w:t>
      </w:r>
      <w:r w:rsidR="002351FB" w:rsidRPr="002351FB">
        <w:t>in the FEB population (</w:t>
      </w:r>
      <w:r w:rsidR="00D52E0F">
        <w:t>m</w:t>
      </w:r>
      <w:r w:rsidR="002351FB" w:rsidRPr="002351FB">
        <w:t>odel 2).</w:t>
      </w:r>
    </w:p>
    <w:p w14:paraId="48C2A692" w14:textId="77777777" w:rsidR="00A1103D" w:rsidRDefault="008E1182" w:rsidP="00A1103D">
      <w:pPr>
        <w:spacing w:after="0"/>
        <w:rPr>
          <w:rFonts w:ascii="Arial Narrow" w:hAnsi="Arial Narrow"/>
          <w:sz w:val="18"/>
          <w:szCs w:val="18"/>
        </w:rPr>
      </w:pPr>
      <w:r>
        <w:rPr>
          <w:noProof/>
        </w:rPr>
        <w:lastRenderedPageBreak/>
        <w:drawing>
          <wp:inline distT="0" distB="0" distL="0" distR="0" wp14:anchorId="1F38AC6B" wp14:editId="0917F53A">
            <wp:extent cx="5632315" cy="3871609"/>
            <wp:effectExtent l="0" t="0" r="6985" b="0"/>
            <wp:docPr id="87" name="Picture 87" descr="Tornado diagram for model 1 – Fetus with parents known CF carriers. Columns are arranged as descriptors, change in ICER from base-case using lower value, and Change in ICER from base-case using higher value. Table data: Uptake rate of termination of CF-affected pregnancy (80%–100%) $2,552.64, $1,723.15; Cost of newborn screening in infants tested prenatally ($5–$250) $1,293.50, $2,067.10; Clinical sensitivity of common mutation test (80%–98%) $1,897.78, $1,215.11; Cost of testing whole gene for CFTR mutation ($500–$1000) $1,476.73, $1,897.78; Procedure-related miscarriage (0%–0.57%) $1,907.63, $1,870.04. " title="Tornado sensitivity analysis,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4347" cy="3879880"/>
                    </a:xfrm>
                    <a:prstGeom prst="rect">
                      <a:avLst/>
                    </a:prstGeom>
                    <a:noFill/>
                  </pic:spPr>
                </pic:pic>
              </a:graphicData>
            </a:graphic>
          </wp:inline>
        </w:drawing>
      </w:r>
      <w:bookmarkStart w:id="379" w:name="_Ref417635070"/>
    </w:p>
    <w:p w14:paraId="290167BC" w14:textId="6E7D07FA" w:rsidR="001A4FD5" w:rsidRPr="00A1103D" w:rsidRDefault="001A4FD5" w:rsidP="006F65C4">
      <w:pPr>
        <w:spacing w:after="120"/>
        <w:rPr>
          <w:rFonts w:ascii="Arial Narrow" w:hAnsi="Arial Narrow"/>
          <w:sz w:val="18"/>
          <w:szCs w:val="18"/>
        </w:rPr>
      </w:pPr>
      <w:r w:rsidRPr="00A1103D">
        <w:rPr>
          <w:rFonts w:ascii="Arial Narrow" w:hAnsi="Arial Narrow"/>
          <w:sz w:val="18"/>
          <w:szCs w:val="18"/>
        </w:rPr>
        <w:t>CF = cystic fibrosis; CFTR = cystic fibrosis transmembrane conductance regulator; ICER = incremental cost-effectiveness ratio</w:t>
      </w:r>
    </w:p>
    <w:p w14:paraId="6C0C55D3" w14:textId="71B8EB98" w:rsidR="004C2D61" w:rsidRDefault="004C2D61" w:rsidP="004C2D61">
      <w:pPr>
        <w:pStyle w:val="Caption"/>
      </w:pPr>
      <w:bookmarkStart w:id="380" w:name="_Toc423525563"/>
      <w:r w:rsidRPr="000A1A2C">
        <w:t xml:space="preserve">Figure </w:t>
      </w:r>
      <w:fldSimple w:instr=" SEQ Figure \* ARABIC ">
        <w:r w:rsidR="00BB0E3E">
          <w:rPr>
            <w:noProof/>
          </w:rPr>
          <w:t>8</w:t>
        </w:r>
      </w:fldSimple>
      <w:bookmarkEnd w:id="379"/>
      <w:r>
        <w:tab/>
      </w:r>
      <w:r w:rsidRPr="003E2A75">
        <w:t xml:space="preserve">Tornado sensitivity analysis, </w:t>
      </w:r>
      <w:r w:rsidR="007B39B9">
        <w:t>m</w:t>
      </w:r>
      <w:r w:rsidRPr="003E2A75">
        <w:t>odel 1</w:t>
      </w:r>
      <w:r w:rsidR="002351FB">
        <w:t xml:space="preserve"> (</w:t>
      </w:r>
      <w:r w:rsidR="000A3B88">
        <w:t>Both p</w:t>
      </w:r>
      <w:r w:rsidR="002351FB">
        <w:t>arents known CF carriers)</w:t>
      </w:r>
      <w:bookmarkEnd w:id="380"/>
    </w:p>
    <w:p w14:paraId="38FFC325" w14:textId="2322B930" w:rsidR="0021226A" w:rsidRDefault="0021226A" w:rsidP="006D1AC9">
      <w:pPr>
        <w:pStyle w:val="Tablenotes0"/>
        <w:spacing w:after="0"/>
      </w:pPr>
    </w:p>
    <w:p w14:paraId="5386B4B7" w14:textId="77777777" w:rsidR="00A1103D" w:rsidRDefault="00A1103D" w:rsidP="00A1103D">
      <w:pPr>
        <w:pStyle w:val="Tablenotes0"/>
      </w:pPr>
      <w:r>
        <w:rPr>
          <w:noProof/>
          <w:snapToGrid/>
          <w:lang w:eastAsia="en-AU"/>
        </w:rPr>
        <w:drawing>
          <wp:inline distT="0" distB="0" distL="0" distR="0" wp14:anchorId="3F88B1B2" wp14:editId="73C41389">
            <wp:extent cx="5622587" cy="3492230"/>
            <wp:effectExtent l="0" t="0" r="0" b="0"/>
            <wp:docPr id="89" name="Picture 89" descr="Column headings are descriptors, Change in ICER from base-case using lower value, and Change in ICER from base-case using higher value. Table data: Incidence of CF in FEB (2%–13%) $53,565, $7,398; Uptake rate of pregnancy termination (30%–100%) $52,077, $14,607; Clinical sensitivity of common mutation test (80%–98%) $23,254, $18,800. " title="Tornado sensitivity analysis,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2587" cy="3492230"/>
                    </a:xfrm>
                    <a:prstGeom prst="rect">
                      <a:avLst/>
                    </a:prstGeom>
                    <a:noFill/>
                  </pic:spPr>
                </pic:pic>
              </a:graphicData>
            </a:graphic>
          </wp:inline>
        </w:drawing>
      </w:r>
      <w:bookmarkStart w:id="381" w:name="_Ref417635077"/>
      <w:bookmarkEnd w:id="376"/>
      <w:bookmarkEnd w:id="378"/>
    </w:p>
    <w:p w14:paraId="66FB1695" w14:textId="71CFB794" w:rsidR="001A4FD5" w:rsidRDefault="001A4FD5" w:rsidP="000840DA">
      <w:pPr>
        <w:rPr>
          <w:rFonts w:ascii="Arial Narrow" w:hAnsi="Arial Narrow"/>
          <w:sz w:val="18"/>
          <w:szCs w:val="18"/>
        </w:rPr>
      </w:pPr>
      <w:r w:rsidRPr="000840DA">
        <w:rPr>
          <w:rFonts w:ascii="Arial Narrow" w:hAnsi="Arial Narrow"/>
          <w:sz w:val="18"/>
          <w:szCs w:val="18"/>
        </w:rPr>
        <w:t>CF = cystic fibrosis; CFTR = cystic fibrosis transmembrane conductance regulator; FEB = fetal</w:t>
      </w:r>
      <w:r w:rsidRPr="00A1103D">
        <w:t xml:space="preserve"> </w:t>
      </w:r>
      <w:r w:rsidRPr="000840DA">
        <w:rPr>
          <w:rFonts w:ascii="Arial Narrow" w:hAnsi="Arial Narrow"/>
          <w:sz w:val="18"/>
          <w:szCs w:val="18"/>
        </w:rPr>
        <w:t xml:space="preserve">echogenic bowel; ICER = incremental cost-effectiveness ratio </w:t>
      </w:r>
    </w:p>
    <w:p w14:paraId="024116B7" w14:textId="789D9F99" w:rsidR="004C2D61" w:rsidRDefault="004C2D61" w:rsidP="000840DA">
      <w:pPr>
        <w:pStyle w:val="Caption"/>
        <w:keepNext w:val="0"/>
      </w:pPr>
      <w:bookmarkStart w:id="382" w:name="_Toc423525564"/>
      <w:r w:rsidRPr="00592E11">
        <w:t xml:space="preserve">Figure </w:t>
      </w:r>
      <w:fldSimple w:instr=" SEQ Figure \* ARABIC ">
        <w:r w:rsidR="00BB0E3E">
          <w:rPr>
            <w:noProof/>
          </w:rPr>
          <w:t>9</w:t>
        </w:r>
      </w:fldSimple>
      <w:bookmarkEnd w:id="381"/>
      <w:r>
        <w:tab/>
      </w:r>
      <w:r w:rsidRPr="001421F6">
        <w:t xml:space="preserve">Tornado sensitivity analysis, </w:t>
      </w:r>
      <w:r w:rsidR="00CE3B2B">
        <w:t>m</w:t>
      </w:r>
      <w:r w:rsidRPr="001421F6">
        <w:t>odel 2</w:t>
      </w:r>
      <w:r w:rsidR="002351FB">
        <w:t xml:space="preserve"> (Fetus has FEB)</w:t>
      </w:r>
      <w:bookmarkEnd w:id="382"/>
    </w:p>
    <w:p w14:paraId="2E51D7A7" w14:textId="2B9C3A0F" w:rsidR="002351FB" w:rsidRPr="002351FB" w:rsidRDefault="002351FB" w:rsidP="002351FB">
      <w:pPr>
        <w:rPr>
          <w:i/>
        </w:rPr>
      </w:pPr>
      <w:r w:rsidRPr="002351FB">
        <w:rPr>
          <w:i/>
        </w:rPr>
        <w:lastRenderedPageBreak/>
        <w:t>Duplication of prenatal genetic testing costs in postnatal screening</w:t>
      </w:r>
    </w:p>
    <w:p w14:paraId="66C98ADE" w14:textId="7097F89D" w:rsidR="002351FB" w:rsidRPr="002351FB" w:rsidRDefault="002351FB" w:rsidP="002351FB">
      <w:r w:rsidRPr="002351FB">
        <w:t xml:space="preserve">In the economic models </w:t>
      </w:r>
      <w:r w:rsidR="00853CFC">
        <w:t>NBS</w:t>
      </w:r>
      <w:r w:rsidRPr="002351FB">
        <w:t xml:space="preserve"> is not substituted by prenatal testing in the intervention arm</w:t>
      </w:r>
      <w:r w:rsidR="00853CFC">
        <w:t>,</w:t>
      </w:r>
      <w:r w:rsidRPr="002351FB">
        <w:t xml:space="preserve"> and is assumed to be performed for all infants as per the standard </w:t>
      </w:r>
      <w:r w:rsidR="00892C5D">
        <w:t>NBS</w:t>
      </w:r>
      <w:r w:rsidRPr="002351FB">
        <w:t xml:space="preserve"> protocol, irrespective of prenatal testing</w:t>
      </w:r>
      <w:r>
        <w:rPr>
          <w:rStyle w:val="FootnoteReference"/>
        </w:rPr>
        <w:footnoteReference w:id="22"/>
      </w:r>
      <w:r w:rsidR="00853CFC">
        <w:t>.</w:t>
      </w:r>
      <w:r w:rsidRPr="002351FB">
        <w:t xml:space="preserve"> This increases the costs per diagnosis in the intervention arm as the cost of </w:t>
      </w:r>
      <w:r w:rsidRPr="002351FB">
        <w:rPr>
          <w:i/>
        </w:rPr>
        <w:t>CFTR</w:t>
      </w:r>
      <w:r w:rsidRPr="002351FB">
        <w:t xml:space="preserve"> testing </w:t>
      </w:r>
      <w:r w:rsidR="00853CFC">
        <w:t>is</w:t>
      </w:r>
      <w:r w:rsidR="00853CFC" w:rsidRPr="002351FB">
        <w:t xml:space="preserve"> </w:t>
      </w:r>
      <w:r w:rsidRPr="002351FB">
        <w:t>counted twice. A range of $5 (</w:t>
      </w:r>
      <w:r w:rsidR="00853CFC">
        <w:t xml:space="preserve">the </w:t>
      </w:r>
      <w:r w:rsidRPr="002351FB">
        <w:t xml:space="preserve">cost </w:t>
      </w:r>
      <w:r w:rsidR="00954853" w:rsidRPr="002351FB">
        <w:t xml:space="preserve">of </w:t>
      </w:r>
      <w:r w:rsidRPr="002351FB">
        <w:t>IRT immunoassay</w:t>
      </w:r>
      <w:r w:rsidR="00954853">
        <w:t xml:space="preserve"> </w:t>
      </w:r>
      <w:r w:rsidR="00954853" w:rsidRPr="002351FB">
        <w:t>only</w:t>
      </w:r>
      <w:r w:rsidRPr="002351FB">
        <w:t>)</w:t>
      </w:r>
      <w:r w:rsidR="00853CFC">
        <w:t>–</w:t>
      </w:r>
      <w:r w:rsidRPr="002351FB">
        <w:t xml:space="preserve">$250 (costs including IRT, mutation testing in infants, sweat test in carriers and genetic counselling) was applied for </w:t>
      </w:r>
      <w:r w:rsidR="00853CFC">
        <w:t xml:space="preserve">the </w:t>
      </w:r>
      <w:r w:rsidRPr="002351FB">
        <w:t xml:space="preserve">cost of NBS in infants who had prenatal </w:t>
      </w:r>
      <w:r w:rsidRPr="004566DC">
        <w:t>CFTR</w:t>
      </w:r>
      <w:r w:rsidRPr="002351FB">
        <w:t xml:space="preserve"> testing in </w:t>
      </w:r>
      <w:r w:rsidR="00853CFC">
        <w:t>m</w:t>
      </w:r>
      <w:r w:rsidRPr="002351FB">
        <w:t>odel 1</w:t>
      </w:r>
      <w:r w:rsidR="00853CFC">
        <w:t>,</w:t>
      </w:r>
      <w:r w:rsidRPr="002351FB">
        <w:t xml:space="preserve"> and </w:t>
      </w:r>
      <w:r w:rsidR="00853CFC">
        <w:t>the range</w:t>
      </w:r>
      <w:r w:rsidR="00DF5916">
        <w:t xml:space="preserve"> </w:t>
      </w:r>
      <w:r w:rsidRPr="002351FB">
        <w:t xml:space="preserve">in </w:t>
      </w:r>
      <w:r w:rsidR="00853CFC">
        <w:t>m</w:t>
      </w:r>
      <w:r w:rsidRPr="002351FB">
        <w:t>odel 2</w:t>
      </w:r>
      <w:r w:rsidR="00853CFC">
        <w:t xml:space="preserve"> was </w:t>
      </w:r>
      <w:r w:rsidR="00853CFC" w:rsidRPr="002351FB">
        <w:t>$5</w:t>
      </w:r>
      <w:r w:rsidR="00853CFC">
        <w:t>–</w:t>
      </w:r>
      <w:r w:rsidR="00853CFC" w:rsidRPr="002351FB">
        <w:t>$100</w:t>
      </w:r>
      <w:r w:rsidRPr="002351FB">
        <w:t xml:space="preserve">. In </w:t>
      </w:r>
      <w:r w:rsidR="00555A28">
        <w:t>m</w:t>
      </w:r>
      <w:r w:rsidRPr="002351FB">
        <w:t>odel 1 (where parents are known carriers) the ICER ($</w:t>
      </w:r>
      <w:r w:rsidR="004A4481">
        <w:t>1,898</w:t>
      </w:r>
      <w:r w:rsidRPr="002351FB">
        <w:t>/</w:t>
      </w:r>
      <w:r w:rsidR="004A4481">
        <w:t>CF birth averted</w:t>
      </w:r>
      <w:r w:rsidRPr="002351FB">
        <w:t>) is sensitive to this parameter</w:t>
      </w:r>
      <w:r w:rsidR="00555A28">
        <w:t>,</w:t>
      </w:r>
      <w:r w:rsidRPr="002351FB">
        <w:t xml:space="preserve"> </w:t>
      </w:r>
      <w:r w:rsidR="00555A28">
        <w:t xml:space="preserve">and </w:t>
      </w:r>
      <w:r w:rsidRPr="002351FB">
        <w:t>resulting ICERs rang</w:t>
      </w:r>
      <w:r w:rsidR="00555A28">
        <w:t>ed</w:t>
      </w:r>
      <w:r w:rsidRPr="002351FB">
        <w:t xml:space="preserve"> from $1,294 to $2,067</w:t>
      </w:r>
      <w:r w:rsidR="00954853">
        <w:t xml:space="preserve"> per </w:t>
      </w:r>
      <w:r w:rsidR="004A4481">
        <w:t>CF birth averted</w:t>
      </w:r>
      <w:r w:rsidRPr="002351FB">
        <w:t>)</w:t>
      </w:r>
      <w:r w:rsidR="004A4481">
        <w:t xml:space="preserve">. </w:t>
      </w:r>
      <w:r w:rsidRPr="002351FB">
        <w:t xml:space="preserve">In </w:t>
      </w:r>
      <w:r w:rsidR="00555A28">
        <w:t>m</w:t>
      </w:r>
      <w:r w:rsidRPr="002351FB">
        <w:t>odel 2 (where fetus has FEB) these costs do not significantly change the cost-effectiveness, possibly due to the low incidence of CF and CF carriers.</w:t>
      </w:r>
    </w:p>
    <w:p w14:paraId="5CE14E33" w14:textId="77777777" w:rsidR="002351FB" w:rsidRPr="002351FB" w:rsidRDefault="002351FB" w:rsidP="002351FB">
      <w:pPr>
        <w:rPr>
          <w:i/>
        </w:rPr>
      </w:pPr>
      <w:r w:rsidRPr="002351FB">
        <w:rPr>
          <w:i/>
        </w:rPr>
        <w:t>The cost of whole gene sequencing</w:t>
      </w:r>
    </w:p>
    <w:p w14:paraId="460539B8" w14:textId="3E0859A4" w:rsidR="00737CDB" w:rsidRDefault="002351FB" w:rsidP="002351FB">
      <w:r w:rsidRPr="007722F2">
        <w:t xml:space="preserve">In model 1 (where parents </w:t>
      </w:r>
      <w:r w:rsidR="00C775A3" w:rsidRPr="007722F2">
        <w:t xml:space="preserve">are </w:t>
      </w:r>
      <w:r w:rsidRPr="007722F2">
        <w:t>known carriers) when the test sensitivity is 80% (base</w:t>
      </w:r>
      <w:r w:rsidR="00C775A3" w:rsidRPr="007722F2">
        <w:t>-</w:t>
      </w:r>
      <w:r w:rsidRPr="007722F2">
        <w:t>case</w:t>
      </w:r>
      <w:r w:rsidR="00402F30" w:rsidRPr="004566DC">
        <w:t xml:space="preserve"> scenario</w:t>
      </w:r>
      <w:r w:rsidR="00600157" w:rsidRPr="004566DC">
        <w:t xml:space="preserve">), </w:t>
      </w:r>
      <w:r w:rsidR="00402F30" w:rsidRPr="00CB03EC">
        <w:rPr>
          <w:color w:val="000000" w:themeColor="text1"/>
        </w:rPr>
        <w:t>64% of couples</w:t>
      </w:r>
      <w:r w:rsidR="00600157" w:rsidRPr="00CB03EC">
        <w:rPr>
          <w:color w:val="000000" w:themeColor="text1"/>
        </w:rPr>
        <w:t xml:space="preserve"> </w:t>
      </w:r>
      <w:r w:rsidR="00600157" w:rsidRPr="004566DC">
        <w:t>will be</w:t>
      </w:r>
      <w:r w:rsidRPr="007722F2">
        <w:t xml:space="preserve"> </w:t>
      </w:r>
      <w:r w:rsidR="00402F30" w:rsidRPr="004566DC">
        <w:t xml:space="preserve">identified as </w:t>
      </w:r>
      <w:r w:rsidR="00737CDB" w:rsidRPr="007722F2">
        <w:t>homozygous for common mutations and offe</w:t>
      </w:r>
      <w:r w:rsidR="003876E7" w:rsidRPr="007722F2">
        <w:t xml:space="preserve">red known mutation testing in </w:t>
      </w:r>
      <w:r w:rsidR="00600157" w:rsidRPr="004566DC">
        <w:t xml:space="preserve">the </w:t>
      </w:r>
      <w:r w:rsidR="003876E7" w:rsidRPr="007722F2">
        <w:t>f</w:t>
      </w:r>
      <w:r w:rsidR="00737CDB" w:rsidRPr="007722F2">
        <w:t>etus; whereas the remaining 36% will be either heterozygous for common and rare mutations</w:t>
      </w:r>
      <w:r w:rsidR="00402F30" w:rsidRPr="004566DC">
        <w:t>,</w:t>
      </w:r>
      <w:r w:rsidR="00737CDB" w:rsidRPr="007722F2">
        <w:t xml:space="preserve"> or homozygous for rare mutations</w:t>
      </w:r>
      <w:r w:rsidR="00542229" w:rsidRPr="007722F2">
        <w:t>,</w:t>
      </w:r>
      <w:r w:rsidR="00737CDB" w:rsidRPr="007722F2">
        <w:t xml:space="preserve"> and thus will be offered whole gene sequencing for fetal testing.</w:t>
      </w:r>
      <w:r w:rsidR="00737CDB">
        <w:t xml:space="preserve"> Subsequently, halving the cost of whole gene sequencing to $500 reduces the cost per diagnosis, decreasing the ICER</w:t>
      </w:r>
      <w:r w:rsidR="004A4481">
        <w:t xml:space="preserve"> ($1,477/CF birth averted</w:t>
      </w:r>
      <w:r w:rsidR="003876E7">
        <w:t xml:space="preserve"> for whole gene test cost </w:t>
      </w:r>
      <w:r w:rsidR="004A4481">
        <w:t>is</w:t>
      </w:r>
      <w:r w:rsidR="003876E7">
        <w:t xml:space="preserve"> $500)</w:t>
      </w:r>
      <w:r w:rsidR="00737CDB">
        <w:t xml:space="preserve">. </w:t>
      </w:r>
      <w:r w:rsidR="004A4481" w:rsidRPr="004A4481">
        <w:t xml:space="preserve">This change is not observed in model 2 (where </w:t>
      </w:r>
      <w:r w:rsidR="00542229">
        <w:t>the</w:t>
      </w:r>
      <w:r w:rsidR="00542229" w:rsidRPr="004A4481">
        <w:t xml:space="preserve"> </w:t>
      </w:r>
      <w:r w:rsidR="004A4481" w:rsidRPr="004A4481">
        <w:t>fetus has FEB), where the frequency of CF mutations is much lower.</w:t>
      </w:r>
    </w:p>
    <w:p w14:paraId="20729B92" w14:textId="77777777" w:rsidR="004A4481" w:rsidRPr="004A4481" w:rsidRDefault="004A4481" w:rsidP="004A4481">
      <w:pPr>
        <w:rPr>
          <w:i/>
        </w:rPr>
      </w:pPr>
      <w:r w:rsidRPr="004A4481">
        <w:rPr>
          <w:i/>
        </w:rPr>
        <w:t xml:space="preserve">Invasive testing uptake rate </w:t>
      </w:r>
    </w:p>
    <w:p w14:paraId="5184214F" w14:textId="370C06D2" w:rsidR="00737CDB" w:rsidRPr="00003F89" w:rsidRDefault="00737CDB" w:rsidP="00737CDB">
      <w:r>
        <w:t xml:space="preserve">Uptake rates of invasive testing have </w:t>
      </w:r>
      <w:r w:rsidR="00600157">
        <w:t xml:space="preserve">a </w:t>
      </w:r>
      <w:r>
        <w:t xml:space="preserve">low impact on the ICER in </w:t>
      </w:r>
      <w:r w:rsidR="00542229">
        <w:t>m</w:t>
      </w:r>
      <w:r>
        <w:t>odel 2</w:t>
      </w:r>
      <w:r w:rsidR="004A4481">
        <w:t xml:space="preserve"> </w:t>
      </w:r>
      <w:r w:rsidR="004A4481" w:rsidRPr="004A4481">
        <w:t>(</w:t>
      </w:r>
      <w:r w:rsidR="004A4481">
        <w:t>f</w:t>
      </w:r>
      <w:r w:rsidR="004A4481" w:rsidRPr="004A4481">
        <w:t xml:space="preserve">etuses with FEB) </w:t>
      </w:r>
      <w:r>
        <w:t xml:space="preserve">in </w:t>
      </w:r>
      <w:r w:rsidR="003876E7">
        <w:t xml:space="preserve">the </w:t>
      </w:r>
      <w:r>
        <w:t>base</w:t>
      </w:r>
      <w:r w:rsidR="00542229">
        <w:t>-</w:t>
      </w:r>
      <w:r>
        <w:t>case scenario due to low incidence of CF (3%)</w:t>
      </w:r>
      <w:r w:rsidR="00600157">
        <w:t>,</w:t>
      </w:r>
      <w:r>
        <w:t xml:space="preserve"> but would probably have </w:t>
      </w:r>
      <w:r w:rsidR="00600157">
        <w:t xml:space="preserve">a </w:t>
      </w:r>
      <w:r>
        <w:t xml:space="preserve">higher impact if the incidence of CF </w:t>
      </w:r>
      <w:r w:rsidR="00542229">
        <w:t xml:space="preserve">was </w:t>
      </w:r>
      <w:r>
        <w:t xml:space="preserve">higher in this population. </w:t>
      </w:r>
      <w:r w:rsidR="00542229">
        <w:t>P</w:t>
      </w:r>
      <w:r>
        <w:t>rocedure</w:t>
      </w:r>
      <w:r w:rsidR="00542229">
        <w:t>-</w:t>
      </w:r>
      <w:r>
        <w:t>related miscarriage</w:t>
      </w:r>
      <w:r w:rsidR="003876E7">
        <w:t>s</w:t>
      </w:r>
      <w:r>
        <w:t xml:space="preserve"> seem to have no impact on the ICERs in both models</w:t>
      </w:r>
      <w:r w:rsidR="00542229">
        <w:t>,</w:t>
      </w:r>
      <w:r w:rsidR="003876E7">
        <w:t xml:space="preserve"> likely due to the very low rate of this outcome</w:t>
      </w:r>
      <w:r>
        <w:t>.</w:t>
      </w:r>
    </w:p>
    <w:p w14:paraId="54FEA8E4" w14:textId="636E8705" w:rsidR="00737CDB" w:rsidRDefault="00737CDB" w:rsidP="00737CDB">
      <w:r>
        <w:t xml:space="preserve">The key results of the sensitivity analyses are summarised in </w:t>
      </w:r>
      <w:r w:rsidRPr="00783CDB">
        <w:fldChar w:fldCharType="begin"/>
      </w:r>
      <w:r w:rsidRPr="00783CDB">
        <w:instrText xml:space="preserve"> REF _Ref416541038 \h  \* MERGEFORMAT </w:instrText>
      </w:r>
      <w:r w:rsidRPr="00783CDB">
        <w:fldChar w:fldCharType="separate"/>
      </w:r>
      <w:r w:rsidR="00BB0E3E" w:rsidRPr="006709A4">
        <w:t xml:space="preserve">Table </w:t>
      </w:r>
      <w:r w:rsidR="00BB0E3E">
        <w:t>66</w:t>
      </w:r>
      <w:r w:rsidRPr="00783CDB">
        <w:fldChar w:fldCharType="end"/>
      </w:r>
      <w:r>
        <w:t>.</w:t>
      </w:r>
    </w:p>
    <w:p w14:paraId="48A220D3" w14:textId="77777777" w:rsidR="00737CDB" w:rsidRPr="00003F89" w:rsidRDefault="00737CDB" w:rsidP="00F57AF2">
      <w:pPr>
        <w:pStyle w:val="Caption"/>
        <w:rPr>
          <w:snapToGrid w:val="0"/>
          <w:lang w:eastAsia="en-US"/>
        </w:rPr>
      </w:pPr>
      <w:bookmarkStart w:id="383" w:name="_Ref416541038"/>
      <w:bookmarkStart w:id="384" w:name="_Toc416855359"/>
      <w:bookmarkStart w:id="385" w:name="_Toc418179463"/>
      <w:r w:rsidRPr="006709A4">
        <w:t xml:space="preserve">Table </w:t>
      </w:r>
      <w:fldSimple w:instr=" SEQ Table \* ARABIC ">
        <w:r w:rsidR="00BB0E3E">
          <w:rPr>
            <w:noProof/>
          </w:rPr>
          <w:t>66</w:t>
        </w:r>
      </w:fldSimple>
      <w:bookmarkEnd w:id="383"/>
      <w:r w:rsidRPr="00003F89">
        <w:tab/>
      </w:r>
      <w:r w:rsidRPr="00003F89">
        <w:rPr>
          <w:snapToGrid w:val="0"/>
          <w:lang w:eastAsia="en-US"/>
        </w:rPr>
        <w:t>Key</w:t>
      </w:r>
      <w:r>
        <w:rPr>
          <w:snapToGrid w:val="0"/>
          <w:lang w:eastAsia="en-US"/>
        </w:rPr>
        <w:t xml:space="preserve"> drivers of the economic models</w:t>
      </w:r>
      <w:bookmarkEnd w:id="384"/>
      <w:bookmarkEnd w:id="385"/>
    </w:p>
    <w:tbl>
      <w:tblPr>
        <w:tblStyle w:val="TableGrid1"/>
        <w:tblW w:w="5000" w:type="pct"/>
        <w:tblLook w:val="04A0" w:firstRow="1" w:lastRow="0" w:firstColumn="1" w:lastColumn="0" w:noHBand="0" w:noVBand="1"/>
        <w:tblCaption w:val="Key drivers of the economic model"/>
        <w:tblDescription w:val="This table describes what factors and assumptions in the economic model affect the incremental cost-effectiveness to the greatest extent."/>
      </w:tblPr>
      <w:tblGrid>
        <w:gridCol w:w="2482"/>
        <w:gridCol w:w="1730"/>
        <w:gridCol w:w="1444"/>
        <w:gridCol w:w="1296"/>
        <w:gridCol w:w="2290"/>
      </w:tblGrid>
      <w:tr w:rsidR="00922619" w:rsidRPr="00B01912" w14:paraId="1B961E7F"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1343" w:type="pct"/>
          </w:tcPr>
          <w:p w14:paraId="0ED20B02" w14:textId="77777777" w:rsidR="00737CDB" w:rsidRPr="00B01912" w:rsidRDefault="00737CDB">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Description</w:t>
            </w:r>
          </w:p>
        </w:tc>
        <w:tc>
          <w:tcPr>
            <w:tcW w:w="936" w:type="pct"/>
          </w:tcPr>
          <w:p w14:paraId="2AFD02BA" w14:textId="77777777" w:rsidR="00737CDB" w:rsidRPr="00B01912" w:rsidRDefault="00737CDB">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Values assessed in sensitivity analysis</w:t>
            </w:r>
          </w:p>
        </w:tc>
        <w:tc>
          <w:tcPr>
            <w:tcW w:w="781" w:type="pct"/>
          </w:tcPr>
          <w:p w14:paraId="5F41C1EB" w14:textId="34181AA6" w:rsidR="00737CDB" w:rsidRDefault="00737CDB" w:rsidP="004566DC">
            <w:pPr>
              <w:keepNext/>
              <w:spacing w:after="40" w:line="240" w:lineRule="auto"/>
              <w:jc w:val="center"/>
              <w:rPr>
                <w:rFonts w:ascii="Arial Narrow" w:hAnsi="Arial Narrow"/>
                <w:b/>
                <w:snapToGrid w:val="0"/>
                <w:sz w:val="20"/>
                <w:szCs w:val="20"/>
                <w:lang w:eastAsia="en-US"/>
              </w:rPr>
            </w:pPr>
            <w:r w:rsidRPr="00B01912">
              <w:rPr>
                <w:rFonts w:ascii="Arial Narrow" w:hAnsi="Arial Narrow"/>
                <w:b/>
                <w:snapToGrid w:val="0"/>
                <w:sz w:val="20"/>
                <w:szCs w:val="20"/>
                <w:lang w:eastAsia="en-US"/>
              </w:rPr>
              <w:t>ICER using lower value</w:t>
            </w:r>
          </w:p>
          <w:p w14:paraId="475E597C" w14:textId="665C5C34" w:rsidR="006A677A" w:rsidRPr="00B01912" w:rsidRDefault="006A677A" w:rsidP="004566DC">
            <w:pPr>
              <w:keepNext/>
              <w:spacing w:after="40" w:line="240" w:lineRule="auto"/>
              <w:jc w:val="center"/>
              <w:rPr>
                <w:rFonts w:ascii="Arial Narrow" w:hAnsi="Arial Narrow"/>
                <w:b/>
                <w:snapToGrid w:val="0"/>
                <w:sz w:val="20"/>
                <w:szCs w:val="20"/>
                <w:lang w:eastAsia="en-US"/>
              </w:rPr>
            </w:pPr>
            <w:r>
              <w:rPr>
                <w:rFonts w:ascii="Arial Narrow" w:hAnsi="Arial Narrow"/>
                <w:b/>
                <w:snapToGrid w:val="0"/>
                <w:sz w:val="20"/>
                <w:szCs w:val="20"/>
                <w:lang w:eastAsia="en-US"/>
              </w:rPr>
              <w:t>$/</w:t>
            </w:r>
            <w:r w:rsidRPr="006A677A">
              <w:rPr>
                <w:rFonts w:ascii="Arial Narrow" w:hAnsi="Arial Narrow"/>
                <w:b/>
                <w:i/>
                <w:snapToGrid w:val="0"/>
                <w:sz w:val="20"/>
                <w:szCs w:val="20"/>
                <w:lang w:eastAsia="en-US"/>
              </w:rPr>
              <w:t>CF birth averted</w:t>
            </w:r>
          </w:p>
        </w:tc>
        <w:tc>
          <w:tcPr>
            <w:tcW w:w="701" w:type="pct"/>
          </w:tcPr>
          <w:p w14:paraId="26425534" w14:textId="77777777" w:rsidR="00737CDB" w:rsidRDefault="00737CDB" w:rsidP="004566DC">
            <w:pPr>
              <w:keepNext/>
              <w:spacing w:after="40" w:line="240" w:lineRule="auto"/>
              <w:jc w:val="center"/>
              <w:rPr>
                <w:rFonts w:ascii="Arial Narrow" w:hAnsi="Arial Narrow"/>
                <w:b/>
                <w:snapToGrid w:val="0"/>
                <w:sz w:val="20"/>
                <w:szCs w:val="20"/>
                <w:lang w:eastAsia="en-US"/>
              </w:rPr>
            </w:pPr>
            <w:r w:rsidRPr="00B01912">
              <w:rPr>
                <w:rFonts w:ascii="Arial Narrow" w:hAnsi="Arial Narrow"/>
                <w:b/>
                <w:snapToGrid w:val="0"/>
                <w:sz w:val="20"/>
                <w:szCs w:val="20"/>
                <w:lang w:eastAsia="en-US"/>
              </w:rPr>
              <w:t>ICER using higher value</w:t>
            </w:r>
          </w:p>
          <w:p w14:paraId="099BC191" w14:textId="6CF0A0F9" w:rsidR="006A677A" w:rsidRPr="00B01912" w:rsidRDefault="006A677A" w:rsidP="004566DC">
            <w:pPr>
              <w:keepNext/>
              <w:spacing w:after="40" w:line="240" w:lineRule="auto"/>
              <w:jc w:val="center"/>
              <w:rPr>
                <w:rFonts w:ascii="Arial Narrow" w:hAnsi="Arial Narrow"/>
                <w:b/>
                <w:snapToGrid w:val="0"/>
                <w:sz w:val="20"/>
                <w:szCs w:val="20"/>
                <w:lang w:eastAsia="en-US"/>
              </w:rPr>
            </w:pPr>
            <w:r>
              <w:rPr>
                <w:rFonts w:ascii="Arial Narrow" w:hAnsi="Arial Narrow"/>
                <w:b/>
                <w:snapToGrid w:val="0"/>
                <w:sz w:val="20"/>
                <w:szCs w:val="20"/>
                <w:lang w:eastAsia="en-US"/>
              </w:rPr>
              <w:t>$/</w:t>
            </w:r>
            <w:r w:rsidRPr="006A677A">
              <w:rPr>
                <w:rFonts w:ascii="Arial Narrow" w:hAnsi="Arial Narrow"/>
                <w:b/>
                <w:i/>
                <w:snapToGrid w:val="0"/>
                <w:sz w:val="20"/>
                <w:szCs w:val="20"/>
                <w:lang w:eastAsia="en-US"/>
              </w:rPr>
              <w:t>CF birth averted</w:t>
            </w:r>
          </w:p>
        </w:tc>
        <w:tc>
          <w:tcPr>
            <w:tcW w:w="1239" w:type="pct"/>
          </w:tcPr>
          <w:p w14:paraId="375D9126" w14:textId="77777777" w:rsidR="00737CDB" w:rsidRPr="00B01912" w:rsidRDefault="00737CDB">
            <w:pPr>
              <w:keepNext/>
              <w:spacing w:after="40" w:line="240" w:lineRule="auto"/>
              <w:jc w:val="left"/>
              <w:rPr>
                <w:rFonts w:ascii="Arial Narrow" w:hAnsi="Arial Narrow"/>
                <w:b/>
                <w:snapToGrid w:val="0"/>
                <w:sz w:val="20"/>
                <w:szCs w:val="20"/>
                <w:lang w:eastAsia="en-US"/>
              </w:rPr>
            </w:pPr>
            <w:r w:rsidRPr="00B01912">
              <w:rPr>
                <w:rFonts w:ascii="Arial Narrow" w:hAnsi="Arial Narrow"/>
                <w:b/>
                <w:snapToGrid w:val="0"/>
                <w:sz w:val="20"/>
                <w:szCs w:val="20"/>
                <w:lang w:eastAsia="en-US"/>
              </w:rPr>
              <w:t>Impact</w:t>
            </w:r>
          </w:p>
        </w:tc>
      </w:tr>
      <w:tr w:rsidR="00922619" w:rsidRPr="00B01912" w14:paraId="09F3AA88" w14:textId="77777777" w:rsidTr="0042252D">
        <w:tc>
          <w:tcPr>
            <w:tcW w:w="1343" w:type="pct"/>
          </w:tcPr>
          <w:p w14:paraId="691CB0BF" w14:textId="720F56E5" w:rsidR="00737CDB" w:rsidRPr="00B01912" w:rsidRDefault="00737CDB">
            <w:pPr>
              <w:spacing w:after="40" w:line="240" w:lineRule="auto"/>
              <w:jc w:val="left"/>
              <w:rPr>
                <w:rFonts w:ascii="Arial Narrow" w:hAnsi="Arial Narrow"/>
                <w:i/>
                <w:snapToGrid w:val="0"/>
                <w:sz w:val="20"/>
                <w:szCs w:val="20"/>
                <w:lang w:eastAsia="en-US"/>
              </w:rPr>
            </w:pPr>
            <w:r w:rsidRPr="00B01912">
              <w:rPr>
                <w:rFonts w:ascii="Arial Narrow" w:hAnsi="Arial Narrow"/>
                <w:i/>
                <w:snapToGrid w:val="0"/>
                <w:sz w:val="20"/>
                <w:szCs w:val="20"/>
                <w:lang w:eastAsia="en-US"/>
              </w:rPr>
              <w:t>Model 1</w:t>
            </w:r>
            <w:r w:rsidR="006A677A">
              <w:rPr>
                <w:rFonts w:ascii="Arial Narrow" w:hAnsi="Arial Narrow"/>
                <w:i/>
                <w:snapToGrid w:val="0"/>
                <w:sz w:val="20"/>
                <w:szCs w:val="20"/>
                <w:lang w:eastAsia="en-US"/>
              </w:rPr>
              <w:t xml:space="preserve"> </w:t>
            </w:r>
            <w:r w:rsidR="00515751">
              <w:rPr>
                <w:rFonts w:ascii="Arial Narrow" w:hAnsi="Arial Narrow"/>
                <w:i/>
                <w:snapToGrid w:val="0"/>
                <w:sz w:val="20"/>
                <w:szCs w:val="20"/>
                <w:lang w:eastAsia="en-US"/>
              </w:rPr>
              <w:t>–</w:t>
            </w:r>
            <w:r w:rsidR="006A677A">
              <w:rPr>
                <w:rFonts w:ascii="Arial Narrow" w:hAnsi="Arial Narrow"/>
                <w:i/>
                <w:snapToGrid w:val="0"/>
                <w:sz w:val="20"/>
                <w:szCs w:val="20"/>
                <w:lang w:eastAsia="en-US"/>
              </w:rPr>
              <w:t xml:space="preserve"> </w:t>
            </w:r>
            <w:r w:rsidR="006A677A" w:rsidRPr="006A677A">
              <w:rPr>
                <w:rFonts w:ascii="Arial Narrow" w:hAnsi="Arial Narrow"/>
                <w:i/>
                <w:snapToGrid w:val="0"/>
                <w:sz w:val="20"/>
                <w:szCs w:val="20"/>
                <w:lang w:eastAsia="en-US"/>
              </w:rPr>
              <w:t>Parents are known CF carriers</w:t>
            </w:r>
            <w:r w:rsidR="00DF5916">
              <w:rPr>
                <w:rFonts w:ascii="Arial Narrow" w:hAnsi="Arial Narrow"/>
                <w:i/>
                <w:snapToGrid w:val="0"/>
                <w:sz w:val="20"/>
                <w:szCs w:val="20"/>
                <w:lang w:eastAsia="en-US"/>
              </w:rPr>
              <w:t xml:space="preserve"> </w:t>
            </w:r>
          </w:p>
        </w:tc>
        <w:tc>
          <w:tcPr>
            <w:tcW w:w="936" w:type="pct"/>
          </w:tcPr>
          <w:p w14:paraId="0CB57B96" w14:textId="77777777" w:rsidR="00737CDB" w:rsidRPr="00B01912" w:rsidRDefault="00737CDB">
            <w:pPr>
              <w:spacing w:after="40" w:line="240" w:lineRule="auto"/>
              <w:jc w:val="left"/>
              <w:rPr>
                <w:rFonts w:ascii="Arial Narrow" w:hAnsi="Arial Narrow"/>
                <w:i/>
                <w:sz w:val="20"/>
                <w:szCs w:val="20"/>
              </w:rPr>
            </w:pPr>
          </w:p>
        </w:tc>
        <w:tc>
          <w:tcPr>
            <w:tcW w:w="781" w:type="pct"/>
          </w:tcPr>
          <w:p w14:paraId="2952E80F" w14:textId="77777777" w:rsidR="00737CDB" w:rsidRPr="00B01912" w:rsidRDefault="00737CDB">
            <w:pPr>
              <w:spacing w:after="40" w:line="240" w:lineRule="auto"/>
              <w:jc w:val="left"/>
              <w:rPr>
                <w:rFonts w:ascii="Arial Narrow" w:hAnsi="Arial Narrow"/>
                <w:i/>
                <w:sz w:val="20"/>
                <w:szCs w:val="20"/>
              </w:rPr>
            </w:pPr>
          </w:p>
        </w:tc>
        <w:tc>
          <w:tcPr>
            <w:tcW w:w="701" w:type="pct"/>
          </w:tcPr>
          <w:p w14:paraId="6C9D549F" w14:textId="77777777" w:rsidR="00737CDB" w:rsidRPr="00B01912" w:rsidRDefault="00737CDB">
            <w:pPr>
              <w:spacing w:after="40" w:line="240" w:lineRule="auto"/>
              <w:jc w:val="left"/>
              <w:rPr>
                <w:rFonts w:ascii="Arial Narrow" w:hAnsi="Arial Narrow"/>
                <w:i/>
                <w:sz w:val="20"/>
                <w:szCs w:val="20"/>
              </w:rPr>
            </w:pPr>
          </w:p>
        </w:tc>
        <w:tc>
          <w:tcPr>
            <w:tcW w:w="1239" w:type="pct"/>
          </w:tcPr>
          <w:p w14:paraId="6AC45B69" w14:textId="51859696" w:rsidR="00737CDB" w:rsidRPr="00B01912" w:rsidRDefault="006A677A">
            <w:pPr>
              <w:spacing w:after="40" w:line="240" w:lineRule="auto"/>
              <w:jc w:val="left"/>
              <w:rPr>
                <w:rFonts w:ascii="Arial Narrow" w:hAnsi="Arial Narrow"/>
                <w:i/>
                <w:sz w:val="20"/>
                <w:szCs w:val="20"/>
              </w:rPr>
            </w:pPr>
            <w:r w:rsidRPr="006A677A">
              <w:rPr>
                <w:rFonts w:ascii="Arial Narrow" w:hAnsi="Arial Narrow"/>
                <w:i/>
                <w:sz w:val="20"/>
                <w:szCs w:val="20"/>
              </w:rPr>
              <w:t>(Base</w:t>
            </w:r>
            <w:r w:rsidR="00515751">
              <w:rPr>
                <w:rFonts w:ascii="Arial Narrow" w:hAnsi="Arial Narrow"/>
                <w:i/>
                <w:sz w:val="20"/>
                <w:szCs w:val="20"/>
              </w:rPr>
              <w:t>-</w:t>
            </w:r>
            <w:r w:rsidRPr="006A677A">
              <w:rPr>
                <w:rFonts w:ascii="Arial Narrow" w:hAnsi="Arial Narrow"/>
                <w:i/>
                <w:sz w:val="20"/>
                <w:szCs w:val="20"/>
              </w:rPr>
              <w:t>case ICER $</w:t>
            </w:r>
            <w:r>
              <w:rPr>
                <w:rFonts w:ascii="Arial Narrow" w:hAnsi="Arial Narrow"/>
                <w:i/>
                <w:sz w:val="20"/>
                <w:szCs w:val="20"/>
              </w:rPr>
              <w:t>1,898/CF birth averted</w:t>
            </w:r>
            <w:r w:rsidRPr="006A677A">
              <w:rPr>
                <w:rFonts w:ascii="Arial Narrow" w:hAnsi="Arial Narrow"/>
                <w:i/>
                <w:sz w:val="20"/>
                <w:szCs w:val="20"/>
              </w:rPr>
              <w:t>)</w:t>
            </w:r>
          </w:p>
        </w:tc>
      </w:tr>
      <w:tr w:rsidR="006A677A" w:rsidRPr="00B01912" w14:paraId="6C431D3B" w14:textId="77777777" w:rsidTr="0042252D">
        <w:tc>
          <w:tcPr>
            <w:tcW w:w="1343" w:type="pct"/>
          </w:tcPr>
          <w:p w14:paraId="63E1DFB9" w14:textId="77777777" w:rsidR="006A677A" w:rsidRPr="00B01912" w:rsidRDefault="006A677A">
            <w:pPr>
              <w:pStyle w:val="Tabletext1"/>
              <w:jc w:val="left"/>
              <w:rPr>
                <w:snapToGrid w:val="0"/>
                <w:lang w:eastAsia="en-US"/>
              </w:rPr>
            </w:pPr>
            <w:r w:rsidRPr="00B01912">
              <w:rPr>
                <w:snapToGrid w:val="0"/>
                <w:lang w:eastAsia="en-US"/>
              </w:rPr>
              <w:lastRenderedPageBreak/>
              <w:t>Uptake of termination of affected pregnancy</w:t>
            </w:r>
          </w:p>
        </w:tc>
        <w:tc>
          <w:tcPr>
            <w:tcW w:w="936" w:type="pct"/>
          </w:tcPr>
          <w:p w14:paraId="6B509E83" w14:textId="01CD16C9" w:rsidR="006A677A" w:rsidRPr="00B01912" w:rsidRDefault="006A677A" w:rsidP="0021226A">
            <w:pPr>
              <w:pStyle w:val="Tabletext1"/>
              <w:jc w:val="left"/>
            </w:pPr>
            <w:r w:rsidRPr="00B01912">
              <w:t xml:space="preserve">Varied </w:t>
            </w:r>
            <w:r w:rsidR="00C7544F">
              <w:t>in the range</w:t>
            </w:r>
            <w:r w:rsidR="00C7544F" w:rsidRPr="00B01912">
              <w:t xml:space="preserve"> </w:t>
            </w:r>
            <w:r w:rsidRPr="00B01912">
              <w:t>80%</w:t>
            </w:r>
            <w:r w:rsidR="00C7544F">
              <w:t>–</w:t>
            </w:r>
            <w:r w:rsidRPr="00B01912">
              <w:t>100%</w:t>
            </w:r>
          </w:p>
        </w:tc>
        <w:tc>
          <w:tcPr>
            <w:tcW w:w="781" w:type="pct"/>
          </w:tcPr>
          <w:p w14:paraId="0EDDED6C" w14:textId="435C01F7" w:rsidR="006A677A" w:rsidRPr="00E11A8F" w:rsidRDefault="006A677A" w:rsidP="004566DC">
            <w:pPr>
              <w:pStyle w:val="Tabletext1"/>
              <w:ind w:right="399"/>
              <w:jc w:val="right"/>
            </w:pPr>
            <w:r w:rsidRPr="00E11A8F">
              <w:t>$2,55</w:t>
            </w:r>
            <w:r>
              <w:t>3</w:t>
            </w:r>
          </w:p>
        </w:tc>
        <w:tc>
          <w:tcPr>
            <w:tcW w:w="701" w:type="pct"/>
          </w:tcPr>
          <w:p w14:paraId="72E9F603" w14:textId="7291BE80" w:rsidR="006A677A" w:rsidRPr="00E11A8F" w:rsidRDefault="006A677A" w:rsidP="004566DC">
            <w:pPr>
              <w:pStyle w:val="Tabletext1"/>
              <w:ind w:right="399"/>
              <w:jc w:val="right"/>
            </w:pPr>
            <w:r w:rsidRPr="00E11A8F">
              <w:t>$1,723</w:t>
            </w:r>
          </w:p>
        </w:tc>
        <w:tc>
          <w:tcPr>
            <w:tcW w:w="1239" w:type="pct"/>
          </w:tcPr>
          <w:p w14:paraId="148FD09F" w14:textId="33EFCFE6" w:rsidR="006A677A" w:rsidRPr="00B01912" w:rsidRDefault="006A677A">
            <w:pPr>
              <w:pStyle w:val="Tabletext1"/>
              <w:jc w:val="left"/>
            </w:pPr>
            <w:r w:rsidRPr="00B01912">
              <w:t>High</w:t>
            </w:r>
            <w:r w:rsidR="00F10882">
              <w:t>;</w:t>
            </w:r>
            <w:r w:rsidRPr="00B01912">
              <w:t xml:space="preserve"> lower termination uptake rates favo</w:t>
            </w:r>
            <w:r w:rsidR="001E261D">
              <w:t>u</w:t>
            </w:r>
            <w:r w:rsidRPr="00B01912">
              <w:t xml:space="preserve">r comparator </w:t>
            </w:r>
          </w:p>
        </w:tc>
      </w:tr>
      <w:tr w:rsidR="006A677A" w:rsidRPr="00B01912" w14:paraId="73B0984B" w14:textId="77777777" w:rsidTr="0042252D">
        <w:tc>
          <w:tcPr>
            <w:tcW w:w="1343" w:type="pct"/>
          </w:tcPr>
          <w:p w14:paraId="65C5467C" w14:textId="12076AD9" w:rsidR="006A677A" w:rsidRPr="00B01912" w:rsidRDefault="006A677A">
            <w:pPr>
              <w:pStyle w:val="Tabletext1"/>
              <w:jc w:val="left"/>
            </w:pPr>
            <w:r w:rsidRPr="00B01912">
              <w:t xml:space="preserve">Cost of </w:t>
            </w:r>
            <w:r w:rsidR="00892C5D">
              <w:t>NBS</w:t>
            </w:r>
            <w:r w:rsidRPr="00B01912">
              <w:t xml:space="preserve"> in infants tested prenatally</w:t>
            </w:r>
          </w:p>
        </w:tc>
        <w:tc>
          <w:tcPr>
            <w:tcW w:w="936" w:type="pct"/>
          </w:tcPr>
          <w:p w14:paraId="5C2DEC2B" w14:textId="36215594" w:rsidR="006A677A" w:rsidRPr="00B01912" w:rsidRDefault="006A677A" w:rsidP="0021226A">
            <w:pPr>
              <w:pStyle w:val="Tabletext1"/>
              <w:jc w:val="left"/>
            </w:pPr>
            <w:r>
              <w:t xml:space="preserve">Varied </w:t>
            </w:r>
            <w:r w:rsidR="00C7544F">
              <w:t>in the range</w:t>
            </w:r>
            <w:r w:rsidR="00C7544F" w:rsidDel="00C7544F">
              <w:t xml:space="preserve"> </w:t>
            </w:r>
            <w:r>
              <w:t>$5</w:t>
            </w:r>
            <w:r w:rsidR="00C7544F">
              <w:t>–</w:t>
            </w:r>
            <w:r>
              <w:t>$25</w:t>
            </w:r>
            <w:r w:rsidRPr="00B01912">
              <w:t>0</w:t>
            </w:r>
          </w:p>
        </w:tc>
        <w:tc>
          <w:tcPr>
            <w:tcW w:w="781" w:type="pct"/>
          </w:tcPr>
          <w:p w14:paraId="68CA27C1" w14:textId="0B697A43" w:rsidR="006A677A" w:rsidRPr="00E11A8F" w:rsidRDefault="006A677A" w:rsidP="004566DC">
            <w:pPr>
              <w:pStyle w:val="Tabletext1"/>
              <w:ind w:right="399"/>
              <w:jc w:val="right"/>
            </w:pPr>
            <w:r w:rsidRPr="00E11A8F">
              <w:t>$1,29</w:t>
            </w:r>
            <w:r>
              <w:t>4</w:t>
            </w:r>
          </w:p>
        </w:tc>
        <w:tc>
          <w:tcPr>
            <w:tcW w:w="701" w:type="pct"/>
          </w:tcPr>
          <w:p w14:paraId="2E63F3CD" w14:textId="2FB85B92" w:rsidR="006A677A" w:rsidRPr="00E11A8F" w:rsidRDefault="006A677A" w:rsidP="004566DC">
            <w:pPr>
              <w:pStyle w:val="Tabletext1"/>
              <w:ind w:right="399"/>
              <w:jc w:val="right"/>
            </w:pPr>
            <w:r w:rsidRPr="00E11A8F">
              <w:t>$2,067</w:t>
            </w:r>
          </w:p>
        </w:tc>
        <w:tc>
          <w:tcPr>
            <w:tcW w:w="1239" w:type="pct"/>
          </w:tcPr>
          <w:p w14:paraId="4B8CCD66" w14:textId="37DCD9B2" w:rsidR="006A677A" w:rsidRPr="00B01912" w:rsidRDefault="006A677A">
            <w:pPr>
              <w:pStyle w:val="Tabletext1"/>
              <w:jc w:val="left"/>
            </w:pPr>
            <w:r w:rsidRPr="00B01912">
              <w:t>High</w:t>
            </w:r>
            <w:r w:rsidR="00F10882">
              <w:t>;</w:t>
            </w:r>
            <w:r w:rsidRPr="00B01912">
              <w:t xml:space="preserve"> </w:t>
            </w:r>
            <w:r>
              <w:t xml:space="preserve">retesting neonates for </w:t>
            </w:r>
            <w:r w:rsidRPr="00FD37D3">
              <w:t>CFTR</w:t>
            </w:r>
            <w:r>
              <w:t xml:space="preserve"> mutations</w:t>
            </w:r>
            <w:r w:rsidRPr="00B01912">
              <w:t xml:space="preserve"> </w:t>
            </w:r>
            <w:r>
              <w:t xml:space="preserve">during </w:t>
            </w:r>
            <w:r w:rsidRPr="00B01912">
              <w:t>NBS favour</w:t>
            </w:r>
            <w:r>
              <w:t>s</w:t>
            </w:r>
            <w:r w:rsidRPr="00B01912">
              <w:t xml:space="preserve"> comparator</w:t>
            </w:r>
          </w:p>
        </w:tc>
      </w:tr>
      <w:tr w:rsidR="006A677A" w:rsidRPr="00B01912" w14:paraId="6A12F8EE" w14:textId="77777777" w:rsidTr="0042252D">
        <w:tc>
          <w:tcPr>
            <w:tcW w:w="1343" w:type="pct"/>
          </w:tcPr>
          <w:p w14:paraId="58CF7812" w14:textId="77777777" w:rsidR="006A677A" w:rsidRPr="00B01912" w:rsidRDefault="006A677A">
            <w:pPr>
              <w:pStyle w:val="Tabletext1"/>
              <w:jc w:val="left"/>
            </w:pPr>
            <w:r w:rsidRPr="00B01912">
              <w:t>Clinical sensitivity of common mutation test</w:t>
            </w:r>
          </w:p>
        </w:tc>
        <w:tc>
          <w:tcPr>
            <w:tcW w:w="936" w:type="pct"/>
          </w:tcPr>
          <w:p w14:paraId="2A3E2A13" w14:textId="23EA4D55" w:rsidR="006A677A" w:rsidRPr="00B01912" w:rsidRDefault="006A677A" w:rsidP="0021226A">
            <w:pPr>
              <w:pStyle w:val="Tabletext1"/>
              <w:jc w:val="left"/>
            </w:pPr>
            <w:r>
              <w:t xml:space="preserve">Varied </w:t>
            </w:r>
            <w:r w:rsidR="00C7544F">
              <w:t>in the range</w:t>
            </w:r>
            <w:r w:rsidR="00C7544F" w:rsidDel="00C7544F">
              <w:t xml:space="preserve"> </w:t>
            </w:r>
            <w:r>
              <w:t>80%</w:t>
            </w:r>
            <w:r w:rsidR="00C7544F">
              <w:t>–</w:t>
            </w:r>
            <w:r>
              <w:t>98</w:t>
            </w:r>
            <w:r w:rsidRPr="00B01912">
              <w:t>%</w:t>
            </w:r>
          </w:p>
        </w:tc>
        <w:tc>
          <w:tcPr>
            <w:tcW w:w="781" w:type="pct"/>
          </w:tcPr>
          <w:p w14:paraId="2DE0E515" w14:textId="13AD4D10" w:rsidR="006A677A" w:rsidRPr="00E11A8F" w:rsidRDefault="006A677A" w:rsidP="004566DC">
            <w:pPr>
              <w:pStyle w:val="Tabletext1"/>
              <w:ind w:right="399"/>
              <w:jc w:val="right"/>
            </w:pPr>
            <w:r w:rsidRPr="00E11A8F">
              <w:t>$1,89</w:t>
            </w:r>
            <w:r>
              <w:t>8</w:t>
            </w:r>
          </w:p>
        </w:tc>
        <w:tc>
          <w:tcPr>
            <w:tcW w:w="701" w:type="pct"/>
          </w:tcPr>
          <w:p w14:paraId="27C129BA" w14:textId="07C6B4F1" w:rsidR="006A677A" w:rsidRPr="00E11A8F" w:rsidRDefault="006A677A" w:rsidP="004566DC">
            <w:pPr>
              <w:pStyle w:val="Tabletext1"/>
              <w:ind w:right="399"/>
              <w:jc w:val="right"/>
            </w:pPr>
            <w:r w:rsidRPr="00E11A8F">
              <w:t>$1,215</w:t>
            </w:r>
          </w:p>
        </w:tc>
        <w:tc>
          <w:tcPr>
            <w:tcW w:w="1239" w:type="pct"/>
          </w:tcPr>
          <w:p w14:paraId="386A88E8" w14:textId="6EA58646" w:rsidR="006A677A" w:rsidRPr="00B01912" w:rsidRDefault="006A677A">
            <w:pPr>
              <w:pStyle w:val="Tabletext1"/>
              <w:jc w:val="left"/>
            </w:pPr>
            <w:r w:rsidRPr="00B01912">
              <w:t>High</w:t>
            </w:r>
            <w:r w:rsidR="00F10882">
              <w:t>;</w:t>
            </w:r>
            <w:r w:rsidRPr="00B01912">
              <w:t xml:space="preserve"> higher clinical sensitivity favo</w:t>
            </w:r>
            <w:r w:rsidR="00F10882">
              <w:t>u</w:t>
            </w:r>
            <w:r w:rsidRPr="00B01912">
              <w:t>rs intervention</w:t>
            </w:r>
          </w:p>
        </w:tc>
      </w:tr>
      <w:tr w:rsidR="006A677A" w:rsidRPr="00B01912" w14:paraId="43CB11CB" w14:textId="77777777" w:rsidTr="0042252D">
        <w:tc>
          <w:tcPr>
            <w:tcW w:w="1343" w:type="pct"/>
          </w:tcPr>
          <w:p w14:paraId="74E4BBB1" w14:textId="77777777" w:rsidR="006A677A" w:rsidRPr="00B01912" w:rsidRDefault="006A677A">
            <w:pPr>
              <w:pStyle w:val="Tabletext1"/>
              <w:jc w:val="left"/>
            </w:pPr>
            <w:r w:rsidRPr="00B01912">
              <w:t>Cost of whole gene sequencing</w:t>
            </w:r>
          </w:p>
        </w:tc>
        <w:tc>
          <w:tcPr>
            <w:tcW w:w="936" w:type="pct"/>
          </w:tcPr>
          <w:p w14:paraId="06017176" w14:textId="4CC950A5" w:rsidR="006A677A" w:rsidRPr="00B01912" w:rsidRDefault="006A677A" w:rsidP="0021226A">
            <w:pPr>
              <w:pStyle w:val="Tabletext1"/>
              <w:jc w:val="left"/>
            </w:pPr>
            <w:r>
              <w:t>Varied in the range $500</w:t>
            </w:r>
            <w:r w:rsidR="00C7544F">
              <w:t>–</w:t>
            </w:r>
            <w:r>
              <w:t>$1</w:t>
            </w:r>
            <w:r w:rsidR="00F16310">
              <w:t>,</w:t>
            </w:r>
            <w:r>
              <w:t>000</w:t>
            </w:r>
          </w:p>
        </w:tc>
        <w:tc>
          <w:tcPr>
            <w:tcW w:w="781" w:type="pct"/>
          </w:tcPr>
          <w:p w14:paraId="006A6E99" w14:textId="56F60559" w:rsidR="006A677A" w:rsidRPr="00E11A8F" w:rsidRDefault="006A677A" w:rsidP="004566DC">
            <w:pPr>
              <w:pStyle w:val="Tabletext1"/>
              <w:ind w:right="399"/>
              <w:jc w:val="right"/>
            </w:pPr>
            <w:r w:rsidRPr="00E11A8F">
              <w:t>$1,47</w:t>
            </w:r>
            <w:r>
              <w:t>7</w:t>
            </w:r>
          </w:p>
        </w:tc>
        <w:tc>
          <w:tcPr>
            <w:tcW w:w="701" w:type="pct"/>
          </w:tcPr>
          <w:p w14:paraId="0E2195F0" w14:textId="7D776549" w:rsidR="006A677A" w:rsidRDefault="006A677A" w:rsidP="004566DC">
            <w:pPr>
              <w:pStyle w:val="Tabletext1"/>
              <w:ind w:right="399"/>
              <w:jc w:val="right"/>
            </w:pPr>
            <w:r w:rsidRPr="00E11A8F">
              <w:t>$1,89</w:t>
            </w:r>
            <w:r>
              <w:t>8</w:t>
            </w:r>
          </w:p>
        </w:tc>
        <w:tc>
          <w:tcPr>
            <w:tcW w:w="1239" w:type="pct"/>
          </w:tcPr>
          <w:p w14:paraId="3981CE10" w14:textId="6227AB6C" w:rsidR="006A677A" w:rsidRPr="00B01912" w:rsidRDefault="006A677A">
            <w:pPr>
              <w:pStyle w:val="Tabletext1"/>
              <w:jc w:val="left"/>
            </w:pPr>
            <w:r>
              <w:t>Moderate</w:t>
            </w:r>
            <w:r w:rsidR="00F10882">
              <w:t>;</w:t>
            </w:r>
            <w:r w:rsidRPr="00B01912">
              <w:t xml:space="preserve"> lowering the cost favo</w:t>
            </w:r>
            <w:r w:rsidR="00F10882">
              <w:t>u</w:t>
            </w:r>
            <w:r w:rsidRPr="00B01912">
              <w:t>rs intervention</w:t>
            </w:r>
          </w:p>
        </w:tc>
      </w:tr>
      <w:tr w:rsidR="00922619" w:rsidRPr="00CB03EC" w14:paraId="39230C26" w14:textId="77777777" w:rsidTr="0042252D">
        <w:tc>
          <w:tcPr>
            <w:tcW w:w="1343" w:type="pct"/>
          </w:tcPr>
          <w:p w14:paraId="60766FF6" w14:textId="3C67C578" w:rsidR="00737CDB" w:rsidRPr="00B01912" w:rsidRDefault="00737CDB">
            <w:pPr>
              <w:spacing w:after="40" w:line="240" w:lineRule="auto"/>
              <w:jc w:val="left"/>
              <w:rPr>
                <w:rFonts w:ascii="Arial Narrow" w:hAnsi="Arial Narrow"/>
                <w:i/>
                <w:snapToGrid w:val="0"/>
                <w:sz w:val="20"/>
                <w:szCs w:val="20"/>
                <w:lang w:eastAsia="en-US"/>
              </w:rPr>
            </w:pPr>
            <w:r w:rsidRPr="00B01912">
              <w:rPr>
                <w:rFonts w:ascii="Arial Narrow" w:hAnsi="Arial Narrow"/>
                <w:i/>
                <w:snapToGrid w:val="0"/>
                <w:sz w:val="20"/>
                <w:szCs w:val="20"/>
                <w:lang w:eastAsia="en-US"/>
              </w:rPr>
              <w:t>Model 2</w:t>
            </w:r>
            <w:r w:rsidR="006A677A">
              <w:rPr>
                <w:rFonts w:ascii="Arial Narrow" w:hAnsi="Arial Narrow"/>
                <w:i/>
                <w:snapToGrid w:val="0"/>
                <w:sz w:val="20"/>
                <w:szCs w:val="20"/>
                <w:lang w:eastAsia="en-US"/>
              </w:rPr>
              <w:t xml:space="preserve"> – Fetus has FEB</w:t>
            </w:r>
          </w:p>
        </w:tc>
        <w:tc>
          <w:tcPr>
            <w:tcW w:w="936" w:type="pct"/>
          </w:tcPr>
          <w:p w14:paraId="3AB21AB1" w14:textId="77777777" w:rsidR="00737CDB" w:rsidRPr="00B01912" w:rsidRDefault="00737CDB">
            <w:pPr>
              <w:spacing w:after="40" w:line="240" w:lineRule="auto"/>
              <w:jc w:val="left"/>
              <w:rPr>
                <w:rFonts w:ascii="Arial Narrow" w:hAnsi="Arial Narrow"/>
                <w:i/>
                <w:snapToGrid w:val="0"/>
                <w:sz w:val="20"/>
                <w:szCs w:val="20"/>
                <w:lang w:eastAsia="en-US"/>
              </w:rPr>
            </w:pPr>
          </w:p>
        </w:tc>
        <w:tc>
          <w:tcPr>
            <w:tcW w:w="781" w:type="pct"/>
          </w:tcPr>
          <w:p w14:paraId="5DB6C879" w14:textId="77777777" w:rsidR="00737CDB" w:rsidRPr="00CB03EC" w:rsidRDefault="00737CDB" w:rsidP="00CB03EC">
            <w:pPr>
              <w:spacing w:after="40" w:line="240" w:lineRule="auto"/>
              <w:jc w:val="left"/>
              <w:rPr>
                <w:rFonts w:ascii="Arial Narrow" w:hAnsi="Arial Narrow"/>
                <w:i/>
                <w:snapToGrid w:val="0"/>
                <w:sz w:val="20"/>
                <w:szCs w:val="20"/>
                <w:lang w:eastAsia="en-US"/>
              </w:rPr>
            </w:pPr>
          </w:p>
        </w:tc>
        <w:tc>
          <w:tcPr>
            <w:tcW w:w="701" w:type="pct"/>
          </w:tcPr>
          <w:p w14:paraId="4835B16F" w14:textId="77777777" w:rsidR="00737CDB" w:rsidRPr="00CB03EC" w:rsidRDefault="00737CDB" w:rsidP="00CB03EC">
            <w:pPr>
              <w:spacing w:after="40" w:line="240" w:lineRule="auto"/>
              <w:jc w:val="left"/>
              <w:rPr>
                <w:rFonts w:ascii="Arial Narrow" w:hAnsi="Arial Narrow"/>
                <w:i/>
                <w:snapToGrid w:val="0"/>
                <w:sz w:val="20"/>
                <w:szCs w:val="20"/>
                <w:lang w:eastAsia="en-US"/>
              </w:rPr>
            </w:pPr>
          </w:p>
        </w:tc>
        <w:tc>
          <w:tcPr>
            <w:tcW w:w="1239" w:type="pct"/>
          </w:tcPr>
          <w:p w14:paraId="4EE4C33E" w14:textId="26E83424" w:rsidR="00737CDB" w:rsidRPr="00B01912" w:rsidRDefault="006A677A">
            <w:pPr>
              <w:spacing w:after="40" w:line="240" w:lineRule="auto"/>
              <w:jc w:val="left"/>
              <w:rPr>
                <w:rFonts w:ascii="Arial Narrow" w:hAnsi="Arial Narrow"/>
                <w:i/>
                <w:snapToGrid w:val="0"/>
                <w:sz w:val="20"/>
                <w:szCs w:val="20"/>
                <w:lang w:eastAsia="en-US"/>
              </w:rPr>
            </w:pPr>
            <w:r w:rsidRPr="006A677A">
              <w:rPr>
                <w:rFonts w:ascii="Arial Narrow" w:hAnsi="Arial Narrow"/>
                <w:i/>
                <w:snapToGrid w:val="0"/>
                <w:sz w:val="20"/>
                <w:szCs w:val="20"/>
                <w:lang w:eastAsia="en-US"/>
              </w:rPr>
              <w:t>(Base</w:t>
            </w:r>
            <w:r w:rsidR="00F10882">
              <w:rPr>
                <w:rFonts w:ascii="Arial Narrow" w:hAnsi="Arial Narrow"/>
                <w:i/>
                <w:snapToGrid w:val="0"/>
                <w:sz w:val="20"/>
                <w:szCs w:val="20"/>
                <w:lang w:eastAsia="en-US"/>
              </w:rPr>
              <w:t>-</w:t>
            </w:r>
            <w:r w:rsidRPr="006A677A">
              <w:rPr>
                <w:rFonts w:ascii="Arial Narrow" w:hAnsi="Arial Narrow"/>
                <w:i/>
                <w:snapToGrid w:val="0"/>
                <w:sz w:val="20"/>
                <w:szCs w:val="20"/>
                <w:lang w:eastAsia="en-US"/>
              </w:rPr>
              <w:t xml:space="preserve">case ICER </w:t>
            </w:r>
            <w:r w:rsidR="00515751">
              <w:rPr>
                <w:rFonts w:ascii="Arial Narrow" w:hAnsi="Arial Narrow"/>
                <w:i/>
                <w:snapToGrid w:val="0"/>
                <w:sz w:val="20"/>
                <w:szCs w:val="20"/>
                <w:lang w:eastAsia="en-US"/>
              </w:rPr>
              <w:t>$</w:t>
            </w:r>
            <w:r>
              <w:rPr>
                <w:rFonts w:ascii="Arial Narrow" w:hAnsi="Arial Narrow"/>
                <w:i/>
                <w:snapToGrid w:val="0"/>
                <w:sz w:val="20"/>
                <w:szCs w:val="20"/>
                <w:lang w:eastAsia="en-US"/>
              </w:rPr>
              <w:t>23,254/CF birth averted</w:t>
            </w:r>
            <w:r w:rsidRPr="006A677A">
              <w:rPr>
                <w:rFonts w:ascii="Arial Narrow" w:hAnsi="Arial Narrow"/>
                <w:i/>
                <w:snapToGrid w:val="0"/>
                <w:sz w:val="20"/>
                <w:szCs w:val="20"/>
                <w:lang w:eastAsia="en-US"/>
              </w:rPr>
              <w:t>)</w:t>
            </w:r>
          </w:p>
        </w:tc>
      </w:tr>
      <w:tr w:rsidR="00922619" w:rsidRPr="00B01912" w14:paraId="11F24714" w14:textId="77777777" w:rsidTr="0042252D">
        <w:tc>
          <w:tcPr>
            <w:tcW w:w="1343" w:type="pct"/>
          </w:tcPr>
          <w:p w14:paraId="1095D37E" w14:textId="703CACE6" w:rsidR="0060481E" w:rsidRPr="00B01912" w:rsidRDefault="0060481E">
            <w:pPr>
              <w:pStyle w:val="Tabletext1"/>
              <w:jc w:val="left"/>
            </w:pPr>
            <w:r w:rsidRPr="00B01912">
              <w:t>Incidence of CF in FEB</w:t>
            </w:r>
            <w:r w:rsidR="00600157">
              <w:t xml:space="preserve"> population</w:t>
            </w:r>
          </w:p>
        </w:tc>
        <w:tc>
          <w:tcPr>
            <w:tcW w:w="936" w:type="pct"/>
          </w:tcPr>
          <w:p w14:paraId="5EDF3966" w14:textId="4B041D9E" w:rsidR="0060481E" w:rsidRPr="00B01912" w:rsidRDefault="0060481E" w:rsidP="0021226A">
            <w:pPr>
              <w:pStyle w:val="Tabletext1"/>
              <w:jc w:val="left"/>
            </w:pPr>
            <w:r w:rsidRPr="00B01912">
              <w:t xml:space="preserve">Varied </w:t>
            </w:r>
            <w:r w:rsidR="00C7544F">
              <w:t xml:space="preserve">in the range </w:t>
            </w:r>
            <w:r w:rsidRPr="00B01912">
              <w:t>2%</w:t>
            </w:r>
            <w:r w:rsidR="00C7544F">
              <w:t>–</w:t>
            </w:r>
            <w:r w:rsidRPr="00B01912">
              <w:t>13%</w:t>
            </w:r>
          </w:p>
        </w:tc>
        <w:tc>
          <w:tcPr>
            <w:tcW w:w="781" w:type="pct"/>
          </w:tcPr>
          <w:p w14:paraId="34A9F9D6" w14:textId="77777777" w:rsidR="0060481E" w:rsidRPr="00853163" w:rsidRDefault="007F78A1" w:rsidP="004566DC">
            <w:pPr>
              <w:pStyle w:val="Tabletext1"/>
              <w:ind w:right="399"/>
              <w:jc w:val="right"/>
            </w:pPr>
            <w:r>
              <w:t>$53,565</w:t>
            </w:r>
          </w:p>
        </w:tc>
        <w:tc>
          <w:tcPr>
            <w:tcW w:w="701" w:type="pct"/>
          </w:tcPr>
          <w:p w14:paraId="77E26347" w14:textId="77777777" w:rsidR="0060481E" w:rsidRPr="00853163" w:rsidRDefault="0060481E" w:rsidP="004566DC">
            <w:pPr>
              <w:pStyle w:val="Tabletext1"/>
              <w:ind w:right="399"/>
              <w:jc w:val="right"/>
            </w:pPr>
            <w:r w:rsidRPr="00853163">
              <w:t>$7,</w:t>
            </w:r>
            <w:r w:rsidR="007F78A1">
              <w:t>398</w:t>
            </w:r>
          </w:p>
        </w:tc>
        <w:tc>
          <w:tcPr>
            <w:tcW w:w="1239" w:type="pct"/>
          </w:tcPr>
          <w:p w14:paraId="43078125" w14:textId="77F11687" w:rsidR="0060481E" w:rsidRPr="00B01912" w:rsidRDefault="0060481E">
            <w:pPr>
              <w:pStyle w:val="Tabletext1"/>
              <w:jc w:val="left"/>
            </w:pPr>
            <w:r w:rsidRPr="00B01912">
              <w:t>High</w:t>
            </w:r>
            <w:r w:rsidR="00F10882">
              <w:t>;</w:t>
            </w:r>
            <w:r w:rsidRPr="00B01912">
              <w:t xml:space="preserve"> higher incidence of CF in FEB </w:t>
            </w:r>
            <w:r w:rsidR="00600157">
              <w:t>population</w:t>
            </w:r>
            <w:r w:rsidR="00600157" w:rsidRPr="00B01912">
              <w:t xml:space="preserve"> </w:t>
            </w:r>
            <w:r w:rsidRPr="00B01912">
              <w:t>favo</w:t>
            </w:r>
            <w:r w:rsidR="00F10882">
              <w:t>u</w:t>
            </w:r>
            <w:r w:rsidRPr="00B01912">
              <w:t>rs intervention</w:t>
            </w:r>
          </w:p>
        </w:tc>
      </w:tr>
      <w:tr w:rsidR="00922619" w:rsidRPr="00B01912" w14:paraId="56EE0B29" w14:textId="77777777" w:rsidTr="0042252D">
        <w:tc>
          <w:tcPr>
            <w:tcW w:w="1343" w:type="pct"/>
          </w:tcPr>
          <w:p w14:paraId="169D8D8E" w14:textId="77777777" w:rsidR="0060481E" w:rsidRPr="00B01912" w:rsidRDefault="0060481E">
            <w:pPr>
              <w:pStyle w:val="Tabletext1"/>
              <w:jc w:val="left"/>
              <w:rPr>
                <w:snapToGrid w:val="0"/>
                <w:lang w:eastAsia="en-US"/>
              </w:rPr>
            </w:pPr>
            <w:r w:rsidRPr="00B01912">
              <w:rPr>
                <w:snapToGrid w:val="0"/>
                <w:lang w:eastAsia="en-US"/>
              </w:rPr>
              <w:t>Uptake of termination of affected pregnancy</w:t>
            </w:r>
          </w:p>
        </w:tc>
        <w:tc>
          <w:tcPr>
            <w:tcW w:w="936" w:type="pct"/>
          </w:tcPr>
          <w:p w14:paraId="354C3869" w14:textId="55E385E6" w:rsidR="0060481E" w:rsidRPr="00B01912" w:rsidRDefault="0060481E" w:rsidP="0021226A">
            <w:pPr>
              <w:pStyle w:val="Tabletext1"/>
              <w:jc w:val="left"/>
            </w:pPr>
            <w:r>
              <w:t>Varied in the range 3</w:t>
            </w:r>
            <w:r w:rsidRPr="00B01912">
              <w:t>0%</w:t>
            </w:r>
            <w:r w:rsidR="00C7544F">
              <w:t>–</w:t>
            </w:r>
            <w:r w:rsidRPr="00B01912">
              <w:t>100%</w:t>
            </w:r>
          </w:p>
        </w:tc>
        <w:tc>
          <w:tcPr>
            <w:tcW w:w="781" w:type="pct"/>
          </w:tcPr>
          <w:p w14:paraId="481CD3FC" w14:textId="77777777" w:rsidR="0060481E" w:rsidRPr="00853163" w:rsidRDefault="007F78A1" w:rsidP="004566DC">
            <w:pPr>
              <w:pStyle w:val="Tabletext1"/>
              <w:ind w:right="399"/>
              <w:jc w:val="right"/>
            </w:pPr>
            <w:r>
              <w:t>$52,077</w:t>
            </w:r>
          </w:p>
        </w:tc>
        <w:tc>
          <w:tcPr>
            <w:tcW w:w="701" w:type="pct"/>
          </w:tcPr>
          <w:p w14:paraId="14FD3B19" w14:textId="77777777" w:rsidR="0060481E" w:rsidRPr="00853163" w:rsidRDefault="0060481E" w:rsidP="004566DC">
            <w:pPr>
              <w:pStyle w:val="Tabletext1"/>
              <w:ind w:right="399"/>
              <w:jc w:val="right"/>
            </w:pPr>
            <w:r w:rsidRPr="00853163">
              <w:t>$14,60</w:t>
            </w:r>
            <w:r w:rsidR="007F78A1">
              <w:t>7</w:t>
            </w:r>
          </w:p>
        </w:tc>
        <w:tc>
          <w:tcPr>
            <w:tcW w:w="1239" w:type="pct"/>
          </w:tcPr>
          <w:p w14:paraId="51D0EBAC" w14:textId="1494A671" w:rsidR="0060481E" w:rsidRPr="00B01912" w:rsidRDefault="0060481E">
            <w:pPr>
              <w:pStyle w:val="Tabletext1"/>
              <w:jc w:val="left"/>
            </w:pPr>
            <w:r w:rsidRPr="00B01912">
              <w:t>High</w:t>
            </w:r>
            <w:r w:rsidR="00F10882">
              <w:t>;</w:t>
            </w:r>
            <w:r w:rsidRPr="00B01912">
              <w:t xml:space="preserve"> lower termination uptake rates favo</w:t>
            </w:r>
            <w:r w:rsidR="00F10882">
              <w:t>u</w:t>
            </w:r>
            <w:r w:rsidRPr="00B01912">
              <w:t>r comparator</w:t>
            </w:r>
          </w:p>
        </w:tc>
      </w:tr>
      <w:tr w:rsidR="00922619" w:rsidRPr="00B01912" w14:paraId="25FED38A" w14:textId="77777777" w:rsidTr="0042252D">
        <w:tc>
          <w:tcPr>
            <w:tcW w:w="1343" w:type="pct"/>
          </w:tcPr>
          <w:p w14:paraId="052F1065" w14:textId="77777777" w:rsidR="0060481E" w:rsidRPr="00B01912" w:rsidRDefault="0060481E">
            <w:pPr>
              <w:pStyle w:val="Tabletext1"/>
              <w:jc w:val="left"/>
            </w:pPr>
            <w:r w:rsidRPr="00B01912">
              <w:t>Clinical sensitivity of common mutation test</w:t>
            </w:r>
          </w:p>
        </w:tc>
        <w:tc>
          <w:tcPr>
            <w:tcW w:w="936" w:type="pct"/>
          </w:tcPr>
          <w:p w14:paraId="7994A6C3" w14:textId="234B3A86" w:rsidR="0060481E" w:rsidRPr="00B01912" w:rsidRDefault="0060481E" w:rsidP="0021226A">
            <w:pPr>
              <w:pStyle w:val="Tabletext1"/>
              <w:jc w:val="left"/>
            </w:pPr>
            <w:r w:rsidRPr="00B01912">
              <w:t xml:space="preserve">Varied </w:t>
            </w:r>
            <w:r w:rsidR="00C7544F">
              <w:t xml:space="preserve">in the range </w:t>
            </w:r>
            <w:r w:rsidRPr="00B01912">
              <w:t>80%</w:t>
            </w:r>
            <w:r w:rsidR="00C7544F">
              <w:t>–</w:t>
            </w:r>
            <w:r w:rsidRPr="00B01912">
              <w:t>92%</w:t>
            </w:r>
          </w:p>
        </w:tc>
        <w:tc>
          <w:tcPr>
            <w:tcW w:w="781" w:type="pct"/>
          </w:tcPr>
          <w:p w14:paraId="56CE9042" w14:textId="77777777" w:rsidR="0060481E" w:rsidRPr="00853163" w:rsidRDefault="0060481E" w:rsidP="004566DC">
            <w:pPr>
              <w:pStyle w:val="Tabletext1"/>
              <w:ind w:right="399"/>
              <w:jc w:val="right"/>
            </w:pPr>
            <w:r w:rsidRPr="00853163">
              <w:t>$23,2</w:t>
            </w:r>
            <w:r w:rsidR="007F78A1">
              <w:t>54</w:t>
            </w:r>
          </w:p>
        </w:tc>
        <w:tc>
          <w:tcPr>
            <w:tcW w:w="701" w:type="pct"/>
          </w:tcPr>
          <w:p w14:paraId="4D8112E9" w14:textId="77777777" w:rsidR="0060481E" w:rsidRPr="00853163" w:rsidRDefault="0060481E" w:rsidP="004566DC">
            <w:pPr>
              <w:pStyle w:val="Tabletext1"/>
              <w:ind w:right="399"/>
              <w:jc w:val="right"/>
            </w:pPr>
            <w:r w:rsidRPr="00853163">
              <w:t>$18,80</w:t>
            </w:r>
            <w:r w:rsidR="007F78A1">
              <w:t>0</w:t>
            </w:r>
          </w:p>
        </w:tc>
        <w:tc>
          <w:tcPr>
            <w:tcW w:w="1239" w:type="pct"/>
          </w:tcPr>
          <w:p w14:paraId="6BBF53CD" w14:textId="1810F415" w:rsidR="0060481E" w:rsidRPr="00B01912" w:rsidRDefault="0060481E">
            <w:pPr>
              <w:pStyle w:val="Tabletext1"/>
              <w:jc w:val="left"/>
            </w:pPr>
            <w:r w:rsidRPr="00B01912">
              <w:t>Low</w:t>
            </w:r>
            <w:r w:rsidR="00F10882">
              <w:t>;</w:t>
            </w:r>
            <w:r w:rsidRPr="00B01912">
              <w:t xml:space="preserve"> higher clinical sensitivity favo</w:t>
            </w:r>
            <w:r w:rsidR="00F10882">
              <w:t>u</w:t>
            </w:r>
            <w:r w:rsidRPr="00B01912">
              <w:t>rs intervention</w:t>
            </w:r>
          </w:p>
        </w:tc>
      </w:tr>
      <w:tr w:rsidR="00922619" w:rsidRPr="00B01912" w14:paraId="6D993104" w14:textId="77777777" w:rsidTr="0042252D">
        <w:tc>
          <w:tcPr>
            <w:tcW w:w="1343" w:type="pct"/>
          </w:tcPr>
          <w:p w14:paraId="3C06168C" w14:textId="7F173832" w:rsidR="0060481E" w:rsidRPr="00B01912" w:rsidRDefault="0060481E">
            <w:pPr>
              <w:pStyle w:val="Tabletext1"/>
              <w:jc w:val="left"/>
            </w:pPr>
            <w:r w:rsidRPr="00B01912">
              <w:t xml:space="preserve">Uptake of invasive testing when one parent is identified as </w:t>
            </w:r>
            <w:r w:rsidR="00F16310">
              <w:t xml:space="preserve">a </w:t>
            </w:r>
            <w:r w:rsidRPr="00B01912">
              <w:t>carrier</w:t>
            </w:r>
          </w:p>
        </w:tc>
        <w:tc>
          <w:tcPr>
            <w:tcW w:w="936" w:type="pct"/>
          </w:tcPr>
          <w:p w14:paraId="509BC24A" w14:textId="1D0D248B" w:rsidR="0060481E" w:rsidRPr="00B01912" w:rsidRDefault="0060481E" w:rsidP="0021226A">
            <w:pPr>
              <w:pStyle w:val="Tabletext1"/>
              <w:jc w:val="left"/>
            </w:pPr>
            <w:r w:rsidRPr="00B01912">
              <w:t>Varied in the range 50%</w:t>
            </w:r>
            <w:r w:rsidR="00C7544F">
              <w:t>–</w:t>
            </w:r>
            <w:r w:rsidRPr="00B01912">
              <w:t>90%</w:t>
            </w:r>
          </w:p>
        </w:tc>
        <w:tc>
          <w:tcPr>
            <w:tcW w:w="781" w:type="pct"/>
          </w:tcPr>
          <w:p w14:paraId="02796B07" w14:textId="77777777" w:rsidR="0060481E" w:rsidRPr="00853163" w:rsidRDefault="0060481E" w:rsidP="004566DC">
            <w:pPr>
              <w:pStyle w:val="Tabletext1"/>
              <w:ind w:right="399"/>
              <w:jc w:val="right"/>
            </w:pPr>
            <w:r w:rsidRPr="00853163">
              <w:t>$23,2</w:t>
            </w:r>
            <w:r w:rsidR="007F78A1">
              <w:t>54</w:t>
            </w:r>
          </w:p>
        </w:tc>
        <w:tc>
          <w:tcPr>
            <w:tcW w:w="701" w:type="pct"/>
          </w:tcPr>
          <w:p w14:paraId="070B8C5E" w14:textId="77777777" w:rsidR="0060481E" w:rsidRDefault="0060481E" w:rsidP="004566DC">
            <w:pPr>
              <w:pStyle w:val="Tabletext1"/>
              <w:ind w:right="399"/>
              <w:jc w:val="right"/>
            </w:pPr>
            <w:r w:rsidRPr="00853163">
              <w:t>$20,99</w:t>
            </w:r>
            <w:r w:rsidR="007F78A1">
              <w:t>3</w:t>
            </w:r>
          </w:p>
        </w:tc>
        <w:tc>
          <w:tcPr>
            <w:tcW w:w="1239" w:type="pct"/>
          </w:tcPr>
          <w:p w14:paraId="611494B1" w14:textId="1C3F9707" w:rsidR="0060481E" w:rsidRPr="00B01912" w:rsidRDefault="0060481E">
            <w:pPr>
              <w:pStyle w:val="Tabletext1"/>
              <w:jc w:val="left"/>
            </w:pPr>
            <w:r w:rsidRPr="00B01912">
              <w:t>Low</w:t>
            </w:r>
            <w:r w:rsidR="00F10882">
              <w:t>;</w:t>
            </w:r>
            <w:r w:rsidRPr="00B01912">
              <w:t xml:space="preserve"> higher values favo</w:t>
            </w:r>
            <w:r w:rsidR="002B52F8">
              <w:t>u</w:t>
            </w:r>
            <w:r w:rsidRPr="00B01912">
              <w:t>r intervention</w:t>
            </w:r>
          </w:p>
        </w:tc>
      </w:tr>
    </w:tbl>
    <w:p w14:paraId="28FA587F" w14:textId="478C8B98" w:rsidR="00737CDB" w:rsidRDefault="00737CDB" w:rsidP="00737CDB">
      <w:pPr>
        <w:pStyle w:val="Tablenotes0"/>
      </w:pPr>
      <w:r>
        <w:t xml:space="preserve">CF = cystic fibrosis; </w:t>
      </w:r>
      <w:r w:rsidR="004C4367">
        <w:t xml:space="preserve">CFTR = </w:t>
      </w:r>
      <w:r w:rsidR="004C4367" w:rsidRPr="004C2D61">
        <w:t>cystic fibrosis transmembrane conductance regulator;</w:t>
      </w:r>
      <w:r w:rsidR="004C4367">
        <w:t xml:space="preserve"> </w:t>
      </w:r>
      <w:r>
        <w:t>FEB = fetal echogenic bowel</w:t>
      </w:r>
      <w:r w:rsidR="00F53019">
        <w:t xml:space="preserve">; </w:t>
      </w:r>
      <w:r w:rsidR="004C4367">
        <w:t xml:space="preserve">ICER = incremental cost-effectiveness ratio; </w:t>
      </w:r>
      <w:r w:rsidR="00F53019">
        <w:t>NBS = newborn screening</w:t>
      </w:r>
    </w:p>
    <w:p w14:paraId="559AC12F" w14:textId="77777777" w:rsidR="001E55A8" w:rsidRDefault="001E55A8">
      <w:pPr>
        <w:pStyle w:val="Heading1"/>
        <w:tabs>
          <w:tab w:val="left" w:pos="2268"/>
        </w:tabs>
      </w:pPr>
      <w:bookmarkStart w:id="386" w:name="_Toc418179936"/>
      <w:bookmarkStart w:id="387" w:name="_Toc379118085"/>
      <w:bookmarkStart w:id="388" w:name="_Toc381796472"/>
      <w:bookmarkStart w:id="389" w:name="_Toc379118089"/>
      <w:bookmarkStart w:id="390" w:name="_Toc381796487"/>
      <w:bookmarkEnd w:id="293"/>
      <w:r w:rsidRPr="00677F14">
        <w:lastRenderedPageBreak/>
        <w:t>Section E</w:t>
      </w:r>
      <w:r w:rsidRPr="00677F14">
        <w:tab/>
        <w:t>Financial Implications</w:t>
      </w:r>
      <w:bookmarkEnd w:id="386"/>
    </w:p>
    <w:p w14:paraId="2CF21A57" w14:textId="17F6885D" w:rsidR="001E55A8" w:rsidRPr="003E2147" w:rsidRDefault="001E55A8" w:rsidP="001E55A8">
      <w:bookmarkStart w:id="391" w:name="_Toc214091269"/>
      <w:bookmarkStart w:id="392" w:name="_Toc341796089"/>
      <w:bookmarkStart w:id="393" w:name="_Toc413332864"/>
      <w:r w:rsidRPr="003E2147">
        <w:t>A market-based approach</w:t>
      </w:r>
      <w:r>
        <w:t xml:space="preserve"> is</w:t>
      </w:r>
      <w:r w:rsidRPr="009A6C10">
        <w:t xml:space="preserve"> used to estimate the financial implications of </w:t>
      </w:r>
      <w:r>
        <w:t xml:space="preserve">listing </w:t>
      </w:r>
      <w:r w:rsidR="00FD37D3" w:rsidRPr="00FD37D3">
        <w:t>CFTR</w:t>
      </w:r>
      <w:r>
        <w:t xml:space="preserve"> mutation testing on the MBS. This approach</w:t>
      </w:r>
      <w:r w:rsidRPr="003E2147">
        <w:t xml:space="preserve"> is based on extrapolations from data collected in the RCPA Genetic Testing Survey conducted in 2011. This survey recorded the number of </w:t>
      </w:r>
      <w:r w:rsidR="00FD37D3" w:rsidRPr="00FD37D3">
        <w:t>CFTR</w:t>
      </w:r>
      <w:r w:rsidRPr="003E2147">
        <w:t xml:space="preserve"> tests by broad reason: diagnostic, predi</w:t>
      </w:r>
      <w:r>
        <w:t>ctive, screening or prenatal diagnostic</w:t>
      </w:r>
      <w:r w:rsidRPr="003E2147">
        <w:t>. Data could not be distinguished by indication, and as the proposed indications for MBS listing do not include all current indications for testing (</w:t>
      </w:r>
      <w:r w:rsidR="0045131B">
        <w:t>i.e.</w:t>
      </w:r>
      <w:r w:rsidRPr="003E2147">
        <w:t xml:space="preserve"> </w:t>
      </w:r>
      <w:r w:rsidR="0045131B">
        <w:t>NBS,</w:t>
      </w:r>
      <w:r w:rsidRPr="003E2147">
        <w:t xml:space="preserve"> or testing in newborns with one mutation identified through </w:t>
      </w:r>
      <w:r w:rsidR="0045131B">
        <w:t>NBS,</w:t>
      </w:r>
      <w:r w:rsidRPr="003E2147">
        <w:t xml:space="preserve"> are not proposed), </w:t>
      </w:r>
      <w:r>
        <w:t xml:space="preserve">the </w:t>
      </w:r>
      <w:r w:rsidRPr="003E2147">
        <w:t xml:space="preserve">proportion of current tests eligible for MBS listing </w:t>
      </w:r>
      <w:r>
        <w:t xml:space="preserve">were sought from the literature and expert opinion. </w:t>
      </w:r>
    </w:p>
    <w:p w14:paraId="5EE95585" w14:textId="6C50F854" w:rsidR="001E55A8" w:rsidRPr="003E2147" w:rsidRDefault="001E55A8" w:rsidP="001E55A8">
      <w:r>
        <w:t xml:space="preserve">In the populations eligible for MBS funding, </w:t>
      </w:r>
      <w:r w:rsidR="00FD37D3" w:rsidRPr="00FD37D3">
        <w:t>CFTR</w:t>
      </w:r>
      <w:r>
        <w:t xml:space="preserve"> mutation testing</w:t>
      </w:r>
      <w:r w:rsidRPr="003E2147">
        <w:t xml:space="preserve"> is currently provided for by the </w:t>
      </w:r>
      <w:r w:rsidR="00487F8E">
        <w:t>s</w:t>
      </w:r>
      <w:r w:rsidRPr="003E2147">
        <w:t>tates/</w:t>
      </w:r>
      <w:r w:rsidR="00487F8E">
        <w:t>t</w:t>
      </w:r>
      <w:r w:rsidRPr="003E2147">
        <w:t>erritories or</w:t>
      </w:r>
      <w:r>
        <w:t xml:space="preserve"> is privately funded. With listing on the MBS,</w:t>
      </w:r>
      <w:r w:rsidRPr="003E2147">
        <w:t xml:space="preserve"> it is expected that </w:t>
      </w:r>
      <w:r w:rsidR="00487F8E">
        <w:t xml:space="preserve">the </w:t>
      </w:r>
      <w:r w:rsidRPr="003E2147">
        <w:t xml:space="preserve">cost of testing will shift from the </w:t>
      </w:r>
      <w:r w:rsidR="00487F8E">
        <w:t>s</w:t>
      </w:r>
      <w:r w:rsidRPr="003E2147">
        <w:t>tates/</w:t>
      </w:r>
      <w:r w:rsidR="00487F8E">
        <w:t>t</w:t>
      </w:r>
      <w:r w:rsidRPr="003E2147">
        <w:t>erritories or patients to the MBS</w:t>
      </w:r>
      <w:r>
        <w:t xml:space="preserve"> (with no cost</w:t>
      </w:r>
      <w:r w:rsidR="009A2232">
        <w:t xml:space="preserve"> </w:t>
      </w:r>
      <w:r>
        <w:t>offsets to the MBS anticipated)</w:t>
      </w:r>
      <w:r w:rsidRPr="003E2147">
        <w:t xml:space="preserve">. </w:t>
      </w:r>
    </w:p>
    <w:p w14:paraId="3882A7F5" w14:textId="77777777" w:rsidR="001E55A8" w:rsidRDefault="001E55A8" w:rsidP="001E55A8">
      <w:pPr>
        <w:pStyle w:val="Heading2"/>
        <w:numPr>
          <w:ilvl w:val="4"/>
          <w:numId w:val="9"/>
        </w:numPr>
      </w:pPr>
      <w:bookmarkStart w:id="394" w:name="_Toc418179937"/>
      <w:r>
        <w:t>Justification of the Selection of Sources of Data</w:t>
      </w:r>
      <w:bookmarkEnd w:id="391"/>
      <w:bookmarkEnd w:id="392"/>
      <w:bookmarkEnd w:id="393"/>
      <w:bookmarkEnd w:id="394"/>
    </w:p>
    <w:p w14:paraId="07723747" w14:textId="7A86B4AF" w:rsidR="001E55A8" w:rsidRDefault="001E55A8" w:rsidP="001E55A8">
      <w:r w:rsidRPr="00324CF8">
        <w:t xml:space="preserve">The sources of </w:t>
      </w:r>
      <w:r>
        <w:t xml:space="preserve">data used in estimating the financial implications of </w:t>
      </w:r>
      <w:r w:rsidR="00FD37D3" w:rsidRPr="00FD37D3">
        <w:t>CFTR</w:t>
      </w:r>
      <w:r>
        <w:t xml:space="preserve"> mutation testing to the MBS are presented in </w:t>
      </w:r>
      <w:r>
        <w:fldChar w:fldCharType="begin"/>
      </w:r>
      <w:r>
        <w:instrText xml:space="preserve"> REF _Ref413931616 \h </w:instrText>
      </w:r>
      <w:r>
        <w:fldChar w:fldCharType="separate"/>
      </w:r>
      <w:r w:rsidR="00BB0E3E">
        <w:t xml:space="preserve">Table </w:t>
      </w:r>
      <w:r w:rsidR="00BB0E3E">
        <w:rPr>
          <w:noProof/>
        </w:rPr>
        <w:t>67</w:t>
      </w:r>
      <w:r>
        <w:fldChar w:fldCharType="end"/>
      </w:r>
      <w:r>
        <w:t>.</w:t>
      </w:r>
    </w:p>
    <w:p w14:paraId="43BF4708" w14:textId="77777777" w:rsidR="001E55A8" w:rsidRDefault="001E55A8" w:rsidP="001E55A8">
      <w:pPr>
        <w:pStyle w:val="Caption"/>
      </w:pPr>
      <w:bookmarkStart w:id="395" w:name="_Ref413931616"/>
      <w:bookmarkStart w:id="396" w:name="_Toc416855360"/>
      <w:bookmarkStart w:id="397" w:name="_Toc418179464"/>
      <w:r>
        <w:t xml:space="preserve">Table </w:t>
      </w:r>
      <w:fldSimple w:instr=" SEQ Table \* ARABIC ">
        <w:r w:rsidR="00BB0E3E">
          <w:rPr>
            <w:noProof/>
          </w:rPr>
          <w:t>67</w:t>
        </w:r>
      </w:fldSimple>
      <w:bookmarkEnd w:id="395"/>
      <w:r>
        <w:tab/>
        <w:t>Sources of data and justification for use in the financial implication analysis</w:t>
      </w:r>
      <w:bookmarkEnd w:id="396"/>
      <w:bookmarkEnd w:id="397"/>
    </w:p>
    <w:tbl>
      <w:tblPr>
        <w:tblStyle w:val="TableGrid"/>
        <w:tblW w:w="0" w:type="auto"/>
        <w:tblInd w:w="108" w:type="dxa"/>
        <w:tblLook w:val="04A0" w:firstRow="1" w:lastRow="0" w:firstColumn="1" w:lastColumn="0" w:noHBand="0" w:noVBand="1"/>
        <w:tblCaption w:val="Data sources used in the financial analysis"/>
        <w:tblDescription w:val="Sources of data and justification for use in the financial implication analysis"/>
      </w:tblPr>
      <w:tblGrid>
        <w:gridCol w:w="3261"/>
        <w:gridCol w:w="5873"/>
      </w:tblGrid>
      <w:tr w:rsidR="001E55A8" w:rsidRPr="00324CF8" w14:paraId="3D57C089" w14:textId="77777777" w:rsidTr="005B7F97">
        <w:trPr>
          <w:cantSplit/>
          <w:tblHeader/>
        </w:trPr>
        <w:tc>
          <w:tcPr>
            <w:tcW w:w="3261" w:type="dxa"/>
          </w:tcPr>
          <w:p w14:paraId="1C14C624" w14:textId="77777777" w:rsidR="001E55A8" w:rsidRPr="00324CF8" w:rsidRDefault="001E55A8" w:rsidP="004566DC">
            <w:pPr>
              <w:pStyle w:val="Caption"/>
              <w:keepNext w:val="0"/>
              <w:spacing w:before="40"/>
              <w:ind w:left="0"/>
              <w:jc w:val="left"/>
              <w:rPr>
                <w:szCs w:val="20"/>
              </w:rPr>
            </w:pPr>
            <w:r w:rsidRPr="00324CF8">
              <w:rPr>
                <w:szCs w:val="20"/>
              </w:rPr>
              <w:t>Data</w:t>
            </w:r>
          </w:p>
        </w:tc>
        <w:tc>
          <w:tcPr>
            <w:tcW w:w="5873" w:type="dxa"/>
          </w:tcPr>
          <w:p w14:paraId="64020A73" w14:textId="77777777" w:rsidR="001E55A8" w:rsidRPr="00324CF8" w:rsidRDefault="001E55A8" w:rsidP="004566DC">
            <w:pPr>
              <w:pStyle w:val="Caption"/>
              <w:keepNext w:val="0"/>
              <w:spacing w:before="40"/>
              <w:ind w:left="0"/>
              <w:jc w:val="left"/>
              <w:rPr>
                <w:szCs w:val="20"/>
              </w:rPr>
            </w:pPr>
            <w:r w:rsidRPr="00324CF8">
              <w:rPr>
                <w:szCs w:val="20"/>
              </w:rPr>
              <w:t>Source</w:t>
            </w:r>
          </w:p>
        </w:tc>
      </w:tr>
      <w:tr w:rsidR="001E55A8" w:rsidRPr="00324CF8" w14:paraId="25561425" w14:textId="77777777" w:rsidTr="005B7F97">
        <w:trPr>
          <w:cantSplit/>
        </w:trPr>
        <w:tc>
          <w:tcPr>
            <w:tcW w:w="3261" w:type="dxa"/>
          </w:tcPr>
          <w:p w14:paraId="6A820AAE" w14:textId="1CCEA905" w:rsidR="001E55A8" w:rsidRPr="00324CF8" w:rsidRDefault="001E55A8" w:rsidP="004566DC">
            <w:pPr>
              <w:pStyle w:val="Tabletext1"/>
              <w:ind w:left="0"/>
              <w:jc w:val="left"/>
            </w:pPr>
            <w:r>
              <w:t xml:space="preserve">Number of </w:t>
            </w:r>
            <w:r w:rsidR="00FD37D3" w:rsidRPr="00FD37D3">
              <w:t>CFTR</w:t>
            </w:r>
            <w:r>
              <w:t xml:space="preserve"> mutation tests</w:t>
            </w:r>
          </w:p>
        </w:tc>
        <w:tc>
          <w:tcPr>
            <w:tcW w:w="5873" w:type="dxa"/>
          </w:tcPr>
          <w:p w14:paraId="19E096EC" w14:textId="503DEEF8" w:rsidR="001E55A8" w:rsidRDefault="001E55A8" w:rsidP="004566DC">
            <w:pPr>
              <w:pStyle w:val="Tabletext1"/>
              <w:ind w:left="0"/>
              <w:jc w:val="left"/>
            </w:pPr>
            <w:r w:rsidRPr="00324CF8">
              <w:t>RCPA Genetic Testing Survey 2011</w:t>
            </w:r>
            <w:r>
              <w:t xml:space="preserve"> </w:t>
            </w:r>
            <w:r w:rsidR="009A2232">
              <w:t>r</w:t>
            </w:r>
            <w:r>
              <w:t xml:space="preserve">aw </w:t>
            </w:r>
            <w:r w:rsidR="009A2232">
              <w:t>d</w:t>
            </w:r>
            <w:r>
              <w:t>ata (provided by the applicant).</w:t>
            </w:r>
          </w:p>
          <w:p w14:paraId="580A89D0" w14:textId="3623407A" w:rsidR="001E55A8" w:rsidRDefault="001E55A8" w:rsidP="004566DC">
            <w:pPr>
              <w:pStyle w:val="Tabletext1"/>
              <w:ind w:left="0"/>
              <w:jc w:val="left"/>
            </w:pPr>
            <w:r>
              <w:t xml:space="preserve">The number of tests observed is projected using the genetic testing growth rate (see below) to estimate the number of </w:t>
            </w:r>
            <w:r w:rsidR="00FD37D3" w:rsidRPr="00FD37D3">
              <w:t>CFTR</w:t>
            </w:r>
            <w:r>
              <w:t xml:space="preserve"> mutation tests in 2015–19.</w:t>
            </w:r>
          </w:p>
          <w:p w14:paraId="2755E59A" w14:textId="016D5D11" w:rsidR="001E55A8" w:rsidRPr="00324CF8" w:rsidRDefault="001E55A8" w:rsidP="004566DC">
            <w:pPr>
              <w:pStyle w:val="Tabletext1"/>
              <w:ind w:left="0"/>
              <w:jc w:val="left"/>
            </w:pPr>
            <w:r>
              <w:t>These data do not distinguish by indication or the type of test used.</w:t>
            </w:r>
          </w:p>
        </w:tc>
      </w:tr>
      <w:tr w:rsidR="001E55A8" w:rsidRPr="00324CF8" w14:paraId="67E03E22" w14:textId="77777777" w:rsidTr="005B7F97">
        <w:trPr>
          <w:cantSplit/>
        </w:trPr>
        <w:tc>
          <w:tcPr>
            <w:tcW w:w="3261" w:type="dxa"/>
          </w:tcPr>
          <w:p w14:paraId="724FA90E" w14:textId="77777777" w:rsidR="001E55A8" w:rsidRDefault="001E55A8" w:rsidP="004566DC">
            <w:pPr>
              <w:pStyle w:val="Tabletext1"/>
              <w:ind w:left="0"/>
              <w:jc w:val="left"/>
            </w:pPr>
            <w:r>
              <w:t>Genetic testing growth rate</w:t>
            </w:r>
          </w:p>
        </w:tc>
        <w:tc>
          <w:tcPr>
            <w:tcW w:w="5873" w:type="dxa"/>
          </w:tcPr>
          <w:p w14:paraId="75156137" w14:textId="7511C380" w:rsidR="001E55A8" w:rsidRDefault="001E55A8" w:rsidP="004566DC">
            <w:pPr>
              <w:pStyle w:val="Tabletext1"/>
              <w:ind w:left="0"/>
              <w:jc w:val="left"/>
            </w:pPr>
            <w:r w:rsidRPr="00324CF8">
              <w:t>RCPA Genetic Testing Survey 2011</w:t>
            </w:r>
            <w:r>
              <w:t xml:space="preserve"> </w:t>
            </w:r>
            <w:r w:rsidR="009A2232">
              <w:t>r</w:t>
            </w:r>
            <w:r>
              <w:t xml:space="preserve">aw </w:t>
            </w:r>
            <w:r w:rsidR="009A2232">
              <w:t>d</w:t>
            </w:r>
            <w:r>
              <w:t>ata (provided by the applicant).</w:t>
            </w:r>
          </w:p>
          <w:p w14:paraId="503F60CF" w14:textId="0FEF3CAA" w:rsidR="001E55A8" w:rsidRDefault="001E55A8" w:rsidP="004566DC">
            <w:pPr>
              <w:pStyle w:val="Tabletext1"/>
              <w:ind w:left="0"/>
              <w:jc w:val="left"/>
            </w:pPr>
            <w:r>
              <w:t>15%, based on an estimate of the current growth of genetic testing</w:t>
            </w:r>
            <w:r w:rsidR="009A2232">
              <w:t>;</w:t>
            </w:r>
            <w:r>
              <w:t xml:space="preserve"> </w:t>
            </w:r>
            <w:r w:rsidR="009A2232">
              <w:t>t</w:t>
            </w:r>
            <w:r>
              <w:t>his is used to project the number of tests in 2015–19.</w:t>
            </w:r>
          </w:p>
          <w:p w14:paraId="2A71B958" w14:textId="67F6FAA8" w:rsidR="001E55A8" w:rsidRDefault="001E55A8" w:rsidP="004566DC">
            <w:pPr>
              <w:pStyle w:val="Tabletext1"/>
              <w:ind w:left="0"/>
              <w:jc w:val="left"/>
            </w:pPr>
            <w:r>
              <w:t xml:space="preserve">The growth rate in genetic testing overall may overestimate the growth rate in </w:t>
            </w:r>
            <w:r w:rsidR="00FD37D3" w:rsidRPr="00FD37D3">
              <w:t>CFTR</w:t>
            </w:r>
            <w:r>
              <w:t xml:space="preserve"> mutation testing, as higher growth may be observed in newly identified genetic targets. Sensitivity analysis </w:t>
            </w:r>
            <w:r w:rsidR="004048A4">
              <w:t>is</w:t>
            </w:r>
            <w:r>
              <w:t xml:space="preserve"> tested around this variable.</w:t>
            </w:r>
          </w:p>
        </w:tc>
      </w:tr>
      <w:tr w:rsidR="001E55A8" w:rsidRPr="00324CF8" w14:paraId="15654C73" w14:textId="77777777" w:rsidTr="005B7F97">
        <w:trPr>
          <w:cantSplit/>
        </w:trPr>
        <w:tc>
          <w:tcPr>
            <w:tcW w:w="3261" w:type="dxa"/>
          </w:tcPr>
          <w:p w14:paraId="20BC7E0A" w14:textId="77777777" w:rsidR="001E55A8" w:rsidRDefault="001E55A8" w:rsidP="004566DC">
            <w:pPr>
              <w:pStyle w:val="Tabletext1"/>
              <w:ind w:left="0"/>
              <w:jc w:val="left"/>
            </w:pPr>
            <w:r>
              <w:t>Number of births in Australia, 2011</w:t>
            </w:r>
          </w:p>
        </w:tc>
        <w:tc>
          <w:tcPr>
            <w:tcW w:w="5873" w:type="dxa"/>
          </w:tcPr>
          <w:p w14:paraId="7A3BF762" w14:textId="08FAE204" w:rsidR="001E55A8" w:rsidRDefault="001E55A8" w:rsidP="004566DC">
            <w:pPr>
              <w:pStyle w:val="Tabletext1"/>
              <w:ind w:left="0"/>
              <w:jc w:val="left"/>
            </w:pPr>
            <w:r>
              <w:t xml:space="preserve">Australian Bureau of Statistics, </w:t>
            </w:r>
            <w:r w:rsidR="009A2232">
              <w:t>b</w:t>
            </w:r>
            <w:r w:rsidRPr="00D802A2">
              <w:t>irths</w:t>
            </w:r>
            <w:r>
              <w:t xml:space="preserve"> statistics, </w:t>
            </w:r>
            <w:r w:rsidRPr="00CD1EDC">
              <w:t xml:space="preserve">2013 </w:t>
            </w:r>
            <w:r w:rsidR="00CD1EDC">
              <w:fldChar w:fldCharType="begin"/>
            </w:r>
            <w:r w:rsidR="009A054F">
              <w:instrText xml:space="preserve"> ADDIN EN.CITE &lt;EndNote&gt;&lt;Cite&gt;&lt;Author&gt;Australian Bureau of Statistics&lt;/Author&gt;&lt;Year&gt;2014&lt;/Year&gt;&lt;RecNum&gt;73&lt;/RecNum&gt;&lt;DisplayText&gt;(Australian Bureau of Statistics 2014)&lt;/DisplayText&gt;&lt;record&gt;&lt;rec-number&gt;73&lt;/rec-number&gt;&lt;foreign-keys&gt;&lt;key app="EN" db-id="parffa0acae2voep5w3vv9rypas2tr522eef" timestamp="1430365869"&gt;73&lt;/key&gt;&lt;/foreign-keys&gt;&lt;ref-type name="Web Page"&gt;12&lt;/ref-type&gt;&lt;contributors&gt;&lt;authors&gt;&lt;author&gt;Australian Bureau of Statistics,&lt;/author&gt;&lt;/authors&gt;&lt;/contributors&gt;&lt;titles&gt;&lt;title&gt;3301.0 - Births, Australia, 2013&lt;/title&gt;&lt;/titles&gt;&lt;volume&gt;2015&lt;/volume&gt;&lt;number&gt;Mar&lt;/number&gt;&lt;dates&gt;&lt;year&gt;2014&lt;/year&gt;&lt;pub-dates&gt;&lt;date&gt;Nov 2014&lt;/date&gt;&lt;/pub-dates&gt;&lt;/dates&gt;&lt;pub-location&gt;Canberra&lt;/pub-location&gt;&lt;publisher&gt;Commonwealth of Australia&lt;/publisher&gt;&lt;urls&gt;&lt;related-urls&gt;&lt;url&gt;http://www.abs.gov.au/AUSSTATS/abs@.nsf/DetailsPage/3301.02013?OpenDocument&lt;/url&gt;&lt;/related-urls&gt;&lt;/urls&gt;&lt;/record&gt;&lt;/Cite&gt;&lt;/EndNote&gt;</w:instrText>
            </w:r>
            <w:r w:rsidR="00CD1EDC">
              <w:fldChar w:fldCharType="separate"/>
            </w:r>
            <w:r w:rsidR="00CD1EDC">
              <w:rPr>
                <w:noProof/>
              </w:rPr>
              <w:t>(</w:t>
            </w:r>
            <w:hyperlink w:anchor="_ENREF_9" w:tooltip="Australian Bureau of Statistics, 2014 #73" w:history="1">
              <w:r w:rsidR="00B46ABF">
                <w:rPr>
                  <w:noProof/>
                </w:rPr>
                <w:t>Australian Bureau of Statistics 2014</w:t>
              </w:r>
            </w:hyperlink>
            <w:r w:rsidR="00CD1EDC">
              <w:rPr>
                <w:noProof/>
              </w:rPr>
              <w:t>)</w:t>
            </w:r>
            <w:r w:rsidR="00CD1EDC">
              <w:fldChar w:fldCharType="end"/>
            </w:r>
            <w:r w:rsidRPr="00CD1EDC">
              <w:t>.</w:t>
            </w:r>
          </w:p>
          <w:p w14:paraId="698E5BD1" w14:textId="7E67B8C5" w:rsidR="001E55A8" w:rsidRDefault="001E55A8" w:rsidP="004566DC">
            <w:pPr>
              <w:pStyle w:val="Tabletext1"/>
              <w:ind w:left="0"/>
              <w:jc w:val="left"/>
            </w:pPr>
            <w:r>
              <w:t>Used (with the proportion of newborns screened with elevated IRT</w:t>
            </w:r>
            <w:r w:rsidR="0089068C">
              <w:t xml:space="preserve">—see </w:t>
            </w:r>
            <w:r>
              <w:t xml:space="preserve">below) to estimate the number of tests associated with </w:t>
            </w:r>
            <w:r w:rsidR="0089068C">
              <w:t>NBS</w:t>
            </w:r>
            <w:r>
              <w:t xml:space="preserve">, to determine the proportion of screening tests ineligible for MBS funding as they are due to </w:t>
            </w:r>
            <w:r w:rsidR="0089068C">
              <w:t>NBS</w:t>
            </w:r>
            <w:r>
              <w:t>.</w:t>
            </w:r>
          </w:p>
        </w:tc>
      </w:tr>
      <w:tr w:rsidR="001E55A8" w:rsidRPr="00324CF8" w14:paraId="0964AFCD" w14:textId="77777777" w:rsidTr="005B7F97">
        <w:trPr>
          <w:cantSplit/>
        </w:trPr>
        <w:tc>
          <w:tcPr>
            <w:tcW w:w="3261" w:type="dxa"/>
          </w:tcPr>
          <w:p w14:paraId="6A32A45A" w14:textId="77777777" w:rsidR="001E55A8" w:rsidRDefault="001E55A8" w:rsidP="004566DC">
            <w:pPr>
              <w:pStyle w:val="Tabletext1"/>
              <w:ind w:left="0"/>
              <w:jc w:val="left"/>
            </w:pPr>
            <w:r>
              <w:lastRenderedPageBreak/>
              <w:t>Proportion of newborns screened with elevated IRT</w:t>
            </w:r>
          </w:p>
        </w:tc>
        <w:tc>
          <w:tcPr>
            <w:tcW w:w="5873" w:type="dxa"/>
          </w:tcPr>
          <w:p w14:paraId="33D802F6" w14:textId="3D98B3E0" w:rsidR="001E55A8" w:rsidRDefault="001E55A8" w:rsidP="004566DC">
            <w:pPr>
              <w:pStyle w:val="Tabletext1"/>
              <w:ind w:left="0"/>
              <w:jc w:val="left"/>
            </w:pPr>
            <w:r>
              <w:t>Massie et al</w:t>
            </w:r>
            <w:r w:rsidR="009B0932">
              <w:t>.</w:t>
            </w:r>
            <w:r>
              <w:t xml:space="preserve"> </w:t>
            </w:r>
            <w:r w:rsidR="00F57AF2">
              <w:fldChar w:fldCharType="begin"/>
            </w:r>
            <w:r w:rsidR="009A054F">
              <w:instrText xml:space="preserve"> ADDIN EN.CITE &lt;EndNote&gt;&lt;Cite ExcludeAuth="1"&gt;&lt;Author&gt;Massie&lt;/Author&gt;&lt;Year&gt;2012&lt;/Year&gt;&lt;RecNum&gt;37&lt;/RecNum&gt;&lt;IDText&gt;67-70&lt;/IDText&gt;&lt;DisplayText&gt;(2012)&lt;/DisplayText&gt;&lt;record&gt;&lt;rec-number&gt;37&lt;/rec-number&gt;&lt;foreign-keys&gt;&lt;key app="EN" db-id="parffa0acae2voep5w3vv9rypas2tr522eef" timestamp="1430365847"&gt;37&lt;/key&gt;&lt;/foreign-keys&gt;&lt;ref-type name="Journal Article"&gt;17&lt;/ref-type&gt;&lt;contributors&gt;&lt;authors&gt;&lt;author&gt;Massie, John H&lt;/author&gt;&lt;author&gt;Curnow, Lisette&lt;/author&gt;&lt;author&gt;Glazner, Judith&lt;/author&gt;&lt;author&gt;Armstrong, David S&lt;/author&gt;&lt;author&gt;Francis, Ivan&lt;/author&gt;&lt;/authors&gt;&lt;/contributors&gt;&lt;titles&gt;&lt;title&gt;Lessons learned from 20 years of newborn screening for cystic fibrosis&lt;/title&gt;&lt;secondary-title&gt;The Medical Journal of Australia&lt;/secondary-title&gt;&lt;alt-title&gt;MJA&lt;/alt-title&gt;&lt;/titles&gt;&lt;periodical&gt;&lt;full-title&gt;The Medical Journal of Australia&lt;/full-title&gt;&lt;abbr-1&gt;MJA&lt;/abbr-1&gt;&lt;/periodical&gt;&lt;alt-periodical&gt;&lt;full-title&gt;The Medical Journal of Australia&lt;/full-title&gt;&lt;abbr-1&gt;MJA&lt;/abbr-1&gt;&lt;/alt-periodical&gt;&lt;pages&gt;67-70&lt;/pages&gt;&lt;volume&gt;196&lt;/volume&gt;&lt;number&gt;1&lt;/number&gt;&lt;section&gt;67&lt;/section&gt;&lt;dates&gt;&lt;year&gt;2012&lt;/year&gt;&lt;/dates&gt;&lt;urls&gt;&lt;related-urls&gt;&lt;url&gt;https://www.mja.com.au/journal/2012/196/1/lessons-learned-20-years-newborn-screening-cystic-fibrosis&lt;/url&gt;&lt;/related-urls&gt;&lt;/urls&gt;&lt;electronic-resource-num&gt;10.5694/mja11.10686&lt;/electronic-resource-num&gt;&lt;/record&gt;&lt;/Cite&gt;&lt;/EndNote&gt;</w:instrText>
            </w:r>
            <w:r w:rsidR="00F57AF2">
              <w:fldChar w:fldCharType="separate"/>
            </w:r>
            <w:r w:rsidR="00F57AF2">
              <w:rPr>
                <w:noProof/>
              </w:rPr>
              <w:t>(</w:t>
            </w:r>
            <w:hyperlink w:anchor="_ENREF_75" w:tooltip="Massie, 2012 #37" w:history="1">
              <w:r w:rsidR="00B46ABF">
                <w:rPr>
                  <w:noProof/>
                </w:rPr>
                <w:t>2012</w:t>
              </w:r>
            </w:hyperlink>
            <w:r w:rsidR="00F57AF2">
              <w:rPr>
                <w:noProof/>
              </w:rPr>
              <w:t>)</w:t>
            </w:r>
            <w:r w:rsidR="00F57AF2">
              <w:fldChar w:fldCharType="end"/>
            </w:r>
            <w:r w:rsidR="0089068C">
              <w:t>,</w:t>
            </w:r>
            <w:r>
              <w:t xml:space="preserve"> </w:t>
            </w:r>
            <w:r w:rsidR="0089068C">
              <w:t xml:space="preserve">who </w:t>
            </w:r>
            <w:r>
              <w:t xml:space="preserve">reported the number of neonates born in Victoria </w:t>
            </w:r>
            <w:r w:rsidR="0089068C">
              <w:t xml:space="preserve">during </w:t>
            </w:r>
            <w:r>
              <w:t>2007–08 with elevated IRT (above the 99</w:t>
            </w:r>
            <w:r w:rsidRPr="004566DC">
              <w:t>th</w:t>
            </w:r>
            <w:r>
              <w:t xml:space="preserve"> percentile threshold) as 1.45% </w:t>
            </w:r>
          </w:p>
          <w:p w14:paraId="00F67149" w14:textId="2EA7CF85" w:rsidR="001E55A8" w:rsidRDefault="001E55A8" w:rsidP="004566DC">
            <w:pPr>
              <w:pStyle w:val="Tabletext1"/>
              <w:ind w:left="0"/>
              <w:jc w:val="left"/>
            </w:pPr>
            <w:r>
              <w:t>Ranieri et al</w:t>
            </w:r>
            <w:r w:rsidR="0089068C">
              <w:t>.</w:t>
            </w:r>
            <w:r>
              <w:t xml:space="preserve"> </w:t>
            </w:r>
            <w:r w:rsidR="006E5876">
              <w:fldChar w:fldCharType="begin"/>
            </w:r>
            <w:r w:rsidR="006E5876">
              <w:instrText xml:space="preserve"> ADDIN EN.CITE &lt;EndNote&gt;&lt;Cite ExcludeAuth="1"&gt;&lt;Author&gt;Ranieri&lt;/Author&gt;&lt;Year&gt;1994&lt;/Year&gt;&lt;RecNum&gt;49&lt;/RecNum&gt;&lt;IDText&gt;1469-1472&lt;/IDText&gt;&lt;DisplayText&gt;(1994)&lt;/DisplayText&gt;&lt;record&gt;&lt;rec-number&gt;49&lt;/rec-number&gt;&lt;foreign-keys&gt;&lt;key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rsidR="006E5876">
              <w:fldChar w:fldCharType="separate"/>
            </w:r>
            <w:r w:rsidR="006E5876">
              <w:rPr>
                <w:noProof/>
              </w:rPr>
              <w:t>(</w:t>
            </w:r>
            <w:hyperlink w:anchor="_ENREF_97" w:tooltip="Ranieri, 1994 #49" w:history="1">
              <w:r w:rsidR="00B46ABF">
                <w:rPr>
                  <w:noProof/>
                </w:rPr>
                <w:t>1994</w:t>
              </w:r>
            </w:hyperlink>
            <w:r w:rsidR="006E5876">
              <w:rPr>
                <w:noProof/>
              </w:rPr>
              <w:t>)</w:t>
            </w:r>
            <w:r w:rsidR="006E5876">
              <w:fldChar w:fldCharType="end"/>
            </w:r>
            <w:r w:rsidR="006E5876">
              <w:t xml:space="preserve"> </w:t>
            </w:r>
            <w:r>
              <w:t>and Wilcken et al</w:t>
            </w:r>
            <w:r w:rsidR="00126478">
              <w:t>.</w:t>
            </w:r>
            <w:r>
              <w:t xml:space="preserve"> </w:t>
            </w:r>
            <w:r w:rsidR="00F57AF2">
              <w:fldChar w:fldCharType="begin"/>
            </w:r>
            <w:r w:rsidR="009A054F">
              <w:instrText xml:space="preserve"> ADDIN EN.CITE &lt;EndNote&gt;&lt;Cite ExcludeAuth="1"&gt;&lt;Author&gt;Wilcken&lt;/Author&gt;&lt;Year&gt;1995&lt;/Year&gt;&lt;RecNum&gt;77&lt;/RecNum&gt;&lt;IDText&gt;965-70&lt;/IDText&gt;&lt;DisplayText&gt;(1995)&lt;/DisplayText&gt;&lt;record&gt;&lt;rec-number&gt;77&lt;/rec-number&gt;&lt;foreign-keys&gt;&lt;key app="EN" db-id="parffa0acae2voep5w3vv9rypas2tr522eef" timestamp="1430365869"&gt;77&lt;/key&gt;&lt;/foreign-keys&gt;&lt;ref-type name="Journal Article"&gt;17&lt;/ref-type&gt;&lt;contributors&gt;&lt;authors&gt;&lt;author&gt;Wilcken, B.&lt;/author&gt;&lt;author&gt;Wiley, V.&lt;/author&gt;&lt;author&gt;Sherry, G.&lt;/author&gt;&lt;author&gt;Bayliss, U.&lt;/author&gt;&lt;/authors&gt;&lt;/contributors&gt;&lt;auth-address&gt;New South Wales Newborn Screening Program, Royal Alexandra Hospital for Children, Sydney, Australia.&lt;/auth-address&gt;&lt;titles&gt;&lt;title&gt;Neonatal screening for cystic fibrosis: a comparison of two strategies for case detection in 1.2 million babies&lt;/title&gt;&lt;secondary-title&gt;J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pediatrics&lt;/abbr-1&gt;&lt;/alt-periodical&gt;&lt;pages&gt;965-70&lt;/pages&gt;&lt;volume&gt;127&lt;/volume&gt;&lt;number&gt;6&lt;/number&gt;&lt;edition&gt;1995/12/01&lt;/edition&gt;&lt;keywords&gt;&lt;keyword&gt;Australia/epidemiology&lt;/keyword&gt;&lt;keyword&gt;Clinical Protocols&lt;/keyword&gt;&lt;keyword&gt;Cystic Fibrosis/*diagnosis/epidemiology/genetics&lt;/keyword&gt;&lt;keyword&gt;DNA Probes&lt;/keyword&gt;&lt;keyword&gt;Heterozygote Detection&lt;/keyword&gt;&lt;keyword&gt;Homozygote&lt;/keyword&gt;&lt;keyword&gt;Humans&lt;/keyword&gt;&lt;keyword&gt;Incidence&lt;/keyword&gt;&lt;keyword&gt;Infant&lt;/keyword&gt;&lt;keyword&gt;Infant, Newborn&lt;/keyword&gt;&lt;keyword&gt;Mutagenesis&lt;/keyword&gt;&lt;keyword&gt;*Neonatal Screening/economics&lt;/keyword&gt;&lt;keyword&gt;Point Mutation&lt;/keyword&gt;&lt;keyword&gt;Prognosis&lt;/keyword&gt;&lt;keyword&gt;Retrospective Studies&lt;/keyword&gt;&lt;keyword&gt;Trypsin/blood&lt;/keyword&gt;&lt;/keywords&gt;&lt;dates&gt;&lt;year&gt;1995&lt;/year&gt;&lt;pub-dates&gt;&lt;date&gt;Dec&lt;/date&gt;&lt;/pub-dates&gt;&lt;/dates&gt;&lt;isbn&gt;0022-3476 (Print)&amp;#xD;0022-3476 (Linking)&lt;/isbn&gt;&lt;accession-num&gt;8523199&lt;/accession-num&gt;&lt;urls&gt;&lt;related-urls&gt;&lt;url&gt;http://www.ncbi.nlm.nih.gov/pubmed/8523199&lt;/url&gt;&lt;/related-urls&gt;&lt;/urls&gt;&lt;/record&gt;&lt;/Cite&gt;&lt;/EndNote&gt;</w:instrText>
            </w:r>
            <w:r w:rsidR="00F57AF2">
              <w:fldChar w:fldCharType="separate"/>
            </w:r>
            <w:r w:rsidR="00F57AF2">
              <w:rPr>
                <w:noProof/>
              </w:rPr>
              <w:t>(</w:t>
            </w:r>
            <w:hyperlink w:anchor="_ENREF_131" w:tooltip="Wilcken, 1995 #77" w:history="1">
              <w:r w:rsidR="00B46ABF">
                <w:rPr>
                  <w:noProof/>
                </w:rPr>
                <w:t>1995</w:t>
              </w:r>
            </w:hyperlink>
            <w:r w:rsidR="00F57AF2">
              <w:rPr>
                <w:noProof/>
              </w:rPr>
              <w:t>)</w:t>
            </w:r>
            <w:r w:rsidR="00F57AF2">
              <w:fldChar w:fldCharType="end"/>
            </w:r>
            <w:r w:rsidR="0089068C">
              <w:t>, who</w:t>
            </w:r>
            <w:r>
              <w:t xml:space="preserve"> report</w:t>
            </w:r>
            <w:r w:rsidR="00B82949">
              <w:t>ed</w:t>
            </w:r>
            <w:r>
              <w:t xml:space="preserve"> slightly lower figures (1.13% and 1.04%, respectively) based on neonates born in South Australia </w:t>
            </w:r>
            <w:r w:rsidR="0089068C">
              <w:t xml:space="preserve">during </w:t>
            </w:r>
            <w:r>
              <w:t xml:space="preserve">1989–93 and those born in NSW during 1994–95. These figures </w:t>
            </w:r>
            <w:r w:rsidR="00311136">
              <w:t>are</w:t>
            </w:r>
            <w:r>
              <w:t xml:space="preserve"> used in sensitivity analys</w:t>
            </w:r>
            <w:r w:rsidR="00B82949">
              <w:t>i</w:t>
            </w:r>
            <w:r>
              <w:t xml:space="preserve">s. </w:t>
            </w:r>
          </w:p>
        </w:tc>
      </w:tr>
      <w:tr w:rsidR="001E55A8" w:rsidRPr="00324CF8" w14:paraId="0B4EC001" w14:textId="77777777" w:rsidTr="005B7F97">
        <w:trPr>
          <w:cantSplit/>
        </w:trPr>
        <w:tc>
          <w:tcPr>
            <w:tcW w:w="3261" w:type="dxa"/>
          </w:tcPr>
          <w:p w14:paraId="76B8FA60" w14:textId="49AA85EE" w:rsidR="001E55A8" w:rsidRDefault="001E55A8" w:rsidP="004566DC">
            <w:pPr>
              <w:pStyle w:val="Tabletext1"/>
              <w:ind w:left="0"/>
              <w:jc w:val="left"/>
            </w:pPr>
            <w:r>
              <w:t xml:space="preserve">Proportion of newborns with elevated IRT that have one mutation identified and </w:t>
            </w:r>
            <w:r w:rsidR="00B82949">
              <w:t xml:space="preserve">recorded </w:t>
            </w:r>
            <w:r>
              <w:t>a positive sweat test</w:t>
            </w:r>
          </w:p>
        </w:tc>
        <w:tc>
          <w:tcPr>
            <w:tcW w:w="5873" w:type="dxa"/>
          </w:tcPr>
          <w:p w14:paraId="316A3557" w14:textId="7DB041E6" w:rsidR="001E55A8" w:rsidRDefault="006E5876" w:rsidP="004566DC">
            <w:pPr>
              <w:pStyle w:val="Tabletext1"/>
              <w:ind w:left="0"/>
              <w:jc w:val="left"/>
            </w:pPr>
            <w:r>
              <w:t xml:space="preserve">Ranieri et al. </w:t>
            </w:r>
            <w:r>
              <w:fldChar w:fldCharType="begin"/>
            </w:r>
            <w:r>
              <w:instrText xml:space="preserve"> ADDIN EN.CITE &lt;EndNote&gt;&lt;Cite ExcludeAuth="1"&gt;&lt;Author&gt;Ranieri&lt;/Author&gt;&lt;Year&gt;1994&lt;/Year&gt;&lt;RecNum&gt;49&lt;/RecNum&gt;&lt;IDText&gt;1469-1472&lt;/IDText&gt;&lt;DisplayText&gt;(1994)&lt;/DisplayText&gt;&lt;record&gt;&lt;rec-number&gt;49&lt;/rec-number&gt;&lt;foreign-keys&gt;&lt;key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fldChar w:fldCharType="separate"/>
            </w:r>
            <w:r>
              <w:rPr>
                <w:noProof/>
              </w:rPr>
              <w:t>(</w:t>
            </w:r>
            <w:hyperlink w:anchor="_ENREF_97" w:tooltip="Ranieri, 1994 #49" w:history="1">
              <w:r w:rsidR="00B46ABF">
                <w:rPr>
                  <w:noProof/>
                </w:rPr>
                <w:t>1994</w:t>
              </w:r>
            </w:hyperlink>
            <w:r>
              <w:rPr>
                <w:noProof/>
              </w:rPr>
              <w:t>)</w:t>
            </w:r>
            <w:r>
              <w:fldChar w:fldCharType="end"/>
            </w:r>
            <w:r w:rsidR="001E55A8">
              <w:t xml:space="preserve">, </w:t>
            </w:r>
            <w:r w:rsidR="00311136">
              <w:t xml:space="preserve">who </w:t>
            </w:r>
            <w:r w:rsidR="001E55A8">
              <w:t xml:space="preserve">reported the number of neonates born in South Australia </w:t>
            </w:r>
            <w:r w:rsidR="00311136">
              <w:t xml:space="preserve">during </w:t>
            </w:r>
            <w:r w:rsidR="001E55A8">
              <w:t xml:space="preserve">1989–93 with elevated IRT, one </w:t>
            </w:r>
            <w:r w:rsidR="00FD37D3" w:rsidRPr="00FD37D3">
              <w:t>CFTR</w:t>
            </w:r>
            <w:r w:rsidR="001E55A8">
              <w:t xml:space="preserve"> mutation identified and a positive sweat test as 0.60%.</w:t>
            </w:r>
          </w:p>
          <w:p w14:paraId="528D2199" w14:textId="316EAB0A" w:rsidR="001E55A8" w:rsidRDefault="001E55A8" w:rsidP="004566DC">
            <w:pPr>
              <w:pStyle w:val="Tabletext1"/>
              <w:ind w:left="0"/>
              <w:jc w:val="left"/>
            </w:pPr>
            <w:r>
              <w:t xml:space="preserve">This estimate is used to determine the proportion of diagnostic tests that are ineligible for MBS funding as they result from </w:t>
            </w:r>
            <w:r w:rsidR="00311136">
              <w:t>NBS</w:t>
            </w:r>
            <w:r>
              <w:t>.</w:t>
            </w:r>
          </w:p>
        </w:tc>
      </w:tr>
      <w:tr w:rsidR="001E55A8" w:rsidRPr="00324CF8" w14:paraId="69187C19" w14:textId="77777777" w:rsidTr="005B7F97">
        <w:trPr>
          <w:cantSplit/>
        </w:trPr>
        <w:tc>
          <w:tcPr>
            <w:tcW w:w="3261" w:type="dxa"/>
          </w:tcPr>
          <w:p w14:paraId="67289C89" w14:textId="29A5EC05" w:rsidR="001E55A8" w:rsidRDefault="001E55A8" w:rsidP="004566DC">
            <w:pPr>
              <w:pStyle w:val="Tabletext1"/>
              <w:ind w:left="0"/>
              <w:jc w:val="left"/>
            </w:pPr>
            <w:r>
              <w:t>Number of births in Victoria, 2006–13</w:t>
            </w:r>
          </w:p>
        </w:tc>
        <w:tc>
          <w:tcPr>
            <w:tcW w:w="5873" w:type="dxa"/>
          </w:tcPr>
          <w:p w14:paraId="1C0A1A20" w14:textId="5D5C3B47" w:rsidR="001E55A8" w:rsidRDefault="001E55A8" w:rsidP="004566DC">
            <w:pPr>
              <w:pStyle w:val="Tabletext1"/>
              <w:ind w:left="0"/>
              <w:jc w:val="left"/>
            </w:pPr>
            <w:r>
              <w:t xml:space="preserve">Australian Bureau of Statistics, </w:t>
            </w:r>
            <w:r w:rsidR="00311136">
              <w:t>b</w:t>
            </w:r>
            <w:r w:rsidRPr="00D802A2">
              <w:t>irths</w:t>
            </w:r>
            <w:r>
              <w:t xml:space="preserve"> statistics, 2013 </w:t>
            </w:r>
            <w:r w:rsidR="00F57AF2">
              <w:fldChar w:fldCharType="begin"/>
            </w:r>
            <w:r w:rsidR="009A054F">
              <w:instrText xml:space="preserve"> ADDIN EN.CITE &lt;EndNote&gt;&lt;Cite&gt;&lt;Author&gt;Australian Bureau of Statistics&lt;/Author&gt;&lt;Year&gt;2014&lt;/Year&gt;&lt;RecNum&gt;73&lt;/RecNum&gt;&lt;DisplayText&gt;(Australian Bureau of Statistics 2014)&lt;/DisplayText&gt;&lt;record&gt;&lt;rec-number&gt;73&lt;/rec-number&gt;&lt;foreign-keys&gt;&lt;key app="EN" db-id="parffa0acae2voep5w3vv9rypas2tr522eef" timestamp="1430365869"&gt;73&lt;/key&gt;&lt;/foreign-keys&gt;&lt;ref-type name="Web Page"&gt;12&lt;/ref-type&gt;&lt;contributors&gt;&lt;authors&gt;&lt;author&gt;Australian Bureau of Statistics,&lt;/author&gt;&lt;/authors&gt;&lt;/contributors&gt;&lt;titles&gt;&lt;title&gt;3301.0 - Births, Australia, 2013&lt;/title&gt;&lt;/titles&gt;&lt;volume&gt;2015&lt;/volume&gt;&lt;number&gt;Mar&lt;/number&gt;&lt;dates&gt;&lt;year&gt;2014&lt;/year&gt;&lt;pub-dates&gt;&lt;date&gt;Nov 2014&lt;/date&gt;&lt;/pub-dates&gt;&lt;/dates&gt;&lt;pub-location&gt;Canberra&lt;/pub-location&gt;&lt;publisher&gt;Commonwealth of Australia&lt;/publisher&gt;&lt;urls&gt;&lt;related-urls&gt;&lt;url&gt;http://www.abs.gov.au/AUSSTATS/abs@.nsf/DetailsPage/3301.02013?OpenDocument&lt;/url&gt;&lt;/related-urls&gt;&lt;/urls&gt;&lt;/record&gt;&lt;/Cite&gt;&lt;/EndNote&gt;</w:instrText>
            </w:r>
            <w:r w:rsidR="00F57AF2">
              <w:fldChar w:fldCharType="separate"/>
            </w:r>
            <w:r w:rsidR="00F57AF2">
              <w:rPr>
                <w:noProof/>
              </w:rPr>
              <w:t>(</w:t>
            </w:r>
            <w:hyperlink w:anchor="_ENREF_9" w:tooltip="Australian Bureau of Statistics, 2014 #73" w:history="1">
              <w:r w:rsidR="00B46ABF">
                <w:rPr>
                  <w:noProof/>
                </w:rPr>
                <w:t>Australian Bureau of Statistics 2014</w:t>
              </w:r>
            </w:hyperlink>
            <w:r w:rsidR="00F57AF2">
              <w:rPr>
                <w:noProof/>
              </w:rPr>
              <w:t>)</w:t>
            </w:r>
            <w:r w:rsidR="00F57AF2">
              <w:fldChar w:fldCharType="end"/>
            </w:r>
            <w:r>
              <w:t xml:space="preserve">. </w:t>
            </w:r>
          </w:p>
          <w:p w14:paraId="4A98F5BF" w14:textId="3C6FE082" w:rsidR="001E55A8" w:rsidRDefault="001E55A8" w:rsidP="004566DC">
            <w:pPr>
              <w:pStyle w:val="Tabletext1"/>
              <w:ind w:left="0"/>
              <w:jc w:val="left"/>
            </w:pPr>
            <w:r>
              <w:t>Used (with the number of general screening tests</w:t>
            </w:r>
            <w:r w:rsidR="00311136">
              <w:t xml:space="preserve">—see </w:t>
            </w:r>
            <w:r>
              <w:t xml:space="preserve">below) to estimate the number </w:t>
            </w:r>
            <w:r w:rsidR="00311136">
              <w:t xml:space="preserve">of </w:t>
            </w:r>
            <w:r>
              <w:t>general screening tests per pregnancy, to determine the proportion of screening tests ineligible for MBS funding as they are due to general population (i.e. no family history) screening.</w:t>
            </w:r>
          </w:p>
        </w:tc>
      </w:tr>
      <w:tr w:rsidR="001E55A8" w:rsidRPr="00324CF8" w14:paraId="40783604" w14:textId="77777777" w:rsidTr="005B7F97">
        <w:trPr>
          <w:cantSplit/>
        </w:trPr>
        <w:tc>
          <w:tcPr>
            <w:tcW w:w="3261" w:type="dxa"/>
          </w:tcPr>
          <w:p w14:paraId="6B5DB182" w14:textId="6E52A277" w:rsidR="001E55A8" w:rsidRDefault="001E55A8" w:rsidP="004566DC">
            <w:pPr>
              <w:pStyle w:val="Tabletext1"/>
              <w:ind w:left="0"/>
              <w:jc w:val="left"/>
            </w:pPr>
            <w:r>
              <w:t xml:space="preserve">Number </w:t>
            </w:r>
            <w:r w:rsidR="00311136">
              <w:t xml:space="preserve">of </w:t>
            </w:r>
            <w:r>
              <w:t>general screening tests conducted in Victoria, 2006–13</w:t>
            </w:r>
          </w:p>
        </w:tc>
        <w:tc>
          <w:tcPr>
            <w:tcW w:w="5873" w:type="dxa"/>
          </w:tcPr>
          <w:p w14:paraId="046FADAF" w14:textId="6AE98486" w:rsidR="001E55A8" w:rsidRDefault="001E55A8" w:rsidP="004566DC">
            <w:pPr>
              <w:pStyle w:val="Tabletext1"/>
              <w:ind w:left="0"/>
              <w:jc w:val="left"/>
            </w:pPr>
            <w:r>
              <w:t>Archibald et al</w:t>
            </w:r>
            <w:r w:rsidR="00311136">
              <w:t>.</w:t>
            </w:r>
            <w:r>
              <w:t xml:space="preserve"> </w:t>
            </w:r>
            <w:r w:rsidR="00F57AF2">
              <w:fldChar w:fldCharType="begin"/>
            </w:r>
            <w:r w:rsidR="009A054F">
              <w:instrText xml:space="preserve"> ADDIN EN.CITE &lt;EndNote&gt;&lt;Cite ExcludeAuth="1"&gt;&lt;Author&gt;Archibald&lt;/Author&gt;&lt;Year&gt;2014&lt;/Year&gt;&lt;RecNum&gt;72&lt;/RecNum&gt;&lt;IDText&gt;205-6&lt;/IDText&gt;&lt;DisplayText&gt;(2014)&lt;/DisplayText&gt;&lt;record&gt;&lt;rec-number&gt;72&lt;/rec-number&gt;&lt;foreign-keys&gt;&lt;key app="EN" db-id="parffa0acae2voep5w3vv9rypas2tr522eef" timestamp="1430365869"&gt;72&lt;/key&gt;&lt;/foreign-keys&gt;&lt;ref-type name="Journal Article"&gt;17&lt;/ref-type&gt;&lt;contributors&gt;&lt;authors&gt;&lt;author&gt;Archibald, A. D.&lt;/author&gt;&lt;author&gt;Massie, J.&lt;/author&gt;&lt;author&gt;Smith, M. J.&lt;/author&gt;&lt;author&gt;Dalton, D. G.&lt;/author&gt;&lt;author&gt;du Sart, D.&lt;/author&gt;&lt;author&gt;Amor, D. J.&lt;/author&gt;&lt;/authors&gt;&lt;/contributors&gt;&lt;auth-address&gt;Victorian Clinical Genetics Services, Murdoch Childrens Research Institute, Melbourne, VIC, Australia. david.amor@mcri.edu.au.&amp;#xD;Royal Children&amp;apos;s Hospital, Melbourne, VIC, Australia.&amp;#xD;Victorian Clinical Genetics Services, Murdoch Childrens Research Institute, Melbourne, VIC, Australia.&lt;/auth-address&gt;&lt;titles&gt;&lt;title&gt;Population-based genetic carrier screening for cystic fibrosis in Victoria&lt;/title&gt;&lt;secondary-title&gt;Med J Aust&lt;/secondary-title&gt;&lt;alt-title&gt;The Medical journal of Australia&lt;/alt-title&gt;&lt;/titles&gt;&lt;alt-periodical&gt;&lt;full-title&gt;The Medical Journal of Australia&lt;/full-title&gt;&lt;abbr-1&gt;MJA&lt;/abbr-1&gt;&lt;/alt-periodical&gt;&lt;pages&gt;205-6&lt;/pages&gt;&lt;volume&gt;200&lt;/volume&gt;&lt;number&gt;4&lt;/number&gt;&lt;edition&gt;2014/03/04&lt;/edition&gt;&lt;keywords&gt;&lt;keyword&gt;Cystic Fibrosis/*diagnosis/genetics&lt;/keyword&gt;&lt;keyword&gt;Female&lt;/keyword&gt;&lt;keyword&gt;Genetic Testing/*methods&lt;/keyword&gt;&lt;keyword&gt;*Heterozygote&lt;/keyword&gt;&lt;keyword&gt;Heterozygote Detection/*methods&lt;/keyword&gt;&lt;keyword&gt;Humans&lt;/keyword&gt;&lt;keyword&gt;Pregnancy&lt;/keyword&gt;&lt;keyword&gt;Prenatal Diagnosis/*methods&lt;/keyword&gt;&lt;keyword&gt;Victoria&lt;/keyword&gt;&lt;/keywords&gt;&lt;dates&gt;&lt;year&gt;2014&lt;/year&gt;&lt;pub-dates&gt;&lt;date&gt;Mar 3&lt;/date&gt;&lt;/pub-dates&gt;&lt;/dates&gt;&lt;isbn&gt;1326-5377 (Electronic)&amp;#xD;0025-729X (Linking)&lt;/isbn&gt;&lt;accession-num&gt;24580517&lt;/accession-num&gt;&lt;work-type&gt;Letter&lt;/work-type&gt;&lt;urls&gt;&lt;related-urls&gt;&lt;url&gt;http://www.ncbi.nlm.nih.gov/pubmed/24580517&lt;/url&gt;&lt;/related-urls&gt;&lt;/urls&gt;&lt;/record&gt;&lt;/Cite&gt;&lt;/EndNote&gt;</w:instrText>
            </w:r>
            <w:r w:rsidR="00F57AF2">
              <w:fldChar w:fldCharType="separate"/>
            </w:r>
            <w:r w:rsidR="00F57AF2">
              <w:rPr>
                <w:noProof/>
              </w:rPr>
              <w:t>(</w:t>
            </w:r>
            <w:hyperlink w:anchor="_ENREF_7" w:tooltip="Archibald, 2014 #72" w:history="1">
              <w:r w:rsidR="00B46ABF">
                <w:rPr>
                  <w:noProof/>
                </w:rPr>
                <w:t>2014</w:t>
              </w:r>
            </w:hyperlink>
            <w:r w:rsidR="00F57AF2">
              <w:rPr>
                <w:noProof/>
              </w:rPr>
              <w:t>)</w:t>
            </w:r>
            <w:r w:rsidR="00F57AF2">
              <w:fldChar w:fldCharType="end"/>
            </w:r>
            <w:r>
              <w:t xml:space="preserve"> reported </w:t>
            </w:r>
            <w:r w:rsidR="00311136">
              <w:t>n</w:t>
            </w:r>
            <w:r>
              <w:t xml:space="preserve">=10,489 individuals with no family history screened </w:t>
            </w:r>
            <w:r w:rsidRPr="005071BA">
              <w:t>prior to or in the early stages of pregnancy</w:t>
            </w:r>
            <w:r>
              <w:t xml:space="preserve"> in Victoria </w:t>
            </w:r>
            <w:r w:rsidR="00311136">
              <w:t xml:space="preserve">during </w:t>
            </w:r>
            <w:r>
              <w:t>2006–13.</w:t>
            </w:r>
          </w:p>
          <w:p w14:paraId="4B66C3F4" w14:textId="52BEECD4" w:rsidR="001E55A8" w:rsidRDefault="001E55A8" w:rsidP="004566DC">
            <w:pPr>
              <w:pStyle w:val="Tabletext1"/>
              <w:ind w:left="0"/>
              <w:jc w:val="left"/>
            </w:pPr>
            <w:r>
              <w:t>These estimates observed in Victoria are assumed to apply nationwide; however</w:t>
            </w:r>
            <w:r w:rsidR="00311136">
              <w:t>,</w:t>
            </w:r>
            <w:r>
              <w:t xml:space="preserve"> it is unknown if such services are provided in all </w:t>
            </w:r>
            <w:r w:rsidR="00311136">
              <w:t>s</w:t>
            </w:r>
            <w:r>
              <w:t xml:space="preserve">tates and </w:t>
            </w:r>
            <w:r w:rsidR="00311136">
              <w:t>t</w:t>
            </w:r>
            <w:r>
              <w:t xml:space="preserve">erritories, and so this approach may overestimate the proportion of screening tests in individuals with no family history of </w:t>
            </w:r>
            <w:r w:rsidR="00311136">
              <w:t>CF</w:t>
            </w:r>
            <w:r>
              <w:t xml:space="preserve">. This </w:t>
            </w:r>
            <w:r w:rsidR="004048A4">
              <w:t>is</w:t>
            </w:r>
            <w:r>
              <w:t xml:space="preserve"> tested in sensitivity analysis</w:t>
            </w:r>
            <w:r w:rsidR="00311136">
              <w:t>.</w:t>
            </w:r>
          </w:p>
        </w:tc>
      </w:tr>
      <w:tr w:rsidR="001E55A8" w:rsidRPr="00324CF8" w14:paraId="239989A9" w14:textId="77777777" w:rsidTr="005B7F97">
        <w:trPr>
          <w:cantSplit/>
        </w:trPr>
        <w:tc>
          <w:tcPr>
            <w:tcW w:w="3261" w:type="dxa"/>
          </w:tcPr>
          <w:p w14:paraId="5EBD1124" w14:textId="77777777" w:rsidR="001E55A8" w:rsidRPr="00324CF8" w:rsidRDefault="001E55A8" w:rsidP="004566DC">
            <w:pPr>
              <w:pStyle w:val="Tabletext1"/>
              <w:ind w:left="0"/>
              <w:jc w:val="left"/>
            </w:pPr>
            <w:r>
              <w:t>Proportion of predictive tests eligible for MBS funding</w:t>
            </w:r>
          </w:p>
        </w:tc>
        <w:tc>
          <w:tcPr>
            <w:tcW w:w="5873" w:type="dxa"/>
          </w:tcPr>
          <w:p w14:paraId="16477C2E" w14:textId="77777777" w:rsidR="001E55A8" w:rsidRDefault="001E55A8" w:rsidP="004566DC">
            <w:pPr>
              <w:pStyle w:val="Tabletext1"/>
              <w:ind w:left="0"/>
              <w:jc w:val="left"/>
            </w:pPr>
            <w:r>
              <w:t>Expert (HESP member) opinion is used to estimate the proportion of predictive tests projected that would be eligible for MBS funding, as alternative data sources could not be identified.</w:t>
            </w:r>
          </w:p>
          <w:p w14:paraId="4F73ABFB" w14:textId="19311E49" w:rsidR="001E55A8" w:rsidRPr="00324CF8" w:rsidRDefault="001E55A8" w:rsidP="004566DC">
            <w:pPr>
              <w:pStyle w:val="Tabletext1"/>
              <w:ind w:left="0"/>
              <w:jc w:val="left"/>
            </w:pPr>
            <w:r>
              <w:t>Given the uncertainties associated with using such data, sensitivity analys</w:t>
            </w:r>
            <w:r w:rsidR="004048A4">
              <w:t>i</w:t>
            </w:r>
            <w:r>
              <w:t xml:space="preserve">s </w:t>
            </w:r>
            <w:r w:rsidR="004048A4">
              <w:t xml:space="preserve">is </w:t>
            </w:r>
            <w:r>
              <w:t xml:space="preserve">performed around this variable. </w:t>
            </w:r>
          </w:p>
        </w:tc>
      </w:tr>
      <w:tr w:rsidR="001E55A8" w:rsidRPr="00324CF8" w14:paraId="54242843" w14:textId="77777777" w:rsidTr="005B7F97">
        <w:trPr>
          <w:cantSplit/>
        </w:trPr>
        <w:tc>
          <w:tcPr>
            <w:tcW w:w="3261" w:type="dxa"/>
          </w:tcPr>
          <w:p w14:paraId="5442EB30" w14:textId="77777777" w:rsidR="001E55A8" w:rsidRPr="00324CF8" w:rsidRDefault="001E55A8" w:rsidP="004566DC">
            <w:pPr>
              <w:pStyle w:val="Tabletext1"/>
              <w:ind w:left="0"/>
              <w:jc w:val="left"/>
            </w:pPr>
            <w:r>
              <w:t>Test used in each indication</w:t>
            </w:r>
          </w:p>
        </w:tc>
        <w:tc>
          <w:tcPr>
            <w:tcW w:w="5873" w:type="dxa"/>
          </w:tcPr>
          <w:p w14:paraId="264585A1" w14:textId="0C639D7B" w:rsidR="001E55A8" w:rsidRPr="00324CF8" w:rsidRDefault="001E55A8" w:rsidP="004566DC">
            <w:pPr>
              <w:pStyle w:val="Tabletext1"/>
              <w:ind w:left="0"/>
              <w:jc w:val="left"/>
            </w:pPr>
            <w:r>
              <w:t xml:space="preserve">Clinical management algorithms, from </w:t>
            </w:r>
            <w:r w:rsidR="00A156DF">
              <w:t>s</w:t>
            </w:r>
            <w:r>
              <w:t>ection A.5</w:t>
            </w:r>
          </w:p>
        </w:tc>
      </w:tr>
      <w:tr w:rsidR="001E55A8" w:rsidRPr="00324CF8" w14:paraId="166D118F" w14:textId="77777777" w:rsidTr="005B7F97">
        <w:trPr>
          <w:cantSplit/>
        </w:trPr>
        <w:tc>
          <w:tcPr>
            <w:tcW w:w="3261" w:type="dxa"/>
          </w:tcPr>
          <w:p w14:paraId="0A2963B7" w14:textId="77777777" w:rsidR="001E55A8" w:rsidRPr="00324CF8" w:rsidRDefault="001E55A8" w:rsidP="004566DC">
            <w:pPr>
              <w:pStyle w:val="Tabletext1"/>
              <w:ind w:left="0"/>
              <w:jc w:val="left"/>
            </w:pPr>
            <w:r>
              <w:t>Clinical sensitivity of common mutation panel</w:t>
            </w:r>
          </w:p>
        </w:tc>
        <w:tc>
          <w:tcPr>
            <w:tcW w:w="5873" w:type="dxa"/>
          </w:tcPr>
          <w:p w14:paraId="70E320FE" w14:textId="649D372F" w:rsidR="001E55A8" w:rsidRDefault="001E55A8" w:rsidP="004566DC">
            <w:pPr>
              <w:pStyle w:val="Tabletext1"/>
              <w:ind w:left="0"/>
              <w:jc w:val="left"/>
            </w:pPr>
            <w:r>
              <w:t xml:space="preserve">From </w:t>
            </w:r>
            <w:r w:rsidR="00F976CC">
              <w:t>s</w:t>
            </w:r>
            <w:r>
              <w:t>ection C.1.2</w:t>
            </w:r>
          </w:p>
          <w:p w14:paraId="5475B558" w14:textId="7E5AF0CE" w:rsidR="001E55A8" w:rsidRDefault="00943851" w:rsidP="004566DC">
            <w:pPr>
              <w:pStyle w:val="Tabletext1"/>
              <w:ind w:left="0"/>
              <w:jc w:val="left"/>
            </w:pPr>
            <w:r>
              <w:t>10</w:t>
            </w:r>
            <w:r w:rsidR="001E55A8">
              <w:t>-mutation panel: 80%</w:t>
            </w:r>
          </w:p>
          <w:p w14:paraId="42BAE196" w14:textId="41DB2216" w:rsidR="001E55A8" w:rsidRPr="00324CF8" w:rsidRDefault="001E55A8" w:rsidP="004566DC">
            <w:pPr>
              <w:pStyle w:val="Tabletext1"/>
              <w:ind w:left="0"/>
              <w:jc w:val="left"/>
            </w:pPr>
            <w:r>
              <w:t xml:space="preserve">As per </w:t>
            </w:r>
            <w:r w:rsidR="00943851">
              <w:t>s</w:t>
            </w:r>
            <w:r>
              <w:t xml:space="preserve">ection D, scenario analyses </w:t>
            </w:r>
            <w:r w:rsidR="006760E5">
              <w:t>are</w:t>
            </w:r>
            <w:r>
              <w:t xml:space="preserve"> presented </w:t>
            </w:r>
            <w:r w:rsidR="00943851">
              <w:t xml:space="preserve">that </w:t>
            </w:r>
            <w:r>
              <w:t xml:space="preserve">assume the cost </w:t>
            </w:r>
            <w:r w:rsidR="00943851">
              <w:t xml:space="preserve">to be as per a 32-mutation panel </w:t>
            </w:r>
            <w:r>
              <w:t xml:space="preserve">and </w:t>
            </w:r>
            <w:r w:rsidR="00943851">
              <w:t xml:space="preserve">the </w:t>
            </w:r>
            <w:r>
              <w:t>clinical sensitivity of the test to be 92%</w:t>
            </w:r>
            <w:r w:rsidR="00DE5815">
              <w:t>.</w:t>
            </w:r>
            <w:r>
              <w:t xml:space="preserve"> </w:t>
            </w:r>
          </w:p>
        </w:tc>
      </w:tr>
      <w:tr w:rsidR="001E55A8" w:rsidRPr="00324CF8" w14:paraId="01EADB27" w14:textId="77777777" w:rsidTr="005B7F97">
        <w:trPr>
          <w:cantSplit/>
        </w:trPr>
        <w:tc>
          <w:tcPr>
            <w:tcW w:w="3261" w:type="dxa"/>
          </w:tcPr>
          <w:p w14:paraId="71475B29" w14:textId="7068B0B6" w:rsidR="001E55A8" w:rsidRPr="00324CF8" w:rsidRDefault="00FD37D3" w:rsidP="004566DC">
            <w:pPr>
              <w:pStyle w:val="Tabletext1"/>
              <w:ind w:left="0"/>
              <w:jc w:val="left"/>
            </w:pPr>
            <w:r w:rsidRPr="00FD37D3">
              <w:t>CFTR</w:t>
            </w:r>
            <w:r w:rsidR="001E55A8">
              <w:t xml:space="preserve"> mutation test cost</w:t>
            </w:r>
          </w:p>
        </w:tc>
        <w:tc>
          <w:tcPr>
            <w:tcW w:w="5873" w:type="dxa"/>
          </w:tcPr>
          <w:p w14:paraId="59812748" w14:textId="0EB78ED2" w:rsidR="001E55A8" w:rsidRDefault="001E55A8" w:rsidP="004566DC">
            <w:pPr>
              <w:pStyle w:val="Tabletext1"/>
              <w:ind w:left="0"/>
              <w:jc w:val="left"/>
            </w:pPr>
            <w:r>
              <w:t xml:space="preserve">From </w:t>
            </w:r>
            <w:r w:rsidR="00F976CC">
              <w:t>s</w:t>
            </w:r>
            <w:r>
              <w:t>ection D.4</w:t>
            </w:r>
          </w:p>
          <w:p w14:paraId="4ACCEADE" w14:textId="77777777" w:rsidR="001E55A8" w:rsidRDefault="001E55A8" w:rsidP="004566DC">
            <w:pPr>
              <w:pStyle w:val="Tabletext1"/>
              <w:ind w:left="0"/>
              <w:jc w:val="left"/>
            </w:pPr>
            <w:r w:rsidRPr="001E050E">
              <w:t>Single mutation analysis: $80</w:t>
            </w:r>
          </w:p>
          <w:p w14:paraId="325B2E33" w14:textId="77777777" w:rsidR="001E55A8" w:rsidRDefault="001E55A8" w:rsidP="004566DC">
            <w:pPr>
              <w:pStyle w:val="Tabletext1"/>
              <w:ind w:left="0"/>
              <w:jc w:val="left"/>
            </w:pPr>
            <w:r>
              <w:t>Common mutation panel: $135</w:t>
            </w:r>
          </w:p>
          <w:p w14:paraId="6F08356A" w14:textId="77777777" w:rsidR="001E55A8" w:rsidRDefault="001E55A8" w:rsidP="004566DC">
            <w:pPr>
              <w:pStyle w:val="Tabletext1"/>
              <w:ind w:left="0"/>
              <w:jc w:val="left"/>
            </w:pPr>
            <w:r>
              <w:t>Whole gene screen: $1,000</w:t>
            </w:r>
          </w:p>
          <w:p w14:paraId="28F60A03" w14:textId="32EEC630" w:rsidR="001E55A8" w:rsidRPr="00324CF8" w:rsidRDefault="001E55A8" w:rsidP="004566DC">
            <w:pPr>
              <w:pStyle w:val="Tabletext1"/>
              <w:ind w:left="0"/>
              <w:jc w:val="left"/>
            </w:pPr>
            <w:r>
              <w:t xml:space="preserve">Alternative scenario analyses </w:t>
            </w:r>
            <w:r w:rsidR="00943851">
              <w:t>are</w:t>
            </w:r>
            <w:r>
              <w:t xml:space="preserve"> presented using alternative test fees.</w:t>
            </w:r>
          </w:p>
        </w:tc>
      </w:tr>
      <w:tr w:rsidR="001E55A8" w:rsidRPr="00324CF8" w14:paraId="1414CC59" w14:textId="77777777" w:rsidTr="005B7F97">
        <w:trPr>
          <w:cantSplit/>
        </w:trPr>
        <w:tc>
          <w:tcPr>
            <w:tcW w:w="3261" w:type="dxa"/>
          </w:tcPr>
          <w:p w14:paraId="29E61447" w14:textId="7B503591" w:rsidR="001E55A8" w:rsidRDefault="001E55A8" w:rsidP="004566DC">
            <w:pPr>
              <w:pStyle w:val="Tabletext1"/>
              <w:ind w:left="0"/>
              <w:jc w:val="left"/>
            </w:pPr>
            <w:r>
              <w:t xml:space="preserve">Funding sources for current </w:t>
            </w:r>
            <w:r w:rsidR="00FD37D3" w:rsidRPr="00FD37D3">
              <w:t>CFTR</w:t>
            </w:r>
            <w:r>
              <w:t xml:space="preserve"> mutation testing</w:t>
            </w:r>
          </w:p>
        </w:tc>
        <w:tc>
          <w:tcPr>
            <w:tcW w:w="5873" w:type="dxa"/>
          </w:tcPr>
          <w:p w14:paraId="7AA4A89B" w14:textId="67CECB50" w:rsidR="001E55A8" w:rsidRDefault="001E55A8" w:rsidP="004566DC">
            <w:pPr>
              <w:pStyle w:val="Tabletext1"/>
              <w:ind w:left="0"/>
              <w:jc w:val="left"/>
            </w:pPr>
            <w:r w:rsidRPr="00324CF8">
              <w:t>RCPA Genetic Testing Survey 2011</w:t>
            </w:r>
            <w:r>
              <w:t xml:space="preserve"> </w:t>
            </w:r>
            <w:r w:rsidR="00943851">
              <w:t>r</w:t>
            </w:r>
            <w:r>
              <w:t xml:space="preserve">aw </w:t>
            </w:r>
            <w:r w:rsidR="00943851">
              <w:t>d</w:t>
            </w:r>
            <w:r>
              <w:t>ata (provided by the applicant).</w:t>
            </w:r>
          </w:p>
          <w:p w14:paraId="19E537B9" w14:textId="017AB2F1" w:rsidR="001E55A8" w:rsidRDefault="001E55A8" w:rsidP="004566DC">
            <w:pPr>
              <w:pStyle w:val="Tabletext1"/>
              <w:ind w:left="0"/>
              <w:jc w:val="left"/>
            </w:pPr>
            <w:r>
              <w:t xml:space="preserve">To estimate the net cost implication of MBS funding of </w:t>
            </w:r>
            <w:r w:rsidR="00FD37D3" w:rsidRPr="00FD37D3">
              <w:t>CFTR</w:t>
            </w:r>
            <w:r>
              <w:t xml:space="preserve"> mutation testing to the </w:t>
            </w:r>
            <w:r w:rsidR="00943851">
              <w:t>s</w:t>
            </w:r>
            <w:r>
              <w:t>tates/</w:t>
            </w:r>
            <w:r w:rsidR="00943851">
              <w:t>t</w:t>
            </w:r>
            <w:r>
              <w:t>erritories and the patient.</w:t>
            </w:r>
          </w:p>
          <w:p w14:paraId="09977FF7" w14:textId="5A368D6B" w:rsidR="001E55A8" w:rsidRDefault="001E55A8" w:rsidP="004566DC">
            <w:pPr>
              <w:pStyle w:val="Tabletext1"/>
              <w:ind w:left="0"/>
              <w:jc w:val="left"/>
            </w:pPr>
            <w:r>
              <w:t xml:space="preserve">As </w:t>
            </w:r>
            <w:r w:rsidR="00943851">
              <w:t>s</w:t>
            </w:r>
            <w:r>
              <w:t xml:space="preserve">urvey data </w:t>
            </w:r>
            <w:r w:rsidRPr="00EA11E1">
              <w:t xml:space="preserve">were not provided by indication, </w:t>
            </w:r>
            <w:r>
              <w:t xml:space="preserve">it is uncertain </w:t>
            </w:r>
            <w:r w:rsidRPr="00EA11E1">
              <w:t xml:space="preserve">how these data apply to the specific indications proposed for MBS funding, as indications </w:t>
            </w:r>
            <w:r w:rsidR="00943851">
              <w:t>that</w:t>
            </w:r>
            <w:r w:rsidR="00943851" w:rsidRPr="00EA11E1">
              <w:t xml:space="preserve"> </w:t>
            </w:r>
            <w:r w:rsidRPr="00EA11E1">
              <w:t xml:space="preserve">are not proposed for MBS funding may be more likely to receive </w:t>
            </w:r>
            <w:r w:rsidR="00943851">
              <w:t>s</w:t>
            </w:r>
            <w:r w:rsidRPr="00EA11E1">
              <w:t>tate/</w:t>
            </w:r>
            <w:r w:rsidR="00943851">
              <w:t>t</w:t>
            </w:r>
            <w:r w:rsidRPr="00EA11E1">
              <w:t>erritory</w:t>
            </w:r>
            <w:r w:rsidR="00943851">
              <w:t>-</w:t>
            </w:r>
            <w:r w:rsidRPr="00EA11E1">
              <w:t>based funding, and</w:t>
            </w:r>
            <w:r w:rsidR="00943851">
              <w:t>,</w:t>
            </w:r>
            <w:r w:rsidRPr="00EA11E1">
              <w:t xml:space="preserve"> conversely, those not proposed for MBS funding may be more likely to be currently funded by the patient.</w:t>
            </w:r>
          </w:p>
        </w:tc>
      </w:tr>
    </w:tbl>
    <w:p w14:paraId="7CF02CD9" w14:textId="7793A0A4" w:rsidR="001E55A8" w:rsidRPr="00A97EEE" w:rsidRDefault="00972C77" w:rsidP="004566DC">
      <w:pPr>
        <w:pStyle w:val="TableNotes"/>
        <w:spacing w:line="240" w:lineRule="auto"/>
        <w:ind w:left="0"/>
        <w:rPr>
          <w:sz w:val="18"/>
          <w:szCs w:val="18"/>
        </w:rPr>
      </w:pPr>
      <w:r>
        <w:rPr>
          <w:sz w:val="18"/>
          <w:szCs w:val="18"/>
        </w:rPr>
        <w:t xml:space="preserve">CF = cystic fibrosis; </w:t>
      </w:r>
      <w:r w:rsidR="00FD37D3" w:rsidRPr="00FD37D3">
        <w:rPr>
          <w:sz w:val="18"/>
          <w:szCs w:val="18"/>
        </w:rPr>
        <w:t>CFTR</w:t>
      </w:r>
      <w:r w:rsidR="001E55A8">
        <w:rPr>
          <w:sz w:val="18"/>
          <w:szCs w:val="18"/>
        </w:rPr>
        <w:t xml:space="preserve"> = </w:t>
      </w:r>
      <w:r w:rsidR="00126478">
        <w:rPr>
          <w:sz w:val="18"/>
          <w:szCs w:val="18"/>
        </w:rPr>
        <w:t>c</w:t>
      </w:r>
      <w:r w:rsidR="00F9373B">
        <w:rPr>
          <w:sz w:val="18"/>
          <w:szCs w:val="18"/>
        </w:rPr>
        <w:t xml:space="preserve">ystic </w:t>
      </w:r>
      <w:r w:rsidR="00126478">
        <w:rPr>
          <w:sz w:val="18"/>
          <w:szCs w:val="18"/>
        </w:rPr>
        <w:t>f</w:t>
      </w:r>
      <w:r w:rsidR="00F9373B">
        <w:rPr>
          <w:sz w:val="18"/>
          <w:szCs w:val="18"/>
        </w:rPr>
        <w:t xml:space="preserve">ibrosis </w:t>
      </w:r>
      <w:r w:rsidR="00126478">
        <w:rPr>
          <w:sz w:val="18"/>
          <w:szCs w:val="18"/>
        </w:rPr>
        <w:t>t</w:t>
      </w:r>
      <w:r w:rsidR="00F9373B">
        <w:rPr>
          <w:sz w:val="18"/>
          <w:szCs w:val="18"/>
        </w:rPr>
        <w:t xml:space="preserve">ransmembrane conductance </w:t>
      </w:r>
      <w:r w:rsidR="00126478">
        <w:rPr>
          <w:sz w:val="18"/>
          <w:szCs w:val="18"/>
        </w:rPr>
        <w:t>r</w:t>
      </w:r>
      <w:r w:rsidR="00F9373B">
        <w:rPr>
          <w:sz w:val="18"/>
          <w:szCs w:val="18"/>
        </w:rPr>
        <w:t>egulator</w:t>
      </w:r>
      <w:r w:rsidR="006D5DFE">
        <w:rPr>
          <w:sz w:val="18"/>
          <w:szCs w:val="18"/>
        </w:rPr>
        <w:t xml:space="preserve">; HESP = </w:t>
      </w:r>
      <w:r w:rsidR="001E55A8">
        <w:rPr>
          <w:sz w:val="18"/>
          <w:szCs w:val="18"/>
        </w:rPr>
        <w:t>He</w:t>
      </w:r>
      <w:r w:rsidR="006D5DFE">
        <w:rPr>
          <w:sz w:val="18"/>
          <w:szCs w:val="18"/>
        </w:rPr>
        <w:t xml:space="preserve">alth Expert Standing Panel; IRT = </w:t>
      </w:r>
      <w:r w:rsidR="001E55A8">
        <w:rPr>
          <w:sz w:val="18"/>
          <w:szCs w:val="18"/>
        </w:rPr>
        <w:t>i</w:t>
      </w:r>
      <w:r w:rsidR="001E55A8" w:rsidRPr="00F55413">
        <w:rPr>
          <w:sz w:val="18"/>
          <w:szCs w:val="18"/>
        </w:rPr>
        <w:t>mmunoreactive trypsinogen</w:t>
      </w:r>
      <w:r w:rsidR="001E55A8">
        <w:rPr>
          <w:sz w:val="18"/>
          <w:szCs w:val="18"/>
        </w:rPr>
        <w:t>; MBS</w:t>
      </w:r>
      <w:r w:rsidR="006D5DFE">
        <w:rPr>
          <w:sz w:val="18"/>
          <w:szCs w:val="18"/>
        </w:rPr>
        <w:t xml:space="preserve"> =</w:t>
      </w:r>
      <w:r w:rsidR="00126478">
        <w:rPr>
          <w:sz w:val="18"/>
          <w:szCs w:val="18"/>
        </w:rPr>
        <w:t xml:space="preserve"> </w:t>
      </w:r>
      <w:r w:rsidR="001E55A8">
        <w:rPr>
          <w:sz w:val="18"/>
          <w:szCs w:val="18"/>
        </w:rPr>
        <w:t xml:space="preserve">Medicare Benefits Schedule; </w:t>
      </w:r>
      <w:r>
        <w:rPr>
          <w:sz w:val="18"/>
          <w:szCs w:val="18"/>
        </w:rPr>
        <w:t xml:space="preserve">NBS = newborn screening; </w:t>
      </w:r>
      <w:r w:rsidR="001E55A8">
        <w:rPr>
          <w:sz w:val="18"/>
          <w:szCs w:val="18"/>
        </w:rPr>
        <w:t>RCPA</w:t>
      </w:r>
      <w:r w:rsidR="006D5DFE">
        <w:rPr>
          <w:sz w:val="18"/>
          <w:szCs w:val="18"/>
        </w:rPr>
        <w:t xml:space="preserve"> = </w:t>
      </w:r>
      <w:r w:rsidR="001E55A8">
        <w:rPr>
          <w:sz w:val="18"/>
          <w:szCs w:val="18"/>
        </w:rPr>
        <w:t>Royal College o</w:t>
      </w:r>
      <w:r w:rsidR="003E1F91">
        <w:rPr>
          <w:sz w:val="18"/>
          <w:szCs w:val="18"/>
        </w:rPr>
        <w:t>f Pathologists of Australasia</w:t>
      </w:r>
    </w:p>
    <w:p w14:paraId="24F57BB7" w14:textId="4C5849A5" w:rsidR="001E55A8" w:rsidRDefault="001E55A8" w:rsidP="001E55A8">
      <w:pPr>
        <w:pStyle w:val="Heading2"/>
        <w:numPr>
          <w:ilvl w:val="4"/>
          <w:numId w:val="9"/>
        </w:numPr>
      </w:pPr>
      <w:bookmarkStart w:id="398" w:name="_Toc214091270"/>
      <w:bookmarkStart w:id="399" w:name="_Toc341796094"/>
      <w:bookmarkStart w:id="400" w:name="_Toc413332865"/>
      <w:bookmarkStart w:id="401" w:name="_Toc418179938"/>
      <w:bookmarkStart w:id="402" w:name="_Toc379118300"/>
      <w:bookmarkStart w:id="403" w:name="_Toc381796483"/>
      <w:r>
        <w:lastRenderedPageBreak/>
        <w:t xml:space="preserve">Use and Costs of </w:t>
      </w:r>
      <w:bookmarkEnd w:id="398"/>
      <w:bookmarkEnd w:id="399"/>
      <w:bookmarkEnd w:id="400"/>
      <w:r w:rsidR="00FD37D3" w:rsidRPr="00FD37D3">
        <w:t>CFTR</w:t>
      </w:r>
      <w:r>
        <w:t xml:space="preserve"> </w:t>
      </w:r>
      <w:r w:rsidR="003B5521">
        <w:t>M</w:t>
      </w:r>
      <w:r>
        <w:t xml:space="preserve">utation </w:t>
      </w:r>
      <w:r w:rsidR="003B5521">
        <w:t>T</w:t>
      </w:r>
      <w:r>
        <w:t>esting</w:t>
      </w:r>
      <w:bookmarkEnd w:id="401"/>
    </w:p>
    <w:bookmarkEnd w:id="402"/>
    <w:bookmarkEnd w:id="403"/>
    <w:p w14:paraId="7897F11F" w14:textId="108B6E83" w:rsidR="001E55A8" w:rsidRDefault="001E55A8" w:rsidP="001E55A8">
      <w:r w:rsidRPr="003E2147">
        <w:t>A</w:t>
      </w:r>
      <w:r>
        <w:t xml:space="preserve">s </w:t>
      </w:r>
      <w:r w:rsidR="00FD37D3" w:rsidRPr="00FD37D3">
        <w:t>CFTR</w:t>
      </w:r>
      <w:r>
        <w:t xml:space="preserve"> mutation testing is current practice in all </w:t>
      </w:r>
      <w:r w:rsidR="00191502">
        <w:t>s</w:t>
      </w:r>
      <w:r>
        <w:t xml:space="preserve">tates and </w:t>
      </w:r>
      <w:r w:rsidR="00191502">
        <w:t>t</w:t>
      </w:r>
      <w:r>
        <w:t>erritories, a</w:t>
      </w:r>
      <w:r w:rsidRPr="003E2147">
        <w:t xml:space="preserve"> market-based approach</w:t>
      </w:r>
      <w:r>
        <w:t xml:space="preserve"> </w:t>
      </w:r>
      <w:r w:rsidRPr="009A6C10">
        <w:t xml:space="preserve">has been used to estimate the financial implications of </w:t>
      </w:r>
      <w:r w:rsidR="00191502">
        <w:t>its</w:t>
      </w:r>
      <w:r w:rsidR="00191502" w:rsidRPr="009A6C10">
        <w:t xml:space="preserve"> </w:t>
      </w:r>
      <w:r w:rsidRPr="009A6C10">
        <w:t xml:space="preserve">introduction </w:t>
      </w:r>
      <w:r>
        <w:t xml:space="preserve">on the MBS. This approach uses the number of observed </w:t>
      </w:r>
      <w:r w:rsidR="00FD37D3" w:rsidRPr="00FD37D3">
        <w:t>CFTR</w:t>
      </w:r>
      <w:r>
        <w:t xml:space="preserve"> mutation tests reported in Australia in the RCPA Genetic Testing Survey 2011. The</w:t>
      </w:r>
      <w:r w:rsidR="00191502">
        <w:t>se</w:t>
      </w:r>
      <w:r>
        <w:t xml:space="preserve">, by broad indication for testing, </w:t>
      </w:r>
      <w:r w:rsidR="00191502">
        <w:t xml:space="preserve">are </w:t>
      </w:r>
      <w:r>
        <w:t xml:space="preserve">presented in </w:t>
      </w:r>
      <w:r>
        <w:fldChar w:fldCharType="begin"/>
      </w:r>
      <w:r>
        <w:instrText xml:space="preserve"> REF _Ref413931638 \h </w:instrText>
      </w:r>
      <w:r>
        <w:fldChar w:fldCharType="separate"/>
      </w:r>
      <w:r w:rsidR="00BB0E3E">
        <w:t xml:space="preserve">Table </w:t>
      </w:r>
      <w:r w:rsidR="00BB0E3E">
        <w:rPr>
          <w:noProof/>
        </w:rPr>
        <w:t>68</w:t>
      </w:r>
      <w:r>
        <w:fldChar w:fldCharType="end"/>
      </w:r>
      <w:r>
        <w:t>.</w:t>
      </w:r>
    </w:p>
    <w:p w14:paraId="780A23B3" w14:textId="3729446F" w:rsidR="001E55A8" w:rsidRDefault="001E55A8" w:rsidP="001E55A8">
      <w:pPr>
        <w:pStyle w:val="Caption"/>
      </w:pPr>
      <w:bookmarkStart w:id="404" w:name="_Ref413931638"/>
      <w:bookmarkStart w:id="405" w:name="_Toc416855361"/>
      <w:bookmarkStart w:id="406" w:name="_Toc418179465"/>
      <w:r>
        <w:t xml:space="preserve">Table </w:t>
      </w:r>
      <w:fldSimple w:instr=" SEQ Table \* ARABIC ">
        <w:r w:rsidR="00BB0E3E">
          <w:rPr>
            <w:noProof/>
          </w:rPr>
          <w:t>68</w:t>
        </w:r>
      </w:fldSimple>
      <w:bookmarkEnd w:id="404"/>
      <w:r>
        <w:tab/>
        <w:t xml:space="preserve">Number of </w:t>
      </w:r>
      <w:r w:rsidR="00FD37D3" w:rsidRPr="00FD37D3">
        <w:t>CFTR</w:t>
      </w:r>
      <w:r>
        <w:t xml:space="preserve"> tests observed in the RCPA Genetic Testing Survey 2011</w:t>
      </w:r>
      <w:bookmarkEnd w:id="405"/>
      <w:bookmarkEnd w:id="406"/>
    </w:p>
    <w:tbl>
      <w:tblPr>
        <w:tblStyle w:val="TableGrid"/>
        <w:tblW w:w="0" w:type="auto"/>
        <w:tblInd w:w="108" w:type="dxa"/>
        <w:tblLook w:val="04A0" w:firstRow="1" w:lastRow="0" w:firstColumn="1" w:lastColumn="0" w:noHBand="0" w:noVBand="1"/>
        <w:tblCaption w:val="Number of CFTR tests observed in the RCPA Genetic Testing Survey 2011"/>
        <w:tblDescription w:val="Number of CFTR tests observed in the RCPA Genetic Testing Survey 2011"/>
      </w:tblPr>
      <w:tblGrid>
        <w:gridCol w:w="1701"/>
        <w:gridCol w:w="5529"/>
        <w:gridCol w:w="1842"/>
      </w:tblGrid>
      <w:tr w:rsidR="001E55A8" w:rsidRPr="00735773" w14:paraId="486EB174" w14:textId="77777777" w:rsidTr="00CD1EDC">
        <w:trPr>
          <w:tblHeader/>
        </w:trPr>
        <w:tc>
          <w:tcPr>
            <w:tcW w:w="1701" w:type="dxa"/>
          </w:tcPr>
          <w:p w14:paraId="38088A88" w14:textId="77777777" w:rsidR="001E55A8" w:rsidRPr="00735773" w:rsidRDefault="001E55A8" w:rsidP="004566DC">
            <w:pPr>
              <w:pStyle w:val="Caption"/>
              <w:spacing w:before="40"/>
              <w:ind w:left="0"/>
              <w:jc w:val="left"/>
              <w:rPr>
                <w:szCs w:val="20"/>
              </w:rPr>
            </w:pPr>
            <w:r w:rsidRPr="00735773">
              <w:rPr>
                <w:szCs w:val="20"/>
              </w:rPr>
              <w:t>Broad indication</w:t>
            </w:r>
          </w:p>
        </w:tc>
        <w:tc>
          <w:tcPr>
            <w:tcW w:w="5529" w:type="dxa"/>
          </w:tcPr>
          <w:p w14:paraId="3AB74AAA" w14:textId="77777777" w:rsidR="001E55A8" w:rsidRPr="00735773" w:rsidRDefault="001E55A8" w:rsidP="004566DC">
            <w:pPr>
              <w:pStyle w:val="Caption"/>
              <w:spacing w:before="40"/>
              <w:ind w:left="0"/>
              <w:jc w:val="left"/>
              <w:rPr>
                <w:szCs w:val="20"/>
              </w:rPr>
            </w:pPr>
            <w:r w:rsidRPr="00735773">
              <w:rPr>
                <w:szCs w:val="20"/>
              </w:rPr>
              <w:t>Definition of broad indication</w:t>
            </w:r>
          </w:p>
        </w:tc>
        <w:tc>
          <w:tcPr>
            <w:tcW w:w="1842" w:type="dxa"/>
          </w:tcPr>
          <w:p w14:paraId="24B82BA2" w14:textId="77777777" w:rsidR="001E55A8" w:rsidRPr="00735773" w:rsidRDefault="001E55A8" w:rsidP="005B7F97">
            <w:pPr>
              <w:pStyle w:val="Caption"/>
              <w:spacing w:before="40"/>
              <w:ind w:left="0"/>
              <w:jc w:val="center"/>
              <w:rPr>
                <w:szCs w:val="20"/>
              </w:rPr>
            </w:pPr>
            <w:r w:rsidRPr="00735773">
              <w:rPr>
                <w:szCs w:val="20"/>
              </w:rPr>
              <w:t>Number of tests</w:t>
            </w:r>
          </w:p>
        </w:tc>
      </w:tr>
      <w:tr w:rsidR="001E55A8" w:rsidRPr="00735773" w14:paraId="4D1F2D18" w14:textId="77777777" w:rsidTr="005B7F97">
        <w:tc>
          <w:tcPr>
            <w:tcW w:w="1701" w:type="dxa"/>
          </w:tcPr>
          <w:p w14:paraId="599A938B" w14:textId="77777777" w:rsidR="001E55A8" w:rsidRPr="00735773" w:rsidRDefault="001E55A8" w:rsidP="005B7F97">
            <w:pPr>
              <w:pStyle w:val="Tabletext1"/>
              <w:ind w:left="0"/>
            </w:pPr>
            <w:r w:rsidRPr="00735773">
              <w:t>Diagnostic</w:t>
            </w:r>
          </w:p>
        </w:tc>
        <w:tc>
          <w:tcPr>
            <w:tcW w:w="5529" w:type="dxa"/>
          </w:tcPr>
          <w:p w14:paraId="1A1B24A0" w14:textId="77777777" w:rsidR="001E55A8" w:rsidRPr="00735773" w:rsidRDefault="001E55A8" w:rsidP="004566DC">
            <w:pPr>
              <w:pStyle w:val="Tabletext1"/>
              <w:ind w:left="0"/>
              <w:jc w:val="left"/>
            </w:pPr>
            <w:r w:rsidRPr="00735773">
              <w:t>Testing of an affected patient (of any age) to determine the genetic basis for their disease</w:t>
            </w:r>
          </w:p>
        </w:tc>
        <w:tc>
          <w:tcPr>
            <w:tcW w:w="1842" w:type="dxa"/>
          </w:tcPr>
          <w:p w14:paraId="1E58BB89" w14:textId="77777777" w:rsidR="001E55A8" w:rsidRPr="00735773" w:rsidRDefault="001E55A8" w:rsidP="004566DC">
            <w:pPr>
              <w:pStyle w:val="Tabletext1"/>
              <w:tabs>
                <w:tab w:val="decimal" w:pos="742"/>
              </w:tabs>
              <w:ind w:left="0"/>
              <w:jc w:val="center"/>
            </w:pPr>
            <w:r w:rsidRPr="00735773">
              <w:t>3,110</w:t>
            </w:r>
          </w:p>
        </w:tc>
      </w:tr>
      <w:tr w:rsidR="001E55A8" w:rsidRPr="00735773" w14:paraId="6C051D27" w14:textId="77777777" w:rsidTr="005B7F97">
        <w:tc>
          <w:tcPr>
            <w:tcW w:w="1701" w:type="dxa"/>
          </w:tcPr>
          <w:p w14:paraId="4011BFA5" w14:textId="77777777" w:rsidR="001E55A8" w:rsidRPr="00735773" w:rsidRDefault="001E55A8" w:rsidP="005B7F97">
            <w:pPr>
              <w:pStyle w:val="Tabletext1"/>
              <w:ind w:left="0"/>
            </w:pPr>
            <w:r w:rsidRPr="00735773">
              <w:t>Predictive</w:t>
            </w:r>
          </w:p>
        </w:tc>
        <w:tc>
          <w:tcPr>
            <w:tcW w:w="5529" w:type="dxa"/>
          </w:tcPr>
          <w:p w14:paraId="03F1F330" w14:textId="77777777" w:rsidR="001E55A8" w:rsidRPr="00735773" w:rsidRDefault="001E55A8" w:rsidP="004566DC">
            <w:pPr>
              <w:pStyle w:val="Tabletext1"/>
              <w:ind w:left="0"/>
              <w:jc w:val="left"/>
            </w:pPr>
            <w:r w:rsidRPr="00735773">
              <w:t>Testing of an unaffected person (of any age, not including prenatal) who is at increased risk of carrying the mutation on the basis of family history</w:t>
            </w:r>
          </w:p>
        </w:tc>
        <w:tc>
          <w:tcPr>
            <w:tcW w:w="1842" w:type="dxa"/>
          </w:tcPr>
          <w:p w14:paraId="740B2E88" w14:textId="77777777" w:rsidR="001E55A8" w:rsidRPr="00735773" w:rsidRDefault="001E55A8" w:rsidP="004566DC">
            <w:pPr>
              <w:pStyle w:val="Tabletext1"/>
              <w:tabs>
                <w:tab w:val="decimal" w:pos="742"/>
              </w:tabs>
              <w:ind w:left="0"/>
              <w:jc w:val="center"/>
            </w:pPr>
            <w:r w:rsidRPr="00735773">
              <w:t>1,266</w:t>
            </w:r>
          </w:p>
        </w:tc>
      </w:tr>
      <w:tr w:rsidR="001E55A8" w:rsidRPr="00735773" w14:paraId="1A8D5475" w14:textId="77777777" w:rsidTr="005B7F97">
        <w:tc>
          <w:tcPr>
            <w:tcW w:w="1701" w:type="dxa"/>
          </w:tcPr>
          <w:p w14:paraId="1B3C43DA" w14:textId="77777777" w:rsidR="001E55A8" w:rsidRPr="00735773" w:rsidRDefault="001E55A8" w:rsidP="005B7F97">
            <w:pPr>
              <w:pStyle w:val="Tabletext1"/>
              <w:ind w:left="0"/>
            </w:pPr>
            <w:r w:rsidRPr="00735773">
              <w:t>Screening</w:t>
            </w:r>
          </w:p>
        </w:tc>
        <w:tc>
          <w:tcPr>
            <w:tcW w:w="5529" w:type="dxa"/>
          </w:tcPr>
          <w:p w14:paraId="7203BE36" w14:textId="1898D712" w:rsidR="001E55A8" w:rsidRPr="00735773" w:rsidRDefault="001E55A8" w:rsidP="004566DC">
            <w:pPr>
              <w:pStyle w:val="Tabletext1"/>
              <w:ind w:left="0"/>
              <w:jc w:val="left"/>
            </w:pPr>
            <w:r w:rsidRPr="00735773">
              <w:t xml:space="preserve">Testing </w:t>
            </w:r>
            <w:r w:rsidR="00191502">
              <w:t xml:space="preserve">of </w:t>
            </w:r>
            <w:r w:rsidRPr="00735773">
              <w:t>an unaffected person who is not recognised as being at increased risk of carrying a heritable mutation</w:t>
            </w:r>
          </w:p>
        </w:tc>
        <w:tc>
          <w:tcPr>
            <w:tcW w:w="1842" w:type="dxa"/>
          </w:tcPr>
          <w:p w14:paraId="14A50A6B" w14:textId="77777777" w:rsidR="001E55A8" w:rsidRPr="00735773" w:rsidRDefault="001E55A8" w:rsidP="004566DC">
            <w:pPr>
              <w:pStyle w:val="Tabletext1"/>
              <w:tabs>
                <w:tab w:val="decimal" w:pos="742"/>
              </w:tabs>
              <w:ind w:left="0"/>
              <w:jc w:val="center"/>
            </w:pPr>
            <w:r w:rsidRPr="00735773">
              <w:t>10,194</w:t>
            </w:r>
          </w:p>
        </w:tc>
      </w:tr>
      <w:tr w:rsidR="001E55A8" w:rsidRPr="00735773" w14:paraId="136517A7" w14:textId="77777777" w:rsidTr="005B7F97">
        <w:tc>
          <w:tcPr>
            <w:tcW w:w="1701" w:type="dxa"/>
          </w:tcPr>
          <w:p w14:paraId="3AEDDF13" w14:textId="77777777" w:rsidR="001E55A8" w:rsidRPr="00735773" w:rsidRDefault="001E55A8" w:rsidP="005B7F97">
            <w:pPr>
              <w:pStyle w:val="Tabletext1"/>
              <w:ind w:left="0"/>
            </w:pPr>
            <w:r w:rsidRPr="00735773">
              <w:t>Prenatal</w:t>
            </w:r>
            <w:r>
              <w:t xml:space="preserve"> diagnostic</w:t>
            </w:r>
          </w:p>
        </w:tc>
        <w:tc>
          <w:tcPr>
            <w:tcW w:w="5529" w:type="dxa"/>
          </w:tcPr>
          <w:p w14:paraId="5293BC2F" w14:textId="77777777" w:rsidR="001E55A8" w:rsidRPr="00735773" w:rsidRDefault="007930A6" w:rsidP="004566DC">
            <w:pPr>
              <w:pStyle w:val="Tabletext1"/>
              <w:ind w:left="0"/>
              <w:jc w:val="left"/>
            </w:pPr>
            <w:r>
              <w:t>Diagnostic testing on a f</w:t>
            </w:r>
            <w:r w:rsidR="001E55A8" w:rsidRPr="00735773">
              <w:t>etus</w:t>
            </w:r>
          </w:p>
        </w:tc>
        <w:tc>
          <w:tcPr>
            <w:tcW w:w="1842" w:type="dxa"/>
          </w:tcPr>
          <w:p w14:paraId="08A74094" w14:textId="77777777" w:rsidR="001E55A8" w:rsidRPr="00735773" w:rsidRDefault="001E55A8" w:rsidP="004566DC">
            <w:pPr>
              <w:pStyle w:val="Tabletext1"/>
              <w:tabs>
                <w:tab w:val="decimal" w:pos="742"/>
              </w:tabs>
              <w:ind w:left="0"/>
              <w:jc w:val="center"/>
            </w:pPr>
            <w:r w:rsidRPr="00735773">
              <w:t>792</w:t>
            </w:r>
          </w:p>
        </w:tc>
      </w:tr>
    </w:tbl>
    <w:p w14:paraId="284929C0" w14:textId="4724285A" w:rsidR="001E55A8" w:rsidRPr="00A97EEE" w:rsidRDefault="00FD37D3" w:rsidP="001E55A8">
      <w:pPr>
        <w:pStyle w:val="TableNotes"/>
        <w:ind w:left="0"/>
        <w:rPr>
          <w:sz w:val="18"/>
          <w:szCs w:val="18"/>
        </w:rPr>
      </w:pPr>
      <w:r w:rsidRPr="00FD37D3">
        <w:rPr>
          <w:sz w:val="18"/>
          <w:szCs w:val="18"/>
        </w:rPr>
        <w:t>CFTR</w:t>
      </w:r>
      <w:r w:rsidR="001E55A8">
        <w:rPr>
          <w:sz w:val="18"/>
          <w:szCs w:val="18"/>
        </w:rPr>
        <w:t xml:space="preserve"> = </w:t>
      </w:r>
      <w:r w:rsidR="000E7A69">
        <w:rPr>
          <w:sz w:val="18"/>
          <w:szCs w:val="18"/>
        </w:rPr>
        <w:t>c</w:t>
      </w:r>
      <w:r w:rsidR="00F9373B">
        <w:rPr>
          <w:sz w:val="18"/>
          <w:szCs w:val="18"/>
        </w:rPr>
        <w:t xml:space="preserve">ystic </w:t>
      </w:r>
      <w:r w:rsidR="000E7A69">
        <w:rPr>
          <w:sz w:val="18"/>
          <w:szCs w:val="18"/>
        </w:rPr>
        <w:t>f</w:t>
      </w:r>
      <w:r w:rsidR="00F9373B">
        <w:rPr>
          <w:sz w:val="18"/>
          <w:szCs w:val="18"/>
        </w:rPr>
        <w:t xml:space="preserve">ibrosis </w:t>
      </w:r>
      <w:r w:rsidR="000E7A69">
        <w:rPr>
          <w:sz w:val="18"/>
          <w:szCs w:val="18"/>
        </w:rPr>
        <w:t>t</w:t>
      </w:r>
      <w:r w:rsidR="00F9373B">
        <w:rPr>
          <w:sz w:val="18"/>
          <w:szCs w:val="18"/>
        </w:rPr>
        <w:t xml:space="preserve">ransmembrane conductance </w:t>
      </w:r>
      <w:r w:rsidR="000E7A69">
        <w:rPr>
          <w:sz w:val="18"/>
          <w:szCs w:val="18"/>
        </w:rPr>
        <w:t>r</w:t>
      </w:r>
      <w:r w:rsidR="00F9373B">
        <w:rPr>
          <w:sz w:val="18"/>
          <w:szCs w:val="18"/>
        </w:rPr>
        <w:t>egulator</w:t>
      </w:r>
      <w:r w:rsidR="001E55A8">
        <w:rPr>
          <w:sz w:val="18"/>
          <w:szCs w:val="18"/>
        </w:rPr>
        <w:t xml:space="preserve"> </w:t>
      </w:r>
    </w:p>
    <w:p w14:paraId="19D37A8D" w14:textId="52D72040" w:rsidR="001E55A8" w:rsidRDefault="001E55A8" w:rsidP="001E55A8">
      <w:r>
        <w:t>The RCPA estimate</w:t>
      </w:r>
      <w:r w:rsidR="00DE5815">
        <w:t>s</w:t>
      </w:r>
      <w:r>
        <w:t xml:space="preserve"> </w:t>
      </w:r>
      <w:r w:rsidR="00191502">
        <w:t xml:space="preserve">that </w:t>
      </w:r>
      <w:r>
        <w:t xml:space="preserve">the current growth of genetic testing is 15% per </w:t>
      </w:r>
      <w:r w:rsidR="00191502">
        <w:t xml:space="preserve">year </w:t>
      </w:r>
      <w:r>
        <w:t xml:space="preserve">(see </w:t>
      </w:r>
      <w:r>
        <w:fldChar w:fldCharType="begin"/>
      </w:r>
      <w:r>
        <w:instrText xml:space="preserve"> REF _Ref413931616 \h </w:instrText>
      </w:r>
      <w:r>
        <w:fldChar w:fldCharType="separate"/>
      </w:r>
      <w:r w:rsidR="00BB0E3E">
        <w:t xml:space="preserve">Table </w:t>
      </w:r>
      <w:r w:rsidR="00BB0E3E">
        <w:rPr>
          <w:noProof/>
        </w:rPr>
        <w:t>67</w:t>
      </w:r>
      <w:r>
        <w:fldChar w:fldCharType="end"/>
      </w:r>
      <w:r>
        <w:t xml:space="preserve">). This has been used to estimate the total number of </w:t>
      </w:r>
      <w:r w:rsidR="00FD37D3" w:rsidRPr="00FD37D3">
        <w:t>CFTR</w:t>
      </w:r>
      <w:r>
        <w:t xml:space="preserve"> mutation tests for the </w:t>
      </w:r>
      <w:r w:rsidR="00684170">
        <w:t xml:space="preserve">period </w:t>
      </w:r>
      <w:r>
        <w:t>2015</w:t>
      </w:r>
      <w:r w:rsidR="00684170">
        <w:t>–</w:t>
      </w:r>
      <w:r>
        <w:t>19. The total number</w:t>
      </w:r>
      <w:r w:rsidR="00613D90">
        <w:t>s</w:t>
      </w:r>
      <w:r>
        <w:t xml:space="preserve"> of tests projected </w:t>
      </w:r>
      <w:r w:rsidR="00613D90">
        <w:t xml:space="preserve">during </w:t>
      </w:r>
      <w:r>
        <w:t>2012</w:t>
      </w:r>
      <w:r w:rsidR="00613D90">
        <w:t>–</w:t>
      </w:r>
      <w:r>
        <w:t xml:space="preserve">19 are presented in </w:t>
      </w:r>
      <w:r w:rsidRPr="003D5E01">
        <w:rPr>
          <w:rFonts w:asciiTheme="minorHAnsi" w:hAnsiTheme="minorHAnsi"/>
          <w:highlight w:val="yellow"/>
        </w:rPr>
        <w:fldChar w:fldCharType="begin"/>
      </w:r>
      <w:r w:rsidRPr="003D5E01">
        <w:rPr>
          <w:rFonts w:asciiTheme="minorHAnsi" w:hAnsiTheme="minorHAnsi"/>
        </w:rPr>
        <w:instrText xml:space="preserve"> REF _Ref414541423 \h </w:instrText>
      </w:r>
      <w:r w:rsidRPr="002F38D0">
        <w:rPr>
          <w:rFonts w:asciiTheme="minorHAnsi" w:hAnsiTheme="minorHAnsi"/>
          <w:highlight w:val="yellow"/>
        </w:rPr>
        <w:instrText xml:space="preserve"> \* MERGEFORMAT </w:instrText>
      </w:r>
      <w:r w:rsidRPr="003D5E01">
        <w:rPr>
          <w:rFonts w:asciiTheme="minorHAnsi" w:hAnsiTheme="minorHAnsi"/>
          <w:highlight w:val="yellow"/>
        </w:rPr>
      </w:r>
      <w:r w:rsidRPr="003D5E01">
        <w:rPr>
          <w:rFonts w:asciiTheme="minorHAnsi" w:hAnsiTheme="minorHAnsi"/>
          <w:highlight w:val="yellow"/>
        </w:rPr>
        <w:fldChar w:fldCharType="separate"/>
      </w:r>
      <w:r w:rsidR="00BB0E3E" w:rsidRPr="00BB0E3E">
        <w:rPr>
          <w:rFonts w:asciiTheme="minorHAnsi" w:hAnsiTheme="minorHAnsi"/>
          <w:bCs/>
        </w:rPr>
        <w:t xml:space="preserve">Table </w:t>
      </w:r>
      <w:r w:rsidR="00BB0E3E" w:rsidRPr="00BB0E3E">
        <w:rPr>
          <w:rFonts w:asciiTheme="minorHAnsi" w:hAnsiTheme="minorHAnsi"/>
          <w:bCs/>
          <w:noProof/>
        </w:rPr>
        <w:t>113</w:t>
      </w:r>
      <w:r w:rsidRPr="003D5E01">
        <w:rPr>
          <w:rFonts w:asciiTheme="minorHAnsi" w:hAnsiTheme="minorHAnsi"/>
          <w:highlight w:val="yellow"/>
        </w:rPr>
        <w:fldChar w:fldCharType="end"/>
      </w:r>
      <w:r w:rsidRPr="00F85DB0">
        <w:t xml:space="preserve">, </w:t>
      </w:r>
      <w:r>
        <w:rPr>
          <w:highlight w:val="yellow"/>
        </w:rPr>
        <w:fldChar w:fldCharType="begin"/>
      </w:r>
      <w:r>
        <w:instrText xml:space="preserve"> REF _Ref417545909 \h </w:instrText>
      </w:r>
      <w:r>
        <w:rPr>
          <w:highlight w:val="yellow"/>
        </w:rPr>
      </w:r>
      <w:r>
        <w:rPr>
          <w:highlight w:val="yellow"/>
        </w:rPr>
        <w:fldChar w:fldCharType="separate"/>
      </w:r>
      <w:r w:rsidR="00BB0E3E" w:rsidRPr="003F5EAF">
        <w:t xml:space="preserve">Appendix </w:t>
      </w:r>
      <w:r w:rsidR="00BB0E3E">
        <w:rPr>
          <w:noProof/>
        </w:rPr>
        <w:t>K</w:t>
      </w:r>
      <w:r>
        <w:rPr>
          <w:highlight w:val="yellow"/>
        </w:rPr>
        <w:fldChar w:fldCharType="end"/>
      </w:r>
      <w:r>
        <w:t xml:space="preserve">, </w:t>
      </w:r>
      <w:r w:rsidR="00613D90">
        <w:t xml:space="preserve">and </w:t>
      </w:r>
      <w:r>
        <w:t>the projected estimates used in the financial analysis (2015</w:t>
      </w:r>
      <w:r w:rsidR="00613D90">
        <w:t>–</w:t>
      </w:r>
      <w:r>
        <w:t xml:space="preserve">19) </w:t>
      </w:r>
      <w:r w:rsidR="00613D90">
        <w:t xml:space="preserve">are </w:t>
      </w:r>
      <w:r>
        <w:t>pr</w:t>
      </w:r>
      <w:r w:rsidR="00613D90">
        <w:t>ovided</w:t>
      </w:r>
      <w:r>
        <w:t xml:space="preserve"> in </w:t>
      </w:r>
      <w:r>
        <w:fldChar w:fldCharType="begin"/>
      </w:r>
      <w:r>
        <w:instrText xml:space="preserve"> REF _Ref413931663 \h </w:instrText>
      </w:r>
      <w:r>
        <w:fldChar w:fldCharType="separate"/>
      </w:r>
      <w:r w:rsidR="00BB0E3E">
        <w:t xml:space="preserve">Table </w:t>
      </w:r>
      <w:r w:rsidR="00BB0E3E">
        <w:rPr>
          <w:noProof/>
        </w:rPr>
        <w:t>69</w:t>
      </w:r>
      <w:r>
        <w:fldChar w:fldCharType="end"/>
      </w:r>
      <w:r>
        <w:t>.</w:t>
      </w:r>
    </w:p>
    <w:p w14:paraId="611137DB" w14:textId="21FD07A6" w:rsidR="001E55A8" w:rsidRDefault="001E55A8" w:rsidP="001E55A8">
      <w:pPr>
        <w:pStyle w:val="Caption"/>
      </w:pPr>
      <w:bookmarkStart w:id="407" w:name="_Ref413931663"/>
      <w:bookmarkStart w:id="408" w:name="_Toc416855362"/>
      <w:bookmarkStart w:id="409" w:name="_Toc418179466"/>
      <w:r>
        <w:t xml:space="preserve">Table </w:t>
      </w:r>
      <w:fldSimple w:instr=" SEQ Table \* ARABIC ">
        <w:r w:rsidR="00BB0E3E">
          <w:rPr>
            <w:noProof/>
          </w:rPr>
          <w:t>69</w:t>
        </w:r>
      </w:fldSimple>
      <w:bookmarkEnd w:id="407"/>
      <w:r>
        <w:tab/>
        <w:t xml:space="preserve">Projected number of </w:t>
      </w:r>
      <w:r w:rsidR="00FD37D3" w:rsidRPr="00FD37D3">
        <w:t>CFTR</w:t>
      </w:r>
      <w:r>
        <w:t xml:space="preserve"> mutation tests, 2015</w:t>
      </w:r>
      <w:r w:rsidR="00036DAC">
        <w:t>–</w:t>
      </w:r>
      <w:r>
        <w:t>19</w:t>
      </w:r>
      <w:bookmarkEnd w:id="408"/>
      <w:bookmarkEnd w:id="409"/>
    </w:p>
    <w:tbl>
      <w:tblPr>
        <w:tblStyle w:val="TableGrid"/>
        <w:tblW w:w="4908" w:type="pct"/>
        <w:tblInd w:w="108" w:type="dxa"/>
        <w:tblLook w:val="04A0" w:firstRow="1" w:lastRow="0" w:firstColumn="1" w:lastColumn="0" w:noHBand="0" w:noVBand="1"/>
        <w:tblCaption w:val="Projected number of CFTR mutation tests, 2015–19"/>
        <w:tblDescription w:val="Projected number of CFTR mutation tests, 2015–19"/>
      </w:tblPr>
      <w:tblGrid>
        <w:gridCol w:w="1824"/>
        <w:gridCol w:w="1465"/>
        <w:gridCol w:w="1464"/>
        <w:gridCol w:w="1462"/>
        <w:gridCol w:w="1462"/>
        <w:gridCol w:w="1395"/>
      </w:tblGrid>
      <w:tr w:rsidR="001E55A8" w:rsidRPr="00F515FA" w14:paraId="5210F538" w14:textId="77777777" w:rsidTr="00CD1EDC">
        <w:trPr>
          <w:tblHeader/>
        </w:trPr>
        <w:tc>
          <w:tcPr>
            <w:tcW w:w="1005" w:type="pct"/>
          </w:tcPr>
          <w:p w14:paraId="6C98B515" w14:textId="77777777" w:rsidR="001E55A8" w:rsidRPr="00F515FA" w:rsidRDefault="001E55A8" w:rsidP="005B7F97">
            <w:pPr>
              <w:pStyle w:val="Caption"/>
              <w:spacing w:before="40"/>
              <w:ind w:left="0"/>
              <w:jc w:val="center"/>
              <w:rPr>
                <w:szCs w:val="20"/>
              </w:rPr>
            </w:pPr>
          </w:p>
        </w:tc>
        <w:tc>
          <w:tcPr>
            <w:tcW w:w="807" w:type="pct"/>
            <w:vAlign w:val="bottom"/>
          </w:tcPr>
          <w:p w14:paraId="3967CF61" w14:textId="77777777" w:rsidR="001E55A8" w:rsidRPr="00F515FA" w:rsidRDefault="001E55A8" w:rsidP="005B7F97">
            <w:pPr>
              <w:pStyle w:val="Caption"/>
              <w:spacing w:before="40"/>
              <w:ind w:left="0"/>
              <w:jc w:val="center"/>
              <w:rPr>
                <w:szCs w:val="20"/>
              </w:rPr>
            </w:pPr>
            <w:r w:rsidRPr="00F515FA">
              <w:rPr>
                <w:szCs w:val="20"/>
              </w:rPr>
              <w:t>2015</w:t>
            </w:r>
          </w:p>
        </w:tc>
        <w:tc>
          <w:tcPr>
            <w:tcW w:w="807" w:type="pct"/>
            <w:vAlign w:val="bottom"/>
          </w:tcPr>
          <w:p w14:paraId="5E8B93AE" w14:textId="77777777" w:rsidR="001E55A8" w:rsidRPr="00F515FA" w:rsidRDefault="001E55A8" w:rsidP="005B7F97">
            <w:pPr>
              <w:pStyle w:val="Caption"/>
              <w:spacing w:before="40"/>
              <w:ind w:left="0"/>
              <w:jc w:val="center"/>
              <w:rPr>
                <w:szCs w:val="20"/>
              </w:rPr>
            </w:pPr>
            <w:r w:rsidRPr="00F515FA">
              <w:rPr>
                <w:szCs w:val="20"/>
              </w:rPr>
              <w:t>2016</w:t>
            </w:r>
          </w:p>
        </w:tc>
        <w:tc>
          <w:tcPr>
            <w:tcW w:w="806" w:type="pct"/>
            <w:vAlign w:val="bottom"/>
          </w:tcPr>
          <w:p w14:paraId="2BAD5314" w14:textId="77777777" w:rsidR="001E55A8" w:rsidRPr="00F515FA" w:rsidRDefault="001E55A8" w:rsidP="005B7F97">
            <w:pPr>
              <w:pStyle w:val="Caption"/>
              <w:spacing w:before="40"/>
              <w:ind w:left="0"/>
              <w:jc w:val="center"/>
              <w:rPr>
                <w:szCs w:val="20"/>
              </w:rPr>
            </w:pPr>
            <w:r w:rsidRPr="00F515FA">
              <w:rPr>
                <w:szCs w:val="20"/>
              </w:rPr>
              <w:t>2017</w:t>
            </w:r>
          </w:p>
        </w:tc>
        <w:tc>
          <w:tcPr>
            <w:tcW w:w="806" w:type="pct"/>
            <w:vAlign w:val="bottom"/>
          </w:tcPr>
          <w:p w14:paraId="3358EA14" w14:textId="77777777" w:rsidR="001E55A8" w:rsidRPr="00F515FA" w:rsidRDefault="001E55A8" w:rsidP="005B7F97">
            <w:pPr>
              <w:pStyle w:val="Caption"/>
              <w:spacing w:before="40"/>
              <w:ind w:left="0"/>
              <w:jc w:val="center"/>
              <w:rPr>
                <w:szCs w:val="20"/>
              </w:rPr>
            </w:pPr>
            <w:r w:rsidRPr="00F515FA">
              <w:rPr>
                <w:szCs w:val="20"/>
              </w:rPr>
              <w:t>2018</w:t>
            </w:r>
          </w:p>
        </w:tc>
        <w:tc>
          <w:tcPr>
            <w:tcW w:w="770" w:type="pct"/>
            <w:vAlign w:val="bottom"/>
          </w:tcPr>
          <w:p w14:paraId="7518C380"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F515FA" w14:paraId="6782D8C3" w14:textId="77777777" w:rsidTr="005B7F97">
        <w:tc>
          <w:tcPr>
            <w:tcW w:w="1005" w:type="pct"/>
          </w:tcPr>
          <w:p w14:paraId="6F9C3896" w14:textId="77777777" w:rsidR="001E55A8" w:rsidRPr="00735773" w:rsidRDefault="001E55A8" w:rsidP="005B7F97">
            <w:pPr>
              <w:pStyle w:val="Tabletext1"/>
              <w:ind w:left="0"/>
            </w:pPr>
            <w:r w:rsidRPr="00735773">
              <w:t>Diagnostic</w:t>
            </w:r>
          </w:p>
        </w:tc>
        <w:tc>
          <w:tcPr>
            <w:tcW w:w="807" w:type="pct"/>
            <w:vAlign w:val="bottom"/>
          </w:tcPr>
          <w:p w14:paraId="5733CB20" w14:textId="77777777" w:rsidR="001E55A8" w:rsidRPr="00F515FA" w:rsidRDefault="001E55A8" w:rsidP="004566DC">
            <w:pPr>
              <w:pStyle w:val="Tabletext1"/>
              <w:tabs>
                <w:tab w:val="decimal" w:pos="478"/>
              </w:tabs>
              <w:ind w:left="0"/>
              <w:jc w:val="center"/>
            </w:pPr>
            <w:r w:rsidRPr="00F515FA">
              <w:t>5,439</w:t>
            </w:r>
          </w:p>
        </w:tc>
        <w:tc>
          <w:tcPr>
            <w:tcW w:w="807" w:type="pct"/>
            <w:vAlign w:val="bottom"/>
          </w:tcPr>
          <w:p w14:paraId="7904758B" w14:textId="77777777" w:rsidR="001E55A8" w:rsidRPr="00F515FA" w:rsidRDefault="001E55A8" w:rsidP="004566DC">
            <w:pPr>
              <w:pStyle w:val="Tabletext1"/>
              <w:tabs>
                <w:tab w:val="decimal" w:pos="478"/>
              </w:tabs>
              <w:ind w:left="0"/>
              <w:jc w:val="center"/>
            </w:pPr>
            <w:r w:rsidRPr="00F515FA">
              <w:t>6,255</w:t>
            </w:r>
          </w:p>
        </w:tc>
        <w:tc>
          <w:tcPr>
            <w:tcW w:w="806" w:type="pct"/>
            <w:vAlign w:val="bottom"/>
          </w:tcPr>
          <w:p w14:paraId="3B1E5D6B" w14:textId="77777777" w:rsidR="001E55A8" w:rsidRPr="00F515FA" w:rsidRDefault="001E55A8" w:rsidP="004566DC">
            <w:pPr>
              <w:pStyle w:val="Tabletext1"/>
              <w:tabs>
                <w:tab w:val="decimal" w:pos="478"/>
              </w:tabs>
              <w:ind w:left="0"/>
              <w:jc w:val="center"/>
            </w:pPr>
            <w:r w:rsidRPr="00F515FA">
              <w:t>7,194</w:t>
            </w:r>
          </w:p>
        </w:tc>
        <w:tc>
          <w:tcPr>
            <w:tcW w:w="806" w:type="pct"/>
            <w:vAlign w:val="bottom"/>
          </w:tcPr>
          <w:p w14:paraId="16F29888" w14:textId="77777777" w:rsidR="001E55A8" w:rsidRPr="00F515FA" w:rsidRDefault="001E55A8" w:rsidP="004566DC">
            <w:pPr>
              <w:pStyle w:val="Tabletext1"/>
              <w:tabs>
                <w:tab w:val="decimal" w:pos="478"/>
              </w:tabs>
              <w:ind w:left="0"/>
              <w:jc w:val="center"/>
            </w:pPr>
            <w:r w:rsidRPr="00F515FA">
              <w:t>8,273</w:t>
            </w:r>
          </w:p>
        </w:tc>
        <w:tc>
          <w:tcPr>
            <w:tcW w:w="770" w:type="pct"/>
            <w:vAlign w:val="bottom"/>
          </w:tcPr>
          <w:p w14:paraId="73D257E5" w14:textId="77777777" w:rsidR="001E55A8" w:rsidRPr="00F515FA" w:rsidRDefault="001E55A8" w:rsidP="004566DC">
            <w:pPr>
              <w:pStyle w:val="Tabletext1"/>
              <w:tabs>
                <w:tab w:val="decimal" w:pos="478"/>
              </w:tabs>
              <w:ind w:left="0"/>
              <w:jc w:val="center"/>
            </w:pPr>
            <w:r w:rsidRPr="00F515FA">
              <w:t>9,514</w:t>
            </w:r>
          </w:p>
        </w:tc>
      </w:tr>
      <w:tr w:rsidR="001E55A8" w:rsidRPr="00F515FA" w14:paraId="472A82FE" w14:textId="77777777" w:rsidTr="005B7F97">
        <w:tc>
          <w:tcPr>
            <w:tcW w:w="1005" w:type="pct"/>
          </w:tcPr>
          <w:p w14:paraId="21C29253" w14:textId="77777777" w:rsidR="001E55A8" w:rsidRPr="00735773" w:rsidRDefault="001E55A8" w:rsidP="005B7F97">
            <w:pPr>
              <w:pStyle w:val="Tabletext1"/>
              <w:ind w:left="0"/>
            </w:pPr>
            <w:r w:rsidRPr="00735773">
              <w:t>Predictive</w:t>
            </w:r>
          </w:p>
        </w:tc>
        <w:tc>
          <w:tcPr>
            <w:tcW w:w="807" w:type="pct"/>
            <w:vAlign w:val="bottom"/>
          </w:tcPr>
          <w:p w14:paraId="407439B1" w14:textId="77777777" w:rsidR="001E55A8" w:rsidRPr="00F515FA" w:rsidRDefault="001E55A8" w:rsidP="004566DC">
            <w:pPr>
              <w:pStyle w:val="Tabletext1"/>
              <w:tabs>
                <w:tab w:val="decimal" w:pos="478"/>
              </w:tabs>
              <w:ind w:left="0"/>
              <w:jc w:val="center"/>
            </w:pPr>
            <w:r w:rsidRPr="00F515FA">
              <w:t>2,214</w:t>
            </w:r>
          </w:p>
        </w:tc>
        <w:tc>
          <w:tcPr>
            <w:tcW w:w="807" w:type="pct"/>
            <w:vAlign w:val="bottom"/>
          </w:tcPr>
          <w:p w14:paraId="45D61657" w14:textId="77777777" w:rsidR="001E55A8" w:rsidRPr="00F515FA" w:rsidRDefault="001E55A8" w:rsidP="004566DC">
            <w:pPr>
              <w:pStyle w:val="Tabletext1"/>
              <w:tabs>
                <w:tab w:val="decimal" w:pos="478"/>
              </w:tabs>
              <w:ind w:left="0"/>
              <w:jc w:val="center"/>
            </w:pPr>
            <w:r w:rsidRPr="00F515FA">
              <w:t>2,546</w:t>
            </w:r>
          </w:p>
        </w:tc>
        <w:tc>
          <w:tcPr>
            <w:tcW w:w="806" w:type="pct"/>
            <w:vAlign w:val="bottom"/>
          </w:tcPr>
          <w:p w14:paraId="4123D5AE" w14:textId="77777777" w:rsidR="001E55A8" w:rsidRPr="00F515FA" w:rsidRDefault="001E55A8" w:rsidP="004566DC">
            <w:pPr>
              <w:pStyle w:val="Tabletext1"/>
              <w:tabs>
                <w:tab w:val="decimal" w:pos="478"/>
              </w:tabs>
              <w:ind w:left="0"/>
              <w:jc w:val="center"/>
            </w:pPr>
            <w:r w:rsidRPr="00F515FA">
              <w:t>2,928</w:t>
            </w:r>
          </w:p>
        </w:tc>
        <w:tc>
          <w:tcPr>
            <w:tcW w:w="806" w:type="pct"/>
            <w:vAlign w:val="bottom"/>
          </w:tcPr>
          <w:p w14:paraId="16C95865" w14:textId="77777777" w:rsidR="001E55A8" w:rsidRPr="00F515FA" w:rsidRDefault="001E55A8" w:rsidP="004566DC">
            <w:pPr>
              <w:pStyle w:val="Tabletext1"/>
              <w:tabs>
                <w:tab w:val="decimal" w:pos="478"/>
              </w:tabs>
              <w:ind w:left="0"/>
              <w:jc w:val="center"/>
            </w:pPr>
            <w:r w:rsidRPr="00F515FA">
              <w:t>3,368</w:t>
            </w:r>
          </w:p>
        </w:tc>
        <w:tc>
          <w:tcPr>
            <w:tcW w:w="770" w:type="pct"/>
            <w:vAlign w:val="bottom"/>
          </w:tcPr>
          <w:p w14:paraId="4550C88C" w14:textId="77777777" w:rsidR="001E55A8" w:rsidRPr="00F515FA" w:rsidRDefault="001E55A8" w:rsidP="004566DC">
            <w:pPr>
              <w:pStyle w:val="Tabletext1"/>
              <w:tabs>
                <w:tab w:val="decimal" w:pos="478"/>
              </w:tabs>
              <w:ind w:left="0"/>
              <w:jc w:val="center"/>
            </w:pPr>
            <w:r w:rsidRPr="00F515FA">
              <w:t>3,873</w:t>
            </w:r>
          </w:p>
        </w:tc>
      </w:tr>
      <w:tr w:rsidR="001E55A8" w:rsidRPr="00F515FA" w14:paraId="728C62A1" w14:textId="77777777" w:rsidTr="005B7F97">
        <w:tc>
          <w:tcPr>
            <w:tcW w:w="1005" w:type="pct"/>
          </w:tcPr>
          <w:p w14:paraId="44F025D6" w14:textId="77777777" w:rsidR="001E55A8" w:rsidRPr="00735773" w:rsidRDefault="001E55A8" w:rsidP="005B7F97">
            <w:pPr>
              <w:pStyle w:val="Tabletext1"/>
              <w:ind w:left="0"/>
            </w:pPr>
            <w:r w:rsidRPr="00735773">
              <w:t>Prenatal</w:t>
            </w:r>
            <w:r>
              <w:t xml:space="preserve"> diagnostic</w:t>
            </w:r>
          </w:p>
        </w:tc>
        <w:tc>
          <w:tcPr>
            <w:tcW w:w="807" w:type="pct"/>
            <w:vAlign w:val="bottom"/>
          </w:tcPr>
          <w:p w14:paraId="4BE85B3B" w14:textId="77777777" w:rsidR="001E55A8" w:rsidRPr="00F515FA" w:rsidRDefault="001E55A8" w:rsidP="004566DC">
            <w:pPr>
              <w:pStyle w:val="Tabletext1"/>
              <w:tabs>
                <w:tab w:val="decimal" w:pos="478"/>
              </w:tabs>
              <w:ind w:left="0"/>
              <w:jc w:val="center"/>
            </w:pPr>
            <w:r w:rsidRPr="00F515FA">
              <w:t>1,385</w:t>
            </w:r>
          </w:p>
        </w:tc>
        <w:tc>
          <w:tcPr>
            <w:tcW w:w="807" w:type="pct"/>
            <w:vAlign w:val="bottom"/>
          </w:tcPr>
          <w:p w14:paraId="2C00D421" w14:textId="77777777" w:rsidR="001E55A8" w:rsidRPr="00F515FA" w:rsidRDefault="001E55A8" w:rsidP="004566DC">
            <w:pPr>
              <w:pStyle w:val="Tabletext1"/>
              <w:tabs>
                <w:tab w:val="decimal" w:pos="478"/>
              </w:tabs>
              <w:ind w:left="0"/>
              <w:jc w:val="center"/>
            </w:pPr>
            <w:r w:rsidRPr="00F515FA">
              <w:t>1,593</w:t>
            </w:r>
          </w:p>
        </w:tc>
        <w:tc>
          <w:tcPr>
            <w:tcW w:w="806" w:type="pct"/>
            <w:vAlign w:val="bottom"/>
          </w:tcPr>
          <w:p w14:paraId="36D6CCD5" w14:textId="77777777" w:rsidR="001E55A8" w:rsidRPr="00F515FA" w:rsidRDefault="001E55A8" w:rsidP="004566DC">
            <w:pPr>
              <w:pStyle w:val="Tabletext1"/>
              <w:tabs>
                <w:tab w:val="decimal" w:pos="478"/>
              </w:tabs>
              <w:ind w:left="0"/>
              <w:jc w:val="center"/>
            </w:pPr>
            <w:r w:rsidRPr="00F515FA">
              <w:t>1,832</w:t>
            </w:r>
          </w:p>
        </w:tc>
        <w:tc>
          <w:tcPr>
            <w:tcW w:w="806" w:type="pct"/>
            <w:vAlign w:val="bottom"/>
          </w:tcPr>
          <w:p w14:paraId="697CCEDC" w14:textId="77777777" w:rsidR="001E55A8" w:rsidRPr="00F515FA" w:rsidRDefault="001E55A8" w:rsidP="004566DC">
            <w:pPr>
              <w:pStyle w:val="Tabletext1"/>
              <w:tabs>
                <w:tab w:val="decimal" w:pos="478"/>
              </w:tabs>
              <w:ind w:left="0"/>
              <w:jc w:val="center"/>
            </w:pPr>
            <w:r w:rsidRPr="00F515FA">
              <w:t>2,107</w:t>
            </w:r>
          </w:p>
        </w:tc>
        <w:tc>
          <w:tcPr>
            <w:tcW w:w="770" w:type="pct"/>
            <w:vAlign w:val="bottom"/>
          </w:tcPr>
          <w:p w14:paraId="7418B2B3" w14:textId="77777777" w:rsidR="001E55A8" w:rsidRPr="00F515FA" w:rsidRDefault="001E55A8" w:rsidP="004566DC">
            <w:pPr>
              <w:pStyle w:val="Tabletext1"/>
              <w:tabs>
                <w:tab w:val="decimal" w:pos="478"/>
              </w:tabs>
              <w:ind w:left="0"/>
              <w:jc w:val="center"/>
            </w:pPr>
            <w:r w:rsidRPr="00F515FA">
              <w:t>2,423</w:t>
            </w:r>
          </w:p>
        </w:tc>
      </w:tr>
      <w:tr w:rsidR="001E55A8" w:rsidRPr="00F515FA" w14:paraId="5C451F73" w14:textId="77777777" w:rsidTr="005B7F97">
        <w:tc>
          <w:tcPr>
            <w:tcW w:w="1005" w:type="pct"/>
          </w:tcPr>
          <w:p w14:paraId="0EB0A005" w14:textId="77777777" w:rsidR="001E55A8" w:rsidRPr="00735773" w:rsidRDefault="001E55A8" w:rsidP="005B7F97">
            <w:pPr>
              <w:pStyle w:val="Tabletext1"/>
              <w:ind w:left="0"/>
            </w:pPr>
            <w:r w:rsidRPr="00735773">
              <w:t>Screening</w:t>
            </w:r>
          </w:p>
        </w:tc>
        <w:tc>
          <w:tcPr>
            <w:tcW w:w="807" w:type="pct"/>
            <w:vAlign w:val="bottom"/>
          </w:tcPr>
          <w:p w14:paraId="28F79817" w14:textId="77777777" w:rsidR="001E55A8" w:rsidRPr="00F515FA" w:rsidRDefault="001E55A8" w:rsidP="004566DC">
            <w:pPr>
              <w:pStyle w:val="Tabletext1"/>
              <w:tabs>
                <w:tab w:val="decimal" w:pos="478"/>
              </w:tabs>
              <w:ind w:left="0"/>
              <w:jc w:val="center"/>
            </w:pPr>
            <w:r w:rsidRPr="00F515FA">
              <w:t>17,829</w:t>
            </w:r>
          </w:p>
        </w:tc>
        <w:tc>
          <w:tcPr>
            <w:tcW w:w="807" w:type="pct"/>
            <w:vAlign w:val="bottom"/>
          </w:tcPr>
          <w:p w14:paraId="3D926DA4" w14:textId="77777777" w:rsidR="001E55A8" w:rsidRPr="00F515FA" w:rsidRDefault="001E55A8" w:rsidP="004566DC">
            <w:pPr>
              <w:pStyle w:val="Tabletext1"/>
              <w:tabs>
                <w:tab w:val="decimal" w:pos="478"/>
              </w:tabs>
              <w:ind w:left="0"/>
              <w:jc w:val="center"/>
            </w:pPr>
            <w:r w:rsidRPr="00F515FA">
              <w:t>20,504</w:t>
            </w:r>
          </w:p>
        </w:tc>
        <w:tc>
          <w:tcPr>
            <w:tcW w:w="806" w:type="pct"/>
            <w:vAlign w:val="bottom"/>
          </w:tcPr>
          <w:p w14:paraId="35850AC4" w14:textId="77777777" w:rsidR="001E55A8" w:rsidRPr="00F515FA" w:rsidRDefault="001E55A8" w:rsidP="004566DC">
            <w:pPr>
              <w:pStyle w:val="Tabletext1"/>
              <w:tabs>
                <w:tab w:val="decimal" w:pos="478"/>
              </w:tabs>
              <w:ind w:left="0"/>
              <w:jc w:val="center"/>
            </w:pPr>
            <w:r w:rsidRPr="00F515FA">
              <w:t>23,579</w:t>
            </w:r>
          </w:p>
        </w:tc>
        <w:tc>
          <w:tcPr>
            <w:tcW w:w="806" w:type="pct"/>
            <w:vAlign w:val="bottom"/>
          </w:tcPr>
          <w:p w14:paraId="4BFAC10B" w14:textId="77777777" w:rsidR="001E55A8" w:rsidRPr="00F515FA" w:rsidRDefault="001E55A8" w:rsidP="004566DC">
            <w:pPr>
              <w:pStyle w:val="Tabletext1"/>
              <w:tabs>
                <w:tab w:val="decimal" w:pos="478"/>
              </w:tabs>
              <w:ind w:left="0"/>
              <w:jc w:val="center"/>
            </w:pPr>
            <w:r w:rsidRPr="00F515FA">
              <w:t>27,116</w:t>
            </w:r>
          </w:p>
        </w:tc>
        <w:tc>
          <w:tcPr>
            <w:tcW w:w="770" w:type="pct"/>
            <w:vAlign w:val="bottom"/>
          </w:tcPr>
          <w:p w14:paraId="6DCC938B" w14:textId="77777777" w:rsidR="001E55A8" w:rsidRPr="00F515FA" w:rsidRDefault="001E55A8" w:rsidP="004566DC">
            <w:pPr>
              <w:pStyle w:val="Tabletext1"/>
              <w:tabs>
                <w:tab w:val="decimal" w:pos="478"/>
              </w:tabs>
              <w:ind w:left="0"/>
              <w:jc w:val="center"/>
            </w:pPr>
            <w:r w:rsidRPr="00F515FA">
              <w:t>31,184</w:t>
            </w:r>
          </w:p>
        </w:tc>
      </w:tr>
      <w:tr w:rsidR="001E55A8" w:rsidRPr="00F515FA" w14:paraId="399E2864" w14:textId="77777777" w:rsidTr="005B7F97">
        <w:tc>
          <w:tcPr>
            <w:tcW w:w="1005" w:type="pct"/>
          </w:tcPr>
          <w:p w14:paraId="62D4649A" w14:textId="77777777" w:rsidR="001E55A8" w:rsidRPr="00A27C0C" w:rsidRDefault="001E55A8" w:rsidP="005B7F97">
            <w:pPr>
              <w:pStyle w:val="Tabletext1"/>
              <w:ind w:left="0"/>
              <w:rPr>
                <w:b/>
              </w:rPr>
            </w:pPr>
            <w:r w:rsidRPr="00A27C0C">
              <w:rPr>
                <w:b/>
              </w:rPr>
              <w:t>Total</w:t>
            </w:r>
          </w:p>
        </w:tc>
        <w:tc>
          <w:tcPr>
            <w:tcW w:w="807" w:type="pct"/>
            <w:vAlign w:val="bottom"/>
          </w:tcPr>
          <w:p w14:paraId="09246262" w14:textId="77777777" w:rsidR="001E55A8" w:rsidRPr="0095403F" w:rsidRDefault="001E55A8" w:rsidP="004566DC">
            <w:pPr>
              <w:pStyle w:val="Tabletext1"/>
              <w:tabs>
                <w:tab w:val="decimal" w:pos="478"/>
              </w:tabs>
              <w:ind w:left="0"/>
              <w:jc w:val="center"/>
              <w:rPr>
                <w:b/>
              </w:rPr>
            </w:pPr>
            <w:r w:rsidRPr="0095403F">
              <w:rPr>
                <w:b/>
              </w:rPr>
              <w:t>26,868</w:t>
            </w:r>
          </w:p>
        </w:tc>
        <w:tc>
          <w:tcPr>
            <w:tcW w:w="807" w:type="pct"/>
            <w:vAlign w:val="bottom"/>
          </w:tcPr>
          <w:p w14:paraId="53DEF56F" w14:textId="77777777" w:rsidR="001E55A8" w:rsidRPr="001A33A2" w:rsidRDefault="001E55A8" w:rsidP="004566DC">
            <w:pPr>
              <w:pStyle w:val="Tabletext1"/>
              <w:tabs>
                <w:tab w:val="decimal" w:pos="478"/>
              </w:tabs>
              <w:ind w:left="0"/>
              <w:jc w:val="center"/>
              <w:rPr>
                <w:b/>
              </w:rPr>
            </w:pPr>
            <w:r w:rsidRPr="001A33A2">
              <w:rPr>
                <w:b/>
              </w:rPr>
              <w:t>30,898</w:t>
            </w:r>
          </w:p>
        </w:tc>
        <w:tc>
          <w:tcPr>
            <w:tcW w:w="806" w:type="pct"/>
            <w:vAlign w:val="bottom"/>
          </w:tcPr>
          <w:p w14:paraId="2B7A8721" w14:textId="77777777" w:rsidR="001E55A8" w:rsidRPr="001A33A2" w:rsidRDefault="001E55A8" w:rsidP="004566DC">
            <w:pPr>
              <w:pStyle w:val="Tabletext1"/>
              <w:tabs>
                <w:tab w:val="decimal" w:pos="478"/>
              </w:tabs>
              <w:ind w:left="0"/>
              <w:jc w:val="center"/>
              <w:rPr>
                <w:b/>
              </w:rPr>
            </w:pPr>
            <w:r w:rsidRPr="001A33A2">
              <w:rPr>
                <w:b/>
              </w:rPr>
              <w:t>35,533</w:t>
            </w:r>
          </w:p>
        </w:tc>
        <w:tc>
          <w:tcPr>
            <w:tcW w:w="806" w:type="pct"/>
            <w:vAlign w:val="bottom"/>
          </w:tcPr>
          <w:p w14:paraId="169ED4BB" w14:textId="77777777" w:rsidR="001E55A8" w:rsidRPr="00203BF1" w:rsidRDefault="001E55A8" w:rsidP="004566DC">
            <w:pPr>
              <w:pStyle w:val="Tabletext1"/>
              <w:tabs>
                <w:tab w:val="decimal" w:pos="478"/>
              </w:tabs>
              <w:ind w:left="0"/>
              <w:jc w:val="center"/>
              <w:rPr>
                <w:b/>
              </w:rPr>
            </w:pPr>
            <w:r w:rsidRPr="00203BF1">
              <w:rPr>
                <w:b/>
              </w:rPr>
              <w:t>40,863</w:t>
            </w:r>
          </w:p>
        </w:tc>
        <w:tc>
          <w:tcPr>
            <w:tcW w:w="770" w:type="pct"/>
            <w:vAlign w:val="bottom"/>
          </w:tcPr>
          <w:p w14:paraId="6653D84E" w14:textId="77777777" w:rsidR="001E55A8" w:rsidRPr="00203BF1" w:rsidRDefault="001E55A8" w:rsidP="004566DC">
            <w:pPr>
              <w:pStyle w:val="Tabletext1"/>
              <w:tabs>
                <w:tab w:val="decimal" w:pos="478"/>
              </w:tabs>
              <w:ind w:left="0"/>
              <w:jc w:val="center"/>
              <w:rPr>
                <w:b/>
              </w:rPr>
            </w:pPr>
            <w:r w:rsidRPr="00203BF1">
              <w:rPr>
                <w:b/>
              </w:rPr>
              <w:t>46,993</w:t>
            </w:r>
          </w:p>
        </w:tc>
      </w:tr>
    </w:tbl>
    <w:p w14:paraId="03804811" w14:textId="450599FC" w:rsidR="001E55A8" w:rsidRPr="00A97EEE" w:rsidRDefault="00FD37D3" w:rsidP="001E55A8">
      <w:pPr>
        <w:pStyle w:val="TableNotes"/>
        <w:ind w:left="0"/>
        <w:rPr>
          <w:sz w:val="18"/>
          <w:szCs w:val="18"/>
        </w:rPr>
      </w:pPr>
      <w:r w:rsidRPr="00FD37D3">
        <w:rPr>
          <w:sz w:val="18"/>
          <w:szCs w:val="18"/>
        </w:rPr>
        <w:t>CFTR</w:t>
      </w:r>
      <w:r w:rsidR="001E55A8">
        <w:rPr>
          <w:sz w:val="18"/>
          <w:szCs w:val="18"/>
        </w:rPr>
        <w:t xml:space="preserve"> = </w:t>
      </w:r>
      <w:r w:rsidR="00785817">
        <w:rPr>
          <w:sz w:val="18"/>
          <w:szCs w:val="18"/>
        </w:rPr>
        <w:t>c</w:t>
      </w:r>
      <w:r w:rsidR="00F9373B">
        <w:rPr>
          <w:sz w:val="18"/>
          <w:szCs w:val="18"/>
        </w:rPr>
        <w:t xml:space="preserve">ystic </w:t>
      </w:r>
      <w:r w:rsidR="00785817">
        <w:rPr>
          <w:sz w:val="18"/>
          <w:szCs w:val="18"/>
        </w:rPr>
        <w:t>f</w:t>
      </w:r>
      <w:r w:rsidR="00F9373B">
        <w:rPr>
          <w:sz w:val="18"/>
          <w:szCs w:val="18"/>
        </w:rPr>
        <w:t xml:space="preserve">ibrosis </w:t>
      </w:r>
      <w:r w:rsidR="00785817">
        <w:rPr>
          <w:sz w:val="18"/>
          <w:szCs w:val="18"/>
        </w:rPr>
        <w:t>t</w:t>
      </w:r>
      <w:r w:rsidR="00F9373B">
        <w:rPr>
          <w:sz w:val="18"/>
          <w:szCs w:val="18"/>
        </w:rPr>
        <w:t xml:space="preserve">ransmembrane conductance </w:t>
      </w:r>
      <w:r w:rsidR="00785817">
        <w:rPr>
          <w:sz w:val="18"/>
          <w:szCs w:val="18"/>
        </w:rPr>
        <w:t>r</w:t>
      </w:r>
      <w:r w:rsidR="00F9373B">
        <w:rPr>
          <w:sz w:val="18"/>
          <w:szCs w:val="18"/>
        </w:rPr>
        <w:t>egulator</w:t>
      </w:r>
      <w:r w:rsidR="001E55A8">
        <w:rPr>
          <w:sz w:val="18"/>
          <w:szCs w:val="18"/>
        </w:rPr>
        <w:t xml:space="preserve"> </w:t>
      </w:r>
    </w:p>
    <w:p w14:paraId="6B596F71" w14:textId="5452C940" w:rsidR="001E55A8" w:rsidRDefault="001E55A8" w:rsidP="004566DC">
      <w:pPr>
        <w:spacing w:after="120"/>
      </w:pPr>
      <w:r>
        <w:t>This approach assumes</w:t>
      </w:r>
      <w:r w:rsidR="00613D90">
        <w:t xml:space="preserve"> that</w:t>
      </w:r>
      <w:r>
        <w:t>:</w:t>
      </w:r>
    </w:p>
    <w:p w14:paraId="611535E3" w14:textId="7945BF3B" w:rsidR="001E55A8" w:rsidRDefault="00613D90" w:rsidP="004566DC">
      <w:pPr>
        <w:pStyle w:val="ListParagraph"/>
        <w:numPr>
          <w:ilvl w:val="0"/>
          <w:numId w:val="75"/>
        </w:numPr>
        <w:spacing w:after="120"/>
        <w:ind w:left="567"/>
        <w:contextualSpacing/>
      </w:pPr>
      <w:r>
        <w:t>T</w:t>
      </w:r>
      <w:r w:rsidR="001E55A8">
        <w:t>he estimated growth rate of genetic testing is accurate and constant over the projected period</w:t>
      </w:r>
      <w:r>
        <w:t>.</w:t>
      </w:r>
      <w:r w:rsidR="001E55A8">
        <w:t xml:space="preserve"> </w:t>
      </w:r>
    </w:p>
    <w:p w14:paraId="05C13EC7" w14:textId="28609F38" w:rsidR="001E55A8" w:rsidRDefault="00613D90" w:rsidP="004566DC">
      <w:pPr>
        <w:pStyle w:val="ListParagraph"/>
        <w:numPr>
          <w:ilvl w:val="0"/>
          <w:numId w:val="75"/>
        </w:numPr>
        <w:spacing w:after="120"/>
        <w:ind w:left="567"/>
        <w:contextualSpacing/>
      </w:pPr>
      <w:r>
        <w:t>T</w:t>
      </w:r>
      <w:r w:rsidR="001E55A8">
        <w:t>he distribution of the indications for testing is constant over the projected period</w:t>
      </w:r>
      <w:r>
        <w:t>.</w:t>
      </w:r>
    </w:p>
    <w:p w14:paraId="61920EB0" w14:textId="7370F83E" w:rsidR="001E55A8" w:rsidRDefault="00613D90" w:rsidP="004566DC">
      <w:pPr>
        <w:pStyle w:val="ListParagraph"/>
        <w:numPr>
          <w:ilvl w:val="0"/>
          <w:numId w:val="75"/>
        </w:numPr>
        <w:spacing w:after="120"/>
        <w:ind w:left="567"/>
        <w:contextualSpacing/>
      </w:pPr>
      <w:r>
        <w:t>T</w:t>
      </w:r>
      <w:r w:rsidR="001E55A8">
        <w:t xml:space="preserve">he growth rate observed in genetic testing broadly is applicable to the growth rate in </w:t>
      </w:r>
      <w:r w:rsidR="00FD37D3" w:rsidRPr="00FD37D3">
        <w:t>CFTR</w:t>
      </w:r>
      <w:r w:rsidR="001E55A8">
        <w:t xml:space="preserve"> mutation testing. Given that general growth in genetic testing may be driven by the identification of new targets, this assumption may overestimate growth in </w:t>
      </w:r>
      <w:r w:rsidR="00FD37D3" w:rsidRPr="00FD37D3">
        <w:t>CFTR</w:t>
      </w:r>
      <w:r w:rsidR="001E55A8">
        <w:t xml:space="preserve"> mutation testing in Australia. Sensitivity analyses are presented assuming lower rates of growth (10% and 5%</w:t>
      </w:r>
      <w:r>
        <w:t>)</w:t>
      </w:r>
      <w:r w:rsidR="001E55A8">
        <w:t>, as per conservative estimates provided by the RCPA.</w:t>
      </w:r>
    </w:p>
    <w:p w14:paraId="3B4A7132" w14:textId="3FDA3A35" w:rsidR="001E55A8" w:rsidRDefault="001E55A8" w:rsidP="001E55A8">
      <w:r>
        <w:lastRenderedPageBreak/>
        <w:t xml:space="preserve">These data represent the total number of </w:t>
      </w:r>
      <w:r w:rsidR="00FD37D3" w:rsidRPr="00FD37D3">
        <w:t>CFTR</w:t>
      </w:r>
      <w:r>
        <w:t xml:space="preserve"> mutation tests across all indications. However, proposed MBS funding does not include all indications (e.g. newborn or general population screening </w:t>
      </w:r>
      <w:r w:rsidR="00146A50">
        <w:t xml:space="preserve">are </w:t>
      </w:r>
      <w:r>
        <w:t xml:space="preserve">not eligible). As RCPA </w:t>
      </w:r>
      <w:r w:rsidR="00146A50">
        <w:t>s</w:t>
      </w:r>
      <w:r>
        <w:t xml:space="preserve">urvey data are not disaggregated by indication, an estimate of the proportion of tests conducted for ineligible indications in Australia </w:t>
      </w:r>
      <w:r w:rsidR="00146A50">
        <w:t xml:space="preserve">was </w:t>
      </w:r>
      <w:r>
        <w:t>sought from the literature and expert opinion.</w:t>
      </w:r>
    </w:p>
    <w:p w14:paraId="31E55D49" w14:textId="6F41FF47" w:rsidR="001E55A8" w:rsidRDefault="001E55A8" w:rsidP="001E55A8">
      <w:r w:rsidRPr="00A93EDF">
        <w:t xml:space="preserve">As all prenatal indications of </w:t>
      </w:r>
      <w:r w:rsidR="00FD37D3" w:rsidRPr="00A93EDF">
        <w:t>CFTR</w:t>
      </w:r>
      <w:r w:rsidRPr="00A93EDF">
        <w:t xml:space="preserve"> mutation testing are proposed to be eligible for funding, all projected prenatal tests observed in the RCP</w:t>
      </w:r>
      <w:r w:rsidR="0053173C" w:rsidRPr="004566DC">
        <w:t>A</w:t>
      </w:r>
      <w:r w:rsidRPr="00A93EDF">
        <w:t xml:space="preserve"> </w:t>
      </w:r>
      <w:r w:rsidR="00146A50" w:rsidRPr="00A93EDF">
        <w:t>s</w:t>
      </w:r>
      <w:r w:rsidRPr="00A93EDF">
        <w:t>urvey data are assumed to be eligible for MBS funding.</w:t>
      </w:r>
    </w:p>
    <w:p w14:paraId="4738965B" w14:textId="02BA681D" w:rsidR="001E55A8" w:rsidRDefault="001E55A8" w:rsidP="001E55A8">
      <w:r>
        <w:t xml:space="preserve">Indications ineligible for MBS funding under the screening include </w:t>
      </w:r>
      <w:r w:rsidR="00146A50">
        <w:t>NBS</w:t>
      </w:r>
      <w:r>
        <w:t xml:space="preserve"> and general population screening (i.e. no family history of </w:t>
      </w:r>
      <w:r w:rsidR="00146A50">
        <w:t>CF</w:t>
      </w:r>
      <w:r>
        <w:t xml:space="preserve">). In </w:t>
      </w:r>
      <w:r w:rsidR="00146A50">
        <w:t>NBS</w:t>
      </w:r>
      <w:r>
        <w:t xml:space="preserve"> genetic testing occurs in newborns with an elevated IRT. The proportion of newborns requiring genetic testing is based on that observed in a Victorian study </w:t>
      </w:r>
      <w:r w:rsidR="00F57AF2">
        <w:fldChar w:fldCharType="begin"/>
      </w:r>
      <w:r w:rsidR="009A054F">
        <w:instrText xml:space="preserve"> ADDIN EN.CITE &lt;EndNote&gt;&lt;Cite&gt;&lt;Author&gt;Massie&lt;/Author&gt;&lt;Year&gt;2012&lt;/Year&gt;&lt;RecNum&gt;37&lt;/RecNum&gt;&lt;IDText&gt;67-70&lt;/IDText&gt;&lt;DisplayText&gt;(Massie, JH et al. 2012)&lt;/DisplayText&gt;&lt;record&gt;&lt;rec-number&gt;37&lt;/rec-number&gt;&lt;foreign-keys&gt;&lt;key app="EN" db-id="parffa0acae2voep5w3vv9rypas2tr522eef" timestamp="1430365847"&gt;37&lt;/key&gt;&lt;/foreign-keys&gt;&lt;ref-type name="Journal Article"&gt;17&lt;/ref-type&gt;&lt;contributors&gt;&lt;authors&gt;&lt;author&gt;Massie, John H&lt;/author&gt;&lt;author&gt;Curnow, Lisette&lt;/author&gt;&lt;author&gt;Glazner, Judith&lt;/author&gt;&lt;author&gt;Armstrong, David S&lt;/author&gt;&lt;author&gt;Francis, Ivan&lt;/author&gt;&lt;/authors&gt;&lt;/contributors&gt;&lt;titles&gt;&lt;title&gt;Lessons learned from 20 years of newborn screening for cystic fibrosis&lt;/title&gt;&lt;secondary-title&gt;The Medical Journal of Australia&lt;/secondary-title&gt;&lt;alt-title&gt;MJA&lt;/alt-title&gt;&lt;/titles&gt;&lt;periodical&gt;&lt;full-title&gt;The Medical Journal of Australia&lt;/full-title&gt;&lt;abbr-1&gt;MJA&lt;/abbr-1&gt;&lt;/periodical&gt;&lt;alt-periodical&gt;&lt;full-title&gt;The Medical Journal of Australia&lt;/full-title&gt;&lt;abbr-1&gt;MJA&lt;/abbr-1&gt;&lt;/alt-periodical&gt;&lt;pages&gt;67-70&lt;/pages&gt;&lt;volume&gt;196&lt;/volume&gt;&lt;number&gt;1&lt;/number&gt;&lt;section&gt;67&lt;/section&gt;&lt;dates&gt;&lt;year&gt;2012&lt;/year&gt;&lt;/dates&gt;&lt;urls&gt;&lt;related-urls&gt;&lt;url&gt;https://www.mja.com.au/journal/2012/196/1/lessons-learned-20-years-newborn-screening-cystic-fibrosis&lt;/url&gt;&lt;/related-urls&gt;&lt;/urls&gt;&lt;electronic-resource-num&gt;10.5694/mja11.10686&lt;/electronic-resource-num&gt;&lt;/record&gt;&lt;/Cite&gt;&lt;/EndNote&gt;</w:instrText>
      </w:r>
      <w:r w:rsidR="00F57AF2">
        <w:fldChar w:fldCharType="separate"/>
      </w:r>
      <w:r w:rsidR="00F57AF2">
        <w:rPr>
          <w:noProof/>
        </w:rPr>
        <w:t>(</w:t>
      </w:r>
      <w:hyperlink w:anchor="_ENREF_75" w:tooltip="Massie, 2012 #37" w:history="1">
        <w:r w:rsidR="00B46ABF">
          <w:rPr>
            <w:noProof/>
          </w:rPr>
          <w:t>Massie, JH et al. 2012</w:t>
        </w:r>
      </w:hyperlink>
      <w:r w:rsidR="00F57AF2">
        <w:rPr>
          <w:noProof/>
        </w:rPr>
        <w:t>)</w:t>
      </w:r>
      <w:r w:rsidR="00F57AF2">
        <w:fldChar w:fldCharType="end"/>
      </w:r>
      <w:r>
        <w:t xml:space="preserve">, which reported </w:t>
      </w:r>
      <w:r w:rsidR="00CD1EDC">
        <w:t xml:space="preserve">2,019 </w:t>
      </w:r>
      <w:r w:rsidR="00146A50">
        <w:t xml:space="preserve">cases of </w:t>
      </w:r>
      <w:r>
        <w:t>elevated IRT in 139,695 newborns screened (</w:t>
      </w:r>
      <w:r w:rsidR="00146A50">
        <w:t xml:space="preserve">i.e. </w:t>
      </w:r>
      <w:r>
        <w:t xml:space="preserve">1.45%). Marginally lower figures were observed in older South Australian data </w:t>
      </w:r>
      <w:r w:rsidR="00146A50">
        <w:fldChar w:fldCharType="begin"/>
      </w:r>
      <w:r w:rsidR="00146A50">
        <w:instrText xml:space="preserve"> ADDIN EN.CITE &lt;EndNote&gt;&lt;Cite&gt;&lt;Author&gt;Ranieri&lt;/Author&gt;&lt;Year&gt;1994&lt;/Year&gt;&lt;RecNum&gt;49&lt;/RecNum&gt;&lt;IDText&gt;1469-1472&lt;/IDText&gt;&lt;DisplayText&gt;(Ranieri et al. 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rsidR="00146A50">
        <w:fldChar w:fldCharType="separate"/>
      </w:r>
      <w:r w:rsidR="00146A50">
        <w:rPr>
          <w:noProof/>
        </w:rPr>
        <w:t>(</w:t>
      </w:r>
      <w:hyperlink w:anchor="_ENREF_97" w:tooltip="Ranieri, 1994 #49" w:history="1">
        <w:r w:rsidR="00146A50">
          <w:rPr>
            <w:noProof/>
          </w:rPr>
          <w:t>Ranieri et al. 1994</w:t>
        </w:r>
      </w:hyperlink>
      <w:r w:rsidR="00146A50">
        <w:rPr>
          <w:noProof/>
        </w:rPr>
        <w:t>)</w:t>
      </w:r>
      <w:r w:rsidR="00146A50">
        <w:fldChar w:fldCharType="end"/>
      </w:r>
      <w:r w:rsidR="00146A50">
        <w:t xml:space="preserve">, </w:t>
      </w:r>
      <w:r>
        <w:t xml:space="preserve">where 1,004 mutation tests were performed from 88,752 newborns screened </w:t>
      </w:r>
      <w:r w:rsidR="00146A50">
        <w:t>(</w:t>
      </w:r>
      <w:r>
        <w:t>i.e. 1.13%)</w:t>
      </w:r>
      <w:r w:rsidR="00146A50">
        <w:t>;</w:t>
      </w:r>
      <w:r w:rsidR="006E5876">
        <w:t xml:space="preserve"> </w:t>
      </w:r>
      <w:r>
        <w:t xml:space="preserve">and </w:t>
      </w:r>
      <w:r w:rsidR="00146A50">
        <w:t xml:space="preserve">were </w:t>
      </w:r>
      <w:r>
        <w:t>estimated during HESP</w:t>
      </w:r>
      <w:r w:rsidR="00146A50">
        <w:t>-</w:t>
      </w:r>
      <w:r>
        <w:t>member feedback (1%)</w:t>
      </w:r>
      <w:r>
        <w:rPr>
          <w:rStyle w:val="FootnoteReference"/>
        </w:rPr>
        <w:footnoteReference w:id="23"/>
      </w:r>
      <w:r>
        <w:t xml:space="preserve">, and so a lower value </w:t>
      </w:r>
      <w:r w:rsidR="003F7816">
        <w:t>is</w:t>
      </w:r>
      <w:r>
        <w:t xml:space="preserve"> tested in </w:t>
      </w:r>
      <w:r w:rsidR="0053173C">
        <w:t>the</w:t>
      </w:r>
      <w:r>
        <w:t xml:space="preserve"> sensitivity analysis.</w:t>
      </w:r>
    </w:p>
    <w:p w14:paraId="60ECFCEB" w14:textId="50D5F92D" w:rsidR="001E55A8" w:rsidRDefault="001E55A8" w:rsidP="001E55A8">
      <w:r>
        <w:t xml:space="preserve">This proportion of newborns requiring genetic testing is then applied to the total number of births in Australia for 2011 (the year of the </w:t>
      </w:r>
      <w:r w:rsidR="003F7816">
        <w:t>s</w:t>
      </w:r>
      <w:r>
        <w:t xml:space="preserve">urvey) </w:t>
      </w:r>
      <w:r w:rsidR="00F57AF2">
        <w:fldChar w:fldCharType="begin"/>
      </w:r>
      <w:r w:rsidR="009A054F">
        <w:instrText xml:space="preserve"> ADDIN EN.CITE &lt;EndNote&gt;&lt;Cite&gt;&lt;Author&gt;Australian Bureau of Statistics&lt;/Author&gt;&lt;Year&gt;2014&lt;/Year&gt;&lt;RecNum&gt;73&lt;/RecNum&gt;&lt;DisplayText&gt;(Australian Bureau of Statistics 2014)&lt;/DisplayText&gt;&lt;record&gt;&lt;rec-number&gt;73&lt;/rec-number&gt;&lt;foreign-keys&gt;&lt;key app="EN" db-id="parffa0acae2voep5w3vv9rypas2tr522eef" timestamp="1430365869"&gt;73&lt;/key&gt;&lt;/foreign-keys&gt;&lt;ref-type name="Web Page"&gt;12&lt;/ref-type&gt;&lt;contributors&gt;&lt;authors&gt;&lt;author&gt;Australian Bureau of Statistics,&lt;/author&gt;&lt;/authors&gt;&lt;/contributors&gt;&lt;titles&gt;&lt;title&gt;3301.0 - Births, Australia, 2013&lt;/title&gt;&lt;/titles&gt;&lt;volume&gt;2015&lt;/volume&gt;&lt;number&gt;Mar&lt;/number&gt;&lt;dates&gt;&lt;year&gt;2014&lt;/year&gt;&lt;pub-dates&gt;&lt;date&gt;Nov 2014&lt;/date&gt;&lt;/pub-dates&gt;&lt;/dates&gt;&lt;pub-location&gt;Canberra&lt;/pub-location&gt;&lt;publisher&gt;Commonwealth of Australia&lt;/publisher&gt;&lt;urls&gt;&lt;related-urls&gt;&lt;url&gt;http://www.abs.gov.au/AUSSTATS/abs@.nsf/DetailsPage/3301.02013?OpenDocument&lt;/url&gt;&lt;/related-urls&gt;&lt;/urls&gt;&lt;/record&gt;&lt;/Cite&gt;&lt;/EndNote&gt;</w:instrText>
      </w:r>
      <w:r w:rsidR="00F57AF2">
        <w:fldChar w:fldCharType="separate"/>
      </w:r>
      <w:r w:rsidR="00F57AF2">
        <w:rPr>
          <w:noProof/>
        </w:rPr>
        <w:t>(</w:t>
      </w:r>
      <w:hyperlink w:anchor="_ENREF_9" w:tooltip="Australian Bureau of Statistics, 2014 #73" w:history="1">
        <w:r w:rsidR="00B46ABF">
          <w:rPr>
            <w:noProof/>
          </w:rPr>
          <w:t>Australian Bureau of Statistics 2014</w:t>
        </w:r>
      </w:hyperlink>
      <w:r w:rsidR="00F57AF2">
        <w:rPr>
          <w:noProof/>
        </w:rPr>
        <w:t>)</w:t>
      </w:r>
      <w:r w:rsidR="00F57AF2">
        <w:fldChar w:fldCharType="end"/>
      </w:r>
      <w:r>
        <w:t xml:space="preserve"> to estimate the number of tests in 2011, and </w:t>
      </w:r>
      <w:r w:rsidR="003F7816">
        <w:t xml:space="preserve">therefore </w:t>
      </w:r>
      <w:r>
        <w:t xml:space="preserve">the proportion of tests </w:t>
      </w:r>
      <w:r w:rsidR="003F7816">
        <w:t xml:space="preserve">that </w:t>
      </w:r>
      <w:r>
        <w:t xml:space="preserve">would have been ineligible for proposed MBS funding. The proportion of tests that are then due to </w:t>
      </w:r>
      <w:r w:rsidR="003F7816">
        <w:t>NBS</w:t>
      </w:r>
      <w:r>
        <w:t xml:space="preserve"> is estimated in </w:t>
      </w:r>
      <w:r>
        <w:fldChar w:fldCharType="begin"/>
      </w:r>
      <w:r>
        <w:instrText xml:space="preserve"> REF _Ref414541476 \h </w:instrText>
      </w:r>
      <w:r>
        <w:fldChar w:fldCharType="separate"/>
      </w:r>
      <w:r w:rsidR="00BB0E3E">
        <w:t xml:space="preserve">Table </w:t>
      </w:r>
      <w:r w:rsidR="00BB0E3E">
        <w:rPr>
          <w:noProof/>
        </w:rPr>
        <w:t>70</w:t>
      </w:r>
      <w:r>
        <w:fldChar w:fldCharType="end"/>
      </w:r>
      <w:r>
        <w:t>.</w:t>
      </w:r>
    </w:p>
    <w:p w14:paraId="7EAFB7BB" w14:textId="77777777" w:rsidR="001E55A8" w:rsidRPr="008B2BB4" w:rsidRDefault="001E55A8" w:rsidP="001E55A8">
      <w:pPr>
        <w:pStyle w:val="Caption"/>
      </w:pPr>
      <w:bookmarkStart w:id="410" w:name="_Ref414541476"/>
      <w:bookmarkStart w:id="411" w:name="_Toc416855363"/>
      <w:bookmarkStart w:id="412" w:name="_Toc418179467"/>
      <w:r>
        <w:t xml:space="preserve">Table </w:t>
      </w:r>
      <w:fldSimple w:instr=" SEQ Table \* ARABIC ">
        <w:r w:rsidR="00BB0E3E">
          <w:rPr>
            <w:noProof/>
          </w:rPr>
          <w:t>70</w:t>
        </w:r>
      </w:fldSimple>
      <w:bookmarkEnd w:id="410"/>
      <w:r>
        <w:tab/>
        <w:t>Estimated proportion of screening tests, newborn screening</w:t>
      </w:r>
      <w:bookmarkEnd w:id="411"/>
      <w:bookmarkEnd w:id="412"/>
    </w:p>
    <w:tbl>
      <w:tblPr>
        <w:tblStyle w:val="TableGrid"/>
        <w:tblW w:w="0" w:type="auto"/>
        <w:tblInd w:w="108" w:type="dxa"/>
        <w:tblLook w:val="04A0" w:firstRow="1" w:lastRow="0" w:firstColumn="1" w:lastColumn="0" w:noHBand="0" w:noVBand="1"/>
        <w:tblCaption w:val="Estimated proportion of screening tests, newborn screening"/>
        <w:tblDescription w:val="Estimated proportion of screening tests, newborn screening"/>
      </w:tblPr>
      <w:tblGrid>
        <w:gridCol w:w="426"/>
        <w:gridCol w:w="4394"/>
        <w:gridCol w:w="2157"/>
        <w:gridCol w:w="2157"/>
      </w:tblGrid>
      <w:tr w:rsidR="001E55A8" w:rsidRPr="00735773" w14:paraId="4B80ACE0" w14:textId="77777777" w:rsidTr="007C1FC6">
        <w:trPr>
          <w:tblHeader/>
        </w:trPr>
        <w:tc>
          <w:tcPr>
            <w:tcW w:w="426" w:type="dxa"/>
          </w:tcPr>
          <w:p w14:paraId="36288482" w14:textId="77777777" w:rsidR="001E55A8" w:rsidRPr="00735773" w:rsidRDefault="001E55A8" w:rsidP="005B7F97">
            <w:pPr>
              <w:pStyle w:val="Caption"/>
              <w:spacing w:before="40"/>
              <w:ind w:left="0"/>
              <w:jc w:val="center"/>
              <w:rPr>
                <w:szCs w:val="20"/>
              </w:rPr>
            </w:pPr>
          </w:p>
        </w:tc>
        <w:tc>
          <w:tcPr>
            <w:tcW w:w="4394" w:type="dxa"/>
          </w:tcPr>
          <w:p w14:paraId="4B704791" w14:textId="77777777" w:rsidR="001E55A8" w:rsidRPr="00735773" w:rsidRDefault="001E55A8" w:rsidP="005B7F97">
            <w:pPr>
              <w:pStyle w:val="Caption"/>
              <w:spacing w:before="40"/>
              <w:ind w:left="0"/>
              <w:jc w:val="left"/>
              <w:rPr>
                <w:szCs w:val="20"/>
              </w:rPr>
            </w:pPr>
            <w:r>
              <w:rPr>
                <w:szCs w:val="20"/>
              </w:rPr>
              <w:t>Parameter</w:t>
            </w:r>
          </w:p>
        </w:tc>
        <w:tc>
          <w:tcPr>
            <w:tcW w:w="2157" w:type="dxa"/>
          </w:tcPr>
          <w:p w14:paraId="2D766570" w14:textId="77777777" w:rsidR="001E55A8" w:rsidRPr="00735773" w:rsidRDefault="001E55A8" w:rsidP="005B7F97">
            <w:pPr>
              <w:pStyle w:val="Caption"/>
              <w:spacing w:before="40"/>
              <w:ind w:left="0"/>
              <w:jc w:val="center"/>
              <w:rPr>
                <w:szCs w:val="20"/>
              </w:rPr>
            </w:pPr>
            <w:r>
              <w:rPr>
                <w:szCs w:val="20"/>
              </w:rPr>
              <w:t>Value</w:t>
            </w:r>
          </w:p>
        </w:tc>
        <w:tc>
          <w:tcPr>
            <w:tcW w:w="2157" w:type="dxa"/>
          </w:tcPr>
          <w:p w14:paraId="321E3269" w14:textId="77777777" w:rsidR="001E55A8" w:rsidRPr="00735773" w:rsidRDefault="001E55A8" w:rsidP="005B7F97">
            <w:pPr>
              <w:pStyle w:val="Caption"/>
              <w:spacing w:before="40"/>
              <w:ind w:left="0"/>
              <w:jc w:val="center"/>
              <w:rPr>
                <w:szCs w:val="20"/>
              </w:rPr>
            </w:pPr>
            <w:r>
              <w:rPr>
                <w:szCs w:val="20"/>
              </w:rPr>
              <w:t>Source</w:t>
            </w:r>
          </w:p>
        </w:tc>
      </w:tr>
      <w:tr w:rsidR="001E55A8" w:rsidRPr="00735773" w14:paraId="2BF8FC08" w14:textId="77777777" w:rsidTr="005B7F97">
        <w:tc>
          <w:tcPr>
            <w:tcW w:w="426" w:type="dxa"/>
          </w:tcPr>
          <w:p w14:paraId="2274F933" w14:textId="77777777" w:rsidR="001E55A8" w:rsidRDefault="001E55A8" w:rsidP="005B7F97">
            <w:pPr>
              <w:pStyle w:val="Tabletext1"/>
              <w:ind w:left="0"/>
            </w:pPr>
            <w:r>
              <w:t>A</w:t>
            </w:r>
          </w:p>
        </w:tc>
        <w:tc>
          <w:tcPr>
            <w:tcW w:w="4394" w:type="dxa"/>
          </w:tcPr>
          <w:p w14:paraId="7C88DB9C" w14:textId="77777777" w:rsidR="001E55A8" w:rsidRPr="00735773" w:rsidRDefault="001E55A8" w:rsidP="005B7F97">
            <w:pPr>
              <w:pStyle w:val="Tabletext1"/>
              <w:ind w:left="0"/>
            </w:pPr>
            <w:r>
              <w:t>Number of screening tests, 2011</w:t>
            </w:r>
          </w:p>
        </w:tc>
        <w:tc>
          <w:tcPr>
            <w:tcW w:w="2157" w:type="dxa"/>
          </w:tcPr>
          <w:p w14:paraId="295DF7D1" w14:textId="77777777" w:rsidR="001E55A8" w:rsidRPr="00735773" w:rsidRDefault="001E55A8" w:rsidP="004566DC">
            <w:pPr>
              <w:pStyle w:val="Tabletext1"/>
              <w:tabs>
                <w:tab w:val="decimal" w:pos="601"/>
              </w:tabs>
              <w:ind w:left="0"/>
              <w:jc w:val="center"/>
            </w:pPr>
            <w:r w:rsidRPr="00735773">
              <w:t>10,194</w:t>
            </w:r>
          </w:p>
        </w:tc>
        <w:tc>
          <w:tcPr>
            <w:tcW w:w="2157" w:type="dxa"/>
          </w:tcPr>
          <w:p w14:paraId="14F8E86B" w14:textId="77777777" w:rsidR="001E55A8" w:rsidRPr="00735773" w:rsidRDefault="001E55A8" w:rsidP="005B7F97">
            <w:pPr>
              <w:pStyle w:val="Tabletext1"/>
              <w:ind w:left="0"/>
              <w:jc w:val="center"/>
            </w:pPr>
            <w:r>
              <w:fldChar w:fldCharType="begin"/>
            </w:r>
            <w:r>
              <w:instrText xml:space="preserve"> REF _Ref413931638 \h  \* MERGEFORMAT </w:instrText>
            </w:r>
            <w:r>
              <w:fldChar w:fldCharType="separate"/>
            </w:r>
            <w:r w:rsidR="00BB0E3E">
              <w:t>Table 68</w:t>
            </w:r>
            <w:r>
              <w:fldChar w:fldCharType="end"/>
            </w:r>
          </w:p>
        </w:tc>
      </w:tr>
      <w:tr w:rsidR="001E55A8" w:rsidRPr="00735773" w14:paraId="1B3D54C9" w14:textId="77777777" w:rsidTr="005B7F97">
        <w:tc>
          <w:tcPr>
            <w:tcW w:w="426" w:type="dxa"/>
          </w:tcPr>
          <w:p w14:paraId="09E98A5D" w14:textId="77777777" w:rsidR="001E55A8" w:rsidRDefault="001E55A8" w:rsidP="005B7F97">
            <w:pPr>
              <w:pStyle w:val="Tabletext1"/>
              <w:ind w:left="0"/>
            </w:pPr>
            <w:r>
              <w:t>B</w:t>
            </w:r>
          </w:p>
        </w:tc>
        <w:tc>
          <w:tcPr>
            <w:tcW w:w="4394" w:type="dxa"/>
          </w:tcPr>
          <w:p w14:paraId="5F6DC1E3" w14:textId="77777777" w:rsidR="001E55A8" w:rsidRPr="00735773" w:rsidRDefault="001E55A8" w:rsidP="005B7F97">
            <w:pPr>
              <w:pStyle w:val="Tabletext1"/>
              <w:ind w:left="0"/>
            </w:pPr>
            <w:r>
              <w:t>Number of births in Australia, 2011</w:t>
            </w:r>
          </w:p>
        </w:tc>
        <w:tc>
          <w:tcPr>
            <w:tcW w:w="2157" w:type="dxa"/>
          </w:tcPr>
          <w:p w14:paraId="10B412D6" w14:textId="77777777" w:rsidR="001E55A8" w:rsidRPr="00735773" w:rsidRDefault="001E55A8" w:rsidP="004566DC">
            <w:pPr>
              <w:pStyle w:val="Tabletext1"/>
              <w:tabs>
                <w:tab w:val="decimal" w:pos="601"/>
              </w:tabs>
              <w:ind w:left="0"/>
              <w:jc w:val="center"/>
            </w:pPr>
            <w:r>
              <w:t>297,073</w:t>
            </w:r>
          </w:p>
        </w:tc>
        <w:tc>
          <w:tcPr>
            <w:tcW w:w="2157" w:type="dxa"/>
          </w:tcPr>
          <w:p w14:paraId="67434866" w14:textId="77777777" w:rsidR="001E55A8" w:rsidRPr="00735773" w:rsidRDefault="00CD1EDC" w:rsidP="005B7F97">
            <w:pPr>
              <w:pStyle w:val="Tabletext1"/>
              <w:ind w:left="0"/>
              <w:jc w:val="center"/>
            </w:pPr>
            <w:r>
              <w:t>ABS (2014)</w:t>
            </w:r>
          </w:p>
        </w:tc>
      </w:tr>
      <w:tr w:rsidR="001E55A8" w:rsidRPr="00735773" w14:paraId="797AF6BB" w14:textId="77777777" w:rsidTr="005B7F97">
        <w:tc>
          <w:tcPr>
            <w:tcW w:w="426" w:type="dxa"/>
          </w:tcPr>
          <w:p w14:paraId="1AEA73CB" w14:textId="77777777" w:rsidR="001E55A8" w:rsidRDefault="001E55A8" w:rsidP="005B7F97">
            <w:pPr>
              <w:pStyle w:val="Tabletext1"/>
              <w:ind w:left="0"/>
            </w:pPr>
            <w:r>
              <w:t>C</w:t>
            </w:r>
          </w:p>
        </w:tc>
        <w:tc>
          <w:tcPr>
            <w:tcW w:w="4394" w:type="dxa"/>
          </w:tcPr>
          <w:p w14:paraId="2F69053E" w14:textId="186E9FB2" w:rsidR="001E55A8" w:rsidRPr="00735773" w:rsidRDefault="001E55A8" w:rsidP="005B7F97">
            <w:pPr>
              <w:pStyle w:val="Tabletext1"/>
              <w:ind w:left="0"/>
            </w:pPr>
            <w:r>
              <w:t xml:space="preserve">Proportion of births requiring genetic </w:t>
            </w:r>
            <w:r w:rsidR="00FD37D3" w:rsidRPr="00FD37D3">
              <w:t>CFTR</w:t>
            </w:r>
            <w:r>
              <w:t xml:space="preserve"> testing</w:t>
            </w:r>
          </w:p>
        </w:tc>
        <w:tc>
          <w:tcPr>
            <w:tcW w:w="2157" w:type="dxa"/>
          </w:tcPr>
          <w:p w14:paraId="6AFAF4D6" w14:textId="77777777" w:rsidR="001E55A8" w:rsidRPr="00735773" w:rsidRDefault="001E55A8" w:rsidP="005B7F97">
            <w:pPr>
              <w:pStyle w:val="Tabletext1"/>
              <w:ind w:left="0"/>
              <w:jc w:val="center"/>
            </w:pPr>
            <w:r>
              <w:t>1.45%</w:t>
            </w:r>
          </w:p>
        </w:tc>
        <w:tc>
          <w:tcPr>
            <w:tcW w:w="2157" w:type="dxa"/>
          </w:tcPr>
          <w:p w14:paraId="388FA35D" w14:textId="05C2891B" w:rsidR="001E55A8" w:rsidRPr="00735773" w:rsidRDefault="001E55A8" w:rsidP="00B46ABF">
            <w:pPr>
              <w:pStyle w:val="Tabletext1"/>
              <w:ind w:left="0"/>
              <w:jc w:val="center"/>
            </w:pPr>
            <w:r>
              <w:t>Massie et al</w:t>
            </w:r>
            <w:r w:rsidR="009D448D">
              <w:t>.</w:t>
            </w:r>
            <w:r>
              <w:t xml:space="preserve"> </w:t>
            </w:r>
            <w:r w:rsidR="00F57AF2">
              <w:fldChar w:fldCharType="begin"/>
            </w:r>
            <w:r w:rsidR="009A054F">
              <w:instrText xml:space="preserve"> ADDIN EN.CITE &lt;EndNote&gt;&lt;Cite ExcludeAuth="1"&gt;&lt;Author&gt;Massie&lt;/Author&gt;&lt;Year&gt;2012&lt;/Year&gt;&lt;RecNum&gt;37&lt;/RecNum&gt;&lt;IDText&gt;67-70&lt;/IDText&gt;&lt;DisplayText&gt;(2012)&lt;/DisplayText&gt;&lt;record&gt;&lt;rec-number&gt;37&lt;/rec-number&gt;&lt;foreign-keys&gt;&lt;key app="EN" db-id="parffa0acae2voep5w3vv9rypas2tr522eef" timestamp="1430365847"&gt;37&lt;/key&gt;&lt;/foreign-keys&gt;&lt;ref-type name="Journal Article"&gt;17&lt;/ref-type&gt;&lt;contributors&gt;&lt;authors&gt;&lt;author&gt;Massie, John H&lt;/author&gt;&lt;author&gt;Curnow, Lisette&lt;/author&gt;&lt;author&gt;Glazner, Judith&lt;/author&gt;&lt;author&gt;Armstrong, David S&lt;/author&gt;&lt;author&gt;Francis, Ivan&lt;/author&gt;&lt;/authors&gt;&lt;/contributors&gt;&lt;titles&gt;&lt;title&gt;Lessons learned from 20 years of newborn screening for cystic fibrosis&lt;/title&gt;&lt;secondary-title&gt;The Medical Journal of Australia&lt;/secondary-title&gt;&lt;alt-title&gt;MJA&lt;/alt-title&gt;&lt;/titles&gt;&lt;periodical&gt;&lt;full-title&gt;The Medical Journal of Australia&lt;/full-title&gt;&lt;abbr-1&gt;MJA&lt;/abbr-1&gt;&lt;/periodical&gt;&lt;alt-periodical&gt;&lt;full-title&gt;The Medical Journal of Australia&lt;/full-title&gt;&lt;abbr-1&gt;MJA&lt;/abbr-1&gt;&lt;/alt-periodical&gt;&lt;pages&gt;67-70&lt;/pages&gt;&lt;volume&gt;196&lt;/volume&gt;&lt;number&gt;1&lt;/number&gt;&lt;section&gt;67&lt;/section&gt;&lt;dates&gt;&lt;year&gt;2012&lt;/year&gt;&lt;/dates&gt;&lt;urls&gt;&lt;related-urls&gt;&lt;url&gt;https://www.mja.com.au/journal/2012/196/1/lessons-learned-20-years-newborn-screening-cystic-fibrosis&lt;/url&gt;&lt;/related-urls&gt;&lt;/urls&gt;&lt;electronic-resource-num&gt;10.5694/mja11.10686&lt;/electronic-resource-num&gt;&lt;/record&gt;&lt;/Cite&gt;&lt;/EndNote&gt;</w:instrText>
            </w:r>
            <w:r w:rsidR="00F57AF2">
              <w:fldChar w:fldCharType="separate"/>
            </w:r>
            <w:r w:rsidR="00F57AF2">
              <w:rPr>
                <w:noProof/>
              </w:rPr>
              <w:t>(</w:t>
            </w:r>
            <w:hyperlink w:anchor="_ENREF_75" w:tooltip="Massie, 2012 #37" w:history="1">
              <w:r w:rsidR="00B46ABF">
                <w:rPr>
                  <w:noProof/>
                </w:rPr>
                <w:t>2012</w:t>
              </w:r>
            </w:hyperlink>
            <w:r w:rsidR="00F57AF2">
              <w:rPr>
                <w:noProof/>
              </w:rPr>
              <w:t>)</w:t>
            </w:r>
            <w:r w:rsidR="00F57AF2">
              <w:fldChar w:fldCharType="end"/>
            </w:r>
          </w:p>
        </w:tc>
      </w:tr>
      <w:tr w:rsidR="001E55A8" w:rsidRPr="00735773" w14:paraId="559593C6" w14:textId="77777777" w:rsidTr="005B7F97">
        <w:tc>
          <w:tcPr>
            <w:tcW w:w="426" w:type="dxa"/>
          </w:tcPr>
          <w:p w14:paraId="7D585CDD" w14:textId="77777777" w:rsidR="001E55A8" w:rsidRDefault="001E55A8" w:rsidP="005B7F97">
            <w:pPr>
              <w:pStyle w:val="Tabletext1"/>
              <w:ind w:left="0"/>
            </w:pPr>
            <w:r>
              <w:t>D</w:t>
            </w:r>
          </w:p>
        </w:tc>
        <w:tc>
          <w:tcPr>
            <w:tcW w:w="4394" w:type="dxa"/>
          </w:tcPr>
          <w:p w14:paraId="41EF9115" w14:textId="66F1235D" w:rsidR="001E55A8" w:rsidRPr="00735773" w:rsidRDefault="001E55A8" w:rsidP="005B7F97">
            <w:pPr>
              <w:pStyle w:val="Tabletext1"/>
              <w:ind w:left="0"/>
            </w:pPr>
            <w:r>
              <w:t xml:space="preserve">Number of births requiring genetic </w:t>
            </w:r>
            <w:r w:rsidR="00FD37D3" w:rsidRPr="00FD37D3">
              <w:t>CFTR</w:t>
            </w:r>
            <w:r>
              <w:t xml:space="preserve"> testing</w:t>
            </w:r>
          </w:p>
        </w:tc>
        <w:tc>
          <w:tcPr>
            <w:tcW w:w="2157" w:type="dxa"/>
          </w:tcPr>
          <w:p w14:paraId="1E9DA3C7" w14:textId="77777777" w:rsidR="001E55A8" w:rsidRPr="00735773" w:rsidRDefault="001E55A8" w:rsidP="004566DC">
            <w:pPr>
              <w:pStyle w:val="Tabletext1"/>
              <w:tabs>
                <w:tab w:val="decimal" w:pos="601"/>
              </w:tabs>
              <w:ind w:left="0"/>
              <w:jc w:val="center"/>
            </w:pPr>
            <w:r>
              <w:t>4,294</w:t>
            </w:r>
          </w:p>
        </w:tc>
        <w:tc>
          <w:tcPr>
            <w:tcW w:w="2157" w:type="dxa"/>
          </w:tcPr>
          <w:p w14:paraId="20A0D845" w14:textId="77777777" w:rsidR="001E55A8" w:rsidRPr="00735773" w:rsidRDefault="001E55A8" w:rsidP="005B7F97">
            <w:pPr>
              <w:pStyle w:val="Tabletext1"/>
              <w:ind w:left="0"/>
              <w:jc w:val="center"/>
            </w:pPr>
            <w:r>
              <w:t xml:space="preserve">B </w:t>
            </w:r>
            <w:r w:rsidRPr="003D5E01">
              <w:t>×</w:t>
            </w:r>
            <w:r>
              <w:t xml:space="preserve"> C</w:t>
            </w:r>
          </w:p>
        </w:tc>
      </w:tr>
      <w:tr w:rsidR="001E55A8" w:rsidRPr="00735773" w14:paraId="75FE002B" w14:textId="77777777" w:rsidTr="005B7F97">
        <w:tc>
          <w:tcPr>
            <w:tcW w:w="426" w:type="dxa"/>
          </w:tcPr>
          <w:p w14:paraId="6653026C" w14:textId="77777777" w:rsidR="001E55A8" w:rsidRDefault="001E55A8" w:rsidP="005B7F97">
            <w:pPr>
              <w:pStyle w:val="Tabletext1"/>
              <w:ind w:left="0"/>
            </w:pPr>
            <w:r>
              <w:t>E</w:t>
            </w:r>
          </w:p>
        </w:tc>
        <w:tc>
          <w:tcPr>
            <w:tcW w:w="4394" w:type="dxa"/>
          </w:tcPr>
          <w:p w14:paraId="1990CDDE" w14:textId="135DE7AE" w:rsidR="001E55A8" w:rsidRDefault="001E55A8" w:rsidP="004941C8">
            <w:pPr>
              <w:pStyle w:val="Tabletext1"/>
              <w:ind w:left="0"/>
            </w:pPr>
            <w:r>
              <w:t xml:space="preserve">Proportion of tests that are </w:t>
            </w:r>
            <w:r w:rsidR="0053173C">
              <w:t xml:space="preserve">due to </w:t>
            </w:r>
            <w:r w:rsidR="003F7816">
              <w:t>NBS</w:t>
            </w:r>
          </w:p>
        </w:tc>
        <w:tc>
          <w:tcPr>
            <w:tcW w:w="2157" w:type="dxa"/>
          </w:tcPr>
          <w:p w14:paraId="63366EF3" w14:textId="77777777" w:rsidR="001E55A8" w:rsidRDefault="001E55A8" w:rsidP="005B7F97">
            <w:pPr>
              <w:pStyle w:val="Tabletext1"/>
              <w:ind w:left="0"/>
              <w:jc w:val="center"/>
            </w:pPr>
            <w:r>
              <w:t>42.1%</w:t>
            </w:r>
          </w:p>
        </w:tc>
        <w:tc>
          <w:tcPr>
            <w:tcW w:w="2157" w:type="dxa"/>
          </w:tcPr>
          <w:p w14:paraId="3A4B4E0C" w14:textId="77777777" w:rsidR="001E55A8" w:rsidRDefault="001E55A8" w:rsidP="005B7F97">
            <w:pPr>
              <w:pStyle w:val="Tabletext1"/>
              <w:ind w:left="0"/>
              <w:jc w:val="center"/>
            </w:pPr>
            <w:r>
              <w:t>D/A</w:t>
            </w:r>
          </w:p>
        </w:tc>
      </w:tr>
    </w:tbl>
    <w:p w14:paraId="2C595B59" w14:textId="3E35B5A9" w:rsidR="001E55A8" w:rsidRPr="00774E93" w:rsidRDefault="00301C7C" w:rsidP="001E55A8">
      <w:pPr>
        <w:pStyle w:val="TableNotes"/>
        <w:ind w:left="0"/>
        <w:rPr>
          <w:sz w:val="18"/>
          <w:szCs w:val="18"/>
        </w:rPr>
      </w:pPr>
      <w:r>
        <w:rPr>
          <w:sz w:val="18"/>
          <w:szCs w:val="18"/>
        </w:rPr>
        <w:t xml:space="preserve">ABS = Australian Bureau of Statistics; </w:t>
      </w:r>
      <w:r w:rsidR="00FD37D3" w:rsidRPr="00774E93">
        <w:rPr>
          <w:sz w:val="18"/>
          <w:szCs w:val="18"/>
        </w:rPr>
        <w:t>CFTR</w:t>
      </w:r>
      <w:r w:rsidR="001E55A8" w:rsidRPr="00774E93">
        <w:rPr>
          <w:sz w:val="18"/>
          <w:szCs w:val="18"/>
        </w:rPr>
        <w:t xml:space="preserve"> = </w:t>
      </w:r>
      <w:r w:rsidR="009D448D" w:rsidRPr="00774E93">
        <w:rPr>
          <w:sz w:val="18"/>
          <w:szCs w:val="18"/>
        </w:rPr>
        <w:t>c</w:t>
      </w:r>
      <w:r w:rsidR="00F9373B" w:rsidRPr="00774E93">
        <w:rPr>
          <w:sz w:val="18"/>
          <w:szCs w:val="18"/>
        </w:rPr>
        <w:t xml:space="preserve">ystic </w:t>
      </w:r>
      <w:r w:rsidR="009D448D" w:rsidRPr="00774E93">
        <w:rPr>
          <w:sz w:val="18"/>
          <w:szCs w:val="18"/>
        </w:rPr>
        <w:t>f</w:t>
      </w:r>
      <w:r w:rsidR="00F9373B" w:rsidRPr="00774E93">
        <w:rPr>
          <w:sz w:val="18"/>
          <w:szCs w:val="18"/>
        </w:rPr>
        <w:t xml:space="preserve">ibrosis </w:t>
      </w:r>
      <w:r w:rsidR="009D448D" w:rsidRPr="00774E93">
        <w:rPr>
          <w:sz w:val="18"/>
          <w:szCs w:val="18"/>
        </w:rPr>
        <w:t>t</w:t>
      </w:r>
      <w:r w:rsidR="00F9373B" w:rsidRPr="00774E93">
        <w:rPr>
          <w:sz w:val="18"/>
          <w:szCs w:val="18"/>
        </w:rPr>
        <w:t xml:space="preserve">ransmembrane conductance </w:t>
      </w:r>
      <w:r w:rsidR="009D448D" w:rsidRPr="00774E93">
        <w:rPr>
          <w:sz w:val="18"/>
          <w:szCs w:val="18"/>
        </w:rPr>
        <w:t>r</w:t>
      </w:r>
      <w:r w:rsidR="00F9373B" w:rsidRPr="00774E93">
        <w:rPr>
          <w:sz w:val="18"/>
          <w:szCs w:val="18"/>
        </w:rPr>
        <w:t>egulator</w:t>
      </w:r>
      <w:r w:rsidR="003F7816" w:rsidRPr="00774E93">
        <w:rPr>
          <w:sz w:val="18"/>
          <w:szCs w:val="18"/>
        </w:rPr>
        <w:t xml:space="preserve">; </w:t>
      </w:r>
      <w:r w:rsidR="003F7816" w:rsidRPr="004566DC">
        <w:rPr>
          <w:sz w:val="18"/>
          <w:szCs w:val="18"/>
        </w:rPr>
        <w:t>NBS = newborn screening</w:t>
      </w:r>
    </w:p>
    <w:p w14:paraId="7B122432" w14:textId="2BD8CC32" w:rsidR="001E55A8" w:rsidRDefault="001E55A8" w:rsidP="001E55A8">
      <w:r>
        <w:t xml:space="preserve">Data from Victoria are used to estimate the proportion of screening tests that occur in the general population. In Victoria carrier screening is available to individuals and couples (as a fee-for-service program) prior to or in the early stages of pregnancy </w:t>
      </w:r>
      <w:r w:rsidR="00F57AF2">
        <w:fldChar w:fldCharType="begin">
          <w:fldData xml:space="preserve">PEVuZE5vdGU+PENpdGU+PEF1dGhvcj5BcmNoaWJhbGQ8L0F1dGhvcj48WWVhcj4yMDE0PC9ZZWFy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</w:fldData>
        </w:fldChar>
      </w:r>
      <w:r w:rsidR="009A054F">
        <w:instrText xml:space="preserve"> ADDIN EN.CITE </w:instrText>
      </w:r>
      <w:r w:rsidR="009A054F">
        <w:fldChar w:fldCharType="begin">
          <w:fldData xml:space="preserve">PEVuZE5vdGU+PENpdGU+PEF1dGhvcj5BcmNoaWJhbGQ8L0F1dGhvcj48WWVhcj4yMDE0PC9ZZWFy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</w:fldData>
        </w:fldChar>
      </w:r>
      <w:r w:rsidR="009A054F">
        <w:instrText xml:space="preserve"> ADDIN EN.CITE.DATA </w:instrText>
      </w:r>
      <w:r w:rsidR="009A054F">
        <w:fldChar w:fldCharType="end"/>
      </w:r>
      <w:r w:rsidR="00F57AF2">
        <w:fldChar w:fldCharType="separate"/>
      </w:r>
      <w:r w:rsidR="00F57AF2">
        <w:rPr>
          <w:noProof/>
        </w:rPr>
        <w:t>(</w:t>
      </w:r>
      <w:hyperlink w:anchor="_ENREF_7" w:tooltip="Archibald, 2014 #72" w:history="1">
        <w:r w:rsidR="00B46ABF">
          <w:rPr>
            <w:noProof/>
          </w:rPr>
          <w:t>Archibald et al. 2014</w:t>
        </w:r>
      </w:hyperlink>
      <w:r w:rsidR="00F57AF2">
        <w:rPr>
          <w:noProof/>
        </w:rPr>
        <w:t xml:space="preserve">; </w:t>
      </w:r>
      <w:hyperlink w:anchor="_ENREF_74" w:tooltip="Massie, 2009 #74" w:history="1">
        <w:r w:rsidR="00B46ABF">
          <w:rPr>
            <w:noProof/>
          </w:rPr>
          <w:t>Massie, J et al. 2009</w:t>
        </w:r>
      </w:hyperlink>
      <w:r w:rsidR="00F57AF2">
        <w:rPr>
          <w:noProof/>
        </w:rPr>
        <w:t>)</w:t>
      </w:r>
      <w:r w:rsidR="00F57AF2">
        <w:fldChar w:fldCharType="end"/>
      </w:r>
      <w:r>
        <w:t xml:space="preserve">. Between 2006 and 2013, 10,489 individuals with no family history of CF were screened by the carrier screening program </w:t>
      </w:r>
      <w:r w:rsidR="00F57AF2">
        <w:fldChar w:fldCharType="begin"/>
      </w:r>
      <w:r w:rsidR="009A054F">
        <w:instrText xml:space="preserve"> ADDIN EN.CITE &lt;EndNote&gt;&lt;Cite&gt;&lt;Author&gt;Archibald&lt;/Author&gt;&lt;Year&gt;2014&lt;/Year&gt;&lt;RecNum&gt;72&lt;/RecNum&gt;&lt;IDText&gt;205-6&lt;/IDText&gt;&lt;DisplayText&gt;(Archibald et al. 2014)&lt;/DisplayText&gt;&lt;record&gt;&lt;rec-number&gt;72&lt;/rec-number&gt;&lt;foreign-keys&gt;&lt;key app="EN" db-id="parffa0acae2voep5w3vv9rypas2tr522eef" timestamp="1430365869"&gt;72&lt;/key&gt;&lt;/foreign-keys&gt;&lt;ref-type name="Journal Article"&gt;17&lt;/ref-type&gt;&lt;contributors&gt;&lt;authors&gt;&lt;author&gt;Archibald, A. D.&lt;/author&gt;&lt;author&gt;Massie, J.&lt;/author&gt;&lt;author&gt;Smith, M. J.&lt;/author&gt;&lt;author&gt;Dalton, D. G.&lt;/author&gt;&lt;author&gt;du Sart, D.&lt;/author&gt;&lt;author&gt;Amor, D. J.&lt;/author&gt;&lt;/authors&gt;&lt;/contributors&gt;&lt;auth-address&gt;Victorian Clinical Genetics Services, Murdoch Childrens Research Institute, Melbourne, VIC, Australia. david.amor@mcri.edu.au.&amp;#xD;Royal Children&amp;apos;s Hospital, Melbourne, VIC, Australia.&amp;#xD;Victorian Clinical Genetics Services, Murdoch Childrens Research Institute, Melbourne, VIC, Australia.&lt;/auth-address&gt;&lt;titles&gt;&lt;title&gt;Population-based genetic carrier screening for cystic fibrosis in Victoria&lt;/title&gt;&lt;secondary-title&gt;Med J Aust&lt;/secondary-title&gt;&lt;alt-title&gt;The Medical journal of Australia&lt;/alt-title&gt;&lt;/titles&gt;&lt;alt-periodical&gt;&lt;full-title&gt;The Medical Journal of Australia&lt;/full-title&gt;&lt;abbr-1&gt;MJA&lt;/abbr-1&gt;&lt;/alt-periodical&gt;&lt;pages&gt;205-6&lt;/pages&gt;&lt;volume&gt;200&lt;/volume&gt;&lt;number&gt;4&lt;/number&gt;&lt;edition&gt;2014/03/04&lt;/edition&gt;&lt;keywords&gt;&lt;keyword&gt;Cystic Fibrosis/*diagnosis/genetics&lt;/keyword&gt;&lt;keyword&gt;Female&lt;/keyword&gt;&lt;keyword&gt;Genetic Testing/*methods&lt;/keyword&gt;&lt;keyword&gt;*Heterozygote&lt;/keyword&gt;&lt;keyword&gt;Heterozygote Detection/*methods&lt;/keyword&gt;&lt;keyword&gt;Humans&lt;/keyword&gt;&lt;keyword&gt;Pregnancy&lt;/keyword&gt;&lt;keyword&gt;Prenatal Diagnosis/*methods&lt;/keyword&gt;&lt;keyword&gt;Victoria&lt;/keyword&gt;&lt;/keywords&gt;&lt;dates&gt;&lt;year&gt;2014&lt;/year&gt;&lt;pub-dates&gt;&lt;date&gt;Mar 3&lt;/date&gt;&lt;/pub-dates&gt;&lt;/dates&gt;&lt;isbn&gt;1326-5377 (Electronic)&amp;#xD;0025-729X (Linking)&lt;/isbn&gt;&lt;accession-num&gt;24580517&lt;/accession-num&gt;&lt;work-type&gt;Letter&lt;/work-type&gt;&lt;urls&gt;&lt;related-urls&gt;&lt;url&gt;http://www.ncbi.nlm.nih.gov/pubmed/24580517&lt;/url&gt;&lt;/related-urls&gt;&lt;/urls&gt;&lt;/record&gt;&lt;/Cite&gt;&lt;/EndNote&gt;</w:instrText>
      </w:r>
      <w:r w:rsidR="00F57AF2">
        <w:fldChar w:fldCharType="separate"/>
      </w:r>
      <w:r w:rsidR="00F57AF2">
        <w:rPr>
          <w:noProof/>
        </w:rPr>
        <w:t>(</w:t>
      </w:r>
      <w:hyperlink w:anchor="_ENREF_7" w:tooltip="Archibald, 2014 #72" w:history="1">
        <w:r w:rsidR="00B46ABF">
          <w:rPr>
            <w:noProof/>
          </w:rPr>
          <w:t>Archibald et al. 2014</w:t>
        </w:r>
      </w:hyperlink>
      <w:r w:rsidR="00F57AF2">
        <w:rPr>
          <w:noProof/>
        </w:rPr>
        <w:t>)</w:t>
      </w:r>
      <w:r w:rsidR="00F57AF2">
        <w:fldChar w:fldCharType="end"/>
      </w:r>
      <w:r>
        <w:t xml:space="preserve">. The total number of births observed in Victoria during this </w:t>
      </w:r>
      <w:r>
        <w:lastRenderedPageBreak/>
        <w:t>same period (</w:t>
      </w:r>
      <w:r w:rsidR="00C820EB">
        <w:t>n</w:t>
      </w:r>
      <w:r>
        <w:t xml:space="preserve"> = 561,691) </w:t>
      </w:r>
      <w:r w:rsidR="00F57AF2">
        <w:fldChar w:fldCharType="begin"/>
      </w:r>
      <w:r w:rsidR="009A054F">
        <w:instrText xml:space="preserve"> ADDIN EN.CITE &lt;EndNote&gt;&lt;Cite&gt;&lt;Author&gt;Australian Bureau of Statistics&lt;/Author&gt;&lt;Year&gt;2014&lt;/Year&gt;&lt;RecNum&gt;73&lt;/RecNum&gt;&lt;DisplayText&gt;(Australian Bureau of Statistics 2014)&lt;/DisplayText&gt;&lt;record&gt;&lt;rec-number&gt;73&lt;/rec-number&gt;&lt;foreign-keys&gt;&lt;key app="EN" db-id="parffa0acae2voep5w3vv9rypas2tr522eef" timestamp="1430365869"&gt;73&lt;/key&gt;&lt;/foreign-keys&gt;&lt;ref-type name="Web Page"&gt;12&lt;/ref-type&gt;&lt;contributors&gt;&lt;authors&gt;&lt;author&gt;Australian Bureau of Statistics,&lt;/author&gt;&lt;/authors&gt;&lt;/contributors&gt;&lt;titles&gt;&lt;title&gt;3301.0 - Births, Australia, 2013&lt;/title&gt;&lt;/titles&gt;&lt;volume&gt;2015&lt;/volume&gt;&lt;number&gt;Mar&lt;/number&gt;&lt;dates&gt;&lt;year&gt;2014&lt;/year&gt;&lt;pub-dates&gt;&lt;date&gt;Nov 2014&lt;/date&gt;&lt;/pub-dates&gt;&lt;/dates&gt;&lt;pub-location&gt;Canberra&lt;/pub-location&gt;&lt;publisher&gt;Commonwealth of Australia&lt;/publisher&gt;&lt;urls&gt;&lt;related-urls&gt;&lt;url&gt;http://www.abs.gov.au/AUSSTATS/abs@.nsf/DetailsPage/3301.02013?OpenDocument&lt;/url&gt;&lt;/related-urls&gt;&lt;/urls&gt;&lt;/record&gt;&lt;/Cite&gt;&lt;/EndNote&gt;</w:instrText>
      </w:r>
      <w:r w:rsidR="00F57AF2">
        <w:fldChar w:fldCharType="separate"/>
      </w:r>
      <w:r w:rsidR="00F57AF2">
        <w:rPr>
          <w:noProof/>
        </w:rPr>
        <w:t>(</w:t>
      </w:r>
      <w:hyperlink w:anchor="_ENREF_9" w:tooltip="Australian Bureau of Statistics, 2014 #73" w:history="1">
        <w:r w:rsidR="00B46ABF">
          <w:rPr>
            <w:noProof/>
          </w:rPr>
          <w:t>Australian Bureau of Statistics 2014</w:t>
        </w:r>
      </w:hyperlink>
      <w:r w:rsidR="00F57AF2">
        <w:rPr>
          <w:noProof/>
        </w:rPr>
        <w:t>)</w:t>
      </w:r>
      <w:r w:rsidR="00F57AF2">
        <w:fldChar w:fldCharType="end"/>
      </w:r>
      <w:r>
        <w:t xml:space="preserve"> is used to estimate the number of </w:t>
      </w:r>
      <w:r w:rsidR="00FD37D3" w:rsidRPr="00FD37D3">
        <w:t>CFTR</w:t>
      </w:r>
      <w:r>
        <w:t xml:space="preserve"> tests conducted per pregnancy (10,489/561,691 = 0.0187).</w:t>
      </w:r>
    </w:p>
    <w:p w14:paraId="02037B38" w14:textId="422B327F" w:rsidR="001E55A8" w:rsidRDefault="001E55A8" w:rsidP="001E55A8">
      <w:r>
        <w:t xml:space="preserve">This estimate is then applied to the total number of births in Australia for 2011 </w:t>
      </w:r>
      <w:r w:rsidR="00F57AF2">
        <w:fldChar w:fldCharType="begin"/>
      </w:r>
      <w:r w:rsidR="009A054F">
        <w:instrText xml:space="preserve"> ADDIN EN.CITE &lt;EndNote&gt;&lt;Cite&gt;&lt;Author&gt;Australian Bureau of Statistics&lt;/Author&gt;&lt;Year&gt;2014&lt;/Year&gt;&lt;RecNum&gt;73&lt;/RecNum&gt;&lt;DisplayText&gt;(Australian Bureau of Statistics 2014)&lt;/DisplayText&gt;&lt;record&gt;&lt;rec-number&gt;73&lt;/rec-number&gt;&lt;foreign-keys&gt;&lt;key app="EN" db-id="parffa0acae2voep5w3vv9rypas2tr522eef" timestamp="1430365869"&gt;73&lt;/key&gt;&lt;/foreign-keys&gt;&lt;ref-type name="Web Page"&gt;12&lt;/ref-type&gt;&lt;contributors&gt;&lt;authors&gt;&lt;author&gt;Australian Bureau of Statistics,&lt;/author&gt;&lt;/authors&gt;&lt;/contributors&gt;&lt;titles&gt;&lt;title&gt;3301.0 - Births, Australia, 2013&lt;/title&gt;&lt;/titles&gt;&lt;volume&gt;2015&lt;/volume&gt;&lt;number&gt;Mar&lt;/number&gt;&lt;dates&gt;&lt;year&gt;2014&lt;/year&gt;&lt;pub-dates&gt;&lt;date&gt;Nov 2014&lt;/date&gt;&lt;/pub-dates&gt;&lt;/dates&gt;&lt;pub-location&gt;Canberra&lt;/pub-location&gt;&lt;publisher&gt;Commonwealth of Australia&lt;/publisher&gt;&lt;urls&gt;&lt;related-urls&gt;&lt;url&gt;http://www.abs.gov.au/AUSSTATS/abs@.nsf/DetailsPage/3301.02013?OpenDocument&lt;/url&gt;&lt;/related-urls&gt;&lt;/urls&gt;&lt;/record&gt;&lt;/Cite&gt;&lt;/EndNote&gt;</w:instrText>
      </w:r>
      <w:r w:rsidR="00F57AF2">
        <w:fldChar w:fldCharType="separate"/>
      </w:r>
      <w:r w:rsidR="00F57AF2">
        <w:rPr>
          <w:noProof/>
        </w:rPr>
        <w:t>(</w:t>
      </w:r>
      <w:hyperlink w:anchor="_ENREF_9" w:tooltip="Australian Bureau of Statistics, 2014 #73" w:history="1">
        <w:r w:rsidR="00B46ABF">
          <w:rPr>
            <w:noProof/>
          </w:rPr>
          <w:t>Australian Bureau of Statistics 2014</w:t>
        </w:r>
      </w:hyperlink>
      <w:r w:rsidR="00F57AF2">
        <w:rPr>
          <w:noProof/>
        </w:rPr>
        <w:t>)</w:t>
      </w:r>
      <w:r w:rsidR="00F57AF2">
        <w:fldChar w:fldCharType="end"/>
      </w:r>
      <w:r>
        <w:t xml:space="preserve"> to estimate the number of tests in 2011, and </w:t>
      </w:r>
      <w:r w:rsidR="004941C8">
        <w:t xml:space="preserve">therefore </w:t>
      </w:r>
      <w:r>
        <w:t xml:space="preserve">the proportion of tests </w:t>
      </w:r>
      <w:r w:rsidR="004941C8">
        <w:t xml:space="preserve">that </w:t>
      </w:r>
      <w:r>
        <w:t xml:space="preserve">would have been ineligible for proposed MBS funding. The proportion of tests that are then due to general population carrier screening is estimated in </w:t>
      </w:r>
      <w:r>
        <w:fldChar w:fldCharType="begin"/>
      </w:r>
      <w:r>
        <w:instrText xml:space="preserve"> REF _Ref414541499 \h </w:instrText>
      </w:r>
      <w:r>
        <w:fldChar w:fldCharType="separate"/>
      </w:r>
      <w:r w:rsidR="00BB0E3E">
        <w:t xml:space="preserve">Table </w:t>
      </w:r>
      <w:r w:rsidR="00BB0E3E">
        <w:rPr>
          <w:noProof/>
        </w:rPr>
        <w:t>71</w:t>
      </w:r>
      <w:r>
        <w:fldChar w:fldCharType="end"/>
      </w:r>
      <w:r>
        <w:t xml:space="preserve">. </w:t>
      </w:r>
    </w:p>
    <w:p w14:paraId="5A9AB9EE" w14:textId="0E3CFB6C" w:rsidR="001E55A8" w:rsidRPr="008B2BB4" w:rsidRDefault="001E55A8" w:rsidP="001E55A8">
      <w:pPr>
        <w:pStyle w:val="Caption"/>
      </w:pPr>
      <w:bookmarkStart w:id="413" w:name="_Ref414541499"/>
      <w:bookmarkStart w:id="414" w:name="_Toc416855364"/>
      <w:bookmarkStart w:id="415" w:name="_Toc418179468"/>
      <w:r>
        <w:t xml:space="preserve">Table </w:t>
      </w:r>
      <w:fldSimple w:instr=" SEQ Table \* ARABIC ">
        <w:r w:rsidR="00BB0E3E">
          <w:rPr>
            <w:noProof/>
          </w:rPr>
          <w:t>71</w:t>
        </w:r>
      </w:fldSimple>
      <w:bookmarkEnd w:id="413"/>
      <w:r>
        <w:tab/>
        <w:t xml:space="preserve">Estimated proportion of </w:t>
      </w:r>
      <w:r w:rsidR="00F1664B">
        <w:t xml:space="preserve">carrier </w:t>
      </w:r>
      <w:r>
        <w:t xml:space="preserve">screening tests, general population </w:t>
      </w:r>
      <w:bookmarkEnd w:id="414"/>
      <w:bookmarkEnd w:id="415"/>
    </w:p>
    <w:tbl>
      <w:tblPr>
        <w:tblStyle w:val="TableGrid"/>
        <w:tblW w:w="0" w:type="auto"/>
        <w:tblInd w:w="108" w:type="dxa"/>
        <w:tblLook w:val="04A0" w:firstRow="1" w:lastRow="0" w:firstColumn="1" w:lastColumn="0" w:noHBand="0" w:noVBand="1"/>
        <w:tblCaption w:val="Estimated proportion of screening tests, general population carrier screening—calculation"/>
        <w:tblDescription w:val="Estimated proportion of screening tests, general population carrier screening—calculation"/>
      </w:tblPr>
      <w:tblGrid>
        <w:gridCol w:w="426"/>
        <w:gridCol w:w="4536"/>
        <w:gridCol w:w="2086"/>
        <w:gridCol w:w="2086"/>
      </w:tblGrid>
      <w:tr w:rsidR="001E55A8" w:rsidRPr="00735773" w14:paraId="2D3377C3" w14:textId="77777777" w:rsidTr="007C1FC6">
        <w:trPr>
          <w:tblHeader/>
        </w:trPr>
        <w:tc>
          <w:tcPr>
            <w:tcW w:w="426" w:type="dxa"/>
          </w:tcPr>
          <w:p w14:paraId="7CDBCE34" w14:textId="77777777" w:rsidR="001E55A8" w:rsidRPr="00735773" w:rsidRDefault="001E55A8" w:rsidP="005B7F97">
            <w:pPr>
              <w:pStyle w:val="Caption"/>
              <w:spacing w:before="40"/>
              <w:ind w:left="0"/>
              <w:jc w:val="center"/>
              <w:rPr>
                <w:szCs w:val="20"/>
              </w:rPr>
            </w:pPr>
          </w:p>
        </w:tc>
        <w:tc>
          <w:tcPr>
            <w:tcW w:w="4536" w:type="dxa"/>
          </w:tcPr>
          <w:p w14:paraId="1782A391" w14:textId="77777777" w:rsidR="001E55A8" w:rsidRPr="00735773" w:rsidRDefault="001E55A8">
            <w:pPr>
              <w:pStyle w:val="Caption"/>
              <w:spacing w:before="40"/>
              <w:ind w:left="0"/>
              <w:jc w:val="left"/>
              <w:rPr>
                <w:szCs w:val="20"/>
              </w:rPr>
            </w:pPr>
            <w:r>
              <w:rPr>
                <w:szCs w:val="20"/>
              </w:rPr>
              <w:t>Parameter</w:t>
            </w:r>
          </w:p>
        </w:tc>
        <w:tc>
          <w:tcPr>
            <w:tcW w:w="2086" w:type="dxa"/>
          </w:tcPr>
          <w:p w14:paraId="09C9C320" w14:textId="77777777" w:rsidR="001E55A8" w:rsidRPr="00735773" w:rsidRDefault="001E55A8" w:rsidP="005B7F97">
            <w:pPr>
              <w:pStyle w:val="Caption"/>
              <w:spacing w:before="40"/>
              <w:ind w:left="0"/>
              <w:jc w:val="center"/>
              <w:rPr>
                <w:szCs w:val="20"/>
              </w:rPr>
            </w:pPr>
            <w:r>
              <w:rPr>
                <w:szCs w:val="20"/>
              </w:rPr>
              <w:t>Value</w:t>
            </w:r>
          </w:p>
        </w:tc>
        <w:tc>
          <w:tcPr>
            <w:tcW w:w="2086" w:type="dxa"/>
          </w:tcPr>
          <w:p w14:paraId="1C4F671D" w14:textId="77777777" w:rsidR="001E55A8" w:rsidRPr="00735773" w:rsidRDefault="001E55A8" w:rsidP="005B7F97">
            <w:pPr>
              <w:pStyle w:val="Caption"/>
              <w:spacing w:before="40"/>
              <w:ind w:left="0"/>
              <w:jc w:val="center"/>
              <w:rPr>
                <w:szCs w:val="20"/>
              </w:rPr>
            </w:pPr>
            <w:r>
              <w:rPr>
                <w:szCs w:val="20"/>
              </w:rPr>
              <w:t>Source</w:t>
            </w:r>
          </w:p>
        </w:tc>
      </w:tr>
      <w:tr w:rsidR="001E55A8" w:rsidRPr="00735773" w14:paraId="7C75B396" w14:textId="77777777" w:rsidTr="005B7F97">
        <w:tc>
          <w:tcPr>
            <w:tcW w:w="426" w:type="dxa"/>
          </w:tcPr>
          <w:p w14:paraId="2A863E78" w14:textId="77777777" w:rsidR="001E55A8" w:rsidRDefault="001E55A8" w:rsidP="005B7F97">
            <w:pPr>
              <w:pStyle w:val="Tabletext1"/>
              <w:ind w:left="0"/>
            </w:pPr>
            <w:r>
              <w:t>A</w:t>
            </w:r>
          </w:p>
        </w:tc>
        <w:tc>
          <w:tcPr>
            <w:tcW w:w="4536" w:type="dxa"/>
          </w:tcPr>
          <w:p w14:paraId="7B175822" w14:textId="77777777" w:rsidR="001E55A8" w:rsidRPr="00735773" w:rsidRDefault="001E55A8" w:rsidP="004566DC">
            <w:pPr>
              <w:pStyle w:val="Tabletext1"/>
              <w:ind w:left="0"/>
              <w:jc w:val="left"/>
            </w:pPr>
            <w:r>
              <w:t>Number of screening tests in Australia, 2011</w:t>
            </w:r>
          </w:p>
        </w:tc>
        <w:tc>
          <w:tcPr>
            <w:tcW w:w="2086" w:type="dxa"/>
          </w:tcPr>
          <w:p w14:paraId="499D08B0" w14:textId="77777777" w:rsidR="001E55A8" w:rsidRPr="00735773" w:rsidRDefault="001E55A8" w:rsidP="004566DC">
            <w:pPr>
              <w:pStyle w:val="Tabletext1"/>
              <w:tabs>
                <w:tab w:val="decimal" w:pos="600"/>
              </w:tabs>
              <w:ind w:left="0"/>
              <w:jc w:val="center"/>
            </w:pPr>
            <w:r w:rsidRPr="00735773">
              <w:t>10,194</w:t>
            </w:r>
          </w:p>
        </w:tc>
        <w:tc>
          <w:tcPr>
            <w:tcW w:w="2086" w:type="dxa"/>
          </w:tcPr>
          <w:p w14:paraId="286316FD" w14:textId="77777777" w:rsidR="001E55A8" w:rsidRPr="00735773" w:rsidRDefault="001E55A8" w:rsidP="005B7F97">
            <w:pPr>
              <w:pStyle w:val="Tabletext1"/>
              <w:ind w:left="0"/>
              <w:jc w:val="center"/>
            </w:pPr>
            <w:r>
              <w:fldChar w:fldCharType="begin"/>
            </w:r>
            <w:r>
              <w:instrText xml:space="preserve"> REF _Ref413931638 \h  \* MERGEFORMAT </w:instrText>
            </w:r>
            <w:r>
              <w:fldChar w:fldCharType="separate"/>
            </w:r>
            <w:r w:rsidR="00BB0E3E">
              <w:t>Table 68</w:t>
            </w:r>
            <w:r>
              <w:fldChar w:fldCharType="end"/>
            </w:r>
          </w:p>
        </w:tc>
      </w:tr>
      <w:tr w:rsidR="001E55A8" w:rsidRPr="00735773" w14:paraId="10F63EA5" w14:textId="77777777" w:rsidTr="005B7F97">
        <w:tc>
          <w:tcPr>
            <w:tcW w:w="426" w:type="dxa"/>
          </w:tcPr>
          <w:p w14:paraId="4A776CDD" w14:textId="77777777" w:rsidR="001E55A8" w:rsidRDefault="001E55A8" w:rsidP="005B7F97">
            <w:pPr>
              <w:pStyle w:val="Tabletext1"/>
              <w:ind w:left="0"/>
            </w:pPr>
            <w:r>
              <w:t>B</w:t>
            </w:r>
          </w:p>
        </w:tc>
        <w:tc>
          <w:tcPr>
            <w:tcW w:w="4536" w:type="dxa"/>
          </w:tcPr>
          <w:p w14:paraId="62983F5D" w14:textId="0CE68AAD" w:rsidR="001E55A8" w:rsidRPr="00735773" w:rsidRDefault="001E55A8" w:rsidP="004566DC">
            <w:pPr>
              <w:pStyle w:val="Tabletext1"/>
              <w:ind w:left="0"/>
              <w:jc w:val="left"/>
            </w:pPr>
            <w:r>
              <w:t>Number of carrier screening tests in Victoria, 2006–13</w:t>
            </w:r>
          </w:p>
        </w:tc>
        <w:tc>
          <w:tcPr>
            <w:tcW w:w="2086" w:type="dxa"/>
          </w:tcPr>
          <w:p w14:paraId="05C3ADE7" w14:textId="77777777" w:rsidR="001E55A8" w:rsidRPr="00735773" w:rsidRDefault="001E55A8" w:rsidP="004566DC">
            <w:pPr>
              <w:pStyle w:val="Tabletext1"/>
              <w:tabs>
                <w:tab w:val="decimal" w:pos="600"/>
              </w:tabs>
              <w:ind w:left="0"/>
              <w:jc w:val="center"/>
            </w:pPr>
            <w:r>
              <w:t>10,489</w:t>
            </w:r>
          </w:p>
        </w:tc>
        <w:tc>
          <w:tcPr>
            <w:tcW w:w="2086" w:type="dxa"/>
          </w:tcPr>
          <w:p w14:paraId="3EF32599" w14:textId="0CAF67A9" w:rsidR="001E55A8" w:rsidRPr="00735773" w:rsidRDefault="001E55A8" w:rsidP="00B46ABF">
            <w:pPr>
              <w:pStyle w:val="Tabletext1"/>
              <w:ind w:left="0"/>
              <w:jc w:val="center"/>
            </w:pPr>
            <w:r>
              <w:t>Archibald et al</w:t>
            </w:r>
            <w:r w:rsidR="008D7DF2">
              <w:t>.</w:t>
            </w:r>
            <w:r>
              <w:t xml:space="preserve"> </w:t>
            </w:r>
            <w:r w:rsidR="00F57AF2">
              <w:fldChar w:fldCharType="begin"/>
            </w:r>
            <w:r w:rsidR="009A054F">
              <w:instrText xml:space="preserve"> ADDIN EN.CITE &lt;EndNote&gt;&lt;Cite ExcludeAuth="1"&gt;&lt;Author&gt;Archibald&lt;/Author&gt;&lt;Year&gt;2014&lt;/Year&gt;&lt;RecNum&gt;72&lt;/RecNum&gt;&lt;IDText&gt;205-6&lt;/IDText&gt;&lt;DisplayText&gt;(2014)&lt;/DisplayText&gt;&lt;record&gt;&lt;rec-number&gt;72&lt;/rec-number&gt;&lt;foreign-keys&gt;&lt;key app="EN" db-id="parffa0acae2voep5w3vv9rypas2tr522eef" timestamp="1430365869"&gt;72&lt;/key&gt;&lt;/foreign-keys&gt;&lt;ref-type name="Journal Article"&gt;17&lt;/ref-type&gt;&lt;contributors&gt;&lt;authors&gt;&lt;author&gt;Archibald, A. D.&lt;/author&gt;&lt;author&gt;Massie, J.&lt;/author&gt;&lt;author&gt;Smith, M. J.&lt;/author&gt;&lt;author&gt;Dalton, D. G.&lt;/author&gt;&lt;author&gt;du Sart, D.&lt;/author&gt;&lt;author&gt;Amor, D. J.&lt;/author&gt;&lt;/authors&gt;&lt;/contributors&gt;&lt;auth-address&gt;Victorian Clinical Genetics Services, Murdoch Childrens Research Institute, Melbourne, VIC, Australia. david.amor@mcri.edu.au.&amp;#xD;Royal Children&amp;apos;s Hospital, Melbourne, VIC, Australia.&amp;#xD;Victorian Clinical Genetics Services, Murdoch Childrens Research Institute, Melbourne, VIC, Australia.&lt;/auth-address&gt;&lt;titles&gt;&lt;title&gt;Population-based genetic carrier screening for cystic fibrosis in Victoria&lt;/title&gt;&lt;secondary-title&gt;Med J Aust&lt;/secondary-title&gt;&lt;alt-title&gt;The Medical journal of Australia&lt;/alt-title&gt;&lt;/titles&gt;&lt;alt-periodical&gt;&lt;full-title&gt;The Medical Journal of Australia&lt;/full-title&gt;&lt;abbr-1&gt;MJA&lt;/abbr-1&gt;&lt;/alt-periodical&gt;&lt;pages&gt;205-6&lt;/pages&gt;&lt;volume&gt;200&lt;/volume&gt;&lt;number&gt;4&lt;/number&gt;&lt;edition&gt;2014/03/04&lt;/edition&gt;&lt;keywords&gt;&lt;keyword&gt;Cystic Fibrosis/*diagnosis/genetics&lt;/keyword&gt;&lt;keyword&gt;Female&lt;/keyword&gt;&lt;keyword&gt;Genetic Testing/*methods&lt;/keyword&gt;&lt;keyword&gt;*Heterozygote&lt;/keyword&gt;&lt;keyword&gt;Heterozygote Detection/*methods&lt;/keyword&gt;&lt;keyword&gt;Humans&lt;/keyword&gt;&lt;keyword&gt;Pregnancy&lt;/keyword&gt;&lt;keyword&gt;Prenatal Diagnosis/*methods&lt;/keyword&gt;&lt;keyword&gt;Victoria&lt;/keyword&gt;&lt;/keywords&gt;&lt;dates&gt;&lt;year&gt;2014&lt;/year&gt;&lt;pub-dates&gt;&lt;date&gt;Mar 3&lt;/date&gt;&lt;/pub-dates&gt;&lt;/dates&gt;&lt;isbn&gt;1326-5377 (Electronic)&amp;#xD;0025-729X (Linking)&lt;/isbn&gt;&lt;accession-num&gt;24580517&lt;/accession-num&gt;&lt;work-type&gt;Letter&lt;/work-type&gt;&lt;urls&gt;&lt;related-urls&gt;&lt;url&gt;http://www.ncbi.nlm.nih.gov/pubmed/24580517&lt;/url&gt;&lt;/related-urls&gt;&lt;/urls&gt;&lt;/record&gt;&lt;/Cite&gt;&lt;/EndNote&gt;</w:instrText>
            </w:r>
            <w:r w:rsidR="00F57AF2">
              <w:fldChar w:fldCharType="separate"/>
            </w:r>
            <w:r w:rsidR="00F57AF2">
              <w:rPr>
                <w:noProof/>
              </w:rPr>
              <w:t>(</w:t>
            </w:r>
            <w:hyperlink w:anchor="_ENREF_7" w:tooltip="Archibald, 2014 #72" w:history="1">
              <w:r w:rsidR="00B46ABF">
                <w:rPr>
                  <w:noProof/>
                </w:rPr>
                <w:t>2014</w:t>
              </w:r>
            </w:hyperlink>
            <w:r w:rsidR="00F57AF2">
              <w:rPr>
                <w:noProof/>
              </w:rPr>
              <w:t>)</w:t>
            </w:r>
            <w:r w:rsidR="00F57AF2">
              <w:fldChar w:fldCharType="end"/>
            </w:r>
          </w:p>
        </w:tc>
      </w:tr>
      <w:tr w:rsidR="001E55A8" w:rsidRPr="00735773" w14:paraId="214D323A" w14:textId="77777777" w:rsidTr="005B7F97">
        <w:tc>
          <w:tcPr>
            <w:tcW w:w="426" w:type="dxa"/>
          </w:tcPr>
          <w:p w14:paraId="51CDEE2C" w14:textId="77777777" w:rsidR="001E55A8" w:rsidRDefault="001E55A8" w:rsidP="005B7F97">
            <w:pPr>
              <w:pStyle w:val="Tabletext1"/>
              <w:ind w:left="0"/>
            </w:pPr>
            <w:r>
              <w:t>C</w:t>
            </w:r>
          </w:p>
        </w:tc>
        <w:tc>
          <w:tcPr>
            <w:tcW w:w="4536" w:type="dxa"/>
          </w:tcPr>
          <w:p w14:paraId="6436EA98" w14:textId="7E4FE120" w:rsidR="001E55A8" w:rsidRPr="00735773" w:rsidRDefault="001E55A8" w:rsidP="004566DC">
            <w:pPr>
              <w:pStyle w:val="Tabletext1"/>
              <w:ind w:left="0"/>
              <w:jc w:val="left"/>
            </w:pPr>
            <w:r>
              <w:t>Number of births in Victoria, 2006–13</w:t>
            </w:r>
          </w:p>
        </w:tc>
        <w:tc>
          <w:tcPr>
            <w:tcW w:w="2086" w:type="dxa"/>
          </w:tcPr>
          <w:p w14:paraId="29D2B68A" w14:textId="77777777" w:rsidR="001E55A8" w:rsidRPr="00735773" w:rsidRDefault="001E55A8" w:rsidP="004566DC">
            <w:pPr>
              <w:pStyle w:val="Tabletext1"/>
              <w:tabs>
                <w:tab w:val="decimal" w:pos="600"/>
              </w:tabs>
              <w:ind w:left="0"/>
              <w:jc w:val="center"/>
            </w:pPr>
            <w:r>
              <w:t>561,691</w:t>
            </w:r>
          </w:p>
        </w:tc>
        <w:tc>
          <w:tcPr>
            <w:tcW w:w="2086" w:type="dxa"/>
          </w:tcPr>
          <w:p w14:paraId="13B1A680" w14:textId="77777777" w:rsidR="001E55A8" w:rsidRPr="00735773" w:rsidRDefault="00CD1EDC" w:rsidP="00CD1EDC">
            <w:pPr>
              <w:pStyle w:val="Tabletext1"/>
              <w:ind w:left="0"/>
              <w:jc w:val="center"/>
            </w:pPr>
            <w:r>
              <w:t>ABS (2014)</w:t>
            </w:r>
          </w:p>
        </w:tc>
      </w:tr>
      <w:tr w:rsidR="001E55A8" w:rsidRPr="00735773" w14:paraId="72F4CEB7" w14:textId="77777777" w:rsidTr="005B7F97">
        <w:tc>
          <w:tcPr>
            <w:tcW w:w="426" w:type="dxa"/>
          </w:tcPr>
          <w:p w14:paraId="298C979D" w14:textId="77777777" w:rsidR="001E55A8" w:rsidRDefault="001E55A8" w:rsidP="005B7F97">
            <w:pPr>
              <w:pStyle w:val="Tabletext1"/>
              <w:ind w:left="0"/>
            </w:pPr>
            <w:r>
              <w:t>D</w:t>
            </w:r>
          </w:p>
        </w:tc>
        <w:tc>
          <w:tcPr>
            <w:tcW w:w="4536" w:type="dxa"/>
          </w:tcPr>
          <w:p w14:paraId="11A132E3" w14:textId="4D71CF8B" w:rsidR="001E55A8" w:rsidRPr="00735773" w:rsidRDefault="001E55A8" w:rsidP="004566DC">
            <w:pPr>
              <w:pStyle w:val="Tabletext1"/>
              <w:ind w:left="0"/>
              <w:jc w:val="left"/>
            </w:pPr>
            <w:r>
              <w:t xml:space="preserve">Number </w:t>
            </w:r>
            <w:r w:rsidR="004941C8">
              <w:t xml:space="preserve">of </w:t>
            </w:r>
            <w:r>
              <w:t>screening tests per pregnancy</w:t>
            </w:r>
          </w:p>
        </w:tc>
        <w:tc>
          <w:tcPr>
            <w:tcW w:w="2086" w:type="dxa"/>
          </w:tcPr>
          <w:p w14:paraId="7029E190" w14:textId="77777777" w:rsidR="001E55A8" w:rsidRPr="00735773" w:rsidRDefault="001E55A8" w:rsidP="005B7F97">
            <w:pPr>
              <w:pStyle w:val="Tabletext1"/>
              <w:ind w:left="0"/>
              <w:jc w:val="center"/>
            </w:pPr>
            <w:r>
              <w:t>0.0187</w:t>
            </w:r>
          </w:p>
        </w:tc>
        <w:tc>
          <w:tcPr>
            <w:tcW w:w="2086" w:type="dxa"/>
          </w:tcPr>
          <w:p w14:paraId="11BF4CDF" w14:textId="77777777" w:rsidR="001E55A8" w:rsidRPr="00735773" w:rsidRDefault="001E55A8" w:rsidP="005B7F97">
            <w:pPr>
              <w:pStyle w:val="Tabletext1"/>
              <w:ind w:left="0"/>
              <w:jc w:val="center"/>
            </w:pPr>
            <w:r>
              <w:t>B/C</w:t>
            </w:r>
          </w:p>
        </w:tc>
      </w:tr>
      <w:tr w:rsidR="001E55A8" w:rsidRPr="00735773" w14:paraId="5CB0F777" w14:textId="77777777" w:rsidTr="005B7F97">
        <w:tc>
          <w:tcPr>
            <w:tcW w:w="426" w:type="dxa"/>
          </w:tcPr>
          <w:p w14:paraId="34AB3C2A" w14:textId="77777777" w:rsidR="001E55A8" w:rsidRDefault="001E55A8" w:rsidP="005B7F97">
            <w:pPr>
              <w:pStyle w:val="Tabletext1"/>
              <w:ind w:left="0"/>
            </w:pPr>
            <w:r>
              <w:t>E</w:t>
            </w:r>
          </w:p>
        </w:tc>
        <w:tc>
          <w:tcPr>
            <w:tcW w:w="4536" w:type="dxa"/>
          </w:tcPr>
          <w:p w14:paraId="282FF080" w14:textId="77777777" w:rsidR="001E55A8" w:rsidRPr="00735773" w:rsidRDefault="001E55A8" w:rsidP="004566DC">
            <w:pPr>
              <w:pStyle w:val="Tabletext1"/>
              <w:ind w:left="0"/>
              <w:jc w:val="left"/>
            </w:pPr>
            <w:r>
              <w:t>Number of births in Australia, 2011</w:t>
            </w:r>
          </w:p>
        </w:tc>
        <w:tc>
          <w:tcPr>
            <w:tcW w:w="2086" w:type="dxa"/>
          </w:tcPr>
          <w:p w14:paraId="522A1ECA" w14:textId="77777777" w:rsidR="001E55A8" w:rsidRPr="00735773" w:rsidRDefault="001E55A8" w:rsidP="004566DC">
            <w:pPr>
              <w:pStyle w:val="Tabletext1"/>
              <w:tabs>
                <w:tab w:val="decimal" w:pos="600"/>
              </w:tabs>
              <w:ind w:left="0"/>
              <w:jc w:val="center"/>
            </w:pPr>
            <w:r>
              <w:t>297,073</w:t>
            </w:r>
          </w:p>
        </w:tc>
        <w:tc>
          <w:tcPr>
            <w:tcW w:w="2086" w:type="dxa"/>
          </w:tcPr>
          <w:p w14:paraId="34EBFF61" w14:textId="77777777" w:rsidR="001E55A8" w:rsidRPr="00735773" w:rsidRDefault="00CD1EDC" w:rsidP="00CD1EDC">
            <w:pPr>
              <w:pStyle w:val="Tabletext1"/>
              <w:ind w:left="0"/>
              <w:jc w:val="center"/>
            </w:pPr>
            <w:r>
              <w:t>ABS (2014)</w:t>
            </w:r>
          </w:p>
        </w:tc>
      </w:tr>
      <w:tr w:rsidR="001E55A8" w:rsidRPr="00735773" w14:paraId="3D684EC4" w14:textId="77777777" w:rsidTr="005B7F97">
        <w:tc>
          <w:tcPr>
            <w:tcW w:w="426" w:type="dxa"/>
          </w:tcPr>
          <w:p w14:paraId="0C127829" w14:textId="77777777" w:rsidR="001E55A8" w:rsidRDefault="001E55A8" w:rsidP="005B7F97">
            <w:pPr>
              <w:pStyle w:val="Tabletext1"/>
              <w:ind w:left="0"/>
            </w:pPr>
            <w:r>
              <w:t>F</w:t>
            </w:r>
          </w:p>
        </w:tc>
        <w:tc>
          <w:tcPr>
            <w:tcW w:w="4536" w:type="dxa"/>
          </w:tcPr>
          <w:p w14:paraId="3B986DE6" w14:textId="77777777" w:rsidR="001E55A8" w:rsidRDefault="001E55A8" w:rsidP="004566DC">
            <w:pPr>
              <w:pStyle w:val="Tabletext1"/>
              <w:ind w:left="0"/>
              <w:jc w:val="left"/>
            </w:pPr>
            <w:r>
              <w:t>Number of carrier screening tests in Australia, 2011</w:t>
            </w:r>
          </w:p>
        </w:tc>
        <w:tc>
          <w:tcPr>
            <w:tcW w:w="2086" w:type="dxa"/>
          </w:tcPr>
          <w:p w14:paraId="61BCE273" w14:textId="77777777" w:rsidR="001E55A8" w:rsidRDefault="001E55A8" w:rsidP="004566DC">
            <w:pPr>
              <w:pStyle w:val="Tabletext1"/>
              <w:tabs>
                <w:tab w:val="decimal" w:pos="600"/>
              </w:tabs>
              <w:ind w:left="0"/>
              <w:jc w:val="center"/>
            </w:pPr>
            <w:r>
              <w:t>5,548</w:t>
            </w:r>
          </w:p>
        </w:tc>
        <w:tc>
          <w:tcPr>
            <w:tcW w:w="2086" w:type="dxa"/>
          </w:tcPr>
          <w:p w14:paraId="26484413" w14:textId="77777777" w:rsidR="001E55A8" w:rsidRDefault="001E55A8" w:rsidP="005B7F97">
            <w:pPr>
              <w:pStyle w:val="Tabletext1"/>
              <w:ind w:left="0"/>
              <w:jc w:val="center"/>
            </w:pPr>
            <w:r>
              <w:t xml:space="preserve">D </w:t>
            </w:r>
            <w:r w:rsidRPr="003D5E01">
              <w:t>×</w:t>
            </w:r>
            <w:r>
              <w:t xml:space="preserve"> E</w:t>
            </w:r>
          </w:p>
        </w:tc>
      </w:tr>
      <w:tr w:rsidR="001E55A8" w:rsidRPr="00735773" w14:paraId="75C6F8D7" w14:textId="77777777" w:rsidTr="005B7F97">
        <w:tc>
          <w:tcPr>
            <w:tcW w:w="426" w:type="dxa"/>
          </w:tcPr>
          <w:p w14:paraId="65A28214" w14:textId="77777777" w:rsidR="001E55A8" w:rsidRDefault="001E55A8" w:rsidP="005B7F97">
            <w:pPr>
              <w:pStyle w:val="Tabletext1"/>
              <w:ind w:left="0"/>
            </w:pPr>
            <w:r>
              <w:t>G</w:t>
            </w:r>
          </w:p>
        </w:tc>
        <w:tc>
          <w:tcPr>
            <w:tcW w:w="4536" w:type="dxa"/>
          </w:tcPr>
          <w:p w14:paraId="2665210B" w14:textId="597C7186" w:rsidR="001E55A8" w:rsidRDefault="001E55A8" w:rsidP="004566DC">
            <w:pPr>
              <w:pStyle w:val="Tabletext1"/>
              <w:ind w:left="0"/>
              <w:jc w:val="left"/>
            </w:pPr>
            <w:r>
              <w:t xml:space="preserve">Proportion of tests that are </w:t>
            </w:r>
            <w:r w:rsidR="004941C8">
              <w:t xml:space="preserve">general population </w:t>
            </w:r>
            <w:r>
              <w:t>carrier screening</w:t>
            </w:r>
          </w:p>
        </w:tc>
        <w:tc>
          <w:tcPr>
            <w:tcW w:w="2086" w:type="dxa"/>
          </w:tcPr>
          <w:p w14:paraId="10B16C6E" w14:textId="77777777" w:rsidR="001E55A8" w:rsidRDefault="001E55A8" w:rsidP="005B7F97">
            <w:pPr>
              <w:pStyle w:val="Tabletext1"/>
              <w:ind w:left="0"/>
              <w:jc w:val="center"/>
            </w:pPr>
            <w:r>
              <w:t>54.4%</w:t>
            </w:r>
          </w:p>
        </w:tc>
        <w:tc>
          <w:tcPr>
            <w:tcW w:w="2086" w:type="dxa"/>
          </w:tcPr>
          <w:p w14:paraId="01996BBE" w14:textId="77777777" w:rsidR="001E55A8" w:rsidRDefault="001E55A8" w:rsidP="005B7F97">
            <w:pPr>
              <w:pStyle w:val="Tabletext1"/>
              <w:ind w:left="0"/>
              <w:jc w:val="center"/>
            </w:pPr>
            <w:r>
              <w:t>F/A</w:t>
            </w:r>
          </w:p>
        </w:tc>
      </w:tr>
    </w:tbl>
    <w:p w14:paraId="6D453F5F" w14:textId="2E546C45" w:rsidR="001E55A8" w:rsidRPr="005E63FE" w:rsidRDefault="001E55A8" w:rsidP="001E55A8">
      <w:pPr>
        <w:pStyle w:val="TableNotes"/>
        <w:ind w:left="0"/>
        <w:rPr>
          <w:sz w:val="18"/>
          <w:szCs w:val="18"/>
        </w:rPr>
      </w:pPr>
      <w:r>
        <w:rPr>
          <w:sz w:val="18"/>
          <w:szCs w:val="18"/>
        </w:rPr>
        <w:t>ABS = Australian Bureau of Statistics</w:t>
      </w:r>
    </w:p>
    <w:p w14:paraId="149D2137" w14:textId="3994AF08" w:rsidR="001E55A8" w:rsidRDefault="001E55A8" w:rsidP="001E55A8">
      <w:r>
        <w:t xml:space="preserve">The total proportion of tests ineligible for MBS funding is then the sum of the </w:t>
      </w:r>
      <w:r w:rsidR="009B7DA9">
        <w:t>NBS</w:t>
      </w:r>
      <w:r>
        <w:t xml:space="preserve"> (</w:t>
      </w:r>
      <w:r>
        <w:fldChar w:fldCharType="begin"/>
      </w:r>
      <w:r>
        <w:instrText xml:space="preserve"> REF _Ref414541476 \h </w:instrText>
      </w:r>
      <w:r>
        <w:fldChar w:fldCharType="separate"/>
      </w:r>
      <w:r w:rsidR="00BB0E3E">
        <w:t xml:space="preserve">Table </w:t>
      </w:r>
      <w:r w:rsidR="00BB0E3E">
        <w:rPr>
          <w:noProof/>
        </w:rPr>
        <w:t>70</w:t>
      </w:r>
      <w:r>
        <w:fldChar w:fldCharType="end"/>
      </w:r>
      <w:r>
        <w:t>, Row E) and general population screening</w:t>
      </w:r>
      <w:r w:rsidR="003411F3">
        <w:t>s</w:t>
      </w:r>
      <w:r>
        <w:t xml:space="preserve"> (</w:t>
      </w:r>
      <w:r>
        <w:fldChar w:fldCharType="begin"/>
      </w:r>
      <w:r>
        <w:instrText xml:space="preserve"> REF _Ref414541499 \h </w:instrText>
      </w:r>
      <w:r>
        <w:fldChar w:fldCharType="separate"/>
      </w:r>
      <w:r w:rsidR="00BB0E3E">
        <w:t xml:space="preserve">Table </w:t>
      </w:r>
      <w:r w:rsidR="00BB0E3E">
        <w:rPr>
          <w:noProof/>
        </w:rPr>
        <w:t>71</w:t>
      </w:r>
      <w:r>
        <w:fldChar w:fldCharType="end"/>
      </w:r>
      <w:r>
        <w:t xml:space="preserve">, Row G), which equals 97%. This approach assumes that the uptake of carrier screening from Victoria is applicable to the whole of Australia. Sensitivity analyses </w:t>
      </w:r>
      <w:r w:rsidR="009B7DA9">
        <w:t>are</w:t>
      </w:r>
      <w:r>
        <w:t xml:space="preserve"> conducted around this estimate</w:t>
      </w:r>
      <w:r w:rsidR="009B7DA9">
        <w:t>,</w:t>
      </w:r>
      <w:r>
        <w:t xml:space="preserve"> as the extent of carrier screening programs and uptake of carrier screening in other </w:t>
      </w:r>
      <w:r w:rsidR="009B7DA9">
        <w:t>s</w:t>
      </w:r>
      <w:r>
        <w:t xml:space="preserve">tates and </w:t>
      </w:r>
      <w:r w:rsidR="009B7DA9">
        <w:t>t</w:t>
      </w:r>
      <w:r>
        <w:t>erritories is unknown.</w:t>
      </w:r>
    </w:p>
    <w:p w14:paraId="6B0FFEA3" w14:textId="0CD3C717" w:rsidR="001E55A8" w:rsidRPr="008F5205" w:rsidRDefault="001E55A8" w:rsidP="001E55A8">
      <w:r>
        <w:t xml:space="preserve">Indications ineligible for MBS funding that would be considered diagnostic testing include newborns </w:t>
      </w:r>
      <w:r w:rsidRPr="008F5205">
        <w:t xml:space="preserve">with one mutation identified in </w:t>
      </w:r>
      <w:r w:rsidR="00065E22">
        <w:t>NBS</w:t>
      </w:r>
      <w:r w:rsidRPr="008F5205">
        <w:t xml:space="preserve"> who </w:t>
      </w:r>
      <w:r w:rsidR="003411F3">
        <w:t>record</w:t>
      </w:r>
      <w:r w:rsidR="003411F3" w:rsidRPr="008F5205">
        <w:t xml:space="preserve"> </w:t>
      </w:r>
      <w:r w:rsidRPr="008F5205">
        <w:t xml:space="preserve">a positive sweat test (and so require diagnostic testing to identify the other mutation). To estimate this population, data from the South Australian </w:t>
      </w:r>
      <w:r w:rsidR="00065E22">
        <w:t>NBS</w:t>
      </w:r>
      <w:r w:rsidRPr="008F5205">
        <w:t xml:space="preserve"> program </w:t>
      </w:r>
      <w:r w:rsidR="00065E22">
        <w:t>are</w:t>
      </w:r>
      <w:r w:rsidR="00065E22" w:rsidRPr="008F5205">
        <w:t xml:space="preserve"> </w:t>
      </w:r>
      <w:r w:rsidRPr="008F5205">
        <w:t>used</w:t>
      </w:r>
      <w:r w:rsidR="00065E22">
        <w:t xml:space="preserve"> </w:t>
      </w:r>
      <w:r w:rsidR="00065E22">
        <w:fldChar w:fldCharType="begin"/>
      </w:r>
      <w:r w:rsidR="00065E22">
        <w:instrText xml:space="preserve"> ADDIN EN.CITE &lt;EndNote&gt;&lt;Cite&gt;&lt;Author&gt;Ranieri&lt;/Author&gt;&lt;Year&gt;1994&lt;/Year&gt;&lt;RecNum&gt;49&lt;/RecNum&gt;&lt;IDText&gt;1469-1472&lt;/IDText&gt;&lt;DisplayText&gt;(Ranieri et al. 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rsidR="00065E22">
        <w:fldChar w:fldCharType="separate"/>
      </w:r>
      <w:r w:rsidR="00065E22">
        <w:rPr>
          <w:noProof/>
        </w:rPr>
        <w:t>(</w:t>
      </w:r>
      <w:hyperlink w:anchor="_ENREF_97" w:tooltip="Ranieri, 1994 #49" w:history="1">
        <w:r w:rsidR="00065E22">
          <w:rPr>
            <w:noProof/>
          </w:rPr>
          <w:t>Ranieri et al. 1994</w:t>
        </w:r>
      </w:hyperlink>
      <w:r w:rsidR="00065E22">
        <w:rPr>
          <w:noProof/>
        </w:rPr>
        <w:t>)</w:t>
      </w:r>
      <w:r w:rsidR="00065E22">
        <w:fldChar w:fldCharType="end"/>
      </w:r>
      <w:r w:rsidRPr="008F5205">
        <w:t>. This study reported that, of the newborns indicated for genetic testing (n</w:t>
      </w:r>
      <w:r w:rsidR="009166F2">
        <w:t> </w:t>
      </w:r>
      <w:r w:rsidRPr="008F5205">
        <w:t>=</w:t>
      </w:r>
      <w:r w:rsidR="009166F2">
        <w:t> </w:t>
      </w:r>
      <w:r w:rsidRPr="008F5205">
        <w:t xml:space="preserve">1,004), </w:t>
      </w:r>
      <w:r w:rsidR="00065E22">
        <w:t>six</w:t>
      </w:r>
      <w:r w:rsidR="00065E22" w:rsidRPr="008F5205">
        <w:t xml:space="preserve"> </w:t>
      </w:r>
      <w:r w:rsidRPr="008F5205">
        <w:t xml:space="preserve">(0.6%) </w:t>
      </w:r>
      <w:r w:rsidR="003411F3">
        <w:t>recorded</w:t>
      </w:r>
      <w:r w:rsidRPr="008F5205">
        <w:t xml:space="preserve"> a positive sweat test</w:t>
      </w:r>
      <w:r>
        <w:t xml:space="preserve"> after one </w:t>
      </w:r>
      <w:r w:rsidR="00FD37D3" w:rsidRPr="00FD37D3">
        <w:t>CFTR</w:t>
      </w:r>
      <w:r>
        <w:t xml:space="preserve"> mutation was identified</w:t>
      </w:r>
      <w:r w:rsidR="006E5876">
        <w:t xml:space="preserve"> </w:t>
      </w:r>
      <w:r w:rsidR="006E5876">
        <w:fldChar w:fldCharType="begin"/>
      </w:r>
      <w:r w:rsidR="006E5876">
        <w:instrText xml:space="preserve"> ADDIN EN.CITE &lt;EndNote&gt;&lt;Cite&gt;&lt;Author&gt;Ranieri&lt;/Author&gt;&lt;Year&gt;1994&lt;/Year&gt;&lt;RecNum&gt;49&lt;/RecNum&gt;&lt;IDText&gt;1469-1472&lt;/IDText&gt;&lt;DisplayText&gt;(Ranieri et al. 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rsidR="006E5876">
        <w:fldChar w:fldCharType="separate"/>
      </w:r>
      <w:r w:rsidR="006E5876">
        <w:rPr>
          <w:noProof/>
        </w:rPr>
        <w:t>(</w:t>
      </w:r>
      <w:hyperlink w:anchor="_ENREF_97" w:tooltip="Ranieri, 1994 #49" w:history="1">
        <w:r w:rsidR="00B46ABF">
          <w:rPr>
            <w:noProof/>
          </w:rPr>
          <w:t>Ranieri et al. 1994</w:t>
        </w:r>
      </w:hyperlink>
      <w:r w:rsidR="006E5876">
        <w:rPr>
          <w:noProof/>
        </w:rPr>
        <w:t>)</w:t>
      </w:r>
      <w:r w:rsidR="006E5876">
        <w:fldChar w:fldCharType="end"/>
      </w:r>
      <w:r w:rsidRPr="008F5205">
        <w:t xml:space="preserve">. This proportion is applied to the </w:t>
      </w:r>
      <w:r>
        <w:t xml:space="preserve">estimated </w:t>
      </w:r>
      <w:r w:rsidRPr="008F5205">
        <w:t xml:space="preserve">number of births in 2011 </w:t>
      </w:r>
      <w:r>
        <w:t>that required</w:t>
      </w:r>
      <w:r w:rsidRPr="008F5205">
        <w:t xml:space="preserve"> genetic </w:t>
      </w:r>
      <w:r w:rsidR="00FD37D3" w:rsidRPr="00FD37D3">
        <w:t>CFTR</w:t>
      </w:r>
      <w:r w:rsidRPr="008F5205">
        <w:t xml:space="preserve"> testing (</w:t>
      </w:r>
      <w:r>
        <w:fldChar w:fldCharType="begin"/>
      </w:r>
      <w:r>
        <w:instrText xml:space="preserve"> REF _Ref414541476 \h </w:instrText>
      </w:r>
      <w:r>
        <w:fldChar w:fldCharType="separate"/>
      </w:r>
      <w:r w:rsidR="00BB0E3E">
        <w:t xml:space="preserve">Table </w:t>
      </w:r>
      <w:r w:rsidR="00BB0E3E">
        <w:rPr>
          <w:noProof/>
        </w:rPr>
        <w:t>70</w:t>
      </w:r>
      <w:r>
        <w:fldChar w:fldCharType="end"/>
      </w:r>
      <w:r w:rsidR="00065E22">
        <w:t xml:space="preserve">, </w:t>
      </w:r>
      <w:r w:rsidR="00065E22" w:rsidRPr="008F5205">
        <w:t>Row D</w:t>
      </w:r>
      <w:r>
        <w:t xml:space="preserve">) to estimate the number of diagnostic tests conducted for this indication. </w:t>
      </w:r>
    </w:p>
    <w:p w14:paraId="5FA8B43D" w14:textId="77777777" w:rsidR="001E55A8" w:rsidRPr="008B2BB4" w:rsidRDefault="001E55A8" w:rsidP="001E55A8">
      <w:pPr>
        <w:pStyle w:val="Caption"/>
      </w:pPr>
      <w:bookmarkStart w:id="416" w:name="_Toc416855365"/>
      <w:bookmarkStart w:id="417" w:name="_Toc418179469"/>
      <w:r>
        <w:t xml:space="preserve">Table </w:t>
      </w:r>
      <w:fldSimple w:instr=" SEQ Table \* ARABIC ">
        <w:r w:rsidR="00BB0E3E">
          <w:rPr>
            <w:noProof/>
          </w:rPr>
          <w:t>72</w:t>
        </w:r>
      </w:fldSimple>
      <w:r>
        <w:tab/>
        <w:t>Estimated proportion of diagnostic tests, newborns with one mutation and positive sweat test</w:t>
      </w:r>
      <w:bookmarkEnd w:id="416"/>
      <w:bookmarkEnd w:id="417"/>
    </w:p>
    <w:tbl>
      <w:tblPr>
        <w:tblStyle w:val="TableGrid"/>
        <w:tblW w:w="0" w:type="auto"/>
        <w:tblInd w:w="108" w:type="dxa"/>
        <w:tblLook w:val="04A0" w:firstRow="1" w:lastRow="0" w:firstColumn="1" w:lastColumn="0" w:noHBand="0" w:noVBand="1"/>
        <w:tblCaption w:val="Estimated proportion of diagnostic tests, newborns with one mutation and positive sweat test"/>
        <w:tblDescription w:val="Estimated proportion of diagnostic tests, newborns with one mutation and positive sweat test"/>
      </w:tblPr>
      <w:tblGrid>
        <w:gridCol w:w="426"/>
        <w:gridCol w:w="4394"/>
        <w:gridCol w:w="2157"/>
        <w:gridCol w:w="2157"/>
      </w:tblGrid>
      <w:tr w:rsidR="001E55A8" w:rsidRPr="00735773" w14:paraId="17AD31C6" w14:textId="77777777" w:rsidTr="00CD1EDC">
        <w:trPr>
          <w:tblHeader/>
        </w:trPr>
        <w:tc>
          <w:tcPr>
            <w:tcW w:w="426" w:type="dxa"/>
          </w:tcPr>
          <w:p w14:paraId="66178045" w14:textId="77777777" w:rsidR="001E55A8" w:rsidRPr="00735773" w:rsidRDefault="001E55A8" w:rsidP="005B7F97">
            <w:pPr>
              <w:pStyle w:val="Caption"/>
              <w:spacing w:before="40"/>
              <w:ind w:left="0"/>
              <w:jc w:val="center"/>
              <w:rPr>
                <w:szCs w:val="20"/>
              </w:rPr>
            </w:pPr>
          </w:p>
        </w:tc>
        <w:tc>
          <w:tcPr>
            <w:tcW w:w="4394" w:type="dxa"/>
          </w:tcPr>
          <w:p w14:paraId="2EA0B76D" w14:textId="77777777" w:rsidR="001E55A8" w:rsidRPr="00735773" w:rsidRDefault="001E55A8" w:rsidP="005B7F97">
            <w:pPr>
              <w:pStyle w:val="Caption"/>
              <w:spacing w:before="40"/>
              <w:ind w:left="0"/>
              <w:jc w:val="left"/>
              <w:rPr>
                <w:szCs w:val="20"/>
              </w:rPr>
            </w:pPr>
            <w:r>
              <w:rPr>
                <w:szCs w:val="20"/>
              </w:rPr>
              <w:t>Parameter</w:t>
            </w:r>
          </w:p>
        </w:tc>
        <w:tc>
          <w:tcPr>
            <w:tcW w:w="2157" w:type="dxa"/>
          </w:tcPr>
          <w:p w14:paraId="66A99AB3" w14:textId="77777777" w:rsidR="001E55A8" w:rsidRPr="00735773" w:rsidRDefault="001E55A8" w:rsidP="005B7F97">
            <w:pPr>
              <w:pStyle w:val="Caption"/>
              <w:spacing w:before="40"/>
              <w:ind w:left="0"/>
              <w:jc w:val="center"/>
              <w:rPr>
                <w:szCs w:val="20"/>
              </w:rPr>
            </w:pPr>
            <w:r>
              <w:rPr>
                <w:szCs w:val="20"/>
              </w:rPr>
              <w:t>Value</w:t>
            </w:r>
          </w:p>
        </w:tc>
        <w:tc>
          <w:tcPr>
            <w:tcW w:w="2157" w:type="dxa"/>
          </w:tcPr>
          <w:p w14:paraId="13A0B785" w14:textId="77777777" w:rsidR="001E55A8" w:rsidRPr="00735773" w:rsidRDefault="001E55A8" w:rsidP="005B7F97">
            <w:pPr>
              <w:pStyle w:val="Caption"/>
              <w:spacing w:before="40"/>
              <w:ind w:left="0"/>
              <w:jc w:val="center"/>
              <w:rPr>
                <w:szCs w:val="20"/>
              </w:rPr>
            </w:pPr>
            <w:r>
              <w:rPr>
                <w:szCs w:val="20"/>
              </w:rPr>
              <w:t>Source</w:t>
            </w:r>
          </w:p>
        </w:tc>
      </w:tr>
      <w:tr w:rsidR="001E55A8" w:rsidRPr="00735773" w14:paraId="3697DEBE" w14:textId="77777777" w:rsidTr="005B7F97">
        <w:tc>
          <w:tcPr>
            <w:tcW w:w="426" w:type="dxa"/>
          </w:tcPr>
          <w:p w14:paraId="6A5B4534" w14:textId="77777777" w:rsidR="001E55A8" w:rsidRDefault="001E55A8" w:rsidP="005B7F97">
            <w:pPr>
              <w:pStyle w:val="Tabletext1"/>
              <w:ind w:left="0"/>
            </w:pPr>
            <w:r>
              <w:t>A</w:t>
            </w:r>
          </w:p>
        </w:tc>
        <w:tc>
          <w:tcPr>
            <w:tcW w:w="4394" w:type="dxa"/>
          </w:tcPr>
          <w:p w14:paraId="4A7AD8A5" w14:textId="77777777" w:rsidR="001E55A8" w:rsidRPr="00735773" w:rsidRDefault="001E55A8" w:rsidP="005B7F97">
            <w:pPr>
              <w:pStyle w:val="Tabletext1"/>
              <w:ind w:left="0"/>
            </w:pPr>
            <w:r>
              <w:t>Number of diagnostic tests, 2011</w:t>
            </w:r>
          </w:p>
        </w:tc>
        <w:tc>
          <w:tcPr>
            <w:tcW w:w="2157" w:type="dxa"/>
          </w:tcPr>
          <w:p w14:paraId="65D61C56" w14:textId="77777777" w:rsidR="001E55A8" w:rsidRPr="00735773" w:rsidRDefault="001E55A8" w:rsidP="004566DC">
            <w:pPr>
              <w:pStyle w:val="Tabletext1"/>
              <w:tabs>
                <w:tab w:val="decimal" w:pos="459"/>
              </w:tabs>
              <w:ind w:left="0"/>
              <w:jc w:val="center"/>
            </w:pPr>
            <w:r w:rsidRPr="00735773">
              <w:t>3,110</w:t>
            </w:r>
          </w:p>
        </w:tc>
        <w:tc>
          <w:tcPr>
            <w:tcW w:w="2157" w:type="dxa"/>
          </w:tcPr>
          <w:p w14:paraId="620A0CBF" w14:textId="77777777" w:rsidR="001E55A8" w:rsidRPr="00735773" w:rsidRDefault="001E55A8" w:rsidP="005B7F97">
            <w:pPr>
              <w:pStyle w:val="Tabletext1"/>
              <w:ind w:left="0"/>
              <w:jc w:val="center"/>
            </w:pPr>
            <w:r>
              <w:fldChar w:fldCharType="begin"/>
            </w:r>
            <w:r>
              <w:instrText xml:space="preserve"> REF _Ref413931638 \h  \* MERGEFORMAT </w:instrText>
            </w:r>
            <w:r>
              <w:fldChar w:fldCharType="separate"/>
            </w:r>
            <w:r w:rsidR="00BB0E3E">
              <w:t>Table 68</w:t>
            </w:r>
            <w:r>
              <w:fldChar w:fldCharType="end"/>
            </w:r>
          </w:p>
        </w:tc>
      </w:tr>
      <w:tr w:rsidR="001E55A8" w:rsidRPr="00735773" w14:paraId="7AAA24D1" w14:textId="77777777" w:rsidTr="005B7F97">
        <w:tc>
          <w:tcPr>
            <w:tcW w:w="426" w:type="dxa"/>
          </w:tcPr>
          <w:p w14:paraId="7B48F351" w14:textId="77777777" w:rsidR="001E55A8" w:rsidRDefault="001E55A8" w:rsidP="005B7F97">
            <w:pPr>
              <w:pStyle w:val="Tabletext1"/>
              <w:ind w:left="0"/>
            </w:pPr>
            <w:r>
              <w:t>B</w:t>
            </w:r>
          </w:p>
        </w:tc>
        <w:tc>
          <w:tcPr>
            <w:tcW w:w="4394" w:type="dxa"/>
          </w:tcPr>
          <w:p w14:paraId="38AB5187" w14:textId="559B692F" w:rsidR="001E55A8" w:rsidRPr="00735773" w:rsidRDefault="001E55A8" w:rsidP="005B7F97">
            <w:pPr>
              <w:pStyle w:val="Tabletext1"/>
              <w:ind w:left="0"/>
            </w:pPr>
            <w:r>
              <w:t xml:space="preserve">Number of births requiring genetic </w:t>
            </w:r>
            <w:r w:rsidR="00FD37D3" w:rsidRPr="00FD37D3">
              <w:t>CFTR</w:t>
            </w:r>
            <w:r>
              <w:t xml:space="preserve"> testing</w:t>
            </w:r>
          </w:p>
        </w:tc>
        <w:tc>
          <w:tcPr>
            <w:tcW w:w="2157" w:type="dxa"/>
          </w:tcPr>
          <w:p w14:paraId="1F637F7D" w14:textId="77777777" w:rsidR="001E55A8" w:rsidRPr="00735773" w:rsidRDefault="001E55A8" w:rsidP="004566DC">
            <w:pPr>
              <w:pStyle w:val="Tabletext1"/>
              <w:tabs>
                <w:tab w:val="decimal" w:pos="459"/>
              </w:tabs>
              <w:ind w:left="0"/>
              <w:jc w:val="center"/>
            </w:pPr>
            <w:r>
              <w:t>4,294</w:t>
            </w:r>
          </w:p>
        </w:tc>
        <w:tc>
          <w:tcPr>
            <w:tcW w:w="2157" w:type="dxa"/>
          </w:tcPr>
          <w:p w14:paraId="471E90E9" w14:textId="33896704" w:rsidR="001E55A8" w:rsidRPr="00735773" w:rsidRDefault="001E55A8" w:rsidP="005B7F97">
            <w:pPr>
              <w:pStyle w:val="Tabletext1"/>
              <w:ind w:left="0"/>
              <w:jc w:val="center"/>
            </w:pPr>
            <w:r>
              <w:fldChar w:fldCharType="begin"/>
            </w:r>
            <w:r>
              <w:instrText xml:space="preserve"> REF _Ref414541476 \h  \* MERGEFORMAT </w:instrText>
            </w:r>
            <w:r>
              <w:fldChar w:fldCharType="separate"/>
            </w:r>
            <w:r w:rsidR="00BB0E3E">
              <w:t>Table 70</w:t>
            </w:r>
            <w:r>
              <w:fldChar w:fldCharType="end"/>
            </w:r>
            <w:r w:rsidR="00281D2F">
              <w:t>, Row D</w:t>
            </w:r>
          </w:p>
        </w:tc>
      </w:tr>
      <w:tr w:rsidR="001E55A8" w:rsidRPr="00735773" w14:paraId="517F5F4C" w14:textId="77777777" w:rsidTr="005B7F97">
        <w:tc>
          <w:tcPr>
            <w:tcW w:w="426" w:type="dxa"/>
          </w:tcPr>
          <w:p w14:paraId="6C534E86" w14:textId="77777777" w:rsidR="001E55A8" w:rsidRDefault="001E55A8" w:rsidP="005B7F97">
            <w:pPr>
              <w:pStyle w:val="Tabletext1"/>
              <w:ind w:left="0"/>
            </w:pPr>
            <w:r>
              <w:t>C</w:t>
            </w:r>
          </w:p>
        </w:tc>
        <w:tc>
          <w:tcPr>
            <w:tcW w:w="4394" w:type="dxa"/>
          </w:tcPr>
          <w:p w14:paraId="52F85A66" w14:textId="77777777" w:rsidR="001E55A8" w:rsidRPr="00735773" w:rsidRDefault="001E55A8" w:rsidP="005B7F97">
            <w:pPr>
              <w:pStyle w:val="Tabletext1"/>
              <w:ind w:left="0"/>
            </w:pPr>
            <w:r>
              <w:t>Proportion with one mutation and positive sweat test</w:t>
            </w:r>
          </w:p>
        </w:tc>
        <w:tc>
          <w:tcPr>
            <w:tcW w:w="2157" w:type="dxa"/>
          </w:tcPr>
          <w:p w14:paraId="1CB0CE4D" w14:textId="77777777" w:rsidR="001E55A8" w:rsidRPr="00735773" w:rsidRDefault="001E55A8" w:rsidP="005B7F97">
            <w:pPr>
              <w:pStyle w:val="Tabletext1"/>
              <w:ind w:left="0"/>
              <w:jc w:val="center"/>
            </w:pPr>
            <w:r>
              <w:t>0.60%</w:t>
            </w:r>
          </w:p>
        </w:tc>
        <w:tc>
          <w:tcPr>
            <w:tcW w:w="2157" w:type="dxa"/>
          </w:tcPr>
          <w:p w14:paraId="45E7323E" w14:textId="0A6AF21D" w:rsidR="001E55A8" w:rsidRPr="00735773" w:rsidRDefault="001E55A8" w:rsidP="00B46ABF">
            <w:pPr>
              <w:pStyle w:val="Tabletext1"/>
              <w:ind w:left="0"/>
              <w:jc w:val="center"/>
            </w:pPr>
            <w:r>
              <w:t>Ranieri et al</w:t>
            </w:r>
            <w:r w:rsidR="00391A27">
              <w:t>.</w:t>
            </w:r>
            <w:r>
              <w:t xml:space="preserve"> </w:t>
            </w:r>
            <w:r w:rsidR="006E5876">
              <w:fldChar w:fldCharType="begin"/>
            </w:r>
            <w:r w:rsidR="006E5876">
              <w:instrText xml:space="preserve"> ADDIN EN.CITE &lt;EndNote&gt;&lt;Cite ExcludeAuth="1"&gt;&lt;Author&gt;Ranieri&lt;/Author&gt;&lt;Year&gt;1994&lt;/Year&gt;&lt;RecNum&gt;49&lt;/RecNum&gt;&lt;IDText&gt;1469-1472&lt;/IDText&gt;&lt;DisplayText&gt;(1994)&lt;/DisplayText&gt;&lt;record&gt;&lt;rec-number&gt;49&lt;/rec-number&gt;&lt;foreign-keys&gt;&lt;key app="EN" db-id="parffa0acae2voep5w3vv9rypas2tr522eef" timestamp="1430365848"&gt;49&lt;/key&gt;&lt;/foreign-keys&gt;&lt;ref-type name="Journal Article"&gt;17&lt;/ref-type&gt;&lt;contributors&gt;&lt;authors&gt;&lt;author&gt;Ranieri, E.&lt;/author&gt;&lt;author&gt;Lewis, B. D.&lt;/author&gt;&lt;author&gt;Gerace, R. L.&lt;/author&gt;&lt;author&gt;Ryall, R. G.&lt;/author&gt;&lt;author&gt;Morris, C. P.&lt;/author&gt;&lt;author&gt;Nelson, P. V.&lt;/author&gt;&lt;author&gt;Carey, W. F.&lt;/author&gt;&lt;author&gt;Robertson, E. F.&lt;/author&gt;&lt;/authors&gt;&lt;/contributors&gt;&lt;titles&gt;&lt;title&gt;Neonatal screening for cystic fibrosis using immunoreactive trypsinogen and direct gene analysis: four years&amp;apos; experience&lt;/title&gt;&lt;secondary-title&gt;BMJ : British Medical Journal&lt;/secondary-title&gt;&lt;/titles&gt;&lt;periodical&gt;&lt;full-title&gt;BMJ : British Medical Journal&lt;/full-title&gt;&lt;/periodical&gt;&lt;pages&gt;1469-1472&lt;/pages&gt;&lt;volume&gt;308&lt;/volume&gt;&lt;number&gt;6942&lt;/number&gt;&lt;dates&gt;&lt;year&gt;1994&lt;/year&gt;&lt;/dates&gt;&lt;publisher&gt;BMJ Group&lt;/publisher&gt;&lt;isbn&gt;0959-8138&amp;#xD;1468-5833&lt;/isbn&gt;&lt;accession-num&gt;PMC2540319&lt;/accession-num&gt;&lt;urls&gt;&lt;related-urls&gt;&lt;url&gt;http://www.ncbi.nlm.nih.gov/pmc/articles/PMC2540319/&lt;/url&gt;&lt;/related-urls&gt;&lt;/urls&gt;&lt;remote-database-name&gt;PMC&lt;/remote-database-name&gt;&lt;/record&gt;&lt;/Cite&gt;&lt;/EndNote&gt;</w:instrText>
            </w:r>
            <w:r w:rsidR="006E5876">
              <w:fldChar w:fldCharType="separate"/>
            </w:r>
            <w:r w:rsidR="006E5876">
              <w:rPr>
                <w:noProof/>
              </w:rPr>
              <w:t>(</w:t>
            </w:r>
            <w:hyperlink w:anchor="_ENREF_97" w:tooltip="Ranieri, 1994 #49" w:history="1">
              <w:r w:rsidR="00B46ABF">
                <w:rPr>
                  <w:noProof/>
                </w:rPr>
                <w:t>1994</w:t>
              </w:r>
            </w:hyperlink>
            <w:r w:rsidR="006E5876">
              <w:rPr>
                <w:noProof/>
              </w:rPr>
              <w:t>)</w:t>
            </w:r>
            <w:r w:rsidR="006E5876">
              <w:fldChar w:fldCharType="end"/>
            </w:r>
          </w:p>
        </w:tc>
      </w:tr>
      <w:tr w:rsidR="001E55A8" w:rsidRPr="00735773" w14:paraId="18469DB4" w14:textId="77777777" w:rsidTr="005B7F97">
        <w:tc>
          <w:tcPr>
            <w:tcW w:w="426" w:type="dxa"/>
          </w:tcPr>
          <w:p w14:paraId="1E77BA3B" w14:textId="77777777" w:rsidR="001E55A8" w:rsidRDefault="001E55A8" w:rsidP="005B7F97">
            <w:pPr>
              <w:pStyle w:val="Tabletext1"/>
              <w:ind w:left="0"/>
            </w:pPr>
            <w:r>
              <w:t>D</w:t>
            </w:r>
          </w:p>
        </w:tc>
        <w:tc>
          <w:tcPr>
            <w:tcW w:w="4394" w:type="dxa"/>
          </w:tcPr>
          <w:p w14:paraId="7230382E" w14:textId="77777777" w:rsidR="001E55A8" w:rsidRPr="00735773" w:rsidRDefault="001E55A8" w:rsidP="005B7F97">
            <w:pPr>
              <w:pStyle w:val="Tabletext1"/>
              <w:ind w:left="0"/>
            </w:pPr>
            <w:r>
              <w:t>Number with one mutation and positive sweat test</w:t>
            </w:r>
          </w:p>
        </w:tc>
        <w:tc>
          <w:tcPr>
            <w:tcW w:w="2157" w:type="dxa"/>
          </w:tcPr>
          <w:p w14:paraId="3EE8393E" w14:textId="77777777" w:rsidR="001E55A8" w:rsidRPr="00735773" w:rsidRDefault="001E55A8" w:rsidP="004566DC">
            <w:pPr>
              <w:pStyle w:val="Tabletext1"/>
              <w:tabs>
                <w:tab w:val="decimal" w:pos="459"/>
              </w:tabs>
              <w:ind w:left="0"/>
              <w:jc w:val="center"/>
            </w:pPr>
            <w:r>
              <w:t>26</w:t>
            </w:r>
          </w:p>
        </w:tc>
        <w:tc>
          <w:tcPr>
            <w:tcW w:w="2157" w:type="dxa"/>
          </w:tcPr>
          <w:p w14:paraId="6DE8D52A" w14:textId="77777777" w:rsidR="001E55A8" w:rsidRPr="00735773" w:rsidRDefault="001E55A8" w:rsidP="005B7F97">
            <w:pPr>
              <w:pStyle w:val="Tabletext1"/>
              <w:ind w:left="0"/>
              <w:jc w:val="center"/>
            </w:pPr>
            <w:r>
              <w:t xml:space="preserve">B </w:t>
            </w:r>
            <w:r w:rsidRPr="003D5E01">
              <w:t>×</w:t>
            </w:r>
            <w:r>
              <w:t xml:space="preserve"> C</w:t>
            </w:r>
          </w:p>
        </w:tc>
      </w:tr>
      <w:tr w:rsidR="001E55A8" w:rsidRPr="00735773" w14:paraId="4234786B" w14:textId="77777777" w:rsidTr="005B7F97">
        <w:tc>
          <w:tcPr>
            <w:tcW w:w="426" w:type="dxa"/>
          </w:tcPr>
          <w:p w14:paraId="681CB62A" w14:textId="77777777" w:rsidR="001E55A8" w:rsidRDefault="001E55A8" w:rsidP="005B7F97">
            <w:pPr>
              <w:pStyle w:val="Tabletext1"/>
              <w:ind w:left="0"/>
            </w:pPr>
            <w:r>
              <w:t>E</w:t>
            </w:r>
          </w:p>
        </w:tc>
        <w:tc>
          <w:tcPr>
            <w:tcW w:w="4394" w:type="dxa"/>
          </w:tcPr>
          <w:p w14:paraId="308556CE" w14:textId="77777777" w:rsidR="001E55A8" w:rsidRDefault="001E55A8" w:rsidP="005B7F97">
            <w:pPr>
              <w:pStyle w:val="Tabletext1"/>
              <w:ind w:left="0"/>
            </w:pPr>
            <w:r>
              <w:t>Proportion of diagnostic tests that are ineligible</w:t>
            </w:r>
          </w:p>
        </w:tc>
        <w:tc>
          <w:tcPr>
            <w:tcW w:w="2157" w:type="dxa"/>
          </w:tcPr>
          <w:p w14:paraId="065FE5BF" w14:textId="77777777" w:rsidR="001E55A8" w:rsidRDefault="001E55A8" w:rsidP="005B7F97">
            <w:pPr>
              <w:pStyle w:val="Tabletext1"/>
              <w:ind w:left="0"/>
              <w:jc w:val="center"/>
            </w:pPr>
            <w:r>
              <w:t>0.83%</w:t>
            </w:r>
          </w:p>
        </w:tc>
        <w:tc>
          <w:tcPr>
            <w:tcW w:w="2157" w:type="dxa"/>
          </w:tcPr>
          <w:p w14:paraId="27FD79C0" w14:textId="77777777" w:rsidR="001E55A8" w:rsidRDefault="001E55A8" w:rsidP="005B7F97">
            <w:pPr>
              <w:pStyle w:val="Tabletext1"/>
              <w:ind w:left="0"/>
              <w:jc w:val="center"/>
            </w:pPr>
            <w:r>
              <w:t>D/A</w:t>
            </w:r>
          </w:p>
        </w:tc>
      </w:tr>
    </w:tbl>
    <w:p w14:paraId="71FC6727" w14:textId="18C0EA42" w:rsidR="001E55A8" w:rsidRPr="005E63FE" w:rsidRDefault="00FD37D3" w:rsidP="001E55A8">
      <w:pPr>
        <w:pStyle w:val="TableNotes"/>
        <w:ind w:left="0"/>
        <w:rPr>
          <w:sz w:val="18"/>
          <w:szCs w:val="18"/>
        </w:rPr>
      </w:pPr>
      <w:r w:rsidRPr="00FD37D3">
        <w:rPr>
          <w:sz w:val="18"/>
          <w:szCs w:val="18"/>
        </w:rPr>
        <w:lastRenderedPageBreak/>
        <w:t>CFTR</w:t>
      </w:r>
      <w:r w:rsidR="001E55A8">
        <w:rPr>
          <w:sz w:val="18"/>
          <w:szCs w:val="18"/>
        </w:rPr>
        <w:t xml:space="preserve"> = </w:t>
      </w:r>
      <w:r w:rsidR="008D7DF2">
        <w:rPr>
          <w:sz w:val="18"/>
          <w:szCs w:val="18"/>
        </w:rPr>
        <w:t>c</w:t>
      </w:r>
      <w:r w:rsidR="00F9373B">
        <w:rPr>
          <w:sz w:val="18"/>
          <w:szCs w:val="18"/>
        </w:rPr>
        <w:t xml:space="preserve">ystic </w:t>
      </w:r>
      <w:r w:rsidR="008D7DF2">
        <w:rPr>
          <w:sz w:val="18"/>
          <w:szCs w:val="18"/>
        </w:rPr>
        <w:t>f</w:t>
      </w:r>
      <w:r w:rsidR="00F9373B">
        <w:rPr>
          <w:sz w:val="18"/>
          <w:szCs w:val="18"/>
        </w:rPr>
        <w:t xml:space="preserve">ibrosis </w:t>
      </w:r>
      <w:r w:rsidR="008D7DF2">
        <w:rPr>
          <w:sz w:val="18"/>
          <w:szCs w:val="18"/>
        </w:rPr>
        <w:t>t</w:t>
      </w:r>
      <w:r w:rsidR="00F9373B">
        <w:rPr>
          <w:sz w:val="18"/>
          <w:szCs w:val="18"/>
        </w:rPr>
        <w:t xml:space="preserve">ransmembrane conductance </w:t>
      </w:r>
      <w:r w:rsidR="008D7DF2">
        <w:rPr>
          <w:sz w:val="18"/>
          <w:szCs w:val="18"/>
        </w:rPr>
        <w:t>r</w:t>
      </w:r>
      <w:r w:rsidR="00F9373B">
        <w:rPr>
          <w:sz w:val="18"/>
          <w:szCs w:val="18"/>
        </w:rPr>
        <w:t>egulator</w:t>
      </w:r>
    </w:p>
    <w:p w14:paraId="7B0E2B8A" w14:textId="1C82ACF4" w:rsidR="001E55A8" w:rsidRDefault="001E55A8" w:rsidP="001E55A8">
      <w:r>
        <w:t>No data could be identified to estimate the proportion of predictive tests that would be eligible for proposed MBS funding. HESP</w:t>
      </w:r>
      <w:r w:rsidR="00281D2F">
        <w:t>-</w:t>
      </w:r>
      <w:r>
        <w:t>member opinion was sought and it was estimated that the proportion could represent 50% of tests</w:t>
      </w:r>
      <w:r>
        <w:rPr>
          <w:rStyle w:val="FootnoteReference"/>
        </w:rPr>
        <w:footnoteReference w:id="24"/>
      </w:r>
      <w:r w:rsidR="00281D2F">
        <w:t>.</w:t>
      </w:r>
      <w:r>
        <w:t xml:space="preserve"> This </w:t>
      </w:r>
      <w:r w:rsidR="00281D2F">
        <w:t>is</w:t>
      </w:r>
      <w:r>
        <w:t xml:space="preserve"> tested in sensitivity analysis, taking into consideration leakage of testing into relatives (e.g. siblings) of a person with CF.</w:t>
      </w:r>
    </w:p>
    <w:p w14:paraId="69A94E62" w14:textId="5C31DADD" w:rsidR="001E55A8" w:rsidRDefault="001E55A8" w:rsidP="001E55A8">
      <w:r>
        <w:fldChar w:fldCharType="begin"/>
      </w:r>
      <w:r>
        <w:instrText xml:space="preserve"> REF _Ref413931680 \h  \* MERGEFORMAT </w:instrText>
      </w:r>
      <w:r>
        <w:fldChar w:fldCharType="separate"/>
      </w:r>
      <w:r w:rsidR="00BB0E3E">
        <w:t>Table 73</w:t>
      </w:r>
      <w:r>
        <w:fldChar w:fldCharType="end"/>
      </w:r>
      <w:r>
        <w:t xml:space="preserve"> presents a summary of the eligible and ineligible indications, by broad indication, and the estimated proportion of tests eligible for MBS funding based on the literature and</w:t>
      </w:r>
      <w:r w:rsidR="00281D2F">
        <w:t>,</w:t>
      </w:r>
      <w:r>
        <w:t xml:space="preserve"> where applicable, HESP</w:t>
      </w:r>
      <w:r w:rsidR="00281D2F">
        <w:t>-</w:t>
      </w:r>
      <w:r>
        <w:t>member opinion. Given the uncertainties associated with the estimates, sensitivity analyses are presented using the estimates as indicated.</w:t>
      </w:r>
    </w:p>
    <w:p w14:paraId="1F30EC2E" w14:textId="6CBF3220" w:rsidR="001E55A8" w:rsidRPr="008B2BB4" w:rsidRDefault="001E55A8" w:rsidP="001E55A8">
      <w:pPr>
        <w:pStyle w:val="Caption"/>
      </w:pPr>
      <w:bookmarkStart w:id="418" w:name="_Ref413931680"/>
      <w:bookmarkStart w:id="419" w:name="_Toc416855366"/>
      <w:bookmarkStart w:id="420" w:name="_Toc418179470"/>
      <w:r>
        <w:t xml:space="preserve">Table </w:t>
      </w:r>
      <w:fldSimple w:instr=" SEQ Table \* ARABIC ">
        <w:r w:rsidR="00BB0E3E">
          <w:rPr>
            <w:noProof/>
          </w:rPr>
          <w:t>73</w:t>
        </w:r>
      </w:fldSimple>
      <w:bookmarkEnd w:id="418"/>
      <w:r>
        <w:tab/>
        <w:t xml:space="preserve">Proportion of </w:t>
      </w:r>
      <w:r w:rsidR="00FD37D3" w:rsidRPr="00FD37D3">
        <w:t>CFTR</w:t>
      </w:r>
      <w:r>
        <w:t xml:space="preserve"> mutation tests eligible for MBS funding</w:t>
      </w:r>
      <w:bookmarkEnd w:id="419"/>
      <w:bookmarkEnd w:id="420"/>
    </w:p>
    <w:tbl>
      <w:tblPr>
        <w:tblStyle w:val="TableGrid1"/>
        <w:tblW w:w="4941" w:type="pct"/>
        <w:tblLook w:val="04A0" w:firstRow="1" w:lastRow="0" w:firstColumn="1" w:lastColumn="0" w:noHBand="0" w:noVBand="1"/>
        <w:tblCaption w:val="Proportion of CFTR mutation tests eligible for MBS funding"/>
        <w:tblDescription w:val="Proportion of CFTR mutation tests eligible for MBS funding"/>
      </w:tblPr>
      <w:tblGrid>
        <w:gridCol w:w="1577"/>
        <w:gridCol w:w="2723"/>
        <w:gridCol w:w="2723"/>
        <w:gridCol w:w="2110"/>
      </w:tblGrid>
      <w:tr w:rsidR="001E55A8" w:rsidRPr="008B2BB4" w14:paraId="45683AB6"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863" w:type="pct"/>
            <w:hideMark/>
          </w:tcPr>
          <w:p w14:paraId="32E16DBD" w14:textId="77777777" w:rsidR="001E55A8" w:rsidRPr="008B2BB4" w:rsidRDefault="001E55A8" w:rsidP="004566DC">
            <w:pPr>
              <w:pStyle w:val="TableHeading"/>
              <w:jc w:val="left"/>
            </w:pPr>
            <w:r w:rsidRPr="008B2BB4">
              <w:t>Broad indication</w:t>
            </w:r>
          </w:p>
        </w:tc>
        <w:tc>
          <w:tcPr>
            <w:tcW w:w="1491" w:type="pct"/>
            <w:hideMark/>
          </w:tcPr>
          <w:p w14:paraId="0D3BBB03" w14:textId="77777777" w:rsidR="001E55A8" w:rsidRPr="008B2BB4" w:rsidRDefault="001E55A8" w:rsidP="004566DC">
            <w:pPr>
              <w:pStyle w:val="TableHeading"/>
              <w:jc w:val="left"/>
            </w:pPr>
            <w:r w:rsidRPr="008B2BB4">
              <w:t xml:space="preserve">Proposed listing </w:t>
            </w:r>
          </w:p>
        </w:tc>
        <w:tc>
          <w:tcPr>
            <w:tcW w:w="1491" w:type="pct"/>
            <w:hideMark/>
          </w:tcPr>
          <w:p w14:paraId="47822347" w14:textId="77777777" w:rsidR="001E55A8" w:rsidRPr="008B2BB4" w:rsidRDefault="001E55A8" w:rsidP="004566DC">
            <w:pPr>
              <w:pStyle w:val="TableHeading"/>
              <w:jc w:val="left"/>
            </w:pPr>
            <w:r w:rsidRPr="008B2BB4">
              <w:t xml:space="preserve">Not proposed </w:t>
            </w:r>
          </w:p>
        </w:tc>
        <w:tc>
          <w:tcPr>
            <w:tcW w:w="1155" w:type="pct"/>
            <w:hideMark/>
          </w:tcPr>
          <w:p w14:paraId="669035AE" w14:textId="6C0AE292" w:rsidR="001E55A8" w:rsidRPr="008B2BB4" w:rsidRDefault="001E55A8" w:rsidP="004566DC">
            <w:pPr>
              <w:pStyle w:val="TableHeading"/>
              <w:ind w:left="139"/>
              <w:jc w:val="left"/>
              <w:rPr>
                <w:bCs/>
              </w:rPr>
            </w:pPr>
            <w:r w:rsidRPr="008B2BB4">
              <w:t xml:space="preserve">Proportion </w:t>
            </w:r>
            <w:r w:rsidR="00F646E4">
              <w:t xml:space="preserve">of </w:t>
            </w:r>
            <w:r w:rsidRPr="008B2BB4">
              <w:t>tests eligible</w:t>
            </w:r>
          </w:p>
        </w:tc>
      </w:tr>
      <w:tr w:rsidR="00473437" w:rsidRPr="008B2BB4" w14:paraId="2643666F" w14:textId="77777777" w:rsidTr="0042252D">
        <w:tc>
          <w:tcPr>
            <w:tcW w:w="863" w:type="pct"/>
            <w:hideMark/>
          </w:tcPr>
          <w:p w14:paraId="4AA1448A" w14:textId="77777777" w:rsidR="00473437" w:rsidRPr="008B2BB4" w:rsidRDefault="00473437" w:rsidP="004566DC">
            <w:pPr>
              <w:pStyle w:val="Tabletext1"/>
              <w:jc w:val="left"/>
            </w:pPr>
            <w:r w:rsidRPr="008B2BB4">
              <w:t xml:space="preserve">Diagnostic </w:t>
            </w:r>
          </w:p>
          <w:p w14:paraId="27CF359B" w14:textId="77777777" w:rsidR="00473437" w:rsidRPr="008B2BB4" w:rsidRDefault="00473437" w:rsidP="004566DC">
            <w:pPr>
              <w:pStyle w:val="Tabletext1"/>
              <w:jc w:val="left"/>
            </w:pPr>
          </w:p>
        </w:tc>
        <w:tc>
          <w:tcPr>
            <w:tcW w:w="1491" w:type="pct"/>
            <w:hideMark/>
          </w:tcPr>
          <w:p w14:paraId="351E9A65" w14:textId="7FA64266" w:rsidR="00473437" w:rsidRPr="008B2BB4" w:rsidRDefault="00473437" w:rsidP="004566DC">
            <w:pPr>
              <w:pStyle w:val="Tabletext1"/>
              <w:numPr>
                <w:ilvl w:val="0"/>
                <w:numId w:val="31"/>
              </w:numPr>
              <w:ind w:left="112" w:hanging="142"/>
              <w:jc w:val="left"/>
            </w:pPr>
            <w:r w:rsidRPr="008B2BB4">
              <w:t xml:space="preserve">People suspected of classic CF </w:t>
            </w:r>
            <w:r>
              <w:t>(</w:t>
            </w:r>
            <w:r w:rsidR="00F646E4">
              <w:t>p</w:t>
            </w:r>
            <w:r>
              <w:t>opulation 1b, Table 9)</w:t>
            </w:r>
          </w:p>
          <w:p w14:paraId="15374FAD" w14:textId="284E3566" w:rsidR="00473437" w:rsidRPr="008B2BB4" w:rsidRDefault="00473437" w:rsidP="004566DC">
            <w:pPr>
              <w:pStyle w:val="Tabletext1"/>
              <w:numPr>
                <w:ilvl w:val="0"/>
                <w:numId w:val="31"/>
              </w:numPr>
              <w:ind w:left="112" w:hanging="142"/>
              <w:jc w:val="left"/>
            </w:pPr>
            <w:r w:rsidRPr="008B2BB4">
              <w:t>People suspected of non-classic CF (inc</w:t>
            </w:r>
            <w:r>
              <w:t>luding</w:t>
            </w:r>
            <w:r w:rsidRPr="008B2BB4">
              <w:t xml:space="preserve"> men with CBAVD) </w:t>
            </w:r>
            <w:r>
              <w:t>(</w:t>
            </w:r>
            <w:r w:rsidR="00F646E4">
              <w:t>p</w:t>
            </w:r>
            <w:r>
              <w:t>opulations 1c &amp; 1d, Table 9)</w:t>
            </w:r>
          </w:p>
        </w:tc>
        <w:tc>
          <w:tcPr>
            <w:tcW w:w="1491" w:type="pct"/>
            <w:hideMark/>
          </w:tcPr>
          <w:p w14:paraId="05F84E3B" w14:textId="69802660" w:rsidR="00473437" w:rsidRPr="008B2BB4" w:rsidRDefault="00473437" w:rsidP="004566DC">
            <w:pPr>
              <w:pStyle w:val="Tabletext1"/>
              <w:numPr>
                <w:ilvl w:val="0"/>
                <w:numId w:val="31"/>
              </w:numPr>
              <w:ind w:left="112" w:hanging="142"/>
              <w:jc w:val="left"/>
            </w:pPr>
            <w:r w:rsidRPr="008B2BB4">
              <w:t xml:space="preserve">Newborns with one mutation identified in </w:t>
            </w:r>
            <w:r w:rsidR="009E0E83">
              <w:t>NBS</w:t>
            </w:r>
            <w:r w:rsidRPr="008B2BB4">
              <w:t xml:space="preserve"> </w:t>
            </w:r>
            <w:r>
              <w:t xml:space="preserve">and </w:t>
            </w:r>
            <w:r w:rsidR="003053B4">
              <w:t xml:space="preserve">a </w:t>
            </w:r>
            <w:r>
              <w:t xml:space="preserve">positive sweat test </w:t>
            </w:r>
            <w:r w:rsidRPr="008B2BB4">
              <w:t>(and so require diagnostic t</w:t>
            </w:r>
            <w:r>
              <w:t>est to identify other mutation)</w:t>
            </w:r>
            <w:r w:rsidR="003053B4" w:rsidDel="003053B4">
              <w:t xml:space="preserve"> </w:t>
            </w:r>
            <w:r>
              <w:t>(</w:t>
            </w:r>
            <w:r w:rsidR="009E0E83">
              <w:t>p</w:t>
            </w:r>
            <w:r>
              <w:t>opulation 1, Table 10)</w:t>
            </w:r>
          </w:p>
        </w:tc>
        <w:tc>
          <w:tcPr>
            <w:tcW w:w="1155" w:type="pct"/>
          </w:tcPr>
          <w:p w14:paraId="21DDF19F" w14:textId="77777777" w:rsidR="00473437" w:rsidRDefault="00473437" w:rsidP="004566DC">
            <w:pPr>
              <w:pStyle w:val="Tabletext1"/>
              <w:ind w:left="139"/>
              <w:jc w:val="left"/>
              <w:rPr>
                <w:vertAlign w:val="superscript"/>
              </w:rPr>
            </w:pPr>
            <w:r>
              <w:t>99</w:t>
            </w:r>
            <w:r w:rsidRPr="00704929">
              <w:t>%</w:t>
            </w:r>
          </w:p>
          <w:p w14:paraId="5A8B1F7A" w14:textId="77777777" w:rsidR="00473437" w:rsidRPr="008B4F4D" w:rsidRDefault="00473437" w:rsidP="004566DC">
            <w:pPr>
              <w:pStyle w:val="Tabletext1"/>
              <w:ind w:left="139"/>
              <w:jc w:val="left"/>
            </w:pPr>
          </w:p>
        </w:tc>
      </w:tr>
      <w:tr w:rsidR="00473437" w:rsidRPr="008B2BB4" w14:paraId="4FB7F875" w14:textId="77777777" w:rsidTr="0042252D">
        <w:tc>
          <w:tcPr>
            <w:tcW w:w="863" w:type="pct"/>
            <w:hideMark/>
          </w:tcPr>
          <w:p w14:paraId="02BD855F" w14:textId="77777777" w:rsidR="00473437" w:rsidRPr="008B2BB4" w:rsidRDefault="00473437" w:rsidP="004566DC">
            <w:pPr>
              <w:pStyle w:val="Tabletext1"/>
              <w:jc w:val="left"/>
            </w:pPr>
            <w:r w:rsidRPr="008B2BB4">
              <w:t xml:space="preserve">Predictive </w:t>
            </w:r>
          </w:p>
        </w:tc>
        <w:tc>
          <w:tcPr>
            <w:tcW w:w="1491" w:type="pct"/>
            <w:hideMark/>
          </w:tcPr>
          <w:p w14:paraId="3BB24735" w14:textId="49685D31" w:rsidR="00473437" w:rsidRPr="008B2BB4" w:rsidRDefault="00473437" w:rsidP="004566DC">
            <w:pPr>
              <w:pStyle w:val="Tabletext1"/>
              <w:numPr>
                <w:ilvl w:val="0"/>
                <w:numId w:val="31"/>
              </w:numPr>
              <w:ind w:left="112" w:hanging="142"/>
              <w:jc w:val="left"/>
            </w:pPr>
            <w:r w:rsidRPr="008B2BB4">
              <w:t xml:space="preserve">Pregnant couples who have a previous child with CF; or in the current pregnancy who have a fetus with an echogenic gut </w:t>
            </w:r>
            <w:r>
              <w:t>(</w:t>
            </w:r>
            <w:r w:rsidR="00F646E4">
              <w:t>p</w:t>
            </w:r>
            <w:r>
              <w:t>opulations 2a &amp; 2b, Table 9)</w:t>
            </w:r>
          </w:p>
        </w:tc>
        <w:tc>
          <w:tcPr>
            <w:tcW w:w="1491" w:type="pct"/>
            <w:hideMark/>
          </w:tcPr>
          <w:p w14:paraId="416290DA" w14:textId="77777777" w:rsidR="00473437" w:rsidRPr="008B2BB4" w:rsidRDefault="00473437" w:rsidP="004566DC">
            <w:pPr>
              <w:pStyle w:val="Tabletext1"/>
              <w:numPr>
                <w:ilvl w:val="0"/>
                <w:numId w:val="31"/>
              </w:numPr>
              <w:ind w:left="112" w:hanging="142"/>
              <w:jc w:val="left"/>
            </w:pPr>
            <w:r w:rsidRPr="008B2BB4">
              <w:t xml:space="preserve">Cascade testing of other family members </w:t>
            </w:r>
          </w:p>
        </w:tc>
        <w:tc>
          <w:tcPr>
            <w:tcW w:w="1155" w:type="pct"/>
          </w:tcPr>
          <w:p w14:paraId="7D5BC871" w14:textId="7BF685C4" w:rsidR="00473437" w:rsidRDefault="00473437" w:rsidP="004566DC">
            <w:pPr>
              <w:pStyle w:val="Tabletext1"/>
              <w:ind w:left="139"/>
              <w:jc w:val="left"/>
              <w:rPr>
                <w:vertAlign w:val="superscript"/>
              </w:rPr>
            </w:pPr>
            <w:r w:rsidRPr="00704929">
              <w:t>50%</w:t>
            </w:r>
            <w:r w:rsidR="006E1F8D">
              <w:t xml:space="preserve"> </w:t>
            </w:r>
            <w:r>
              <w:rPr>
                <w:vertAlign w:val="superscript"/>
              </w:rPr>
              <w:t xml:space="preserve">a </w:t>
            </w:r>
          </w:p>
          <w:p w14:paraId="4525A1AB" w14:textId="77777777" w:rsidR="00473437" w:rsidRPr="00704929" w:rsidRDefault="00473437" w:rsidP="004566DC">
            <w:pPr>
              <w:pStyle w:val="Tabletext1"/>
              <w:ind w:left="139"/>
              <w:jc w:val="left"/>
            </w:pPr>
            <w:r>
              <w:t>Sensitivity analysis: 100%</w:t>
            </w:r>
          </w:p>
        </w:tc>
      </w:tr>
      <w:tr w:rsidR="00473437" w:rsidRPr="008B2BB4" w14:paraId="3D3978F3" w14:textId="77777777" w:rsidTr="0042252D">
        <w:tc>
          <w:tcPr>
            <w:tcW w:w="863" w:type="pct"/>
            <w:hideMark/>
          </w:tcPr>
          <w:p w14:paraId="5FC38A73" w14:textId="77777777" w:rsidR="00473437" w:rsidRPr="008B2BB4" w:rsidRDefault="00473437" w:rsidP="004566DC">
            <w:pPr>
              <w:pStyle w:val="Tabletext1"/>
              <w:jc w:val="left"/>
            </w:pPr>
            <w:r w:rsidRPr="008B2BB4">
              <w:t>Prenatal</w:t>
            </w:r>
            <w:r>
              <w:t xml:space="preserve"> diagnostic</w:t>
            </w:r>
          </w:p>
        </w:tc>
        <w:tc>
          <w:tcPr>
            <w:tcW w:w="1491" w:type="pct"/>
            <w:hideMark/>
          </w:tcPr>
          <w:p w14:paraId="6BA357D5" w14:textId="750FE827" w:rsidR="00473437" w:rsidRPr="008B2BB4" w:rsidRDefault="00473437" w:rsidP="004566DC">
            <w:pPr>
              <w:pStyle w:val="Tabletext1"/>
              <w:numPr>
                <w:ilvl w:val="0"/>
                <w:numId w:val="31"/>
              </w:numPr>
              <w:ind w:left="112" w:hanging="142"/>
              <w:jc w:val="left"/>
            </w:pPr>
            <w:r w:rsidRPr="008B2BB4">
              <w:t>Fetuses at high risk of having CF</w:t>
            </w:r>
            <w:r w:rsidR="003053B4" w:rsidDel="003053B4">
              <w:t xml:space="preserve"> </w:t>
            </w:r>
            <w:r>
              <w:t>(</w:t>
            </w:r>
            <w:r w:rsidR="00F646E4">
              <w:t>p</w:t>
            </w:r>
            <w:r>
              <w:t>opulations 2a &amp; 2b, Table 9)</w:t>
            </w:r>
          </w:p>
        </w:tc>
        <w:tc>
          <w:tcPr>
            <w:tcW w:w="1491" w:type="pct"/>
            <w:hideMark/>
          </w:tcPr>
          <w:p w14:paraId="746D8275" w14:textId="77777777" w:rsidR="00473437" w:rsidRPr="008B2BB4" w:rsidRDefault="00473437" w:rsidP="004566DC">
            <w:pPr>
              <w:pStyle w:val="Tabletext1"/>
              <w:numPr>
                <w:ilvl w:val="0"/>
                <w:numId w:val="31"/>
              </w:numPr>
              <w:ind w:left="112" w:hanging="142"/>
              <w:jc w:val="left"/>
            </w:pPr>
            <w:r>
              <w:t>None</w:t>
            </w:r>
          </w:p>
        </w:tc>
        <w:tc>
          <w:tcPr>
            <w:tcW w:w="1155" w:type="pct"/>
            <w:hideMark/>
          </w:tcPr>
          <w:p w14:paraId="2832BAEA" w14:textId="77777777" w:rsidR="00473437" w:rsidRPr="00704929" w:rsidRDefault="00473437" w:rsidP="004566DC">
            <w:pPr>
              <w:pStyle w:val="Tabletext1"/>
              <w:ind w:left="139"/>
              <w:jc w:val="left"/>
            </w:pPr>
            <w:r>
              <w:t>100%</w:t>
            </w:r>
          </w:p>
        </w:tc>
      </w:tr>
      <w:tr w:rsidR="00473437" w:rsidRPr="008B2BB4" w14:paraId="0B7F4236" w14:textId="77777777" w:rsidTr="0042252D">
        <w:tc>
          <w:tcPr>
            <w:tcW w:w="863" w:type="pct"/>
            <w:hideMark/>
          </w:tcPr>
          <w:p w14:paraId="60E1E93A" w14:textId="77777777" w:rsidR="00473437" w:rsidRPr="008B2BB4" w:rsidRDefault="00473437" w:rsidP="004566DC">
            <w:pPr>
              <w:pStyle w:val="Tabletext1"/>
              <w:jc w:val="left"/>
            </w:pPr>
            <w:r w:rsidRPr="008B2BB4">
              <w:t xml:space="preserve">Screening </w:t>
            </w:r>
          </w:p>
        </w:tc>
        <w:tc>
          <w:tcPr>
            <w:tcW w:w="1491" w:type="pct"/>
            <w:hideMark/>
          </w:tcPr>
          <w:p w14:paraId="55BD45F0" w14:textId="79C0A81A" w:rsidR="00473437" w:rsidRPr="008B2BB4" w:rsidRDefault="00473437" w:rsidP="004566DC">
            <w:pPr>
              <w:pStyle w:val="Tabletext1"/>
              <w:numPr>
                <w:ilvl w:val="0"/>
                <w:numId w:val="31"/>
              </w:numPr>
              <w:ind w:left="112" w:hanging="142"/>
              <w:jc w:val="left"/>
            </w:pPr>
            <w:r w:rsidRPr="008B2BB4">
              <w:t xml:space="preserve">Partners of a person with CF or partners of a known CF carrier </w:t>
            </w:r>
            <w:r>
              <w:t>(</w:t>
            </w:r>
            <w:r w:rsidR="00F646E4">
              <w:t>p</w:t>
            </w:r>
            <w:r>
              <w:t>opulation 3, Table 9)</w:t>
            </w:r>
          </w:p>
        </w:tc>
        <w:tc>
          <w:tcPr>
            <w:tcW w:w="1491" w:type="pct"/>
            <w:hideMark/>
          </w:tcPr>
          <w:p w14:paraId="5930E94B" w14:textId="6EFDE45B" w:rsidR="00473437" w:rsidRPr="008B2BB4" w:rsidRDefault="00E700E7" w:rsidP="004566DC">
            <w:pPr>
              <w:pStyle w:val="Tabletext1"/>
              <w:numPr>
                <w:ilvl w:val="0"/>
                <w:numId w:val="31"/>
              </w:numPr>
              <w:ind w:left="112" w:hanging="142"/>
              <w:jc w:val="left"/>
            </w:pPr>
            <w:r>
              <w:t>NBS</w:t>
            </w:r>
            <w:r w:rsidR="00473437" w:rsidRPr="008B2BB4">
              <w:t xml:space="preserve"> </w:t>
            </w:r>
          </w:p>
          <w:p w14:paraId="4472CBAC" w14:textId="77777777" w:rsidR="00473437" w:rsidRPr="008B2BB4" w:rsidRDefault="00473437" w:rsidP="004566DC">
            <w:pPr>
              <w:pStyle w:val="Tabletext1"/>
              <w:numPr>
                <w:ilvl w:val="0"/>
                <w:numId w:val="31"/>
              </w:numPr>
              <w:ind w:left="112" w:hanging="142"/>
              <w:jc w:val="left"/>
            </w:pPr>
            <w:r>
              <w:t>S</w:t>
            </w:r>
            <w:r w:rsidRPr="008B2BB4">
              <w:t xml:space="preserve">creening in the general population </w:t>
            </w:r>
          </w:p>
        </w:tc>
        <w:tc>
          <w:tcPr>
            <w:tcW w:w="1155" w:type="pct"/>
          </w:tcPr>
          <w:p w14:paraId="02FC4EC5" w14:textId="77777777" w:rsidR="00473437" w:rsidRDefault="00473437" w:rsidP="004566DC">
            <w:pPr>
              <w:pStyle w:val="Tabletext1"/>
              <w:ind w:left="139"/>
              <w:jc w:val="left"/>
              <w:rPr>
                <w:vertAlign w:val="superscript"/>
              </w:rPr>
            </w:pPr>
            <w:r>
              <w:t>3</w:t>
            </w:r>
            <w:r w:rsidRPr="00704929">
              <w:t>%</w:t>
            </w:r>
          </w:p>
          <w:p w14:paraId="24668168" w14:textId="77777777" w:rsidR="00473437" w:rsidRPr="008B2BB4" w:rsidRDefault="00473437" w:rsidP="004566DC">
            <w:pPr>
              <w:pStyle w:val="Tabletext1"/>
              <w:ind w:left="139"/>
              <w:jc w:val="left"/>
            </w:pPr>
            <w:r>
              <w:t>Sensitivity analysis: 25%</w:t>
            </w:r>
            <w:r>
              <w:rPr>
                <w:vertAlign w:val="superscript"/>
              </w:rPr>
              <w:t xml:space="preserve"> a</w:t>
            </w:r>
          </w:p>
        </w:tc>
      </w:tr>
    </w:tbl>
    <w:p w14:paraId="2C1BCA6A" w14:textId="3BAB858F" w:rsidR="001E55A8" w:rsidRDefault="001E55A8" w:rsidP="004566DC">
      <w:pPr>
        <w:pStyle w:val="TableNotes"/>
        <w:spacing w:after="0" w:line="240" w:lineRule="auto"/>
        <w:ind w:left="0"/>
        <w:contextualSpacing w:val="0"/>
        <w:rPr>
          <w:sz w:val="18"/>
          <w:szCs w:val="18"/>
        </w:rPr>
      </w:pPr>
      <w:r w:rsidRPr="004566DC">
        <w:rPr>
          <w:sz w:val="18"/>
          <w:szCs w:val="18"/>
          <w:vertAlign w:val="superscript"/>
        </w:rPr>
        <w:t>a</w:t>
      </w:r>
      <w:r>
        <w:rPr>
          <w:sz w:val="18"/>
          <w:szCs w:val="18"/>
        </w:rPr>
        <w:t xml:space="preserve"> HESP member pers</w:t>
      </w:r>
      <w:r w:rsidR="00774E93">
        <w:rPr>
          <w:sz w:val="18"/>
          <w:szCs w:val="18"/>
        </w:rPr>
        <w:t>.</w:t>
      </w:r>
      <w:r>
        <w:rPr>
          <w:sz w:val="18"/>
          <w:szCs w:val="18"/>
        </w:rPr>
        <w:t xml:space="preserve"> comm</w:t>
      </w:r>
      <w:r w:rsidR="00774E93">
        <w:rPr>
          <w:sz w:val="18"/>
          <w:szCs w:val="18"/>
        </w:rPr>
        <w:t>.</w:t>
      </w:r>
      <w:r>
        <w:rPr>
          <w:sz w:val="18"/>
          <w:szCs w:val="18"/>
        </w:rPr>
        <w:t>, 16</w:t>
      </w:r>
      <w:r w:rsidR="00E54B36">
        <w:rPr>
          <w:sz w:val="18"/>
          <w:szCs w:val="18"/>
        </w:rPr>
        <w:t xml:space="preserve"> March 2</w:t>
      </w:r>
      <w:r>
        <w:rPr>
          <w:sz w:val="18"/>
          <w:szCs w:val="18"/>
        </w:rPr>
        <w:t>015</w:t>
      </w:r>
    </w:p>
    <w:p w14:paraId="41311235" w14:textId="2E1C67F9" w:rsidR="001E55A8" w:rsidRDefault="001E55A8" w:rsidP="004566DC">
      <w:pPr>
        <w:pStyle w:val="TableNotes"/>
        <w:spacing w:after="0" w:line="240" w:lineRule="auto"/>
        <w:ind w:left="0"/>
        <w:rPr>
          <w:sz w:val="18"/>
          <w:szCs w:val="18"/>
        </w:rPr>
      </w:pPr>
      <w:r>
        <w:rPr>
          <w:sz w:val="18"/>
          <w:szCs w:val="18"/>
        </w:rPr>
        <w:t xml:space="preserve">CBAVD = congenital bilateral absence of the vas deferens; CF = cystic fibrosis; </w:t>
      </w:r>
      <w:r w:rsidR="00FD37D3" w:rsidRPr="00FD37D3">
        <w:rPr>
          <w:sz w:val="18"/>
          <w:szCs w:val="18"/>
        </w:rPr>
        <w:t>CFTR</w:t>
      </w:r>
      <w:r>
        <w:rPr>
          <w:sz w:val="18"/>
          <w:szCs w:val="18"/>
        </w:rPr>
        <w:t xml:space="preserve"> = </w:t>
      </w:r>
      <w:r w:rsidR="00AA10A8">
        <w:rPr>
          <w:sz w:val="18"/>
          <w:szCs w:val="18"/>
        </w:rPr>
        <w:t>c</w:t>
      </w:r>
      <w:r w:rsidR="00F9373B">
        <w:rPr>
          <w:sz w:val="18"/>
          <w:szCs w:val="18"/>
        </w:rPr>
        <w:t xml:space="preserve">ystic </w:t>
      </w:r>
      <w:r w:rsidR="00AA10A8">
        <w:rPr>
          <w:sz w:val="18"/>
          <w:szCs w:val="18"/>
        </w:rPr>
        <w:t>f</w:t>
      </w:r>
      <w:r w:rsidR="00F9373B">
        <w:rPr>
          <w:sz w:val="18"/>
          <w:szCs w:val="18"/>
        </w:rPr>
        <w:t xml:space="preserve">ibrosis </w:t>
      </w:r>
      <w:r w:rsidR="00AA10A8">
        <w:rPr>
          <w:sz w:val="18"/>
          <w:szCs w:val="18"/>
        </w:rPr>
        <w:t>t</w:t>
      </w:r>
      <w:r w:rsidR="00F9373B">
        <w:rPr>
          <w:sz w:val="18"/>
          <w:szCs w:val="18"/>
        </w:rPr>
        <w:t xml:space="preserve">ransmembrane conductance </w:t>
      </w:r>
      <w:r w:rsidR="00AA10A8">
        <w:rPr>
          <w:sz w:val="18"/>
          <w:szCs w:val="18"/>
        </w:rPr>
        <w:t>r</w:t>
      </w:r>
      <w:r w:rsidR="00F9373B">
        <w:rPr>
          <w:sz w:val="18"/>
          <w:szCs w:val="18"/>
        </w:rPr>
        <w:t>egulator</w:t>
      </w:r>
      <w:r w:rsidR="00F73DCB">
        <w:rPr>
          <w:sz w:val="18"/>
          <w:szCs w:val="18"/>
        </w:rPr>
        <w:t xml:space="preserve">; MBS </w:t>
      </w:r>
      <w:r>
        <w:rPr>
          <w:sz w:val="18"/>
          <w:szCs w:val="18"/>
        </w:rPr>
        <w:t>=</w:t>
      </w:r>
      <w:r w:rsidR="00F73DCB">
        <w:rPr>
          <w:sz w:val="18"/>
          <w:szCs w:val="18"/>
        </w:rPr>
        <w:t xml:space="preserve"> </w:t>
      </w:r>
      <w:r>
        <w:rPr>
          <w:sz w:val="18"/>
          <w:szCs w:val="18"/>
        </w:rPr>
        <w:t>Medicare Benefits Schedule</w:t>
      </w:r>
      <w:r w:rsidR="009E0E83">
        <w:rPr>
          <w:sz w:val="18"/>
          <w:szCs w:val="18"/>
        </w:rPr>
        <w:t>; NBS = newborn screening</w:t>
      </w:r>
    </w:p>
    <w:p w14:paraId="78C07830" w14:textId="77777777" w:rsidR="00E82DB7" w:rsidRPr="00A97EEE" w:rsidRDefault="00E82DB7" w:rsidP="004566DC">
      <w:pPr>
        <w:pStyle w:val="TableNotes"/>
        <w:spacing w:after="0" w:line="240" w:lineRule="auto"/>
        <w:ind w:left="0"/>
        <w:rPr>
          <w:sz w:val="18"/>
          <w:szCs w:val="18"/>
        </w:rPr>
      </w:pPr>
    </w:p>
    <w:p w14:paraId="129462F5" w14:textId="04C49DAA" w:rsidR="001E55A8" w:rsidRDefault="001E55A8" w:rsidP="001E55A8">
      <w:r>
        <w:t xml:space="preserve">These estimates are applied to the total number of tests, as presented in </w:t>
      </w:r>
      <w:r>
        <w:fldChar w:fldCharType="begin"/>
      </w:r>
      <w:r>
        <w:instrText xml:space="preserve"> REF _Ref413931663 \h </w:instrText>
      </w:r>
      <w:r>
        <w:fldChar w:fldCharType="separate"/>
      </w:r>
      <w:r w:rsidR="00BB0E3E">
        <w:t xml:space="preserve">Table </w:t>
      </w:r>
      <w:r w:rsidR="00BB0E3E">
        <w:rPr>
          <w:noProof/>
        </w:rPr>
        <w:t>69</w:t>
      </w:r>
      <w:r>
        <w:fldChar w:fldCharType="end"/>
      </w:r>
      <w:r>
        <w:t>, and the number</w:t>
      </w:r>
      <w:r w:rsidR="00694E6A">
        <w:t>s</w:t>
      </w:r>
      <w:r>
        <w:t xml:space="preserve"> of tests eligible for MBS funding are presented in </w:t>
      </w:r>
      <w:r>
        <w:fldChar w:fldCharType="begin"/>
      </w:r>
      <w:r>
        <w:instrText xml:space="preserve"> REF _Ref413931707 \h </w:instrText>
      </w:r>
      <w:r>
        <w:fldChar w:fldCharType="separate"/>
      </w:r>
      <w:r w:rsidR="00BB0E3E">
        <w:t xml:space="preserve">Table </w:t>
      </w:r>
      <w:r w:rsidR="00BB0E3E">
        <w:rPr>
          <w:noProof/>
        </w:rPr>
        <w:t>74</w:t>
      </w:r>
      <w:r>
        <w:fldChar w:fldCharType="end"/>
      </w:r>
      <w:r>
        <w:t>.</w:t>
      </w:r>
      <w:r w:rsidRPr="00527D29">
        <w:t xml:space="preserve"> </w:t>
      </w:r>
      <w:r>
        <w:t xml:space="preserve">This approach assumes no leakage, that the proportion of tests eligible remains constant over time and that there is no growth in the market anticipated with MBS listing of </w:t>
      </w:r>
      <w:r w:rsidR="00FD37D3" w:rsidRPr="00FD37D3">
        <w:t>CFTR</w:t>
      </w:r>
      <w:r>
        <w:t xml:space="preserve"> mutation testing. As there is some indication that patients are currently funding a large proportion of </w:t>
      </w:r>
      <w:r w:rsidR="00FD37D3" w:rsidRPr="00FD37D3">
        <w:t>CFTR</w:t>
      </w:r>
      <w:r>
        <w:t xml:space="preserve"> mutation tests privately (see </w:t>
      </w:r>
      <w:r>
        <w:rPr>
          <w:highlight w:val="yellow"/>
        </w:rPr>
        <w:fldChar w:fldCharType="begin"/>
      </w:r>
      <w:r>
        <w:instrText xml:space="preserve"> REF _Ref412621284 \h </w:instrText>
      </w:r>
      <w:r>
        <w:rPr>
          <w:highlight w:val="yellow"/>
        </w:rPr>
      </w:r>
      <w:r>
        <w:rPr>
          <w:highlight w:val="yellow"/>
        </w:rPr>
        <w:fldChar w:fldCharType="separate"/>
      </w:r>
      <w:r w:rsidR="00BB0E3E" w:rsidRPr="00BC645A">
        <w:t xml:space="preserve">Table </w:t>
      </w:r>
      <w:r w:rsidR="00BB0E3E">
        <w:rPr>
          <w:noProof/>
        </w:rPr>
        <w:t>8</w:t>
      </w:r>
      <w:r>
        <w:rPr>
          <w:highlight w:val="yellow"/>
        </w:rPr>
        <w:fldChar w:fldCharType="end"/>
      </w:r>
      <w:r>
        <w:t>, Section A.3)</w:t>
      </w:r>
      <w:r w:rsidR="00774E93">
        <w:t>,</w:t>
      </w:r>
      <w:r>
        <w:t xml:space="preserve"> some growth in the market may occur.</w:t>
      </w:r>
    </w:p>
    <w:p w14:paraId="61A51377" w14:textId="739CBE3E" w:rsidR="001E55A8" w:rsidRDefault="001E55A8" w:rsidP="001E55A8">
      <w:pPr>
        <w:pStyle w:val="Caption"/>
      </w:pPr>
      <w:bookmarkStart w:id="421" w:name="_Ref413931707"/>
      <w:bookmarkStart w:id="422" w:name="_Toc416855367"/>
      <w:bookmarkStart w:id="423" w:name="_Toc418179471"/>
      <w:r>
        <w:lastRenderedPageBreak/>
        <w:t xml:space="preserve">Table </w:t>
      </w:r>
      <w:fldSimple w:instr=" SEQ Table \* ARABIC ">
        <w:r w:rsidR="00BB0E3E">
          <w:rPr>
            <w:noProof/>
          </w:rPr>
          <w:t>74</w:t>
        </w:r>
      </w:fldSimple>
      <w:bookmarkEnd w:id="421"/>
      <w:r>
        <w:tab/>
        <w:t>Estimated number</w:t>
      </w:r>
      <w:r w:rsidR="00CA47E1">
        <w:t>s</w:t>
      </w:r>
      <w:r>
        <w:t xml:space="preserve"> of </w:t>
      </w:r>
      <w:r w:rsidR="00FD37D3" w:rsidRPr="00FD37D3">
        <w:t>CFTR</w:t>
      </w:r>
      <w:r>
        <w:t xml:space="preserve"> mutation tests eligible for MBS funding</w:t>
      </w:r>
      <w:bookmarkEnd w:id="422"/>
      <w:bookmarkEnd w:id="423"/>
    </w:p>
    <w:tbl>
      <w:tblPr>
        <w:tblStyle w:val="TableGrid"/>
        <w:tblW w:w="4908" w:type="pct"/>
        <w:tblInd w:w="108" w:type="dxa"/>
        <w:tblLook w:val="04A0" w:firstRow="1" w:lastRow="0" w:firstColumn="1" w:lastColumn="0" w:noHBand="0" w:noVBand="1"/>
        <w:tblCaption w:val="Estimated numbers of CFTR mutation tests eligible for MBS funding"/>
        <w:tblDescription w:val="Estimated numbers of CFTR mutation tests eligible for MBS funding"/>
      </w:tblPr>
      <w:tblGrid>
        <w:gridCol w:w="1824"/>
        <w:gridCol w:w="1465"/>
        <w:gridCol w:w="1464"/>
        <w:gridCol w:w="1462"/>
        <w:gridCol w:w="1462"/>
        <w:gridCol w:w="1395"/>
      </w:tblGrid>
      <w:tr w:rsidR="001E55A8" w:rsidRPr="00F515FA" w14:paraId="5D9A991D" w14:textId="77777777" w:rsidTr="00CD1EDC">
        <w:trPr>
          <w:tblHeader/>
        </w:trPr>
        <w:tc>
          <w:tcPr>
            <w:tcW w:w="1005" w:type="pct"/>
          </w:tcPr>
          <w:p w14:paraId="14E89A7E" w14:textId="77777777" w:rsidR="001E55A8" w:rsidRPr="00F515FA" w:rsidRDefault="001E55A8" w:rsidP="005B7F97">
            <w:pPr>
              <w:pStyle w:val="Caption"/>
              <w:spacing w:before="40"/>
              <w:ind w:left="0"/>
              <w:jc w:val="center"/>
              <w:rPr>
                <w:szCs w:val="20"/>
              </w:rPr>
            </w:pPr>
          </w:p>
        </w:tc>
        <w:tc>
          <w:tcPr>
            <w:tcW w:w="807" w:type="pct"/>
            <w:vAlign w:val="bottom"/>
          </w:tcPr>
          <w:p w14:paraId="3A7B9A95" w14:textId="77777777" w:rsidR="001E55A8" w:rsidRPr="00F515FA" w:rsidRDefault="001E55A8" w:rsidP="005B7F97">
            <w:pPr>
              <w:pStyle w:val="Caption"/>
              <w:spacing w:before="40"/>
              <w:ind w:left="0"/>
              <w:jc w:val="center"/>
              <w:rPr>
                <w:szCs w:val="20"/>
              </w:rPr>
            </w:pPr>
            <w:r w:rsidRPr="00F515FA">
              <w:rPr>
                <w:szCs w:val="20"/>
              </w:rPr>
              <w:t>2015</w:t>
            </w:r>
          </w:p>
        </w:tc>
        <w:tc>
          <w:tcPr>
            <w:tcW w:w="807" w:type="pct"/>
            <w:vAlign w:val="bottom"/>
          </w:tcPr>
          <w:p w14:paraId="32E6128F" w14:textId="77777777" w:rsidR="001E55A8" w:rsidRPr="00F515FA" w:rsidRDefault="001E55A8" w:rsidP="005B7F97">
            <w:pPr>
              <w:pStyle w:val="Caption"/>
              <w:spacing w:before="40"/>
              <w:ind w:left="0"/>
              <w:jc w:val="center"/>
              <w:rPr>
                <w:szCs w:val="20"/>
              </w:rPr>
            </w:pPr>
            <w:r w:rsidRPr="00F515FA">
              <w:rPr>
                <w:szCs w:val="20"/>
              </w:rPr>
              <w:t>2016</w:t>
            </w:r>
          </w:p>
        </w:tc>
        <w:tc>
          <w:tcPr>
            <w:tcW w:w="806" w:type="pct"/>
            <w:vAlign w:val="bottom"/>
          </w:tcPr>
          <w:p w14:paraId="3F62B5EA" w14:textId="77777777" w:rsidR="001E55A8" w:rsidRPr="00F515FA" w:rsidRDefault="001E55A8" w:rsidP="005B7F97">
            <w:pPr>
              <w:pStyle w:val="Caption"/>
              <w:spacing w:before="40"/>
              <w:ind w:left="0"/>
              <w:jc w:val="center"/>
              <w:rPr>
                <w:szCs w:val="20"/>
              </w:rPr>
            </w:pPr>
            <w:r w:rsidRPr="00F515FA">
              <w:rPr>
                <w:szCs w:val="20"/>
              </w:rPr>
              <w:t>2017</w:t>
            </w:r>
          </w:p>
        </w:tc>
        <w:tc>
          <w:tcPr>
            <w:tcW w:w="806" w:type="pct"/>
            <w:vAlign w:val="bottom"/>
          </w:tcPr>
          <w:p w14:paraId="48E9B42A" w14:textId="77777777" w:rsidR="001E55A8" w:rsidRPr="00F515FA" w:rsidRDefault="001E55A8" w:rsidP="005B7F97">
            <w:pPr>
              <w:pStyle w:val="Caption"/>
              <w:spacing w:before="40"/>
              <w:ind w:left="0"/>
              <w:jc w:val="center"/>
              <w:rPr>
                <w:szCs w:val="20"/>
              </w:rPr>
            </w:pPr>
            <w:r w:rsidRPr="00F515FA">
              <w:rPr>
                <w:szCs w:val="20"/>
              </w:rPr>
              <w:t>2018</w:t>
            </w:r>
          </w:p>
        </w:tc>
        <w:tc>
          <w:tcPr>
            <w:tcW w:w="769" w:type="pct"/>
            <w:vAlign w:val="bottom"/>
          </w:tcPr>
          <w:p w14:paraId="48B18726"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F515FA" w14:paraId="28A0BE68" w14:textId="77777777" w:rsidTr="005B7F97">
        <w:tc>
          <w:tcPr>
            <w:tcW w:w="1005" w:type="pct"/>
          </w:tcPr>
          <w:p w14:paraId="0EF0E559" w14:textId="77777777" w:rsidR="001E55A8" w:rsidRPr="00735773" w:rsidRDefault="001E55A8" w:rsidP="005B7F97">
            <w:pPr>
              <w:pStyle w:val="Tabletext1"/>
              <w:ind w:left="0"/>
            </w:pPr>
            <w:r w:rsidRPr="00735773">
              <w:t>Diagnostic</w:t>
            </w:r>
          </w:p>
        </w:tc>
        <w:tc>
          <w:tcPr>
            <w:tcW w:w="807" w:type="pct"/>
            <w:vAlign w:val="bottom"/>
          </w:tcPr>
          <w:p w14:paraId="4A9B4BD1" w14:textId="77777777" w:rsidR="001E55A8" w:rsidRPr="00175332" w:rsidRDefault="001E55A8" w:rsidP="004566DC">
            <w:pPr>
              <w:pStyle w:val="Tabletext1"/>
              <w:tabs>
                <w:tab w:val="decimal" w:pos="478"/>
              </w:tabs>
              <w:ind w:left="0"/>
              <w:jc w:val="center"/>
            </w:pPr>
            <w:r w:rsidRPr="00175332">
              <w:t>5,395</w:t>
            </w:r>
          </w:p>
        </w:tc>
        <w:tc>
          <w:tcPr>
            <w:tcW w:w="807" w:type="pct"/>
            <w:vAlign w:val="bottom"/>
          </w:tcPr>
          <w:p w14:paraId="42B86B84" w14:textId="77777777" w:rsidR="001E55A8" w:rsidRPr="00175332" w:rsidRDefault="001E55A8" w:rsidP="004566DC">
            <w:pPr>
              <w:pStyle w:val="Tabletext1"/>
              <w:tabs>
                <w:tab w:val="decimal" w:pos="478"/>
              </w:tabs>
              <w:ind w:left="0"/>
              <w:jc w:val="center"/>
            </w:pPr>
            <w:r w:rsidRPr="00175332">
              <w:t>6,204</w:t>
            </w:r>
          </w:p>
        </w:tc>
        <w:tc>
          <w:tcPr>
            <w:tcW w:w="806" w:type="pct"/>
            <w:vAlign w:val="bottom"/>
          </w:tcPr>
          <w:p w14:paraId="38017195" w14:textId="77777777" w:rsidR="001E55A8" w:rsidRPr="00175332" w:rsidRDefault="001E55A8" w:rsidP="004566DC">
            <w:pPr>
              <w:pStyle w:val="Tabletext1"/>
              <w:tabs>
                <w:tab w:val="decimal" w:pos="478"/>
              </w:tabs>
              <w:ind w:left="0"/>
              <w:jc w:val="center"/>
            </w:pPr>
            <w:r w:rsidRPr="00175332">
              <w:t>7,134</w:t>
            </w:r>
          </w:p>
        </w:tc>
        <w:tc>
          <w:tcPr>
            <w:tcW w:w="806" w:type="pct"/>
            <w:vAlign w:val="bottom"/>
          </w:tcPr>
          <w:p w14:paraId="2A6F37AC" w14:textId="77777777" w:rsidR="001E55A8" w:rsidRPr="00175332" w:rsidRDefault="001E55A8" w:rsidP="004566DC">
            <w:pPr>
              <w:pStyle w:val="Tabletext1"/>
              <w:tabs>
                <w:tab w:val="decimal" w:pos="478"/>
              </w:tabs>
              <w:ind w:left="0"/>
              <w:jc w:val="center"/>
            </w:pPr>
            <w:r w:rsidRPr="00175332">
              <w:t>8,204</w:t>
            </w:r>
          </w:p>
        </w:tc>
        <w:tc>
          <w:tcPr>
            <w:tcW w:w="769" w:type="pct"/>
            <w:vAlign w:val="bottom"/>
          </w:tcPr>
          <w:p w14:paraId="07B79376" w14:textId="77777777" w:rsidR="001E55A8" w:rsidRPr="00175332" w:rsidRDefault="001E55A8" w:rsidP="004566DC">
            <w:pPr>
              <w:pStyle w:val="Tabletext1"/>
              <w:tabs>
                <w:tab w:val="decimal" w:pos="478"/>
              </w:tabs>
              <w:ind w:left="0"/>
              <w:jc w:val="center"/>
            </w:pPr>
            <w:r w:rsidRPr="00175332">
              <w:t>9,435</w:t>
            </w:r>
          </w:p>
        </w:tc>
      </w:tr>
      <w:tr w:rsidR="001E55A8" w:rsidRPr="00F515FA" w14:paraId="3731454C" w14:textId="77777777" w:rsidTr="005B7F97">
        <w:tc>
          <w:tcPr>
            <w:tcW w:w="1005" w:type="pct"/>
          </w:tcPr>
          <w:p w14:paraId="39B55986" w14:textId="77777777" w:rsidR="001E55A8" w:rsidRPr="00735773" w:rsidRDefault="001E55A8" w:rsidP="005B7F97">
            <w:pPr>
              <w:pStyle w:val="Tabletext1"/>
              <w:ind w:left="0"/>
            </w:pPr>
            <w:r w:rsidRPr="00735773">
              <w:t>Predictive</w:t>
            </w:r>
          </w:p>
        </w:tc>
        <w:tc>
          <w:tcPr>
            <w:tcW w:w="807" w:type="pct"/>
            <w:vAlign w:val="bottom"/>
          </w:tcPr>
          <w:p w14:paraId="7D3836ED" w14:textId="77777777" w:rsidR="001E55A8" w:rsidRPr="00175332" w:rsidRDefault="001E55A8" w:rsidP="004566DC">
            <w:pPr>
              <w:pStyle w:val="Tabletext1"/>
              <w:tabs>
                <w:tab w:val="decimal" w:pos="478"/>
              </w:tabs>
              <w:ind w:left="0"/>
              <w:jc w:val="center"/>
            </w:pPr>
            <w:r w:rsidRPr="00175332">
              <w:t>1,107</w:t>
            </w:r>
          </w:p>
        </w:tc>
        <w:tc>
          <w:tcPr>
            <w:tcW w:w="807" w:type="pct"/>
            <w:vAlign w:val="bottom"/>
          </w:tcPr>
          <w:p w14:paraId="70A02CB6" w14:textId="77777777" w:rsidR="001E55A8" w:rsidRPr="00175332" w:rsidRDefault="001E55A8" w:rsidP="004566DC">
            <w:pPr>
              <w:pStyle w:val="Tabletext1"/>
              <w:tabs>
                <w:tab w:val="decimal" w:pos="478"/>
              </w:tabs>
              <w:ind w:left="0"/>
              <w:jc w:val="center"/>
            </w:pPr>
            <w:r w:rsidRPr="00175332">
              <w:t>1,273</w:t>
            </w:r>
          </w:p>
        </w:tc>
        <w:tc>
          <w:tcPr>
            <w:tcW w:w="806" w:type="pct"/>
            <w:vAlign w:val="bottom"/>
          </w:tcPr>
          <w:p w14:paraId="4BE043D1" w14:textId="77777777" w:rsidR="001E55A8" w:rsidRPr="00175332" w:rsidRDefault="001E55A8" w:rsidP="004566DC">
            <w:pPr>
              <w:pStyle w:val="Tabletext1"/>
              <w:tabs>
                <w:tab w:val="decimal" w:pos="478"/>
              </w:tabs>
              <w:ind w:left="0"/>
              <w:jc w:val="center"/>
            </w:pPr>
            <w:r w:rsidRPr="00175332">
              <w:t>1,464</w:t>
            </w:r>
          </w:p>
        </w:tc>
        <w:tc>
          <w:tcPr>
            <w:tcW w:w="806" w:type="pct"/>
            <w:vAlign w:val="bottom"/>
          </w:tcPr>
          <w:p w14:paraId="759692F2" w14:textId="77777777" w:rsidR="001E55A8" w:rsidRPr="00175332" w:rsidRDefault="001E55A8" w:rsidP="004566DC">
            <w:pPr>
              <w:pStyle w:val="Tabletext1"/>
              <w:tabs>
                <w:tab w:val="decimal" w:pos="478"/>
              </w:tabs>
              <w:ind w:left="0"/>
              <w:jc w:val="center"/>
            </w:pPr>
            <w:r w:rsidRPr="00175332">
              <w:t>1,684</w:t>
            </w:r>
          </w:p>
        </w:tc>
        <w:tc>
          <w:tcPr>
            <w:tcW w:w="769" w:type="pct"/>
            <w:vAlign w:val="bottom"/>
          </w:tcPr>
          <w:p w14:paraId="2C904EF1" w14:textId="77777777" w:rsidR="001E55A8" w:rsidRPr="00175332" w:rsidRDefault="001E55A8" w:rsidP="004566DC">
            <w:pPr>
              <w:pStyle w:val="Tabletext1"/>
              <w:tabs>
                <w:tab w:val="decimal" w:pos="478"/>
              </w:tabs>
              <w:ind w:left="0"/>
              <w:jc w:val="center"/>
            </w:pPr>
            <w:r w:rsidRPr="00175332">
              <w:t>1,936</w:t>
            </w:r>
          </w:p>
        </w:tc>
      </w:tr>
      <w:tr w:rsidR="001E55A8" w:rsidRPr="00F515FA" w14:paraId="29E42628" w14:textId="77777777" w:rsidTr="005B7F97">
        <w:tc>
          <w:tcPr>
            <w:tcW w:w="1005" w:type="pct"/>
          </w:tcPr>
          <w:p w14:paraId="783C54F7" w14:textId="77777777" w:rsidR="001E55A8" w:rsidRPr="00735773" w:rsidRDefault="001E55A8" w:rsidP="005B7F97">
            <w:pPr>
              <w:pStyle w:val="Tabletext1"/>
              <w:ind w:left="0"/>
            </w:pPr>
            <w:r w:rsidRPr="00735773">
              <w:t>Prenatal</w:t>
            </w:r>
            <w:r>
              <w:t xml:space="preserve"> diagnostic</w:t>
            </w:r>
          </w:p>
        </w:tc>
        <w:tc>
          <w:tcPr>
            <w:tcW w:w="807" w:type="pct"/>
            <w:vAlign w:val="bottom"/>
          </w:tcPr>
          <w:p w14:paraId="3D947833" w14:textId="77777777" w:rsidR="001E55A8" w:rsidRPr="00175332" w:rsidRDefault="001E55A8" w:rsidP="004566DC">
            <w:pPr>
              <w:pStyle w:val="Tabletext1"/>
              <w:tabs>
                <w:tab w:val="decimal" w:pos="478"/>
              </w:tabs>
              <w:ind w:left="0"/>
              <w:jc w:val="center"/>
            </w:pPr>
            <w:r w:rsidRPr="00175332">
              <w:t>1,385</w:t>
            </w:r>
          </w:p>
        </w:tc>
        <w:tc>
          <w:tcPr>
            <w:tcW w:w="807" w:type="pct"/>
            <w:vAlign w:val="bottom"/>
          </w:tcPr>
          <w:p w14:paraId="03D408BC" w14:textId="77777777" w:rsidR="001E55A8" w:rsidRPr="00175332" w:rsidRDefault="001E55A8" w:rsidP="004566DC">
            <w:pPr>
              <w:pStyle w:val="Tabletext1"/>
              <w:tabs>
                <w:tab w:val="decimal" w:pos="478"/>
              </w:tabs>
              <w:ind w:left="0"/>
              <w:jc w:val="center"/>
            </w:pPr>
            <w:r w:rsidRPr="00175332">
              <w:t>1,593</w:t>
            </w:r>
          </w:p>
        </w:tc>
        <w:tc>
          <w:tcPr>
            <w:tcW w:w="806" w:type="pct"/>
            <w:vAlign w:val="bottom"/>
          </w:tcPr>
          <w:p w14:paraId="785FBD5B" w14:textId="77777777" w:rsidR="001E55A8" w:rsidRPr="00175332" w:rsidRDefault="001E55A8" w:rsidP="004566DC">
            <w:pPr>
              <w:pStyle w:val="Tabletext1"/>
              <w:tabs>
                <w:tab w:val="decimal" w:pos="478"/>
              </w:tabs>
              <w:ind w:left="0"/>
              <w:jc w:val="center"/>
            </w:pPr>
            <w:r w:rsidRPr="00175332">
              <w:t>1,832</w:t>
            </w:r>
          </w:p>
        </w:tc>
        <w:tc>
          <w:tcPr>
            <w:tcW w:w="806" w:type="pct"/>
            <w:vAlign w:val="bottom"/>
          </w:tcPr>
          <w:p w14:paraId="0BF03A95" w14:textId="77777777" w:rsidR="001E55A8" w:rsidRPr="00175332" w:rsidRDefault="001E55A8" w:rsidP="004566DC">
            <w:pPr>
              <w:pStyle w:val="Tabletext1"/>
              <w:tabs>
                <w:tab w:val="decimal" w:pos="478"/>
              </w:tabs>
              <w:ind w:left="0"/>
              <w:jc w:val="center"/>
            </w:pPr>
            <w:r w:rsidRPr="00175332">
              <w:t>2,107</w:t>
            </w:r>
          </w:p>
        </w:tc>
        <w:tc>
          <w:tcPr>
            <w:tcW w:w="769" w:type="pct"/>
            <w:vAlign w:val="bottom"/>
          </w:tcPr>
          <w:p w14:paraId="1A04169C" w14:textId="77777777" w:rsidR="001E55A8" w:rsidRPr="00175332" w:rsidRDefault="001E55A8" w:rsidP="004566DC">
            <w:pPr>
              <w:pStyle w:val="Tabletext1"/>
              <w:tabs>
                <w:tab w:val="decimal" w:pos="478"/>
              </w:tabs>
              <w:ind w:left="0"/>
              <w:jc w:val="center"/>
            </w:pPr>
            <w:r w:rsidRPr="00175332">
              <w:t>2,423</w:t>
            </w:r>
          </w:p>
        </w:tc>
      </w:tr>
      <w:tr w:rsidR="001E55A8" w:rsidRPr="00F515FA" w14:paraId="1D98BEFE" w14:textId="77777777" w:rsidTr="005B7F97">
        <w:tc>
          <w:tcPr>
            <w:tcW w:w="1005" w:type="pct"/>
          </w:tcPr>
          <w:p w14:paraId="30988AF3" w14:textId="77777777" w:rsidR="001E55A8" w:rsidRPr="00735773" w:rsidRDefault="001E55A8" w:rsidP="005B7F97">
            <w:pPr>
              <w:pStyle w:val="Tabletext1"/>
              <w:ind w:left="0"/>
            </w:pPr>
            <w:r w:rsidRPr="00735773">
              <w:t>Screening</w:t>
            </w:r>
          </w:p>
        </w:tc>
        <w:tc>
          <w:tcPr>
            <w:tcW w:w="807" w:type="pct"/>
            <w:vAlign w:val="bottom"/>
          </w:tcPr>
          <w:p w14:paraId="67174B84" w14:textId="77777777" w:rsidR="001E55A8" w:rsidRPr="00175332" w:rsidRDefault="001E55A8" w:rsidP="004566DC">
            <w:pPr>
              <w:pStyle w:val="Tabletext1"/>
              <w:tabs>
                <w:tab w:val="decimal" w:pos="478"/>
              </w:tabs>
              <w:ind w:left="0"/>
              <w:jc w:val="center"/>
            </w:pPr>
            <w:r w:rsidRPr="00175332">
              <w:t>617</w:t>
            </w:r>
          </w:p>
        </w:tc>
        <w:tc>
          <w:tcPr>
            <w:tcW w:w="807" w:type="pct"/>
            <w:vAlign w:val="bottom"/>
          </w:tcPr>
          <w:p w14:paraId="03B8EC7C" w14:textId="77777777" w:rsidR="001E55A8" w:rsidRPr="00175332" w:rsidRDefault="001E55A8" w:rsidP="004566DC">
            <w:pPr>
              <w:pStyle w:val="Tabletext1"/>
              <w:tabs>
                <w:tab w:val="decimal" w:pos="478"/>
              </w:tabs>
              <w:ind w:left="0"/>
              <w:jc w:val="center"/>
            </w:pPr>
            <w:r w:rsidRPr="00175332">
              <w:t>710</w:t>
            </w:r>
          </w:p>
        </w:tc>
        <w:tc>
          <w:tcPr>
            <w:tcW w:w="806" w:type="pct"/>
            <w:vAlign w:val="bottom"/>
          </w:tcPr>
          <w:p w14:paraId="6855093E" w14:textId="77777777" w:rsidR="001E55A8" w:rsidRPr="00175332" w:rsidRDefault="001E55A8" w:rsidP="004566DC">
            <w:pPr>
              <w:pStyle w:val="Tabletext1"/>
              <w:tabs>
                <w:tab w:val="decimal" w:pos="478"/>
              </w:tabs>
              <w:ind w:left="0"/>
              <w:jc w:val="center"/>
            </w:pPr>
            <w:r w:rsidRPr="00175332">
              <w:t>816</w:t>
            </w:r>
          </w:p>
        </w:tc>
        <w:tc>
          <w:tcPr>
            <w:tcW w:w="806" w:type="pct"/>
            <w:vAlign w:val="bottom"/>
          </w:tcPr>
          <w:p w14:paraId="21507235" w14:textId="77777777" w:rsidR="001E55A8" w:rsidRPr="00175332" w:rsidRDefault="001E55A8" w:rsidP="004566DC">
            <w:pPr>
              <w:pStyle w:val="Tabletext1"/>
              <w:tabs>
                <w:tab w:val="decimal" w:pos="478"/>
              </w:tabs>
              <w:ind w:left="0"/>
              <w:jc w:val="center"/>
            </w:pPr>
            <w:r w:rsidRPr="00175332">
              <w:t>939</w:t>
            </w:r>
          </w:p>
        </w:tc>
        <w:tc>
          <w:tcPr>
            <w:tcW w:w="769" w:type="pct"/>
            <w:vAlign w:val="bottom"/>
          </w:tcPr>
          <w:p w14:paraId="263A1733" w14:textId="77777777" w:rsidR="001E55A8" w:rsidRPr="00175332" w:rsidRDefault="001E55A8" w:rsidP="004566DC">
            <w:pPr>
              <w:pStyle w:val="Tabletext1"/>
              <w:tabs>
                <w:tab w:val="decimal" w:pos="478"/>
              </w:tabs>
              <w:ind w:left="0"/>
              <w:jc w:val="center"/>
            </w:pPr>
            <w:r w:rsidRPr="00175332">
              <w:t>1,080</w:t>
            </w:r>
          </w:p>
        </w:tc>
      </w:tr>
      <w:tr w:rsidR="001E55A8" w:rsidRPr="00F515FA" w14:paraId="7A003F2E" w14:textId="77777777" w:rsidTr="005B7F97">
        <w:tc>
          <w:tcPr>
            <w:tcW w:w="1005" w:type="pct"/>
          </w:tcPr>
          <w:p w14:paraId="07E3EA59" w14:textId="77777777" w:rsidR="001E55A8" w:rsidRPr="003D5E01" w:rsidRDefault="001E55A8" w:rsidP="005B7F97">
            <w:pPr>
              <w:pStyle w:val="Tabletext1"/>
              <w:ind w:left="0"/>
            </w:pPr>
            <w:r w:rsidRPr="003D5E01">
              <w:t>Total</w:t>
            </w:r>
          </w:p>
        </w:tc>
        <w:tc>
          <w:tcPr>
            <w:tcW w:w="807" w:type="pct"/>
            <w:vAlign w:val="bottom"/>
          </w:tcPr>
          <w:p w14:paraId="4DA2042A" w14:textId="77777777" w:rsidR="001E55A8" w:rsidRPr="003D5E01" w:rsidRDefault="001E55A8" w:rsidP="004566DC">
            <w:pPr>
              <w:pStyle w:val="Tabletext1"/>
              <w:tabs>
                <w:tab w:val="decimal" w:pos="478"/>
              </w:tabs>
              <w:ind w:left="0"/>
              <w:jc w:val="center"/>
            </w:pPr>
            <w:r w:rsidRPr="003D5E01">
              <w:t>8,504</w:t>
            </w:r>
          </w:p>
        </w:tc>
        <w:tc>
          <w:tcPr>
            <w:tcW w:w="807" w:type="pct"/>
            <w:vAlign w:val="bottom"/>
          </w:tcPr>
          <w:p w14:paraId="5B86A310" w14:textId="77777777" w:rsidR="001E55A8" w:rsidRPr="003D5E01" w:rsidRDefault="001E55A8" w:rsidP="004566DC">
            <w:pPr>
              <w:pStyle w:val="Tabletext1"/>
              <w:tabs>
                <w:tab w:val="decimal" w:pos="478"/>
              </w:tabs>
              <w:ind w:left="0"/>
              <w:jc w:val="center"/>
            </w:pPr>
            <w:r w:rsidRPr="003D5E01">
              <w:t>9,780</w:t>
            </w:r>
          </w:p>
        </w:tc>
        <w:tc>
          <w:tcPr>
            <w:tcW w:w="806" w:type="pct"/>
            <w:vAlign w:val="bottom"/>
          </w:tcPr>
          <w:p w14:paraId="572A748D" w14:textId="77777777" w:rsidR="001E55A8" w:rsidRPr="003D5E01" w:rsidRDefault="001E55A8" w:rsidP="004566DC">
            <w:pPr>
              <w:pStyle w:val="Tabletext1"/>
              <w:tabs>
                <w:tab w:val="decimal" w:pos="478"/>
              </w:tabs>
              <w:ind w:left="0"/>
              <w:jc w:val="center"/>
            </w:pPr>
            <w:r w:rsidRPr="003D5E01">
              <w:t>11,247</w:t>
            </w:r>
          </w:p>
        </w:tc>
        <w:tc>
          <w:tcPr>
            <w:tcW w:w="806" w:type="pct"/>
            <w:vAlign w:val="bottom"/>
          </w:tcPr>
          <w:p w14:paraId="12C639F7" w14:textId="77777777" w:rsidR="001E55A8" w:rsidRPr="003D5E01" w:rsidRDefault="001E55A8" w:rsidP="004566DC">
            <w:pPr>
              <w:pStyle w:val="Tabletext1"/>
              <w:tabs>
                <w:tab w:val="decimal" w:pos="478"/>
              </w:tabs>
              <w:ind w:left="0"/>
              <w:jc w:val="center"/>
            </w:pPr>
            <w:r w:rsidRPr="003D5E01">
              <w:t>12,934</w:t>
            </w:r>
          </w:p>
        </w:tc>
        <w:tc>
          <w:tcPr>
            <w:tcW w:w="769" w:type="pct"/>
            <w:vAlign w:val="bottom"/>
          </w:tcPr>
          <w:p w14:paraId="59AA6C0E" w14:textId="77777777" w:rsidR="001E55A8" w:rsidRPr="003D5E01" w:rsidRDefault="001E55A8" w:rsidP="004566DC">
            <w:pPr>
              <w:pStyle w:val="Tabletext1"/>
              <w:tabs>
                <w:tab w:val="decimal" w:pos="478"/>
              </w:tabs>
              <w:ind w:left="0"/>
              <w:jc w:val="center"/>
            </w:pPr>
            <w:r w:rsidRPr="003D5E01">
              <w:t>14,874</w:t>
            </w:r>
          </w:p>
        </w:tc>
      </w:tr>
    </w:tbl>
    <w:p w14:paraId="7684CFB4" w14:textId="77777777" w:rsidR="001E55A8" w:rsidRDefault="001E55A8" w:rsidP="004566DC">
      <w:pPr>
        <w:pStyle w:val="TableNotes"/>
        <w:spacing w:after="0" w:line="240" w:lineRule="auto"/>
        <w:ind w:left="0"/>
        <w:rPr>
          <w:sz w:val="18"/>
          <w:szCs w:val="18"/>
        </w:rPr>
      </w:pPr>
      <w:r>
        <w:rPr>
          <w:sz w:val="18"/>
          <w:szCs w:val="18"/>
        </w:rPr>
        <w:t xml:space="preserve">Note: Estimated by multiplying the number of tests listed in </w:t>
      </w:r>
      <w:r w:rsidRPr="00BD3A11">
        <w:rPr>
          <w:sz w:val="18"/>
          <w:szCs w:val="18"/>
        </w:rPr>
        <w:fldChar w:fldCharType="begin"/>
      </w:r>
      <w:r w:rsidRPr="00BD3A11">
        <w:rPr>
          <w:sz w:val="18"/>
          <w:szCs w:val="18"/>
        </w:rPr>
        <w:instrText xml:space="preserve"> REF _Ref413931663 \h </w:instrText>
      </w:r>
      <w:r>
        <w:rPr>
          <w:sz w:val="18"/>
          <w:szCs w:val="18"/>
        </w:rPr>
        <w:instrText xml:space="preserve"> \* MERGEFORMAT </w:instrText>
      </w:r>
      <w:r w:rsidRPr="00BD3A11">
        <w:rPr>
          <w:sz w:val="18"/>
          <w:szCs w:val="18"/>
        </w:rPr>
      </w:r>
      <w:r w:rsidRPr="00BD3A11">
        <w:rPr>
          <w:sz w:val="18"/>
          <w:szCs w:val="18"/>
        </w:rPr>
        <w:fldChar w:fldCharType="separate"/>
      </w:r>
      <w:r w:rsidR="00BB0E3E" w:rsidRPr="00BB0E3E">
        <w:rPr>
          <w:sz w:val="18"/>
          <w:szCs w:val="18"/>
        </w:rPr>
        <w:t xml:space="preserve">Table </w:t>
      </w:r>
      <w:r w:rsidR="00BB0E3E" w:rsidRPr="00BB0E3E">
        <w:rPr>
          <w:noProof/>
          <w:sz w:val="18"/>
          <w:szCs w:val="18"/>
        </w:rPr>
        <w:t>69</w:t>
      </w:r>
      <w:r w:rsidRPr="00BD3A11">
        <w:rPr>
          <w:sz w:val="18"/>
          <w:szCs w:val="18"/>
        </w:rPr>
        <w:fldChar w:fldCharType="end"/>
      </w:r>
      <w:r>
        <w:rPr>
          <w:sz w:val="18"/>
          <w:szCs w:val="18"/>
        </w:rPr>
        <w:t xml:space="preserve"> by the proportion of tests eligible in </w:t>
      </w:r>
      <w:r w:rsidRPr="00BD3A11">
        <w:rPr>
          <w:sz w:val="18"/>
          <w:szCs w:val="18"/>
        </w:rPr>
        <w:fldChar w:fldCharType="begin"/>
      </w:r>
      <w:r w:rsidRPr="00BD3A11">
        <w:rPr>
          <w:sz w:val="18"/>
          <w:szCs w:val="18"/>
        </w:rPr>
        <w:instrText xml:space="preserve"> REF _Ref413931680 \h </w:instrText>
      </w:r>
      <w:r>
        <w:rPr>
          <w:sz w:val="18"/>
          <w:szCs w:val="18"/>
        </w:rPr>
        <w:instrText xml:space="preserve"> \* MERGEFORMAT </w:instrText>
      </w:r>
      <w:r w:rsidRPr="00BD3A11">
        <w:rPr>
          <w:sz w:val="18"/>
          <w:szCs w:val="18"/>
        </w:rPr>
      </w:r>
      <w:r w:rsidRPr="00BD3A11">
        <w:rPr>
          <w:sz w:val="18"/>
          <w:szCs w:val="18"/>
        </w:rPr>
        <w:fldChar w:fldCharType="separate"/>
      </w:r>
      <w:r w:rsidR="00BB0E3E" w:rsidRPr="00BB0E3E">
        <w:rPr>
          <w:sz w:val="18"/>
          <w:szCs w:val="18"/>
        </w:rPr>
        <w:t xml:space="preserve">Table </w:t>
      </w:r>
      <w:r w:rsidR="00BB0E3E" w:rsidRPr="00BB0E3E">
        <w:rPr>
          <w:noProof/>
          <w:sz w:val="18"/>
          <w:szCs w:val="18"/>
        </w:rPr>
        <w:t>73</w:t>
      </w:r>
      <w:r w:rsidRPr="00BD3A11">
        <w:rPr>
          <w:sz w:val="18"/>
          <w:szCs w:val="18"/>
        </w:rPr>
        <w:fldChar w:fldCharType="end"/>
      </w:r>
      <w:r>
        <w:rPr>
          <w:sz w:val="18"/>
          <w:szCs w:val="18"/>
        </w:rPr>
        <w:t>.</w:t>
      </w:r>
    </w:p>
    <w:p w14:paraId="6021204E" w14:textId="12CD7681" w:rsidR="001E55A8" w:rsidRDefault="00FD37D3" w:rsidP="004566DC">
      <w:pPr>
        <w:pStyle w:val="TableNotes"/>
        <w:spacing w:after="0" w:line="240" w:lineRule="auto"/>
        <w:ind w:left="0"/>
        <w:rPr>
          <w:sz w:val="18"/>
          <w:szCs w:val="18"/>
        </w:rPr>
      </w:pPr>
      <w:r w:rsidRPr="00FD37D3">
        <w:rPr>
          <w:sz w:val="18"/>
          <w:szCs w:val="18"/>
        </w:rPr>
        <w:t>CFTR</w:t>
      </w:r>
      <w:r w:rsidR="001E55A8">
        <w:rPr>
          <w:sz w:val="18"/>
          <w:szCs w:val="18"/>
        </w:rPr>
        <w:t xml:space="preserve"> = </w:t>
      </w:r>
      <w:r w:rsidR="00AA10A8">
        <w:rPr>
          <w:sz w:val="18"/>
          <w:szCs w:val="18"/>
        </w:rPr>
        <w:t>c</w:t>
      </w:r>
      <w:r w:rsidR="00473437" w:rsidRPr="00EE6CF9">
        <w:rPr>
          <w:sz w:val="18"/>
          <w:szCs w:val="18"/>
        </w:rPr>
        <w:t>ystic fibrosis transmembrane conductance regulator</w:t>
      </w:r>
      <w:r w:rsidR="00E82DB7">
        <w:rPr>
          <w:sz w:val="18"/>
          <w:szCs w:val="18"/>
        </w:rPr>
        <w:t>; MBS = Medicare Benefits Schedule</w:t>
      </w:r>
    </w:p>
    <w:p w14:paraId="052C017B" w14:textId="77777777" w:rsidR="00F13974" w:rsidRDefault="00F13974" w:rsidP="004566DC">
      <w:pPr>
        <w:pStyle w:val="TableNotes"/>
        <w:spacing w:after="0" w:line="240" w:lineRule="auto"/>
        <w:ind w:left="0"/>
        <w:rPr>
          <w:sz w:val="18"/>
          <w:szCs w:val="18"/>
        </w:rPr>
      </w:pPr>
    </w:p>
    <w:p w14:paraId="71E12A2C" w14:textId="6F47EB6E" w:rsidR="001E55A8" w:rsidRDefault="001E55A8" w:rsidP="00FA568F">
      <w:r>
        <w:t xml:space="preserve">There are three </w:t>
      </w:r>
      <w:r w:rsidR="00FD37D3" w:rsidRPr="00FD37D3">
        <w:t>CFTR</w:t>
      </w:r>
      <w:r>
        <w:t xml:space="preserve"> mutation tests proposed for listing and each of these is associated with a different test cost. The type of test used, by broad indication, is assumed to be based on the proposed clinical management algorithms</w:t>
      </w:r>
      <w:r w:rsidR="00FA568F">
        <w:t xml:space="preserve"> (see Figure 2, Figure 3 and Figure 4</w:t>
      </w:r>
      <w:r>
        <w:t>).</w:t>
      </w:r>
    </w:p>
    <w:p w14:paraId="661BD204" w14:textId="385DF8DF" w:rsidR="001E55A8" w:rsidRDefault="001E55A8" w:rsidP="001E55A8">
      <w:r>
        <w:t>All patients with diagnostic indications will receive a common mutation panel</w:t>
      </w:r>
      <w:r w:rsidR="002922F1">
        <w:t xml:space="preserve"> test</w:t>
      </w:r>
      <w:r>
        <w:t>. Those in whom rare mutation(s) are suspected will also receive a whole gene screen</w:t>
      </w:r>
      <w:r w:rsidR="002922F1">
        <w:t xml:space="preserve"> test</w:t>
      </w:r>
      <w:r>
        <w:t xml:space="preserve">. If the clinical sensitivity of a common mutation panel </w:t>
      </w:r>
      <w:r w:rsidR="002922F1">
        <w:t xml:space="preserve">test </w:t>
      </w:r>
      <w:r>
        <w:t>is 80% (assuming a 10</w:t>
      </w:r>
      <w:r w:rsidR="00AB33F5">
        <w:t>-</w:t>
      </w:r>
      <w:r>
        <w:t xml:space="preserve">mutation panel, see </w:t>
      </w:r>
      <w:r w:rsidR="00F976CC">
        <w:t>s</w:t>
      </w:r>
      <w:r>
        <w:t xml:space="preserve">ection C.1.2), it is assumed that 20% of diagnostic patients will receive </w:t>
      </w:r>
      <w:r w:rsidR="002922F1">
        <w:t>both tests</w:t>
      </w:r>
      <w:r>
        <w:t>. Therefore</w:t>
      </w:r>
      <w:r w:rsidR="00064791">
        <w:t>,</w:t>
      </w:r>
      <w:r>
        <w:t xml:space="preserve"> estimating the proportion of diagnostic tests that </w:t>
      </w:r>
      <w:r w:rsidR="002922F1">
        <w:t xml:space="preserve">are </w:t>
      </w:r>
      <w:r>
        <w:t>either a common mutation panel or a whole gene screen uses all tests (100% + 20%) as the denominator</w:t>
      </w:r>
      <w:r w:rsidR="002922F1">
        <w:t>—t</w:t>
      </w:r>
      <w:r>
        <w:t>he proportion of common mutation panels is 100%/120% (i.e. 83%) and the proportion of whole gene screens is 20%/120% (i.e. 17%).</w:t>
      </w:r>
    </w:p>
    <w:p w14:paraId="5454E35B" w14:textId="4ACD4683" w:rsidR="001E55A8" w:rsidRDefault="001E55A8" w:rsidP="001E55A8">
      <w:r>
        <w:t xml:space="preserve">Fetuses with a high risk of CF are eligible for known mutation analysis if both parents are identified with common </w:t>
      </w:r>
      <w:r w:rsidR="00736EFE">
        <w:t>mutations</w:t>
      </w:r>
      <w:r w:rsidR="0057571F">
        <w:t>,</w:t>
      </w:r>
      <w:r>
        <w:t xml:space="preserve"> or a whole gene screen if rare mutation(s) are suspected. The type of known mutation analys</w:t>
      </w:r>
      <w:r w:rsidR="0057571F">
        <w:t>i</w:t>
      </w:r>
      <w:r>
        <w:t>s depends on what mutations the parents have: single mutation analyses are performed to identify F508del mutations, while common mutation panels are performed to identify other known common mutations. As the common mutation panel will identify 80% of mutations, it is assumed that 80% of prenatal tests are known mutation analyses. The proportion</w:t>
      </w:r>
      <w:r w:rsidR="0057571F">
        <w:t>s</w:t>
      </w:r>
      <w:r>
        <w:t xml:space="preserve"> of common mutation panels </w:t>
      </w:r>
      <w:r w:rsidR="0057571F">
        <w:t xml:space="preserve">and </w:t>
      </w:r>
      <w:r>
        <w:t xml:space="preserve">single mutation </w:t>
      </w:r>
      <w:r w:rsidR="0057571F">
        <w:t>analyses are those</w:t>
      </w:r>
      <w:r>
        <w:t xml:space="preserve"> used to weight known mutation testing in the economic model (</w:t>
      </w:r>
      <w:r w:rsidR="0057571F">
        <w:t xml:space="preserve">i.e. </w:t>
      </w:r>
      <w:r>
        <w:t xml:space="preserve">28% and 52%, respectively). The remaining 20% of prenatal diagnostic tests are assumed to be whole gene screens. </w:t>
      </w:r>
    </w:p>
    <w:p w14:paraId="57A2F638" w14:textId="42868310" w:rsidR="001E55A8" w:rsidRDefault="001E55A8" w:rsidP="001E55A8">
      <w:r>
        <w:t xml:space="preserve">According to clinical management pathways, common mutation panels are proposed </w:t>
      </w:r>
      <w:r w:rsidR="002D4A73">
        <w:t xml:space="preserve">only </w:t>
      </w:r>
      <w:r>
        <w:t>for use in p</w:t>
      </w:r>
      <w:r w:rsidRPr="00C27CB3">
        <w:t>regnant couples who have a previous child with CF</w:t>
      </w:r>
      <w:r w:rsidR="008120E6">
        <w:t>,</w:t>
      </w:r>
      <w:r w:rsidRPr="00C27CB3">
        <w:t xml:space="preserve"> or </w:t>
      </w:r>
      <w:r w:rsidR="008120E6">
        <w:t xml:space="preserve">those </w:t>
      </w:r>
      <w:r w:rsidRPr="00C27CB3">
        <w:t xml:space="preserve">in </w:t>
      </w:r>
      <w:r w:rsidR="008120E6">
        <w:t>a</w:t>
      </w:r>
      <w:r w:rsidR="008120E6" w:rsidRPr="00C27CB3">
        <w:t xml:space="preserve"> </w:t>
      </w:r>
      <w:r w:rsidRPr="00C27CB3">
        <w:t>current pregnancy who have a fetus with an echogenic gut</w:t>
      </w:r>
      <w:r w:rsidR="008120E6">
        <w:t>;</w:t>
      </w:r>
      <w:r>
        <w:t xml:space="preserve"> and p</w:t>
      </w:r>
      <w:r w:rsidRPr="00C27CB3">
        <w:t xml:space="preserve">artners of a person with CF or </w:t>
      </w:r>
      <w:r w:rsidR="00D401E9">
        <w:t>who is</w:t>
      </w:r>
      <w:r w:rsidRPr="00C27CB3">
        <w:t xml:space="preserve"> a known CF carrier</w:t>
      </w:r>
      <w:r>
        <w:t xml:space="preserve">. </w:t>
      </w:r>
      <w:r w:rsidR="0057571F">
        <w:t>A</w:t>
      </w:r>
      <w:r>
        <w:t xml:space="preserve">ll predictive and screening tests are </w:t>
      </w:r>
      <w:r w:rsidR="006B3926">
        <w:t xml:space="preserve">therefore </w:t>
      </w:r>
      <w:r>
        <w:t>assumed to be common mutation panels.</w:t>
      </w:r>
    </w:p>
    <w:p w14:paraId="21CCAC38" w14:textId="3D5EDD05" w:rsidR="001E55A8" w:rsidRDefault="001E55A8" w:rsidP="001E55A8">
      <w:r>
        <w:t xml:space="preserve">These </w:t>
      </w:r>
      <w:r w:rsidR="002D4A73">
        <w:t xml:space="preserve">uses </w:t>
      </w:r>
      <w:r>
        <w:t xml:space="preserve">are summarised in </w:t>
      </w:r>
      <w:r>
        <w:fldChar w:fldCharType="begin"/>
      </w:r>
      <w:r>
        <w:instrText xml:space="preserve"> REF _Ref413931861 \h </w:instrText>
      </w:r>
      <w:r>
        <w:fldChar w:fldCharType="separate"/>
      </w:r>
      <w:r w:rsidR="00BB0E3E">
        <w:t xml:space="preserve">Table </w:t>
      </w:r>
      <w:r w:rsidR="00BB0E3E">
        <w:rPr>
          <w:noProof/>
        </w:rPr>
        <w:t>75</w:t>
      </w:r>
      <w:r>
        <w:fldChar w:fldCharType="end"/>
      </w:r>
      <w:r>
        <w:t>.</w:t>
      </w:r>
    </w:p>
    <w:p w14:paraId="43F7AD12" w14:textId="77777777" w:rsidR="001E55A8" w:rsidRDefault="001E55A8" w:rsidP="001E55A8">
      <w:pPr>
        <w:pStyle w:val="Caption"/>
      </w:pPr>
      <w:bookmarkStart w:id="424" w:name="_Ref413931861"/>
      <w:bookmarkStart w:id="425" w:name="_Toc416855368"/>
      <w:bookmarkStart w:id="426" w:name="_Toc418179472"/>
      <w:r>
        <w:t xml:space="preserve">Table </w:t>
      </w:r>
      <w:fldSimple w:instr=" SEQ Table \* ARABIC ">
        <w:r w:rsidR="00BB0E3E">
          <w:rPr>
            <w:noProof/>
          </w:rPr>
          <w:t>75</w:t>
        </w:r>
      </w:fldSimple>
      <w:bookmarkEnd w:id="424"/>
      <w:r>
        <w:tab/>
        <w:t>Proportion of tests, by indications eligible and test type</w:t>
      </w:r>
      <w:bookmarkEnd w:id="425"/>
      <w:bookmarkEnd w:id="426"/>
    </w:p>
    <w:tbl>
      <w:tblPr>
        <w:tblStyle w:val="TableGrid"/>
        <w:tblW w:w="4908" w:type="pct"/>
        <w:tblInd w:w="108" w:type="dxa"/>
        <w:tblLook w:val="04A0" w:firstRow="1" w:lastRow="0" w:firstColumn="1" w:lastColumn="0" w:noHBand="0" w:noVBand="1"/>
        <w:tblCaption w:val="Proportion of tests, by indications eligible and test type"/>
        <w:tblDescription w:val="Proportion of tests, by indications eligible and test type"/>
      </w:tblPr>
      <w:tblGrid>
        <w:gridCol w:w="2090"/>
        <w:gridCol w:w="1764"/>
        <w:gridCol w:w="1764"/>
        <w:gridCol w:w="1758"/>
        <w:gridCol w:w="1696"/>
      </w:tblGrid>
      <w:tr w:rsidR="001E55A8" w:rsidRPr="00F515FA" w14:paraId="21860BCF" w14:textId="77777777" w:rsidTr="00CD1EDC">
        <w:trPr>
          <w:tblHeader/>
        </w:trPr>
        <w:tc>
          <w:tcPr>
            <w:tcW w:w="1152" w:type="pct"/>
          </w:tcPr>
          <w:p w14:paraId="0FB76562" w14:textId="77777777" w:rsidR="001E55A8" w:rsidRPr="00F515FA" w:rsidRDefault="001E55A8" w:rsidP="004566DC">
            <w:pPr>
              <w:pStyle w:val="Caption"/>
              <w:spacing w:before="40"/>
              <w:ind w:left="0" w:right="-145"/>
              <w:jc w:val="left"/>
              <w:rPr>
                <w:szCs w:val="20"/>
              </w:rPr>
            </w:pPr>
          </w:p>
        </w:tc>
        <w:tc>
          <w:tcPr>
            <w:tcW w:w="972" w:type="pct"/>
          </w:tcPr>
          <w:p w14:paraId="09B90BEA" w14:textId="77777777" w:rsidR="001E55A8" w:rsidRPr="00735773" w:rsidRDefault="001E55A8" w:rsidP="005B7F97">
            <w:pPr>
              <w:pStyle w:val="Caption"/>
              <w:spacing w:before="40"/>
              <w:ind w:left="0"/>
              <w:jc w:val="center"/>
              <w:rPr>
                <w:szCs w:val="20"/>
              </w:rPr>
            </w:pPr>
            <w:r w:rsidRPr="00735773">
              <w:rPr>
                <w:szCs w:val="20"/>
              </w:rPr>
              <w:t>Diagnostic</w:t>
            </w:r>
          </w:p>
        </w:tc>
        <w:tc>
          <w:tcPr>
            <w:tcW w:w="972" w:type="pct"/>
          </w:tcPr>
          <w:p w14:paraId="1B0AC309" w14:textId="77777777" w:rsidR="001E55A8" w:rsidRPr="00735773" w:rsidRDefault="001E55A8" w:rsidP="005B7F97">
            <w:pPr>
              <w:pStyle w:val="Caption"/>
              <w:spacing w:before="40"/>
              <w:ind w:left="0"/>
              <w:jc w:val="center"/>
              <w:rPr>
                <w:szCs w:val="20"/>
              </w:rPr>
            </w:pPr>
            <w:r w:rsidRPr="00735773">
              <w:rPr>
                <w:szCs w:val="20"/>
              </w:rPr>
              <w:t>Predictive</w:t>
            </w:r>
          </w:p>
        </w:tc>
        <w:tc>
          <w:tcPr>
            <w:tcW w:w="969" w:type="pct"/>
          </w:tcPr>
          <w:p w14:paraId="06E8FE80" w14:textId="77777777" w:rsidR="001E55A8" w:rsidRPr="00735773" w:rsidRDefault="001E55A8" w:rsidP="005B7F97">
            <w:pPr>
              <w:pStyle w:val="Caption"/>
              <w:spacing w:before="40"/>
              <w:ind w:left="0"/>
              <w:jc w:val="center"/>
              <w:rPr>
                <w:szCs w:val="20"/>
              </w:rPr>
            </w:pPr>
            <w:r w:rsidRPr="00735773">
              <w:rPr>
                <w:szCs w:val="20"/>
              </w:rPr>
              <w:t>Prenatal</w:t>
            </w:r>
            <w:r>
              <w:rPr>
                <w:szCs w:val="20"/>
              </w:rPr>
              <w:t xml:space="preserve"> diagnostic</w:t>
            </w:r>
          </w:p>
        </w:tc>
        <w:tc>
          <w:tcPr>
            <w:tcW w:w="935" w:type="pct"/>
          </w:tcPr>
          <w:p w14:paraId="337819E4" w14:textId="77777777" w:rsidR="001E55A8" w:rsidRPr="00735773" w:rsidRDefault="001E55A8" w:rsidP="005B7F97">
            <w:pPr>
              <w:pStyle w:val="Caption"/>
              <w:spacing w:before="40"/>
              <w:ind w:left="0"/>
              <w:jc w:val="center"/>
              <w:rPr>
                <w:szCs w:val="20"/>
              </w:rPr>
            </w:pPr>
            <w:r w:rsidRPr="00735773">
              <w:rPr>
                <w:szCs w:val="20"/>
              </w:rPr>
              <w:t>Screening</w:t>
            </w:r>
          </w:p>
        </w:tc>
      </w:tr>
      <w:tr w:rsidR="001E55A8" w:rsidRPr="00F515FA" w14:paraId="7CE50742" w14:textId="77777777" w:rsidTr="005B7F97">
        <w:tc>
          <w:tcPr>
            <w:tcW w:w="1152" w:type="pct"/>
          </w:tcPr>
          <w:p w14:paraId="2E7FBEB8" w14:textId="7B51EB58" w:rsidR="001E55A8" w:rsidRPr="00735773" w:rsidRDefault="001E55A8" w:rsidP="004566DC">
            <w:pPr>
              <w:pStyle w:val="Tabletext1"/>
              <w:ind w:left="0" w:right="-145"/>
              <w:jc w:val="left"/>
            </w:pPr>
            <w:r>
              <w:t>Single mutation analysis</w:t>
            </w:r>
            <w:r w:rsidR="004344B9">
              <w:t xml:space="preserve"> </w:t>
            </w:r>
            <w:r w:rsidR="00937614" w:rsidRPr="004566DC">
              <w:rPr>
                <w:vertAlign w:val="superscript"/>
              </w:rPr>
              <w:t>a</w:t>
            </w:r>
          </w:p>
        </w:tc>
        <w:tc>
          <w:tcPr>
            <w:tcW w:w="972" w:type="pct"/>
            <w:vAlign w:val="bottom"/>
          </w:tcPr>
          <w:p w14:paraId="75C46D5C" w14:textId="77777777" w:rsidR="001E55A8" w:rsidRPr="00546DD0" w:rsidRDefault="001E55A8" w:rsidP="004566DC">
            <w:pPr>
              <w:pStyle w:val="Tabletext1"/>
              <w:tabs>
                <w:tab w:val="decimal" w:pos="779"/>
              </w:tabs>
              <w:ind w:left="0" w:right="-82"/>
              <w:jc w:val="left"/>
            </w:pPr>
            <w:r>
              <w:t>-</w:t>
            </w:r>
          </w:p>
        </w:tc>
        <w:tc>
          <w:tcPr>
            <w:tcW w:w="972" w:type="pct"/>
            <w:vAlign w:val="bottom"/>
          </w:tcPr>
          <w:p w14:paraId="0BA45E6F" w14:textId="77777777" w:rsidR="001E55A8" w:rsidRPr="00546DD0" w:rsidRDefault="001E55A8" w:rsidP="004566DC">
            <w:pPr>
              <w:pStyle w:val="Tabletext1"/>
              <w:tabs>
                <w:tab w:val="decimal" w:pos="779"/>
              </w:tabs>
              <w:ind w:left="0" w:right="-82"/>
              <w:jc w:val="left"/>
            </w:pPr>
            <w:r>
              <w:t>-</w:t>
            </w:r>
          </w:p>
        </w:tc>
        <w:tc>
          <w:tcPr>
            <w:tcW w:w="969" w:type="pct"/>
            <w:vAlign w:val="bottom"/>
          </w:tcPr>
          <w:p w14:paraId="3BC76D1D" w14:textId="77777777" w:rsidR="001E55A8" w:rsidRPr="00546DD0" w:rsidRDefault="001E55A8" w:rsidP="004566DC">
            <w:pPr>
              <w:pStyle w:val="Tabletext1"/>
              <w:tabs>
                <w:tab w:val="decimal" w:pos="779"/>
              </w:tabs>
              <w:ind w:left="0" w:right="-82"/>
              <w:jc w:val="left"/>
            </w:pPr>
            <w:r>
              <w:t>52%</w:t>
            </w:r>
          </w:p>
        </w:tc>
        <w:tc>
          <w:tcPr>
            <w:tcW w:w="935" w:type="pct"/>
            <w:vAlign w:val="bottom"/>
          </w:tcPr>
          <w:p w14:paraId="6CB1D27D" w14:textId="77777777" w:rsidR="001E55A8" w:rsidRPr="00546DD0" w:rsidRDefault="001E55A8" w:rsidP="004566DC">
            <w:pPr>
              <w:pStyle w:val="Tabletext1"/>
              <w:tabs>
                <w:tab w:val="decimal" w:pos="779"/>
              </w:tabs>
              <w:ind w:left="0" w:right="-82"/>
              <w:jc w:val="left"/>
            </w:pPr>
            <w:r>
              <w:t>-</w:t>
            </w:r>
          </w:p>
        </w:tc>
      </w:tr>
      <w:tr w:rsidR="001E55A8" w:rsidRPr="00F515FA" w14:paraId="5F6D1287" w14:textId="77777777" w:rsidTr="005B7F97">
        <w:tc>
          <w:tcPr>
            <w:tcW w:w="1152" w:type="pct"/>
          </w:tcPr>
          <w:p w14:paraId="795466EF" w14:textId="77777777" w:rsidR="001E55A8" w:rsidRPr="00735773" w:rsidRDefault="001E55A8" w:rsidP="004566DC">
            <w:pPr>
              <w:pStyle w:val="Tabletext1"/>
              <w:ind w:left="0" w:right="-145"/>
              <w:jc w:val="left"/>
            </w:pPr>
            <w:r>
              <w:lastRenderedPageBreak/>
              <w:t>Common mutation panel</w:t>
            </w:r>
          </w:p>
        </w:tc>
        <w:tc>
          <w:tcPr>
            <w:tcW w:w="972" w:type="pct"/>
            <w:vAlign w:val="bottom"/>
          </w:tcPr>
          <w:p w14:paraId="35FDD7AF" w14:textId="77777777" w:rsidR="001E55A8" w:rsidRPr="00546DD0" w:rsidRDefault="001E55A8" w:rsidP="004566DC">
            <w:pPr>
              <w:pStyle w:val="Tabletext1"/>
              <w:tabs>
                <w:tab w:val="decimal" w:pos="779"/>
              </w:tabs>
              <w:ind w:left="0" w:right="-82"/>
              <w:jc w:val="left"/>
            </w:pPr>
            <w:r>
              <w:t>83%</w:t>
            </w:r>
          </w:p>
        </w:tc>
        <w:tc>
          <w:tcPr>
            <w:tcW w:w="972" w:type="pct"/>
            <w:vAlign w:val="bottom"/>
          </w:tcPr>
          <w:p w14:paraId="66482DF6" w14:textId="77777777" w:rsidR="001E55A8" w:rsidRPr="00546DD0" w:rsidRDefault="001E55A8" w:rsidP="004566DC">
            <w:pPr>
              <w:pStyle w:val="Tabletext1"/>
              <w:tabs>
                <w:tab w:val="decimal" w:pos="779"/>
              </w:tabs>
              <w:ind w:left="0" w:right="-82"/>
              <w:jc w:val="left"/>
            </w:pPr>
            <w:r>
              <w:t>100%</w:t>
            </w:r>
          </w:p>
        </w:tc>
        <w:tc>
          <w:tcPr>
            <w:tcW w:w="969" w:type="pct"/>
            <w:vAlign w:val="bottom"/>
          </w:tcPr>
          <w:p w14:paraId="7A182AF4" w14:textId="77777777" w:rsidR="001E55A8" w:rsidRPr="00546DD0" w:rsidRDefault="001E55A8" w:rsidP="004566DC">
            <w:pPr>
              <w:pStyle w:val="Tabletext1"/>
              <w:tabs>
                <w:tab w:val="decimal" w:pos="779"/>
              </w:tabs>
              <w:ind w:left="0" w:right="-82"/>
              <w:jc w:val="left"/>
            </w:pPr>
            <w:r>
              <w:t>28%</w:t>
            </w:r>
          </w:p>
        </w:tc>
        <w:tc>
          <w:tcPr>
            <w:tcW w:w="935" w:type="pct"/>
            <w:vAlign w:val="bottom"/>
          </w:tcPr>
          <w:p w14:paraId="0C34C4C3" w14:textId="77777777" w:rsidR="001E55A8" w:rsidRPr="00546DD0" w:rsidRDefault="001E55A8" w:rsidP="004566DC">
            <w:pPr>
              <w:pStyle w:val="Tabletext1"/>
              <w:tabs>
                <w:tab w:val="decimal" w:pos="779"/>
              </w:tabs>
              <w:ind w:left="0" w:right="-82"/>
              <w:jc w:val="left"/>
            </w:pPr>
            <w:r>
              <w:t>100%</w:t>
            </w:r>
          </w:p>
        </w:tc>
      </w:tr>
      <w:tr w:rsidR="001E55A8" w:rsidRPr="00F515FA" w14:paraId="0A343404" w14:textId="77777777" w:rsidTr="005B7F97">
        <w:tc>
          <w:tcPr>
            <w:tcW w:w="1152" w:type="pct"/>
          </w:tcPr>
          <w:p w14:paraId="766CACE4" w14:textId="77777777" w:rsidR="001E55A8" w:rsidRPr="00735773" w:rsidRDefault="001E55A8" w:rsidP="004566DC">
            <w:pPr>
              <w:pStyle w:val="Tabletext1"/>
              <w:ind w:left="0" w:right="-145"/>
              <w:jc w:val="left"/>
            </w:pPr>
            <w:r>
              <w:t>Whole gene screen</w:t>
            </w:r>
          </w:p>
        </w:tc>
        <w:tc>
          <w:tcPr>
            <w:tcW w:w="972" w:type="pct"/>
            <w:vAlign w:val="bottom"/>
          </w:tcPr>
          <w:p w14:paraId="42319D97" w14:textId="77777777" w:rsidR="001E55A8" w:rsidRPr="00546DD0" w:rsidRDefault="001E55A8" w:rsidP="004566DC">
            <w:pPr>
              <w:pStyle w:val="Tabletext1"/>
              <w:tabs>
                <w:tab w:val="decimal" w:pos="779"/>
              </w:tabs>
              <w:ind w:left="0" w:right="-82"/>
              <w:jc w:val="left"/>
            </w:pPr>
            <w:r>
              <w:t>17%</w:t>
            </w:r>
          </w:p>
        </w:tc>
        <w:tc>
          <w:tcPr>
            <w:tcW w:w="972" w:type="pct"/>
            <w:vAlign w:val="bottom"/>
          </w:tcPr>
          <w:p w14:paraId="04777FF4" w14:textId="77777777" w:rsidR="001E55A8" w:rsidRPr="00546DD0" w:rsidRDefault="001E55A8" w:rsidP="004566DC">
            <w:pPr>
              <w:pStyle w:val="Tabletext1"/>
              <w:tabs>
                <w:tab w:val="decimal" w:pos="779"/>
              </w:tabs>
              <w:ind w:left="0" w:right="-82"/>
              <w:jc w:val="left"/>
            </w:pPr>
            <w:r>
              <w:t>-</w:t>
            </w:r>
          </w:p>
        </w:tc>
        <w:tc>
          <w:tcPr>
            <w:tcW w:w="969" w:type="pct"/>
            <w:vAlign w:val="bottom"/>
          </w:tcPr>
          <w:p w14:paraId="77745BCD" w14:textId="77777777" w:rsidR="001E55A8" w:rsidRPr="00546DD0" w:rsidRDefault="001E55A8" w:rsidP="004566DC">
            <w:pPr>
              <w:pStyle w:val="Tabletext1"/>
              <w:tabs>
                <w:tab w:val="decimal" w:pos="779"/>
              </w:tabs>
              <w:ind w:left="0" w:right="-82"/>
              <w:jc w:val="left"/>
            </w:pPr>
            <w:r>
              <w:t>20%</w:t>
            </w:r>
          </w:p>
        </w:tc>
        <w:tc>
          <w:tcPr>
            <w:tcW w:w="935" w:type="pct"/>
            <w:vAlign w:val="bottom"/>
          </w:tcPr>
          <w:p w14:paraId="45F2AF19" w14:textId="77777777" w:rsidR="001E55A8" w:rsidRPr="00546DD0" w:rsidRDefault="001E55A8" w:rsidP="004566DC">
            <w:pPr>
              <w:pStyle w:val="Tabletext1"/>
              <w:tabs>
                <w:tab w:val="decimal" w:pos="779"/>
              </w:tabs>
              <w:ind w:left="0" w:right="-82"/>
              <w:jc w:val="left"/>
            </w:pPr>
            <w:r>
              <w:t>-</w:t>
            </w:r>
          </w:p>
        </w:tc>
      </w:tr>
      <w:tr w:rsidR="001E55A8" w:rsidRPr="00F515FA" w14:paraId="5CFB02D8" w14:textId="77777777" w:rsidTr="005B7F97">
        <w:tc>
          <w:tcPr>
            <w:tcW w:w="1152" w:type="pct"/>
          </w:tcPr>
          <w:p w14:paraId="0FBC4071" w14:textId="77777777" w:rsidR="001E55A8" w:rsidRPr="003D5E01" w:rsidRDefault="001E55A8" w:rsidP="004566DC">
            <w:pPr>
              <w:pStyle w:val="Tabletext1"/>
              <w:ind w:left="0" w:right="-145"/>
              <w:jc w:val="left"/>
            </w:pPr>
            <w:r w:rsidRPr="003D5E01">
              <w:t>Total</w:t>
            </w:r>
          </w:p>
        </w:tc>
        <w:tc>
          <w:tcPr>
            <w:tcW w:w="972" w:type="pct"/>
            <w:vAlign w:val="bottom"/>
          </w:tcPr>
          <w:p w14:paraId="4400F15D" w14:textId="77777777" w:rsidR="001E55A8" w:rsidRPr="003D5E01" w:rsidRDefault="001E55A8" w:rsidP="004566DC">
            <w:pPr>
              <w:pStyle w:val="Tabletext1"/>
              <w:tabs>
                <w:tab w:val="decimal" w:pos="779"/>
              </w:tabs>
              <w:ind w:left="0" w:right="-82"/>
              <w:jc w:val="left"/>
            </w:pPr>
            <w:r w:rsidRPr="003D5E01">
              <w:t>100%</w:t>
            </w:r>
          </w:p>
        </w:tc>
        <w:tc>
          <w:tcPr>
            <w:tcW w:w="972" w:type="pct"/>
            <w:vAlign w:val="bottom"/>
          </w:tcPr>
          <w:p w14:paraId="73384D1B" w14:textId="77777777" w:rsidR="001E55A8" w:rsidRPr="003D5E01" w:rsidRDefault="001E55A8" w:rsidP="004566DC">
            <w:pPr>
              <w:pStyle w:val="Tabletext1"/>
              <w:tabs>
                <w:tab w:val="decimal" w:pos="779"/>
              </w:tabs>
              <w:ind w:left="0" w:right="-82"/>
              <w:jc w:val="left"/>
            </w:pPr>
            <w:r w:rsidRPr="003D5E01">
              <w:t>100%</w:t>
            </w:r>
          </w:p>
        </w:tc>
        <w:tc>
          <w:tcPr>
            <w:tcW w:w="969" w:type="pct"/>
            <w:vAlign w:val="bottom"/>
          </w:tcPr>
          <w:p w14:paraId="51F2FA38" w14:textId="77777777" w:rsidR="001E55A8" w:rsidRPr="003D5E01" w:rsidRDefault="001E55A8" w:rsidP="004566DC">
            <w:pPr>
              <w:pStyle w:val="Tabletext1"/>
              <w:tabs>
                <w:tab w:val="decimal" w:pos="779"/>
              </w:tabs>
              <w:ind w:left="0" w:right="-82"/>
              <w:jc w:val="left"/>
            </w:pPr>
            <w:r w:rsidRPr="003D5E01">
              <w:t>100%</w:t>
            </w:r>
          </w:p>
        </w:tc>
        <w:tc>
          <w:tcPr>
            <w:tcW w:w="935" w:type="pct"/>
            <w:vAlign w:val="bottom"/>
          </w:tcPr>
          <w:p w14:paraId="71762875" w14:textId="77777777" w:rsidR="001E55A8" w:rsidRPr="003D5E01" w:rsidRDefault="001E55A8" w:rsidP="004566DC">
            <w:pPr>
              <w:pStyle w:val="Tabletext1"/>
              <w:tabs>
                <w:tab w:val="decimal" w:pos="779"/>
              </w:tabs>
              <w:ind w:left="0" w:right="-82"/>
              <w:jc w:val="left"/>
            </w:pPr>
            <w:r w:rsidRPr="003D5E01">
              <w:t>100%</w:t>
            </w:r>
          </w:p>
        </w:tc>
      </w:tr>
    </w:tbl>
    <w:p w14:paraId="1FE18894" w14:textId="10BE89B4" w:rsidR="00736EFE" w:rsidRDefault="00937614" w:rsidP="00970499">
      <w:pPr>
        <w:pStyle w:val="TableNotes"/>
        <w:spacing w:after="120"/>
        <w:ind w:left="0"/>
        <w:rPr>
          <w:sz w:val="18"/>
          <w:szCs w:val="18"/>
        </w:rPr>
      </w:pPr>
      <w:r w:rsidRPr="004566DC">
        <w:rPr>
          <w:sz w:val="18"/>
          <w:szCs w:val="18"/>
          <w:vertAlign w:val="superscript"/>
        </w:rPr>
        <w:t xml:space="preserve">a </w:t>
      </w:r>
      <w:r w:rsidR="00736EFE" w:rsidRPr="004566DC">
        <w:rPr>
          <w:sz w:val="18"/>
          <w:szCs w:val="18"/>
        </w:rPr>
        <w:t>Single mutation analyses are performed to identify one or two F508del mutations</w:t>
      </w:r>
      <w:r w:rsidRPr="004566DC">
        <w:rPr>
          <w:sz w:val="18"/>
          <w:szCs w:val="18"/>
        </w:rPr>
        <w:t>.</w:t>
      </w:r>
    </w:p>
    <w:p w14:paraId="017885F6" w14:textId="77777777" w:rsidR="001E55A8" w:rsidRDefault="001E55A8" w:rsidP="001E55A8">
      <w:r>
        <w:t xml:space="preserve">These estimates are applied to the number of tests eligible for MBS funding, as presented in </w:t>
      </w:r>
      <w:r>
        <w:fldChar w:fldCharType="begin"/>
      </w:r>
      <w:r>
        <w:instrText xml:space="preserve"> REF _Ref413931707 \h </w:instrText>
      </w:r>
      <w:r>
        <w:fldChar w:fldCharType="separate"/>
      </w:r>
      <w:r w:rsidR="00BB0E3E">
        <w:t xml:space="preserve">Table </w:t>
      </w:r>
      <w:r w:rsidR="00BB0E3E">
        <w:rPr>
          <w:noProof/>
        </w:rPr>
        <w:t>74</w:t>
      </w:r>
      <w:r>
        <w:fldChar w:fldCharType="end"/>
      </w:r>
      <w:r>
        <w:t xml:space="preserve">, and the number of tests by test type are presented in </w:t>
      </w:r>
      <w:r>
        <w:fldChar w:fldCharType="begin"/>
      </w:r>
      <w:r>
        <w:instrText xml:space="preserve"> REF _Ref413931886 \h </w:instrText>
      </w:r>
      <w:r>
        <w:fldChar w:fldCharType="separate"/>
      </w:r>
      <w:r w:rsidR="00BB0E3E">
        <w:t xml:space="preserve">Table </w:t>
      </w:r>
      <w:r w:rsidR="00BB0E3E">
        <w:rPr>
          <w:noProof/>
        </w:rPr>
        <w:t>76</w:t>
      </w:r>
      <w:r>
        <w:fldChar w:fldCharType="end"/>
      </w:r>
      <w:r>
        <w:t>.</w:t>
      </w:r>
      <w:r w:rsidRPr="00527D29">
        <w:t xml:space="preserve"> </w:t>
      </w:r>
    </w:p>
    <w:p w14:paraId="07B7D569" w14:textId="66E64066" w:rsidR="001E55A8" w:rsidRDefault="001E55A8" w:rsidP="001E55A8">
      <w:pPr>
        <w:pStyle w:val="Caption"/>
      </w:pPr>
      <w:bookmarkStart w:id="427" w:name="_Ref413931886"/>
      <w:bookmarkStart w:id="428" w:name="_Toc416855369"/>
      <w:bookmarkStart w:id="429" w:name="_Toc418179473"/>
      <w:r>
        <w:t xml:space="preserve">Table </w:t>
      </w:r>
      <w:fldSimple w:instr=" SEQ Table \* ARABIC ">
        <w:r w:rsidR="00BB0E3E">
          <w:rPr>
            <w:noProof/>
          </w:rPr>
          <w:t>76</w:t>
        </w:r>
      </w:fldSimple>
      <w:bookmarkEnd w:id="427"/>
      <w:r>
        <w:tab/>
        <w:t>Projected number of tests, by test type</w:t>
      </w:r>
      <w:bookmarkEnd w:id="428"/>
      <w:r>
        <w:t>, 2015–19</w:t>
      </w:r>
      <w:bookmarkEnd w:id="429"/>
    </w:p>
    <w:tbl>
      <w:tblPr>
        <w:tblStyle w:val="TableGrid"/>
        <w:tblW w:w="4908" w:type="pct"/>
        <w:tblInd w:w="108" w:type="dxa"/>
        <w:tblLook w:val="04A0" w:firstRow="1" w:lastRow="0" w:firstColumn="1" w:lastColumn="0" w:noHBand="0" w:noVBand="1"/>
        <w:tblCaption w:val="Projected number of tests, by test type, 2015–19"/>
        <w:tblDescription w:val="Projected number of tests, by test type, 2015–19"/>
      </w:tblPr>
      <w:tblGrid>
        <w:gridCol w:w="2126"/>
        <w:gridCol w:w="1390"/>
        <w:gridCol w:w="1390"/>
        <w:gridCol w:w="1390"/>
        <w:gridCol w:w="1390"/>
        <w:gridCol w:w="1386"/>
      </w:tblGrid>
      <w:tr w:rsidR="001E55A8" w:rsidRPr="00F515FA" w14:paraId="3A3830ED" w14:textId="77777777" w:rsidTr="00862720">
        <w:trPr>
          <w:tblHeader/>
        </w:trPr>
        <w:tc>
          <w:tcPr>
            <w:tcW w:w="1172" w:type="pct"/>
          </w:tcPr>
          <w:p w14:paraId="3282C29C" w14:textId="77777777" w:rsidR="001E55A8" w:rsidRPr="00F515FA" w:rsidRDefault="001E55A8" w:rsidP="004566DC">
            <w:pPr>
              <w:pStyle w:val="Caption"/>
              <w:spacing w:before="40"/>
              <w:ind w:left="0" w:right="-109"/>
              <w:jc w:val="left"/>
              <w:rPr>
                <w:szCs w:val="20"/>
              </w:rPr>
            </w:pPr>
          </w:p>
        </w:tc>
        <w:tc>
          <w:tcPr>
            <w:tcW w:w="766" w:type="pct"/>
            <w:vAlign w:val="bottom"/>
          </w:tcPr>
          <w:p w14:paraId="5D70B91E" w14:textId="77777777" w:rsidR="001E55A8" w:rsidRPr="00F515FA" w:rsidRDefault="001E55A8" w:rsidP="005B7F97">
            <w:pPr>
              <w:pStyle w:val="Caption"/>
              <w:spacing w:before="40"/>
              <w:ind w:left="0"/>
              <w:jc w:val="center"/>
              <w:rPr>
                <w:szCs w:val="20"/>
              </w:rPr>
            </w:pPr>
            <w:r w:rsidRPr="00F515FA">
              <w:rPr>
                <w:szCs w:val="20"/>
              </w:rPr>
              <w:t>2015</w:t>
            </w:r>
          </w:p>
        </w:tc>
        <w:tc>
          <w:tcPr>
            <w:tcW w:w="766" w:type="pct"/>
            <w:vAlign w:val="bottom"/>
          </w:tcPr>
          <w:p w14:paraId="487A9F4F" w14:textId="77777777" w:rsidR="001E55A8" w:rsidRPr="00F515FA" w:rsidRDefault="001E55A8" w:rsidP="005B7F97">
            <w:pPr>
              <w:pStyle w:val="Caption"/>
              <w:spacing w:before="40"/>
              <w:ind w:left="0"/>
              <w:jc w:val="center"/>
              <w:rPr>
                <w:szCs w:val="20"/>
              </w:rPr>
            </w:pPr>
            <w:r w:rsidRPr="00F515FA">
              <w:rPr>
                <w:szCs w:val="20"/>
              </w:rPr>
              <w:t>2016</w:t>
            </w:r>
          </w:p>
        </w:tc>
        <w:tc>
          <w:tcPr>
            <w:tcW w:w="766" w:type="pct"/>
            <w:vAlign w:val="bottom"/>
          </w:tcPr>
          <w:p w14:paraId="233E6EF8" w14:textId="77777777" w:rsidR="001E55A8" w:rsidRPr="00F515FA" w:rsidRDefault="001E55A8" w:rsidP="005B7F97">
            <w:pPr>
              <w:pStyle w:val="Caption"/>
              <w:spacing w:before="40"/>
              <w:ind w:left="0"/>
              <w:jc w:val="center"/>
              <w:rPr>
                <w:szCs w:val="20"/>
              </w:rPr>
            </w:pPr>
            <w:r w:rsidRPr="00F515FA">
              <w:rPr>
                <w:szCs w:val="20"/>
              </w:rPr>
              <w:t>2017</w:t>
            </w:r>
          </w:p>
        </w:tc>
        <w:tc>
          <w:tcPr>
            <w:tcW w:w="766" w:type="pct"/>
            <w:vAlign w:val="bottom"/>
          </w:tcPr>
          <w:p w14:paraId="2D33EEB2" w14:textId="77777777" w:rsidR="001E55A8" w:rsidRPr="00F515FA" w:rsidRDefault="001E55A8" w:rsidP="005B7F97">
            <w:pPr>
              <w:pStyle w:val="Caption"/>
              <w:spacing w:before="40"/>
              <w:ind w:left="0"/>
              <w:jc w:val="center"/>
              <w:rPr>
                <w:szCs w:val="20"/>
              </w:rPr>
            </w:pPr>
            <w:r w:rsidRPr="00F515FA">
              <w:rPr>
                <w:szCs w:val="20"/>
              </w:rPr>
              <w:t>2018</w:t>
            </w:r>
          </w:p>
        </w:tc>
        <w:tc>
          <w:tcPr>
            <w:tcW w:w="764" w:type="pct"/>
            <w:vAlign w:val="bottom"/>
          </w:tcPr>
          <w:p w14:paraId="3C58EAE5"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661E4B" w14:paraId="01A636CF" w14:textId="77777777" w:rsidTr="005B7F97">
        <w:tc>
          <w:tcPr>
            <w:tcW w:w="1172" w:type="pct"/>
          </w:tcPr>
          <w:p w14:paraId="18B9D6DB" w14:textId="2A4188A9" w:rsidR="001E55A8" w:rsidRPr="00735773" w:rsidRDefault="001E55A8" w:rsidP="004566DC">
            <w:pPr>
              <w:pStyle w:val="Tabletext1"/>
              <w:ind w:left="0" w:right="-109"/>
              <w:jc w:val="left"/>
            </w:pPr>
            <w:r>
              <w:t>Single mutation analysis</w:t>
            </w:r>
            <w:r w:rsidR="004344B9">
              <w:t xml:space="preserve"> </w:t>
            </w:r>
            <w:r w:rsidR="005D13AA" w:rsidRPr="004566DC">
              <w:rPr>
                <w:vertAlign w:val="superscript"/>
              </w:rPr>
              <w:t>a</w:t>
            </w:r>
          </w:p>
        </w:tc>
        <w:tc>
          <w:tcPr>
            <w:tcW w:w="766" w:type="pct"/>
          </w:tcPr>
          <w:p w14:paraId="2C745279" w14:textId="77777777" w:rsidR="001E55A8" w:rsidRPr="00057715" w:rsidRDefault="001E55A8" w:rsidP="004566DC">
            <w:pPr>
              <w:pStyle w:val="Tabletext1"/>
              <w:tabs>
                <w:tab w:val="decimal" w:pos="743"/>
              </w:tabs>
              <w:ind w:left="0"/>
              <w:jc w:val="left"/>
            </w:pPr>
            <w:r w:rsidRPr="002B4932">
              <w:t>720</w:t>
            </w:r>
          </w:p>
        </w:tc>
        <w:tc>
          <w:tcPr>
            <w:tcW w:w="766" w:type="pct"/>
          </w:tcPr>
          <w:p w14:paraId="058CA74E" w14:textId="77777777" w:rsidR="001E55A8" w:rsidRPr="00057715" w:rsidRDefault="001E55A8" w:rsidP="004566DC">
            <w:pPr>
              <w:pStyle w:val="Tabletext1"/>
              <w:tabs>
                <w:tab w:val="decimal" w:pos="743"/>
              </w:tabs>
              <w:ind w:left="0"/>
              <w:jc w:val="left"/>
            </w:pPr>
            <w:r w:rsidRPr="002B4932">
              <w:t>828</w:t>
            </w:r>
          </w:p>
        </w:tc>
        <w:tc>
          <w:tcPr>
            <w:tcW w:w="766" w:type="pct"/>
          </w:tcPr>
          <w:p w14:paraId="7FFB096A" w14:textId="77777777" w:rsidR="001E55A8" w:rsidRPr="00057715" w:rsidRDefault="001E55A8" w:rsidP="004566DC">
            <w:pPr>
              <w:pStyle w:val="Tabletext1"/>
              <w:tabs>
                <w:tab w:val="decimal" w:pos="743"/>
              </w:tabs>
              <w:ind w:left="0"/>
              <w:jc w:val="left"/>
            </w:pPr>
            <w:r w:rsidRPr="002B4932">
              <w:t>953</w:t>
            </w:r>
          </w:p>
        </w:tc>
        <w:tc>
          <w:tcPr>
            <w:tcW w:w="766" w:type="pct"/>
          </w:tcPr>
          <w:p w14:paraId="5CA51C8B" w14:textId="77777777" w:rsidR="001E55A8" w:rsidRPr="00057715" w:rsidRDefault="001E55A8" w:rsidP="004566DC">
            <w:pPr>
              <w:pStyle w:val="Tabletext1"/>
              <w:tabs>
                <w:tab w:val="decimal" w:pos="743"/>
              </w:tabs>
              <w:ind w:left="0"/>
              <w:jc w:val="left"/>
            </w:pPr>
            <w:r w:rsidRPr="002B4932">
              <w:t>1,096</w:t>
            </w:r>
          </w:p>
        </w:tc>
        <w:tc>
          <w:tcPr>
            <w:tcW w:w="764" w:type="pct"/>
          </w:tcPr>
          <w:p w14:paraId="4544F635" w14:textId="77777777" w:rsidR="001E55A8" w:rsidRPr="00057715" w:rsidRDefault="001E55A8" w:rsidP="004566DC">
            <w:pPr>
              <w:pStyle w:val="Tabletext1"/>
              <w:tabs>
                <w:tab w:val="decimal" w:pos="743"/>
              </w:tabs>
              <w:ind w:left="0"/>
              <w:jc w:val="left"/>
            </w:pPr>
            <w:r w:rsidRPr="002B4932">
              <w:t>1,260</w:t>
            </w:r>
          </w:p>
        </w:tc>
      </w:tr>
      <w:tr w:rsidR="001E55A8" w:rsidRPr="00661E4B" w14:paraId="45955443" w14:textId="77777777" w:rsidTr="005B7F97">
        <w:tc>
          <w:tcPr>
            <w:tcW w:w="1172" w:type="pct"/>
          </w:tcPr>
          <w:p w14:paraId="609157B9" w14:textId="77777777" w:rsidR="001E55A8" w:rsidRPr="00735773" w:rsidRDefault="001E55A8" w:rsidP="004566DC">
            <w:pPr>
              <w:pStyle w:val="Tabletext1"/>
              <w:ind w:left="0" w:right="-109"/>
              <w:jc w:val="left"/>
            </w:pPr>
            <w:r>
              <w:t>Common mutation panel</w:t>
            </w:r>
          </w:p>
        </w:tc>
        <w:tc>
          <w:tcPr>
            <w:tcW w:w="766" w:type="pct"/>
          </w:tcPr>
          <w:p w14:paraId="42DF3AB6" w14:textId="77777777" w:rsidR="001E55A8" w:rsidRPr="00057715" w:rsidRDefault="001E55A8" w:rsidP="004566DC">
            <w:pPr>
              <w:pStyle w:val="Tabletext1"/>
              <w:tabs>
                <w:tab w:val="decimal" w:pos="743"/>
              </w:tabs>
              <w:ind w:left="0"/>
              <w:jc w:val="left"/>
            </w:pPr>
            <w:r w:rsidRPr="002B4932">
              <w:t>6,608</w:t>
            </w:r>
          </w:p>
        </w:tc>
        <w:tc>
          <w:tcPr>
            <w:tcW w:w="766" w:type="pct"/>
          </w:tcPr>
          <w:p w14:paraId="08DC29A5" w14:textId="77777777" w:rsidR="001E55A8" w:rsidRPr="00057715" w:rsidRDefault="001E55A8" w:rsidP="004566DC">
            <w:pPr>
              <w:pStyle w:val="Tabletext1"/>
              <w:tabs>
                <w:tab w:val="decimal" w:pos="743"/>
              </w:tabs>
              <w:ind w:left="0"/>
              <w:jc w:val="left"/>
            </w:pPr>
            <w:r w:rsidRPr="002B4932">
              <w:t>7,599</w:t>
            </w:r>
          </w:p>
        </w:tc>
        <w:tc>
          <w:tcPr>
            <w:tcW w:w="766" w:type="pct"/>
          </w:tcPr>
          <w:p w14:paraId="01364409" w14:textId="77777777" w:rsidR="001E55A8" w:rsidRPr="00057715" w:rsidRDefault="001E55A8" w:rsidP="004566DC">
            <w:pPr>
              <w:pStyle w:val="Tabletext1"/>
              <w:tabs>
                <w:tab w:val="decimal" w:pos="743"/>
              </w:tabs>
              <w:ind w:left="0"/>
              <w:jc w:val="left"/>
            </w:pPr>
            <w:r w:rsidRPr="002B4932">
              <w:t>8,739</w:t>
            </w:r>
          </w:p>
        </w:tc>
        <w:tc>
          <w:tcPr>
            <w:tcW w:w="766" w:type="pct"/>
          </w:tcPr>
          <w:p w14:paraId="19DCBD60" w14:textId="77777777" w:rsidR="001E55A8" w:rsidRPr="00057715" w:rsidRDefault="001E55A8" w:rsidP="004566DC">
            <w:pPr>
              <w:pStyle w:val="Tabletext1"/>
              <w:tabs>
                <w:tab w:val="decimal" w:pos="743"/>
              </w:tabs>
              <w:ind w:left="0"/>
              <w:jc w:val="left"/>
            </w:pPr>
            <w:r w:rsidRPr="002B4932">
              <w:t>10,049</w:t>
            </w:r>
          </w:p>
        </w:tc>
        <w:tc>
          <w:tcPr>
            <w:tcW w:w="764" w:type="pct"/>
          </w:tcPr>
          <w:p w14:paraId="4459D6E1" w14:textId="77777777" w:rsidR="001E55A8" w:rsidRPr="00057715" w:rsidRDefault="001E55A8" w:rsidP="004566DC">
            <w:pPr>
              <w:pStyle w:val="Tabletext1"/>
              <w:tabs>
                <w:tab w:val="decimal" w:pos="743"/>
              </w:tabs>
              <w:ind w:left="0"/>
              <w:jc w:val="left"/>
            </w:pPr>
            <w:r w:rsidRPr="002B4932">
              <w:t>11,557</w:t>
            </w:r>
          </w:p>
        </w:tc>
      </w:tr>
      <w:tr w:rsidR="001E55A8" w:rsidRPr="00661E4B" w14:paraId="768D77E7" w14:textId="77777777" w:rsidTr="005B7F97">
        <w:tc>
          <w:tcPr>
            <w:tcW w:w="1172" w:type="pct"/>
          </w:tcPr>
          <w:p w14:paraId="0CCE5A52" w14:textId="77777777" w:rsidR="001E55A8" w:rsidRPr="00735773" w:rsidRDefault="001E55A8" w:rsidP="004566DC">
            <w:pPr>
              <w:pStyle w:val="Tabletext1"/>
              <w:ind w:left="0" w:right="-109"/>
              <w:jc w:val="left"/>
            </w:pPr>
            <w:r>
              <w:t>Whole gene screen</w:t>
            </w:r>
          </w:p>
        </w:tc>
        <w:tc>
          <w:tcPr>
            <w:tcW w:w="766" w:type="pct"/>
            <w:vAlign w:val="bottom"/>
          </w:tcPr>
          <w:p w14:paraId="636BB64E" w14:textId="77777777" w:rsidR="001E55A8" w:rsidRPr="00057715" w:rsidRDefault="001E55A8" w:rsidP="004566DC">
            <w:pPr>
              <w:pStyle w:val="Tabletext1"/>
              <w:tabs>
                <w:tab w:val="decimal" w:pos="743"/>
              </w:tabs>
              <w:ind w:left="0"/>
              <w:jc w:val="left"/>
            </w:pPr>
            <w:r w:rsidRPr="00057715">
              <w:t>1,176</w:t>
            </w:r>
          </w:p>
        </w:tc>
        <w:tc>
          <w:tcPr>
            <w:tcW w:w="766" w:type="pct"/>
            <w:vAlign w:val="bottom"/>
          </w:tcPr>
          <w:p w14:paraId="363DC938" w14:textId="77777777" w:rsidR="001E55A8" w:rsidRPr="00057715" w:rsidRDefault="001E55A8" w:rsidP="004566DC">
            <w:pPr>
              <w:pStyle w:val="Tabletext1"/>
              <w:tabs>
                <w:tab w:val="decimal" w:pos="743"/>
              </w:tabs>
              <w:ind w:left="0"/>
              <w:jc w:val="left"/>
            </w:pPr>
            <w:r w:rsidRPr="00057715">
              <w:t>1,353</w:t>
            </w:r>
          </w:p>
        </w:tc>
        <w:tc>
          <w:tcPr>
            <w:tcW w:w="766" w:type="pct"/>
            <w:vAlign w:val="bottom"/>
          </w:tcPr>
          <w:p w14:paraId="7B5D3EFC" w14:textId="77777777" w:rsidR="001E55A8" w:rsidRPr="00057715" w:rsidRDefault="001E55A8" w:rsidP="004566DC">
            <w:pPr>
              <w:pStyle w:val="Tabletext1"/>
              <w:tabs>
                <w:tab w:val="decimal" w:pos="743"/>
              </w:tabs>
              <w:ind w:left="0"/>
              <w:jc w:val="left"/>
            </w:pPr>
            <w:r w:rsidRPr="00057715">
              <w:t>1,555</w:t>
            </w:r>
          </w:p>
        </w:tc>
        <w:tc>
          <w:tcPr>
            <w:tcW w:w="766" w:type="pct"/>
            <w:vAlign w:val="bottom"/>
          </w:tcPr>
          <w:p w14:paraId="43463AFD" w14:textId="77777777" w:rsidR="001E55A8" w:rsidRPr="00057715" w:rsidRDefault="001E55A8" w:rsidP="004566DC">
            <w:pPr>
              <w:pStyle w:val="Tabletext1"/>
              <w:tabs>
                <w:tab w:val="decimal" w:pos="743"/>
              </w:tabs>
              <w:ind w:left="0"/>
              <w:jc w:val="left"/>
            </w:pPr>
            <w:r w:rsidRPr="00057715">
              <w:t>1,789</w:t>
            </w:r>
          </w:p>
        </w:tc>
        <w:tc>
          <w:tcPr>
            <w:tcW w:w="764" w:type="pct"/>
            <w:vAlign w:val="bottom"/>
          </w:tcPr>
          <w:p w14:paraId="7851D60C" w14:textId="77777777" w:rsidR="001E55A8" w:rsidRPr="00057715" w:rsidRDefault="001E55A8" w:rsidP="004566DC">
            <w:pPr>
              <w:pStyle w:val="Tabletext1"/>
              <w:tabs>
                <w:tab w:val="decimal" w:pos="743"/>
              </w:tabs>
              <w:ind w:left="0"/>
              <w:jc w:val="left"/>
            </w:pPr>
            <w:r w:rsidRPr="00057715">
              <w:t>2,057</w:t>
            </w:r>
          </w:p>
        </w:tc>
      </w:tr>
      <w:tr w:rsidR="001E55A8" w:rsidRPr="00661E4B" w14:paraId="559F8CA8" w14:textId="77777777" w:rsidTr="005B7F97">
        <w:tc>
          <w:tcPr>
            <w:tcW w:w="1172" w:type="pct"/>
          </w:tcPr>
          <w:p w14:paraId="2C3DC856" w14:textId="77777777" w:rsidR="001E55A8" w:rsidRPr="0095403F" w:rsidRDefault="001E55A8" w:rsidP="004566DC">
            <w:pPr>
              <w:pStyle w:val="Tabletext1"/>
              <w:ind w:left="0" w:right="-109"/>
              <w:jc w:val="left"/>
              <w:rPr>
                <w:b/>
              </w:rPr>
            </w:pPr>
            <w:r w:rsidRPr="0095403F">
              <w:rPr>
                <w:b/>
              </w:rPr>
              <w:t>Total</w:t>
            </w:r>
          </w:p>
        </w:tc>
        <w:tc>
          <w:tcPr>
            <w:tcW w:w="766" w:type="pct"/>
            <w:vAlign w:val="bottom"/>
          </w:tcPr>
          <w:p w14:paraId="593B68FA" w14:textId="77777777" w:rsidR="001E55A8" w:rsidRPr="0095403F" w:rsidRDefault="001E55A8" w:rsidP="004566DC">
            <w:pPr>
              <w:pStyle w:val="Tabletext1"/>
              <w:tabs>
                <w:tab w:val="decimal" w:pos="743"/>
              </w:tabs>
              <w:ind w:left="0"/>
              <w:jc w:val="left"/>
              <w:rPr>
                <w:b/>
              </w:rPr>
            </w:pPr>
            <w:r w:rsidRPr="0095403F">
              <w:rPr>
                <w:b/>
              </w:rPr>
              <w:t>8,504</w:t>
            </w:r>
          </w:p>
        </w:tc>
        <w:tc>
          <w:tcPr>
            <w:tcW w:w="766" w:type="pct"/>
            <w:vAlign w:val="bottom"/>
          </w:tcPr>
          <w:p w14:paraId="57372193" w14:textId="77777777" w:rsidR="001E55A8" w:rsidRPr="001A33A2" w:rsidRDefault="001E55A8" w:rsidP="004566DC">
            <w:pPr>
              <w:pStyle w:val="Tabletext1"/>
              <w:tabs>
                <w:tab w:val="decimal" w:pos="743"/>
              </w:tabs>
              <w:ind w:left="0"/>
              <w:jc w:val="left"/>
              <w:rPr>
                <w:b/>
              </w:rPr>
            </w:pPr>
            <w:r w:rsidRPr="001A33A2">
              <w:rPr>
                <w:b/>
              </w:rPr>
              <w:t>9,780</w:t>
            </w:r>
          </w:p>
        </w:tc>
        <w:tc>
          <w:tcPr>
            <w:tcW w:w="766" w:type="pct"/>
            <w:vAlign w:val="bottom"/>
          </w:tcPr>
          <w:p w14:paraId="790FEDAC" w14:textId="77777777" w:rsidR="001E55A8" w:rsidRPr="00203BF1" w:rsidRDefault="001E55A8" w:rsidP="004566DC">
            <w:pPr>
              <w:pStyle w:val="Tabletext1"/>
              <w:tabs>
                <w:tab w:val="decimal" w:pos="743"/>
              </w:tabs>
              <w:ind w:left="0"/>
              <w:jc w:val="left"/>
              <w:rPr>
                <w:b/>
              </w:rPr>
            </w:pPr>
            <w:r w:rsidRPr="00203BF1">
              <w:rPr>
                <w:b/>
              </w:rPr>
              <w:t>11,247</w:t>
            </w:r>
          </w:p>
        </w:tc>
        <w:tc>
          <w:tcPr>
            <w:tcW w:w="766" w:type="pct"/>
            <w:vAlign w:val="bottom"/>
          </w:tcPr>
          <w:p w14:paraId="731DE78D" w14:textId="77777777" w:rsidR="001E55A8" w:rsidRPr="00203BF1" w:rsidRDefault="001E55A8" w:rsidP="004566DC">
            <w:pPr>
              <w:pStyle w:val="Tabletext1"/>
              <w:tabs>
                <w:tab w:val="decimal" w:pos="743"/>
              </w:tabs>
              <w:ind w:left="0"/>
              <w:jc w:val="left"/>
              <w:rPr>
                <w:b/>
              </w:rPr>
            </w:pPr>
            <w:r w:rsidRPr="00203BF1">
              <w:rPr>
                <w:b/>
              </w:rPr>
              <w:t>12,934</w:t>
            </w:r>
          </w:p>
        </w:tc>
        <w:tc>
          <w:tcPr>
            <w:tcW w:w="764" w:type="pct"/>
            <w:vAlign w:val="bottom"/>
          </w:tcPr>
          <w:p w14:paraId="5D490707" w14:textId="77777777" w:rsidR="001E55A8" w:rsidRPr="00203BF1" w:rsidRDefault="001E55A8" w:rsidP="004566DC">
            <w:pPr>
              <w:pStyle w:val="Tabletext1"/>
              <w:tabs>
                <w:tab w:val="decimal" w:pos="743"/>
              </w:tabs>
              <w:ind w:left="0"/>
              <w:jc w:val="left"/>
              <w:rPr>
                <w:b/>
              </w:rPr>
            </w:pPr>
            <w:r w:rsidRPr="00203BF1">
              <w:rPr>
                <w:b/>
              </w:rPr>
              <w:t>14,874</w:t>
            </w:r>
          </w:p>
        </w:tc>
      </w:tr>
    </w:tbl>
    <w:p w14:paraId="64E3DF32" w14:textId="77777777" w:rsidR="001E55A8" w:rsidRDefault="001E55A8" w:rsidP="004566DC">
      <w:pPr>
        <w:pStyle w:val="TableNotes"/>
        <w:spacing w:after="120" w:line="240" w:lineRule="auto"/>
        <w:ind w:left="0"/>
        <w:rPr>
          <w:sz w:val="18"/>
          <w:szCs w:val="18"/>
        </w:rPr>
      </w:pPr>
      <w:r>
        <w:rPr>
          <w:sz w:val="18"/>
          <w:szCs w:val="18"/>
        </w:rPr>
        <w:t xml:space="preserve">Note: Estimated by multiplying the number of tests listed in </w:t>
      </w:r>
      <w:r w:rsidRPr="00840CDB">
        <w:rPr>
          <w:sz w:val="18"/>
          <w:szCs w:val="18"/>
        </w:rPr>
        <w:fldChar w:fldCharType="begin"/>
      </w:r>
      <w:r w:rsidRPr="00840CDB">
        <w:rPr>
          <w:sz w:val="18"/>
          <w:szCs w:val="18"/>
        </w:rPr>
        <w:instrText xml:space="preserve"> REF _Ref413931707 \h </w:instrText>
      </w:r>
      <w:r w:rsidRPr="00840CDB">
        <w:rPr>
          <w:sz w:val="18"/>
          <w:szCs w:val="18"/>
        </w:rPr>
      </w:r>
      <w:r w:rsidRPr="00840CDB">
        <w:rPr>
          <w:sz w:val="18"/>
          <w:szCs w:val="18"/>
        </w:rPr>
        <w:fldChar w:fldCharType="separate"/>
      </w:r>
      <w:r w:rsidR="00BB0E3E">
        <w:t xml:space="preserve">Table </w:t>
      </w:r>
      <w:r w:rsidR="00BB0E3E">
        <w:rPr>
          <w:noProof/>
        </w:rPr>
        <w:t>74</w:t>
      </w:r>
      <w:r w:rsidRPr="00840CDB">
        <w:rPr>
          <w:sz w:val="18"/>
          <w:szCs w:val="18"/>
        </w:rPr>
        <w:fldChar w:fldCharType="end"/>
      </w:r>
      <w:r>
        <w:rPr>
          <w:sz w:val="18"/>
          <w:szCs w:val="18"/>
        </w:rPr>
        <w:t xml:space="preserve"> by the proportion of tests by type in </w:t>
      </w:r>
      <w:r w:rsidRPr="00840CDB">
        <w:rPr>
          <w:sz w:val="18"/>
          <w:szCs w:val="18"/>
        </w:rPr>
        <w:fldChar w:fldCharType="begin"/>
      </w:r>
      <w:r w:rsidRPr="00840CDB">
        <w:rPr>
          <w:sz w:val="18"/>
          <w:szCs w:val="18"/>
        </w:rPr>
        <w:instrText xml:space="preserve"> REF _Ref413931861 \h </w:instrText>
      </w:r>
      <w:r>
        <w:rPr>
          <w:sz w:val="18"/>
          <w:szCs w:val="18"/>
        </w:rPr>
        <w:instrText xml:space="preserve"> \* MERGEFORMAT </w:instrText>
      </w:r>
      <w:r w:rsidRPr="00840CDB">
        <w:rPr>
          <w:sz w:val="18"/>
          <w:szCs w:val="18"/>
        </w:rPr>
      </w:r>
      <w:r w:rsidRPr="00840CDB">
        <w:rPr>
          <w:sz w:val="18"/>
          <w:szCs w:val="18"/>
        </w:rPr>
        <w:fldChar w:fldCharType="separate"/>
      </w:r>
      <w:r w:rsidR="00BB0E3E" w:rsidRPr="00BB0E3E">
        <w:rPr>
          <w:sz w:val="18"/>
          <w:szCs w:val="18"/>
        </w:rPr>
        <w:t xml:space="preserve">Table </w:t>
      </w:r>
      <w:r w:rsidR="00BB0E3E" w:rsidRPr="00BB0E3E">
        <w:rPr>
          <w:noProof/>
          <w:sz w:val="18"/>
          <w:szCs w:val="18"/>
        </w:rPr>
        <w:t>75</w:t>
      </w:r>
      <w:r w:rsidRPr="00840CDB">
        <w:rPr>
          <w:sz w:val="18"/>
          <w:szCs w:val="18"/>
        </w:rPr>
        <w:fldChar w:fldCharType="end"/>
      </w:r>
      <w:r>
        <w:rPr>
          <w:sz w:val="18"/>
          <w:szCs w:val="18"/>
        </w:rPr>
        <w:t>.</w:t>
      </w:r>
    </w:p>
    <w:p w14:paraId="4E7570F1" w14:textId="2F247BAF" w:rsidR="00736EFE" w:rsidRPr="005D13AA" w:rsidRDefault="005D13AA" w:rsidP="004566DC">
      <w:pPr>
        <w:pStyle w:val="TableNotes"/>
        <w:spacing w:after="120" w:line="240" w:lineRule="auto"/>
        <w:ind w:left="0"/>
        <w:rPr>
          <w:sz w:val="18"/>
          <w:szCs w:val="18"/>
        </w:rPr>
      </w:pPr>
      <w:r w:rsidRPr="004566DC">
        <w:rPr>
          <w:sz w:val="18"/>
          <w:szCs w:val="18"/>
          <w:vertAlign w:val="superscript"/>
        </w:rPr>
        <w:t>a</w:t>
      </w:r>
      <w:r w:rsidRPr="004566DC">
        <w:rPr>
          <w:sz w:val="18"/>
          <w:szCs w:val="18"/>
        </w:rPr>
        <w:t xml:space="preserve"> </w:t>
      </w:r>
      <w:r w:rsidR="00736EFE" w:rsidRPr="004566DC">
        <w:rPr>
          <w:sz w:val="18"/>
          <w:szCs w:val="18"/>
        </w:rPr>
        <w:t>Single mutation analyses are performed to identify one or two F508del mutations</w:t>
      </w:r>
      <w:r>
        <w:rPr>
          <w:sz w:val="18"/>
          <w:szCs w:val="18"/>
        </w:rPr>
        <w:t>.</w:t>
      </w:r>
    </w:p>
    <w:p w14:paraId="14F67D06" w14:textId="424830A1" w:rsidR="001E55A8" w:rsidRDefault="001E55A8" w:rsidP="004566DC">
      <w:pPr>
        <w:spacing w:after="120"/>
      </w:pPr>
      <w:r>
        <w:t>The cost</w:t>
      </w:r>
      <w:r w:rsidR="00D401E9">
        <w:t>s</w:t>
      </w:r>
      <w:r>
        <w:t xml:space="preserve"> of testing</w:t>
      </w:r>
      <w:r w:rsidR="00D401E9">
        <w:t xml:space="preserve"> are</w:t>
      </w:r>
      <w:r>
        <w:t xml:space="preserve"> assumed as per </w:t>
      </w:r>
      <w:r w:rsidR="00F976CC">
        <w:t>s</w:t>
      </w:r>
      <w:r>
        <w:t>ection D.4</w:t>
      </w:r>
      <w:r w:rsidR="00D401E9">
        <w:t>:</w:t>
      </w:r>
      <w:r>
        <w:t xml:space="preserve"> </w:t>
      </w:r>
    </w:p>
    <w:p w14:paraId="4F270C52" w14:textId="667E67ED" w:rsidR="001E55A8" w:rsidRDefault="001E55A8" w:rsidP="004566DC">
      <w:pPr>
        <w:pStyle w:val="ListParagraph"/>
        <w:numPr>
          <w:ilvl w:val="0"/>
          <w:numId w:val="61"/>
        </w:numPr>
        <w:contextualSpacing/>
      </w:pPr>
      <w:r>
        <w:t>single mutation analysis: $80</w:t>
      </w:r>
    </w:p>
    <w:p w14:paraId="28108806" w14:textId="1A65EE54" w:rsidR="001E55A8" w:rsidRDefault="001E55A8" w:rsidP="004566DC">
      <w:pPr>
        <w:pStyle w:val="ListParagraph"/>
        <w:numPr>
          <w:ilvl w:val="0"/>
          <w:numId w:val="61"/>
        </w:numPr>
        <w:contextualSpacing/>
      </w:pPr>
      <w:r>
        <w:t>common mutation panel: $135</w:t>
      </w:r>
    </w:p>
    <w:p w14:paraId="1D3F06AE" w14:textId="77777777" w:rsidR="001E55A8" w:rsidRDefault="001E55A8" w:rsidP="004566DC">
      <w:pPr>
        <w:pStyle w:val="ListParagraph"/>
        <w:numPr>
          <w:ilvl w:val="0"/>
          <w:numId w:val="61"/>
        </w:numPr>
        <w:contextualSpacing/>
      </w:pPr>
      <w:r>
        <w:t>whole gene screen: $1,000.</w:t>
      </w:r>
    </w:p>
    <w:p w14:paraId="15EFF30B" w14:textId="5374D053" w:rsidR="001E55A8" w:rsidRDefault="001E55A8" w:rsidP="001E55A8">
      <w:r>
        <w:t>Therefore</w:t>
      </w:r>
      <w:r w:rsidR="0075049C">
        <w:t>,</w:t>
      </w:r>
      <w:r>
        <w:t xml:space="preserve"> the cost implication</w:t>
      </w:r>
      <w:r w:rsidR="0075049C">
        <w:t>s</w:t>
      </w:r>
      <w:r>
        <w:t xml:space="preserve"> of </w:t>
      </w:r>
      <w:r w:rsidR="00FD37D3" w:rsidRPr="00FD37D3">
        <w:t>CFTR</w:t>
      </w:r>
      <w:r>
        <w:t xml:space="preserve"> mutation testing </w:t>
      </w:r>
      <w:r w:rsidR="0075049C">
        <w:t xml:space="preserve">are </w:t>
      </w:r>
      <w:r>
        <w:t xml:space="preserve">as presented in </w:t>
      </w:r>
      <w:r>
        <w:fldChar w:fldCharType="begin"/>
      </w:r>
      <w:r>
        <w:instrText xml:space="preserve"> REF _Ref413931975 \h </w:instrText>
      </w:r>
      <w:r>
        <w:fldChar w:fldCharType="separate"/>
      </w:r>
      <w:r w:rsidR="00BB0E3E">
        <w:t xml:space="preserve">Table </w:t>
      </w:r>
      <w:r w:rsidR="00BB0E3E">
        <w:rPr>
          <w:noProof/>
        </w:rPr>
        <w:t>77</w:t>
      </w:r>
      <w:r>
        <w:fldChar w:fldCharType="end"/>
      </w:r>
      <w:r>
        <w:t>.</w:t>
      </w:r>
    </w:p>
    <w:p w14:paraId="314B9875" w14:textId="22C9B7C4" w:rsidR="001E55A8" w:rsidRDefault="001E55A8" w:rsidP="001E55A8">
      <w:pPr>
        <w:pStyle w:val="Caption"/>
      </w:pPr>
      <w:bookmarkStart w:id="430" w:name="_Ref413931975"/>
      <w:bookmarkStart w:id="431" w:name="_Toc416855370"/>
      <w:bookmarkStart w:id="432" w:name="_Toc418179474"/>
      <w:r>
        <w:t xml:space="preserve">Table </w:t>
      </w:r>
      <w:fldSimple w:instr=" SEQ Table \* ARABIC ">
        <w:r w:rsidR="00BB0E3E">
          <w:rPr>
            <w:noProof/>
          </w:rPr>
          <w:t>77</w:t>
        </w:r>
      </w:fldSimple>
      <w:bookmarkEnd w:id="430"/>
      <w:r>
        <w:tab/>
        <w:t>Estimate</w:t>
      </w:r>
      <w:r w:rsidR="002C456B">
        <w:t>d</w:t>
      </w:r>
      <w:r>
        <w:t xml:space="preserve"> total cost implication</w:t>
      </w:r>
      <w:r w:rsidR="0075049C">
        <w:t>s</w:t>
      </w:r>
      <w:r>
        <w:t xml:space="preserve"> of </w:t>
      </w:r>
      <w:r w:rsidR="00FD37D3" w:rsidRPr="00FD37D3">
        <w:t>CFTR</w:t>
      </w:r>
      <w:r>
        <w:t xml:space="preserve"> mutation testing, by test type</w:t>
      </w:r>
      <w:bookmarkEnd w:id="431"/>
      <w:r>
        <w:t>, 2015–19</w:t>
      </w:r>
      <w:bookmarkEnd w:id="432"/>
    </w:p>
    <w:tbl>
      <w:tblPr>
        <w:tblStyle w:val="TableGrid"/>
        <w:tblW w:w="4942" w:type="pct"/>
        <w:tblInd w:w="108" w:type="dxa"/>
        <w:tblLayout w:type="fixed"/>
        <w:tblLook w:val="04A0" w:firstRow="1" w:lastRow="0" w:firstColumn="1" w:lastColumn="0" w:noHBand="0" w:noVBand="1"/>
        <w:tblCaption w:val="Estimated total cost implication of CFTR mutation testing, by test type, 2015–19"/>
        <w:tblDescription w:val="Estimated total cost implication of CFTR mutation testing, by test type, 2015–19"/>
      </w:tblPr>
      <w:tblGrid>
        <w:gridCol w:w="2129"/>
        <w:gridCol w:w="1402"/>
        <w:gridCol w:w="1401"/>
        <w:gridCol w:w="1401"/>
        <w:gridCol w:w="1401"/>
        <w:gridCol w:w="1401"/>
      </w:tblGrid>
      <w:tr w:rsidR="001E55A8" w:rsidRPr="00F515FA" w14:paraId="799C678E" w14:textId="77777777" w:rsidTr="00862720">
        <w:trPr>
          <w:tblHeader/>
        </w:trPr>
        <w:tc>
          <w:tcPr>
            <w:tcW w:w="1165" w:type="pct"/>
          </w:tcPr>
          <w:p w14:paraId="3C248178" w14:textId="77777777" w:rsidR="001E55A8" w:rsidRPr="00F515FA" w:rsidRDefault="001E55A8" w:rsidP="005B7F97">
            <w:pPr>
              <w:pStyle w:val="Caption"/>
              <w:spacing w:before="40"/>
              <w:ind w:left="0"/>
              <w:jc w:val="center"/>
              <w:rPr>
                <w:szCs w:val="20"/>
              </w:rPr>
            </w:pPr>
          </w:p>
        </w:tc>
        <w:tc>
          <w:tcPr>
            <w:tcW w:w="767" w:type="pct"/>
            <w:vAlign w:val="bottom"/>
          </w:tcPr>
          <w:p w14:paraId="5F879E93" w14:textId="77777777" w:rsidR="001E55A8" w:rsidRPr="00F515FA" w:rsidRDefault="001E55A8" w:rsidP="005B7F97">
            <w:pPr>
              <w:pStyle w:val="Caption"/>
              <w:spacing w:before="40"/>
              <w:ind w:left="0"/>
              <w:jc w:val="center"/>
              <w:rPr>
                <w:szCs w:val="20"/>
              </w:rPr>
            </w:pPr>
            <w:r w:rsidRPr="00F515FA">
              <w:rPr>
                <w:szCs w:val="20"/>
              </w:rPr>
              <w:t>2015</w:t>
            </w:r>
          </w:p>
        </w:tc>
        <w:tc>
          <w:tcPr>
            <w:tcW w:w="767" w:type="pct"/>
            <w:vAlign w:val="bottom"/>
          </w:tcPr>
          <w:p w14:paraId="70DB6044" w14:textId="77777777" w:rsidR="001E55A8" w:rsidRPr="00F515FA" w:rsidRDefault="001E55A8" w:rsidP="005B7F97">
            <w:pPr>
              <w:pStyle w:val="Caption"/>
              <w:spacing w:before="40"/>
              <w:ind w:left="0"/>
              <w:jc w:val="center"/>
              <w:rPr>
                <w:szCs w:val="20"/>
              </w:rPr>
            </w:pPr>
            <w:r w:rsidRPr="00F515FA">
              <w:rPr>
                <w:szCs w:val="20"/>
              </w:rPr>
              <w:t>2016</w:t>
            </w:r>
          </w:p>
        </w:tc>
        <w:tc>
          <w:tcPr>
            <w:tcW w:w="767" w:type="pct"/>
            <w:vAlign w:val="bottom"/>
          </w:tcPr>
          <w:p w14:paraId="2B08FC01" w14:textId="77777777" w:rsidR="001E55A8" w:rsidRPr="00F515FA" w:rsidRDefault="001E55A8" w:rsidP="005B7F97">
            <w:pPr>
              <w:pStyle w:val="Caption"/>
              <w:spacing w:before="40"/>
              <w:ind w:left="0"/>
              <w:jc w:val="center"/>
              <w:rPr>
                <w:szCs w:val="20"/>
              </w:rPr>
            </w:pPr>
            <w:r w:rsidRPr="00F515FA">
              <w:rPr>
                <w:szCs w:val="20"/>
              </w:rPr>
              <w:t>2017</w:t>
            </w:r>
          </w:p>
        </w:tc>
        <w:tc>
          <w:tcPr>
            <w:tcW w:w="767" w:type="pct"/>
            <w:vAlign w:val="bottom"/>
          </w:tcPr>
          <w:p w14:paraId="12B86A0A" w14:textId="77777777" w:rsidR="001E55A8" w:rsidRPr="00F515FA" w:rsidRDefault="001E55A8" w:rsidP="005B7F97">
            <w:pPr>
              <w:pStyle w:val="Caption"/>
              <w:spacing w:before="40"/>
              <w:ind w:left="0"/>
              <w:jc w:val="center"/>
              <w:rPr>
                <w:szCs w:val="20"/>
              </w:rPr>
            </w:pPr>
            <w:r w:rsidRPr="00F515FA">
              <w:rPr>
                <w:szCs w:val="20"/>
              </w:rPr>
              <w:t>2018</w:t>
            </w:r>
          </w:p>
        </w:tc>
        <w:tc>
          <w:tcPr>
            <w:tcW w:w="767" w:type="pct"/>
            <w:vAlign w:val="bottom"/>
          </w:tcPr>
          <w:p w14:paraId="47C8B389"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661E4B" w14:paraId="406D9836" w14:textId="77777777" w:rsidTr="005B7F97">
        <w:tc>
          <w:tcPr>
            <w:tcW w:w="1165" w:type="pct"/>
          </w:tcPr>
          <w:p w14:paraId="003DBC29" w14:textId="2F9BA582" w:rsidR="001E55A8" w:rsidRPr="00735773" w:rsidRDefault="001E55A8" w:rsidP="005B7F97">
            <w:pPr>
              <w:pStyle w:val="Tabletext1"/>
              <w:ind w:left="0"/>
            </w:pPr>
            <w:r>
              <w:t>Single mutation analysis</w:t>
            </w:r>
            <w:r w:rsidR="002F3276">
              <w:t xml:space="preserve"> </w:t>
            </w:r>
            <w:r w:rsidR="005D13AA" w:rsidRPr="004566DC">
              <w:rPr>
                <w:vertAlign w:val="superscript"/>
              </w:rPr>
              <w:t>a</w:t>
            </w:r>
          </w:p>
        </w:tc>
        <w:tc>
          <w:tcPr>
            <w:tcW w:w="767" w:type="pct"/>
          </w:tcPr>
          <w:p w14:paraId="5B6810E3" w14:textId="77777777" w:rsidR="001E55A8" w:rsidRPr="00057715" w:rsidRDefault="001E55A8" w:rsidP="004566DC">
            <w:pPr>
              <w:pStyle w:val="Tabletext1"/>
              <w:tabs>
                <w:tab w:val="decimal" w:pos="882"/>
              </w:tabs>
              <w:ind w:left="0"/>
              <w:jc w:val="left"/>
            </w:pPr>
            <w:r w:rsidRPr="00783D6C">
              <w:t>$57,625</w:t>
            </w:r>
          </w:p>
        </w:tc>
        <w:tc>
          <w:tcPr>
            <w:tcW w:w="767" w:type="pct"/>
          </w:tcPr>
          <w:p w14:paraId="425CC3CF" w14:textId="77777777" w:rsidR="001E55A8" w:rsidRPr="00057715" w:rsidRDefault="001E55A8" w:rsidP="004566DC">
            <w:pPr>
              <w:pStyle w:val="Tabletext1"/>
              <w:tabs>
                <w:tab w:val="decimal" w:pos="882"/>
              </w:tabs>
              <w:ind w:left="0"/>
              <w:jc w:val="left"/>
            </w:pPr>
            <w:r w:rsidRPr="00783D6C">
              <w:t>$66,269</w:t>
            </w:r>
          </w:p>
        </w:tc>
        <w:tc>
          <w:tcPr>
            <w:tcW w:w="767" w:type="pct"/>
          </w:tcPr>
          <w:p w14:paraId="7BD0C146" w14:textId="77777777" w:rsidR="001E55A8" w:rsidRPr="00057715" w:rsidRDefault="001E55A8" w:rsidP="004566DC">
            <w:pPr>
              <w:pStyle w:val="Tabletext1"/>
              <w:tabs>
                <w:tab w:val="decimal" w:pos="882"/>
              </w:tabs>
              <w:ind w:left="0"/>
              <w:jc w:val="left"/>
            </w:pPr>
            <w:r w:rsidRPr="00783D6C">
              <w:t>$76,209</w:t>
            </w:r>
          </w:p>
        </w:tc>
        <w:tc>
          <w:tcPr>
            <w:tcW w:w="767" w:type="pct"/>
          </w:tcPr>
          <w:p w14:paraId="12939BE9" w14:textId="77777777" w:rsidR="001E55A8" w:rsidRPr="00057715" w:rsidRDefault="001E55A8" w:rsidP="004566DC">
            <w:pPr>
              <w:pStyle w:val="Tabletext1"/>
              <w:tabs>
                <w:tab w:val="decimal" w:pos="882"/>
              </w:tabs>
              <w:ind w:left="0"/>
              <w:jc w:val="left"/>
            </w:pPr>
            <w:r w:rsidRPr="00783D6C">
              <w:t>$87,640</w:t>
            </w:r>
          </w:p>
        </w:tc>
        <w:tc>
          <w:tcPr>
            <w:tcW w:w="767" w:type="pct"/>
          </w:tcPr>
          <w:p w14:paraId="43D0E853" w14:textId="77777777" w:rsidR="001E55A8" w:rsidRPr="00057715" w:rsidRDefault="001E55A8" w:rsidP="004566DC">
            <w:pPr>
              <w:pStyle w:val="Tabletext1"/>
              <w:tabs>
                <w:tab w:val="decimal" w:pos="882"/>
              </w:tabs>
              <w:ind w:left="0"/>
              <w:jc w:val="left"/>
            </w:pPr>
            <w:r w:rsidRPr="00783D6C">
              <w:t>$100,786</w:t>
            </w:r>
          </w:p>
        </w:tc>
      </w:tr>
      <w:tr w:rsidR="001E55A8" w:rsidRPr="00661E4B" w14:paraId="7B14F834" w14:textId="77777777" w:rsidTr="005B7F97">
        <w:tc>
          <w:tcPr>
            <w:tcW w:w="1165" w:type="pct"/>
          </w:tcPr>
          <w:p w14:paraId="47752436" w14:textId="77777777" w:rsidR="001E55A8" w:rsidRPr="00735773" w:rsidRDefault="001E55A8" w:rsidP="005B7F97">
            <w:pPr>
              <w:pStyle w:val="Tabletext1"/>
              <w:ind w:left="0"/>
            </w:pPr>
            <w:r>
              <w:t>Common mutation panel</w:t>
            </w:r>
          </w:p>
        </w:tc>
        <w:tc>
          <w:tcPr>
            <w:tcW w:w="767" w:type="pct"/>
          </w:tcPr>
          <w:p w14:paraId="73FB083A" w14:textId="77777777" w:rsidR="001E55A8" w:rsidRPr="00057715" w:rsidRDefault="001E55A8" w:rsidP="004566DC">
            <w:pPr>
              <w:pStyle w:val="Tabletext1"/>
              <w:tabs>
                <w:tab w:val="decimal" w:pos="882"/>
              </w:tabs>
              <w:ind w:left="0"/>
              <w:jc w:val="left"/>
            </w:pPr>
            <w:r w:rsidRPr="00783D6C">
              <w:t>$892,040</w:t>
            </w:r>
          </w:p>
        </w:tc>
        <w:tc>
          <w:tcPr>
            <w:tcW w:w="767" w:type="pct"/>
          </w:tcPr>
          <w:p w14:paraId="00778665" w14:textId="77777777" w:rsidR="001E55A8" w:rsidRPr="00057715" w:rsidRDefault="001E55A8" w:rsidP="004566DC">
            <w:pPr>
              <w:pStyle w:val="Tabletext1"/>
              <w:tabs>
                <w:tab w:val="decimal" w:pos="882"/>
              </w:tabs>
              <w:ind w:left="0"/>
              <w:jc w:val="left"/>
            </w:pPr>
            <w:r w:rsidRPr="00783D6C">
              <w:t>$1,025,846</w:t>
            </w:r>
          </w:p>
        </w:tc>
        <w:tc>
          <w:tcPr>
            <w:tcW w:w="767" w:type="pct"/>
          </w:tcPr>
          <w:p w14:paraId="046B84C5" w14:textId="77777777" w:rsidR="001E55A8" w:rsidRPr="00057715" w:rsidRDefault="001E55A8" w:rsidP="004566DC">
            <w:pPr>
              <w:pStyle w:val="Tabletext1"/>
              <w:tabs>
                <w:tab w:val="decimal" w:pos="882"/>
              </w:tabs>
              <w:ind w:left="0"/>
              <w:jc w:val="left"/>
            </w:pPr>
            <w:r w:rsidRPr="00783D6C">
              <w:t>$1,179,723</w:t>
            </w:r>
          </w:p>
        </w:tc>
        <w:tc>
          <w:tcPr>
            <w:tcW w:w="767" w:type="pct"/>
          </w:tcPr>
          <w:p w14:paraId="2BD13643" w14:textId="77777777" w:rsidR="001E55A8" w:rsidRPr="00057715" w:rsidRDefault="001E55A8" w:rsidP="004566DC">
            <w:pPr>
              <w:pStyle w:val="Tabletext1"/>
              <w:tabs>
                <w:tab w:val="decimal" w:pos="882"/>
              </w:tabs>
              <w:ind w:left="0"/>
              <w:jc w:val="left"/>
            </w:pPr>
            <w:r w:rsidRPr="00783D6C">
              <w:t>$1,356,681</w:t>
            </w:r>
          </w:p>
        </w:tc>
        <w:tc>
          <w:tcPr>
            <w:tcW w:w="767" w:type="pct"/>
          </w:tcPr>
          <w:p w14:paraId="141B6C43" w14:textId="77777777" w:rsidR="001E55A8" w:rsidRPr="00057715" w:rsidRDefault="001E55A8" w:rsidP="004566DC">
            <w:pPr>
              <w:pStyle w:val="Tabletext1"/>
              <w:tabs>
                <w:tab w:val="decimal" w:pos="882"/>
              </w:tabs>
              <w:ind w:left="0"/>
              <w:jc w:val="left"/>
            </w:pPr>
            <w:r w:rsidRPr="00783D6C">
              <w:t>$1,560,183</w:t>
            </w:r>
          </w:p>
        </w:tc>
      </w:tr>
      <w:tr w:rsidR="001E55A8" w:rsidRPr="00661E4B" w14:paraId="32A9606F" w14:textId="77777777" w:rsidTr="005B7F97">
        <w:tc>
          <w:tcPr>
            <w:tcW w:w="1165" w:type="pct"/>
          </w:tcPr>
          <w:p w14:paraId="6E82CB60" w14:textId="77777777" w:rsidR="001E55A8" w:rsidRPr="00735773" w:rsidRDefault="001E55A8" w:rsidP="005B7F97">
            <w:pPr>
              <w:pStyle w:val="Tabletext1"/>
              <w:ind w:left="0"/>
            </w:pPr>
            <w:r>
              <w:t>Whole gene screen</w:t>
            </w:r>
          </w:p>
        </w:tc>
        <w:tc>
          <w:tcPr>
            <w:tcW w:w="767" w:type="pct"/>
          </w:tcPr>
          <w:p w14:paraId="2AC11A70" w14:textId="77777777" w:rsidR="001E55A8" w:rsidRPr="00057715" w:rsidRDefault="001E55A8" w:rsidP="004566DC">
            <w:pPr>
              <w:pStyle w:val="Tabletext1"/>
              <w:tabs>
                <w:tab w:val="decimal" w:pos="882"/>
              </w:tabs>
              <w:ind w:left="0"/>
              <w:jc w:val="left"/>
            </w:pPr>
            <w:r w:rsidRPr="00783D6C">
              <w:t>$1,176,131</w:t>
            </w:r>
          </w:p>
        </w:tc>
        <w:tc>
          <w:tcPr>
            <w:tcW w:w="767" w:type="pct"/>
          </w:tcPr>
          <w:p w14:paraId="4D1FF834" w14:textId="77777777" w:rsidR="001E55A8" w:rsidRPr="00057715" w:rsidRDefault="001E55A8" w:rsidP="004566DC">
            <w:pPr>
              <w:pStyle w:val="Tabletext1"/>
              <w:tabs>
                <w:tab w:val="decimal" w:pos="882"/>
              </w:tabs>
              <w:ind w:left="0"/>
              <w:jc w:val="left"/>
            </w:pPr>
            <w:r w:rsidRPr="00783D6C">
              <w:t>$1,352,551</w:t>
            </w:r>
          </w:p>
        </w:tc>
        <w:tc>
          <w:tcPr>
            <w:tcW w:w="767" w:type="pct"/>
          </w:tcPr>
          <w:p w14:paraId="5E81C199" w14:textId="77777777" w:rsidR="001E55A8" w:rsidRPr="00057715" w:rsidRDefault="001E55A8" w:rsidP="004566DC">
            <w:pPr>
              <w:pStyle w:val="Tabletext1"/>
              <w:tabs>
                <w:tab w:val="decimal" w:pos="882"/>
              </w:tabs>
              <w:ind w:left="0"/>
              <w:jc w:val="left"/>
            </w:pPr>
            <w:r w:rsidRPr="00783D6C">
              <w:t>$1,555,434</w:t>
            </w:r>
          </w:p>
        </w:tc>
        <w:tc>
          <w:tcPr>
            <w:tcW w:w="767" w:type="pct"/>
          </w:tcPr>
          <w:p w14:paraId="32ECFB33" w14:textId="77777777" w:rsidR="001E55A8" w:rsidRPr="00057715" w:rsidRDefault="001E55A8" w:rsidP="004566DC">
            <w:pPr>
              <w:pStyle w:val="Tabletext1"/>
              <w:tabs>
                <w:tab w:val="decimal" w:pos="882"/>
              </w:tabs>
              <w:ind w:left="0"/>
              <w:jc w:val="left"/>
            </w:pPr>
            <w:r w:rsidRPr="00783D6C">
              <w:t>$1,788,749</w:t>
            </w:r>
          </w:p>
        </w:tc>
        <w:tc>
          <w:tcPr>
            <w:tcW w:w="767" w:type="pct"/>
          </w:tcPr>
          <w:p w14:paraId="486DAD97" w14:textId="77777777" w:rsidR="001E55A8" w:rsidRPr="00057715" w:rsidRDefault="001E55A8" w:rsidP="004566DC">
            <w:pPr>
              <w:pStyle w:val="Tabletext1"/>
              <w:tabs>
                <w:tab w:val="decimal" w:pos="882"/>
              </w:tabs>
              <w:ind w:left="0"/>
              <w:jc w:val="left"/>
            </w:pPr>
            <w:r w:rsidRPr="00783D6C">
              <w:t>$2,057,061</w:t>
            </w:r>
          </w:p>
        </w:tc>
      </w:tr>
      <w:tr w:rsidR="001E55A8" w:rsidRPr="00661E4B" w14:paraId="7610E4EF" w14:textId="77777777" w:rsidTr="005B7F97">
        <w:tc>
          <w:tcPr>
            <w:tcW w:w="1165" w:type="pct"/>
          </w:tcPr>
          <w:p w14:paraId="26E54F5A" w14:textId="77777777" w:rsidR="001E55A8" w:rsidRPr="001A33A2" w:rsidRDefault="001E55A8" w:rsidP="005B7F97">
            <w:pPr>
              <w:pStyle w:val="Tabletext1"/>
              <w:ind w:left="0"/>
              <w:rPr>
                <w:b/>
              </w:rPr>
            </w:pPr>
            <w:r w:rsidRPr="001A33A2">
              <w:rPr>
                <w:b/>
              </w:rPr>
              <w:t>Total</w:t>
            </w:r>
          </w:p>
        </w:tc>
        <w:tc>
          <w:tcPr>
            <w:tcW w:w="767" w:type="pct"/>
          </w:tcPr>
          <w:p w14:paraId="4621FF0B" w14:textId="77777777" w:rsidR="001E55A8" w:rsidRPr="001A33A2" w:rsidRDefault="001E55A8" w:rsidP="004566DC">
            <w:pPr>
              <w:pStyle w:val="Tabletext1"/>
              <w:tabs>
                <w:tab w:val="decimal" w:pos="882"/>
              </w:tabs>
              <w:ind w:left="0"/>
              <w:jc w:val="left"/>
              <w:rPr>
                <w:b/>
              </w:rPr>
            </w:pPr>
            <w:r w:rsidRPr="003D5E01">
              <w:rPr>
                <w:b/>
              </w:rPr>
              <w:t>$2,125,796</w:t>
            </w:r>
          </w:p>
        </w:tc>
        <w:tc>
          <w:tcPr>
            <w:tcW w:w="767" w:type="pct"/>
          </w:tcPr>
          <w:p w14:paraId="2142308D" w14:textId="77777777" w:rsidR="001E55A8" w:rsidRPr="001A33A2" w:rsidRDefault="001E55A8" w:rsidP="004566DC">
            <w:pPr>
              <w:pStyle w:val="Tabletext1"/>
              <w:tabs>
                <w:tab w:val="decimal" w:pos="882"/>
              </w:tabs>
              <w:ind w:left="0"/>
              <w:jc w:val="left"/>
              <w:rPr>
                <w:b/>
              </w:rPr>
            </w:pPr>
            <w:r w:rsidRPr="003D5E01">
              <w:rPr>
                <w:b/>
              </w:rPr>
              <w:t>$2,444,665</w:t>
            </w:r>
          </w:p>
        </w:tc>
        <w:tc>
          <w:tcPr>
            <w:tcW w:w="767" w:type="pct"/>
          </w:tcPr>
          <w:p w14:paraId="034D45C0" w14:textId="77777777" w:rsidR="001E55A8" w:rsidRPr="001A33A2" w:rsidRDefault="001E55A8" w:rsidP="004566DC">
            <w:pPr>
              <w:pStyle w:val="Tabletext1"/>
              <w:tabs>
                <w:tab w:val="decimal" w:pos="882"/>
              </w:tabs>
              <w:ind w:left="0"/>
              <w:jc w:val="left"/>
              <w:rPr>
                <w:b/>
              </w:rPr>
            </w:pPr>
            <w:r w:rsidRPr="003D5E01">
              <w:rPr>
                <w:b/>
              </w:rPr>
              <w:t>$2,811,365</w:t>
            </w:r>
          </w:p>
        </w:tc>
        <w:tc>
          <w:tcPr>
            <w:tcW w:w="767" w:type="pct"/>
          </w:tcPr>
          <w:p w14:paraId="467996E3" w14:textId="77777777" w:rsidR="001E55A8" w:rsidRPr="001A33A2" w:rsidRDefault="001E55A8" w:rsidP="004566DC">
            <w:pPr>
              <w:pStyle w:val="Tabletext1"/>
              <w:tabs>
                <w:tab w:val="decimal" w:pos="882"/>
              </w:tabs>
              <w:ind w:left="0"/>
              <w:jc w:val="left"/>
              <w:rPr>
                <w:b/>
              </w:rPr>
            </w:pPr>
            <w:r w:rsidRPr="003D5E01">
              <w:rPr>
                <w:b/>
              </w:rPr>
              <w:t>$3,233,070</w:t>
            </w:r>
          </w:p>
        </w:tc>
        <w:tc>
          <w:tcPr>
            <w:tcW w:w="767" w:type="pct"/>
          </w:tcPr>
          <w:p w14:paraId="419E6EE3" w14:textId="77777777" w:rsidR="001E55A8" w:rsidRPr="001A33A2" w:rsidRDefault="001E55A8" w:rsidP="004566DC">
            <w:pPr>
              <w:pStyle w:val="Tabletext1"/>
              <w:tabs>
                <w:tab w:val="decimal" w:pos="882"/>
              </w:tabs>
              <w:ind w:left="0"/>
              <w:jc w:val="left"/>
              <w:rPr>
                <w:b/>
              </w:rPr>
            </w:pPr>
            <w:r w:rsidRPr="003D5E01">
              <w:rPr>
                <w:b/>
              </w:rPr>
              <w:t>$3,718,030</w:t>
            </w:r>
          </w:p>
        </w:tc>
      </w:tr>
    </w:tbl>
    <w:p w14:paraId="14AF4C48" w14:textId="65466A29" w:rsidR="00736EFE" w:rsidRDefault="005D13AA" w:rsidP="004566DC">
      <w:pPr>
        <w:pStyle w:val="TableNotes"/>
        <w:spacing w:after="120" w:line="240" w:lineRule="auto"/>
        <w:ind w:left="0"/>
        <w:rPr>
          <w:sz w:val="18"/>
          <w:szCs w:val="18"/>
        </w:rPr>
      </w:pPr>
      <w:r w:rsidRPr="004566DC">
        <w:rPr>
          <w:sz w:val="18"/>
          <w:szCs w:val="18"/>
          <w:vertAlign w:val="superscript"/>
        </w:rPr>
        <w:t>a</w:t>
      </w:r>
      <w:r w:rsidRPr="004566DC">
        <w:rPr>
          <w:sz w:val="18"/>
          <w:szCs w:val="18"/>
        </w:rPr>
        <w:t xml:space="preserve"> </w:t>
      </w:r>
      <w:r w:rsidR="00736EFE" w:rsidRPr="004566DC">
        <w:rPr>
          <w:sz w:val="18"/>
          <w:szCs w:val="18"/>
        </w:rPr>
        <w:t>Single mutation analyses are performed to identify one or two F508del mutations</w:t>
      </w:r>
      <w:r>
        <w:rPr>
          <w:sz w:val="18"/>
          <w:szCs w:val="18"/>
        </w:rPr>
        <w:t>.</w:t>
      </w:r>
    </w:p>
    <w:p w14:paraId="69FB8CA0" w14:textId="51E94F92" w:rsidR="002D0036" w:rsidRPr="005D13AA" w:rsidRDefault="002D0036" w:rsidP="004566DC">
      <w:pPr>
        <w:pStyle w:val="TableNotes"/>
        <w:spacing w:after="120" w:line="240" w:lineRule="auto"/>
        <w:ind w:left="0"/>
        <w:rPr>
          <w:sz w:val="18"/>
          <w:szCs w:val="18"/>
        </w:rPr>
      </w:pPr>
      <w:r w:rsidRPr="00FD37D3">
        <w:rPr>
          <w:sz w:val="18"/>
          <w:szCs w:val="18"/>
        </w:rPr>
        <w:t>CFTR</w:t>
      </w:r>
      <w:r>
        <w:rPr>
          <w:sz w:val="18"/>
          <w:szCs w:val="18"/>
        </w:rPr>
        <w:t xml:space="preserve"> = cystic fibrosis transmembrane conductance regulator</w:t>
      </w:r>
    </w:p>
    <w:p w14:paraId="030AA7D9" w14:textId="77777777" w:rsidR="001E55A8" w:rsidRDefault="001E55A8" w:rsidP="00914DA7">
      <w:pPr>
        <w:spacing w:before="240"/>
      </w:pPr>
      <w:r w:rsidRPr="000B4BC0">
        <w:t xml:space="preserve">The number of tests and financial implications have been disaggregated by proposed indications and are presented in </w:t>
      </w:r>
      <w:r>
        <w:rPr>
          <w:highlight w:val="yellow"/>
        </w:rPr>
        <w:fldChar w:fldCharType="begin"/>
      </w:r>
      <w:r>
        <w:instrText xml:space="preserve"> REF _Ref417545909 \h </w:instrText>
      </w:r>
      <w:r>
        <w:rPr>
          <w:highlight w:val="yellow"/>
        </w:rPr>
      </w:r>
      <w:r>
        <w:rPr>
          <w:highlight w:val="yellow"/>
        </w:rPr>
        <w:fldChar w:fldCharType="separate"/>
      </w:r>
      <w:r w:rsidR="00BB0E3E" w:rsidRPr="003F5EAF">
        <w:t xml:space="preserve">Appendix </w:t>
      </w:r>
      <w:r w:rsidR="00BB0E3E">
        <w:rPr>
          <w:noProof/>
        </w:rPr>
        <w:t>K</w:t>
      </w:r>
      <w:r>
        <w:rPr>
          <w:highlight w:val="yellow"/>
        </w:rPr>
        <w:fldChar w:fldCharType="end"/>
      </w:r>
      <w:r w:rsidRPr="000B4BC0">
        <w:t>.</w:t>
      </w:r>
    </w:p>
    <w:p w14:paraId="4AD5DE23" w14:textId="77777777" w:rsidR="001E55A8" w:rsidRDefault="001E55A8" w:rsidP="001E55A8">
      <w:pPr>
        <w:pStyle w:val="Heading2"/>
        <w:numPr>
          <w:ilvl w:val="4"/>
          <w:numId w:val="9"/>
        </w:numPr>
      </w:pPr>
      <w:bookmarkStart w:id="433" w:name="_Toc379118301"/>
      <w:bookmarkStart w:id="434" w:name="_Toc381796484"/>
      <w:bookmarkStart w:id="435" w:name="_Toc413332866"/>
      <w:bookmarkStart w:id="436" w:name="_Toc418179939"/>
      <w:r>
        <w:t>Changes in Use and C</w:t>
      </w:r>
      <w:r w:rsidRPr="00183E4D">
        <w:t>ost of</w:t>
      </w:r>
      <w:bookmarkEnd w:id="433"/>
      <w:bookmarkEnd w:id="434"/>
      <w:r>
        <w:t xml:space="preserve"> Other Medical Services</w:t>
      </w:r>
      <w:bookmarkEnd w:id="435"/>
      <w:bookmarkEnd w:id="436"/>
      <w:r>
        <w:t xml:space="preserve"> </w:t>
      </w:r>
    </w:p>
    <w:p w14:paraId="09B7D3CC" w14:textId="638A60B8" w:rsidR="001E55A8" w:rsidRPr="009A6C10" w:rsidRDefault="001E55A8" w:rsidP="001E55A8">
      <w:r>
        <w:t xml:space="preserve">In the populations eligible for MBS funding </w:t>
      </w:r>
      <w:r w:rsidR="00FD37D3" w:rsidRPr="00FD37D3">
        <w:t>CFTR</w:t>
      </w:r>
      <w:r>
        <w:t xml:space="preserve"> mutation testing</w:t>
      </w:r>
      <w:r w:rsidRPr="003E2147">
        <w:t xml:space="preserve"> is currently provided for by the </w:t>
      </w:r>
      <w:r w:rsidR="001743ED">
        <w:t>s</w:t>
      </w:r>
      <w:r w:rsidRPr="003E2147">
        <w:t>tates/</w:t>
      </w:r>
      <w:r w:rsidR="001743ED">
        <w:t>t</w:t>
      </w:r>
      <w:r w:rsidRPr="003E2147">
        <w:t>erritories or</w:t>
      </w:r>
      <w:r>
        <w:t xml:space="preserve"> is privately funded. No changes in use or costs of other medical services attributable to the MBS are anticipated with the proposed listing.</w:t>
      </w:r>
    </w:p>
    <w:p w14:paraId="6C44F3A0" w14:textId="6D491A5E" w:rsidR="001E55A8" w:rsidRPr="00183E4D" w:rsidRDefault="001E55A8" w:rsidP="001E55A8">
      <w:pPr>
        <w:pStyle w:val="Heading2"/>
        <w:numPr>
          <w:ilvl w:val="4"/>
          <w:numId w:val="9"/>
        </w:numPr>
      </w:pPr>
      <w:bookmarkStart w:id="437" w:name="_Toc379118302"/>
      <w:bookmarkStart w:id="438" w:name="_Toc381796485"/>
      <w:bookmarkStart w:id="439" w:name="_Toc413332867"/>
      <w:bookmarkStart w:id="440" w:name="_Toc418179940"/>
      <w:r>
        <w:lastRenderedPageBreak/>
        <w:t>Financial I</w:t>
      </w:r>
      <w:r w:rsidRPr="00183E4D">
        <w:t>mplications</w:t>
      </w:r>
      <w:r>
        <w:t xml:space="preserve"> </w:t>
      </w:r>
      <w:r w:rsidR="001743ED">
        <w:t>to</w:t>
      </w:r>
      <w:r w:rsidR="001743ED" w:rsidRPr="00183E4D">
        <w:t xml:space="preserve"> </w:t>
      </w:r>
      <w:r w:rsidRPr="00183E4D">
        <w:t>the MBS</w:t>
      </w:r>
      <w:bookmarkEnd w:id="437"/>
      <w:bookmarkEnd w:id="438"/>
      <w:bookmarkEnd w:id="439"/>
      <w:bookmarkEnd w:id="440"/>
      <w:r w:rsidRPr="00183E4D">
        <w:t xml:space="preserve"> </w:t>
      </w:r>
    </w:p>
    <w:p w14:paraId="2C433C02" w14:textId="28857D57" w:rsidR="001E55A8" w:rsidRPr="009A6C10" w:rsidRDefault="001E55A8" w:rsidP="001E55A8">
      <w:r w:rsidRPr="009A6C10">
        <w:t>The fi</w:t>
      </w:r>
      <w:r>
        <w:t>nancial implications to the MBS</w:t>
      </w:r>
      <w:r w:rsidRPr="009A6C10">
        <w:t xml:space="preserve"> resulting from the proposed listing of </w:t>
      </w:r>
      <w:r w:rsidR="00FD37D3" w:rsidRPr="00FD37D3">
        <w:t>CFTR</w:t>
      </w:r>
      <w:r>
        <w:t xml:space="preserve"> mutation testing</w:t>
      </w:r>
      <w:r w:rsidRPr="009A6C10">
        <w:t xml:space="preserve"> are summarised in</w:t>
      </w:r>
      <w:r>
        <w:t xml:space="preserve"> </w:t>
      </w:r>
      <w:r>
        <w:fldChar w:fldCharType="begin"/>
      </w:r>
      <w:r>
        <w:instrText xml:space="preserve"> REF _Ref413932001 \h </w:instrText>
      </w:r>
      <w:r>
        <w:fldChar w:fldCharType="separate"/>
      </w:r>
      <w:r w:rsidR="00BB0E3E">
        <w:t xml:space="preserve">Table </w:t>
      </w:r>
      <w:r w:rsidR="00BB0E3E">
        <w:rPr>
          <w:noProof/>
        </w:rPr>
        <w:t>78</w:t>
      </w:r>
      <w:r>
        <w:fldChar w:fldCharType="end"/>
      </w:r>
      <w:r w:rsidRPr="009A6C10">
        <w:t>.</w:t>
      </w:r>
      <w:r>
        <w:t xml:space="preserve"> It is assumed that all tests </w:t>
      </w:r>
      <w:r w:rsidR="006760E5">
        <w:t>are</w:t>
      </w:r>
      <w:r>
        <w:t xml:space="preserve"> conducted in an outpatient setting (and so a rebate of 85% applies).</w:t>
      </w:r>
    </w:p>
    <w:p w14:paraId="2A61EE5F" w14:textId="670E3F9C" w:rsidR="001E55A8" w:rsidRDefault="001E55A8" w:rsidP="001E55A8">
      <w:pPr>
        <w:pStyle w:val="Caption"/>
      </w:pPr>
      <w:bookmarkStart w:id="441" w:name="_Ref413932001"/>
      <w:bookmarkStart w:id="442" w:name="_Toc413332962"/>
      <w:bookmarkStart w:id="443" w:name="_Toc416855371"/>
      <w:bookmarkStart w:id="444" w:name="_Toc418179475"/>
      <w:r>
        <w:t xml:space="preserve">Table </w:t>
      </w:r>
      <w:fldSimple w:instr=" SEQ Table \* ARABIC ">
        <w:r w:rsidR="00BB0E3E">
          <w:rPr>
            <w:noProof/>
          </w:rPr>
          <w:t>78</w:t>
        </w:r>
      </w:fldSimple>
      <w:bookmarkEnd w:id="441"/>
      <w:r>
        <w:tab/>
        <w:t>Estimated t</w:t>
      </w:r>
      <w:r w:rsidRPr="00183E4D">
        <w:t xml:space="preserve">otal costs to the MBS associated with </w:t>
      </w:r>
      <w:bookmarkEnd w:id="442"/>
      <w:r w:rsidR="00FD37D3" w:rsidRPr="00FD37D3">
        <w:t>CFTR</w:t>
      </w:r>
      <w:r>
        <w:t xml:space="preserve"> mutation testing</w:t>
      </w:r>
      <w:bookmarkEnd w:id="443"/>
      <w:r>
        <w:t>, 2015–19</w:t>
      </w:r>
      <w:bookmarkEnd w:id="444"/>
    </w:p>
    <w:tbl>
      <w:tblPr>
        <w:tblStyle w:val="TableGrid1"/>
        <w:tblW w:w="5000" w:type="pct"/>
        <w:tblLayout w:type="fixed"/>
        <w:tblLook w:val="04A0" w:firstRow="1" w:lastRow="0" w:firstColumn="1" w:lastColumn="0" w:noHBand="0" w:noVBand="1"/>
        <w:tblCaption w:val="Table 25 Total costs to the MBS associated with XXX"/>
        <w:tblDescription w:val="This table provides a summary of the financial impact of the proposed new medical service over the next 5 years."/>
      </w:tblPr>
      <w:tblGrid>
        <w:gridCol w:w="1812"/>
        <w:gridCol w:w="1486"/>
        <w:gridCol w:w="1486"/>
        <w:gridCol w:w="1486"/>
        <w:gridCol w:w="1486"/>
        <w:gridCol w:w="1486"/>
      </w:tblGrid>
      <w:tr w:rsidR="001E55A8" w:rsidRPr="00183E4D" w14:paraId="23E5FE9C" w14:textId="77777777" w:rsidTr="00447183">
        <w:trPr>
          <w:cnfStyle w:val="100000000000" w:firstRow="1" w:lastRow="0" w:firstColumn="0" w:lastColumn="0" w:oddVBand="0" w:evenVBand="0" w:oddHBand="0" w:evenHBand="0" w:firstRowFirstColumn="0" w:firstRowLastColumn="0" w:lastRowFirstColumn="0" w:lastRowLastColumn="0"/>
          <w:trHeight w:val="300"/>
          <w:tblHeader/>
        </w:trPr>
        <w:tc>
          <w:tcPr>
            <w:tcW w:w="980" w:type="pct"/>
          </w:tcPr>
          <w:p w14:paraId="0A027D98" w14:textId="77777777" w:rsidR="001E55A8" w:rsidRPr="00183E4D" w:rsidRDefault="001E55A8" w:rsidP="005B7F97">
            <w:pPr>
              <w:keepNext/>
              <w:tabs>
                <w:tab w:val="left" w:pos="851"/>
              </w:tabs>
              <w:spacing w:after="40" w:line="240" w:lineRule="auto"/>
              <w:rPr>
                <w:rFonts w:ascii="Arial Narrow" w:hAnsi="Arial Narrow"/>
                <w:b/>
                <w:sz w:val="20"/>
                <w:szCs w:val="20"/>
              </w:rPr>
            </w:pPr>
            <w:r w:rsidRPr="00183E4D">
              <w:rPr>
                <w:rFonts w:ascii="Arial Narrow" w:hAnsi="Arial Narrow"/>
                <w:b/>
                <w:color w:val="FFFFFF" w:themeColor="background1"/>
                <w:sz w:val="20"/>
                <w:szCs w:val="20"/>
              </w:rPr>
              <w:t>-</w:t>
            </w:r>
          </w:p>
        </w:tc>
        <w:tc>
          <w:tcPr>
            <w:tcW w:w="804" w:type="pct"/>
          </w:tcPr>
          <w:p w14:paraId="1C98E3D9" w14:textId="77777777" w:rsidR="001E55A8" w:rsidRPr="00F515FA" w:rsidRDefault="001E55A8" w:rsidP="005B7F97">
            <w:pPr>
              <w:pStyle w:val="Caption"/>
              <w:jc w:val="center"/>
              <w:rPr>
                <w:szCs w:val="20"/>
              </w:rPr>
            </w:pPr>
            <w:r w:rsidRPr="00F515FA">
              <w:rPr>
                <w:szCs w:val="20"/>
              </w:rPr>
              <w:t>2015</w:t>
            </w:r>
          </w:p>
        </w:tc>
        <w:tc>
          <w:tcPr>
            <w:tcW w:w="804" w:type="pct"/>
          </w:tcPr>
          <w:p w14:paraId="3069B514" w14:textId="77777777" w:rsidR="001E55A8" w:rsidRPr="00F515FA" w:rsidRDefault="001E55A8" w:rsidP="005B7F97">
            <w:pPr>
              <w:pStyle w:val="Caption"/>
              <w:jc w:val="center"/>
              <w:rPr>
                <w:szCs w:val="20"/>
              </w:rPr>
            </w:pPr>
            <w:r w:rsidRPr="00F515FA">
              <w:rPr>
                <w:szCs w:val="20"/>
              </w:rPr>
              <w:t>2016</w:t>
            </w:r>
          </w:p>
        </w:tc>
        <w:tc>
          <w:tcPr>
            <w:tcW w:w="804" w:type="pct"/>
          </w:tcPr>
          <w:p w14:paraId="62549169" w14:textId="77777777" w:rsidR="001E55A8" w:rsidRPr="00F515FA" w:rsidRDefault="001E55A8" w:rsidP="005B7F97">
            <w:pPr>
              <w:pStyle w:val="Caption"/>
              <w:jc w:val="center"/>
              <w:rPr>
                <w:szCs w:val="20"/>
              </w:rPr>
            </w:pPr>
            <w:r w:rsidRPr="00F515FA">
              <w:rPr>
                <w:szCs w:val="20"/>
              </w:rPr>
              <w:t>2017</w:t>
            </w:r>
          </w:p>
        </w:tc>
        <w:tc>
          <w:tcPr>
            <w:tcW w:w="804" w:type="pct"/>
          </w:tcPr>
          <w:p w14:paraId="615B5E7B" w14:textId="77777777" w:rsidR="001E55A8" w:rsidRPr="00F515FA" w:rsidRDefault="001E55A8" w:rsidP="005B7F97">
            <w:pPr>
              <w:pStyle w:val="Caption"/>
              <w:jc w:val="center"/>
              <w:rPr>
                <w:szCs w:val="20"/>
              </w:rPr>
            </w:pPr>
            <w:r w:rsidRPr="00F515FA">
              <w:rPr>
                <w:szCs w:val="20"/>
              </w:rPr>
              <w:t>2018</w:t>
            </w:r>
          </w:p>
        </w:tc>
        <w:tc>
          <w:tcPr>
            <w:tcW w:w="804" w:type="pct"/>
          </w:tcPr>
          <w:p w14:paraId="09447FC3" w14:textId="77777777" w:rsidR="001E55A8" w:rsidRPr="00F515FA" w:rsidRDefault="001E55A8" w:rsidP="005B7F97">
            <w:pPr>
              <w:pStyle w:val="Caption"/>
              <w:jc w:val="center"/>
              <w:rPr>
                <w:szCs w:val="20"/>
              </w:rPr>
            </w:pPr>
            <w:r w:rsidRPr="00F515FA">
              <w:rPr>
                <w:szCs w:val="20"/>
              </w:rPr>
              <w:t>2019</w:t>
            </w:r>
          </w:p>
        </w:tc>
      </w:tr>
      <w:tr w:rsidR="001E55A8" w:rsidRPr="00183E4D" w14:paraId="0961CC5A" w14:textId="77777777" w:rsidTr="0042252D">
        <w:trPr>
          <w:trHeight w:val="300"/>
        </w:trPr>
        <w:tc>
          <w:tcPr>
            <w:tcW w:w="980" w:type="pct"/>
          </w:tcPr>
          <w:p w14:paraId="496564F0" w14:textId="77777777" w:rsidR="001E55A8" w:rsidRPr="00C7140E" w:rsidRDefault="001E55A8" w:rsidP="005B7F97">
            <w:pPr>
              <w:keepNext/>
              <w:widowControl w:val="0"/>
              <w:spacing w:after="40" w:line="240" w:lineRule="auto"/>
              <w:rPr>
                <w:rFonts w:ascii="Arial Narrow" w:hAnsi="Arial Narrow"/>
                <w:sz w:val="20"/>
                <w:szCs w:val="20"/>
              </w:rPr>
            </w:pPr>
            <w:r w:rsidRPr="00C7140E">
              <w:rPr>
                <w:rFonts w:ascii="Arial Narrow" w:hAnsi="Arial Narrow"/>
                <w:sz w:val="20"/>
                <w:szCs w:val="20"/>
              </w:rPr>
              <w:t>Total services</w:t>
            </w:r>
          </w:p>
        </w:tc>
        <w:tc>
          <w:tcPr>
            <w:tcW w:w="804" w:type="pct"/>
          </w:tcPr>
          <w:p w14:paraId="51DE22DA" w14:textId="77777777" w:rsidR="001E55A8" w:rsidRPr="00C105C3" w:rsidRDefault="001E55A8" w:rsidP="005B7F97">
            <w:pPr>
              <w:pStyle w:val="Tabletext1"/>
              <w:jc w:val="center"/>
            </w:pPr>
            <w:r w:rsidRPr="00C105C3">
              <w:t>8,504</w:t>
            </w:r>
          </w:p>
        </w:tc>
        <w:tc>
          <w:tcPr>
            <w:tcW w:w="804" w:type="pct"/>
          </w:tcPr>
          <w:p w14:paraId="51EBF2F7" w14:textId="77777777" w:rsidR="001E55A8" w:rsidRPr="00C105C3" w:rsidRDefault="001E55A8" w:rsidP="005B7F97">
            <w:pPr>
              <w:pStyle w:val="Tabletext1"/>
              <w:jc w:val="center"/>
            </w:pPr>
            <w:r w:rsidRPr="00C105C3">
              <w:t>9,780</w:t>
            </w:r>
          </w:p>
        </w:tc>
        <w:tc>
          <w:tcPr>
            <w:tcW w:w="804" w:type="pct"/>
          </w:tcPr>
          <w:p w14:paraId="63D4CB8A" w14:textId="77777777" w:rsidR="001E55A8" w:rsidRPr="00C105C3" w:rsidRDefault="001E55A8" w:rsidP="005B7F97">
            <w:pPr>
              <w:pStyle w:val="Tabletext1"/>
              <w:jc w:val="center"/>
            </w:pPr>
            <w:r w:rsidRPr="00C105C3">
              <w:t>11,247</w:t>
            </w:r>
          </w:p>
        </w:tc>
        <w:tc>
          <w:tcPr>
            <w:tcW w:w="804" w:type="pct"/>
          </w:tcPr>
          <w:p w14:paraId="759156DB" w14:textId="77777777" w:rsidR="001E55A8" w:rsidRPr="00C105C3" w:rsidRDefault="001E55A8" w:rsidP="005B7F97">
            <w:pPr>
              <w:pStyle w:val="Tabletext1"/>
              <w:jc w:val="center"/>
            </w:pPr>
            <w:r w:rsidRPr="00C105C3">
              <w:t>12,934</w:t>
            </w:r>
          </w:p>
        </w:tc>
        <w:tc>
          <w:tcPr>
            <w:tcW w:w="804" w:type="pct"/>
          </w:tcPr>
          <w:p w14:paraId="63BDF4B6" w14:textId="77777777" w:rsidR="001E55A8" w:rsidRPr="00C105C3" w:rsidRDefault="001E55A8" w:rsidP="005B7F97">
            <w:pPr>
              <w:pStyle w:val="Tabletext1"/>
              <w:jc w:val="center"/>
            </w:pPr>
            <w:r w:rsidRPr="00C105C3">
              <w:t>14,874</w:t>
            </w:r>
          </w:p>
        </w:tc>
      </w:tr>
      <w:tr w:rsidR="001E55A8" w:rsidRPr="00183E4D" w14:paraId="58CF42B5" w14:textId="77777777" w:rsidTr="0042252D">
        <w:trPr>
          <w:trHeight w:val="300"/>
        </w:trPr>
        <w:tc>
          <w:tcPr>
            <w:tcW w:w="980" w:type="pct"/>
          </w:tcPr>
          <w:p w14:paraId="07E95132" w14:textId="77777777" w:rsidR="001E55A8" w:rsidRPr="00C7140E" w:rsidRDefault="001E55A8" w:rsidP="005B7F97">
            <w:pPr>
              <w:keepNext/>
              <w:widowControl w:val="0"/>
              <w:spacing w:after="40" w:line="240" w:lineRule="auto"/>
              <w:rPr>
                <w:rFonts w:ascii="Arial Narrow" w:hAnsi="Arial Narrow"/>
                <w:sz w:val="20"/>
                <w:szCs w:val="20"/>
              </w:rPr>
            </w:pPr>
            <w:r w:rsidRPr="00C7140E">
              <w:rPr>
                <w:rFonts w:ascii="Arial Narrow" w:hAnsi="Arial Narrow"/>
                <w:sz w:val="20"/>
                <w:szCs w:val="20"/>
              </w:rPr>
              <w:t>Total cost</w:t>
            </w:r>
          </w:p>
        </w:tc>
        <w:tc>
          <w:tcPr>
            <w:tcW w:w="804" w:type="pct"/>
          </w:tcPr>
          <w:p w14:paraId="1CDC9CFE" w14:textId="77777777" w:rsidR="001E55A8" w:rsidRPr="00C105C3" w:rsidRDefault="001E55A8" w:rsidP="004566DC">
            <w:pPr>
              <w:pStyle w:val="Tabletext1"/>
              <w:tabs>
                <w:tab w:val="decimal" w:pos="882"/>
              </w:tabs>
              <w:ind w:left="34"/>
              <w:jc w:val="left"/>
            </w:pPr>
            <w:r w:rsidRPr="003D5E01">
              <w:t>$2,125,796</w:t>
            </w:r>
          </w:p>
        </w:tc>
        <w:tc>
          <w:tcPr>
            <w:tcW w:w="804" w:type="pct"/>
          </w:tcPr>
          <w:p w14:paraId="567F8E18" w14:textId="77777777" w:rsidR="001E55A8" w:rsidRPr="00C105C3" w:rsidRDefault="001E55A8" w:rsidP="004566DC">
            <w:pPr>
              <w:pStyle w:val="Tabletext1"/>
              <w:tabs>
                <w:tab w:val="decimal" w:pos="882"/>
              </w:tabs>
              <w:ind w:left="34"/>
              <w:jc w:val="left"/>
            </w:pPr>
            <w:r w:rsidRPr="003D5E01">
              <w:t>$2,444,665</w:t>
            </w:r>
          </w:p>
        </w:tc>
        <w:tc>
          <w:tcPr>
            <w:tcW w:w="804" w:type="pct"/>
          </w:tcPr>
          <w:p w14:paraId="767B160B" w14:textId="77777777" w:rsidR="001E55A8" w:rsidRPr="00C105C3" w:rsidRDefault="001E55A8" w:rsidP="004566DC">
            <w:pPr>
              <w:pStyle w:val="Tabletext1"/>
              <w:tabs>
                <w:tab w:val="decimal" w:pos="882"/>
              </w:tabs>
              <w:ind w:left="34"/>
              <w:jc w:val="left"/>
            </w:pPr>
            <w:r w:rsidRPr="003D5E01">
              <w:t>$2,811,365</w:t>
            </w:r>
          </w:p>
        </w:tc>
        <w:tc>
          <w:tcPr>
            <w:tcW w:w="804" w:type="pct"/>
          </w:tcPr>
          <w:p w14:paraId="6B099057" w14:textId="77777777" w:rsidR="001E55A8" w:rsidRPr="00C105C3" w:rsidRDefault="001E55A8" w:rsidP="004566DC">
            <w:pPr>
              <w:pStyle w:val="Tabletext1"/>
              <w:tabs>
                <w:tab w:val="decimal" w:pos="882"/>
              </w:tabs>
              <w:ind w:left="34"/>
              <w:jc w:val="left"/>
            </w:pPr>
            <w:r w:rsidRPr="003D5E01">
              <w:t>$3,233,070</w:t>
            </w:r>
          </w:p>
        </w:tc>
        <w:tc>
          <w:tcPr>
            <w:tcW w:w="804" w:type="pct"/>
          </w:tcPr>
          <w:p w14:paraId="68F34C9E" w14:textId="77777777" w:rsidR="001E55A8" w:rsidRPr="00C105C3" w:rsidRDefault="001E55A8" w:rsidP="004566DC">
            <w:pPr>
              <w:pStyle w:val="Tabletext1"/>
              <w:tabs>
                <w:tab w:val="decimal" w:pos="882"/>
              </w:tabs>
              <w:ind w:left="34"/>
              <w:jc w:val="left"/>
            </w:pPr>
            <w:r w:rsidRPr="003D5E01">
              <w:t>$3,718,030</w:t>
            </w:r>
          </w:p>
        </w:tc>
      </w:tr>
      <w:tr w:rsidR="001E55A8" w:rsidRPr="00183E4D" w14:paraId="18059831" w14:textId="77777777" w:rsidTr="0042252D">
        <w:trPr>
          <w:trHeight w:val="315"/>
        </w:trPr>
        <w:tc>
          <w:tcPr>
            <w:tcW w:w="980" w:type="pct"/>
          </w:tcPr>
          <w:p w14:paraId="223EF684" w14:textId="77777777" w:rsidR="001E55A8" w:rsidRPr="00C7140E" w:rsidRDefault="001E55A8" w:rsidP="005B7F97">
            <w:pPr>
              <w:keepNext/>
              <w:widowControl w:val="0"/>
              <w:spacing w:after="40" w:line="240" w:lineRule="auto"/>
              <w:rPr>
                <w:rFonts w:ascii="Arial Narrow" w:hAnsi="Arial Narrow"/>
                <w:b/>
                <w:sz w:val="20"/>
                <w:szCs w:val="20"/>
              </w:rPr>
            </w:pPr>
            <w:r w:rsidRPr="00C7140E">
              <w:rPr>
                <w:rFonts w:ascii="Arial Narrow" w:hAnsi="Arial Narrow"/>
                <w:b/>
                <w:sz w:val="20"/>
                <w:szCs w:val="20"/>
              </w:rPr>
              <w:t>MBS rebate (85%)</w:t>
            </w:r>
          </w:p>
        </w:tc>
        <w:tc>
          <w:tcPr>
            <w:tcW w:w="804" w:type="pct"/>
          </w:tcPr>
          <w:p w14:paraId="6483FAD8" w14:textId="77777777" w:rsidR="001E55A8" w:rsidRPr="00305BDF" w:rsidRDefault="001E55A8" w:rsidP="004566DC">
            <w:pPr>
              <w:pStyle w:val="Tabletext1"/>
              <w:tabs>
                <w:tab w:val="decimal" w:pos="882"/>
              </w:tabs>
              <w:ind w:left="34"/>
              <w:jc w:val="left"/>
              <w:rPr>
                <w:b/>
              </w:rPr>
            </w:pPr>
            <w:r w:rsidRPr="003D5E01">
              <w:rPr>
                <w:b/>
              </w:rPr>
              <w:t>$1,806,926</w:t>
            </w:r>
          </w:p>
        </w:tc>
        <w:tc>
          <w:tcPr>
            <w:tcW w:w="804" w:type="pct"/>
          </w:tcPr>
          <w:p w14:paraId="363B28F4" w14:textId="77777777" w:rsidR="001E55A8" w:rsidRPr="00305BDF" w:rsidRDefault="001E55A8" w:rsidP="004566DC">
            <w:pPr>
              <w:pStyle w:val="Tabletext1"/>
              <w:tabs>
                <w:tab w:val="decimal" w:pos="882"/>
              </w:tabs>
              <w:ind w:left="34"/>
              <w:jc w:val="left"/>
              <w:rPr>
                <w:b/>
              </w:rPr>
            </w:pPr>
            <w:r w:rsidRPr="003D5E01">
              <w:rPr>
                <w:b/>
              </w:rPr>
              <w:t>$2,077,965</w:t>
            </w:r>
          </w:p>
        </w:tc>
        <w:tc>
          <w:tcPr>
            <w:tcW w:w="804" w:type="pct"/>
          </w:tcPr>
          <w:p w14:paraId="169EF57B" w14:textId="77777777" w:rsidR="001E55A8" w:rsidRPr="00305BDF" w:rsidRDefault="001E55A8" w:rsidP="004566DC">
            <w:pPr>
              <w:pStyle w:val="Tabletext1"/>
              <w:tabs>
                <w:tab w:val="decimal" w:pos="882"/>
              </w:tabs>
              <w:ind w:left="34"/>
              <w:jc w:val="left"/>
              <w:rPr>
                <w:b/>
              </w:rPr>
            </w:pPr>
            <w:r w:rsidRPr="003D5E01">
              <w:rPr>
                <w:b/>
              </w:rPr>
              <w:t>$2,389,660</w:t>
            </w:r>
          </w:p>
        </w:tc>
        <w:tc>
          <w:tcPr>
            <w:tcW w:w="804" w:type="pct"/>
          </w:tcPr>
          <w:p w14:paraId="6B3C252E" w14:textId="77777777" w:rsidR="001E55A8" w:rsidRPr="00305BDF" w:rsidRDefault="001E55A8" w:rsidP="004566DC">
            <w:pPr>
              <w:pStyle w:val="Tabletext1"/>
              <w:tabs>
                <w:tab w:val="decimal" w:pos="882"/>
              </w:tabs>
              <w:ind w:left="34"/>
              <w:jc w:val="left"/>
              <w:rPr>
                <w:b/>
              </w:rPr>
            </w:pPr>
            <w:r w:rsidRPr="003D5E01">
              <w:rPr>
                <w:b/>
              </w:rPr>
              <w:t>$2,748,109</w:t>
            </w:r>
          </w:p>
        </w:tc>
        <w:tc>
          <w:tcPr>
            <w:tcW w:w="804" w:type="pct"/>
          </w:tcPr>
          <w:p w14:paraId="7D6B4A12" w14:textId="77777777" w:rsidR="001E55A8" w:rsidRPr="00305BDF" w:rsidRDefault="001E55A8" w:rsidP="004566DC">
            <w:pPr>
              <w:pStyle w:val="Tabletext1"/>
              <w:tabs>
                <w:tab w:val="decimal" w:pos="882"/>
              </w:tabs>
              <w:ind w:left="34"/>
              <w:jc w:val="left"/>
              <w:rPr>
                <w:b/>
              </w:rPr>
            </w:pPr>
            <w:r w:rsidRPr="003D5E01">
              <w:rPr>
                <w:b/>
              </w:rPr>
              <w:t>$3,160,326</w:t>
            </w:r>
          </w:p>
        </w:tc>
      </w:tr>
      <w:tr w:rsidR="001E55A8" w:rsidRPr="00183E4D" w14:paraId="5034B57B" w14:textId="77777777" w:rsidTr="0042252D">
        <w:trPr>
          <w:trHeight w:val="315"/>
        </w:trPr>
        <w:tc>
          <w:tcPr>
            <w:tcW w:w="980" w:type="pct"/>
          </w:tcPr>
          <w:p w14:paraId="29AC48D3" w14:textId="631BE188" w:rsidR="001E55A8" w:rsidRDefault="001E55A8" w:rsidP="005B7F97">
            <w:pPr>
              <w:widowControl w:val="0"/>
              <w:spacing w:after="40" w:line="240" w:lineRule="auto"/>
              <w:rPr>
                <w:rFonts w:ascii="Arial Narrow" w:hAnsi="Arial Narrow"/>
                <w:sz w:val="20"/>
                <w:szCs w:val="20"/>
              </w:rPr>
            </w:pPr>
            <w:r>
              <w:rPr>
                <w:rFonts w:ascii="Arial Narrow" w:hAnsi="Arial Narrow"/>
                <w:sz w:val="20"/>
                <w:szCs w:val="20"/>
              </w:rPr>
              <w:t>Patient contribution</w:t>
            </w:r>
            <w:r w:rsidR="001743ED">
              <w:rPr>
                <w:rFonts w:ascii="Arial Narrow" w:hAnsi="Arial Narrow"/>
                <w:sz w:val="20"/>
                <w:szCs w:val="20"/>
              </w:rPr>
              <w:t>s</w:t>
            </w:r>
          </w:p>
        </w:tc>
        <w:tc>
          <w:tcPr>
            <w:tcW w:w="804" w:type="pct"/>
          </w:tcPr>
          <w:p w14:paraId="517282E5" w14:textId="77777777" w:rsidR="001E55A8" w:rsidRPr="00C105C3" w:rsidRDefault="001E55A8" w:rsidP="004566DC">
            <w:pPr>
              <w:pStyle w:val="Tabletext1"/>
              <w:tabs>
                <w:tab w:val="decimal" w:pos="882"/>
              </w:tabs>
              <w:ind w:left="34"/>
              <w:jc w:val="left"/>
            </w:pPr>
            <w:r w:rsidRPr="003D5E01">
              <w:t>$318,869</w:t>
            </w:r>
          </w:p>
        </w:tc>
        <w:tc>
          <w:tcPr>
            <w:tcW w:w="804" w:type="pct"/>
          </w:tcPr>
          <w:p w14:paraId="31146688" w14:textId="77777777" w:rsidR="001E55A8" w:rsidRPr="00C105C3" w:rsidRDefault="001E55A8" w:rsidP="004566DC">
            <w:pPr>
              <w:pStyle w:val="Tabletext1"/>
              <w:tabs>
                <w:tab w:val="decimal" w:pos="882"/>
              </w:tabs>
              <w:ind w:left="34"/>
              <w:jc w:val="left"/>
            </w:pPr>
            <w:r w:rsidRPr="003D5E01">
              <w:t>$366,700</w:t>
            </w:r>
          </w:p>
        </w:tc>
        <w:tc>
          <w:tcPr>
            <w:tcW w:w="804" w:type="pct"/>
          </w:tcPr>
          <w:p w14:paraId="76AE32FD" w14:textId="77777777" w:rsidR="001E55A8" w:rsidRPr="00C105C3" w:rsidRDefault="001E55A8" w:rsidP="004566DC">
            <w:pPr>
              <w:pStyle w:val="Tabletext1"/>
              <w:tabs>
                <w:tab w:val="decimal" w:pos="882"/>
              </w:tabs>
              <w:ind w:left="34"/>
              <w:jc w:val="left"/>
            </w:pPr>
            <w:r w:rsidRPr="003D5E01">
              <w:t>$421,705</w:t>
            </w:r>
          </w:p>
        </w:tc>
        <w:tc>
          <w:tcPr>
            <w:tcW w:w="804" w:type="pct"/>
          </w:tcPr>
          <w:p w14:paraId="13E70DF9" w14:textId="77777777" w:rsidR="001E55A8" w:rsidRPr="00C105C3" w:rsidRDefault="001E55A8" w:rsidP="004566DC">
            <w:pPr>
              <w:pStyle w:val="Tabletext1"/>
              <w:tabs>
                <w:tab w:val="decimal" w:pos="882"/>
              </w:tabs>
              <w:ind w:left="34"/>
              <w:jc w:val="left"/>
            </w:pPr>
            <w:r w:rsidRPr="003D5E01">
              <w:t>$484,960</w:t>
            </w:r>
          </w:p>
        </w:tc>
        <w:tc>
          <w:tcPr>
            <w:tcW w:w="804" w:type="pct"/>
          </w:tcPr>
          <w:p w14:paraId="220FB8E4" w14:textId="77777777" w:rsidR="001E55A8" w:rsidRPr="00C105C3" w:rsidRDefault="001E55A8" w:rsidP="004566DC">
            <w:pPr>
              <w:pStyle w:val="Tabletext1"/>
              <w:tabs>
                <w:tab w:val="decimal" w:pos="882"/>
              </w:tabs>
              <w:ind w:left="34"/>
              <w:jc w:val="left"/>
            </w:pPr>
            <w:r w:rsidRPr="003D5E01">
              <w:t>$557,705</w:t>
            </w:r>
          </w:p>
        </w:tc>
      </w:tr>
    </w:tbl>
    <w:p w14:paraId="1123016F" w14:textId="017E2255" w:rsidR="001E55A8" w:rsidRDefault="00FD37D3" w:rsidP="001E55A8">
      <w:pPr>
        <w:pStyle w:val="TableNotes"/>
        <w:ind w:left="0"/>
        <w:rPr>
          <w:sz w:val="18"/>
          <w:szCs w:val="18"/>
        </w:rPr>
      </w:pPr>
      <w:r w:rsidRPr="00FD37D3">
        <w:rPr>
          <w:sz w:val="18"/>
          <w:szCs w:val="18"/>
        </w:rPr>
        <w:t>CFTR</w:t>
      </w:r>
      <w:r w:rsidR="001E55A8">
        <w:rPr>
          <w:sz w:val="18"/>
          <w:szCs w:val="18"/>
        </w:rPr>
        <w:t xml:space="preserve"> = </w:t>
      </w:r>
      <w:r w:rsidR="004F3FEB">
        <w:rPr>
          <w:sz w:val="18"/>
          <w:szCs w:val="18"/>
        </w:rPr>
        <w:t>c</w:t>
      </w:r>
      <w:r w:rsidR="00F9373B">
        <w:rPr>
          <w:sz w:val="18"/>
          <w:szCs w:val="18"/>
        </w:rPr>
        <w:t xml:space="preserve">ystic </w:t>
      </w:r>
      <w:r w:rsidR="004F3FEB">
        <w:rPr>
          <w:sz w:val="18"/>
          <w:szCs w:val="18"/>
        </w:rPr>
        <w:t>f</w:t>
      </w:r>
      <w:r w:rsidR="00F9373B">
        <w:rPr>
          <w:sz w:val="18"/>
          <w:szCs w:val="18"/>
        </w:rPr>
        <w:t xml:space="preserve">ibrosis </w:t>
      </w:r>
      <w:r w:rsidR="004F3FEB">
        <w:rPr>
          <w:sz w:val="18"/>
          <w:szCs w:val="18"/>
        </w:rPr>
        <w:t>t</w:t>
      </w:r>
      <w:r w:rsidR="00F9373B">
        <w:rPr>
          <w:sz w:val="18"/>
          <w:szCs w:val="18"/>
        </w:rPr>
        <w:t xml:space="preserve">ransmembrane conductance </w:t>
      </w:r>
      <w:r w:rsidR="004F3FEB">
        <w:rPr>
          <w:sz w:val="18"/>
          <w:szCs w:val="18"/>
        </w:rPr>
        <w:t>r</w:t>
      </w:r>
      <w:r w:rsidR="00F9373B">
        <w:rPr>
          <w:sz w:val="18"/>
          <w:szCs w:val="18"/>
        </w:rPr>
        <w:t>egulator</w:t>
      </w:r>
      <w:r w:rsidR="001E55A8">
        <w:rPr>
          <w:sz w:val="18"/>
          <w:szCs w:val="18"/>
        </w:rPr>
        <w:t>; MBS</w:t>
      </w:r>
      <w:r w:rsidR="006D5DFE">
        <w:rPr>
          <w:sz w:val="18"/>
          <w:szCs w:val="18"/>
        </w:rPr>
        <w:t xml:space="preserve"> </w:t>
      </w:r>
      <w:r w:rsidR="001E55A8">
        <w:rPr>
          <w:sz w:val="18"/>
          <w:szCs w:val="18"/>
        </w:rPr>
        <w:t>= Medicare Benefits Schedule</w:t>
      </w:r>
    </w:p>
    <w:p w14:paraId="06FAB953" w14:textId="77777777" w:rsidR="001E55A8" w:rsidRDefault="001E55A8" w:rsidP="001E55A8">
      <w:pPr>
        <w:pStyle w:val="Heading2"/>
        <w:numPr>
          <w:ilvl w:val="4"/>
          <w:numId w:val="9"/>
        </w:numPr>
      </w:pPr>
      <w:bookmarkStart w:id="445" w:name="_Toc413332868"/>
      <w:bookmarkStart w:id="446" w:name="_Toc418179941"/>
      <w:r>
        <w:t>Financial I</w:t>
      </w:r>
      <w:r w:rsidRPr="00183E4D">
        <w:t>mplications</w:t>
      </w:r>
      <w:r>
        <w:t xml:space="preserve"> for</w:t>
      </w:r>
      <w:r w:rsidRPr="00183E4D">
        <w:t xml:space="preserve"> </w:t>
      </w:r>
      <w:r>
        <w:t>Government Health Budgets</w:t>
      </w:r>
      <w:bookmarkEnd w:id="445"/>
      <w:bookmarkEnd w:id="446"/>
      <w:r w:rsidRPr="00183E4D">
        <w:t xml:space="preserve"> </w:t>
      </w:r>
    </w:p>
    <w:p w14:paraId="5BA448E4" w14:textId="72BB7C5E" w:rsidR="001E55A8" w:rsidRDefault="001E55A8" w:rsidP="001E55A8">
      <w:r>
        <w:t xml:space="preserve">In the populations eligible for MBS funding </w:t>
      </w:r>
      <w:r w:rsidR="00FD37D3" w:rsidRPr="00FD37D3">
        <w:t>CFTR</w:t>
      </w:r>
      <w:r>
        <w:t xml:space="preserve"> mutation testing</w:t>
      </w:r>
      <w:r w:rsidRPr="003E2147">
        <w:t xml:space="preserve"> is currently provided for by the </w:t>
      </w:r>
      <w:r w:rsidR="001743ED">
        <w:t>s</w:t>
      </w:r>
      <w:r w:rsidRPr="003E2147">
        <w:t>tates/</w:t>
      </w:r>
      <w:r w:rsidR="001743ED">
        <w:t>t</w:t>
      </w:r>
      <w:r w:rsidRPr="003E2147">
        <w:t>erritories or</w:t>
      </w:r>
      <w:r>
        <w:t xml:space="preserve"> is privately funded. </w:t>
      </w:r>
      <w:r w:rsidR="001743ED">
        <w:t>Under the proposed listing,</w:t>
      </w:r>
      <w:r>
        <w:t xml:space="preserve"> the costs of </w:t>
      </w:r>
      <w:r w:rsidR="00FD37D3" w:rsidRPr="00FD37D3">
        <w:t>CFTR</w:t>
      </w:r>
      <w:r>
        <w:t xml:space="preserve"> mutation testing will shift from the </w:t>
      </w:r>
      <w:r w:rsidR="001743ED">
        <w:t>s</w:t>
      </w:r>
      <w:r>
        <w:t>tates/</w:t>
      </w:r>
      <w:r w:rsidR="001743ED">
        <w:t>t</w:t>
      </w:r>
      <w:r>
        <w:t>erritories and patients to the MBS.</w:t>
      </w:r>
    </w:p>
    <w:p w14:paraId="488D4551" w14:textId="461B35A7" w:rsidR="001E55A8" w:rsidRDefault="001E55A8" w:rsidP="001E55A8">
      <w:r>
        <w:t xml:space="preserve">Current funding sources for </w:t>
      </w:r>
      <w:r w:rsidR="00FD37D3" w:rsidRPr="00FD37D3">
        <w:t>CFTR</w:t>
      </w:r>
      <w:r>
        <w:t xml:space="preserve"> mutation testing</w:t>
      </w:r>
      <w:r w:rsidR="001743ED">
        <w:t xml:space="preserve"> are</w:t>
      </w:r>
      <w:r>
        <w:t xml:space="preserve"> presented in </w:t>
      </w:r>
      <w:r w:rsidR="00F976CC">
        <w:t>s</w:t>
      </w:r>
      <w:r>
        <w:t>ection A.3, based on data from the RCPA Genetic Testing Survey</w:t>
      </w:r>
      <w:r w:rsidR="00644730">
        <w:t xml:space="preserve"> 2011</w:t>
      </w:r>
      <w:r>
        <w:t xml:space="preserve">. These figures have been used to estimate the proportion of costs that will shift from the </w:t>
      </w:r>
      <w:r w:rsidR="001743ED">
        <w:t>s</w:t>
      </w:r>
      <w:r>
        <w:t>tates/</w:t>
      </w:r>
      <w:r w:rsidR="001743ED">
        <w:t>t</w:t>
      </w:r>
      <w:r>
        <w:t xml:space="preserve">erritories and those that will shift from patients. Of tests where the funding source was provided, 46% of </w:t>
      </w:r>
      <w:r w:rsidR="00FD37D3" w:rsidRPr="00FD37D3">
        <w:t>CFTR</w:t>
      </w:r>
      <w:r>
        <w:t xml:space="preserve"> mutation tests were funded by the </w:t>
      </w:r>
      <w:r w:rsidR="001743ED">
        <w:t>s</w:t>
      </w:r>
      <w:r>
        <w:t>tate</w:t>
      </w:r>
      <w:r w:rsidR="001743ED">
        <w:t>s</w:t>
      </w:r>
      <w:r>
        <w:t>/</w:t>
      </w:r>
      <w:r w:rsidR="001743ED">
        <w:t>t</w:t>
      </w:r>
      <w:r>
        <w:t>erritor</w:t>
      </w:r>
      <w:r w:rsidR="001743ED">
        <w:t>ies</w:t>
      </w:r>
      <w:r>
        <w:t xml:space="preserve"> and 54% by patient</w:t>
      </w:r>
      <w:r w:rsidR="001743ED">
        <w:t>s</w:t>
      </w:r>
      <w:r>
        <w:t xml:space="preserve">. As data in the </w:t>
      </w:r>
      <w:r w:rsidR="001743ED">
        <w:t>s</w:t>
      </w:r>
      <w:r>
        <w:t xml:space="preserve">urvey were not provided by indication, how these data apply to the specific indications proposed for MBS funding is uncertain, as indications </w:t>
      </w:r>
      <w:r w:rsidR="001743ED">
        <w:t xml:space="preserve">that </w:t>
      </w:r>
      <w:r>
        <w:t xml:space="preserve">are not proposed for MBS funding may be more likely to receive </w:t>
      </w:r>
      <w:r w:rsidR="001743ED">
        <w:t>s</w:t>
      </w:r>
      <w:r>
        <w:t>tate/</w:t>
      </w:r>
      <w:r w:rsidR="001743ED">
        <w:t>t</w:t>
      </w:r>
      <w:r>
        <w:t>erritory</w:t>
      </w:r>
      <w:r w:rsidR="001743ED">
        <w:t>-</w:t>
      </w:r>
      <w:r>
        <w:t>based funding, and</w:t>
      </w:r>
      <w:r w:rsidR="001743ED">
        <w:t>,</w:t>
      </w:r>
      <w:r>
        <w:t xml:space="preserve"> conversely, those not proposed for MBS funding may be more likely to be currently funded by the patient. This approach may overestimate the net cost savings incurred </w:t>
      </w:r>
      <w:r w:rsidR="001743ED">
        <w:t xml:space="preserve">by </w:t>
      </w:r>
      <w:r>
        <w:t xml:space="preserve">patients and understate those incurred </w:t>
      </w:r>
      <w:r w:rsidR="001743ED">
        <w:t xml:space="preserve">by </w:t>
      </w:r>
      <w:r>
        <w:t xml:space="preserve">the </w:t>
      </w:r>
      <w:r w:rsidR="001743ED">
        <w:t>s</w:t>
      </w:r>
      <w:r>
        <w:t>tates/</w:t>
      </w:r>
      <w:r w:rsidR="001743ED">
        <w:t>t</w:t>
      </w:r>
      <w:r>
        <w:t xml:space="preserve">erritories, </w:t>
      </w:r>
      <w:r w:rsidR="001743ED">
        <w:t xml:space="preserve">thus </w:t>
      </w:r>
      <w:r>
        <w:t>overestimating the net implication to government health budgets.</w:t>
      </w:r>
    </w:p>
    <w:p w14:paraId="6EA9233E" w14:textId="24587A33" w:rsidR="001E55A8" w:rsidRDefault="00644730" w:rsidP="001E55A8">
      <w:r>
        <w:t>E</w:t>
      </w:r>
      <w:r w:rsidR="001E55A8">
        <w:t xml:space="preserve">stimated savings to </w:t>
      </w:r>
      <w:r w:rsidR="00E94643">
        <w:t>s</w:t>
      </w:r>
      <w:r w:rsidR="001E55A8">
        <w:t>tate/</w:t>
      </w:r>
      <w:r w:rsidR="00E94643">
        <w:t>t</w:t>
      </w:r>
      <w:r w:rsidR="001E55A8">
        <w:t>erritory budgets, by test</w:t>
      </w:r>
      <w:r w:rsidR="00E94643">
        <w:t xml:space="preserve"> type</w:t>
      </w:r>
      <w:r w:rsidR="001E55A8">
        <w:t xml:space="preserve">, </w:t>
      </w:r>
      <w:r w:rsidR="00E94643">
        <w:t xml:space="preserve">are </w:t>
      </w:r>
      <w:r w:rsidR="001E55A8">
        <w:t xml:space="preserve">presented in </w:t>
      </w:r>
      <w:r w:rsidR="001E55A8">
        <w:fldChar w:fldCharType="begin"/>
      </w:r>
      <w:r w:rsidR="001E55A8">
        <w:instrText xml:space="preserve"> REF _Ref413932052 \h </w:instrText>
      </w:r>
      <w:r w:rsidR="001E55A8">
        <w:fldChar w:fldCharType="separate"/>
      </w:r>
      <w:r w:rsidR="00BB0E3E">
        <w:t xml:space="preserve">Table </w:t>
      </w:r>
      <w:r w:rsidR="00BB0E3E">
        <w:rPr>
          <w:noProof/>
        </w:rPr>
        <w:t>79</w:t>
      </w:r>
      <w:r w:rsidR="001E55A8">
        <w:fldChar w:fldCharType="end"/>
      </w:r>
      <w:r w:rsidR="001E55A8">
        <w:t>.</w:t>
      </w:r>
    </w:p>
    <w:p w14:paraId="69B9F429" w14:textId="4215D3FF" w:rsidR="001E55A8" w:rsidRDefault="001E55A8" w:rsidP="001E55A8">
      <w:pPr>
        <w:pStyle w:val="Caption"/>
      </w:pPr>
      <w:bookmarkStart w:id="447" w:name="_Ref413932052"/>
      <w:bookmarkStart w:id="448" w:name="_Toc416855372"/>
      <w:bookmarkStart w:id="449" w:name="_Toc418179476"/>
      <w:r>
        <w:t xml:space="preserve">Table </w:t>
      </w:r>
      <w:fldSimple w:instr=" SEQ Table \* ARABIC ">
        <w:r w:rsidR="00BB0E3E">
          <w:rPr>
            <w:noProof/>
          </w:rPr>
          <w:t>79</w:t>
        </w:r>
      </w:fldSimple>
      <w:bookmarkEnd w:id="447"/>
      <w:r>
        <w:tab/>
        <w:t xml:space="preserve">Estimated savings to </w:t>
      </w:r>
      <w:r w:rsidR="00F90ECB">
        <w:t>s</w:t>
      </w:r>
      <w:r>
        <w:t>tate/</w:t>
      </w:r>
      <w:r w:rsidR="00F90ECB">
        <w:t>t</w:t>
      </w:r>
      <w:r>
        <w:t>erritor</w:t>
      </w:r>
      <w:r w:rsidR="00E94643">
        <w:t>y</w:t>
      </w:r>
      <w:r>
        <w:t xml:space="preserve"> budgets for </w:t>
      </w:r>
      <w:r w:rsidR="00FD37D3" w:rsidRPr="00FD37D3">
        <w:t>CFTR</w:t>
      </w:r>
      <w:r>
        <w:t xml:space="preserve"> mutation testing, by test type</w:t>
      </w:r>
      <w:bookmarkEnd w:id="448"/>
      <w:bookmarkEnd w:id="449"/>
    </w:p>
    <w:tbl>
      <w:tblPr>
        <w:tblStyle w:val="TableGrid"/>
        <w:tblW w:w="4908" w:type="pct"/>
        <w:tblInd w:w="108" w:type="dxa"/>
        <w:tblLook w:val="04A0" w:firstRow="1" w:lastRow="0" w:firstColumn="1" w:lastColumn="0" w:noHBand="0" w:noVBand="1"/>
        <w:tblCaption w:val="Estimated savings to States/Territories budgets for CFTR mutation testing, by test type"/>
        <w:tblDescription w:val="Estimated savings to state/territory budgets for CFTR mutation testing, by test type"/>
      </w:tblPr>
      <w:tblGrid>
        <w:gridCol w:w="2126"/>
        <w:gridCol w:w="1390"/>
        <w:gridCol w:w="1390"/>
        <w:gridCol w:w="1390"/>
        <w:gridCol w:w="1390"/>
        <w:gridCol w:w="1386"/>
      </w:tblGrid>
      <w:tr w:rsidR="001E55A8" w:rsidRPr="00F515FA" w14:paraId="77CEF4E3" w14:textId="77777777" w:rsidTr="00862720">
        <w:trPr>
          <w:tblHeader/>
        </w:trPr>
        <w:tc>
          <w:tcPr>
            <w:tcW w:w="1172" w:type="pct"/>
          </w:tcPr>
          <w:p w14:paraId="1DD8C5CD" w14:textId="77777777" w:rsidR="001E55A8" w:rsidRPr="00F515FA" w:rsidRDefault="001E55A8" w:rsidP="004566DC">
            <w:pPr>
              <w:pStyle w:val="Caption"/>
              <w:spacing w:before="40"/>
              <w:ind w:left="0" w:right="-109"/>
              <w:jc w:val="center"/>
              <w:rPr>
                <w:szCs w:val="20"/>
              </w:rPr>
            </w:pPr>
          </w:p>
        </w:tc>
        <w:tc>
          <w:tcPr>
            <w:tcW w:w="766" w:type="pct"/>
            <w:vAlign w:val="bottom"/>
          </w:tcPr>
          <w:p w14:paraId="20291B72" w14:textId="77777777" w:rsidR="001E55A8" w:rsidRPr="00F515FA" w:rsidRDefault="001E55A8" w:rsidP="005B7F97">
            <w:pPr>
              <w:pStyle w:val="Caption"/>
              <w:spacing w:before="40"/>
              <w:ind w:left="0"/>
              <w:jc w:val="center"/>
              <w:rPr>
                <w:szCs w:val="20"/>
              </w:rPr>
            </w:pPr>
            <w:r w:rsidRPr="00F515FA">
              <w:rPr>
                <w:szCs w:val="20"/>
              </w:rPr>
              <w:t>2015</w:t>
            </w:r>
          </w:p>
        </w:tc>
        <w:tc>
          <w:tcPr>
            <w:tcW w:w="766" w:type="pct"/>
            <w:vAlign w:val="bottom"/>
          </w:tcPr>
          <w:p w14:paraId="640EB350" w14:textId="77777777" w:rsidR="001E55A8" w:rsidRPr="00F515FA" w:rsidRDefault="001E55A8" w:rsidP="005B7F97">
            <w:pPr>
              <w:pStyle w:val="Caption"/>
              <w:spacing w:before="40"/>
              <w:ind w:left="0"/>
              <w:jc w:val="center"/>
              <w:rPr>
                <w:szCs w:val="20"/>
              </w:rPr>
            </w:pPr>
            <w:r w:rsidRPr="00F515FA">
              <w:rPr>
                <w:szCs w:val="20"/>
              </w:rPr>
              <w:t>2016</w:t>
            </w:r>
          </w:p>
        </w:tc>
        <w:tc>
          <w:tcPr>
            <w:tcW w:w="766" w:type="pct"/>
            <w:vAlign w:val="bottom"/>
          </w:tcPr>
          <w:p w14:paraId="2301E82B" w14:textId="77777777" w:rsidR="001E55A8" w:rsidRPr="00F515FA" w:rsidRDefault="001E55A8" w:rsidP="005B7F97">
            <w:pPr>
              <w:pStyle w:val="Caption"/>
              <w:spacing w:before="40"/>
              <w:ind w:left="0"/>
              <w:jc w:val="center"/>
              <w:rPr>
                <w:szCs w:val="20"/>
              </w:rPr>
            </w:pPr>
            <w:r w:rsidRPr="00F515FA">
              <w:rPr>
                <w:szCs w:val="20"/>
              </w:rPr>
              <w:t>2017</w:t>
            </w:r>
          </w:p>
        </w:tc>
        <w:tc>
          <w:tcPr>
            <w:tcW w:w="766" w:type="pct"/>
            <w:vAlign w:val="bottom"/>
          </w:tcPr>
          <w:p w14:paraId="1B3486E0" w14:textId="77777777" w:rsidR="001E55A8" w:rsidRPr="00F515FA" w:rsidRDefault="001E55A8" w:rsidP="005B7F97">
            <w:pPr>
              <w:pStyle w:val="Caption"/>
              <w:spacing w:before="40"/>
              <w:ind w:left="0"/>
              <w:jc w:val="center"/>
              <w:rPr>
                <w:szCs w:val="20"/>
              </w:rPr>
            </w:pPr>
            <w:r w:rsidRPr="00F515FA">
              <w:rPr>
                <w:szCs w:val="20"/>
              </w:rPr>
              <w:t>2018</w:t>
            </w:r>
          </w:p>
        </w:tc>
        <w:tc>
          <w:tcPr>
            <w:tcW w:w="764" w:type="pct"/>
            <w:vAlign w:val="bottom"/>
          </w:tcPr>
          <w:p w14:paraId="4926FD44"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661E4B" w14:paraId="5AAC356C" w14:textId="77777777" w:rsidTr="005B7F97">
        <w:tc>
          <w:tcPr>
            <w:tcW w:w="1172" w:type="pct"/>
          </w:tcPr>
          <w:p w14:paraId="5995AAD7" w14:textId="5A72C590" w:rsidR="001E55A8" w:rsidRPr="00735773" w:rsidRDefault="001E55A8" w:rsidP="004566DC">
            <w:pPr>
              <w:pStyle w:val="Tabletext1"/>
              <w:ind w:left="0" w:right="-109"/>
            </w:pPr>
            <w:r>
              <w:t>Single mutation analysis</w:t>
            </w:r>
            <w:r w:rsidR="002B217D">
              <w:t xml:space="preserve"> </w:t>
            </w:r>
            <w:r w:rsidR="004F3FEB" w:rsidRPr="004566DC">
              <w:rPr>
                <w:vertAlign w:val="superscript"/>
              </w:rPr>
              <w:t>a</w:t>
            </w:r>
          </w:p>
        </w:tc>
        <w:tc>
          <w:tcPr>
            <w:tcW w:w="766" w:type="pct"/>
            <w:vAlign w:val="bottom"/>
          </w:tcPr>
          <w:p w14:paraId="5DC7D60A" w14:textId="77777777" w:rsidR="001E55A8" w:rsidRPr="00997D30" w:rsidRDefault="001E55A8" w:rsidP="004566DC">
            <w:pPr>
              <w:pStyle w:val="Tabletext1"/>
              <w:tabs>
                <w:tab w:val="decimal" w:pos="885"/>
              </w:tabs>
              <w:ind w:left="34"/>
              <w:jc w:val="left"/>
            </w:pPr>
            <w:r w:rsidRPr="003D5E01">
              <w:t>$26,287</w:t>
            </w:r>
          </w:p>
        </w:tc>
        <w:tc>
          <w:tcPr>
            <w:tcW w:w="766" w:type="pct"/>
            <w:vAlign w:val="bottom"/>
          </w:tcPr>
          <w:p w14:paraId="566B38F7" w14:textId="77777777" w:rsidR="001E55A8" w:rsidRPr="00997D30" w:rsidRDefault="001E55A8" w:rsidP="004566DC">
            <w:pPr>
              <w:pStyle w:val="Tabletext1"/>
              <w:tabs>
                <w:tab w:val="decimal" w:pos="885"/>
              </w:tabs>
              <w:ind w:left="34"/>
              <w:jc w:val="left"/>
            </w:pPr>
            <w:r w:rsidRPr="003D5E01">
              <w:t>$30,230</w:t>
            </w:r>
          </w:p>
        </w:tc>
        <w:tc>
          <w:tcPr>
            <w:tcW w:w="766" w:type="pct"/>
            <w:vAlign w:val="bottom"/>
          </w:tcPr>
          <w:p w14:paraId="6A7534D1" w14:textId="77777777" w:rsidR="001E55A8" w:rsidRPr="00997D30" w:rsidRDefault="001E55A8" w:rsidP="004566DC">
            <w:pPr>
              <w:pStyle w:val="Tabletext1"/>
              <w:tabs>
                <w:tab w:val="decimal" w:pos="885"/>
              </w:tabs>
              <w:ind w:left="34"/>
              <w:jc w:val="left"/>
            </w:pPr>
            <w:r w:rsidRPr="003D5E01">
              <w:t>$34,764</w:t>
            </w:r>
          </w:p>
        </w:tc>
        <w:tc>
          <w:tcPr>
            <w:tcW w:w="766" w:type="pct"/>
            <w:vAlign w:val="bottom"/>
          </w:tcPr>
          <w:p w14:paraId="2D783501" w14:textId="77777777" w:rsidR="001E55A8" w:rsidRPr="00997D30" w:rsidRDefault="001E55A8" w:rsidP="004566DC">
            <w:pPr>
              <w:pStyle w:val="Tabletext1"/>
              <w:tabs>
                <w:tab w:val="decimal" w:pos="885"/>
              </w:tabs>
              <w:ind w:left="34"/>
              <w:jc w:val="left"/>
            </w:pPr>
            <w:r w:rsidRPr="003D5E01">
              <w:t>$39,979</w:t>
            </w:r>
          </w:p>
        </w:tc>
        <w:tc>
          <w:tcPr>
            <w:tcW w:w="764" w:type="pct"/>
            <w:vAlign w:val="bottom"/>
          </w:tcPr>
          <w:p w14:paraId="77964399" w14:textId="77777777" w:rsidR="001E55A8" w:rsidRPr="00997D30" w:rsidRDefault="001E55A8" w:rsidP="004566DC">
            <w:pPr>
              <w:pStyle w:val="Tabletext1"/>
              <w:tabs>
                <w:tab w:val="decimal" w:pos="885"/>
              </w:tabs>
              <w:ind w:left="34"/>
              <w:jc w:val="left"/>
            </w:pPr>
            <w:r w:rsidRPr="003D5E01">
              <w:t>$45,976</w:t>
            </w:r>
          </w:p>
        </w:tc>
      </w:tr>
      <w:tr w:rsidR="001E55A8" w:rsidRPr="00661E4B" w14:paraId="6367DFF7" w14:textId="77777777" w:rsidTr="005B7F97">
        <w:tc>
          <w:tcPr>
            <w:tcW w:w="1172" w:type="pct"/>
          </w:tcPr>
          <w:p w14:paraId="1B8A5F5B" w14:textId="77777777" w:rsidR="001E55A8" w:rsidRPr="00735773" w:rsidRDefault="001E55A8" w:rsidP="004566DC">
            <w:pPr>
              <w:pStyle w:val="Tabletext1"/>
              <w:ind w:left="0" w:right="-109"/>
            </w:pPr>
            <w:r>
              <w:t>Common mutation panel</w:t>
            </w:r>
          </w:p>
        </w:tc>
        <w:tc>
          <w:tcPr>
            <w:tcW w:w="766" w:type="pct"/>
            <w:vAlign w:val="bottom"/>
          </w:tcPr>
          <w:p w14:paraId="2678E7D9" w14:textId="77777777" w:rsidR="001E55A8" w:rsidRPr="00997D30" w:rsidRDefault="001E55A8" w:rsidP="004566DC">
            <w:pPr>
              <w:pStyle w:val="Tabletext1"/>
              <w:tabs>
                <w:tab w:val="decimal" w:pos="885"/>
              </w:tabs>
              <w:ind w:left="34"/>
              <w:jc w:val="left"/>
            </w:pPr>
            <w:r w:rsidRPr="003D5E01">
              <w:t>$406,922</w:t>
            </w:r>
          </w:p>
        </w:tc>
        <w:tc>
          <w:tcPr>
            <w:tcW w:w="766" w:type="pct"/>
            <w:vAlign w:val="bottom"/>
          </w:tcPr>
          <w:p w14:paraId="076335BE" w14:textId="77777777" w:rsidR="001E55A8" w:rsidRPr="00997D30" w:rsidRDefault="001E55A8" w:rsidP="004566DC">
            <w:pPr>
              <w:pStyle w:val="Tabletext1"/>
              <w:tabs>
                <w:tab w:val="decimal" w:pos="885"/>
              </w:tabs>
              <w:ind w:left="34"/>
              <w:jc w:val="left"/>
            </w:pPr>
            <w:r w:rsidRPr="003D5E01">
              <w:t>$467,961</w:t>
            </w:r>
          </w:p>
        </w:tc>
        <w:tc>
          <w:tcPr>
            <w:tcW w:w="766" w:type="pct"/>
            <w:vAlign w:val="bottom"/>
          </w:tcPr>
          <w:p w14:paraId="04117F90" w14:textId="77777777" w:rsidR="001E55A8" w:rsidRPr="00997D30" w:rsidRDefault="001E55A8" w:rsidP="004566DC">
            <w:pPr>
              <w:pStyle w:val="Tabletext1"/>
              <w:tabs>
                <w:tab w:val="decimal" w:pos="885"/>
              </w:tabs>
              <w:ind w:left="34"/>
              <w:jc w:val="left"/>
            </w:pPr>
            <w:r w:rsidRPr="003D5E01">
              <w:t>$538,155</w:t>
            </w:r>
          </w:p>
        </w:tc>
        <w:tc>
          <w:tcPr>
            <w:tcW w:w="766" w:type="pct"/>
            <w:vAlign w:val="bottom"/>
          </w:tcPr>
          <w:p w14:paraId="2E575A01" w14:textId="77777777" w:rsidR="001E55A8" w:rsidRPr="00997D30" w:rsidRDefault="001E55A8" w:rsidP="004566DC">
            <w:pPr>
              <w:pStyle w:val="Tabletext1"/>
              <w:tabs>
                <w:tab w:val="decimal" w:pos="885"/>
              </w:tabs>
              <w:ind w:left="34"/>
              <w:jc w:val="left"/>
            </w:pPr>
            <w:r w:rsidRPr="003D5E01">
              <w:t>$618,878</w:t>
            </w:r>
          </w:p>
        </w:tc>
        <w:tc>
          <w:tcPr>
            <w:tcW w:w="764" w:type="pct"/>
            <w:vAlign w:val="bottom"/>
          </w:tcPr>
          <w:p w14:paraId="6824B606" w14:textId="77777777" w:rsidR="001E55A8" w:rsidRPr="00997D30" w:rsidRDefault="001E55A8" w:rsidP="004566DC">
            <w:pPr>
              <w:pStyle w:val="Tabletext1"/>
              <w:tabs>
                <w:tab w:val="decimal" w:pos="885"/>
              </w:tabs>
              <w:ind w:left="34"/>
              <w:jc w:val="left"/>
            </w:pPr>
            <w:r w:rsidRPr="003D5E01">
              <w:t>$711,710</w:t>
            </w:r>
          </w:p>
        </w:tc>
      </w:tr>
      <w:tr w:rsidR="001E55A8" w:rsidRPr="00661E4B" w14:paraId="3C845B1F" w14:textId="77777777" w:rsidTr="005B7F97">
        <w:tc>
          <w:tcPr>
            <w:tcW w:w="1172" w:type="pct"/>
          </w:tcPr>
          <w:p w14:paraId="2307F421" w14:textId="77777777" w:rsidR="001E55A8" w:rsidRPr="00735773" w:rsidRDefault="001E55A8" w:rsidP="004566DC">
            <w:pPr>
              <w:pStyle w:val="Tabletext1"/>
              <w:ind w:left="0" w:right="-109"/>
            </w:pPr>
            <w:r>
              <w:t>Whole gene screen</w:t>
            </w:r>
          </w:p>
        </w:tc>
        <w:tc>
          <w:tcPr>
            <w:tcW w:w="766" w:type="pct"/>
            <w:vAlign w:val="bottom"/>
          </w:tcPr>
          <w:p w14:paraId="032D50F6" w14:textId="77777777" w:rsidR="001E55A8" w:rsidRPr="00997D30" w:rsidRDefault="001E55A8" w:rsidP="004566DC">
            <w:pPr>
              <w:pStyle w:val="Tabletext1"/>
              <w:tabs>
                <w:tab w:val="decimal" w:pos="885"/>
              </w:tabs>
              <w:ind w:left="34"/>
              <w:jc w:val="left"/>
            </w:pPr>
            <w:r w:rsidRPr="003D5E01">
              <w:t>$536,517</w:t>
            </w:r>
          </w:p>
        </w:tc>
        <w:tc>
          <w:tcPr>
            <w:tcW w:w="766" w:type="pct"/>
            <w:vAlign w:val="bottom"/>
          </w:tcPr>
          <w:p w14:paraId="7C879EF7" w14:textId="77777777" w:rsidR="001E55A8" w:rsidRPr="00997D30" w:rsidRDefault="001E55A8" w:rsidP="004566DC">
            <w:pPr>
              <w:pStyle w:val="Tabletext1"/>
              <w:tabs>
                <w:tab w:val="decimal" w:pos="885"/>
              </w:tabs>
              <w:ind w:left="34"/>
              <w:jc w:val="left"/>
            </w:pPr>
            <w:r w:rsidRPr="003D5E01">
              <w:t>$616,994</w:t>
            </w:r>
          </w:p>
        </w:tc>
        <w:tc>
          <w:tcPr>
            <w:tcW w:w="766" w:type="pct"/>
            <w:vAlign w:val="bottom"/>
          </w:tcPr>
          <w:p w14:paraId="79EA735F" w14:textId="77777777" w:rsidR="001E55A8" w:rsidRPr="00997D30" w:rsidRDefault="001E55A8" w:rsidP="004566DC">
            <w:pPr>
              <w:pStyle w:val="Tabletext1"/>
              <w:tabs>
                <w:tab w:val="decimal" w:pos="885"/>
              </w:tabs>
              <w:ind w:left="34"/>
              <w:jc w:val="left"/>
            </w:pPr>
            <w:r w:rsidRPr="003D5E01">
              <w:t>$709,543</w:t>
            </w:r>
          </w:p>
        </w:tc>
        <w:tc>
          <w:tcPr>
            <w:tcW w:w="766" w:type="pct"/>
            <w:vAlign w:val="bottom"/>
          </w:tcPr>
          <w:p w14:paraId="32590E35" w14:textId="77777777" w:rsidR="001E55A8" w:rsidRPr="00997D30" w:rsidRDefault="001E55A8" w:rsidP="004566DC">
            <w:pPr>
              <w:pStyle w:val="Tabletext1"/>
              <w:tabs>
                <w:tab w:val="decimal" w:pos="885"/>
              </w:tabs>
              <w:ind w:left="34"/>
              <w:jc w:val="left"/>
            </w:pPr>
            <w:r w:rsidRPr="003D5E01">
              <w:t>$815,975</w:t>
            </w:r>
          </w:p>
        </w:tc>
        <w:tc>
          <w:tcPr>
            <w:tcW w:w="764" w:type="pct"/>
            <w:vAlign w:val="bottom"/>
          </w:tcPr>
          <w:p w14:paraId="1D82C320" w14:textId="77777777" w:rsidR="001E55A8" w:rsidRPr="00997D30" w:rsidRDefault="001E55A8" w:rsidP="004566DC">
            <w:pPr>
              <w:pStyle w:val="Tabletext1"/>
              <w:tabs>
                <w:tab w:val="decimal" w:pos="885"/>
              </w:tabs>
              <w:ind w:left="34"/>
              <w:jc w:val="left"/>
            </w:pPr>
            <w:r w:rsidRPr="003D5E01">
              <w:t>$938,371</w:t>
            </w:r>
          </w:p>
        </w:tc>
      </w:tr>
      <w:tr w:rsidR="001E55A8" w:rsidRPr="00661E4B" w14:paraId="6004592B" w14:textId="77777777" w:rsidTr="005B7F97">
        <w:tc>
          <w:tcPr>
            <w:tcW w:w="1172" w:type="pct"/>
          </w:tcPr>
          <w:p w14:paraId="3CA88C74" w14:textId="77777777" w:rsidR="001E55A8" w:rsidRPr="00305BDF" w:rsidRDefault="001E55A8" w:rsidP="004566DC">
            <w:pPr>
              <w:pStyle w:val="Tabletext1"/>
              <w:ind w:left="0" w:right="-109"/>
              <w:rPr>
                <w:b/>
              </w:rPr>
            </w:pPr>
            <w:r w:rsidRPr="00305BDF">
              <w:rPr>
                <w:b/>
              </w:rPr>
              <w:t>Total</w:t>
            </w:r>
          </w:p>
        </w:tc>
        <w:tc>
          <w:tcPr>
            <w:tcW w:w="766" w:type="pct"/>
            <w:vAlign w:val="bottom"/>
          </w:tcPr>
          <w:p w14:paraId="29210FF7" w14:textId="77777777" w:rsidR="001E55A8" w:rsidRPr="00305BDF" w:rsidRDefault="001E55A8" w:rsidP="004566DC">
            <w:pPr>
              <w:pStyle w:val="Tabletext1"/>
              <w:tabs>
                <w:tab w:val="decimal" w:pos="885"/>
              </w:tabs>
              <w:ind w:left="34"/>
              <w:jc w:val="left"/>
              <w:rPr>
                <w:b/>
              </w:rPr>
            </w:pPr>
            <w:r w:rsidRPr="003D5E01">
              <w:rPr>
                <w:b/>
              </w:rPr>
              <w:t>$969,726</w:t>
            </w:r>
          </w:p>
        </w:tc>
        <w:tc>
          <w:tcPr>
            <w:tcW w:w="766" w:type="pct"/>
            <w:vAlign w:val="bottom"/>
          </w:tcPr>
          <w:p w14:paraId="746E37B1" w14:textId="77777777" w:rsidR="001E55A8" w:rsidRPr="00305BDF" w:rsidRDefault="001E55A8" w:rsidP="004566DC">
            <w:pPr>
              <w:pStyle w:val="Tabletext1"/>
              <w:tabs>
                <w:tab w:val="decimal" w:pos="885"/>
              </w:tabs>
              <w:ind w:left="34"/>
              <w:jc w:val="left"/>
              <w:rPr>
                <w:b/>
              </w:rPr>
            </w:pPr>
            <w:r w:rsidRPr="003D5E01">
              <w:rPr>
                <w:b/>
              </w:rPr>
              <w:t>$1,115,184</w:t>
            </w:r>
          </w:p>
        </w:tc>
        <w:tc>
          <w:tcPr>
            <w:tcW w:w="766" w:type="pct"/>
            <w:vAlign w:val="bottom"/>
          </w:tcPr>
          <w:p w14:paraId="435B6DA6" w14:textId="77777777" w:rsidR="001E55A8" w:rsidRPr="00305BDF" w:rsidRDefault="001E55A8" w:rsidP="004566DC">
            <w:pPr>
              <w:pStyle w:val="Tabletext1"/>
              <w:tabs>
                <w:tab w:val="decimal" w:pos="885"/>
              </w:tabs>
              <w:ind w:left="34"/>
              <w:jc w:val="left"/>
              <w:rPr>
                <w:b/>
              </w:rPr>
            </w:pPr>
            <w:r w:rsidRPr="003D5E01">
              <w:rPr>
                <w:b/>
              </w:rPr>
              <w:t>$1,282,462</w:t>
            </w:r>
          </w:p>
        </w:tc>
        <w:tc>
          <w:tcPr>
            <w:tcW w:w="766" w:type="pct"/>
            <w:vAlign w:val="bottom"/>
          </w:tcPr>
          <w:p w14:paraId="258A45F5" w14:textId="77777777" w:rsidR="001E55A8" w:rsidRPr="00305BDF" w:rsidRDefault="001E55A8" w:rsidP="004566DC">
            <w:pPr>
              <w:pStyle w:val="Tabletext1"/>
              <w:tabs>
                <w:tab w:val="decimal" w:pos="885"/>
              </w:tabs>
              <w:ind w:left="34"/>
              <w:jc w:val="left"/>
              <w:rPr>
                <w:b/>
              </w:rPr>
            </w:pPr>
            <w:r w:rsidRPr="003D5E01">
              <w:rPr>
                <w:b/>
              </w:rPr>
              <w:t>$1,474,831</w:t>
            </w:r>
          </w:p>
        </w:tc>
        <w:tc>
          <w:tcPr>
            <w:tcW w:w="764" w:type="pct"/>
            <w:vAlign w:val="bottom"/>
          </w:tcPr>
          <w:p w14:paraId="44AA9AE0" w14:textId="77777777" w:rsidR="001E55A8" w:rsidRPr="00305BDF" w:rsidRDefault="001E55A8" w:rsidP="004566DC">
            <w:pPr>
              <w:pStyle w:val="Tabletext1"/>
              <w:tabs>
                <w:tab w:val="decimal" w:pos="885"/>
              </w:tabs>
              <w:ind w:left="34"/>
              <w:jc w:val="left"/>
              <w:rPr>
                <w:b/>
              </w:rPr>
            </w:pPr>
            <w:r w:rsidRPr="003D5E01">
              <w:rPr>
                <w:b/>
              </w:rPr>
              <w:t>$1,696,056</w:t>
            </w:r>
          </w:p>
        </w:tc>
      </w:tr>
    </w:tbl>
    <w:p w14:paraId="31853158" w14:textId="0011FCAF" w:rsidR="00736EFE" w:rsidRDefault="004F3FEB" w:rsidP="004566DC">
      <w:pPr>
        <w:pStyle w:val="TableNotes"/>
        <w:spacing w:after="120" w:line="240" w:lineRule="auto"/>
        <w:ind w:left="0"/>
        <w:rPr>
          <w:sz w:val="18"/>
          <w:szCs w:val="18"/>
        </w:rPr>
      </w:pPr>
      <w:r w:rsidRPr="004566DC">
        <w:rPr>
          <w:sz w:val="18"/>
          <w:szCs w:val="18"/>
          <w:vertAlign w:val="superscript"/>
        </w:rPr>
        <w:t>a</w:t>
      </w:r>
      <w:r>
        <w:rPr>
          <w:sz w:val="18"/>
          <w:szCs w:val="18"/>
        </w:rPr>
        <w:t xml:space="preserve"> </w:t>
      </w:r>
      <w:r w:rsidR="00736EFE" w:rsidRPr="004566DC">
        <w:rPr>
          <w:sz w:val="18"/>
          <w:szCs w:val="18"/>
        </w:rPr>
        <w:t>Single mutation analyses are performed to identify one or two F508del mutations</w:t>
      </w:r>
      <w:r w:rsidR="00546E50">
        <w:rPr>
          <w:sz w:val="18"/>
          <w:szCs w:val="18"/>
        </w:rPr>
        <w:t>.</w:t>
      </w:r>
    </w:p>
    <w:p w14:paraId="799CB84C" w14:textId="345DB3D3" w:rsidR="002B217D" w:rsidRDefault="002B217D" w:rsidP="004566DC">
      <w:pPr>
        <w:pStyle w:val="TableNotes"/>
        <w:spacing w:after="120" w:line="240" w:lineRule="auto"/>
        <w:ind w:left="0"/>
        <w:rPr>
          <w:sz w:val="18"/>
          <w:szCs w:val="18"/>
        </w:rPr>
      </w:pPr>
      <w:r w:rsidRPr="00FD37D3">
        <w:rPr>
          <w:sz w:val="18"/>
          <w:szCs w:val="18"/>
        </w:rPr>
        <w:t>CFTR</w:t>
      </w:r>
      <w:r>
        <w:rPr>
          <w:sz w:val="18"/>
          <w:szCs w:val="18"/>
        </w:rPr>
        <w:t xml:space="preserve"> = cystic fibrosis transmembrane conductance regulator</w:t>
      </w:r>
    </w:p>
    <w:p w14:paraId="4E4201F6" w14:textId="09C8784D" w:rsidR="001E55A8" w:rsidRDefault="00E94643" w:rsidP="00E06D2D">
      <w:pPr>
        <w:spacing w:before="240"/>
      </w:pPr>
      <w:r>
        <w:t>The t</w:t>
      </w:r>
      <w:r w:rsidR="001E55A8">
        <w:t xml:space="preserve">otal net </w:t>
      </w:r>
      <w:r>
        <w:t xml:space="preserve">cost </w:t>
      </w:r>
      <w:r w:rsidR="001E55A8">
        <w:t xml:space="preserve">implication to </w:t>
      </w:r>
      <w:r>
        <w:t xml:space="preserve">the </w:t>
      </w:r>
      <w:r w:rsidR="001E55A8">
        <w:t xml:space="preserve">government health budget is presented in </w:t>
      </w:r>
      <w:r w:rsidR="001E55A8">
        <w:fldChar w:fldCharType="begin"/>
      </w:r>
      <w:r w:rsidR="001E55A8">
        <w:instrText xml:space="preserve"> REF _Ref413932063 \h </w:instrText>
      </w:r>
      <w:r w:rsidR="001E55A8">
        <w:fldChar w:fldCharType="separate"/>
      </w:r>
      <w:r w:rsidR="00BB0E3E">
        <w:t xml:space="preserve">Table </w:t>
      </w:r>
      <w:r w:rsidR="00BB0E3E">
        <w:rPr>
          <w:noProof/>
        </w:rPr>
        <w:t>80</w:t>
      </w:r>
      <w:r w:rsidR="001E55A8">
        <w:fldChar w:fldCharType="end"/>
      </w:r>
      <w:r w:rsidR="001E55A8">
        <w:t>.</w:t>
      </w:r>
    </w:p>
    <w:p w14:paraId="55521AB9" w14:textId="6AEE1598" w:rsidR="001E55A8" w:rsidRDefault="001E55A8" w:rsidP="001E55A8">
      <w:pPr>
        <w:pStyle w:val="Caption"/>
      </w:pPr>
      <w:bookmarkStart w:id="450" w:name="_Ref413932063"/>
      <w:bookmarkStart w:id="451" w:name="_Toc416855373"/>
      <w:bookmarkStart w:id="452" w:name="_Toc418179477"/>
      <w:r>
        <w:lastRenderedPageBreak/>
        <w:t xml:space="preserve">Table </w:t>
      </w:r>
      <w:fldSimple w:instr=" SEQ Table \* ARABIC ">
        <w:r w:rsidR="00BB0E3E">
          <w:rPr>
            <w:noProof/>
          </w:rPr>
          <w:t>80</w:t>
        </w:r>
      </w:fldSimple>
      <w:bookmarkEnd w:id="450"/>
      <w:r>
        <w:tab/>
        <w:t>Estimated net cost implication</w:t>
      </w:r>
      <w:r w:rsidR="00070D91">
        <w:t>s</w:t>
      </w:r>
      <w:r>
        <w:t xml:space="preserve"> of </w:t>
      </w:r>
      <w:r w:rsidR="00FD37D3" w:rsidRPr="00FD37D3">
        <w:t>CFTR</w:t>
      </w:r>
      <w:r>
        <w:t xml:space="preserve"> mutation testing to government health budget</w:t>
      </w:r>
      <w:bookmarkEnd w:id="451"/>
      <w:r>
        <w:t>, 2015–19</w:t>
      </w:r>
      <w:bookmarkEnd w:id="452"/>
    </w:p>
    <w:tbl>
      <w:tblPr>
        <w:tblStyle w:val="TableGrid"/>
        <w:tblW w:w="4942" w:type="pct"/>
        <w:tblInd w:w="108" w:type="dxa"/>
        <w:tblLayout w:type="fixed"/>
        <w:tblLook w:val="04A0" w:firstRow="1" w:lastRow="0" w:firstColumn="1" w:lastColumn="0" w:noHBand="0" w:noVBand="1"/>
        <w:tblCaption w:val="Estimated net cost implication of CFTR mutation testing to government health budgets, 2015–19"/>
        <w:tblDescription w:val="Estimated net cost implication of CFTR mutation testing to government health budgets, 2015–19"/>
      </w:tblPr>
      <w:tblGrid>
        <w:gridCol w:w="2551"/>
        <w:gridCol w:w="1316"/>
        <w:gridCol w:w="1317"/>
        <w:gridCol w:w="1317"/>
        <w:gridCol w:w="1317"/>
        <w:gridCol w:w="1317"/>
      </w:tblGrid>
      <w:tr w:rsidR="001E55A8" w:rsidRPr="00F515FA" w14:paraId="062CF193" w14:textId="77777777" w:rsidTr="007C1FC6">
        <w:trPr>
          <w:tblHeader/>
        </w:trPr>
        <w:tc>
          <w:tcPr>
            <w:tcW w:w="1396" w:type="pct"/>
          </w:tcPr>
          <w:p w14:paraId="49D81BAD" w14:textId="77777777" w:rsidR="001E55A8" w:rsidRPr="00F515FA" w:rsidRDefault="001E55A8" w:rsidP="005B7F97">
            <w:pPr>
              <w:pStyle w:val="Caption"/>
              <w:spacing w:before="40"/>
              <w:ind w:left="0"/>
              <w:jc w:val="center"/>
              <w:rPr>
                <w:szCs w:val="20"/>
              </w:rPr>
            </w:pPr>
          </w:p>
        </w:tc>
        <w:tc>
          <w:tcPr>
            <w:tcW w:w="720" w:type="pct"/>
            <w:vAlign w:val="bottom"/>
          </w:tcPr>
          <w:p w14:paraId="02AA87FB" w14:textId="77777777" w:rsidR="001E55A8" w:rsidRPr="00F515FA" w:rsidRDefault="001E55A8" w:rsidP="005B7F97">
            <w:pPr>
              <w:pStyle w:val="Caption"/>
              <w:spacing w:before="40"/>
              <w:ind w:left="0"/>
              <w:jc w:val="center"/>
              <w:rPr>
                <w:szCs w:val="20"/>
              </w:rPr>
            </w:pPr>
            <w:r w:rsidRPr="00F515FA">
              <w:rPr>
                <w:szCs w:val="20"/>
              </w:rPr>
              <w:t>2015</w:t>
            </w:r>
          </w:p>
        </w:tc>
        <w:tc>
          <w:tcPr>
            <w:tcW w:w="721" w:type="pct"/>
            <w:vAlign w:val="bottom"/>
          </w:tcPr>
          <w:p w14:paraId="632F4A46" w14:textId="77777777" w:rsidR="001E55A8" w:rsidRPr="00F515FA" w:rsidRDefault="001E55A8" w:rsidP="005B7F97">
            <w:pPr>
              <w:pStyle w:val="Caption"/>
              <w:spacing w:before="40"/>
              <w:ind w:left="0"/>
              <w:jc w:val="center"/>
              <w:rPr>
                <w:szCs w:val="20"/>
              </w:rPr>
            </w:pPr>
            <w:r w:rsidRPr="00F515FA">
              <w:rPr>
                <w:szCs w:val="20"/>
              </w:rPr>
              <w:t>2016</w:t>
            </w:r>
          </w:p>
        </w:tc>
        <w:tc>
          <w:tcPr>
            <w:tcW w:w="721" w:type="pct"/>
            <w:vAlign w:val="bottom"/>
          </w:tcPr>
          <w:p w14:paraId="28415213" w14:textId="77777777" w:rsidR="001E55A8" w:rsidRPr="00F515FA" w:rsidRDefault="001E55A8" w:rsidP="005B7F97">
            <w:pPr>
              <w:pStyle w:val="Caption"/>
              <w:spacing w:before="40"/>
              <w:ind w:left="0"/>
              <w:jc w:val="center"/>
              <w:rPr>
                <w:szCs w:val="20"/>
              </w:rPr>
            </w:pPr>
            <w:r w:rsidRPr="00F515FA">
              <w:rPr>
                <w:szCs w:val="20"/>
              </w:rPr>
              <w:t>2017</w:t>
            </w:r>
          </w:p>
        </w:tc>
        <w:tc>
          <w:tcPr>
            <w:tcW w:w="721" w:type="pct"/>
            <w:vAlign w:val="bottom"/>
          </w:tcPr>
          <w:p w14:paraId="6CF669EF" w14:textId="77777777" w:rsidR="001E55A8" w:rsidRPr="00F515FA" w:rsidRDefault="001E55A8" w:rsidP="005B7F97">
            <w:pPr>
              <w:pStyle w:val="Caption"/>
              <w:spacing w:before="40"/>
              <w:ind w:left="0"/>
              <w:jc w:val="center"/>
              <w:rPr>
                <w:szCs w:val="20"/>
              </w:rPr>
            </w:pPr>
            <w:r w:rsidRPr="00F515FA">
              <w:rPr>
                <w:szCs w:val="20"/>
              </w:rPr>
              <w:t>2018</w:t>
            </w:r>
          </w:p>
        </w:tc>
        <w:tc>
          <w:tcPr>
            <w:tcW w:w="721" w:type="pct"/>
            <w:vAlign w:val="bottom"/>
          </w:tcPr>
          <w:p w14:paraId="444AD728" w14:textId="77777777" w:rsidR="001E55A8" w:rsidRPr="00F515FA" w:rsidRDefault="001E55A8" w:rsidP="005B7F97">
            <w:pPr>
              <w:pStyle w:val="Caption"/>
              <w:spacing w:before="40"/>
              <w:ind w:left="0"/>
              <w:jc w:val="center"/>
              <w:rPr>
                <w:szCs w:val="20"/>
              </w:rPr>
            </w:pPr>
            <w:r w:rsidRPr="00F515FA">
              <w:rPr>
                <w:szCs w:val="20"/>
              </w:rPr>
              <w:t>2019</w:t>
            </w:r>
          </w:p>
        </w:tc>
      </w:tr>
      <w:tr w:rsidR="001E55A8" w:rsidRPr="00661E4B" w14:paraId="17C23F0C" w14:textId="77777777" w:rsidTr="005B7F97">
        <w:tc>
          <w:tcPr>
            <w:tcW w:w="1396" w:type="pct"/>
          </w:tcPr>
          <w:p w14:paraId="053C584B" w14:textId="77777777" w:rsidR="001E55A8" w:rsidRPr="00821297" w:rsidRDefault="001E55A8" w:rsidP="005B7F97">
            <w:pPr>
              <w:keepNext/>
              <w:widowControl w:val="0"/>
              <w:spacing w:before="40" w:after="40" w:line="240" w:lineRule="auto"/>
              <w:ind w:left="34"/>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r>
              <w:rPr>
                <w:sz w:val="20"/>
                <w:szCs w:val="20"/>
                <w:vertAlign w:val="superscript"/>
              </w:rPr>
              <w:t xml:space="preserve"> </w:t>
            </w:r>
            <w:r w:rsidRPr="00BE394D">
              <w:rPr>
                <w:sz w:val="20"/>
                <w:szCs w:val="20"/>
                <w:vertAlign w:val="superscript"/>
              </w:rPr>
              <w:t>a</w:t>
            </w:r>
          </w:p>
        </w:tc>
        <w:tc>
          <w:tcPr>
            <w:tcW w:w="720" w:type="pct"/>
          </w:tcPr>
          <w:p w14:paraId="7713D816" w14:textId="77777777" w:rsidR="001E55A8" w:rsidRPr="00997D30" w:rsidRDefault="001E55A8" w:rsidP="004566DC">
            <w:pPr>
              <w:pStyle w:val="Tabletext1"/>
              <w:tabs>
                <w:tab w:val="decimal" w:pos="885"/>
              </w:tabs>
              <w:ind w:left="34"/>
              <w:jc w:val="left"/>
            </w:pPr>
            <w:r w:rsidRPr="00CD6B6B">
              <w:t>$1,806,926</w:t>
            </w:r>
          </w:p>
        </w:tc>
        <w:tc>
          <w:tcPr>
            <w:tcW w:w="721" w:type="pct"/>
          </w:tcPr>
          <w:p w14:paraId="4F55AF97" w14:textId="77777777" w:rsidR="001E55A8" w:rsidRPr="00997D30" w:rsidRDefault="001E55A8" w:rsidP="004566DC">
            <w:pPr>
              <w:pStyle w:val="Tabletext1"/>
              <w:tabs>
                <w:tab w:val="decimal" w:pos="885"/>
              </w:tabs>
              <w:ind w:left="34"/>
              <w:jc w:val="left"/>
            </w:pPr>
            <w:r w:rsidRPr="00CD6B6B">
              <w:t>$2,077,965</w:t>
            </w:r>
          </w:p>
        </w:tc>
        <w:tc>
          <w:tcPr>
            <w:tcW w:w="721" w:type="pct"/>
          </w:tcPr>
          <w:p w14:paraId="253E0767" w14:textId="77777777" w:rsidR="001E55A8" w:rsidRPr="00997D30" w:rsidRDefault="001E55A8" w:rsidP="004566DC">
            <w:pPr>
              <w:pStyle w:val="Tabletext1"/>
              <w:tabs>
                <w:tab w:val="decimal" w:pos="885"/>
              </w:tabs>
              <w:ind w:left="34"/>
              <w:jc w:val="left"/>
            </w:pPr>
            <w:r w:rsidRPr="00CD6B6B">
              <w:t>$2,389,660</w:t>
            </w:r>
          </w:p>
        </w:tc>
        <w:tc>
          <w:tcPr>
            <w:tcW w:w="721" w:type="pct"/>
          </w:tcPr>
          <w:p w14:paraId="57AEC233" w14:textId="77777777" w:rsidR="001E55A8" w:rsidRPr="00997D30" w:rsidRDefault="001E55A8" w:rsidP="004566DC">
            <w:pPr>
              <w:pStyle w:val="Tabletext1"/>
              <w:tabs>
                <w:tab w:val="decimal" w:pos="885"/>
              </w:tabs>
              <w:ind w:left="34"/>
              <w:jc w:val="left"/>
            </w:pPr>
            <w:r w:rsidRPr="00CD6B6B">
              <w:t>$2,748,109</w:t>
            </w:r>
          </w:p>
        </w:tc>
        <w:tc>
          <w:tcPr>
            <w:tcW w:w="721" w:type="pct"/>
          </w:tcPr>
          <w:p w14:paraId="665CF8D0" w14:textId="77777777" w:rsidR="001E55A8" w:rsidRPr="00997D30" w:rsidRDefault="001E55A8" w:rsidP="004566DC">
            <w:pPr>
              <w:pStyle w:val="Tabletext1"/>
              <w:tabs>
                <w:tab w:val="decimal" w:pos="885"/>
              </w:tabs>
              <w:ind w:left="34"/>
              <w:jc w:val="left"/>
            </w:pPr>
            <w:r w:rsidRPr="00CD6B6B">
              <w:t>$3,160,326</w:t>
            </w:r>
          </w:p>
        </w:tc>
      </w:tr>
      <w:tr w:rsidR="001E55A8" w:rsidRPr="00661E4B" w14:paraId="0CEDAA55" w14:textId="77777777" w:rsidTr="005B7F97">
        <w:tc>
          <w:tcPr>
            <w:tcW w:w="1396" w:type="pct"/>
          </w:tcPr>
          <w:p w14:paraId="11F97007" w14:textId="28E56DB6" w:rsidR="001E55A8" w:rsidRPr="00821297" w:rsidRDefault="001E55A8" w:rsidP="005B7F97">
            <w:pPr>
              <w:pStyle w:val="Tabletext1"/>
              <w:ind w:left="34"/>
            </w:pPr>
            <w:r>
              <w:t>Savings</w:t>
            </w:r>
            <w:r w:rsidRPr="00821297">
              <w:t xml:space="preserve"> to </w:t>
            </w:r>
            <w:r w:rsidR="00546E50">
              <w:t>s</w:t>
            </w:r>
            <w:r w:rsidRPr="00821297">
              <w:t>tate</w:t>
            </w:r>
            <w:r w:rsidR="00546E50">
              <w:t>s</w:t>
            </w:r>
            <w:r w:rsidRPr="00821297">
              <w:t>/</w:t>
            </w:r>
            <w:r w:rsidR="00546E50">
              <w:t>t</w:t>
            </w:r>
            <w:r w:rsidRPr="00821297">
              <w:t>erritories</w:t>
            </w:r>
          </w:p>
        </w:tc>
        <w:tc>
          <w:tcPr>
            <w:tcW w:w="720" w:type="pct"/>
            <w:vAlign w:val="bottom"/>
          </w:tcPr>
          <w:p w14:paraId="294B66A8" w14:textId="77777777" w:rsidR="001E55A8" w:rsidRPr="00305BDF" w:rsidRDefault="001E55A8" w:rsidP="004566DC">
            <w:pPr>
              <w:pStyle w:val="Tabletext1"/>
              <w:tabs>
                <w:tab w:val="decimal" w:pos="885"/>
              </w:tabs>
              <w:ind w:left="34"/>
              <w:jc w:val="left"/>
            </w:pPr>
            <w:r w:rsidRPr="003D5E01">
              <w:t>$969,726</w:t>
            </w:r>
          </w:p>
        </w:tc>
        <w:tc>
          <w:tcPr>
            <w:tcW w:w="721" w:type="pct"/>
            <w:vAlign w:val="bottom"/>
          </w:tcPr>
          <w:p w14:paraId="4CADF1A7" w14:textId="77777777" w:rsidR="001E55A8" w:rsidRPr="00305BDF" w:rsidRDefault="001E55A8" w:rsidP="004566DC">
            <w:pPr>
              <w:pStyle w:val="Tabletext1"/>
              <w:tabs>
                <w:tab w:val="decimal" w:pos="885"/>
              </w:tabs>
              <w:ind w:left="34"/>
              <w:jc w:val="left"/>
            </w:pPr>
            <w:r w:rsidRPr="003D5E01">
              <w:t>$1,115,184</w:t>
            </w:r>
          </w:p>
        </w:tc>
        <w:tc>
          <w:tcPr>
            <w:tcW w:w="721" w:type="pct"/>
            <w:vAlign w:val="bottom"/>
          </w:tcPr>
          <w:p w14:paraId="481C7D77" w14:textId="77777777" w:rsidR="001E55A8" w:rsidRPr="00305BDF" w:rsidRDefault="001E55A8" w:rsidP="004566DC">
            <w:pPr>
              <w:pStyle w:val="Tabletext1"/>
              <w:tabs>
                <w:tab w:val="decimal" w:pos="885"/>
              </w:tabs>
              <w:ind w:left="34"/>
              <w:jc w:val="left"/>
            </w:pPr>
            <w:r w:rsidRPr="003D5E01">
              <w:t>$1,282,462</w:t>
            </w:r>
          </w:p>
        </w:tc>
        <w:tc>
          <w:tcPr>
            <w:tcW w:w="721" w:type="pct"/>
            <w:vAlign w:val="bottom"/>
          </w:tcPr>
          <w:p w14:paraId="08062A5B" w14:textId="77777777" w:rsidR="001E55A8" w:rsidRPr="00305BDF" w:rsidRDefault="001E55A8" w:rsidP="004566DC">
            <w:pPr>
              <w:pStyle w:val="Tabletext1"/>
              <w:tabs>
                <w:tab w:val="decimal" w:pos="885"/>
              </w:tabs>
              <w:ind w:left="34"/>
              <w:jc w:val="left"/>
            </w:pPr>
            <w:r w:rsidRPr="003D5E01">
              <w:t>$1,474,831</w:t>
            </w:r>
          </w:p>
        </w:tc>
        <w:tc>
          <w:tcPr>
            <w:tcW w:w="721" w:type="pct"/>
            <w:vAlign w:val="bottom"/>
          </w:tcPr>
          <w:p w14:paraId="6F939CA7" w14:textId="77777777" w:rsidR="001E55A8" w:rsidRPr="00305BDF" w:rsidRDefault="001E55A8" w:rsidP="004566DC">
            <w:pPr>
              <w:pStyle w:val="Tabletext1"/>
              <w:tabs>
                <w:tab w:val="decimal" w:pos="885"/>
              </w:tabs>
              <w:ind w:left="34"/>
              <w:jc w:val="left"/>
            </w:pPr>
            <w:r w:rsidRPr="003D5E01">
              <w:t>$1,696,056</w:t>
            </w:r>
          </w:p>
        </w:tc>
      </w:tr>
      <w:tr w:rsidR="001E55A8" w:rsidRPr="00661E4B" w14:paraId="783C699E" w14:textId="77777777" w:rsidTr="005B7F97">
        <w:tc>
          <w:tcPr>
            <w:tcW w:w="1396" w:type="pct"/>
          </w:tcPr>
          <w:p w14:paraId="14AC3581" w14:textId="77777777" w:rsidR="001E55A8" w:rsidRPr="00F515FA" w:rsidRDefault="001E55A8" w:rsidP="005B7F97">
            <w:pPr>
              <w:pStyle w:val="Tabletext1"/>
              <w:ind w:left="34"/>
              <w:rPr>
                <w:b/>
              </w:rPr>
            </w:pPr>
            <w:r w:rsidRPr="00F515FA">
              <w:rPr>
                <w:b/>
              </w:rPr>
              <w:t>Total</w:t>
            </w:r>
            <w:r>
              <w:rPr>
                <w:b/>
              </w:rPr>
              <w:t xml:space="preserve"> cost to government</w:t>
            </w:r>
          </w:p>
        </w:tc>
        <w:tc>
          <w:tcPr>
            <w:tcW w:w="720" w:type="pct"/>
            <w:vAlign w:val="bottom"/>
          </w:tcPr>
          <w:p w14:paraId="2D8D594D" w14:textId="77777777" w:rsidR="001E55A8" w:rsidRPr="00305BDF" w:rsidRDefault="001E55A8" w:rsidP="004566DC">
            <w:pPr>
              <w:pStyle w:val="Tabletext1"/>
              <w:tabs>
                <w:tab w:val="decimal" w:pos="885"/>
              </w:tabs>
              <w:ind w:left="34"/>
              <w:jc w:val="left"/>
              <w:rPr>
                <w:b/>
              </w:rPr>
            </w:pPr>
            <w:r w:rsidRPr="003D5E01">
              <w:rPr>
                <w:b/>
              </w:rPr>
              <w:t>$837,201</w:t>
            </w:r>
          </w:p>
        </w:tc>
        <w:tc>
          <w:tcPr>
            <w:tcW w:w="721" w:type="pct"/>
            <w:vAlign w:val="bottom"/>
          </w:tcPr>
          <w:p w14:paraId="22A7A4BC" w14:textId="77777777" w:rsidR="001E55A8" w:rsidRPr="00305BDF" w:rsidRDefault="001E55A8" w:rsidP="004566DC">
            <w:pPr>
              <w:pStyle w:val="Tabletext1"/>
              <w:tabs>
                <w:tab w:val="decimal" w:pos="885"/>
              </w:tabs>
              <w:ind w:left="34"/>
              <w:jc w:val="left"/>
              <w:rPr>
                <w:b/>
              </w:rPr>
            </w:pPr>
            <w:r w:rsidRPr="003D5E01">
              <w:rPr>
                <w:b/>
              </w:rPr>
              <w:t>$962,781</w:t>
            </w:r>
          </w:p>
        </w:tc>
        <w:tc>
          <w:tcPr>
            <w:tcW w:w="721" w:type="pct"/>
            <w:vAlign w:val="bottom"/>
          </w:tcPr>
          <w:p w14:paraId="146777E6" w14:textId="77777777" w:rsidR="001E55A8" w:rsidRPr="00305BDF" w:rsidRDefault="001E55A8" w:rsidP="004566DC">
            <w:pPr>
              <w:pStyle w:val="Tabletext1"/>
              <w:tabs>
                <w:tab w:val="decimal" w:pos="885"/>
              </w:tabs>
              <w:ind w:left="34"/>
              <w:jc w:val="left"/>
              <w:rPr>
                <w:b/>
              </w:rPr>
            </w:pPr>
            <w:r w:rsidRPr="003D5E01">
              <w:rPr>
                <w:b/>
              </w:rPr>
              <w:t>$1,107,198</w:t>
            </w:r>
          </w:p>
        </w:tc>
        <w:tc>
          <w:tcPr>
            <w:tcW w:w="721" w:type="pct"/>
            <w:vAlign w:val="bottom"/>
          </w:tcPr>
          <w:p w14:paraId="606F5D7D" w14:textId="77777777" w:rsidR="001E55A8" w:rsidRPr="00305BDF" w:rsidRDefault="001E55A8" w:rsidP="004566DC">
            <w:pPr>
              <w:pStyle w:val="Tabletext1"/>
              <w:tabs>
                <w:tab w:val="decimal" w:pos="885"/>
              </w:tabs>
              <w:ind w:left="34"/>
              <w:jc w:val="left"/>
              <w:rPr>
                <w:b/>
              </w:rPr>
            </w:pPr>
            <w:r w:rsidRPr="003D5E01">
              <w:rPr>
                <w:b/>
              </w:rPr>
              <w:t>$1,273,278</w:t>
            </w:r>
          </w:p>
        </w:tc>
        <w:tc>
          <w:tcPr>
            <w:tcW w:w="721" w:type="pct"/>
            <w:vAlign w:val="bottom"/>
          </w:tcPr>
          <w:p w14:paraId="2B626153" w14:textId="77777777" w:rsidR="001E55A8" w:rsidRPr="00305BDF" w:rsidRDefault="001E55A8" w:rsidP="004566DC">
            <w:pPr>
              <w:pStyle w:val="Tabletext1"/>
              <w:tabs>
                <w:tab w:val="decimal" w:pos="885"/>
              </w:tabs>
              <w:ind w:left="34"/>
              <w:jc w:val="left"/>
              <w:rPr>
                <w:b/>
              </w:rPr>
            </w:pPr>
            <w:r w:rsidRPr="003D5E01">
              <w:rPr>
                <w:b/>
              </w:rPr>
              <w:t>$1,464,270</w:t>
            </w:r>
          </w:p>
        </w:tc>
      </w:tr>
    </w:tbl>
    <w:p w14:paraId="40ACC2A4" w14:textId="77777777" w:rsidR="001E55A8" w:rsidRDefault="001E55A8" w:rsidP="004566DC">
      <w:pPr>
        <w:pStyle w:val="TableNotes"/>
        <w:spacing w:after="120" w:line="240" w:lineRule="auto"/>
        <w:ind w:left="0"/>
        <w:rPr>
          <w:sz w:val="18"/>
          <w:szCs w:val="18"/>
        </w:rPr>
      </w:pPr>
      <w:r w:rsidRPr="00862720">
        <w:rPr>
          <w:sz w:val="18"/>
          <w:szCs w:val="18"/>
          <w:vertAlign w:val="superscript"/>
        </w:rPr>
        <w:t>a</w:t>
      </w:r>
      <w:r>
        <w:rPr>
          <w:sz w:val="18"/>
          <w:szCs w:val="18"/>
        </w:rPr>
        <w:t xml:space="preserve"> From </w:t>
      </w:r>
      <w:r w:rsidRPr="008F2B36">
        <w:rPr>
          <w:sz w:val="18"/>
          <w:szCs w:val="18"/>
        </w:rPr>
        <w:fldChar w:fldCharType="begin"/>
      </w:r>
      <w:r w:rsidRPr="008F2B36">
        <w:rPr>
          <w:sz w:val="18"/>
          <w:szCs w:val="18"/>
        </w:rPr>
        <w:instrText xml:space="preserve"> REF _Ref413932001 \h </w:instrText>
      </w:r>
      <w:r>
        <w:rPr>
          <w:sz w:val="18"/>
          <w:szCs w:val="18"/>
        </w:rPr>
        <w:instrText xml:space="preserve"> \* MERGEFORMAT </w:instrText>
      </w:r>
      <w:r w:rsidRPr="008F2B36">
        <w:rPr>
          <w:sz w:val="18"/>
          <w:szCs w:val="18"/>
        </w:rPr>
      </w:r>
      <w:r w:rsidRPr="008F2B36">
        <w:rPr>
          <w:sz w:val="18"/>
          <w:szCs w:val="18"/>
        </w:rPr>
        <w:fldChar w:fldCharType="separate"/>
      </w:r>
      <w:r w:rsidR="00BB0E3E" w:rsidRPr="00BB0E3E">
        <w:rPr>
          <w:sz w:val="18"/>
          <w:szCs w:val="18"/>
        </w:rPr>
        <w:t xml:space="preserve">Table </w:t>
      </w:r>
      <w:r w:rsidR="00BB0E3E" w:rsidRPr="00BB0E3E">
        <w:rPr>
          <w:noProof/>
          <w:sz w:val="18"/>
          <w:szCs w:val="18"/>
        </w:rPr>
        <w:t>78</w:t>
      </w:r>
      <w:r w:rsidRPr="008F2B36">
        <w:rPr>
          <w:sz w:val="18"/>
          <w:szCs w:val="18"/>
        </w:rPr>
        <w:fldChar w:fldCharType="end"/>
      </w:r>
    </w:p>
    <w:p w14:paraId="3EB3EB50" w14:textId="3BD58EEE" w:rsidR="001E55A8" w:rsidRDefault="00FD37D3" w:rsidP="004566DC">
      <w:pPr>
        <w:pStyle w:val="TableNotes"/>
        <w:spacing w:after="120" w:line="240" w:lineRule="auto"/>
        <w:ind w:left="0"/>
        <w:rPr>
          <w:sz w:val="18"/>
          <w:szCs w:val="18"/>
        </w:rPr>
      </w:pPr>
      <w:r w:rsidRPr="00FD37D3">
        <w:rPr>
          <w:sz w:val="18"/>
          <w:szCs w:val="18"/>
        </w:rPr>
        <w:t>CFTR</w:t>
      </w:r>
      <w:r w:rsidR="001E55A8">
        <w:rPr>
          <w:sz w:val="18"/>
          <w:szCs w:val="18"/>
        </w:rPr>
        <w:t xml:space="preserve"> = </w:t>
      </w:r>
      <w:r w:rsidR="00D06FEE">
        <w:rPr>
          <w:sz w:val="18"/>
          <w:szCs w:val="18"/>
        </w:rPr>
        <w:t>c</w:t>
      </w:r>
      <w:r w:rsidR="00F9373B">
        <w:rPr>
          <w:sz w:val="18"/>
          <w:szCs w:val="18"/>
        </w:rPr>
        <w:t xml:space="preserve">ystic </w:t>
      </w:r>
      <w:r w:rsidR="00D06FEE">
        <w:rPr>
          <w:sz w:val="18"/>
          <w:szCs w:val="18"/>
        </w:rPr>
        <w:t>f</w:t>
      </w:r>
      <w:r w:rsidR="00F9373B">
        <w:rPr>
          <w:sz w:val="18"/>
          <w:szCs w:val="18"/>
        </w:rPr>
        <w:t xml:space="preserve">ibrosis </w:t>
      </w:r>
      <w:r w:rsidR="00D06FEE">
        <w:rPr>
          <w:sz w:val="18"/>
          <w:szCs w:val="18"/>
        </w:rPr>
        <w:t>t</w:t>
      </w:r>
      <w:r w:rsidR="00F9373B">
        <w:rPr>
          <w:sz w:val="18"/>
          <w:szCs w:val="18"/>
        </w:rPr>
        <w:t xml:space="preserve">ransmembrane conductance </w:t>
      </w:r>
      <w:r w:rsidR="00D06FEE">
        <w:rPr>
          <w:sz w:val="18"/>
          <w:szCs w:val="18"/>
        </w:rPr>
        <w:t>r</w:t>
      </w:r>
      <w:r w:rsidR="00F9373B">
        <w:rPr>
          <w:sz w:val="18"/>
          <w:szCs w:val="18"/>
        </w:rPr>
        <w:t>egulator;</w:t>
      </w:r>
      <w:r w:rsidR="001E55A8">
        <w:rPr>
          <w:sz w:val="18"/>
          <w:szCs w:val="18"/>
        </w:rPr>
        <w:t xml:space="preserve"> MBS = Medicare Benefits Schedule</w:t>
      </w:r>
    </w:p>
    <w:p w14:paraId="17573ED2" w14:textId="7DBE8030" w:rsidR="001E55A8" w:rsidRDefault="001E55A8" w:rsidP="00E06D2D">
      <w:pPr>
        <w:spacing w:before="240"/>
      </w:pPr>
      <w:r>
        <w:t xml:space="preserve">As the proposed </w:t>
      </w:r>
      <w:r w:rsidR="00E94643" w:rsidRPr="00FD37D3">
        <w:t>CFTR</w:t>
      </w:r>
      <w:r w:rsidR="00E94643">
        <w:t xml:space="preserve"> mutation testing </w:t>
      </w:r>
      <w:r>
        <w:t xml:space="preserve">listing does not attempt to change existing clinical practice, the net cost effect should be zero. The net cost implication to government health budgets reflects the expected savings in out-of-pocket costs for patients (as presented in </w:t>
      </w:r>
      <w:r>
        <w:fldChar w:fldCharType="begin"/>
      </w:r>
      <w:r>
        <w:instrText xml:space="preserve"> REF _Ref413932079 \h </w:instrText>
      </w:r>
      <w:r>
        <w:fldChar w:fldCharType="separate"/>
      </w:r>
      <w:r w:rsidR="00BB0E3E">
        <w:t xml:space="preserve">Table </w:t>
      </w:r>
      <w:r w:rsidR="00BB0E3E">
        <w:rPr>
          <w:noProof/>
        </w:rPr>
        <w:t>81</w:t>
      </w:r>
      <w:r>
        <w:fldChar w:fldCharType="end"/>
      </w:r>
      <w:r>
        <w:t>).</w:t>
      </w:r>
    </w:p>
    <w:p w14:paraId="0911C134" w14:textId="1671C46A" w:rsidR="001E55A8" w:rsidRDefault="001E55A8" w:rsidP="001E55A8">
      <w:pPr>
        <w:pStyle w:val="Caption"/>
      </w:pPr>
      <w:bookmarkStart w:id="453" w:name="_Ref413932079"/>
      <w:bookmarkStart w:id="454" w:name="_Toc416855374"/>
      <w:bookmarkStart w:id="455" w:name="_Toc418179478"/>
      <w:r>
        <w:t xml:space="preserve">Table </w:t>
      </w:r>
      <w:fldSimple w:instr=" SEQ Table \* ARABIC ">
        <w:r w:rsidR="00BB0E3E">
          <w:rPr>
            <w:noProof/>
          </w:rPr>
          <w:t>81</w:t>
        </w:r>
      </w:fldSimple>
      <w:bookmarkEnd w:id="453"/>
      <w:r>
        <w:tab/>
        <w:t>Estimated net</w:t>
      </w:r>
      <w:r w:rsidRPr="00183E4D">
        <w:t xml:space="preserve"> </w:t>
      </w:r>
      <w:r w:rsidR="00E94643">
        <w:t>savings</w:t>
      </w:r>
      <w:r w:rsidR="00E94643" w:rsidRPr="00183E4D">
        <w:t xml:space="preserve"> </w:t>
      </w:r>
      <w:r w:rsidRPr="00183E4D">
        <w:t xml:space="preserve">to </w:t>
      </w:r>
      <w:r>
        <w:t xml:space="preserve">patients </w:t>
      </w:r>
      <w:r w:rsidRPr="00183E4D">
        <w:t xml:space="preserve">associated with </w:t>
      </w:r>
      <w:r>
        <w:t xml:space="preserve">MBS funding of </w:t>
      </w:r>
      <w:r w:rsidR="00FD37D3" w:rsidRPr="00FD37D3">
        <w:t>CFTR</w:t>
      </w:r>
      <w:r>
        <w:t xml:space="preserve"> mutation testing</w:t>
      </w:r>
      <w:bookmarkEnd w:id="454"/>
      <w:r>
        <w:t>, 2015–19</w:t>
      </w:r>
      <w:bookmarkEnd w:id="455"/>
    </w:p>
    <w:tbl>
      <w:tblPr>
        <w:tblStyle w:val="TableGrid1"/>
        <w:tblW w:w="4819" w:type="pct"/>
        <w:tblLayout w:type="fixed"/>
        <w:tblLook w:val="04A0" w:firstRow="1" w:lastRow="0" w:firstColumn="1" w:lastColumn="0" w:noHBand="0" w:noVBand="1"/>
        <w:tblCaption w:val="Table 25 Total costs to the MBS associated with MBS funding of CFTR mutation testing"/>
        <w:tblDescription w:val="This table provides a summary of the financial impact of the proposed new medical service over the next 5 years."/>
      </w:tblPr>
      <w:tblGrid>
        <w:gridCol w:w="2694"/>
        <w:gridCol w:w="1242"/>
        <w:gridCol w:w="1243"/>
        <w:gridCol w:w="1242"/>
        <w:gridCol w:w="1243"/>
        <w:gridCol w:w="1243"/>
      </w:tblGrid>
      <w:tr w:rsidR="001E55A8" w:rsidRPr="00183E4D" w14:paraId="3ADC64A5" w14:textId="77777777" w:rsidTr="00447183">
        <w:trPr>
          <w:cnfStyle w:val="100000000000" w:firstRow="1" w:lastRow="0" w:firstColumn="0" w:lastColumn="0" w:oddVBand="0" w:evenVBand="0" w:oddHBand="0" w:evenHBand="0" w:firstRowFirstColumn="0" w:firstRowLastColumn="0" w:lastRowFirstColumn="0" w:lastRowLastColumn="0"/>
          <w:trHeight w:val="300"/>
          <w:tblHeader/>
        </w:trPr>
        <w:tc>
          <w:tcPr>
            <w:tcW w:w="1512" w:type="pct"/>
          </w:tcPr>
          <w:p w14:paraId="092DA33D" w14:textId="77777777" w:rsidR="001E55A8" w:rsidRPr="00183E4D" w:rsidRDefault="001E55A8" w:rsidP="005B7F97">
            <w:pPr>
              <w:keepNext/>
              <w:tabs>
                <w:tab w:val="left" w:pos="851"/>
              </w:tabs>
              <w:spacing w:after="40" w:line="240" w:lineRule="auto"/>
              <w:rPr>
                <w:rFonts w:ascii="Arial Narrow" w:hAnsi="Arial Narrow"/>
                <w:b/>
                <w:sz w:val="20"/>
                <w:szCs w:val="20"/>
              </w:rPr>
            </w:pPr>
            <w:r w:rsidRPr="00183E4D">
              <w:rPr>
                <w:rFonts w:ascii="Arial Narrow" w:hAnsi="Arial Narrow"/>
                <w:b/>
                <w:color w:val="FFFFFF" w:themeColor="background1"/>
                <w:sz w:val="20"/>
                <w:szCs w:val="20"/>
              </w:rPr>
              <w:t>-</w:t>
            </w:r>
          </w:p>
        </w:tc>
        <w:tc>
          <w:tcPr>
            <w:tcW w:w="697" w:type="pct"/>
          </w:tcPr>
          <w:p w14:paraId="36DC093E" w14:textId="77777777" w:rsidR="001E55A8" w:rsidRPr="00F515FA" w:rsidRDefault="001E55A8" w:rsidP="005B7F97">
            <w:pPr>
              <w:pStyle w:val="Caption"/>
              <w:jc w:val="center"/>
              <w:rPr>
                <w:szCs w:val="20"/>
              </w:rPr>
            </w:pPr>
            <w:r w:rsidRPr="00F515FA">
              <w:rPr>
                <w:szCs w:val="20"/>
              </w:rPr>
              <w:t>2015</w:t>
            </w:r>
          </w:p>
        </w:tc>
        <w:tc>
          <w:tcPr>
            <w:tcW w:w="698" w:type="pct"/>
          </w:tcPr>
          <w:p w14:paraId="325B5E33" w14:textId="77777777" w:rsidR="001E55A8" w:rsidRPr="00F515FA" w:rsidRDefault="001E55A8" w:rsidP="005B7F97">
            <w:pPr>
              <w:pStyle w:val="Caption"/>
              <w:jc w:val="center"/>
              <w:rPr>
                <w:szCs w:val="20"/>
              </w:rPr>
            </w:pPr>
            <w:r w:rsidRPr="00F515FA">
              <w:rPr>
                <w:szCs w:val="20"/>
              </w:rPr>
              <w:t>2016</w:t>
            </w:r>
          </w:p>
        </w:tc>
        <w:tc>
          <w:tcPr>
            <w:tcW w:w="697" w:type="pct"/>
          </w:tcPr>
          <w:p w14:paraId="763999B9" w14:textId="77777777" w:rsidR="001E55A8" w:rsidRPr="00F515FA" w:rsidRDefault="001E55A8" w:rsidP="005B7F97">
            <w:pPr>
              <w:pStyle w:val="Caption"/>
              <w:jc w:val="center"/>
              <w:rPr>
                <w:szCs w:val="20"/>
              </w:rPr>
            </w:pPr>
            <w:r w:rsidRPr="00F515FA">
              <w:rPr>
                <w:szCs w:val="20"/>
              </w:rPr>
              <w:t>2017</w:t>
            </w:r>
          </w:p>
        </w:tc>
        <w:tc>
          <w:tcPr>
            <w:tcW w:w="698" w:type="pct"/>
          </w:tcPr>
          <w:p w14:paraId="1ACB4E30" w14:textId="77777777" w:rsidR="001E55A8" w:rsidRPr="00F515FA" w:rsidRDefault="001E55A8" w:rsidP="005B7F97">
            <w:pPr>
              <w:pStyle w:val="Caption"/>
              <w:jc w:val="center"/>
              <w:rPr>
                <w:szCs w:val="20"/>
              </w:rPr>
            </w:pPr>
            <w:r w:rsidRPr="00F515FA">
              <w:rPr>
                <w:szCs w:val="20"/>
              </w:rPr>
              <w:t>2018</w:t>
            </w:r>
          </w:p>
        </w:tc>
        <w:tc>
          <w:tcPr>
            <w:tcW w:w="698" w:type="pct"/>
          </w:tcPr>
          <w:p w14:paraId="04834435" w14:textId="77777777" w:rsidR="001E55A8" w:rsidRPr="00F515FA" w:rsidRDefault="001E55A8" w:rsidP="005B7F97">
            <w:pPr>
              <w:pStyle w:val="Caption"/>
              <w:jc w:val="center"/>
              <w:rPr>
                <w:szCs w:val="20"/>
              </w:rPr>
            </w:pPr>
            <w:r w:rsidRPr="00F515FA">
              <w:rPr>
                <w:szCs w:val="20"/>
              </w:rPr>
              <w:t>2019</w:t>
            </w:r>
          </w:p>
        </w:tc>
      </w:tr>
      <w:tr w:rsidR="001E55A8" w:rsidRPr="00183E4D" w14:paraId="1CA47078" w14:textId="77777777" w:rsidTr="0042252D">
        <w:trPr>
          <w:trHeight w:val="315"/>
        </w:trPr>
        <w:tc>
          <w:tcPr>
            <w:tcW w:w="1512" w:type="pct"/>
          </w:tcPr>
          <w:p w14:paraId="340DDB0B" w14:textId="2963826B" w:rsidR="001E55A8" w:rsidRPr="00CB4E1F" w:rsidRDefault="001E55A8" w:rsidP="005B7F97">
            <w:pPr>
              <w:keepNext/>
              <w:widowControl w:val="0"/>
              <w:spacing w:after="40" w:line="240" w:lineRule="auto"/>
              <w:rPr>
                <w:rFonts w:ascii="Arial Narrow" w:hAnsi="Arial Narrow"/>
                <w:i/>
                <w:sz w:val="20"/>
                <w:szCs w:val="20"/>
              </w:rPr>
            </w:pPr>
            <w:r w:rsidRPr="00CB4E1F">
              <w:rPr>
                <w:rFonts w:ascii="Arial Narrow" w:hAnsi="Arial Narrow"/>
                <w:i/>
                <w:sz w:val="20"/>
                <w:szCs w:val="20"/>
              </w:rPr>
              <w:t xml:space="preserve">MBS </w:t>
            </w:r>
            <w:r w:rsidR="00FD37D3" w:rsidRPr="00FD37D3">
              <w:rPr>
                <w:rFonts w:ascii="Arial Narrow" w:hAnsi="Arial Narrow"/>
                <w:sz w:val="20"/>
                <w:szCs w:val="20"/>
              </w:rPr>
              <w:t>CFTR</w:t>
            </w:r>
            <w:r w:rsidRPr="00CB4E1F">
              <w:rPr>
                <w:rFonts w:ascii="Arial Narrow" w:hAnsi="Arial Narrow"/>
                <w:i/>
                <w:sz w:val="20"/>
                <w:szCs w:val="20"/>
              </w:rPr>
              <w:t xml:space="preserve"> funding</w:t>
            </w:r>
          </w:p>
        </w:tc>
        <w:tc>
          <w:tcPr>
            <w:tcW w:w="697" w:type="pct"/>
          </w:tcPr>
          <w:p w14:paraId="12990B51" w14:textId="77777777" w:rsidR="001E55A8" w:rsidRPr="00C7140E" w:rsidRDefault="001E55A8" w:rsidP="005B7F97">
            <w:pPr>
              <w:pStyle w:val="Tabletext1"/>
              <w:jc w:val="right"/>
            </w:pPr>
            <w:r w:rsidRPr="00E10276">
              <w:rPr>
                <w:color w:val="FFFFFF" w:themeColor="background1"/>
              </w:rPr>
              <w:t>-</w:t>
            </w:r>
          </w:p>
        </w:tc>
        <w:tc>
          <w:tcPr>
            <w:tcW w:w="698" w:type="pct"/>
          </w:tcPr>
          <w:p w14:paraId="1453DF7F" w14:textId="77777777" w:rsidR="001E55A8" w:rsidRPr="00C7140E" w:rsidRDefault="001E55A8" w:rsidP="005B7F97">
            <w:pPr>
              <w:pStyle w:val="Tabletext1"/>
              <w:jc w:val="right"/>
            </w:pPr>
            <w:r w:rsidRPr="00E10276">
              <w:rPr>
                <w:color w:val="FFFFFF" w:themeColor="background1"/>
              </w:rPr>
              <w:t>-</w:t>
            </w:r>
          </w:p>
        </w:tc>
        <w:tc>
          <w:tcPr>
            <w:tcW w:w="697" w:type="pct"/>
          </w:tcPr>
          <w:p w14:paraId="70B1C009" w14:textId="77777777" w:rsidR="001E55A8" w:rsidRPr="00C7140E" w:rsidRDefault="001E55A8" w:rsidP="005B7F97">
            <w:pPr>
              <w:pStyle w:val="Tabletext1"/>
              <w:jc w:val="right"/>
            </w:pPr>
            <w:r w:rsidRPr="00E10276">
              <w:rPr>
                <w:color w:val="FFFFFF" w:themeColor="background1"/>
              </w:rPr>
              <w:t>-</w:t>
            </w:r>
          </w:p>
        </w:tc>
        <w:tc>
          <w:tcPr>
            <w:tcW w:w="698" w:type="pct"/>
          </w:tcPr>
          <w:p w14:paraId="6E20FC3F" w14:textId="77777777" w:rsidR="001E55A8" w:rsidRPr="00C7140E" w:rsidRDefault="001E55A8" w:rsidP="005B7F97">
            <w:pPr>
              <w:pStyle w:val="Tabletext1"/>
              <w:jc w:val="right"/>
            </w:pPr>
            <w:r w:rsidRPr="00E10276">
              <w:rPr>
                <w:color w:val="FFFFFF" w:themeColor="background1"/>
              </w:rPr>
              <w:t>-</w:t>
            </w:r>
          </w:p>
        </w:tc>
        <w:tc>
          <w:tcPr>
            <w:tcW w:w="698" w:type="pct"/>
          </w:tcPr>
          <w:p w14:paraId="0279FB25" w14:textId="77777777" w:rsidR="001E55A8" w:rsidRPr="00C7140E" w:rsidRDefault="001E55A8" w:rsidP="005B7F97">
            <w:pPr>
              <w:pStyle w:val="Tabletext1"/>
              <w:jc w:val="right"/>
            </w:pPr>
            <w:r w:rsidRPr="00E10276">
              <w:rPr>
                <w:color w:val="FFFFFF" w:themeColor="background1"/>
              </w:rPr>
              <w:t>-</w:t>
            </w:r>
          </w:p>
        </w:tc>
      </w:tr>
      <w:tr w:rsidR="001E55A8" w:rsidRPr="00183E4D" w14:paraId="53645354" w14:textId="77777777" w:rsidTr="0042252D">
        <w:trPr>
          <w:trHeight w:val="315"/>
        </w:trPr>
        <w:tc>
          <w:tcPr>
            <w:tcW w:w="1512" w:type="pct"/>
          </w:tcPr>
          <w:p w14:paraId="6B7B5DA5" w14:textId="77777777" w:rsidR="001E55A8" w:rsidRDefault="001E55A8" w:rsidP="005B7F97">
            <w:pPr>
              <w:widowControl w:val="0"/>
              <w:spacing w:after="40" w:line="240" w:lineRule="auto"/>
              <w:rPr>
                <w:rFonts w:ascii="Arial Narrow" w:hAnsi="Arial Narrow"/>
                <w:sz w:val="20"/>
                <w:szCs w:val="20"/>
              </w:rPr>
            </w:pPr>
            <w:r>
              <w:rPr>
                <w:rFonts w:ascii="Arial Narrow" w:hAnsi="Arial Narrow"/>
                <w:sz w:val="20"/>
                <w:szCs w:val="20"/>
              </w:rPr>
              <w:t>Patient contribution</w:t>
            </w:r>
            <w:r>
              <w:rPr>
                <w:sz w:val="20"/>
                <w:szCs w:val="20"/>
                <w:vertAlign w:val="superscript"/>
              </w:rPr>
              <w:t xml:space="preserve"> </w:t>
            </w:r>
            <w:r w:rsidRPr="00BE394D">
              <w:rPr>
                <w:sz w:val="20"/>
                <w:szCs w:val="20"/>
                <w:vertAlign w:val="superscript"/>
              </w:rPr>
              <w:t>a</w:t>
            </w:r>
          </w:p>
        </w:tc>
        <w:tc>
          <w:tcPr>
            <w:tcW w:w="697" w:type="pct"/>
          </w:tcPr>
          <w:p w14:paraId="76C480AB" w14:textId="77777777" w:rsidR="001E55A8" w:rsidRPr="00C105C3" w:rsidRDefault="001E55A8" w:rsidP="004566DC">
            <w:pPr>
              <w:pStyle w:val="Tabletext1"/>
              <w:tabs>
                <w:tab w:val="decimal" w:pos="884"/>
              </w:tabs>
              <w:jc w:val="left"/>
            </w:pPr>
            <w:r w:rsidRPr="00047E2E">
              <w:t>$318,869</w:t>
            </w:r>
          </w:p>
        </w:tc>
        <w:tc>
          <w:tcPr>
            <w:tcW w:w="698" w:type="pct"/>
          </w:tcPr>
          <w:p w14:paraId="6B891887" w14:textId="77777777" w:rsidR="001E55A8" w:rsidRPr="00C105C3" w:rsidRDefault="001E55A8" w:rsidP="004566DC">
            <w:pPr>
              <w:pStyle w:val="Tabletext1"/>
              <w:tabs>
                <w:tab w:val="decimal" w:pos="884"/>
              </w:tabs>
              <w:jc w:val="left"/>
            </w:pPr>
            <w:r w:rsidRPr="00047E2E">
              <w:t>$366,700</w:t>
            </w:r>
          </w:p>
        </w:tc>
        <w:tc>
          <w:tcPr>
            <w:tcW w:w="697" w:type="pct"/>
          </w:tcPr>
          <w:p w14:paraId="057EEF5A" w14:textId="77777777" w:rsidR="001E55A8" w:rsidRPr="00C105C3" w:rsidRDefault="001E55A8" w:rsidP="004566DC">
            <w:pPr>
              <w:pStyle w:val="Tabletext1"/>
              <w:tabs>
                <w:tab w:val="decimal" w:pos="884"/>
              </w:tabs>
              <w:jc w:val="left"/>
            </w:pPr>
            <w:r w:rsidRPr="00047E2E">
              <w:t>$421,705</w:t>
            </w:r>
          </w:p>
        </w:tc>
        <w:tc>
          <w:tcPr>
            <w:tcW w:w="698" w:type="pct"/>
          </w:tcPr>
          <w:p w14:paraId="71B1105B" w14:textId="77777777" w:rsidR="001E55A8" w:rsidRPr="00C105C3" w:rsidRDefault="001E55A8" w:rsidP="004566DC">
            <w:pPr>
              <w:pStyle w:val="Tabletext1"/>
              <w:tabs>
                <w:tab w:val="decimal" w:pos="884"/>
              </w:tabs>
              <w:jc w:val="left"/>
            </w:pPr>
            <w:r w:rsidRPr="00047E2E">
              <w:t>$484,960</w:t>
            </w:r>
          </w:p>
        </w:tc>
        <w:tc>
          <w:tcPr>
            <w:tcW w:w="698" w:type="pct"/>
          </w:tcPr>
          <w:p w14:paraId="30CD69E5" w14:textId="77777777" w:rsidR="001E55A8" w:rsidRPr="00C105C3" w:rsidRDefault="001E55A8" w:rsidP="004566DC">
            <w:pPr>
              <w:pStyle w:val="Tabletext1"/>
              <w:tabs>
                <w:tab w:val="decimal" w:pos="884"/>
              </w:tabs>
              <w:jc w:val="left"/>
            </w:pPr>
            <w:r w:rsidRPr="00047E2E">
              <w:t>$557,705</w:t>
            </w:r>
          </w:p>
        </w:tc>
      </w:tr>
      <w:tr w:rsidR="001E55A8" w:rsidRPr="00183E4D" w14:paraId="5894AE6B" w14:textId="77777777" w:rsidTr="0042252D">
        <w:trPr>
          <w:trHeight w:val="315"/>
        </w:trPr>
        <w:tc>
          <w:tcPr>
            <w:tcW w:w="1512" w:type="pct"/>
          </w:tcPr>
          <w:p w14:paraId="4ADD8EE3" w14:textId="698F1EE1" w:rsidR="001E55A8" w:rsidRPr="00CB4E1F" w:rsidRDefault="001E55A8" w:rsidP="005B7F97">
            <w:pPr>
              <w:keepNext/>
              <w:widowControl w:val="0"/>
              <w:spacing w:after="40" w:line="240" w:lineRule="auto"/>
              <w:rPr>
                <w:rFonts w:ascii="Arial Narrow" w:hAnsi="Arial Narrow"/>
                <w:i/>
                <w:sz w:val="20"/>
                <w:szCs w:val="20"/>
              </w:rPr>
            </w:pPr>
            <w:r w:rsidRPr="00CB4E1F">
              <w:rPr>
                <w:rFonts w:ascii="Arial Narrow" w:hAnsi="Arial Narrow"/>
                <w:i/>
                <w:sz w:val="20"/>
                <w:szCs w:val="20"/>
              </w:rPr>
              <w:t xml:space="preserve">Current </w:t>
            </w:r>
            <w:r w:rsidR="00FD37D3" w:rsidRPr="00FD37D3">
              <w:rPr>
                <w:rFonts w:ascii="Arial Narrow" w:hAnsi="Arial Narrow"/>
                <w:sz w:val="20"/>
                <w:szCs w:val="20"/>
              </w:rPr>
              <w:t>CFTR</w:t>
            </w:r>
            <w:r w:rsidRPr="00CB4E1F">
              <w:rPr>
                <w:rFonts w:ascii="Arial Narrow" w:hAnsi="Arial Narrow"/>
                <w:i/>
                <w:sz w:val="20"/>
                <w:szCs w:val="20"/>
              </w:rPr>
              <w:t xml:space="preserve"> funding</w:t>
            </w:r>
          </w:p>
        </w:tc>
        <w:tc>
          <w:tcPr>
            <w:tcW w:w="697" w:type="pct"/>
          </w:tcPr>
          <w:p w14:paraId="30BF7E58" w14:textId="77777777" w:rsidR="001E55A8" w:rsidRPr="00C7140E" w:rsidRDefault="001E55A8" w:rsidP="004566DC">
            <w:pPr>
              <w:pStyle w:val="Tabletext1"/>
              <w:tabs>
                <w:tab w:val="decimal" w:pos="884"/>
              </w:tabs>
              <w:jc w:val="left"/>
            </w:pPr>
            <w:r w:rsidRPr="00E10276">
              <w:rPr>
                <w:color w:val="FFFFFF" w:themeColor="background1"/>
              </w:rPr>
              <w:t>-</w:t>
            </w:r>
          </w:p>
        </w:tc>
        <w:tc>
          <w:tcPr>
            <w:tcW w:w="698" w:type="pct"/>
          </w:tcPr>
          <w:p w14:paraId="3D5ED4AE" w14:textId="77777777" w:rsidR="001E55A8" w:rsidRPr="00C7140E" w:rsidRDefault="001E55A8" w:rsidP="004566DC">
            <w:pPr>
              <w:pStyle w:val="Tabletext1"/>
              <w:tabs>
                <w:tab w:val="decimal" w:pos="884"/>
              </w:tabs>
              <w:jc w:val="left"/>
            </w:pPr>
            <w:r w:rsidRPr="00E10276">
              <w:rPr>
                <w:color w:val="FFFFFF" w:themeColor="background1"/>
              </w:rPr>
              <w:t>-</w:t>
            </w:r>
          </w:p>
        </w:tc>
        <w:tc>
          <w:tcPr>
            <w:tcW w:w="697" w:type="pct"/>
          </w:tcPr>
          <w:p w14:paraId="7A11E176" w14:textId="77777777" w:rsidR="001E55A8" w:rsidRPr="00C7140E" w:rsidRDefault="001E55A8" w:rsidP="004566DC">
            <w:pPr>
              <w:pStyle w:val="Tabletext1"/>
              <w:tabs>
                <w:tab w:val="decimal" w:pos="884"/>
              </w:tabs>
              <w:jc w:val="left"/>
            </w:pPr>
            <w:r w:rsidRPr="00E10276">
              <w:rPr>
                <w:color w:val="FFFFFF" w:themeColor="background1"/>
              </w:rPr>
              <w:t>-</w:t>
            </w:r>
          </w:p>
        </w:tc>
        <w:tc>
          <w:tcPr>
            <w:tcW w:w="698" w:type="pct"/>
          </w:tcPr>
          <w:p w14:paraId="1B036C4C" w14:textId="77777777" w:rsidR="001E55A8" w:rsidRPr="00C7140E" w:rsidRDefault="001E55A8" w:rsidP="004566DC">
            <w:pPr>
              <w:pStyle w:val="Tabletext1"/>
              <w:tabs>
                <w:tab w:val="decimal" w:pos="884"/>
              </w:tabs>
              <w:jc w:val="left"/>
            </w:pPr>
            <w:r w:rsidRPr="00E10276">
              <w:rPr>
                <w:color w:val="FFFFFF" w:themeColor="background1"/>
              </w:rPr>
              <w:t>-</w:t>
            </w:r>
          </w:p>
        </w:tc>
        <w:tc>
          <w:tcPr>
            <w:tcW w:w="698" w:type="pct"/>
          </w:tcPr>
          <w:p w14:paraId="6D5E5FF8" w14:textId="77777777" w:rsidR="001E55A8" w:rsidRPr="00C7140E" w:rsidRDefault="001E55A8" w:rsidP="004566DC">
            <w:pPr>
              <w:pStyle w:val="Tabletext1"/>
              <w:tabs>
                <w:tab w:val="decimal" w:pos="884"/>
              </w:tabs>
              <w:jc w:val="left"/>
            </w:pPr>
            <w:r w:rsidRPr="00E10276">
              <w:rPr>
                <w:color w:val="FFFFFF" w:themeColor="background1"/>
              </w:rPr>
              <w:t>-</w:t>
            </w:r>
          </w:p>
        </w:tc>
      </w:tr>
      <w:tr w:rsidR="001E55A8" w:rsidRPr="00183E4D" w14:paraId="2DB17AF2" w14:textId="77777777" w:rsidTr="0042252D">
        <w:trPr>
          <w:trHeight w:val="315"/>
        </w:trPr>
        <w:tc>
          <w:tcPr>
            <w:tcW w:w="1512" w:type="pct"/>
          </w:tcPr>
          <w:p w14:paraId="5AF42C7D" w14:textId="77777777" w:rsidR="001E55A8" w:rsidRPr="00C7140E" w:rsidRDefault="001E55A8" w:rsidP="005B7F97">
            <w:pPr>
              <w:keepNext/>
              <w:widowControl w:val="0"/>
              <w:spacing w:after="40" w:line="240" w:lineRule="auto"/>
              <w:rPr>
                <w:rFonts w:ascii="Arial Narrow" w:hAnsi="Arial Narrow"/>
                <w:sz w:val="20"/>
                <w:szCs w:val="20"/>
              </w:rPr>
            </w:pPr>
            <w:r w:rsidRPr="00C7140E">
              <w:rPr>
                <w:rFonts w:ascii="Arial Narrow" w:hAnsi="Arial Narrow"/>
                <w:sz w:val="20"/>
                <w:szCs w:val="20"/>
              </w:rPr>
              <w:t>Total cost</w:t>
            </w:r>
            <w:r>
              <w:rPr>
                <w:rFonts w:ascii="Arial Narrow" w:hAnsi="Arial Narrow"/>
                <w:sz w:val="20"/>
                <w:szCs w:val="20"/>
              </w:rPr>
              <w:t xml:space="preserve"> of current testing</w:t>
            </w:r>
          </w:p>
        </w:tc>
        <w:tc>
          <w:tcPr>
            <w:tcW w:w="697" w:type="pct"/>
          </w:tcPr>
          <w:p w14:paraId="645BADA5" w14:textId="77777777" w:rsidR="001E55A8" w:rsidRPr="006E2A2E" w:rsidRDefault="001E55A8" w:rsidP="004566DC">
            <w:pPr>
              <w:pStyle w:val="Tabletext1"/>
              <w:tabs>
                <w:tab w:val="decimal" w:pos="884"/>
              </w:tabs>
              <w:jc w:val="left"/>
            </w:pPr>
            <w:r w:rsidRPr="00047E2E">
              <w:t>$2,125,796</w:t>
            </w:r>
          </w:p>
        </w:tc>
        <w:tc>
          <w:tcPr>
            <w:tcW w:w="698" w:type="pct"/>
          </w:tcPr>
          <w:p w14:paraId="2C2184E9" w14:textId="77777777" w:rsidR="001E55A8" w:rsidRPr="006E2A2E" w:rsidRDefault="001E55A8" w:rsidP="004566DC">
            <w:pPr>
              <w:pStyle w:val="Tabletext1"/>
              <w:tabs>
                <w:tab w:val="decimal" w:pos="884"/>
              </w:tabs>
              <w:jc w:val="left"/>
            </w:pPr>
            <w:r w:rsidRPr="00047E2E">
              <w:t>$2,444,665</w:t>
            </w:r>
          </w:p>
        </w:tc>
        <w:tc>
          <w:tcPr>
            <w:tcW w:w="697" w:type="pct"/>
          </w:tcPr>
          <w:p w14:paraId="1CF49CB0" w14:textId="77777777" w:rsidR="001E55A8" w:rsidRPr="006E2A2E" w:rsidRDefault="001E55A8" w:rsidP="004566DC">
            <w:pPr>
              <w:pStyle w:val="Tabletext1"/>
              <w:tabs>
                <w:tab w:val="decimal" w:pos="884"/>
              </w:tabs>
              <w:jc w:val="left"/>
            </w:pPr>
            <w:r w:rsidRPr="00047E2E">
              <w:t>$2,811,365</w:t>
            </w:r>
          </w:p>
        </w:tc>
        <w:tc>
          <w:tcPr>
            <w:tcW w:w="698" w:type="pct"/>
          </w:tcPr>
          <w:p w14:paraId="6F2BCEB2" w14:textId="77777777" w:rsidR="001E55A8" w:rsidRPr="006E2A2E" w:rsidRDefault="001E55A8" w:rsidP="004566DC">
            <w:pPr>
              <w:pStyle w:val="Tabletext1"/>
              <w:tabs>
                <w:tab w:val="decimal" w:pos="884"/>
              </w:tabs>
              <w:jc w:val="left"/>
            </w:pPr>
            <w:r w:rsidRPr="00047E2E">
              <w:t>$3,233,070</w:t>
            </w:r>
          </w:p>
        </w:tc>
        <w:tc>
          <w:tcPr>
            <w:tcW w:w="698" w:type="pct"/>
          </w:tcPr>
          <w:p w14:paraId="7EA57CCB" w14:textId="77777777" w:rsidR="001E55A8" w:rsidRPr="006E2A2E" w:rsidRDefault="001E55A8" w:rsidP="004566DC">
            <w:pPr>
              <w:pStyle w:val="Tabletext1"/>
              <w:tabs>
                <w:tab w:val="decimal" w:pos="884"/>
              </w:tabs>
              <w:jc w:val="left"/>
            </w:pPr>
            <w:r w:rsidRPr="00047E2E">
              <w:t>$3,718,030</w:t>
            </w:r>
          </w:p>
        </w:tc>
      </w:tr>
      <w:tr w:rsidR="001E55A8" w:rsidRPr="00183E4D" w14:paraId="778AC66A" w14:textId="77777777" w:rsidTr="0042252D">
        <w:trPr>
          <w:trHeight w:val="315"/>
        </w:trPr>
        <w:tc>
          <w:tcPr>
            <w:tcW w:w="1512" w:type="pct"/>
          </w:tcPr>
          <w:p w14:paraId="0CC671DB" w14:textId="0DC7A28E" w:rsidR="001E55A8" w:rsidRPr="00E10276" w:rsidRDefault="001E55A8" w:rsidP="005B7F97">
            <w:pPr>
              <w:pStyle w:val="Tabletext1"/>
            </w:pPr>
            <w:r>
              <w:t>C</w:t>
            </w:r>
            <w:r w:rsidRPr="00E10276">
              <w:t xml:space="preserve">ost </w:t>
            </w:r>
            <w:r>
              <w:t>borne</w:t>
            </w:r>
            <w:r w:rsidRPr="00E10276">
              <w:t xml:space="preserve"> by </w:t>
            </w:r>
            <w:r w:rsidR="00FE00A1">
              <w:t>s</w:t>
            </w:r>
            <w:r w:rsidRPr="00E10276">
              <w:t>tate</w:t>
            </w:r>
            <w:r w:rsidR="00FE00A1">
              <w:t>s</w:t>
            </w:r>
            <w:r w:rsidRPr="00E10276">
              <w:t>/</w:t>
            </w:r>
            <w:r w:rsidR="00FE00A1">
              <w:t>t</w:t>
            </w:r>
            <w:r w:rsidRPr="00E10276">
              <w:t>erritories</w:t>
            </w:r>
          </w:p>
        </w:tc>
        <w:tc>
          <w:tcPr>
            <w:tcW w:w="697" w:type="pct"/>
          </w:tcPr>
          <w:p w14:paraId="340A8D2A" w14:textId="77777777" w:rsidR="001E55A8" w:rsidRPr="004C7205" w:rsidRDefault="001E55A8" w:rsidP="004566DC">
            <w:pPr>
              <w:pStyle w:val="Tabletext1"/>
              <w:tabs>
                <w:tab w:val="decimal" w:pos="884"/>
              </w:tabs>
              <w:jc w:val="left"/>
            </w:pPr>
            <w:r w:rsidRPr="003D5E01">
              <w:t>$969,726</w:t>
            </w:r>
          </w:p>
        </w:tc>
        <w:tc>
          <w:tcPr>
            <w:tcW w:w="698" w:type="pct"/>
          </w:tcPr>
          <w:p w14:paraId="13D65D5A" w14:textId="77777777" w:rsidR="001E55A8" w:rsidRPr="004C7205" w:rsidRDefault="001E55A8" w:rsidP="004566DC">
            <w:pPr>
              <w:pStyle w:val="Tabletext1"/>
              <w:tabs>
                <w:tab w:val="decimal" w:pos="884"/>
              </w:tabs>
              <w:jc w:val="left"/>
            </w:pPr>
            <w:r w:rsidRPr="003D5E01">
              <w:t>$1,115,184</w:t>
            </w:r>
          </w:p>
        </w:tc>
        <w:tc>
          <w:tcPr>
            <w:tcW w:w="697" w:type="pct"/>
          </w:tcPr>
          <w:p w14:paraId="21C7F80D" w14:textId="77777777" w:rsidR="001E55A8" w:rsidRPr="004C7205" w:rsidRDefault="001E55A8" w:rsidP="004566DC">
            <w:pPr>
              <w:pStyle w:val="Tabletext1"/>
              <w:tabs>
                <w:tab w:val="decimal" w:pos="884"/>
              </w:tabs>
              <w:jc w:val="left"/>
            </w:pPr>
            <w:r w:rsidRPr="003D5E01">
              <w:t>$1,282,462</w:t>
            </w:r>
          </w:p>
        </w:tc>
        <w:tc>
          <w:tcPr>
            <w:tcW w:w="698" w:type="pct"/>
          </w:tcPr>
          <w:p w14:paraId="0F83C099" w14:textId="77777777" w:rsidR="001E55A8" w:rsidRPr="004C7205" w:rsidRDefault="001E55A8" w:rsidP="004566DC">
            <w:pPr>
              <w:pStyle w:val="Tabletext1"/>
              <w:tabs>
                <w:tab w:val="decimal" w:pos="884"/>
              </w:tabs>
              <w:jc w:val="left"/>
            </w:pPr>
            <w:r w:rsidRPr="003D5E01">
              <w:t>$1,474,831</w:t>
            </w:r>
          </w:p>
        </w:tc>
        <w:tc>
          <w:tcPr>
            <w:tcW w:w="698" w:type="pct"/>
          </w:tcPr>
          <w:p w14:paraId="4C80780F" w14:textId="77777777" w:rsidR="001E55A8" w:rsidRPr="004C7205" w:rsidRDefault="001E55A8" w:rsidP="004566DC">
            <w:pPr>
              <w:pStyle w:val="Tabletext1"/>
              <w:tabs>
                <w:tab w:val="decimal" w:pos="884"/>
              </w:tabs>
              <w:jc w:val="left"/>
            </w:pPr>
            <w:r w:rsidRPr="003D5E01">
              <w:t>$1,696,056</w:t>
            </w:r>
          </w:p>
        </w:tc>
      </w:tr>
      <w:tr w:rsidR="001E55A8" w:rsidRPr="00183E4D" w14:paraId="234B0ADE" w14:textId="77777777" w:rsidTr="0042252D">
        <w:trPr>
          <w:trHeight w:val="315"/>
        </w:trPr>
        <w:tc>
          <w:tcPr>
            <w:tcW w:w="1512" w:type="pct"/>
          </w:tcPr>
          <w:p w14:paraId="21EAD116" w14:textId="3EB3E1BA" w:rsidR="001E55A8" w:rsidRDefault="001E55A8" w:rsidP="005B7F97">
            <w:pPr>
              <w:keepNext/>
              <w:widowControl w:val="0"/>
              <w:spacing w:after="40" w:line="240" w:lineRule="auto"/>
              <w:rPr>
                <w:rFonts w:ascii="Arial Narrow" w:hAnsi="Arial Narrow"/>
                <w:sz w:val="20"/>
                <w:szCs w:val="20"/>
              </w:rPr>
            </w:pPr>
            <w:r>
              <w:rPr>
                <w:rFonts w:ascii="Arial Narrow" w:hAnsi="Arial Narrow"/>
                <w:sz w:val="20"/>
                <w:szCs w:val="20"/>
              </w:rPr>
              <w:t>Cost borne by patients</w:t>
            </w:r>
          </w:p>
        </w:tc>
        <w:tc>
          <w:tcPr>
            <w:tcW w:w="697" w:type="pct"/>
          </w:tcPr>
          <w:p w14:paraId="48640724" w14:textId="77777777" w:rsidR="001E55A8" w:rsidRPr="006E2A2E" w:rsidRDefault="001E55A8" w:rsidP="004566DC">
            <w:pPr>
              <w:pStyle w:val="Tabletext1"/>
              <w:tabs>
                <w:tab w:val="decimal" w:pos="884"/>
              </w:tabs>
              <w:jc w:val="left"/>
            </w:pPr>
            <w:r w:rsidRPr="003D5E01">
              <w:t>$1,156,070</w:t>
            </w:r>
          </w:p>
        </w:tc>
        <w:tc>
          <w:tcPr>
            <w:tcW w:w="698" w:type="pct"/>
          </w:tcPr>
          <w:p w14:paraId="4072DB3A" w14:textId="77777777" w:rsidR="001E55A8" w:rsidRPr="006E2A2E" w:rsidRDefault="001E55A8" w:rsidP="004566DC">
            <w:pPr>
              <w:pStyle w:val="Tabletext1"/>
              <w:tabs>
                <w:tab w:val="decimal" w:pos="884"/>
              </w:tabs>
              <w:jc w:val="left"/>
            </w:pPr>
            <w:r w:rsidRPr="003D5E01">
              <w:t>$1,329,481</w:t>
            </w:r>
          </w:p>
        </w:tc>
        <w:tc>
          <w:tcPr>
            <w:tcW w:w="697" w:type="pct"/>
          </w:tcPr>
          <w:p w14:paraId="1151102C" w14:textId="77777777" w:rsidR="001E55A8" w:rsidRPr="006E2A2E" w:rsidRDefault="001E55A8" w:rsidP="004566DC">
            <w:pPr>
              <w:pStyle w:val="Tabletext1"/>
              <w:tabs>
                <w:tab w:val="decimal" w:pos="884"/>
              </w:tabs>
              <w:jc w:val="left"/>
            </w:pPr>
            <w:r w:rsidRPr="003D5E01">
              <w:t>$1,528,903</w:t>
            </w:r>
          </w:p>
        </w:tc>
        <w:tc>
          <w:tcPr>
            <w:tcW w:w="698" w:type="pct"/>
          </w:tcPr>
          <w:p w14:paraId="6DE62220" w14:textId="77777777" w:rsidR="001E55A8" w:rsidRPr="006E2A2E" w:rsidRDefault="001E55A8" w:rsidP="004566DC">
            <w:pPr>
              <w:pStyle w:val="Tabletext1"/>
              <w:tabs>
                <w:tab w:val="decimal" w:pos="884"/>
              </w:tabs>
              <w:jc w:val="left"/>
            </w:pPr>
            <w:r w:rsidRPr="003D5E01">
              <w:t>$1,758,238</w:t>
            </w:r>
          </w:p>
        </w:tc>
        <w:tc>
          <w:tcPr>
            <w:tcW w:w="698" w:type="pct"/>
          </w:tcPr>
          <w:p w14:paraId="30B82408" w14:textId="77777777" w:rsidR="001E55A8" w:rsidRPr="006E2A2E" w:rsidRDefault="001E55A8" w:rsidP="004566DC">
            <w:pPr>
              <w:pStyle w:val="Tabletext1"/>
              <w:tabs>
                <w:tab w:val="decimal" w:pos="884"/>
              </w:tabs>
              <w:jc w:val="left"/>
            </w:pPr>
            <w:r w:rsidRPr="003D5E01">
              <w:t>$2,021,974</w:t>
            </w:r>
          </w:p>
        </w:tc>
      </w:tr>
      <w:tr w:rsidR="001E55A8" w:rsidRPr="00183E4D" w14:paraId="46D95045" w14:textId="77777777" w:rsidTr="0042252D">
        <w:trPr>
          <w:trHeight w:val="315"/>
        </w:trPr>
        <w:tc>
          <w:tcPr>
            <w:tcW w:w="1512" w:type="pct"/>
          </w:tcPr>
          <w:p w14:paraId="10ECB6D3" w14:textId="77777777" w:rsidR="001E55A8" w:rsidRPr="00E10276" w:rsidRDefault="001E55A8" w:rsidP="005B7F97">
            <w:pPr>
              <w:widowControl w:val="0"/>
              <w:spacing w:after="40" w:line="240" w:lineRule="auto"/>
              <w:rPr>
                <w:rFonts w:ascii="Arial Narrow" w:hAnsi="Arial Narrow"/>
                <w:b/>
                <w:sz w:val="20"/>
                <w:szCs w:val="20"/>
              </w:rPr>
            </w:pPr>
            <w:r w:rsidRPr="00E10276">
              <w:rPr>
                <w:rFonts w:ascii="Arial Narrow" w:hAnsi="Arial Narrow"/>
                <w:b/>
                <w:sz w:val="20"/>
                <w:szCs w:val="20"/>
              </w:rPr>
              <w:t xml:space="preserve">Net </w:t>
            </w:r>
            <w:r>
              <w:rPr>
                <w:rFonts w:ascii="Arial Narrow" w:hAnsi="Arial Narrow"/>
                <w:b/>
                <w:sz w:val="20"/>
                <w:szCs w:val="20"/>
              </w:rPr>
              <w:t>savings</w:t>
            </w:r>
            <w:r w:rsidRPr="00E10276">
              <w:rPr>
                <w:rFonts w:ascii="Arial Narrow" w:hAnsi="Arial Narrow"/>
                <w:b/>
                <w:sz w:val="20"/>
                <w:szCs w:val="20"/>
              </w:rPr>
              <w:t xml:space="preserve"> to patients</w:t>
            </w:r>
          </w:p>
        </w:tc>
        <w:tc>
          <w:tcPr>
            <w:tcW w:w="697" w:type="pct"/>
          </w:tcPr>
          <w:p w14:paraId="642E7DC3" w14:textId="77777777" w:rsidR="001E55A8" w:rsidRPr="004C7205" w:rsidRDefault="001E55A8" w:rsidP="004566DC">
            <w:pPr>
              <w:pStyle w:val="Tabletext1"/>
              <w:tabs>
                <w:tab w:val="decimal" w:pos="884"/>
              </w:tabs>
              <w:jc w:val="left"/>
              <w:rPr>
                <w:b/>
              </w:rPr>
            </w:pPr>
            <w:r w:rsidRPr="003D5E01">
              <w:rPr>
                <w:b/>
              </w:rPr>
              <w:t>$837,201</w:t>
            </w:r>
          </w:p>
        </w:tc>
        <w:tc>
          <w:tcPr>
            <w:tcW w:w="698" w:type="pct"/>
          </w:tcPr>
          <w:p w14:paraId="669B9C1F" w14:textId="77777777" w:rsidR="001E55A8" w:rsidRPr="004C7205" w:rsidRDefault="001E55A8" w:rsidP="004566DC">
            <w:pPr>
              <w:pStyle w:val="Tabletext1"/>
              <w:tabs>
                <w:tab w:val="decimal" w:pos="884"/>
              </w:tabs>
              <w:jc w:val="left"/>
              <w:rPr>
                <w:b/>
              </w:rPr>
            </w:pPr>
            <w:r w:rsidRPr="003D5E01">
              <w:rPr>
                <w:b/>
              </w:rPr>
              <w:t>$962,781</w:t>
            </w:r>
          </w:p>
        </w:tc>
        <w:tc>
          <w:tcPr>
            <w:tcW w:w="697" w:type="pct"/>
          </w:tcPr>
          <w:p w14:paraId="7AC13BE2" w14:textId="77777777" w:rsidR="001E55A8" w:rsidRPr="004C7205" w:rsidRDefault="001E55A8" w:rsidP="004566DC">
            <w:pPr>
              <w:pStyle w:val="Tabletext1"/>
              <w:tabs>
                <w:tab w:val="decimal" w:pos="884"/>
              </w:tabs>
              <w:jc w:val="left"/>
              <w:rPr>
                <w:b/>
              </w:rPr>
            </w:pPr>
            <w:r w:rsidRPr="003D5E01">
              <w:rPr>
                <w:b/>
              </w:rPr>
              <w:t>$1,107,198</w:t>
            </w:r>
          </w:p>
        </w:tc>
        <w:tc>
          <w:tcPr>
            <w:tcW w:w="698" w:type="pct"/>
          </w:tcPr>
          <w:p w14:paraId="62233925" w14:textId="77777777" w:rsidR="001E55A8" w:rsidRPr="004C7205" w:rsidRDefault="001E55A8" w:rsidP="004566DC">
            <w:pPr>
              <w:pStyle w:val="Tabletext1"/>
              <w:tabs>
                <w:tab w:val="decimal" w:pos="884"/>
              </w:tabs>
              <w:jc w:val="left"/>
              <w:rPr>
                <w:b/>
              </w:rPr>
            </w:pPr>
            <w:r w:rsidRPr="003D5E01">
              <w:rPr>
                <w:b/>
              </w:rPr>
              <w:t>$1,273,278</w:t>
            </w:r>
          </w:p>
        </w:tc>
        <w:tc>
          <w:tcPr>
            <w:tcW w:w="698" w:type="pct"/>
          </w:tcPr>
          <w:p w14:paraId="7C543DF1" w14:textId="77777777" w:rsidR="001E55A8" w:rsidRPr="004C7205" w:rsidRDefault="001E55A8" w:rsidP="004566DC">
            <w:pPr>
              <w:pStyle w:val="Tabletext1"/>
              <w:tabs>
                <w:tab w:val="decimal" w:pos="884"/>
              </w:tabs>
              <w:jc w:val="left"/>
              <w:rPr>
                <w:b/>
              </w:rPr>
            </w:pPr>
            <w:r w:rsidRPr="003D5E01">
              <w:rPr>
                <w:b/>
              </w:rPr>
              <w:t>$1,464,270</w:t>
            </w:r>
          </w:p>
        </w:tc>
      </w:tr>
    </w:tbl>
    <w:p w14:paraId="19E93B83" w14:textId="77777777" w:rsidR="001E55A8" w:rsidRDefault="001E55A8" w:rsidP="004566DC">
      <w:pPr>
        <w:pStyle w:val="TableNotes"/>
        <w:spacing w:after="120" w:line="240" w:lineRule="auto"/>
        <w:ind w:left="0"/>
        <w:rPr>
          <w:sz w:val="18"/>
          <w:szCs w:val="18"/>
        </w:rPr>
      </w:pPr>
      <w:r w:rsidRPr="00862720">
        <w:rPr>
          <w:sz w:val="18"/>
          <w:szCs w:val="18"/>
          <w:vertAlign w:val="superscript"/>
        </w:rPr>
        <w:t>a</w:t>
      </w:r>
      <w:r>
        <w:rPr>
          <w:sz w:val="18"/>
          <w:szCs w:val="18"/>
        </w:rPr>
        <w:t xml:space="preserve"> From </w:t>
      </w:r>
      <w:r w:rsidRPr="008F2B36">
        <w:rPr>
          <w:sz w:val="18"/>
          <w:szCs w:val="18"/>
        </w:rPr>
        <w:fldChar w:fldCharType="begin"/>
      </w:r>
      <w:r w:rsidRPr="008F2B36">
        <w:rPr>
          <w:sz w:val="18"/>
          <w:szCs w:val="18"/>
        </w:rPr>
        <w:instrText xml:space="preserve"> REF _Ref413932001 \h </w:instrText>
      </w:r>
      <w:r>
        <w:rPr>
          <w:sz w:val="18"/>
          <w:szCs w:val="18"/>
        </w:rPr>
        <w:instrText xml:space="preserve"> \* MERGEFORMAT </w:instrText>
      </w:r>
      <w:r w:rsidRPr="008F2B36">
        <w:rPr>
          <w:sz w:val="18"/>
          <w:szCs w:val="18"/>
        </w:rPr>
      </w:r>
      <w:r w:rsidRPr="008F2B36">
        <w:rPr>
          <w:sz w:val="18"/>
          <w:szCs w:val="18"/>
        </w:rPr>
        <w:fldChar w:fldCharType="separate"/>
      </w:r>
      <w:r w:rsidR="00BB0E3E" w:rsidRPr="00BB0E3E">
        <w:rPr>
          <w:sz w:val="18"/>
          <w:szCs w:val="18"/>
        </w:rPr>
        <w:t xml:space="preserve">Table </w:t>
      </w:r>
      <w:r w:rsidR="00BB0E3E" w:rsidRPr="00BB0E3E">
        <w:rPr>
          <w:noProof/>
          <w:sz w:val="18"/>
          <w:szCs w:val="18"/>
        </w:rPr>
        <w:t>78</w:t>
      </w:r>
      <w:r w:rsidRPr="008F2B36">
        <w:rPr>
          <w:sz w:val="18"/>
          <w:szCs w:val="18"/>
        </w:rPr>
        <w:fldChar w:fldCharType="end"/>
      </w:r>
    </w:p>
    <w:p w14:paraId="239CDF44" w14:textId="360CDE1F" w:rsidR="001E55A8" w:rsidRDefault="00FD37D3" w:rsidP="004566DC">
      <w:pPr>
        <w:pStyle w:val="TableNotes"/>
        <w:spacing w:after="120" w:line="240" w:lineRule="auto"/>
        <w:ind w:left="0"/>
        <w:rPr>
          <w:sz w:val="18"/>
          <w:szCs w:val="18"/>
        </w:rPr>
      </w:pPr>
      <w:r w:rsidRPr="00FD37D3">
        <w:rPr>
          <w:sz w:val="18"/>
          <w:szCs w:val="18"/>
        </w:rPr>
        <w:t>CFTR</w:t>
      </w:r>
      <w:r w:rsidR="001E55A8">
        <w:rPr>
          <w:sz w:val="18"/>
          <w:szCs w:val="18"/>
        </w:rPr>
        <w:t xml:space="preserve"> = </w:t>
      </w:r>
      <w:r w:rsidR="00546E50">
        <w:rPr>
          <w:sz w:val="18"/>
          <w:szCs w:val="18"/>
        </w:rPr>
        <w:t>c</w:t>
      </w:r>
      <w:r w:rsidR="00F9373B">
        <w:rPr>
          <w:sz w:val="18"/>
          <w:szCs w:val="18"/>
        </w:rPr>
        <w:t xml:space="preserve">ystic </w:t>
      </w:r>
      <w:r w:rsidR="00546E50">
        <w:rPr>
          <w:sz w:val="18"/>
          <w:szCs w:val="18"/>
        </w:rPr>
        <w:t>f</w:t>
      </w:r>
      <w:r w:rsidR="00F9373B">
        <w:rPr>
          <w:sz w:val="18"/>
          <w:szCs w:val="18"/>
        </w:rPr>
        <w:t xml:space="preserve">ibrosis </w:t>
      </w:r>
      <w:r w:rsidR="00546E50">
        <w:rPr>
          <w:sz w:val="18"/>
          <w:szCs w:val="18"/>
        </w:rPr>
        <w:t>t</w:t>
      </w:r>
      <w:r w:rsidR="00F9373B">
        <w:rPr>
          <w:sz w:val="18"/>
          <w:szCs w:val="18"/>
        </w:rPr>
        <w:t xml:space="preserve">ransmembrane conductance </w:t>
      </w:r>
      <w:r w:rsidR="00546E50">
        <w:rPr>
          <w:sz w:val="18"/>
          <w:szCs w:val="18"/>
        </w:rPr>
        <w:t>r</w:t>
      </w:r>
      <w:r w:rsidR="00F9373B">
        <w:rPr>
          <w:sz w:val="18"/>
          <w:szCs w:val="18"/>
        </w:rPr>
        <w:t>egulator</w:t>
      </w:r>
      <w:r w:rsidR="001E55A8">
        <w:rPr>
          <w:sz w:val="18"/>
          <w:szCs w:val="18"/>
        </w:rPr>
        <w:t>; MBS = Medicare Benefits Schedule</w:t>
      </w:r>
    </w:p>
    <w:p w14:paraId="542E02E7" w14:textId="22C9BFBA" w:rsidR="001E55A8" w:rsidRDefault="001E55A8" w:rsidP="00E06D2D">
      <w:pPr>
        <w:spacing w:before="240"/>
      </w:pPr>
      <w:r>
        <w:t>If there is growth in the market</w:t>
      </w:r>
      <w:r w:rsidR="00244D58">
        <w:t>,</w:t>
      </w:r>
      <w:r>
        <w:t xml:space="preserve"> the net overall cost effect of </w:t>
      </w:r>
      <w:r w:rsidR="00FD37D3" w:rsidRPr="00FD37D3">
        <w:t>CFTR</w:t>
      </w:r>
      <w:r>
        <w:t xml:space="preserve"> mutation testing may be positive. However, as it is likely that the indications eligible for MBS funding are more likely to be funded by </w:t>
      </w:r>
      <w:r w:rsidR="00E94643">
        <w:t>the s</w:t>
      </w:r>
      <w:r>
        <w:t>tates/</w:t>
      </w:r>
      <w:r w:rsidR="00E94643">
        <w:t>t</w:t>
      </w:r>
      <w:r>
        <w:t>erritories, this effect may be small.</w:t>
      </w:r>
    </w:p>
    <w:p w14:paraId="04323189" w14:textId="77777777" w:rsidR="001E55A8" w:rsidRDefault="001E55A8" w:rsidP="001E55A8">
      <w:pPr>
        <w:pStyle w:val="Heading2"/>
        <w:numPr>
          <w:ilvl w:val="4"/>
          <w:numId w:val="9"/>
        </w:numPr>
      </w:pPr>
      <w:bookmarkStart w:id="456" w:name="_Toc413332869"/>
      <w:bookmarkStart w:id="457" w:name="_Toc418179942"/>
      <w:r>
        <w:t>Identification, Estimation and Reduction of Uncertainty</w:t>
      </w:r>
      <w:bookmarkEnd w:id="456"/>
      <w:bookmarkEnd w:id="457"/>
    </w:p>
    <w:p w14:paraId="14A3118A" w14:textId="77777777" w:rsidR="001E55A8" w:rsidRDefault="001E55A8" w:rsidP="001E55A8">
      <w:r w:rsidRPr="00F94884">
        <w:t>Uncertainties flagged around estimates used in the financial analysis were tested in sensitivity analyses</w:t>
      </w:r>
      <w:r>
        <w:t xml:space="preserve"> (</w:t>
      </w:r>
      <w:r>
        <w:fldChar w:fldCharType="begin"/>
      </w:r>
      <w:r>
        <w:instrText xml:space="preserve"> REF _Ref413932139 \h  \* MERGEFORMAT </w:instrText>
      </w:r>
      <w:r>
        <w:fldChar w:fldCharType="separate"/>
      </w:r>
      <w:r w:rsidR="00BB0E3E">
        <w:t xml:space="preserve">Table </w:t>
      </w:r>
      <w:r w:rsidR="00BB0E3E">
        <w:rPr>
          <w:noProof/>
        </w:rPr>
        <w:t>82</w:t>
      </w:r>
      <w:r>
        <w:fldChar w:fldCharType="end"/>
      </w:r>
      <w:r>
        <w:t>).</w:t>
      </w:r>
    </w:p>
    <w:p w14:paraId="4EE49A86" w14:textId="4238D9D5" w:rsidR="001E55A8" w:rsidRDefault="001E55A8" w:rsidP="001E55A8">
      <w:r>
        <w:t>The analyses were most sensitive to changes that increased the number of common mutation screening tests, increasing the implication to the MBS by 25%. Reducing the growth rate, improving the clinical sensitivity of the common mutation panel and reducing the cost of the whole gene screen resulted in substantial reduced costs to the MBS (25</w:t>
      </w:r>
      <w:r w:rsidR="00244D58">
        <w:t>%</w:t>
      </w:r>
      <w:r>
        <w:t>–50%).</w:t>
      </w:r>
    </w:p>
    <w:p w14:paraId="3308D3C8" w14:textId="46D64FC4" w:rsidR="001E55A8" w:rsidRDefault="001E55A8" w:rsidP="001E55A8">
      <w:r>
        <w:t xml:space="preserve">While changes in the current funding arrangements between </w:t>
      </w:r>
      <w:r w:rsidR="00C34350">
        <w:t>the s</w:t>
      </w:r>
      <w:r>
        <w:t>tates/</w:t>
      </w:r>
      <w:r w:rsidR="00C34350">
        <w:t>t</w:t>
      </w:r>
      <w:r>
        <w:t xml:space="preserve">erritories and patients does not affect the financial implications to the MBS, if </w:t>
      </w:r>
      <w:r w:rsidR="00D03332">
        <w:t xml:space="preserve">the </w:t>
      </w:r>
      <w:r>
        <w:t>states</w:t>
      </w:r>
      <w:r w:rsidR="00D03332">
        <w:t>/territories</w:t>
      </w:r>
      <w:r>
        <w:t xml:space="preserve"> are funding 85% or more of tests eligible under proposed MBS funding, net savings to government will be observed, with patients bearing the cost of the change, assuming </w:t>
      </w:r>
      <w:r w:rsidR="00C34350">
        <w:t xml:space="preserve">that </w:t>
      </w:r>
      <w:r>
        <w:t>tests are not bulk-billed.</w:t>
      </w:r>
    </w:p>
    <w:p w14:paraId="74B175F9" w14:textId="039D3E99" w:rsidR="001E55A8" w:rsidRDefault="001E55A8" w:rsidP="001E55A8">
      <w:pPr>
        <w:pStyle w:val="Caption"/>
      </w:pPr>
      <w:bookmarkStart w:id="458" w:name="_Ref413932139"/>
      <w:bookmarkStart w:id="459" w:name="_Toc416855375"/>
      <w:bookmarkStart w:id="460" w:name="_Toc418179479"/>
      <w:r>
        <w:lastRenderedPageBreak/>
        <w:t xml:space="preserve">Table </w:t>
      </w:r>
      <w:fldSimple w:instr=" SEQ Table \* ARABIC ">
        <w:r w:rsidR="00BB0E3E">
          <w:rPr>
            <w:noProof/>
          </w:rPr>
          <w:t>82</w:t>
        </w:r>
      </w:fldSimple>
      <w:bookmarkEnd w:id="458"/>
      <w:r>
        <w:tab/>
        <w:t>Financial implication</w:t>
      </w:r>
      <w:r w:rsidR="008A0BED">
        <w:t>s</w:t>
      </w:r>
      <w:r>
        <w:t xml:space="preserve"> </w:t>
      </w:r>
      <w:r w:rsidR="008A0BED">
        <w:t xml:space="preserve">of </w:t>
      </w:r>
      <w:r>
        <w:t>sensitivity analyses</w:t>
      </w:r>
      <w:bookmarkEnd w:id="459"/>
      <w:bookmarkEnd w:id="460"/>
    </w:p>
    <w:tbl>
      <w:tblPr>
        <w:tblStyle w:val="TableGrid"/>
        <w:tblW w:w="0" w:type="auto"/>
        <w:tblInd w:w="108" w:type="dxa"/>
        <w:tblLayout w:type="fixed"/>
        <w:tblLook w:val="04A0" w:firstRow="1" w:lastRow="0" w:firstColumn="1" w:lastColumn="0" w:noHBand="0" w:noVBand="1"/>
        <w:tblCaption w:val="Sensitivity analyses"/>
        <w:tblDescription w:val="Financial implications of sensitivity analyses"/>
      </w:tblPr>
      <w:tblGrid>
        <w:gridCol w:w="3261"/>
        <w:gridCol w:w="1174"/>
        <w:gridCol w:w="1175"/>
        <w:gridCol w:w="1174"/>
        <w:gridCol w:w="1175"/>
        <w:gridCol w:w="1175"/>
      </w:tblGrid>
      <w:tr w:rsidR="001E55A8" w:rsidRPr="007C5348" w14:paraId="4802D958" w14:textId="77777777" w:rsidTr="005B7F97">
        <w:trPr>
          <w:cantSplit/>
          <w:trHeight w:val="283"/>
          <w:tblHeader/>
        </w:trPr>
        <w:tc>
          <w:tcPr>
            <w:tcW w:w="3261" w:type="dxa"/>
            <w:tcBorders>
              <w:bottom w:val="single" w:sz="4" w:space="0" w:color="auto"/>
            </w:tcBorders>
          </w:tcPr>
          <w:p w14:paraId="5707B4E3" w14:textId="26BEFF86" w:rsidR="001E55A8" w:rsidRPr="007C5348" w:rsidRDefault="001E55A8" w:rsidP="004566DC">
            <w:pPr>
              <w:pStyle w:val="Caption"/>
              <w:spacing w:before="40"/>
              <w:ind w:left="0"/>
              <w:jc w:val="left"/>
              <w:rPr>
                <w:szCs w:val="20"/>
              </w:rPr>
            </w:pPr>
          </w:p>
        </w:tc>
        <w:tc>
          <w:tcPr>
            <w:tcW w:w="1174" w:type="dxa"/>
            <w:tcBorders>
              <w:bottom w:val="single" w:sz="4" w:space="0" w:color="auto"/>
            </w:tcBorders>
            <w:vAlign w:val="bottom"/>
          </w:tcPr>
          <w:p w14:paraId="5DB343CD" w14:textId="77777777" w:rsidR="001E55A8" w:rsidRPr="007C5348" w:rsidRDefault="001E55A8" w:rsidP="005B7F97">
            <w:pPr>
              <w:pStyle w:val="Caption"/>
              <w:spacing w:before="40"/>
              <w:ind w:left="0"/>
              <w:jc w:val="center"/>
              <w:rPr>
                <w:szCs w:val="20"/>
              </w:rPr>
            </w:pPr>
            <w:r w:rsidRPr="007C5348">
              <w:rPr>
                <w:szCs w:val="20"/>
              </w:rPr>
              <w:t>2015</w:t>
            </w:r>
          </w:p>
        </w:tc>
        <w:tc>
          <w:tcPr>
            <w:tcW w:w="1175" w:type="dxa"/>
            <w:tcBorders>
              <w:bottom w:val="single" w:sz="4" w:space="0" w:color="auto"/>
            </w:tcBorders>
            <w:vAlign w:val="bottom"/>
          </w:tcPr>
          <w:p w14:paraId="413CF96C" w14:textId="77777777" w:rsidR="001E55A8" w:rsidRPr="007C5348" w:rsidRDefault="001E55A8" w:rsidP="005B7F97">
            <w:pPr>
              <w:pStyle w:val="Caption"/>
              <w:spacing w:before="40"/>
              <w:ind w:left="0"/>
              <w:jc w:val="center"/>
              <w:rPr>
                <w:szCs w:val="20"/>
              </w:rPr>
            </w:pPr>
            <w:r w:rsidRPr="007C5348">
              <w:rPr>
                <w:szCs w:val="20"/>
              </w:rPr>
              <w:t>2016</w:t>
            </w:r>
          </w:p>
        </w:tc>
        <w:tc>
          <w:tcPr>
            <w:tcW w:w="1174" w:type="dxa"/>
            <w:tcBorders>
              <w:bottom w:val="single" w:sz="4" w:space="0" w:color="auto"/>
            </w:tcBorders>
            <w:vAlign w:val="bottom"/>
          </w:tcPr>
          <w:p w14:paraId="5B3977EE" w14:textId="77777777" w:rsidR="001E55A8" w:rsidRPr="007C5348" w:rsidRDefault="001E55A8" w:rsidP="005B7F97">
            <w:pPr>
              <w:pStyle w:val="Caption"/>
              <w:spacing w:before="40"/>
              <w:ind w:left="0"/>
              <w:jc w:val="center"/>
              <w:rPr>
                <w:szCs w:val="20"/>
              </w:rPr>
            </w:pPr>
            <w:r w:rsidRPr="007C5348">
              <w:rPr>
                <w:szCs w:val="20"/>
              </w:rPr>
              <w:t>2017</w:t>
            </w:r>
          </w:p>
        </w:tc>
        <w:tc>
          <w:tcPr>
            <w:tcW w:w="1175" w:type="dxa"/>
            <w:tcBorders>
              <w:bottom w:val="single" w:sz="4" w:space="0" w:color="auto"/>
            </w:tcBorders>
            <w:vAlign w:val="bottom"/>
          </w:tcPr>
          <w:p w14:paraId="46BABB2E" w14:textId="77777777" w:rsidR="001E55A8" w:rsidRPr="007C5348" w:rsidRDefault="001E55A8" w:rsidP="005B7F97">
            <w:pPr>
              <w:pStyle w:val="Caption"/>
              <w:spacing w:before="40"/>
              <w:ind w:left="0"/>
              <w:jc w:val="center"/>
              <w:rPr>
                <w:szCs w:val="20"/>
              </w:rPr>
            </w:pPr>
            <w:r w:rsidRPr="007C5348">
              <w:rPr>
                <w:szCs w:val="20"/>
              </w:rPr>
              <w:t>2018</w:t>
            </w:r>
          </w:p>
        </w:tc>
        <w:tc>
          <w:tcPr>
            <w:tcW w:w="1175" w:type="dxa"/>
            <w:tcBorders>
              <w:bottom w:val="single" w:sz="4" w:space="0" w:color="auto"/>
            </w:tcBorders>
            <w:vAlign w:val="bottom"/>
          </w:tcPr>
          <w:p w14:paraId="04ABA5C3" w14:textId="77777777" w:rsidR="001E55A8" w:rsidRPr="007C5348" w:rsidRDefault="001E55A8" w:rsidP="005B7F97">
            <w:pPr>
              <w:pStyle w:val="Caption"/>
              <w:spacing w:before="40"/>
              <w:ind w:left="0"/>
              <w:jc w:val="center"/>
              <w:rPr>
                <w:szCs w:val="20"/>
              </w:rPr>
            </w:pPr>
            <w:r w:rsidRPr="007C5348">
              <w:rPr>
                <w:szCs w:val="20"/>
              </w:rPr>
              <w:t>2019</w:t>
            </w:r>
          </w:p>
        </w:tc>
      </w:tr>
      <w:tr w:rsidR="001E55A8" w:rsidRPr="007C5348" w14:paraId="3F2BFF6C" w14:textId="77777777" w:rsidTr="005B7F97">
        <w:trPr>
          <w:cantSplit/>
          <w:trHeight w:val="283"/>
          <w:tblHeader/>
        </w:trPr>
        <w:tc>
          <w:tcPr>
            <w:tcW w:w="3261" w:type="dxa"/>
            <w:tcBorders>
              <w:right w:val="nil"/>
            </w:tcBorders>
            <w:vAlign w:val="center"/>
          </w:tcPr>
          <w:p w14:paraId="3058E4F4" w14:textId="77777777" w:rsidR="001E55A8" w:rsidRPr="002F38D0" w:rsidRDefault="001E55A8" w:rsidP="004566DC">
            <w:pPr>
              <w:keepNext/>
              <w:widowControl w:val="0"/>
              <w:spacing w:before="40" w:after="40" w:line="240" w:lineRule="auto"/>
              <w:ind w:left="34"/>
              <w:jc w:val="left"/>
              <w:rPr>
                <w:rFonts w:ascii="Arial Narrow" w:hAnsi="Arial Narrow"/>
                <w:b/>
                <w:sz w:val="20"/>
                <w:szCs w:val="20"/>
              </w:rPr>
            </w:pPr>
            <w:r w:rsidRPr="002F38D0">
              <w:rPr>
                <w:rFonts w:ascii="Arial Narrow" w:hAnsi="Arial Narrow"/>
                <w:b/>
                <w:sz w:val="20"/>
                <w:szCs w:val="20"/>
              </w:rPr>
              <w:t>Base-case</w:t>
            </w:r>
          </w:p>
        </w:tc>
        <w:tc>
          <w:tcPr>
            <w:tcW w:w="1174" w:type="dxa"/>
            <w:tcBorders>
              <w:left w:val="nil"/>
              <w:right w:val="nil"/>
            </w:tcBorders>
            <w:vAlign w:val="bottom"/>
          </w:tcPr>
          <w:p w14:paraId="5D543244"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right w:val="nil"/>
            </w:tcBorders>
            <w:vAlign w:val="bottom"/>
          </w:tcPr>
          <w:p w14:paraId="02193B71"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4" w:type="dxa"/>
            <w:tcBorders>
              <w:left w:val="nil"/>
              <w:right w:val="nil"/>
            </w:tcBorders>
            <w:vAlign w:val="bottom"/>
          </w:tcPr>
          <w:p w14:paraId="1D09FE46"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right w:val="nil"/>
            </w:tcBorders>
            <w:vAlign w:val="bottom"/>
          </w:tcPr>
          <w:p w14:paraId="236C7AF5"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tcBorders>
            <w:vAlign w:val="bottom"/>
          </w:tcPr>
          <w:p w14:paraId="13B5C3FA"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r>
      <w:tr w:rsidR="001E55A8" w:rsidRPr="007C5348" w14:paraId="1A6AD991" w14:textId="77777777" w:rsidTr="005B7F97">
        <w:trPr>
          <w:cantSplit/>
          <w:trHeight w:val="283"/>
          <w:tblHeader/>
        </w:trPr>
        <w:tc>
          <w:tcPr>
            <w:tcW w:w="3261" w:type="dxa"/>
          </w:tcPr>
          <w:p w14:paraId="15F2B584" w14:textId="77777777"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3D5E01">
              <w:rPr>
                <w:rFonts w:ascii="Arial Narrow" w:hAnsi="Arial Narrow"/>
                <w:b/>
                <w:sz w:val="20"/>
                <w:szCs w:val="20"/>
              </w:rPr>
              <w:t>Cost to MBS</w:t>
            </w:r>
          </w:p>
        </w:tc>
        <w:tc>
          <w:tcPr>
            <w:tcW w:w="1174" w:type="dxa"/>
            <w:vAlign w:val="bottom"/>
          </w:tcPr>
          <w:p w14:paraId="1B2A5648" w14:textId="77777777" w:rsidR="001E55A8" w:rsidRPr="003D5E01" w:rsidRDefault="001E55A8" w:rsidP="005B7F97">
            <w:pPr>
              <w:pStyle w:val="Tabletext1"/>
              <w:ind w:left="34"/>
              <w:jc w:val="right"/>
              <w:rPr>
                <w:b/>
              </w:rPr>
            </w:pPr>
            <w:r w:rsidRPr="003D5E01">
              <w:rPr>
                <w:b/>
              </w:rPr>
              <w:t>$1,806,926</w:t>
            </w:r>
          </w:p>
        </w:tc>
        <w:tc>
          <w:tcPr>
            <w:tcW w:w="1175" w:type="dxa"/>
            <w:vAlign w:val="bottom"/>
          </w:tcPr>
          <w:p w14:paraId="423CCD04" w14:textId="77777777" w:rsidR="001E55A8" w:rsidRPr="003D5E01" w:rsidRDefault="001E55A8" w:rsidP="005B7F97">
            <w:pPr>
              <w:pStyle w:val="Tabletext1"/>
              <w:ind w:left="34"/>
              <w:jc w:val="right"/>
              <w:rPr>
                <w:b/>
              </w:rPr>
            </w:pPr>
            <w:r w:rsidRPr="003D5E01">
              <w:rPr>
                <w:b/>
              </w:rPr>
              <w:t>$2,077,965</w:t>
            </w:r>
          </w:p>
        </w:tc>
        <w:tc>
          <w:tcPr>
            <w:tcW w:w="1174" w:type="dxa"/>
            <w:vAlign w:val="bottom"/>
          </w:tcPr>
          <w:p w14:paraId="3191E985" w14:textId="77777777" w:rsidR="001E55A8" w:rsidRPr="003D5E01" w:rsidRDefault="001E55A8" w:rsidP="005B7F97">
            <w:pPr>
              <w:pStyle w:val="Tabletext1"/>
              <w:ind w:left="34"/>
              <w:jc w:val="right"/>
              <w:rPr>
                <w:b/>
              </w:rPr>
            </w:pPr>
            <w:r w:rsidRPr="003D5E01">
              <w:rPr>
                <w:b/>
              </w:rPr>
              <w:t>$2,389,660</w:t>
            </w:r>
          </w:p>
        </w:tc>
        <w:tc>
          <w:tcPr>
            <w:tcW w:w="1175" w:type="dxa"/>
            <w:vAlign w:val="bottom"/>
          </w:tcPr>
          <w:p w14:paraId="45B86FB4" w14:textId="77777777" w:rsidR="001E55A8" w:rsidRPr="003D5E01" w:rsidRDefault="001E55A8" w:rsidP="005B7F97">
            <w:pPr>
              <w:pStyle w:val="Tabletext1"/>
              <w:ind w:left="34"/>
              <w:jc w:val="right"/>
              <w:rPr>
                <w:b/>
              </w:rPr>
            </w:pPr>
            <w:r w:rsidRPr="003D5E01">
              <w:rPr>
                <w:b/>
              </w:rPr>
              <w:t>$2,748,109</w:t>
            </w:r>
          </w:p>
        </w:tc>
        <w:tc>
          <w:tcPr>
            <w:tcW w:w="1175" w:type="dxa"/>
            <w:vAlign w:val="bottom"/>
          </w:tcPr>
          <w:p w14:paraId="4FA224CE" w14:textId="77777777" w:rsidR="001E55A8" w:rsidRPr="003D5E01" w:rsidRDefault="001E55A8" w:rsidP="005B7F97">
            <w:pPr>
              <w:pStyle w:val="Tabletext1"/>
              <w:ind w:left="34"/>
              <w:jc w:val="right"/>
              <w:rPr>
                <w:b/>
              </w:rPr>
            </w:pPr>
            <w:r w:rsidRPr="003D5E01">
              <w:rPr>
                <w:b/>
              </w:rPr>
              <w:t>$3,160,326</w:t>
            </w:r>
          </w:p>
        </w:tc>
      </w:tr>
      <w:tr w:rsidR="001E55A8" w:rsidRPr="007C5348" w14:paraId="73E48971" w14:textId="77777777" w:rsidTr="005B7F97">
        <w:trPr>
          <w:cantSplit/>
          <w:trHeight w:val="283"/>
          <w:tblHeader/>
        </w:trPr>
        <w:tc>
          <w:tcPr>
            <w:tcW w:w="3261" w:type="dxa"/>
            <w:tcBorders>
              <w:bottom w:val="single" w:sz="4" w:space="0" w:color="auto"/>
            </w:tcBorders>
          </w:tcPr>
          <w:p w14:paraId="10294447" w14:textId="08B88C16"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3D5E01">
              <w:rPr>
                <w:rFonts w:ascii="Arial Narrow" w:hAnsi="Arial Narrow"/>
                <w:b/>
                <w:sz w:val="20"/>
                <w:szCs w:val="20"/>
              </w:rPr>
              <w:t xml:space="preserve">Savings to </w:t>
            </w:r>
            <w:r w:rsidR="00FD74E4">
              <w:rPr>
                <w:rFonts w:ascii="Arial Narrow" w:hAnsi="Arial Narrow"/>
                <w:b/>
                <w:sz w:val="20"/>
                <w:szCs w:val="20"/>
              </w:rPr>
              <w:t>s</w:t>
            </w:r>
            <w:r w:rsidRPr="003D5E01">
              <w:rPr>
                <w:rFonts w:ascii="Arial Narrow" w:hAnsi="Arial Narrow"/>
                <w:b/>
                <w:sz w:val="20"/>
                <w:szCs w:val="20"/>
              </w:rPr>
              <w:t>tate</w:t>
            </w:r>
            <w:r w:rsidR="00FD74E4">
              <w:rPr>
                <w:rFonts w:ascii="Arial Narrow" w:hAnsi="Arial Narrow"/>
                <w:b/>
                <w:sz w:val="20"/>
                <w:szCs w:val="20"/>
              </w:rPr>
              <w:t>s</w:t>
            </w:r>
            <w:r w:rsidRPr="003D5E01">
              <w:rPr>
                <w:rFonts w:ascii="Arial Narrow" w:hAnsi="Arial Narrow"/>
                <w:b/>
                <w:sz w:val="20"/>
                <w:szCs w:val="20"/>
              </w:rPr>
              <w:t>/</w:t>
            </w:r>
            <w:r w:rsidR="00FD74E4">
              <w:rPr>
                <w:rFonts w:ascii="Arial Narrow" w:hAnsi="Arial Narrow"/>
                <w:b/>
                <w:sz w:val="20"/>
                <w:szCs w:val="20"/>
              </w:rPr>
              <w:t>t</w:t>
            </w:r>
            <w:r w:rsidRPr="003D5E01">
              <w:rPr>
                <w:rFonts w:ascii="Arial Narrow" w:hAnsi="Arial Narrow"/>
                <w:b/>
                <w:sz w:val="20"/>
                <w:szCs w:val="20"/>
              </w:rPr>
              <w:t>erritories</w:t>
            </w:r>
          </w:p>
        </w:tc>
        <w:tc>
          <w:tcPr>
            <w:tcW w:w="1174" w:type="dxa"/>
            <w:tcBorders>
              <w:bottom w:val="single" w:sz="4" w:space="0" w:color="auto"/>
            </w:tcBorders>
            <w:vAlign w:val="bottom"/>
          </w:tcPr>
          <w:p w14:paraId="1A2D1EE7" w14:textId="77777777" w:rsidR="001E55A8" w:rsidRPr="003D5E01" w:rsidRDefault="001E55A8" w:rsidP="005B7F97">
            <w:pPr>
              <w:pStyle w:val="Tabletext1"/>
              <w:ind w:left="34"/>
              <w:jc w:val="right"/>
              <w:rPr>
                <w:b/>
              </w:rPr>
            </w:pPr>
            <w:r w:rsidRPr="003D5E01">
              <w:rPr>
                <w:b/>
              </w:rPr>
              <w:t>$969,726</w:t>
            </w:r>
          </w:p>
        </w:tc>
        <w:tc>
          <w:tcPr>
            <w:tcW w:w="1175" w:type="dxa"/>
            <w:tcBorders>
              <w:bottom w:val="single" w:sz="4" w:space="0" w:color="auto"/>
            </w:tcBorders>
            <w:vAlign w:val="bottom"/>
          </w:tcPr>
          <w:p w14:paraId="500745DB" w14:textId="77777777" w:rsidR="001E55A8" w:rsidRPr="003D5E01" w:rsidRDefault="001E55A8" w:rsidP="005B7F97">
            <w:pPr>
              <w:pStyle w:val="Tabletext1"/>
              <w:ind w:left="34"/>
              <w:jc w:val="right"/>
              <w:rPr>
                <w:b/>
              </w:rPr>
            </w:pPr>
            <w:r w:rsidRPr="003D5E01">
              <w:rPr>
                <w:b/>
              </w:rPr>
              <w:t>$1,115,184</w:t>
            </w:r>
          </w:p>
        </w:tc>
        <w:tc>
          <w:tcPr>
            <w:tcW w:w="1174" w:type="dxa"/>
            <w:tcBorders>
              <w:bottom w:val="single" w:sz="4" w:space="0" w:color="auto"/>
            </w:tcBorders>
            <w:vAlign w:val="bottom"/>
          </w:tcPr>
          <w:p w14:paraId="420FB667" w14:textId="77777777" w:rsidR="001E55A8" w:rsidRPr="003D5E01" w:rsidRDefault="001E55A8" w:rsidP="005B7F97">
            <w:pPr>
              <w:pStyle w:val="Tabletext1"/>
              <w:ind w:left="34"/>
              <w:jc w:val="right"/>
              <w:rPr>
                <w:b/>
              </w:rPr>
            </w:pPr>
            <w:r w:rsidRPr="003D5E01">
              <w:rPr>
                <w:b/>
              </w:rPr>
              <w:t>$1,282,462</w:t>
            </w:r>
          </w:p>
        </w:tc>
        <w:tc>
          <w:tcPr>
            <w:tcW w:w="1175" w:type="dxa"/>
            <w:tcBorders>
              <w:bottom w:val="single" w:sz="4" w:space="0" w:color="auto"/>
            </w:tcBorders>
            <w:vAlign w:val="bottom"/>
          </w:tcPr>
          <w:p w14:paraId="6FD57112" w14:textId="77777777" w:rsidR="001E55A8" w:rsidRPr="003D5E01" w:rsidRDefault="001E55A8" w:rsidP="005B7F97">
            <w:pPr>
              <w:pStyle w:val="Tabletext1"/>
              <w:ind w:left="34"/>
              <w:jc w:val="right"/>
              <w:rPr>
                <w:b/>
              </w:rPr>
            </w:pPr>
            <w:r w:rsidRPr="003D5E01">
              <w:rPr>
                <w:b/>
              </w:rPr>
              <w:t>$1,474,831</w:t>
            </w:r>
          </w:p>
        </w:tc>
        <w:tc>
          <w:tcPr>
            <w:tcW w:w="1175" w:type="dxa"/>
            <w:tcBorders>
              <w:bottom w:val="single" w:sz="4" w:space="0" w:color="auto"/>
            </w:tcBorders>
            <w:vAlign w:val="bottom"/>
          </w:tcPr>
          <w:p w14:paraId="6A5FAFB4" w14:textId="77777777" w:rsidR="001E55A8" w:rsidRPr="003D5E01" w:rsidRDefault="001E55A8" w:rsidP="005B7F97">
            <w:pPr>
              <w:pStyle w:val="Tabletext1"/>
              <w:ind w:left="34"/>
              <w:jc w:val="right"/>
              <w:rPr>
                <w:b/>
              </w:rPr>
            </w:pPr>
            <w:r w:rsidRPr="003D5E01">
              <w:rPr>
                <w:b/>
              </w:rPr>
              <w:t>$1,696,056</w:t>
            </w:r>
          </w:p>
        </w:tc>
      </w:tr>
      <w:tr w:rsidR="001E55A8" w:rsidRPr="007C5348" w14:paraId="36803F1B" w14:textId="77777777" w:rsidTr="005B7F97">
        <w:trPr>
          <w:cantSplit/>
          <w:trHeight w:val="283"/>
          <w:tblHeader/>
        </w:trPr>
        <w:tc>
          <w:tcPr>
            <w:tcW w:w="3261" w:type="dxa"/>
            <w:tcBorders>
              <w:bottom w:val="single" w:sz="8" w:space="0" w:color="auto"/>
            </w:tcBorders>
          </w:tcPr>
          <w:p w14:paraId="2179BA53" w14:textId="00D0F67F"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3D5E01">
              <w:rPr>
                <w:rFonts w:ascii="Arial Narrow" w:hAnsi="Arial Narrow"/>
                <w:b/>
                <w:sz w:val="20"/>
                <w:szCs w:val="20"/>
              </w:rPr>
              <w:t xml:space="preserve">Net </w:t>
            </w:r>
            <w:r w:rsidR="00D03332">
              <w:rPr>
                <w:rFonts w:ascii="Arial Narrow" w:hAnsi="Arial Narrow"/>
                <w:b/>
                <w:sz w:val="20"/>
                <w:szCs w:val="20"/>
              </w:rPr>
              <w:t>savings</w:t>
            </w:r>
            <w:r w:rsidR="00C34350">
              <w:rPr>
                <w:rFonts w:ascii="Arial Narrow" w:hAnsi="Arial Narrow"/>
                <w:b/>
                <w:sz w:val="20"/>
                <w:szCs w:val="20"/>
              </w:rPr>
              <w:t xml:space="preserve"> </w:t>
            </w:r>
            <w:r w:rsidRPr="003D5E01">
              <w:rPr>
                <w:rFonts w:ascii="Arial Narrow" w:hAnsi="Arial Narrow"/>
                <w:b/>
                <w:sz w:val="20"/>
                <w:szCs w:val="20"/>
              </w:rPr>
              <w:t>to government health budgets</w:t>
            </w:r>
          </w:p>
        </w:tc>
        <w:tc>
          <w:tcPr>
            <w:tcW w:w="1174" w:type="dxa"/>
            <w:tcBorders>
              <w:bottom w:val="single" w:sz="8" w:space="0" w:color="auto"/>
            </w:tcBorders>
            <w:vAlign w:val="bottom"/>
          </w:tcPr>
          <w:p w14:paraId="55EDC8CF" w14:textId="77777777" w:rsidR="001E55A8" w:rsidRPr="003C3194" w:rsidRDefault="001E55A8" w:rsidP="005B7F97">
            <w:pPr>
              <w:pStyle w:val="Tabletext1"/>
              <w:ind w:left="34"/>
              <w:jc w:val="right"/>
              <w:rPr>
                <w:b/>
              </w:rPr>
            </w:pPr>
            <w:r w:rsidRPr="003D5E01">
              <w:rPr>
                <w:b/>
              </w:rPr>
              <w:t>$837,201</w:t>
            </w:r>
          </w:p>
        </w:tc>
        <w:tc>
          <w:tcPr>
            <w:tcW w:w="1175" w:type="dxa"/>
            <w:tcBorders>
              <w:bottom w:val="single" w:sz="8" w:space="0" w:color="auto"/>
            </w:tcBorders>
            <w:vAlign w:val="bottom"/>
          </w:tcPr>
          <w:p w14:paraId="1E3D920E" w14:textId="77777777" w:rsidR="001E55A8" w:rsidRPr="003C3194" w:rsidRDefault="001E55A8" w:rsidP="005B7F97">
            <w:pPr>
              <w:pStyle w:val="Tabletext1"/>
              <w:ind w:left="34"/>
              <w:jc w:val="right"/>
              <w:rPr>
                <w:b/>
              </w:rPr>
            </w:pPr>
            <w:r w:rsidRPr="003D5E01">
              <w:rPr>
                <w:b/>
              </w:rPr>
              <w:t>$962,781</w:t>
            </w:r>
          </w:p>
        </w:tc>
        <w:tc>
          <w:tcPr>
            <w:tcW w:w="1174" w:type="dxa"/>
            <w:tcBorders>
              <w:bottom w:val="single" w:sz="8" w:space="0" w:color="auto"/>
            </w:tcBorders>
            <w:vAlign w:val="bottom"/>
          </w:tcPr>
          <w:p w14:paraId="3B18E94B" w14:textId="77777777" w:rsidR="001E55A8" w:rsidRPr="003C3194" w:rsidRDefault="001E55A8" w:rsidP="005B7F97">
            <w:pPr>
              <w:pStyle w:val="Tabletext1"/>
              <w:ind w:left="34"/>
              <w:jc w:val="right"/>
              <w:rPr>
                <w:b/>
              </w:rPr>
            </w:pPr>
            <w:r w:rsidRPr="003D5E01">
              <w:rPr>
                <w:b/>
              </w:rPr>
              <w:t>$1,107,198</w:t>
            </w:r>
          </w:p>
        </w:tc>
        <w:tc>
          <w:tcPr>
            <w:tcW w:w="1175" w:type="dxa"/>
            <w:tcBorders>
              <w:bottom w:val="single" w:sz="8" w:space="0" w:color="auto"/>
            </w:tcBorders>
            <w:vAlign w:val="bottom"/>
          </w:tcPr>
          <w:p w14:paraId="45BAC3A7" w14:textId="77777777" w:rsidR="001E55A8" w:rsidRPr="003C3194" w:rsidRDefault="001E55A8" w:rsidP="005B7F97">
            <w:pPr>
              <w:pStyle w:val="Tabletext1"/>
              <w:ind w:left="34"/>
              <w:jc w:val="right"/>
              <w:rPr>
                <w:b/>
              </w:rPr>
            </w:pPr>
            <w:r w:rsidRPr="003D5E01">
              <w:rPr>
                <w:b/>
              </w:rPr>
              <w:t>$1,273,278</w:t>
            </w:r>
          </w:p>
        </w:tc>
        <w:tc>
          <w:tcPr>
            <w:tcW w:w="1175" w:type="dxa"/>
            <w:tcBorders>
              <w:bottom w:val="single" w:sz="8" w:space="0" w:color="auto"/>
            </w:tcBorders>
            <w:vAlign w:val="bottom"/>
          </w:tcPr>
          <w:p w14:paraId="28F0BC9B" w14:textId="77777777" w:rsidR="001E55A8" w:rsidRPr="003C3194" w:rsidRDefault="001E55A8" w:rsidP="005B7F97">
            <w:pPr>
              <w:pStyle w:val="Tabletext1"/>
              <w:ind w:left="34"/>
              <w:jc w:val="right"/>
              <w:rPr>
                <w:b/>
              </w:rPr>
            </w:pPr>
            <w:r w:rsidRPr="003D5E01">
              <w:rPr>
                <w:b/>
              </w:rPr>
              <w:t>$1,464,270</w:t>
            </w:r>
          </w:p>
        </w:tc>
      </w:tr>
      <w:tr w:rsidR="001E55A8" w:rsidRPr="003D5E01" w14:paraId="4B22FE70" w14:textId="77777777" w:rsidTr="005B7F97">
        <w:trPr>
          <w:cantSplit/>
          <w:trHeight w:val="283"/>
        </w:trPr>
        <w:tc>
          <w:tcPr>
            <w:tcW w:w="3261" w:type="dxa"/>
            <w:tcBorders>
              <w:top w:val="single" w:sz="8" w:space="0" w:color="auto"/>
              <w:right w:val="nil"/>
            </w:tcBorders>
            <w:vAlign w:val="center"/>
          </w:tcPr>
          <w:p w14:paraId="7101BC82" w14:textId="5D662C9E"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Growth rate 10% (base</w:t>
            </w:r>
            <w:r w:rsidR="00FD74E4">
              <w:rPr>
                <w:rFonts w:ascii="Arial Narrow" w:hAnsi="Arial Narrow"/>
                <w:i/>
                <w:sz w:val="20"/>
                <w:szCs w:val="20"/>
              </w:rPr>
              <w:t>-</w:t>
            </w:r>
            <w:r w:rsidRPr="002F38D0">
              <w:rPr>
                <w:rFonts w:ascii="Arial Narrow" w:hAnsi="Arial Narrow"/>
                <w:i/>
                <w:sz w:val="20"/>
                <w:szCs w:val="20"/>
              </w:rPr>
              <w:t>case: 15%)</w:t>
            </w:r>
          </w:p>
        </w:tc>
        <w:tc>
          <w:tcPr>
            <w:tcW w:w="1174" w:type="dxa"/>
            <w:tcBorders>
              <w:top w:val="single" w:sz="8" w:space="0" w:color="auto"/>
              <w:left w:val="nil"/>
              <w:right w:val="nil"/>
            </w:tcBorders>
            <w:vAlign w:val="bottom"/>
          </w:tcPr>
          <w:p w14:paraId="6AA9AEED" w14:textId="77777777" w:rsidR="001E55A8" w:rsidRPr="003D5E01" w:rsidRDefault="001E55A8" w:rsidP="005B7F97">
            <w:pPr>
              <w:keepNext/>
              <w:widowControl w:val="0"/>
              <w:spacing w:before="40" w:after="40" w:line="240" w:lineRule="auto"/>
              <w:ind w:left="34"/>
              <w:rPr>
                <w:rFonts w:ascii="Arial Narrow" w:hAnsi="Arial Narrow"/>
                <w:i/>
                <w:color w:val="FFFFFF" w:themeColor="background1"/>
                <w:sz w:val="20"/>
                <w:szCs w:val="20"/>
              </w:rPr>
            </w:pPr>
            <w:r w:rsidRPr="002F38D0">
              <w:rPr>
                <w:rFonts w:ascii="Arial Narrow" w:hAnsi="Arial Narrow"/>
                <w:i/>
                <w:color w:val="FFFFFF" w:themeColor="background1"/>
                <w:sz w:val="20"/>
                <w:szCs w:val="20"/>
              </w:rPr>
              <w:t>-</w:t>
            </w:r>
          </w:p>
        </w:tc>
        <w:tc>
          <w:tcPr>
            <w:tcW w:w="1175" w:type="dxa"/>
            <w:tcBorders>
              <w:top w:val="single" w:sz="8" w:space="0" w:color="auto"/>
              <w:left w:val="nil"/>
              <w:right w:val="nil"/>
            </w:tcBorders>
            <w:vAlign w:val="bottom"/>
          </w:tcPr>
          <w:p w14:paraId="0AA8A2ED" w14:textId="77777777" w:rsidR="001E55A8" w:rsidRPr="003D5E01" w:rsidRDefault="001E55A8" w:rsidP="005B7F97">
            <w:pPr>
              <w:keepNext/>
              <w:widowControl w:val="0"/>
              <w:spacing w:before="40" w:after="40" w:line="240" w:lineRule="auto"/>
              <w:ind w:left="34"/>
              <w:rPr>
                <w:rFonts w:ascii="Arial Narrow" w:hAnsi="Arial Narrow"/>
                <w:i/>
                <w:color w:val="FFFFFF" w:themeColor="background1"/>
                <w:sz w:val="20"/>
                <w:szCs w:val="20"/>
              </w:rPr>
            </w:pPr>
            <w:r w:rsidRPr="002F38D0">
              <w:rPr>
                <w:rFonts w:ascii="Arial Narrow" w:hAnsi="Arial Narrow"/>
                <w:i/>
                <w:color w:val="FFFFFF" w:themeColor="background1"/>
                <w:sz w:val="20"/>
                <w:szCs w:val="20"/>
              </w:rPr>
              <w:t>-</w:t>
            </w:r>
          </w:p>
        </w:tc>
        <w:tc>
          <w:tcPr>
            <w:tcW w:w="1174" w:type="dxa"/>
            <w:tcBorders>
              <w:top w:val="single" w:sz="8" w:space="0" w:color="auto"/>
              <w:left w:val="nil"/>
              <w:right w:val="nil"/>
            </w:tcBorders>
            <w:vAlign w:val="bottom"/>
          </w:tcPr>
          <w:p w14:paraId="027F1600" w14:textId="77777777" w:rsidR="001E55A8" w:rsidRPr="003D5E01" w:rsidRDefault="001E55A8" w:rsidP="005B7F97">
            <w:pPr>
              <w:keepNext/>
              <w:widowControl w:val="0"/>
              <w:spacing w:before="40" w:after="40" w:line="240" w:lineRule="auto"/>
              <w:ind w:left="34"/>
              <w:rPr>
                <w:rFonts w:ascii="Arial Narrow" w:hAnsi="Arial Narrow"/>
                <w:i/>
                <w:color w:val="FFFFFF" w:themeColor="background1"/>
                <w:sz w:val="20"/>
                <w:szCs w:val="20"/>
              </w:rPr>
            </w:pPr>
            <w:r w:rsidRPr="002F38D0">
              <w:rPr>
                <w:rFonts w:ascii="Arial Narrow" w:hAnsi="Arial Narrow"/>
                <w:i/>
                <w:color w:val="FFFFFF" w:themeColor="background1"/>
                <w:sz w:val="20"/>
                <w:szCs w:val="20"/>
              </w:rPr>
              <w:t>-</w:t>
            </w:r>
          </w:p>
        </w:tc>
        <w:tc>
          <w:tcPr>
            <w:tcW w:w="1175" w:type="dxa"/>
            <w:tcBorders>
              <w:top w:val="single" w:sz="8" w:space="0" w:color="auto"/>
              <w:left w:val="nil"/>
              <w:right w:val="nil"/>
            </w:tcBorders>
            <w:vAlign w:val="bottom"/>
          </w:tcPr>
          <w:p w14:paraId="607B9E71" w14:textId="77777777" w:rsidR="001E55A8" w:rsidRPr="003D5E01" w:rsidRDefault="001E55A8" w:rsidP="005B7F97">
            <w:pPr>
              <w:keepNext/>
              <w:widowControl w:val="0"/>
              <w:spacing w:before="40" w:after="40" w:line="240" w:lineRule="auto"/>
              <w:ind w:left="34"/>
              <w:rPr>
                <w:rFonts w:ascii="Arial Narrow" w:hAnsi="Arial Narrow"/>
                <w:i/>
                <w:color w:val="FFFFFF" w:themeColor="background1"/>
                <w:sz w:val="20"/>
                <w:szCs w:val="20"/>
              </w:rPr>
            </w:pPr>
            <w:r w:rsidRPr="002F38D0">
              <w:rPr>
                <w:rFonts w:ascii="Arial Narrow" w:hAnsi="Arial Narrow"/>
                <w:i/>
                <w:color w:val="FFFFFF" w:themeColor="background1"/>
                <w:sz w:val="20"/>
                <w:szCs w:val="20"/>
              </w:rPr>
              <w:t>-</w:t>
            </w:r>
          </w:p>
        </w:tc>
        <w:tc>
          <w:tcPr>
            <w:tcW w:w="1175" w:type="dxa"/>
            <w:tcBorders>
              <w:top w:val="single" w:sz="8" w:space="0" w:color="auto"/>
              <w:left w:val="nil"/>
            </w:tcBorders>
            <w:vAlign w:val="bottom"/>
          </w:tcPr>
          <w:p w14:paraId="017A47D9" w14:textId="77777777" w:rsidR="001E55A8" w:rsidRPr="003D5E01" w:rsidRDefault="001E55A8" w:rsidP="005B7F97">
            <w:pPr>
              <w:keepNext/>
              <w:widowControl w:val="0"/>
              <w:spacing w:before="40" w:after="40" w:line="240" w:lineRule="auto"/>
              <w:ind w:left="34"/>
              <w:rPr>
                <w:rFonts w:ascii="Arial Narrow" w:hAnsi="Arial Narrow"/>
                <w:i/>
                <w:color w:val="FFFFFF" w:themeColor="background1"/>
                <w:sz w:val="20"/>
                <w:szCs w:val="20"/>
              </w:rPr>
            </w:pPr>
            <w:r w:rsidRPr="002F38D0">
              <w:rPr>
                <w:rFonts w:ascii="Arial Narrow" w:hAnsi="Arial Narrow"/>
                <w:i/>
                <w:color w:val="FFFFFF" w:themeColor="background1"/>
                <w:sz w:val="20"/>
                <w:szCs w:val="20"/>
              </w:rPr>
              <w:t>-</w:t>
            </w:r>
          </w:p>
        </w:tc>
      </w:tr>
      <w:tr w:rsidR="001E55A8" w:rsidRPr="007C5348" w14:paraId="5677E892" w14:textId="77777777" w:rsidTr="005B7F97">
        <w:trPr>
          <w:cantSplit/>
          <w:trHeight w:val="283"/>
        </w:trPr>
        <w:tc>
          <w:tcPr>
            <w:tcW w:w="3261" w:type="dxa"/>
          </w:tcPr>
          <w:p w14:paraId="1887E7C8"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30D3A179" w14:textId="77777777" w:rsidR="001E55A8" w:rsidRPr="00427258" w:rsidRDefault="001E55A8" w:rsidP="005B7F97">
            <w:pPr>
              <w:pStyle w:val="Tabletext1"/>
              <w:ind w:left="34"/>
              <w:jc w:val="right"/>
            </w:pPr>
            <w:r w:rsidRPr="003D5E01">
              <w:t>$1,512,585</w:t>
            </w:r>
          </w:p>
        </w:tc>
        <w:tc>
          <w:tcPr>
            <w:tcW w:w="1175" w:type="dxa"/>
            <w:vAlign w:val="bottom"/>
          </w:tcPr>
          <w:p w14:paraId="41E6732D" w14:textId="77777777" w:rsidR="001E55A8" w:rsidRPr="00427258" w:rsidRDefault="001E55A8" w:rsidP="005B7F97">
            <w:pPr>
              <w:pStyle w:val="Tabletext1"/>
              <w:ind w:left="34"/>
              <w:jc w:val="right"/>
            </w:pPr>
            <w:r w:rsidRPr="003D5E01">
              <w:t>$1,663,844</w:t>
            </w:r>
          </w:p>
        </w:tc>
        <w:tc>
          <w:tcPr>
            <w:tcW w:w="1174" w:type="dxa"/>
            <w:vAlign w:val="bottom"/>
          </w:tcPr>
          <w:p w14:paraId="40DD657B" w14:textId="77777777" w:rsidR="001E55A8" w:rsidRPr="00427258" w:rsidRDefault="001E55A8" w:rsidP="005B7F97">
            <w:pPr>
              <w:pStyle w:val="Tabletext1"/>
              <w:ind w:left="34"/>
              <w:jc w:val="right"/>
            </w:pPr>
            <w:r w:rsidRPr="003D5E01">
              <w:t>$1,830,228</w:t>
            </w:r>
          </w:p>
        </w:tc>
        <w:tc>
          <w:tcPr>
            <w:tcW w:w="1175" w:type="dxa"/>
            <w:vAlign w:val="bottom"/>
          </w:tcPr>
          <w:p w14:paraId="088AFB40" w14:textId="77777777" w:rsidR="001E55A8" w:rsidRPr="00427258" w:rsidRDefault="001E55A8" w:rsidP="005B7F97">
            <w:pPr>
              <w:pStyle w:val="Tabletext1"/>
              <w:ind w:left="34"/>
              <w:jc w:val="right"/>
            </w:pPr>
            <w:r w:rsidRPr="003D5E01">
              <w:t>$2,013,251</w:t>
            </w:r>
          </w:p>
        </w:tc>
        <w:tc>
          <w:tcPr>
            <w:tcW w:w="1175" w:type="dxa"/>
            <w:vAlign w:val="bottom"/>
          </w:tcPr>
          <w:p w14:paraId="56D57860" w14:textId="77777777" w:rsidR="001E55A8" w:rsidRPr="00427258" w:rsidRDefault="001E55A8" w:rsidP="005B7F97">
            <w:pPr>
              <w:pStyle w:val="Tabletext1"/>
              <w:ind w:left="34"/>
              <w:jc w:val="right"/>
            </w:pPr>
            <w:r w:rsidRPr="003D5E01">
              <w:t>$2,214,576</w:t>
            </w:r>
          </w:p>
        </w:tc>
      </w:tr>
      <w:tr w:rsidR="001E55A8" w:rsidRPr="007C5348" w14:paraId="4A231A0A" w14:textId="77777777" w:rsidTr="005B7F97">
        <w:trPr>
          <w:cantSplit/>
          <w:trHeight w:val="283"/>
        </w:trPr>
        <w:tc>
          <w:tcPr>
            <w:tcW w:w="3261" w:type="dxa"/>
            <w:tcBorders>
              <w:bottom w:val="single" w:sz="4" w:space="0" w:color="auto"/>
            </w:tcBorders>
          </w:tcPr>
          <w:p w14:paraId="5121FFE1" w14:textId="7B0B2D7A"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tcBorders>
              <w:bottom w:val="single" w:sz="4" w:space="0" w:color="auto"/>
            </w:tcBorders>
            <w:vAlign w:val="bottom"/>
          </w:tcPr>
          <w:p w14:paraId="20624896" w14:textId="77777777" w:rsidR="001E55A8" w:rsidRPr="00CE0A6D" w:rsidRDefault="001E55A8" w:rsidP="005B7F97">
            <w:pPr>
              <w:pStyle w:val="Tabletext1"/>
              <w:ind w:left="34"/>
              <w:jc w:val="right"/>
            </w:pPr>
            <w:r>
              <w:t>$</w:t>
            </w:r>
            <w:r w:rsidRPr="003D5E01">
              <w:t>811,761</w:t>
            </w:r>
          </w:p>
        </w:tc>
        <w:tc>
          <w:tcPr>
            <w:tcW w:w="1175" w:type="dxa"/>
            <w:tcBorders>
              <w:bottom w:val="single" w:sz="4" w:space="0" w:color="auto"/>
            </w:tcBorders>
            <w:vAlign w:val="bottom"/>
          </w:tcPr>
          <w:p w14:paraId="758760E8" w14:textId="77777777" w:rsidR="001E55A8" w:rsidRPr="00CE0A6D" w:rsidRDefault="001E55A8" w:rsidP="005B7F97">
            <w:pPr>
              <w:pStyle w:val="Tabletext1"/>
              <w:ind w:left="34"/>
              <w:jc w:val="right"/>
            </w:pPr>
            <w:r>
              <w:t>$</w:t>
            </w:r>
            <w:r w:rsidRPr="003D5E01">
              <w:t>892,937</w:t>
            </w:r>
          </w:p>
        </w:tc>
        <w:tc>
          <w:tcPr>
            <w:tcW w:w="1174" w:type="dxa"/>
            <w:tcBorders>
              <w:bottom w:val="single" w:sz="4" w:space="0" w:color="auto"/>
            </w:tcBorders>
            <w:vAlign w:val="bottom"/>
          </w:tcPr>
          <w:p w14:paraId="659D89E2" w14:textId="77777777" w:rsidR="001E55A8" w:rsidRPr="00CE0A6D" w:rsidRDefault="001E55A8" w:rsidP="005B7F97">
            <w:pPr>
              <w:pStyle w:val="Tabletext1"/>
              <w:ind w:left="34"/>
              <w:jc w:val="right"/>
            </w:pPr>
            <w:r>
              <w:t>$</w:t>
            </w:r>
            <w:r w:rsidRPr="003D5E01">
              <w:t>982,231</w:t>
            </w:r>
          </w:p>
        </w:tc>
        <w:tc>
          <w:tcPr>
            <w:tcW w:w="1175" w:type="dxa"/>
            <w:tcBorders>
              <w:bottom w:val="single" w:sz="4" w:space="0" w:color="auto"/>
            </w:tcBorders>
            <w:vAlign w:val="bottom"/>
          </w:tcPr>
          <w:p w14:paraId="67BF88A1" w14:textId="77777777" w:rsidR="001E55A8" w:rsidRPr="00CE0A6D" w:rsidRDefault="001E55A8" w:rsidP="005B7F97">
            <w:pPr>
              <w:pStyle w:val="Tabletext1"/>
              <w:ind w:left="34"/>
              <w:jc w:val="right"/>
            </w:pPr>
            <w:r>
              <w:t>$</w:t>
            </w:r>
            <w:r w:rsidRPr="003D5E01">
              <w:t>1,080,454</w:t>
            </w:r>
          </w:p>
        </w:tc>
        <w:tc>
          <w:tcPr>
            <w:tcW w:w="1175" w:type="dxa"/>
            <w:tcBorders>
              <w:bottom w:val="single" w:sz="4" w:space="0" w:color="auto"/>
            </w:tcBorders>
            <w:vAlign w:val="bottom"/>
          </w:tcPr>
          <w:p w14:paraId="39E9670C" w14:textId="77777777" w:rsidR="001E55A8" w:rsidRPr="00CE0A6D" w:rsidRDefault="001E55A8" w:rsidP="005B7F97">
            <w:pPr>
              <w:pStyle w:val="Tabletext1"/>
              <w:ind w:left="34"/>
              <w:jc w:val="right"/>
            </w:pPr>
            <w:r>
              <w:t>$</w:t>
            </w:r>
            <w:r w:rsidRPr="003D5E01">
              <w:t>1,188,499</w:t>
            </w:r>
          </w:p>
        </w:tc>
      </w:tr>
      <w:tr w:rsidR="001E55A8" w:rsidRPr="007C5348" w14:paraId="1ED90885" w14:textId="77777777" w:rsidTr="005B7F97">
        <w:trPr>
          <w:cantSplit/>
          <w:trHeight w:val="283"/>
        </w:trPr>
        <w:tc>
          <w:tcPr>
            <w:tcW w:w="3261" w:type="dxa"/>
            <w:tcBorders>
              <w:bottom w:val="single" w:sz="8" w:space="0" w:color="auto"/>
            </w:tcBorders>
          </w:tcPr>
          <w:p w14:paraId="3FAAD3F0" w14:textId="35174F78" w:rsidR="001E55A8" w:rsidRPr="003D5E01"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tcBorders>
              <w:bottom w:val="single" w:sz="8" w:space="0" w:color="auto"/>
            </w:tcBorders>
            <w:vAlign w:val="bottom"/>
          </w:tcPr>
          <w:p w14:paraId="17918405" w14:textId="77777777" w:rsidR="001E55A8" w:rsidRPr="00CE0A6D" w:rsidRDefault="001E55A8" w:rsidP="005B7F97">
            <w:pPr>
              <w:pStyle w:val="Tabletext1"/>
              <w:ind w:left="34"/>
              <w:jc w:val="right"/>
            </w:pPr>
            <w:r w:rsidRPr="003D5E01">
              <w:t>$700,824</w:t>
            </w:r>
          </w:p>
        </w:tc>
        <w:tc>
          <w:tcPr>
            <w:tcW w:w="1175" w:type="dxa"/>
            <w:tcBorders>
              <w:bottom w:val="single" w:sz="8" w:space="0" w:color="auto"/>
            </w:tcBorders>
            <w:vAlign w:val="bottom"/>
          </w:tcPr>
          <w:p w14:paraId="44826186" w14:textId="77777777" w:rsidR="001E55A8" w:rsidRPr="00CE0A6D" w:rsidRDefault="001E55A8" w:rsidP="005B7F97">
            <w:pPr>
              <w:pStyle w:val="Tabletext1"/>
              <w:ind w:left="34"/>
              <w:jc w:val="right"/>
            </w:pPr>
            <w:r w:rsidRPr="003D5E01">
              <w:t>$770,907</w:t>
            </w:r>
          </w:p>
        </w:tc>
        <w:tc>
          <w:tcPr>
            <w:tcW w:w="1174" w:type="dxa"/>
            <w:tcBorders>
              <w:bottom w:val="single" w:sz="8" w:space="0" w:color="auto"/>
            </w:tcBorders>
            <w:vAlign w:val="bottom"/>
          </w:tcPr>
          <w:p w14:paraId="58E423E0" w14:textId="77777777" w:rsidR="001E55A8" w:rsidRPr="00CE0A6D" w:rsidRDefault="001E55A8" w:rsidP="005B7F97">
            <w:pPr>
              <w:pStyle w:val="Tabletext1"/>
              <w:ind w:left="34"/>
              <w:jc w:val="right"/>
            </w:pPr>
            <w:r w:rsidRPr="003D5E01">
              <w:t>$847,997</w:t>
            </w:r>
          </w:p>
        </w:tc>
        <w:tc>
          <w:tcPr>
            <w:tcW w:w="1175" w:type="dxa"/>
            <w:tcBorders>
              <w:bottom w:val="single" w:sz="8" w:space="0" w:color="auto"/>
            </w:tcBorders>
            <w:vAlign w:val="bottom"/>
          </w:tcPr>
          <w:p w14:paraId="43412C2E" w14:textId="77777777" w:rsidR="001E55A8" w:rsidRPr="00CE0A6D" w:rsidRDefault="001E55A8" w:rsidP="005B7F97">
            <w:pPr>
              <w:pStyle w:val="Tabletext1"/>
              <w:ind w:left="34"/>
              <w:jc w:val="right"/>
            </w:pPr>
            <w:r w:rsidRPr="003D5E01">
              <w:t>$932,797</w:t>
            </w:r>
          </w:p>
        </w:tc>
        <w:tc>
          <w:tcPr>
            <w:tcW w:w="1175" w:type="dxa"/>
            <w:tcBorders>
              <w:bottom w:val="single" w:sz="8" w:space="0" w:color="auto"/>
            </w:tcBorders>
            <w:vAlign w:val="bottom"/>
          </w:tcPr>
          <w:p w14:paraId="3648B874" w14:textId="77777777" w:rsidR="001E55A8" w:rsidRPr="00CE0A6D" w:rsidRDefault="001E55A8" w:rsidP="005B7F97">
            <w:pPr>
              <w:pStyle w:val="Tabletext1"/>
              <w:ind w:left="34"/>
              <w:jc w:val="right"/>
            </w:pPr>
            <w:r w:rsidRPr="003D5E01">
              <w:t>$1,026,077</w:t>
            </w:r>
          </w:p>
        </w:tc>
      </w:tr>
      <w:tr w:rsidR="001E55A8" w:rsidRPr="00047E2E" w14:paraId="330AECC3" w14:textId="77777777" w:rsidTr="005B7F97">
        <w:trPr>
          <w:cantSplit/>
          <w:trHeight w:val="283"/>
        </w:trPr>
        <w:tc>
          <w:tcPr>
            <w:tcW w:w="3261" w:type="dxa"/>
            <w:tcBorders>
              <w:top w:val="single" w:sz="8" w:space="0" w:color="auto"/>
              <w:right w:val="nil"/>
            </w:tcBorders>
            <w:vAlign w:val="center"/>
          </w:tcPr>
          <w:p w14:paraId="072889A5" w14:textId="0072C9BC" w:rsidR="001E55A8" w:rsidRPr="00047E2E" w:rsidRDefault="001E55A8" w:rsidP="004566DC">
            <w:pPr>
              <w:keepNext/>
              <w:widowControl w:val="0"/>
              <w:spacing w:before="40" w:after="40" w:line="240" w:lineRule="auto"/>
              <w:ind w:left="34"/>
              <w:jc w:val="left"/>
              <w:rPr>
                <w:rFonts w:ascii="Arial Narrow" w:hAnsi="Arial Narrow"/>
                <w:i/>
                <w:sz w:val="20"/>
                <w:szCs w:val="20"/>
              </w:rPr>
            </w:pPr>
            <w:r w:rsidRPr="00047E2E">
              <w:rPr>
                <w:rFonts w:ascii="Arial Narrow" w:hAnsi="Arial Narrow"/>
                <w:i/>
                <w:sz w:val="20"/>
                <w:szCs w:val="20"/>
              </w:rPr>
              <w:t>Growth rat</w:t>
            </w:r>
            <w:r w:rsidR="00244D58">
              <w:rPr>
                <w:rFonts w:ascii="Arial Narrow" w:hAnsi="Arial Narrow"/>
                <w:i/>
                <w:sz w:val="20"/>
                <w:szCs w:val="20"/>
              </w:rPr>
              <w:t>e</w:t>
            </w:r>
            <w:r w:rsidRPr="00047E2E">
              <w:rPr>
                <w:rFonts w:ascii="Arial Narrow" w:hAnsi="Arial Narrow"/>
                <w:i/>
                <w:sz w:val="20"/>
                <w:szCs w:val="20"/>
              </w:rPr>
              <w:t xml:space="preserve"> </w:t>
            </w:r>
            <w:r>
              <w:rPr>
                <w:rFonts w:ascii="Arial Narrow" w:hAnsi="Arial Narrow"/>
                <w:i/>
                <w:sz w:val="20"/>
                <w:szCs w:val="20"/>
              </w:rPr>
              <w:t>5</w:t>
            </w:r>
            <w:r w:rsidRPr="00047E2E">
              <w:rPr>
                <w:rFonts w:ascii="Arial Narrow" w:hAnsi="Arial Narrow"/>
                <w:i/>
                <w:sz w:val="20"/>
                <w:szCs w:val="20"/>
              </w:rPr>
              <w:t>% (base</w:t>
            </w:r>
            <w:r w:rsidR="00FD74E4">
              <w:rPr>
                <w:rFonts w:ascii="Arial Narrow" w:hAnsi="Arial Narrow"/>
                <w:i/>
                <w:sz w:val="20"/>
                <w:szCs w:val="20"/>
              </w:rPr>
              <w:t>-</w:t>
            </w:r>
            <w:r w:rsidRPr="00047E2E">
              <w:rPr>
                <w:rFonts w:ascii="Arial Narrow" w:hAnsi="Arial Narrow"/>
                <w:i/>
                <w:sz w:val="20"/>
                <w:szCs w:val="20"/>
              </w:rPr>
              <w:t>case: 15%)</w:t>
            </w:r>
          </w:p>
        </w:tc>
        <w:tc>
          <w:tcPr>
            <w:tcW w:w="1174" w:type="dxa"/>
            <w:tcBorders>
              <w:top w:val="single" w:sz="8" w:space="0" w:color="auto"/>
              <w:left w:val="nil"/>
              <w:right w:val="nil"/>
            </w:tcBorders>
            <w:vAlign w:val="bottom"/>
          </w:tcPr>
          <w:p w14:paraId="393542AD" w14:textId="77777777" w:rsidR="001E55A8" w:rsidRPr="00047E2E" w:rsidRDefault="001E55A8" w:rsidP="005B7F97">
            <w:pPr>
              <w:keepNext/>
              <w:widowControl w:val="0"/>
              <w:spacing w:before="40" w:after="40" w:line="240" w:lineRule="auto"/>
              <w:ind w:left="34"/>
              <w:rPr>
                <w:rFonts w:ascii="Arial Narrow" w:hAnsi="Arial Narrow"/>
                <w:i/>
                <w:color w:val="FFFFFF" w:themeColor="background1"/>
                <w:sz w:val="20"/>
                <w:szCs w:val="20"/>
              </w:rPr>
            </w:pPr>
            <w:r w:rsidRPr="00047E2E">
              <w:rPr>
                <w:rFonts w:ascii="Arial Narrow" w:hAnsi="Arial Narrow"/>
                <w:i/>
                <w:color w:val="FFFFFF" w:themeColor="background1"/>
                <w:sz w:val="20"/>
                <w:szCs w:val="20"/>
              </w:rPr>
              <w:t>-</w:t>
            </w:r>
          </w:p>
        </w:tc>
        <w:tc>
          <w:tcPr>
            <w:tcW w:w="1175" w:type="dxa"/>
            <w:tcBorders>
              <w:top w:val="single" w:sz="8" w:space="0" w:color="auto"/>
              <w:left w:val="nil"/>
              <w:right w:val="nil"/>
            </w:tcBorders>
            <w:vAlign w:val="bottom"/>
          </w:tcPr>
          <w:p w14:paraId="4B4BC87B" w14:textId="77777777" w:rsidR="001E55A8" w:rsidRPr="00047E2E" w:rsidRDefault="001E55A8" w:rsidP="005B7F97">
            <w:pPr>
              <w:keepNext/>
              <w:widowControl w:val="0"/>
              <w:spacing w:before="40" w:after="40" w:line="240" w:lineRule="auto"/>
              <w:ind w:left="34"/>
              <w:rPr>
                <w:rFonts w:ascii="Arial Narrow" w:hAnsi="Arial Narrow"/>
                <w:i/>
                <w:color w:val="FFFFFF" w:themeColor="background1"/>
                <w:sz w:val="20"/>
                <w:szCs w:val="20"/>
              </w:rPr>
            </w:pPr>
            <w:r w:rsidRPr="00047E2E">
              <w:rPr>
                <w:rFonts w:ascii="Arial Narrow" w:hAnsi="Arial Narrow"/>
                <w:i/>
                <w:color w:val="FFFFFF" w:themeColor="background1"/>
                <w:sz w:val="20"/>
                <w:szCs w:val="20"/>
              </w:rPr>
              <w:t>-</w:t>
            </w:r>
          </w:p>
        </w:tc>
        <w:tc>
          <w:tcPr>
            <w:tcW w:w="1174" w:type="dxa"/>
            <w:tcBorders>
              <w:top w:val="single" w:sz="8" w:space="0" w:color="auto"/>
              <w:left w:val="nil"/>
              <w:right w:val="nil"/>
            </w:tcBorders>
            <w:vAlign w:val="bottom"/>
          </w:tcPr>
          <w:p w14:paraId="3556E429" w14:textId="77777777" w:rsidR="001E55A8" w:rsidRPr="00047E2E" w:rsidRDefault="001E55A8" w:rsidP="005B7F97">
            <w:pPr>
              <w:keepNext/>
              <w:widowControl w:val="0"/>
              <w:spacing w:before="40" w:after="40" w:line="240" w:lineRule="auto"/>
              <w:ind w:left="34"/>
              <w:rPr>
                <w:rFonts w:ascii="Arial Narrow" w:hAnsi="Arial Narrow"/>
                <w:i/>
                <w:color w:val="FFFFFF" w:themeColor="background1"/>
                <w:sz w:val="20"/>
                <w:szCs w:val="20"/>
              </w:rPr>
            </w:pPr>
            <w:r w:rsidRPr="00047E2E">
              <w:rPr>
                <w:rFonts w:ascii="Arial Narrow" w:hAnsi="Arial Narrow"/>
                <w:i/>
                <w:color w:val="FFFFFF" w:themeColor="background1"/>
                <w:sz w:val="20"/>
                <w:szCs w:val="20"/>
              </w:rPr>
              <w:t>-</w:t>
            </w:r>
          </w:p>
        </w:tc>
        <w:tc>
          <w:tcPr>
            <w:tcW w:w="1175" w:type="dxa"/>
            <w:tcBorders>
              <w:top w:val="single" w:sz="8" w:space="0" w:color="auto"/>
              <w:left w:val="nil"/>
              <w:right w:val="nil"/>
            </w:tcBorders>
            <w:vAlign w:val="bottom"/>
          </w:tcPr>
          <w:p w14:paraId="617BCBB0" w14:textId="77777777" w:rsidR="001E55A8" w:rsidRPr="00047E2E" w:rsidRDefault="001E55A8" w:rsidP="005B7F97">
            <w:pPr>
              <w:keepNext/>
              <w:widowControl w:val="0"/>
              <w:spacing w:before="40" w:after="40" w:line="240" w:lineRule="auto"/>
              <w:ind w:left="34"/>
              <w:rPr>
                <w:rFonts w:ascii="Arial Narrow" w:hAnsi="Arial Narrow"/>
                <w:i/>
                <w:color w:val="FFFFFF" w:themeColor="background1"/>
                <w:sz w:val="20"/>
                <w:szCs w:val="20"/>
              </w:rPr>
            </w:pPr>
            <w:r w:rsidRPr="00047E2E">
              <w:rPr>
                <w:rFonts w:ascii="Arial Narrow" w:hAnsi="Arial Narrow"/>
                <w:i/>
                <w:color w:val="FFFFFF" w:themeColor="background1"/>
                <w:sz w:val="20"/>
                <w:szCs w:val="20"/>
              </w:rPr>
              <w:t>-</w:t>
            </w:r>
          </w:p>
        </w:tc>
        <w:tc>
          <w:tcPr>
            <w:tcW w:w="1175" w:type="dxa"/>
            <w:tcBorders>
              <w:top w:val="single" w:sz="8" w:space="0" w:color="auto"/>
              <w:left w:val="nil"/>
            </w:tcBorders>
            <w:vAlign w:val="bottom"/>
          </w:tcPr>
          <w:p w14:paraId="65421420" w14:textId="77777777" w:rsidR="001E55A8" w:rsidRPr="00047E2E" w:rsidRDefault="001E55A8" w:rsidP="005B7F97">
            <w:pPr>
              <w:keepNext/>
              <w:widowControl w:val="0"/>
              <w:spacing w:before="40" w:after="40" w:line="240" w:lineRule="auto"/>
              <w:ind w:left="34"/>
              <w:rPr>
                <w:rFonts w:ascii="Arial Narrow" w:hAnsi="Arial Narrow"/>
                <w:i/>
                <w:color w:val="FFFFFF" w:themeColor="background1"/>
                <w:sz w:val="20"/>
                <w:szCs w:val="20"/>
              </w:rPr>
            </w:pPr>
            <w:r w:rsidRPr="00047E2E">
              <w:rPr>
                <w:rFonts w:ascii="Arial Narrow" w:hAnsi="Arial Narrow"/>
                <w:i/>
                <w:color w:val="FFFFFF" w:themeColor="background1"/>
                <w:sz w:val="20"/>
                <w:szCs w:val="20"/>
              </w:rPr>
              <w:t>-</w:t>
            </w:r>
          </w:p>
        </w:tc>
      </w:tr>
      <w:tr w:rsidR="001E55A8" w:rsidRPr="007C5348" w14:paraId="07592FD4" w14:textId="77777777" w:rsidTr="005B7F97">
        <w:trPr>
          <w:cantSplit/>
          <w:trHeight w:val="283"/>
        </w:trPr>
        <w:tc>
          <w:tcPr>
            <w:tcW w:w="3261" w:type="dxa"/>
          </w:tcPr>
          <w:p w14:paraId="4529C636"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6EA5E97E" w14:textId="77777777" w:rsidR="001E55A8" w:rsidRPr="00427258" w:rsidRDefault="001E55A8" w:rsidP="005B7F97">
            <w:pPr>
              <w:pStyle w:val="Tabletext1"/>
              <w:ind w:left="34"/>
              <w:jc w:val="right"/>
            </w:pPr>
            <w:r w:rsidRPr="003D5E01">
              <w:t>$1,255,759</w:t>
            </w:r>
          </w:p>
        </w:tc>
        <w:tc>
          <w:tcPr>
            <w:tcW w:w="1175" w:type="dxa"/>
            <w:vAlign w:val="bottom"/>
          </w:tcPr>
          <w:p w14:paraId="6DFB8BD8" w14:textId="77777777" w:rsidR="001E55A8" w:rsidRPr="00427258" w:rsidRDefault="001E55A8" w:rsidP="005B7F97">
            <w:pPr>
              <w:pStyle w:val="Tabletext1"/>
              <w:ind w:left="34"/>
              <w:jc w:val="right"/>
            </w:pPr>
            <w:r w:rsidRPr="003D5E01">
              <w:t>$1,318,547</w:t>
            </w:r>
          </w:p>
        </w:tc>
        <w:tc>
          <w:tcPr>
            <w:tcW w:w="1174" w:type="dxa"/>
            <w:vAlign w:val="bottom"/>
          </w:tcPr>
          <w:p w14:paraId="6630CE15" w14:textId="77777777" w:rsidR="001E55A8" w:rsidRPr="00427258" w:rsidRDefault="001E55A8" w:rsidP="005B7F97">
            <w:pPr>
              <w:pStyle w:val="Tabletext1"/>
              <w:ind w:left="34"/>
              <w:jc w:val="right"/>
            </w:pPr>
            <w:r w:rsidRPr="003D5E01">
              <w:t>$1,384,474</w:t>
            </w:r>
          </w:p>
        </w:tc>
        <w:tc>
          <w:tcPr>
            <w:tcW w:w="1175" w:type="dxa"/>
            <w:vAlign w:val="bottom"/>
          </w:tcPr>
          <w:p w14:paraId="795EFC21" w14:textId="77777777" w:rsidR="001E55A8" w:rsidRPr="00427258" w:rsidRDefault="001E55A8" w:rsidP="005B7F97">
            <w:pPr>
              <w:pStyle w:val="Tabletext1"/>
              <w:ind w:left="34"/>
              <w:jc w:val="right"/>
            </w:pPr>
            <w:r w:rsidRPr="003D5E01">
              <w:t>$1,453,698</w:t>
            </w:r>
          </w:p>
        </w:tc>
        <w:tc>
          <w:tcPr>
            <w:tcW w:w="1175" w:type="dxa"/>
            <w:vAlign w:val="bottom"/>
          </w:tcPr>
          <w:p w14:paraId="4BFB6B88" w14:textId="77777777" w:rsidR="001E55A8" w:rsidRPr="00427258" w:rsidRDefault="001E55A8" w:rsidP="005B7F97">
            <w:pPr>
              <w:pStyle w:val="Tabletext1"/>
              <w:ind w:left="34"/>
              <w:jc w:val="right"/>
            </w:pPr>
            <w:r w:rsidRPr="003D5E01">
              <w:t>$1,526,383</w:t>
            </w:r>
          </w:p>
        </w:tc>
      </w:tr>
      <w:tr w:rsidR="001E55A8" w:rsidRPr="007C5348" w14:paraId="1B7B4F6E" w14:textId="77777777" w:rsidTr="005B7F97">
        <w:trPr>
          <w:cantSplit/>
          <w:trHeight w:val="283"/>
        </w:trPr>
        <w:tc>
          <w:tcPr>
            <w:tcW w:w="3261" w:type="dxa"/>
            <w:tcBorders>
              <w:bottom w:val="single" w:sz="4" w:space="0" w:color="auto"/>
            </w:tcBorders>
          </w:tcPr>
          <w:p w14:paraId="038C8F51" w14:textId="16CB1253" w:rsidR="001E55A8" w:rsidRPr="00047E2E"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tcBorders>
              <w:bottom w:val="single" w:sz="4" w:space="0" w:color="auto"/>
            </w:tcBorders>
            <w:vAlign w:val="bottom"/>
          </w:tcPr>
          <w:p w14:paraId="4262CBDA" w14:textId="77777777" w:rsidR="001E55A8" w:rsidRPr="00047E2E" w:rsidRDefault="001E55A8" w:rsidP="005B7F97">
            <w:pPr>
              <w:pStyle w:val="Tabletext1"/>
              <w:ind w:left="34"/>
              <w:jc w:val="right"/>
            </w:pPr>
            <w:r>
              <w:t>$</w:t>
            </w:r>
            <w:r w:rsidRPr="003D5E01">
              <w:t>673,930</w:t>
            </w:r>
          </w:p>
        </w:tc>
        <w:tc>
          <w:tcPr>
            <w:tcW w:w="1175" w:type="dxa"/>
            <w:tcBorders>
              <w:bottom w:val="single" w:sz="4" w:space="0" w:color="auto"/>
            </w:tcBorders>
            <w:vAlign w:val="bottom"/>
          </w:tcPr>
          <w:p w14:paraId="6333313A" w14:textId="77777777" w:rsidR="001E55A8" w:rsidRPr="00047E2E" w:rsidRDefault="001E55A8" w:rsidP="005B7F97">
            <w:pPr>
              <w:pStyle w:val="Tabletext1"/>
              <w:ind w:left="34"/>
              <w:jc w:val="right"/>
            </w:pPr>
            <w:r>
              <w:t>$</w:t>
            </w:r>
            <w:r w:rsidRPr="003D5E01">
              <w:t>707,626</w:t>
            </w:r>
          </w:p>
        </w:tc>
        <w:tc>
          <w:tcPr>
            <w:tcW w:w="1174" w:type="dxa"/>
            <w:tcBorders>
              <w:bottom w:val="single" w:sz="4" w:space="0" w:color="auto"/>
            </w:tcBorders>
            <w:vAlign w:val="bottom"/>
          </w:tcPr>
          <w:p w14:paraId="3DF45F67" w14:textId="77777777" w:rsidR="001E55A8" w:rsidRPr="00047E2E" w:rsidRDefault="001E55A8" w:rsidP="005B7F97">
            <w:pPr>
              <w:pStyle w:val="Tabletext1"/>
              <w:ind w:left="34"/>
              <w:jc w:val="right"/>
            </w:pPr>
            <w:r>
              <w:t>$</w:t>
            </w:r>
            <w:r w:rsidRPr="003D5E01">
              <w:t>743,008</w:t>
            </w:r>
          </w:p>
        </w:tc>
        <w:tc>
          <w:tcPr>
            <w:tcW w:w="1175" w:type="dxa"/>
            <w:tcBorders>
              <w:bottom w:val="single" w:sz="4" w:space="0" w:color="auto"/>
            </w:tcBorders>
            <w:vAlign w:val="bottom"/>
          </w:tcPr>
          <w:p w14:paraId="62FCCA62" w14:textId="77777777" w:rsidR="001E55A8" w:rsidRPr="00047E2E" w:rsidRDefault="001E55A8" w:rsidP="005B7F97">
            <w:pPr>
              <w:pStyle w:val="Tabletext1"/>
              <w:ind w:left="34"/>
              <w:jc w:val="right"/>
            </w:pPr>
            <w:r>
              <w:t>$</w:t>
            </w:r>
            <w:r w:rsidRPr="003D5E01">
              <w:t>780,158</w:t>
            </w:r>
          </w:p>
        </w:tc>
        <w:tc>
          <w:tcPr>
            <w:tcW w:w="1175" w:type="dxa"/>
            <w:tcBorders>
              <w:bottom w:val="single" w:sz="4" w:space="0" w:color="auto"/>
            </w:tcBorders>
            <w:vAlign w:val="bottom"/>
          </w:tcPr>
          <w:p w14:paraId="16ECF4E2" w14:textId="77777777" w:rsidR="001E55A8" w:rsidRPr="00047E2E" w:rsidRDefault="001E55A8" w:rsidP="005B7F97">
            <w:pPr>
              <w:pStyle w:val="Tabletext1"/>
              <w:ind w:left="34"/>
              <w:jc w:val="right"/>
            </w:pPr>
            <w:r>
              <w:t>$</w:t>
            </w:r>
            <w:r w:rsidRPr="003D5E01">
              <w:t>819,166</w:t>
            </w:r>
          </w:p>
        </w:tc>
      </w:tr>
      <w:tr w:rsidR="001E55A8" w:rsidRPr="007C5348" w14:paraId="46B728E3" w14:textId="77777777" w:rsidTr="005B7F97">
        <w:trPr>
          <w:cantSplit/>
          <w:trHeight w:val="283"/>
        </w:trPr>
        <w:tc>
          <w:tcPr>
            <w:tcW w:w="3261" w:type="dxa"/>
            <w:tcBorders>
              <w:bottom w:val="single" w:sz="8" w:space="0" w:color="auto"/>
            </w:tcBorders>
          </w:tcPr>
          <w:p w14:paraId="64A2F3D1" w14:textId="52F260F5" w:rsidR="001E55A8" w:rsidRPr="00047E2E"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tcBorders>
              <w:bottom w:val="single" w:sz="8" w:space="0" w:color="auto"/>
            </w:tcBorders>
            <w:vAlign w:val="bottom"/>
          </w:tcPr>
          <w:p w14:paraId="5A70965B" w14:textId="77777777" w:rsidR="001E55A8" w:rsidRPr="00047E2E" w:rsidRDefault="001E55A8" w:rsidP="005B7F97">
            <w:pPr>
              <w:pStyle w:val="Tabletext1"/>
              <w:ind w:left="34"/>
              <w:jc w:val="right"/>
            </w:pPr>
            <w:r w:rsidRPr="003D5E01">
              <w:t>$581,829</w:t>
            </w:r>
          </w:p>
        </w:tc>
        <w:tc>
          <w:tcPr>
            <w:tcW w:w="1175" w:type="dxa"/>
            <w:tcBorders>
              <w:bottom w:val="single" w:sz="8" w:space="0" w:color="auto"/>
            </w:tcBorders>
            <w:vAlign w:val="bottom"/>
          </w:tcPr>
          <w:p w14:paraId="2C44FD72" w14:textId="77777777" w:rsidR="001E55A8" w:rsidRPr="00047E2E" w:rsidRDefault="001E55A8" w:rsidP="005B7F97">
            <w:pPr>
              <w:pStyle w:val="Tabletext1"/>
              <w:ind w:left="34"/>
              <w:jc w:val="right"/>
            </w:pPr>
            <w:r w:rsidRPr="003D5E01">
              <w:t>$610,921</w:t>
            </w:r>
          </w:p>
        </w:tc>
        <w:tc>
          <w:tcPr>
            <w:tcW w:w="1174" w:type="dxa"/>
            <w:tcBorders>
              <w:bottom w:val="single" w:sz="8" w:space="0" w:color="auto"/>
            </w:tcBorders>
            <w:vAlign w:val="bottom"/>
          </w:tcPr>
          <w:p w14:paraId="6DBBD6D4" w14:textId="77777777" w:rsidR="001E55A8" w:rsidRPr="00047E2E" w:rsidRDefault="001E55A8" w:rsidP="005B7F97">
            <w:pPr>
              <w:pStyle w:val="Tabletext1"/>
              <w:ind w:left="34"/>
              <w:jc w:val="right"/>
            </w:pPr>
            <w:r w:rsidRPr="003D5E01">
              <w:t>$641,467</w:t>
            </w:r>
          </w:p>
        </w:tc>
        <w:tc>
          <w:tcPr>
            <w:tcW w:w="1175" w:type="dxa"/>
            <w:tcBorders>
              <w:bottom w:val="single" w:sz="8" w:space="0" w:color="auto"/>
            </w:tcBorders>
            <w:vAlign w:val="bottom"/>
          </w:tcPr>
          <w:p w14:paraId="5A2D69BE" w14:textId="77777777" w:rsidR="001E55A8" w:rsidRPr="00047E2E" w:rsidRDefault="001E55A8" w:rsidP="005B7F97">
            <w:pPr>
              <w:pStyle w:val="Tabletext1"/>
              <w:ind w:left="34"/>
              <w:jc w:val="right"/>
            </w:pPr>
            <w:r w:rsidRPr="003D5E01">
              <w:t>$673,540</w:t>
            </w:r>
          </w:p>
        </w:tc>
        <w:tc>
          <w:tcPr>
            <w:tcW w:w="1175" w:type="dxa"/>
            <w:tcBorders>
              <w:bottom w:val="single" w:sz="8" w:space="0" w:color="auto"/>
            </w:tcBorders>
            <w:vAlign w:val="bottom"/>
          </w:tcPr>
          <w:p w14:paraId="1B3E7910" w14:textId="77777777" w:rsidR="001E55A8" w:rsidRPr="00047E2E" w:rsidRDefault="001E55A8" w:rsidP="005B7F97">
            <w:pPr>
              <w:pStyle w:val="Tabletext1"/>
              <w:ind w:left="34"/>
              <w:jc w:val="right"/>
            </w:pPr>
            <w:r w:rsidRPr="003D5E01">
              <w:t>$707,217</w:t>
            </w:r>
          </w:p>
        </w:tc>
      </w:tr>
      <w:tr w:rsidR="001E55A8" w:rsidRPr="003D5E01" w14:paraId="3A19FB2E" w14:textId="77777777" w:rsidTr="005B7F97">
        <w:trPr>
          <w:cantSplit/>
          <w:trHeight w:val="283"/>
        </w:trPr>
        <w:tc>
          <w:tcPr>
            <w:tcW w:w="3261" w:type="dxa"/>
            <w:tcBorders>
              <w:right w:val="nil"/>
            </w:tcBorders>
          </w:tcPr>
          <w:p w14:paraId="7BA870A4" w14:textId="597C2F43"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Genetic testing in newborns 1.13%</w:t>
            </w:r>
            <w:r w:rsidRPr="002F38D0">
              <w:rPr>
                <w:rFonts w:ascii="Arial Narrow" w:hAnsi="Arial Narrow"/>
                <w:i/>
                <w:sz w:val="20"/>
                <w:szCs w:val="20"/>
              </w:rPr>
              <w:br/>
              <w:t>(base</w:t>
            </w:r>
            <w:r w:rsidR="00FD74E4">
              <w:rPr>
                <w:rFonts w:ascii="Arial Narrow" w:hAnsi="Arial Narrow"/>
                <w:i/>
                <w:sz w:val="20"/>
                <w:szCs w:val="20"/>
              </w:rPr>
              <w:t>-</w:t>
            </w:r>
            <w:r w:rsidRPr="002F38D0">
              <w:rPr>
                <w:rFonts w:ascii="Arial Narrow" w:hAnsi="Arial Narrow"/>
                <w:i/>
                <w:sz w:val="20"/>
                <w:szCs w:val="20"/>
              </w:rPr>
              <w:t>case: 1.45%)</w:t>
            </w:r>
          </w:p>
        </w:tc>
        <w:tc>
          <w:tcPr>
            <w:tcW w:w="1174" w:type="dxa"/>
            <w:tcBorders>
              <w:left w:val="nil"/>
              <w:right w:val="nil"/>
            </w:tcBorders>
          </w:tcPr>
          <w:p w14:paraId="07F63E2A"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0CBB8B08"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11D1671C"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296D4F4D"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6188044D"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348EE52D" w14:textId="77777777" w:rsidTr="005B7F97">
        <w:trPr>
          <w:cantSplit/>
          <w:trHeight w:val="283"/>
        </w:trPr>
        <w:tc>
          <w:tcPr>
            <w:tcW w:w="3261" w:type="dxa"/>
          </w:tcPr>
          <w:p w14:paraId="11C5DB32"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6E76CB94" w14:textId="77777777" w:rsidR="001E55A8" w:rsidRPr="00427258" w:rsidRDefault="001E55A8" w:rsidP="005B7F97">
            <w:pPr>
              <w:pStyle w:val="Tabletext1"/>
              <w:ind w:left="34"/>
              <w:jc w:val="right"/>
            </w:pPr>
            <w:r w:rsidRPr="003D5E01">
              <w:t>$1,996,483</w:t>
            </w:r>
          </w:p>
        </w:tc>
        <w:tc>
          <w:tcPr>
            <w:tcW w:w="1175" w:type="dxa"/>
            <w:vAlign w:val="bottom"/>
          </w:tcPr>
          <w:p w14:paraId="5E6CD25E" w14:textId="77777777" w:rsidR="001E55A8" w:rsidRPr="00427258" w:rsidRDefault="001E55A8" w:rsidP="005B7F97">
            <w:pPr>
              <w:pStyle w:val="Tabletext1"/>
              <w:ind w:left="34"/>
              <w:jc w:val="right"/>
            </w:pPr>
            <w:r w:rsidRPr="003D5E01">
              <w:t>$2,295,955</w:t>
            </w:r>
          </w:p>
        </w:tc>
        <w:tc>
          <w:tcPr>
            <w:tcW w:w="1174" w:type="dxa"/>
            <w:vAlign w:val="bottom"/>
          </w:tcPr>
          <w:p w14:paraId="0FCF45AE" w14:textId="77777777" w:rsidR="001E55A8" w:rsidRPr="00427258" w:rsidRDefault="001E55A8" w:rsidP="005B7F97">
            <w:pPr>
              <w:pStyle w:val="Tabletext1"/>
              <w:ind w:left="34"/>
              <w:jc w:val="right"/>
            </w:pPr>
            <w:r w:rsidRPr="003D5E01">
              <w:t>$2,640,348</w:t>
            </w:r>
          </w:p>
        </w:tc>
        <w:tc>
          <w:tcPr>
            <w:tcW w:w="1175" w:type="dxa"/>
            <w:vAlign w:val="bottom"/>
          </w:tcPr>
          <w:p w14:paraId="1DB0DC69" w14:textId="77777777" w:rsidR="001E55A8" w:rsidRPr="00427258" w:rsidRDefault="001E55A8" w:rsidP="005B7F97">
            <w:pPr>
              <w:pStyle w:val="Tabletext1"/>
              <w:ind w:left="34"/>
              <w:jc w:val="right"/>
            </w:pPr>
            <w:r w:rsidRPr="003D5E01">
              <w:t>$3,036,401</w:t>
            </w:r>
          </w:p>
        </w:tc>
        <w:tc>
          <w:tcPr>
            <w:tcW w:w="1175" w:type="dxa"/>
            <w:vAlign w:val="bottom"/>
          </w:tcPr>
          <w:p w14:paraId="25046477" w14:textId="77777777" w:rsidR="001E55A8" w:rsidRPr="00427258" w:rsidRDefault="001E55A8" w:rsidP="005B7F97">
            <w:pPr>
              <w:pStyle w:val="Tabletext1"/>
              <w:ind w:left="34"/>
              <w:jc w:val="right"/>
            </w:pPr>
            <w:r w:rsidRPr="003D5E01">
              <w:t>$3,491,861</w:t>
            </w:r>
          </w:p>
        </w:tc>
      </w:tr>
      <w:tr w:rsidR="001E55A8" w:rsidRPr="007C5348" w14:paraId="3C7BC7C4" w14:textId="77777777" w:rsidTr="005B7F97">
        <w:trPr>
          <w:cantSplit/>
          <w:trHeight w:val="283"/>
        </w:trPr>
        <w:tc>
          <w:tcPr>
            <w:tcW w:w="3261" w:type="dxa"/>
          </w:tcPr>
          <w:p w14:paraId="68FAAECF" w14:textId="5A92EFD4"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741135A1" w14:textId="77777777" w:rsidR="001E55A8" w:rsidRPr="00CE0A6D" w:rsidRDefault="001E55A8" w:rsidP="005B7F97">
            <w:pPr>
              <w:pStyle w:val="Tabletext1"/>
              <w:ind w:left="34"/>
              <w:jc w:val="right"/>
            </w:pPr>
            <w:r>
              <w:t>$</w:t>
            </w:r>
            <w:r w:rsidRPr="003D5E01">
              <w:t>1,071,455</w:t>
            </w:r>
          </w:p>
        </w:tc>
        <w:tc>
          <w:tcPr>
            <w:tcW w:w="1175" w:type="dxa"/>
            <w:vAlign w:val="bottom"/>
          </w:tcPr>
          <w:p w14:paraId="53435A0C" w14:textId="77777777" w:rsidR="001E55A8" w:rsidRPr="00CE0A6D" w:rsidRDefault="001E55A8" w:rsidP="005B7F97">
            <w:pPr>
              <w:pStyle w:val="Tabletext1"/>
              <w:ind w:left="34"/>
              <w:jc w:val="right"/>
            </w:pPr>
            <w:r>
              <w:t>$</w:t>
            </w:r>
            <w:r w:rsidRPr="003D5E01">
              <w:t>1,232,173</w:t>
            </w:r>
          </w:p>
        </w:tc>
        <w:tc>
          <w:tcPr>
            <w:tcW w:w="1174" w:type="dxa"/>
            <w:vAlign w:val="bottom"/>
          </w:tcPr>
          <w:p w14:paraId="59E2623D" w14:textId="77777777" w:rsidR="001E55A8" w:rsidRPr="00CE0A6D" w:rsidRDefault="001E55A8" w:rsidP="005B7F97">
            <w:pPr>
              <w:pStyle w:val="Tabletext1"/>
              <w:ind w:left="34"/>
              <w:jc w:val="right"/>
            </w:pPr>
            <w:r>
              <w:t>$</w:t>
            </w:r>
            <w:r w:rsidRPr="003D5E01">
              <w:t>1,416,999</w:t>
            </w:r>
          </w:p>
        </w:tc>
        <w:tc>
          <w:tcPr>
            <w:tcW w:w="1175" w:type="dxa"/>
            <w:vAlign w:val="bottom"/>
          </w:tcPr>
          <w:p w14:paraId="5CDF9CDE" w14:textId="77777777" w:rsidR="001E55A8" w:rsidRPr="00CE0A6D" w:rsidRDefault="001E55A8" w:rsidP="005B7F97">
            <w:pPr>
              <w:pStyle w:val="Tabletext1"/>
              <w:ind w:left="34"/>
              <w:jc w:val="right"/>
            </w:pPr>
            <w:r>
              <w:t>$</w:t>
            </w:r>
            <w:r w:rsidRPr="003D5E01">
              <w:t>1,629,549</w:t>
            </w:r>
          </w:p>
        </w:tc>
        <w:tc>
          <w:tcPr>
            <w:tcW w:w="1175" w:type="dxa"/>
            <w:vAlign w:val="bottom"/>
          </w:tcPr>
          <w:p w14:paraId="0991E145" w14:textId="77777777" w:rsidR="001E55A8" w:rsidRPr="00CE0A6D" w:rsidRDefault="001E55A8" w:rsidP="005B7F97">
            <w:pPr>
              <w:pStyle w:val="Tabletext1"/>
              <w:ind w:left="34"/>
              <w:jc w:val="right"/>
            </w:pPr>
            <w:r>
              <w:t>$</w:t>
            </w:r>
            <w:r w:rsidRPr="003D5E01">
              <w:t>1,873,981</w:t>
            </w:r>
          </w:p>
        </w:tc>
      </w:tr>
      <w:tr w:rsidR="001E55A8" w:rsidRPr="007C5348" w14:paraId="6C5A7793" w14:textId="77777777" w:rsidTr="005B7F97">
        <w:trPr>
          <w:cantSplit/>
          <w:trHeight w:val="283"/>
        </w:trPr>
        <w:tc>
          <w:tcPr>
            <w:tcW w:w="3261" w:type="dxa"/>
          </w:tcPr>
          <w:p w14:paraId="73AB90C7" w14:textId="5495E5AC" w:rsidR="001E55A8" w:rsidRPr="003D5E01"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17DE15AF" w14:textId="77777777" w:rsidR="001E55A8" w:rsidRPr="00CE0A6D" w:rsidRDefault="001E55A8" w:rsidP="005B7F97">
            <w:pPr>
              <w:pStyle w:val="Tabletext1"/>
              <w:ind w:left="34"/>
              <w:jc w:val="right"/>
            </w:pPr>
            <w:r w:rsidRPr="003D5E01">
              <w:t>$925,028</w:t>
            </w:r>
          </w:p>
        </w:tc>
        <w:tc>
          <w:tcPr>
            <w:tcW w:w="1175" w:type="dxa"/>
            <w:vAlign w:val="bottom"/>
          </w:tcPr>
          <w:p w14:paraId="3DF2A9EC" w14:textId="77777777" w:rsidR="001E55A8" w:rsidRPr="00CE0A6D" w:rsidRDefault="001E55A8" w:rsidP="005B7F97">
            <w:pPr>
              <w:pStyle w:val="Tabletext1"/>
              <w:ind w:left="34"/>
              <w:jc w:val="right"/>
            </w:pPr>
            <w:r w:rsidRPr="003D5E01">
              <w:t>$1,063,782</w:t>
            </w:r>
          </w:p>
        </w:tc>
        <w:tc>
          <w:tcPr>
            <w:tcW w:w="1174" w:type="dxa"/>
            <w:vAlign w:val="bottom"/>
          </w:tcPr>
          <w:p w14:paraId="216DAA4A" w14:textId="77777777" w:rsidR="001E55A8" w:rsidRPr="00CE0A6D" w:rsidRDefault="001E55A8" w:rsidP="005B7F97">
            <w:pPr>
              <w:pStyle w:val="Tabletext1"/>
              <w:ind w:left="34"/>
              <w:jc w:val="right"/>
            </w:pPr>
            <w:r w:rsidRPr="003D5E01">
              <w:t>$1,223,349</w:t>
            </w:r>
          </w:p>
        </w:tc>
        <w:tc>
          <w:tcPr>
            <w:tcW w:w="1175" w:type="dxa"/>
            <w:vAlign w:val="bottom"/>
          </w:tcPr>
          <w:p w14:paraId="072A8D69" w14:textId="77777777" w:rsidR="001E55A8" w:rsidRPr="00CE0A6D" w:rsidRDefault="001E55A8" w:rsidP="005B7F97">
            <w:pPr>
              <w:pStyle w:val="Tabletext1"/>
              <w:ind w:left="34"/>
              <w:jc w:val="right"/>
            </w:pPr>
            <w:r w:rsidRPr="003D5E01">
              <w:t>$1,406,851</w:t>
            </w:r>
          </w:p>
        </w:tc>
        <w:tc>
          <w:tcPr>
            <w:tcW w:w="1175" w:type="dxa"/>
            <w:vAlign w:val="bottom"/>
          </w:tcPr>
          <w:p w14:paraId="067FB549" w14:textId="77777777" w:rsidR="001E55A8" w:rsidRPr="00CE0A6D" w:rsidRDefault="001E55A8" w:rsidP="005B7F97">
            <w:pPr>
              <w:pStyle w:val="Tabletext1"/>
              <w:ind w:left="34"/>
              <w:jc w:val="right"/>
            </w:pPr>
            <w:r w:rsidRPr="003D5E01">
              <w:t>$1,617,879</w:t>
            </w:r>
          </w:p>
        </w:tc>
      </w:tr>
      <w:tr w:rsidR="001E55A8" w:rsidRPr="003D5E01" w14:paraId="2F479BF5" w14:textId="77777777" w:rsidTr="005B7F97">
        <w:trPr>
          <w:cantSplit/>
          <w:trHeight w:val="283"/>
        </w:trPr>
        <w:tc>
          <w:tcPr>
            <w:tcW w:w="3261" w:type="dxa"/>
            <w:tcBorders>
              <w:right w:val="nil"/>
            </w:tcBorders>
          </w:tcPr>
          <w:p w14:paraId="65AA3C3C" w14:textId="2C98B5AF"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 xml:space="preserve">Proportion </w:t>
            </w:r>
            <w:r w:rsidR="00244D58">
              <w:rPr>
                <w:rFonts w:ascii="Arial Narrow" w:hAnsi="Arial Narrow"/>
                <w:i/>
                <w:sz w:val="20"/>
                <w:szCs w:val="20"/>
              </w:rPr>
              <w:t xml:space="preserve">of </w:t>
            </w:r>
            <w:r w:rsidRPr="002F38D0">
              <w:rPr>
                <w:rFonts w:ascii="Arial Narrow" w:hAnsi="Arial Narrow"/>
                <w:i/>
                <w:sz w:val="20"/>
                <w:szCs w:val="20"/>
              </w:rPr>
              <w:t>eligible screening tests 50%</w:t>
            </w:r>
            <w:r w:rsidR="00244D58" w:rsidRPr="002F38D0" w:rsidDel="00244D58">
              <w:rPr>
                <w:rFonts w:ascii="Arial Narrow" w:hAnsi="Arial Narrow"/>
                <w:i/>
                <w:sz w:val="20"/>
                <w:szCs w:val="20"/>
              </w:rPr>
              <w:t xml:space="preserve"> </w:t>
            </w:r>
            <w:r w:rsidRPr="002F38D0">
              <w:rPr>
                <w:rFonts w:ascii="Arial Narrow" w:hAnsi="Arial Narrow"/>
                <w:i/>
                <w:sz w:val="20"/>
                <w:szCs w:val="20"/>
              </w:rPr>
              <w:t>(base</w:t>
            </w:r>
            <w:r w:rsidR="00FD74E4">
              <w:rPr>
                <w:rFonts w:ascii="Arial Narrow" w:hAnsi="Arial Narrow"/>
                <w:i/>
                <w:sz w:val="20"/>
                <w:szCs w:val="20"/>
              </w:rPr>
              <w:t>-</w:t>
            </w:r>
            <w:r w:rsidRPr="002F38D0">
              <w:rPr>
                <w:rFonts w:ascii="Arial Narrow" w:hAnsi="Arial Narrow"/>
                <w:i/>
                <w:sz w:val="20"/>
                <w:szCs w:val="20"/>
              </w:rPr>
              <w:t>case: 25%)</w:t>
            </w:r>
          </w:p>
        </w:tc>
        <w:tc>
          <w:tcPr>
            <w:tcW w:w="1174" w:type="dxa"/>
            <w:tcBorders>
              <w:left w:val="nil"/>
              <w:right w:val="nil"/>
            </w:tcBorders>
          </w:tcPr>
          <w:p w14:paraId="4ED5B11F"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76F8DE9B"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4480D32C"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1D322A5C"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288FCA1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1F8BA2F4" w14:textId="77777777" w:rsidTr="005B7F97">
        <w:trPr>
          <w:cantSplit/>
          <w:trHeight w:val="283"/>
        </w:trPr>
        <w:tc>
          <w:tcPr>
            <w:tcW w:w="3261" w:type="dxa"/>
          </w:tcPr>
          <w:p w14:paraId="6936DF2B"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791C544D" w14:textId="77777777" w:rsidR="001E55A8" w:rsidRPr="00427258" w:rsidRDefault="001E55A8" w:rsidP="005B7F97">
            <w:pPr>
              <w:pStyle w:val="Tabletext1"/>
              <w:ind w:left="34"/>
              <w:jc w:val="right"/>
            </w:pPr>
            <w:r w:rsidRPr="003D5E01">
              <w:t>$2,247,574</w:t>
            </w:r>
          </w:p>
        </w:tc>
        <w:tc>
          <w:tcPr>
            <w:tcW w:w="1175" w:type="dxa"/>
            <w:vAlign w:val="bottom"/>
          </w:tcPr>
          <w:p w14:paraId="4EDB0C73" w14:textId="77777777" w:rsidR="001E55A8" w:rsidRPr="00427258" w:rsidRDefault="001E55A8" w:rsidP="005B7F97">
            <w:pPr>
              <w:pStyle w:val="Tabletext1"/>
              <w:ind w:left="34"/>
              <w:jc w:val="right"/>
            </w:pPr>
            <w:r w:rsidRPr="003D5E01">
              <w:t>$2,584,710</w:t>
            </w:r>
          </w:p>
        </w:tc>
        <w:tc>
          <w:tcPr>
            <w:tcW w:w="1174" w:type="dxa"/>
            <w:vAlign w:val="bottom"/>
          </w:tcPr>
          <w:p w14:paraId="447988FE" w14:textId="77777777" w:rsidR="001E55A8" w:rsidRPr="00427258" w:rsidRDefault="001E55A8" w:rsidP="005B7F97">
            <w:pPr>
              <w:pStyle w:val="Tabletext1"/>
              <w:ind w:left="34"/>
              <w:jc w:val="right"/>
            </w:pPr>
            <w:r w:rsidRPr="003D5E01">
              <w:t>$2,972,417</w:t>
            </w:r>
          </w:p>
        </w:tc>
        <w:tc>
          <w:tcPr>
            <w:tcW w:w="1175" w:type="dxa"/>
            <w:vAlign w:val="bottom"/>
          </w:tcPr>
          <w:p w14:paraId="058963B9" w14:textId="77777777" w:rsidR="001E55A8" w:rsidRPr="00427258" w:rsidRDefault="001E55A8" w:rsidP="005B7F97">
            <w:pPr>
              <w:pStyle w:val="Tabletext1"/>
              <w:ind w:left="34"/>
              <w:jc w:val="right"/>
            </w:pPr>
            <w:r w:rsidRPr="003D5E01">
              <w:t>$3,418,279</w:t>
            </w:r>
          </w:p>
        </w:tc>
        <w:tc>
          <w:tcPr>
            <w:tcW w:w="1175" w:type="dxa"/>
            <w:vAlign w:val="bottom"/>
          </w:tcPr>
          <w:p w14:paraId="02C375D2" w14:textId="77777777" w:rsidR="001E55A8" w:rsidRPr="00427258" w:rsidRDefault="001E55A8" w:rsidP="005B7F97">
            <w:pPr>
              <w:pStyle w:val="Tabletext1"/>
              <w:ind w:left="34"/>
              <w:jc w:val="right"/>
            </w:pPr>
            <w:r w:rsidRPr="003D5E01">
              <w:t>$3,931,021</w:t>
            </w:r>
          </w:p>
        </w:tc>
      </w:tr>
      <w:tr w:rsidR="001E55A8" w:rsidRPr="007C5348" w14:paraId="2898FEBA" w14:textId="77777777" w:rsidTr="005B7F97">
        <w:trPr>
          <w:cantSplit/>
          <w:trHeight w:val="283"/>
        </w:trPr>
        <w:tc>
          <w:tcPr>
            <w:tcW w:w="3261" w:type="dxa"/>
          </w:tcPr>
          <w:p w14:paraId="4AF71DD2" w14:textId="0D048D98"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053FCE18" w14:textId="77777777" w:rsidR="001E55A8" w:rsidRPr="00CE0A6D" w:rsidRDefault="001E55A8" w:rsidP="005B7F97">
            <w:pPr>
              <w:pStyle w:val="Tabletext1"/>
              <w:ind w:left="34"/>
              <w:jc w:val="right"/>
            </w:pPr>
            <w:r>
              <w:t>$</w:t>
            </w:r>
            <w:r w:rsidRPr="003D5E01">
              <w:t>1,206,208</w:t>
            </w:r>
          </w:p>
        </w:tc>
        <w:tc>
          <w:tcPr>
            <w:tcW w:w="1175" w:type="dxa"/>
            <w:vAlign w:val="bottom"/>
          </w:tcPr>
          <w:p w14:paraId="7BD22929" w14:textId="77777777" w:rsidR="001E55A8" w:rsidRPr="00CE0A6D" w:rsidRDefault="001E55A8" w:rsidP="005B7F97">
            <w:pPr>
              <w:pStyle w:val="Tabletext1"/>
              <w:ind w:left="34"/>
              <w:jc w:val="right"/>
            </w:pPr>
            <w:r>
              <w:t>$</w:t>
            </w:r>
            <w:r w:rsidRPr="003D5E01">
              <w:t>1,387,140</w:t>
            </w:r>
          </w:p>
        </w:tc>
        <w:tc>
          <w:tcPr>
            <w:tcW w:w="1174" w:type="dxa"/>
            <w:vAlign w:val="bottom"/>
          </w:tcPr>
          <w:p w14:paraId="4881FDCF" w14:textId="77777777" w:rsidR="001E55A8" w:rsidRPr="00CE0A6D" w:rsidRDefault="001E55A8" w:rsidP="005B7F97">
            <w:pPr>
              <w:pStyle w:val="Tabletext1"/>
              <w:ind w:left="34"/>
              <w:jc w:val="right"/>
            </w:pPr>
            <w:r>
              <w:t>$</w:t>
            </w:r>
            <w:r w:rsidRPr="003D5E01">
              <w:t>1,595,211</w:t>
            </w:r>
          </w:p>
        </w:tc>
        <w:tc>
          <w:tcPr>
            <w:tcW w:w="1175" w:type="dxa"/>
            <w:vAlign w:val="bottom"/>
          </w:tcPr>
          <w:p w14:paraId="3DF2C80A" w14:textId="77777777" w:rsidR="001E55A8" w:rsidRPr="00CE0A6D" w:rsidRDefault="001E55A8" w:rsidP="005B7F97">
            <w:pPr>
              <w:pStyle w:val="Tabletext1"/>
              <w:ind w:left="34"/>
              <w:jc w:val="right"/>
            </w:pPr>
            <w:r>
              <w:t>$</w:t>
            </w:r>
            <w:r w:rsidRPr="003D5E01">
              <w:t>1,834,492</w:t>
            </w:r>
          </w:p>
        </w:tc>
        <w:tc>
          <w:tcPr>
            <w:tcW w:w="1175" w:type="dxa"/>
            <w:vAlign w:val="bottom"/>
          </w:tcPr>
          <w:p w14:paraId="25F0F94E" w14:textId="77777777" w:rsidR="001E55A8" w:rsidRPr="00CE0A6D" w:rsidRDefault="001E55A8" w:rsidP="005B7F97">
            <w:pPr>
              <w:pStyle w:val="Tabletext1"/>
              <w:ind w:left="34"/>
              <w:jc w:val="right"/>
            </w:pPr>
            <w:r>
              <w:t>$</w:t>
            </w:r>
            <w:r w:rsidRPr="003D5E01">
              <w:t>2,109,666</w:t>
            </w:r>
          </w:p>
        </w:tc>
      </w:tr>
      <w:tr w:rsidR="001E55A8" w:rsidRPr="007C5348" w14:paraId="71D06A01" w14:textId="77777777" w:rsidTr="005B7F97">
        <w:trPr>
          <w:cantSplit/>
          <w:trHeight w:val="283"/>
        </w:trPr>
        <w:tc>
          <w:tcPr>
            <w:tcW w:w="3261" w:type="dxa"/>
          </w:tcPr>
          <w:p w14:paraId="1070F3CC" w14:textId="234147B7" w:rsidR="001E55A8" w:rsidRPr="003D5E01"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5845A4DC" w14:textId="77777777" w:rsidR="001E55A8" w:rsidRPr="00CE0A6D" w:rsidRDefault="001E55A8" w:rsidP="005B7F97">
            <w:pPr>
              <w:pStyle w:val="Tabletext1"/>
              <w:ind w:left="34"/>
              <w:jc w:val="right"/>
            </w:pPr>
            <w:r w:rsidRPr="003D5E01">
              <w:t>$1,041,365</w:t>
            </w:r>
          </w:p>
        </w:tc>
        <w:tc>
          <w:tcPr>
            <w:tcW w:w="1175" w:type="dxa"/>
            <w:vAlign w:val="bottom"/>
          </w:tcPr>
          <w:p w14:paraId="02D27E44" w14:textId="77777777" w:rsidR="001E55A8" w:rsidRPr="00CE0A6D" w:rsidRDefault="001E55A8" w:rsidP="005B7F97">
            <w:pPr>
              <w:pStyle w:val="Tabletext1"/>
              <w:ind w:left="34"/>
              <w:jc w:val="right"/>
            </w:pPr>
            <w:r w:rsidRPr="003D5E01">
              <w:t>$1,197,570</w:t>
            </w:r>
          </w:p>
        </w:tc>
        <w:tc>
          <w:tcPr>
            <w:tcW w:w="1174" w:type="dxa"/>
            <w:vAlign w:val="bottom"/>
          </w:tcPr>
          <w:p w14:paraId="6042B138" w14:textId="77777777" w:rsidR="001E55A8" w:rsidRPr="00CE0A6D" w:rsidRDefault="001E55A8" w:rsidP="005B7F97">
            <w:pPr>
              <w:pStyle w:val="Tabletext1"/>
              <w:ind w:left="34"/>
              <w:jc w:val="right"/>
            </w:pPr>
            <w:r w:rsidRPr="003D5E01">
              <w:t>$1,377,206</w:t>
            </w:r>
          </w:p>
        </w:tc>
        <w:tc>
          <w:tcPr>
            <w:tcW w:w="1175" w:type="dxa"/>
            <w:vAlign w:val="bottom"/>
          </w:tcPr>
          <w:p w14:paraId="7995AC3A" w14:textId="77777777" w:rsidR="001E55A8" w:rsidRPr="00CE0A6D" w:rsidRDefault="001E55A8" w:rsidP="005B7F97">
            <w:pPr>
              <w:pStyle w:val="Tabletext1"/>
              <w:ind w:left="34"/>
              <w:jc w:val="right"/>
            </w:pPr>
            <w:r w:rsidRPr="003D5E01">
              <w:t>$1,583,787</w:t>
            </w:r>
          </w:p>
        </w:tc>
        <w:tc>
          <w:tcPr>
            <w:tcW w:w="1175" w:type="dxa"/>
            <w:vAlign w:val="bottom"/>
          </w:tcPr>
          <w:p w14:paraId="7DFD19B7" w14:textId="77777777" w:rsidR="001E55A8" w:rsidRPr="00CE0A6D" w:rsidRDefault="001E55A8" w:rsidP="005B7F97">
            <w:pPr>
              <w:pStyle w:val="Tabletext1"/>
              <w:ind w:left="34"/>
              <w:jc w:val="right"/>
            </w:pPr>
            <w:r w:rsidRPr="003D5E01">
              <w:t>$1,821,355</w:t>
            </w:r>
          </w:p>
        </w:tc>
      </w:tr>
      <w:tr w:rsidR="001E55A8" w:rsidRPr="003D5E01" w14:paraId="02B16120" w14:textId="77777777" w:rsidTr="005B7F97">
        <w:trPr>
          <w:cantSplit/>
          <w:trHeight w:val="283"/>
        </w:trPr>
        <w:tc>
          <w:tcPr>
            <w:tcW w:w="3261" w:type="dxa"/>
            <w:tcBorders>
              <w:right w:val="nil"/>
            </w:tcBorders>
          </w:tcPr>
          <w:p w14:paraId="637F9130" w14:textId="476155BC"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 xml:space="preserve">Proportion </w:t>
            </w:r>
            <w:r w:rsidR="00244D58">
              <w:rPr>
                <w:rFonts w:ascii="Arial Narrow" w:hAnsi="Arial Narrow"/>
                <w:i/>
                <w:sz w:val="20"/>
                <w:szCs w:val="20"/>
              </w:rPr>
              <w:t xml:space="preserve">of </w:t>
            </w:r>
            <w:r w:rsidRPr="002F38D0">
              <w:rPr>
                <w:rFonts w:ascii="Arial Narrow" w:hAnsi="Arial Narrow"/>
                <w:i/>
                <w:sz w:val="20"/>
                <w:szCs w:val="20"/>
              </w:rPr>
              <w:t>eligible predictive tests 100%</w:t>
            </w:r>
            <w:r w:rsidR="00244D58" w:rsidRPr="002F38D0" w:rsidDel="00244D58">
              <w:rPr>
                <w:rFonts w:ascii="Arial Narrow" w:hAnsi="Arial Narrow"/>
                <w:i/>
                <w:sz w:val="20"/>
                <w:szCs w:val="20"/>
              </w:rPr>
              <w:t xml:space="preserve"> </w:t>
            </w:r>
            <w:r w:rsidRPr="002F38D0">
              <w:rPr>
                <w:rFonts w:ascii="Arial Narrow" w:hAnsi="Arial Narrow"/>
                <w:i/>
                <w:sz w:val="20"/>
                <w:szCs w:val="20"/>
              </w:rPr>
              <w:t>(base</w:t>
            </w:r>
            <w:r w:rsidR="00FD74E4">
              <w:rPr>
                <w:rFonts w:ascii="Arial Narrow" w:hAnsi="Arial Narrow"/>
                <w:i/>
                <w:sz w:val="20"/>
                <w:szCs w:val="20"/>
              </w:rPr>
              <w:t>-</w:t>
            </w:r>
            <w:r w:rsidRPr="002F38D0">
              <w:rPr>
                <w:rFonts w:ascii="Arial Narrow" w:hAnsi="Arial Narrow"/>
                <w:i/>
                <w:sz w:val="20"/>
                <w:szCs w:val="20"/>
              </w:rPr>
              <w:t>case: 50%)</w:t>
            </w:r>
          </w:p>
        </w:tc>
        <w:tc>
          <w:tcPr>
            <w:tcW w:w="1174" w:type="dxa"/>
            <w:tcBorders>
              <w:left w:val="nil"/>
              <w:right w:val="nil"/>
            </w:tcBorders>
          </w:tcPr>
          <w:p w14:paraId="2FF1BCC6"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67E3C5B4"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2824791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1A451928"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67E2CBCD"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19FFB62D" w14:textId="77777777" w:rsidTr="005B7F97">
        <w:trPr>
          <w:cantSplit/>
          <w:trHeight w:val="283"/>
        </w:trPr>
        <w:tc>
          <w:tcPr>
            <w:tcW w:w="3261" w:type="dxa"/>
          </w:tcPr>
          <w:p w14:paraId="69E7C072"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7ACEBB9E" w14:textId="77777777" w:rsidR="001E55A8" w:rsidRPr="00427258" w:rsidRDefault="001E55A8" w:rsidP="005B7F97">
            <w:pPr>
              <w:pStyle w:val="Tabletext1"/>
              <w:ind w:left="34"/>
              <w:jc w:val="right"/>
            </w:pPr>
            <w:r w:rsidRPr="003D5E01">
              <w:t>$1,679,884</w:t>
            </w:r>
          </w:p>
        </w:tc>
        <w:tc>
          <w:tcPr>
            <w:tcW w:w="1175" w:type="dxa"/>
            <w:vAlign w:val="bottom"/>
          </w:tcPr>
          <w:p w14:paraId="680083F2" w14:textId="77777777" w:rsidR="001E55A8" w:rsidRPr="00427258" w:rsidRDefault="001E55A8" w:rsidP="005B7F97">
            <w:pPr>
              <w:pStyle w:val="Tabletext1"/>
              <w:ind w:left="34"/>
              <w:jc w:val="right"/>
            </w:pPr>
            <w:r w:rsidRPr="003D5E01">
              <w:t>$1,931,867</w:t>
            </w:r>
          </w:p>
        </w:tc>
        <w:tc>
          <w:tcPr>
            <w:tcW w:w="1174" w:type="dxa"/>
            <w:vAlign w:val="bottom"/>
          </w:tcPr>
          <w:p w14:paraId="76D2DC50" w14:textId="77777777" w:rsidR="001E55A8" w:rsidRPr="00427258" w:rsidRDefault="001E55A8" w:rsidP="005B7F97">
            <w:pPr>
              <w:pStyle w:val="Tabletext1"/>
              <w:ind w:left="34"/>
              <w:jc w:val="right"/>
            </w:pPr>
            <w:r w:rsidRPr="003D5E01">
              <w:t>$2,221,647</w:t>
            </w:r>
          </w:p>
        </w:tc>
        <w:tc>
          <w:tcPr>
            <w:tcW w:w="1175" w:type="dxa"/>
            <w:vAlign w:val="bottom"/>
          </w:tcPr>
          <w:p w14:paraId="125ADD81" w14:textId="77777777" w:rsidR="001E55A8" w:rsidRPr="00427258" w:rsidRDefault="001E55A8" w:rsidP="005B7F97">
            <w:pPr>
              <w:pStyle w:val="Tabletext1"/>
              <w:ind w:left="34"/>
              <w:jc w:val="right"/>
            </w:pPr>
            <w:r w:rsidRPr="003D5E01">
              <w:t>$2,554,894</w:t>
            </w:r>
          </w:p>
        </w:tc>
        <w:tc>
          <w:tcPr>
            <w:tcW w:w="1175" w:type="dxa"/>
            <w:vAlign w:val="bottom"/>
          </w:tcPr>
          <w:p w14:paraId="42F05BD4" w14:textId="77777777" w:rsidR="001E55A8" w:rsidRPr="00427258" w:rsidRDefault="001E55A8" w:rsidP="005B7F97">
            <w:pPr>
              <w:pStyle w:val="Tabletext1"/>
              <w:ind w:left="34"/>
              <w:jc w:val="right"/>
            </w:pPr>
            <w:r w:rsidRPr="003D5E01">
              <w:t>$2,938,128</w:t>
            </w:r>
          </w:p>
        </w:tc>
      </w:tr>
      <w:tr w:rsidR="001E55A8" w:rsidRPr="007C5348" w14:paraId="63602E15" w14:textId="77777777" w:rsidTr="005B7F97">
        <w:trPr>
          <w:cantSplit/>
          <w:trHeight w:val="283"/>
        </w:trPr>
        <w:tc>
          <w:tcPr>
            <w:tcW w:w="3261" w:type="dxa"/>
          </w:tcPr>
          <w:p w14:paraId="01FC8DE1" w14:textId="62770877"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50DBA6B0" w14:textId="77777777" w:rsidR="001E55A8" w:rsidRPr="00CE0A6D" w:rsidRDefault="001E55A8" w:rsidP="005B7F97">
            <w:pPr>
              <w:pStyle w:val="Tabletext1"/>
              <w:ind w:left="34"/>
              <w:jc w:val="right"/>
            </w:pPr>
            <w:r>
              <w:t>$</w:t>
            </w:r>
            <w:r w:rsidRPr="003D5E01">
              <w:t>901,546</w:t>
            </w:r>
          </w:p>
        </w:tc>
        <w:tc>
          <w:tcPr>
            <w:tcW w:w="1175" w:type="dxa"/>
            <w:vAlign w:val="bottom"/>
          </w:tcPr>
          <w:p w14:paraId="15967F64" w14:textId="77777777" w:rsidR="001E55A8" w:rsidRPr="00CE0A6D" w:rsidRDefault="001E55A8" w:rsidP="005B7F97">
            <w:pPr>
              <w:pStyle w:val="Tabletext1"/>
              <w:ind w:left="34"/>
              <w:jc w:val="right"/>
            </w:pPr>
            <w:r>
              <w:t>$</w:t>
            </w:r>
            <w:r w:rsidRPr="003D5E01">
              <w:t>1,036,778</w:t>
            </w:r>
          </w:p>
        </w:tc>
        <w:tc>
          <w:tcPr>
            <w:tcW w:w="1174" w:type="dxa"/>
            <w:vAlign w:val="bottom"/>
          </w:tcPr>
          <w:p w14:paraId="49A1D474" w14:textId="77777777" w:rsidR="001E55A8" w:rsidRPr="00CE0A6D" w:rsidRDefault="001E55A8" w:rsidP="005B7F97">
            <w:pPr>
              <w:pStyle w:val="Tabletext1"/>
              <w:ind w:left="34"/>
              <w:jc w:val="right"/>
            </w:pPr>
            <w:r>
              <w:t>$</w:t>
            </w:r>
            <w:r w:rsidRPr="003D5E01">
              <w:t>1,192,294</w:t>
            </w:r>
          </w:p>
        </w:tc>
        <w:tc>
          <w:tcPr>
            <w:tcW w:w="1175" w:type="dxa"/>
            <w:vAlign w:val="bottom"/>
          </w:tcPr>
          <w:p w14:paraId="606037A9" w14:textId="77777777" w:rsidR="001E55A8" w:rsidRPr="00CE0A6D" w:rsidRDefault="001E55A8" w:rsidP="005B7F97">
            <w:pPr>
              <w:pStyle w:val="Tabletext1"/>
              <w:ind w:left="34"/>
              <w:jc w:val="right"/>
            </w:pPr>
            <w:r>
              <w:t>$</w:t>
            </w:r>
            <w:r w:rsidRPr="003D5E01">
              <w:t>1,371,138</w:t>
            </w:r>
          </w:p>
        </w:tc>
        <w:tc>
          <w:tcPr>
            <w:tcW w:w="1175" w:type="dxa"/>
            <w:vAlign w:val="bottom"/>
          </w:tcPr>
          <w:p w14:paraId="66444035" w14:textId="77777777" w:rsidR="001E55A8" w:rsidRPr="00CE0A6D" w:rsidRDefault="001E55A8" w:rsidP="005B7F97">
            <w:pPr>
              <w:pStyle w:val="Tabletext1"/>
              <w:ind w:left="34"/>
              <w:jc w:val="right"/>
            </w:pPr>
            <w:r>
              <w:t>$</w:t>
            </w:r>
            <w:r w:rsidRPr="003D5E01">
              <w:t>1,576,809</w:t>
            </w:r>
          </w:p>
        </w:tc>
      </w:tr>
      <w:tr w:rsidR="001E55A8" w:rsidRPr="007C5348" w14:paraId="75D5F176" w14:textId="77777777" w:rsidTr="005B7F97">
        <w:trPr>
          <w:cantSplit/>
          <w:trHeight w:val="283"/>
        </w:trPr>
        <w:tc>
          <w:tcPr>
            <w:tcW w:w="3261" w:type="dxa"/>
          </w:tcPr>
          <w:p w14:paraId="7BD4CCFE" w14:textId="27569379" w:rsidR="001E55A8" w:rsidRPr="003D5E01"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2DC925A9" w14:textId="77777777" w:rsidR="001E55A8" w:rsidRPr="00CE0A6D" w:rsidRDefault="001E55A8" w:rsidP="005B7F97">
            <w:pPr>
              <w:pStyle w:val="Tabletext1"/>
              <w:ind w:left="34"/>
              <w:jc w:val="right"/>
            </w:pPr>
            <w:r w:rsidRPr="003D5E01">
              <w:t>$778,339</w:t>
            </w:r>
          </w:p>
        </w:tc>
        <w:tc>
          <w:tcPr>
            <w:tcW w:w="1175" w:type="dxa"/>
            <w:vAlign w:val="bottom"/>
          </w:tcPr>
          <w:p w14:paraId="18B681C3" w14:textId="77777777" w:rsidR="001E55A8" w:rsidRPr="00CE0A6D" w:rsidRDefault="001E55A8" w:rsidP="005B7F97">
            <w:pPr>
              <w:pStyle w:val="Tabletext1"/>
              <w:ind w:left="34"/>
              <w:jc w:val="right"/>
            </w:pPr>
            <w:r w:rsidRPr="003D5E01">
              <w:t>$895,089</w:t>
            </w:r>
          </w:p>
        </w:tc>
        <w:tc>
          <w:tcPr>
            <w:tcW w:w="1174" w:type="dxa"/>
            <w:vAlign w:val="bottom"/>
          </w:tcPr>
          <w:p w14:paraId="2C9CE69D" w14:textId="77777777" w:rsidR="001E55A8" w:rsidRPr="00CE0A6D" w:rsidRDefault="001E55A8" w:rsidP="005B7F97">
            <w:pPr>
              <w:pStyle w:val="Tabletext1"/>
              <w:ind w:left="34"/>
              <w:jc w:val="right"/>
            </w:pPr>
            <w:r w:rsidRPr="003D5E01">
              <w:t>$1,029,353</w:t>
            </w:r>
          </w:p>
        </w:tc>
        <w:tc>
          <w:tcPr>
            <w:tcW w:w="1175" w:type="dxa"/>
            <w:vAlign w:val="bottom"/>
          </w:tcPr>
          <w:p w14:paraId="1A47E789" w14:textId="77777777" w:rsidR="001E55A8" w:rsidRPr="00CE0A6D" w:rsidRDefault="001E55A8" w:rsidP="005B7F97">
            <w:pPr>
              <w:pStyle w:val="Tabletext1"/>
              <w:ind w:left="34"/>
              <w:jc w:val="right"/>
            </w:pPr>
            <w:r w:rsidRPr="003D5E01">
              <w:t>$1,183,756</w:t>
            </w:r>
          </w:p>
        </w:tc>
        <w:tc>
          <w:tcPr>
            <w:tcW w:w="1175" w:type="dxa"/>
            <w:vAlign w:val="bottom"/>
          </w:tcPr>
          <w:p w14:paraId="538A25B8" w14:textId="77777777" w:rsidR="001E55A8" w:rsidRPr="00CE0A6D" w:rsidRDefault="001E55A8" w:rsidP="005B7F97">
            <w:pPr>
              <w:pStyle w:val="Tabletext1"/>
              <w:ind w:left="34"/>
              <w:jc w:val="right"/>
            </w:pPr>
            <w:r w:rsidRPr="003D5E01">
              <w:t>$1,361,319</w:t>
            </w:r>
          </w:p>
        </w:tc>
      </w:tr>
      <w:tr w:rsidR="001E55A8" w:rsidRPr="003D5E01" w14:paraId="5B5B3746" w14:textId="77777777" w:rsidTr="005B7F97">
        <w:trPr>
          <w:cantSplit/>
          <w:trHeight w:val="283"/>
        </w:trPr>
        <w:tc>
          <w:tcPr>
            <w:tcW w:w="3261" w:type="dxa"/>
            <w:tcBorders>
              <w:top w:val="single" w:sz="8" w:space="0" w:color="auto"/>
              <w:right w:val="nil"/>
            </w:tcBorders>
          </w:tcPr>
          <w:p w14:paraId="2B9D321B" w14:textId="5489B2CB"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Clinical sensitivity 92% (base</w:t>
            </w:r>
            <w:r w:rsidR="00FD74E4">
              <w:rPr>
                <w:rFonts w:ascii="Arial Narrow" w:hAnsi="Arial Narrow"/>
                <w:i/>
                <w:sz w:val="20"/>
                <w:szCs w:val="20"/>
              </w:rPr>
              <w:t>-</w:t>
            </w:r>
            <w:r w:rsidRPr="002F38D0">
              <w:rPr>
                <w:rFonts w:ascii="Arial Narrow" w:hAnsi="Arial Narrow"/>
                <w:i/>
                <w:sz w:val="20"/>
                <w:szCs w:val="20"/>
              </w:rPr>
              <w:t>case: 80%)</w:t>
            </w:r>
            <w:r w:rsidR="0086761C">
              <w:rPr>
                <w:rFonts w:ascii="Arial Narrow" w:hAnsi="Arial Narrow"/>
                <w:i/>
                <w:sz w:val="20"/>
                <w:szCs w:val="20"/>
              </w:rPr>
              <w:t xml:space="preserve"> </w:t>
            </w:r>
            <w:r w:rsidRPr="003D5E01">
              <w:rPr>
                <w:rFonts w:ascii="Arial Narrow" w:hAnsi="Arial Narrow"/>
                <w:i/>
                <w:sz w:val="20"/>
                <w:szCs w:val="20"/>
                <w:vertAlign w:val="superscript"/>
              </w:rPr>
              <w:t>a</w:t>
            </w:r>
          </w:p>
        </w:tc>
        <w:tc>
          <w:tcPr>
            <w:tcW w:w="1174" w:type="dxa"/>
            <w:tcBorders>
              <w:top w:val="single" w:sz="8" w:space="0" w:color="auto"/>
              <w:left w:val="nil"/>
              <w:right w:val="nil"/>
            </w:tcBorders>
          </w:tcPr>
          <w:p w14:paraId="4898019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right w:val="nil"/>
            </w:tcBorders>
          </w:tcPr>
          <w:p w14:paraId="0A80BD4B"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top w:val="single" w:sz="8" w:space="0" w:color="auto"/>
              <w:left w:val="nil"/>
              <w:right w:val="nil"/>
            </w:tcBorders>
          </w:tcPr>
          <w:p w14:paraId="07EAA0C5"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right w:val="nil"/>
            </w:tcBorders>
          </w:tcPr>
          <w:p w14:paraId="4F2653B9"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tcBorders>
          </w:tcPr>
          <w:p w14:paraId="0C66B5DB"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357C812A" w14:textId="77777777" w:rsidTr="005B7F97">
        <w:trPr>
          <w:cantSplit/>
          <w:trHeight w:val="283"/>
        </w:trPr>
        <w:tc>
          <w:tcPr>
            <w:tcW w:w="3261" w:type="dxa"/>
          </w:tcPr>
          <w:p w14:paraId="5564526B"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04BAB27C" w14:textId="77777777" w:rsidR="001E55A8" w:rsidRPr="00427258" w:rsidRDefault="001E55A8" w:rsidP="005B7F97">
            <w:pPr>
              <w:pStyle w:val="Tabletext1"/>
              <w:ind w:left="34"/>
              <w:jc w:val="right"/>
            </w:pPr>
            <w:r w:rsidRPr="003D5E01">
              <w:t>$1,317,456</w:t>
            </w:r>
          </w:p>
        </w:tc>
        <w:tc>
          <w:tcPr>
            <w:tcW w:w="1175" w:type="dxa"/>
            <w:vAlign w:val="bottom"/>
          </w:tcPr>
          <w:p w14:paraId="095DE9D6" w14:textId="77777777" w:rsidR="001E55A8" w:rsidRPr="00427258" w:rsidRDefault="001E55A8" w:rsidP="005B7F97">
            <w:pPr>
              <w:pStyle w:val="Tabletext1"/>
              <w:ind w:left="34"/>
              <w:jc w:val="right"/>
            </w:pPr>
            <w:r w:rsidRPr="003D5E01">
              <w:t>$1,515,075</w:t>
            </w:r>
          </w:p>
        </w:tc>
        <w:tc>
          <w:tcPr>
            <w:tcW w:w="1174" w:type="dxa"/>
            <w:vAlign w:val="bottom"/>
          </w:tcPr>
          <w:p w14:paraId="72E05F5A" w14:textId="77777777" w:rsidR="001E55A8" w:rsidRPr="00427258" w:rsidRDefault="001E55A8" w:rsidP="005B7F97">
            <w:pPr>
              <w:pStyle w:val="Tabletext1"/>
              <w:ind w:left="34"/>
              <w:jc w:val="right"/>
            </w:pPr>
            <w:r w:rsidRPr="003D5E01">
              <w:t>$1,742,336</w:t>
            </w:r>
          </w:p>
        </w:tc>
        <w:tc>
          <w:tcPr>
            <w:tcW w:w="1175" w:type="dxa"/>
            <w:vAlign w:val="bottom"/>
          </w:tcPr>
          <w:p w14:paraId="24B6EAC5" w14:textId="77777777" w:rsidR="001E55A8" w:rsidRPr="00427258" w:rsidRDefault="001E55A8" w:rsidP="005B7F97">
            <w:pPr>
              <w:pStyle w:val="Tabletext1"/>
              <w:ind w:left="34"/>
              <w:jc w:val="right"/>
            </w:pPr>
            <w:r w:rsidRPr="003D5E01">
              <w:t>$2,003,686</w:t>
            </w:r>
          </w:p>
        </w:tc>
        <w:tc>
          <w:tcPr>
            <w:tcW w:w="1175" w:type="dxa"/>
            <w:vAlign w:val="bottom"/>
          </w:tcPr>
          <w:p w14:paraId="185950C6" w14:textId="77777777" w:rsidR="001E55A8" w:rsidRPr="00427258" w:rsidRDefault="001E55A8" w:rsidP="005B7F97">
            <w:pPr>
              <w:pStyle w:val="Tabletext1"/>
              <w:ind w:left="34"/>
              <w:jc w:val="right"/>
            </w:pPr>
            <w:r w:rsidRPr="003D5E01">
              <w:t>$2,304,239</w:t>
            </w:r>
          </w:p>
        </w:tc>
      </w:tr>
      <w:tr w:rsidR="001E55A8" w:rsidRPr="007C5348" w14:paraId="0055CFEB" w14:textId="77777777" w:rsidTr="005B7F97">
        <w:trPr>
          <w:cantSplit/>
          <w:trHeight w:val="283"/>
        </w:trPr>
        <w:tc>
          <w:tcPr>
            <w:tcW w:w="3261" w:type="dxa"/>
          </w:tcPr>
          <w:p w14:paraId="0473FBCF" w14:textId="400717FB"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708FD59D" w14:textId="77777777" w:rsidR="001E55A8" w:rsidRPr="00CE0A6D" w:rsidRDefault="001E55A8" w:rsidP="005B7F97">
            <w:pPr>
              <w:pStyle w:val="Tabletext1"/>
              <w:ind w:left="34"/>
              <w:jc w:val="right"/>
            </w:pPr>
            <w:r>
              <w:t>$</w:t>
            </w:r>
            <w:r w:rsidRPr="003D5E01">
              <w:t>707,041</w:t>
            </w:r>
          </w:p>
        </w:tc>
        <w:tc>
          <w:tcPr>
            <w:tcW w:w="1175" w:type="dxa"/>
            <w:vAlign w:val="bottom"/>
          </w:tcPr>
          <w:p w14:paraId="5902E8B0" w14:textId="77777777" w:rsidR="001E55A8" w:rsidRPr="00CE0A6D" w:rsidRDefault="001E55A8" w:rsidP="005B7F97">
            <w:pPr>
              <w:pStyle w:val="Tabletext1"/>
              <w:ind w:left="34"/>
              <w:jc w:val="right"/>
            </w:pPr>
            <w:r>
              <w:t>$</w:t>
            </w:r>
            <w:r w:rsidRPr="003D5E01">
              <w:t>813,097</w:t>
            </w:r>
          </w:p>
        </w:tc>
        <w:tc>
          <w:tcPr>
            <w:tcW w:w="1174" w:type="dxa"/>
            <w:vAlign w:val="bottom"/>
          </w:tcPr>
          <w:p w14:paraId="5FA57D21" w14:textId="77777777" w:rsidR="001E55A8" w:rsidRPr="00CE0A6D" w:rsidRDefault="001E55A8" w:rsidP="005B7F97">
            <w:pPr>
              <w:pStyle w:val="Tabletext1"/>
              <w:ind w:left="34"/>
              <w:jc w:val="right"/>
            </w:pPr>
            <w:r>
              <w:t>$</w:t>
            </w:r>
            <w:r w:rsidRPr="003D5E01">
              <w:t>935,062</w:t>
            </w:r>
          </w:p>
        </w:tc>
        <w:tc>
          <w:tcPr>
            <w:tcW w:w="1175" w:type="dxa"/>
            <w:vAlign w:val="bottom"/>
          </w:tcPr>
          <w:p w14:paraId="6ABE48FB" w14:textId="77777777" w:rsidR="001E55A8" w:rsidRPr="00CE0A6D" w:rsidRDefault="001E55A8" w:rsidP="005B7F97">
            <w:pPr>
              <w:pStyle w:val="Tabletext1"/>
              <w:ind w:left="34"/>
              <w:jc w:val="right"/>
            </w:pPr>
            <w:r>
              <w:t>$</w:t>
            </w:r>
            <w:r w:rsidRPr="003D5E01">
              <w:t>1,075,321</w:t>
            </w:r>
          </w:p>
        </w:tc>
        <w:tc>
          <w:tcPr>
            <w:tcW w:w="1175" w:type="dxa"/>
            <w:vAlign w:val="bottom"/>
          </w:tcPr>
          <w:p w14:paraId="2102B7E7" w14:textId="77777777" w:rsidR="001E55A8" w:rsidRPr="00CE0A6D" w:rsidRDefault="001E55A8" w:rsidP="005B7F97">
            <w:pPr>
              <w:pStyle w:val="Tabletext1"/>
              <w:ind w:left="34"/>
              <w:jc w:val="right"/>
            </w:pPr>
            <w:r>
              <w:t>$</w:t>
            </w:r>
            <w:r w:rsidRPr="003D5E01">
              <w:t>1,236,619</w:t>
            </w:r>
          </w:p>
        </w:tc>
      </w:tr>
      <w:tr w:rsidR="001E55A8" w:rsidRPr="007C5348" w14:paraId="7B0F62EC" w14:textId="77777777" w:rsidTr="005B7F97">
        <w:trPr>
          <w:cantSplit/>
          <w:trHeight w:val="283"/>
        </w:trPr>
        <w:tc>
          <w:tcPr>
            <w:tcW w:w="3261" w:type="dxa"/>
          </w:tcPr>
          <w:p w14:paraId="77162A48" w14:textId="6300E146" w:rsidR="001E55A8" w:rsidRPr="003D5E01" w:rsidRDefault="001E55A8" w:rsidP="004566DC">
            <w:pPr>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28610A0A" w14:textId="77777777" w:rsidR="001E55A8" w:rsidRPr="00CE0A6D" w:rsidRDefault="001E55A8" w:rsidP="005B7F97">
            <w:pPr>
              <w:pStyle w:val="Tabletext1"/>
              <w:ind w:left="34"/>
              <w:jc w:val="right"/>
            </w:pPr>
            <w:r w:rsidRPr="003D5E01">
              <w:t>$610,415</w:t>
            </w:r>
          </w:p>
        </w:tc>
        <w:tc>
          <w:tcPr>
            <w:tcW w:w="1175" w:type="dxa"/>
            <w:vAlign w:val="bottom"/>
          </w:tcPr>
          <w:p w14:paraId="2DCAE97E" w14:textId="77777777" w:rsidR="001E55A8" w:rsidRPr="00CE0A6D" w:rsidRDefault="001E55A8" w:rsidP="005B7F97">
            <w:pPr>
              <w:pStyle w:val="Tabletext1"/>
              <w:ind w:left="34"/>
              <w:jc w:val="right"/>
            </w:pPr>
            <w:r w:rsidRPr="003D5E01">
              <w:t>$701,978</w:t>
            </w:r>
          </w:p>
        </w:tc>
        <w:tc>
          <w:tcPr>
            <w:tcW w:w="1174" w:type="dxa"/>
            <w:vAlign w:val="bottom"/>
          </w:tcPr>
          <w:p w14:paraId="5C6C41AA" w14:textId="77777777" w:rsidR="001E55A8" w:rsidRPr="00CE0A6D" w:rsidRDefault="001E55A8" w:rsidP="005B7F97">
            <w:pPr>
              <w:pStyle w:val="Tabletext1"/>
              <w:ind w:left="34"/>
              <w:jc w:val="right"/>
            </w:pPr>
            <w:r w:rsidRPr="003D5E01">
              <w:t>$807,274</w:t>
            </w:r>
          </w:p>
        </w:tc>
        <w:tc>
          <w:tcPr>
            <w:tcW w:w="1175" w:type="dxa"/>
            <w:vAlign w:val="bottom"/>
          </w:tcPr>
          <w:p w14:paraId="40200E1E" w14:textId="77777777" w:rsidR="001E55A8" w:rsidRPr="00CE0A6D" w:rsidRDefault="001E55A8" w:rsidP="005B7F97">
            <w:pPr>
              <w:pStyle w:val="Tabletext1"/>
              <w:ind w:left="34"/>
              <w:jc w:val="right"/>
            </w:pPr>
            <w:r w:rsidRPr="003D5E01">
              <w:t>$928,365</w:t>
            </w:r>
          </w:p>
        </w:tc>
        <w:tc>
          <w:tcPr>
            <w:tcW w:w="1175" w:type="dxa"/>
            <w:vAlign w:val="bottom"/>
          </w:tcPr>
          <w:p w14:paraId="28CA7C4D" w14:textId="77777777" w:rsidR="001E55A8" w:rsidRPr="00CE0A6D" w:rsidRDefault="001E55A8" w:rsidP="005B7F97">
            <w:pPr>
              <w:pStyle w:val="Tabletext1"/>
              <w:ind w:left="34"/>
              <w:jc w:val="right"/>
            </w:pPr>
            <w:r w:rsidRPr="003D5E01">
              <w:t>$1,067,620</w:t>
            </w:r>
          </w:p>
        </w:tc>
      </w:tr>
      <w:tr w:rsidR="001E55A8" w:rsidRPr="003D5E01" w14:paraId="7E404A65" w14:textId="77777777" w:rsidTr="005B7F97">
        <w:trPr>
          <w:cantSplit/>
          <w:trHeight w:val="283"/>
        </w:trPr>
        <w:tc>
          <w:tcPr>
            <w:tcW w:w="3261" w:type="dxa"/>
            <w:tcBorders>
              <w:right w:val="nil"/>
            </w:tcBorders>
          </w:tcPr>
          <w:p w14:paraId="1852E67B" w14:textId="216006F8"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lastRenderedPageBreak/>
              <w:t xml:space="preserve">Proportion </w:t>
            </w:r>
            <w:r w:rsidR="00244D58">
              <w:rPr>
                <w:rFonts w:ascii="Arial Narrow" w:hAnsi="Arial Narrow"/>
                <w:i/>
                <w:sz w:val="20"/>
                <w:szCs w:val="20"/>
              </w:rPr>
              <w:t xml:space="preserve">of </w:t>
            </w:r>
            <w:r w:rsidRPr="002F38D0">
              <w:rPr>
                <w:rFonts w:ascii="Arial Narrow" w:hAnsi="Arial Narrow"/>
                <w:i/>
                <w:sz w:val="20"/>
                <w:szCs w:val="20"/>
              </w:rPr>
              <w:t>tests funded by state 75%</w:t>
            </w:r>
            <w:r w:rsidRPr="002F38D0">
              <w:rPr>
                <w:rFonts w:ascii="Arial Narrow" w:hAnsi="Arial Narrow"/>
                <w:i/>
                <w:sz w:val="20"/>
                <w:szCs w:val="20"/>
              </w:rPr>
              <w:br/>
              <w:t>(base</w:t>
            </w:r>
            <w:r w:rsidR="00FD74E4">
              <w:rPr>
                <w:rFonts w:ascii="Arial Narrow" w:hAnsi="Arial Narrow"/>
                <w:i/>
                <w:sz w:val="20"/>
                <w:szCs w:val="20"/>
              </w:rPr>
              <w:t>-</w:t>
            </w:r>
            <w:r w:rsidRPr="002F38D0">
              <w:rPr>
                <w:rFonts w:ascii="Arial Narrow" w:hAnsi="Arial Narrow"/>
                <w:i/>
                <w:sz w:val="20"/>
                <w:szCs w:val="20"/>
              </w:rPr>
              <w:t>case: 46%)</w:t>
            </w:r>
          </w:p>
        </w:tc>
        <w:tc>
          <w:tcPr>
            <w:tcW w:w="1174" w:type="dxa"/>
            <w:tcBorders>
              <w:left w:val="nil"/>
              <w:right w:val="nil"/>
            </w:tcBorders>
          </w:tcPr>
          <w:p w14:paraId="3F60C224"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7E04C786"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186767D4"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5206E524"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6D916799"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246F6F20" w14:textId="77777777" w:rsidTr="005B7F97">
        <w:trPr>
          <w:cantSplit/>
          <w:trHeight w:val="283"/>
        </w:trPr>
        <w:tc>
          <w:tcPr>
            <w:tcW w:w="3261" w:type="dxa"/>
          </w:tcPr>
          <w:p w14:paraId="0373019A"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6E111CA0" w14:textId="77777777" w:rsidR="001E55A8" w:rsidRPr="00427258" w:rsidRDefault="001E55A8" w:rsidP="005B7F97">
            <w:pPr>
              <w:pStyle w:val="Tabletext1"/>
              <w:ind w:left="34"/>
              <w:jc w:val="right"/>
            </w:pPr>
            <w:r w:rsidRPr="003D5E01">
              <w:t>$1,806,926</w:t>
            </w:r>
          </w:p>
        </w:tc>
        <w:tc>
          <w:tcPr>
            <w:tcW w:w="1175" w:type="dxa"/>
            <w:vAlign w:val="bottom"/>
          </w:tcPr>
          <w:p w14:paraId="2184225C" w14:textId="77777777" w:rsidR="001E55A8" w:rsidRPr="00427258" w:rsidRDefault="001E55A8" w:rsidP="005B7F97">
            <w:pPr>
              <w:pStyle w:val="Tabletext1"/>
              <w:ind w:left="34"/>
              <w:jc w:val="right"/>
            </w:pPr>
            <w:r w:rsidRPr="003D5E01">
              <w:t>$2,077,965</w:t>
            </w:r>
          </w:p>
        </w:tc>
        <w:tc>
          <w:tcPr>
            <w:tcW w:w="1174" w:type="dxa"/>
            <w:vAlign w:val="bottom"/>
          </w:tcPr>
          <w:p w14:paraId="6526DD31" w14:textId="77777777" w:rsidR="001E55A8" w:rsidRPr="00427258" w:rsidRDefault="001E55A8" w:rsidP="005B7F97">
            <w:pPr>
              <w:pStyle w:val="Tabletext1"/>
              <w:ind w:left="34"/>
              <w:jc w:val="right"/>
            </w:pPr>
            <w:r w:rsidRPr="003D5E01">
              <w:t>$2,389,660</w:t>
            </w:r>
          </w:p>
        </w:tc>
        <w:tc>
          <w:tcPr>
            <w:tcW w:w="1175" w:type="dxa"/>
            <w:vAlign w:val="bottom"/>
          </w:tcPr>
          <w:p w14:paraId="1F007C5E" w14:textId="77777777" w:rsidR="001E55A8" w:rsidRPr="00427258" w:rsidRDefault="001E55A8" w:rsidP="005B7F97">
            <w:pPr>
              <w:pStyle w:val="Tabletext1"/>
              <w:ind w:left="34"/>
              <w:jc w:val="right"/>
            </w:pPr>
            <w:r w:rsidRPr="003D5E01">
              <w:t>$2,748,109</w:t>
            </w:r>
          </w:p>
        </w:tc>
        <w:tc>
          <w:tcPr>
            <w:tcW w:w="1175" w:type="dxa"/>
            <w:vAlign w:val="bottom"/>
          </w:tcPr>
          <w:p w14:paraId="70AFD446" w14:textId="77777777" w:rsidR="001E55A8" w:rsidRPr="00427258" w:rsidRDefault="001E55A8" w:rsidP="005B7F97">
            <w:pPr>
              <w:pStyle w:val="Tabletext1"/>
              <w:ind w:left="34"/>
              <w:jc w:val="right"/>
            </w:pPr>
            <w:r w:rsidRPr="003D5E01">
              <w:t>$3,160,326</w:t>
            </w:r>
          </w:p>
        </w:tc>
      </w:tr>
      <w:tr w:rsidR="001E55A8" w:rsidRPr="007C5348" w14:paraId="16F6F5B1" w14:textId="77777777" w:rsidTr="005B7F97">
        <w:trPr>
          <w:cantSplit/>
          <w:trHeight w:val="283"/>
        </w:trPr>
        <w:tc>
          <w:tcPr>
            <w:tcW w:w="3261" w:type="dxa"/>
          </w:tcPr>
          <w:p w14:paraId="6206F577" w14:textId="7A97FB64"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4003C413" w14:textId="77777777" w:rsidR="001E55A8" w:rsidRPr="00CE0A6D" w:rsidRDefault="001E55A8" w:rsidP="005B7F97">
            <w:pPr>
              <w:pStyle w:val="Tabletext1"/>
              <w:ind w:left="34"/>
              <w:jc w:val="right"/>
            </w:pPr>
            <w:r>
              <w:t>$</w:t>
            </w:r>
            <w:r w:rsidRPr="003D5E01">
              <w:t>1,594,347</w:t>
            </w:r>
          </w:p>
        </w:tc>
        <w:tc>
          <w:tcPr>
            <w:tcW w:w="1175" w:type="dxa"/>
            <w:vAlign w:val="bottom"/>
          </w:tcPr>
          <w:p w14:paraId="6B85F1AE" w14:textId="77777777" w:rsidR="001E55A8" w:rsidRPr="00CE0A6D" w:rsidRDefault="001E55A8" w:rsidP="005B7F97">
            <w:pPr>
              <w:pStyle w:val="Tabletext1"/>
              <w:ind w:left="34"/>
              <w:jc w:val="right"/>
            </w:pPr>
            <w:r>
              <w:t>$</w:t>
            </w:r>
            <w:r w:rsidRPr="003D5E01">
              <w:t>1,833,499</w:t>
            </w:r>
          </w:p>
        </w:tc>
        <w:tc>
          <w:tcPr>
            <w:tcW w:w="1174" w:type="dxa"/>
            <w:vAlign w:val="bottom"/>
          </w:tcPr>
          <w:p w14:paraId="0C9585D1" w14:textId="77777777" w:rsidR="001E55A8" w:rsidRPr="00CE0A6D" w:rsidRDefault="001E55A8" w:rsidP="005B7F97">
            <w:pPr>
              <w:pStyle w:val="Tabletext1"/>
              <w:ind w:left="34"/>
              <w:jc w:val="right"/>
            </w:pPr>
            <w:r>
              <w:t>$</w:t>
            </w:r>
            <w:r w:rsidRPr="003D5E01">
              <w:t>2,108,524</w:t>
            </w:r>
          </w:p>
        </w:tc>
        <w:tc>
          <w:tcPr>
            <w:tcW w:w="1175" w:type="dxa"/>
            <w:vAlign w:val="bottom"/>
          </w:tcPr>
          <w:p w14:paraId="5F3B6217" w14:textId="77777777" w:rsidR="001E55A8" w:rsidRPr="00CE0A6D" w:rsidRDefault="001E55A8" w:rsidP="005B7F97">
            <w:pPr>
              <w:pStyle w:val="Tabletext1"/>
              <w:ind w:left="34"/>
              <w:jc w:val="right"/>
            </w:pPr>
            <w:r>
              <w:t>$</w:t>
            </w:r>
            <w:r w:rsidRPr="003D5E01">
              <w:t>2,424,802</w:t>
            </w:r>
          </w:p>
        </w:tc>
        <w:tc>
          <w:tcPr>
            <w:tcW w:w="1175" w:type="dxa"/>
            <w:vAlign w:val="bottom"/>
          </w:tcPr>
          <w:p w14:paraId="042EEAEB" w14:textId="77777777" w:rsidR="001E55A8" w:rsidRPr="00CE0A6D" w:rsidRDefault="001E55A8" w:rsidP="005B7F97">
            <w:pPr>
              <w:pStyle w:val="Tabletext1"/>
              <w:ind w:left="34"/>
              <w:jc w:val="right"/>
            </w:pPr>
            <w:r>
              <w:t>$</w:t>
            </w:r>
            <w:r w:rsidRPr="003D5E01">
              <w:t>2,788,523</w:t>
            </w:r>
          </w:p>
        </w:tc>
      </w:tr>
      <w:tr w:rsidR="001E55A8" w:rsidRPr="007C5348" w14:paraId="3C9AE78A" w14:textId="77777777" w:rsidTr="005B7F97">
        <w:trPr>
          <w:cantSplit/>
          <w:trHeight w:val="283"/>
        </w:trPr>
        <w:tc>
          <w:tcPr>
            <w:tcW w:w="3261" w:type="dxa"/>
          </w:tcPr>
          <w:p w14:paraId="1B3C433F" w14:textId="20627B2F" w:rsidR="001E55A8" w:rsidRPr="008A0BED" w:rsidRDefault="001E55A8" w:rsidP="004566DC">
            <w:pPr>
              <w:widowControl w:val="0"/>
              <w:spacing w:before="40" w:after="40" w:line="240" w:lineRule="auto"/>
              <w:ind w:left="34"/>
              <w:jc w:val="left"/>
              <w:rPr>
                <w:rFonts w:ascii="Arial Narrow" w:hAnsi="Arial Narrow"/>
                <w:sz w:val="20"/>
                <w:szCs w:val="20"/>
              </w:rPr>
            </w:pPr>
            <w:r w:rsidRPr="008A0BED">
              <w:rPr>
                <w:rFonts w:ascii="Arial Narrow" w:hAnsi="Arial Narrow"/>
                <w:sz w:val="20"/>
                <w:szCs w:val="20"/>
              </w:rPr>
              <w:t xml:space="preserve">Net </w:t>
            </w:r>
            <w:r w:rsidR="008A0BED" w:rsidRPr="008A0BED">
              <w:rPr>
                <w:rFonts w:ascii="Arial Narrow" w:hAnsi="Arial Narrow"/>
                <w:sz w:val="20"/>
                <w:szCs w:val="20"/>
              </w:rPr>
              <w:t xml:space="preserve">savings </w:t>
            </w:r>
            <w:r w:rsidRPr="008A0BED">
              <w:rPr>
                <w:rFonts w:ascii="Arial Narrow" w:hAnsi="Arial Narrow"/>
                <w:sz w:val="20"/>
                <w:szCs w:val="20"/>
              </w:rPr>
              <w:t>to government health budgets</w:t>
            </w:r>
          </w:p>
        </w:tc>
        <w:tc>
          <w:tcPr>
            <w:tcW w:w="1174" w:type="dxa"/>
            <w:vAlign w:val="bottom"/>
          </w:tcPr>
          <w:p w14:paraId="71EC8759" w14:textId="77777777" w:rsidR="001E55A8" w:rsidRPr="00CE0A6D" w:rsidRDefault="001E55A8" w:rsidP="005B7F97">
            <w:pPr>
              <w:pStyle w:val="Tabletext1"/>
              <w:ind w:left="34"/>
              <w:jc w:val="right"/>
            </w:pPr>
            <w:r w:rsidRPr="003D5E01">
              <w:t>$212,580</w:t>
            </w:r>
          </w:p>
        </w:tc>
        <w:tc>
          <w:tcPr>
            <w:tcW w:w="1175" w:type="dxa"/>
            <w:vAlign w:val="bottom"/>
          </w:tcPr>
          <w:p w14:paraId="1A115BC4" w14:textId="77777777" w:rsidR="001E55A8" w:rsidRPr="00CE0A6D" w:rsidRDefault="001E55A8" w:rsidP="005B7F97">
            <w:pPr>
              <w:pStyle w:val="Tabletext1"/>
              <w:ind w:left="34"/>
              <w:jc w:val="right"/>
            </w:pPr>
            <w:r w:rsidRPr="003D5E01">
              <w:t>$244,467</w:t>
            </w:r>
          </w:p>
        </w:tc>
        <w:tc>
          <w:tcPr>
            <w:tcW w:w="1174" w:type="dxa"/>
            <w:vAlign w:val="bottom"/>
          </w:tcPr>
          <w:p w14:paraId="26FA408D" w14:textId="77777777" w:rsidR="001E55A8" w:rsidRPr="00CE0A6D" w:rsidRDefault="001E55A8" w:rsidP="005B7F97">
            <w:pPr>
              <w:pStyle w:val="Tabletext1"/>
              <w:ind w:left="34"/>
              <w:jc w:val="right"/>
            </w:pPr>
            <w:r w:rsidRPr="003D5E01">
              <w:t>$281,137</w:t>
            </w:r>
          </w:p>
        </w:tc>
        <w:tc>
          <w:tcPr>
            <w:tcW w:w="1175" w:type="dxa"/>
            <w:vAlign w:val="bottom"/>
          </w:tcPr>
          <w:p w14:paraId="698B2C99" w14:textId="77777777" w:rsidR="001E55A8" w:rsidRPr="00CE0A6D" w:rsidRDefault="001E55A8" w:rsidP="005B7F97">
            <w:pPr>
              <w:pStyle w:val="Tabletext1"/>
              <w:ind w:left="34"/>
              <w:jc w:val="right"/>
            </w:pPr>
            <w:r w:rsidRPr="003D5E01">
              <w:t>$323,307</w:t>
            </w:r>
          </w:p>
        </w:tc>
        <w:tc>
          <w:tcPr>
            <w:tcW w:w="1175" w:type="dxa"/>
            <w:vAlign w:val="bottom"/>
          </w:tcPr>
          <w:p w14:paraId="1B3ADF72" w14:textId="77777777" w:rsidR="001E55A8" w:rsidRPr="00CE0A6D" w:rsidRDefault="001E55A8" w:rsidP="005B7F97">
            <w:pPr>
              <w:pStyle w:val="Tabletext1"/>
              <w:ind w:left="34"/>
              <w:jc w:val="right"/>
            </w:pPr>
            <w:r w:rsidRPr="003D5E01">
              <w:t>$371,803</w:t>
            </w:r>
          </w:p>
        </w:tc>
      </w:tr>
      <w:tr w:rsidR="001E55A8" w:rsidRPr="003D5E01" w14:paraId="3F2683E2" w14:textId="77777777" w:rsidTr="005B7F97">
        <w:trPr>
          <w:cantSplit/>
          <w:trHeight w:val="283"/>
        </w:trPr>
        <w:tc>
          <w:tcPr>
            <w:tcW w:w="3261" w:type="dxa"/>
            <w:tcBorders>
              <w:right w:val="nil"/>
            </w:tcBorders>
          </w:tcPr>
          <w:p w14:paraId="1DB16BC8" w14:textId="55991AB0"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 xml:space="preserve">Proportion </w:t>
            </w:r>
            <w:r w:rsidR="00244D58">
              <w:rPr>
                <w:rFonts w:ascii="Arial Narrow" w:hAnsi="Arial Narrow"/>
                <w:i/>
                <w:sz w:val="20"/>
                <w:szCs w:val="20"/>
              </w:rPr>
              <w:t xml:space="preserve">of </w:t>
            </w:r>
            <w:r w:rsidRPr="002F38D0">
              <w:rPr>
                <w:rFonts w:ascii="Arial Narrow" w:hAnsi="Arial Narrow"/>
                <w:i/>
                <w:sz w:val="20"/>
                <w:szCs w:val="20"/>
              </w:rPr>
              <w:t>tests funded by state 100%</w:t>
            </w:r>
            <w:r w:rsidRPr="002F38D0">
              <w:rPr>
                <w:rFonts w:ascii="Arial Narrow" w:hAnsi="Arial Narrow"/>
                <w:i/>
                <w:sz w:val="20"/>
                <w:szCs w:val="20"/>
              </w:rPr>
              <w:br/>
              <w:t>(base</w:t>
            </w:r>
            <w:r w:rsidR="00FD74E4">
              <w:rPr>
                <w:rFonts w:ascii="Arial Narrow" w:hAnsi="Arial Narrow"/>
                <w:i/>
                <w:sz w:val="20"/>
                <w:szCs w:val="20"/>
              </w:rPr>
              <w:t>-</w:t>
            </w:r>
            <w:r w:rsidRPr="002F38D0">
              <w:rPr>
                <w:rFonts w:ascii="Arial Narrow" w:hAnsi="Arial Narrow"/>
                <w:i/>
                <w:sz w:val="20"/>
                <w:szCs w:val="20"/>
              </w:rPr>
              <w:t>case: 46%)</w:t>
            </w:r>
          </w:p>
        </w:tc>
        <w:tc>
          <w:tcPr>
            <w:tcW w:w="1174" w:type="dxa"/>
            <w:tcBorders>
              <w:left w:val="nil"/>
              <w:right w:val="nil"/>
            </w:tcBorders>
          </w:tcPr>
          <w:p w14:paraId="3A80988B"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7268F1DF"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3F13EF0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7AC4978E"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62F72A81"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228BE47D" w14:textId="77777777" w:rsidTr="005B7F97">
        <w:trPr>
          <w:cantSplit/>
          <w:trHeight w:val="283"/>
        </w:trPr>
        <w:tc>
          <w:tcPr>
            <w:tcW w:w="3261" w:type="dxa"/>
          </w:tcPr>
          <w:p w14:paraId="439E59F5"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2CEDD237" w14:textId="77777777" w:rsidR="001E55A8" w:rsidRPr="00427258" w:rsidRDefault="001E55A8" w:rsidP="005B7F97">
            <w:pPr>
              <w:pStyle w:val="Tabletext1"/>
              <w:ind w:left="34"/>
              <w:jc w:val="right"/>
            </w:pPr>
            <w:r w:rsidRPr="003D5E01">
              <w:t>$1,806,926</w:t>
            </w:r>
          </w:p>
        </w:tc>
        <w:tc>
          <w:tcPr>
            <w:tcW w:w="1175" w:type="dxa"/>
            <w:vAlign w:val="bottom"/>
          </w:tcPr>
          <w:p w14:paraId="3AA64306" w14:textId="77777777" w:rsidR="001E55A8" w:rsidRPr="00427258" w:rsidRDefault="001E55A8" w:rsidP="005B7F97">
            <w:pPr>
              <w:pStyle w:val="Tabletext1"/>
              <w:ind w:left="34"/>
              <w:jc w:val="right"/>
            </w:pPr>
            <w:r w:rsidRPr="003D5E01">
              <w:t>$2,077,965</w:t>
            </w:r>
          </w:p>
        </w:tc>
        <w:tc>
          <w:tcPr>
            <w:tcW w:w="1174" w:type="dxa"/>
            <w:vAlign w:val="bottom"/>
          </w:tcPr>
          <w:p w14:paraId="17661C1E" w14:textId="77777777" w:rsidR="001E55A8" w:rsidRPr="00427258" w:rsidRDefault="001E55A8" w:rsidP="005B7F97">
            <w:pPr>
              <w:pStyle w:val="Tabletext1"/>
              <w:ind w:left="34"/>
              <w:jc w:val="right"/>
            </w:pPr>
            <w:r w:rsidRPr="003D5E01">
              <w:t>$2,389,660</w:t>
            </w:r>
          </w:p>
        </w:tc>
        <w:tc>
          <w:tcPr>
            <w:tcW w:w="1175" w:type="dxa"/>
            <w:vAlign w:val="bottom"/>
          </w:tcPr>
          <w:p w14:paraId="435163B2" w14:textId="77777777" w:rsidR="001E55A8" w:rsidRPr="00427258" w:rsidRDefault="001E55A8" w:rsidP="005B7F97">
            <w:pPr>
              <w:pStyle w:val="Tabletext1"/>
              <w:ind w:left="34"/>
              <w:jc w:val="right"/>
            </w:pPr>
            <w:r w:rsidRPr="003D5E01">
              <w:t>$2,748,109</w:t>
            </w:r>
          </w:p>
        </w:tc>
        <w:tc>
          <w:tcPr>
            <w:tcW w:w="1175" w:type="dxa"/>
            <w:vAlign w:val="bottom"/>
          </w:tcPr>
          <w:p w14:paraId="246A715E" w14:textId="77777777" w:rsidR="001E55A8" w:rsidRPr="00427258" w:rsidRDefault="001E55A8" w:rsidP="005B7F97">
            <w:pPr>
              <w:pStyle w:val="Tabletext1"/>
              <w:ind w:left="34"/>
              <w:jc w:val="right"/>
            </w:pPr>
            <w:r w:rsidRPr="003D5E01">
              <w:t>$3,160,326</w:t>
            </w:r>
          </w:p>
        </w:tc>
      </w:tr>
      <w:tr w:rsidR="001E55A8" w:rsidRPr="007C5348" w14:paraId="1239CE0C" w14:textId="77777777" w:rsidTr="005B7F97">
        <w:trPr>
          <w:cantSplit/>
          <w:trHeight w:val="283"/>
        </w:trPr>
        <w:tc>
          <w:tcPr>
            <w:tcW w:w="3261" w:type="dxa"/>
          </w:tcPr>
          <w:p w14:paraId="6BC951DF" w14:textId="6FC611C3"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FD74E4">
              <w:rPr>
                <w:rFonts w:ascii="Arial Narrow" w:hAnsi="Arial Narrow"/>
                <w:sz w:val="20"/>
                <w:szCs w:val="20"/>
              </w:rPr>
              <w:t>s</w:t>
            </w:r>
            <w:r w:rsidRPr="00047E2E">
              <w:rPr>
                <w:rFonts w:ascii="Arial Narrow" w:hAnsi="Arial Narrow"/>
                <w:sz w:val="20"/>
                <w:szCs w:val="20"/>
              </w:rPr>
              <w:t>tate</w:t>
            </w:r>
            <w:r w:rsidR="00FD74E4">
              <w:rPr>
                <w:rFonts w:ascii="Arial Narrow" w:hAnsi="Arial Narrow"/>
                <w:sz w:val="20"/>
                <w:szCs w:val="20"/>
              </w:rPr>
              <w:t>s</w:t>
            </w:r>
            <w:r w:rsidRPr="00047E2E">
              <w:rPr>
                <w:rFonts w:ascii="Arial Narrow" w:hAnsi="Arial Narrow"/>
                <w:sz w:val="20"/>
                <w:szCs w:val="20"/>
              </w:rPr>
              <w:t>/</w:t>
            </w:r>
            <w:r w:rsidR="00FD74E4">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2556B646" w14:textId="77777777" w:rsidR="001E55A8" w:rsidRPr="00CE0A6D" w:rsidRDefault="001E55A8" w:rsidP="005B7F97">
            <w:pPr>
              <w:pStyle w:val="Tabletext1"/>
              <w:ind w:left="34"/>
              <w:jc w:val="right"/>
            </w:pPr>
            <w:r>
              <w:t>$</w:t>
            </w:r>
            <w:r w:rsidRPr="003D5E01">
              <w:t>2,125,796</w:t>
            </w:r>
          </w:p>
        </w:tc>
        <w:tc>
          <w:tcPr>
            <w:tcW w:w="1175" w:type="dxa"/>
            <w:vAlign w:val="bottom"/>
          </w:tcPr>
          <w:p w14:paraId="0A9B6264" w14:textId="77777777" w:rsidR="001E55A8" w:rsidRPr="00CE0A6D" w:rsidRDefault="001E55A8" w:rsidP="005B7F97">
            <w:pPr>
              <w:pStyle w:val="Tabletext1"/>
              <w:ind w:left="34"/>
              <w:jc w:val="right"/>
            </w:pPr>
            <w:r>
              <w:t>$</w:t>
            </w:r>
            <w:r w:rsidRPr="003D5E01">
              <w:t>2,444,665</w:t>
            </w:r>
          </w:p>
        </w:tc>
        <w:tc>
          <w:tcPr>
            <w:tcW w:w="1174" w:type="dxa"/>
            <w:vAlign w:val="bottom"/>
          </w:tcPr>
          <w:p w14:paraId="061A4A55" w14:textId="77777777" w:rsidR="001E55A8" w:rsidRPr="00CE0A6D" w:rsidRDefault="001E55A8" w:rsidP="005B7F97">
            <w:pPr>
              <w:pStyle w:val="Tabletext1"/>
              <w:ind w:left="34"/>
              <w:jc w:val="right"/>
            </w:pPr>
            <w:r>
              <w:t>$</w:t>
            </w:r>
            <w:r w:rsidRPr="003D5E01">
              <w:t>2,811,365</w:t>
            </w:r>
          </w:p>
        </w:tc>
        <w:tc>
          <w:tcPr>
            <w:tcW w:w="1175" w:type="dxa"/>
            <w:vAlign w:val="bottom"/>
          </w:tcPr>
          <w:p w14:paraId="39A2549A" w14:textId="77777777" w:rsidR="001E55A8" w:rsidRPr="00CE0A6D" w:rsidRDefault="001E55A8" w:rsidP="005B7F97">
            <w:pPr>
              <w:pStyle w:val="Tabletext1"/>
              <w:ind w:left="34"/>
              <w:jc w:val="right"/>
            </w:pPr>
            <w:r>
              <w:t>$</w:t>
            </w:r>
            <w:r w:rsidRPr="003D5E01">
              <w:t>3,233,070</w:t>
            </w:r>
          </w:p>
        </w:tc>
        <w:tc>
          <w:tcPr>
            <w:tcW w:w="1175" w:type="dxa"/>
            <w:vAlign w:val="bottom"/>
          </w:tcPr>
          <w:p w14:paraId="23947ADA" w14:textId="77777777" w:rsidR="001E55A8" w:rsidRPr="00CE0A6D" w:rsidRDefault="001E55A8" w:rsidP="005B7F97">
            <w:pPr>
              <w:pStyle w:val="Tabletext1"/>
              <w:ind w:left="34"/>
              <w:jc w:val="right"/>
            </w:pPr>
            <w:r>
              <w:t>$</w:t>
            </w:r>
            <w:r w:rsidRPr="003D5E01">
              <w:t>3,718,030</w:t>
            </w:r>
          </w:p>
        </w:tc>
      </w:tr>
      <w:tr w:rsidR="001E55A8" w:rsidRPr="007C5348" w14:paraId="6677F343" w14:textId="77777777" w:rsidTr="005B7F97">
        <w:trPr>
          <w:cantSplit/>
          <w:trHeight w:val="283"/>
        </w:trPr>
        <w:tc>
          <w:tcPr>
            <w:tcW w:w="3261" w:type="dxa"/>
            <w:tcBorders>
              <w:bottom w:val="single" w:sz="4" w:space="0" w:color="auto"/>
            </w:tcBorders>
          </w:tcPr>
          <w:p w14:paraId="4EA25576" w14:textId="33CF2607" w:rsidR="001E55A8" w:rsidRPr="003D5E01" w:rsidRDefault="001E55A8" w:rsidP="004566DC">
            <w:pPr>
              <w:keepNext/>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D03332">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tcBorders>
              <w:bottom w:val="single" w:sz="4" w:space="0" w:color="auto"/>
            </w:tcBorders>
            <w:vAlign w:val="bottom"/>
          </w:tcPr>
          <w:p w14:paraId="44B56510" w14:textId="77777777" w:rsidR="001E55A8" w:rsidRPr="00CE0A6D" w:rsidRDefault="001E55A8" w:rsidP="005B7F97">
            <w:pPr>
              <w:pStyle w:val="Tabletext1"/>
              <w:ind w:left="34"/>
              <w:jc w:val="right"/>
            </w:pPr>
            <w:r>
              <w:sym w:font="Symbol" w:char="F02D"/>
            </w:r>
            <w:r>
              <w:t>$</w:t>
            </w:r>
            <w:r w:rsidRPr="003D5E01">
              <w:t>318,869</w:t>
            </w:r>
          </w:p>
        </w:tc>
        <w:tc>
          <w:tcPr>
            <w:tcW w:w="1175" w:type="dxa"/>
            <w:tcBorders>
              <w:bottom w:val="single" w:sz="4" w:space="0" w:color="auto"/>
            </w:tcBorders>
            <w:vAlign w:val="bottom"/>
          </w:tcPr>
          <w:p w14:paraId="7DF2DE71" w14:textId="77777777" w:rsidR="001E55A8" w:rsidRPr="00CE0A6D" w:rsidRDefault="001E55A8" w:rsidP="005B7F97">
            <w:pPr>
              <w:pStyle w:val="Tabletext1"/>
              <w:ind w:left="34"/>
              <w:jc w:val="right"/>
            </w:pPr>
            <w:r>
              <w:sym w:font="Symbol" w:char="F02D"/>
            </w:r>
            <w:r>
              <w:t>$</w:t>
            </w:r>
            <w:r w:rsidRPr="003D5E01">
              <w:t>366,700</w:t>
            </w:r>
          </w:p>
        </w:tc>
        <w:tc>
          <w:tcPr>
            <w:tcW w:w="1174" w:type="dxa"/>
            <w:tcBorders>
              <w:bottom w:val="single" w:sz="4" w:space="0" w:color="auto"/>
            </w:tcBorders>
            <w:vAlign w:val="bottom"/>
          </w:tcPr>
          <w:p w14:paraId="694C87C4" w14:textId="77777777" w:rsidR="001E55A8" w:rsidRPr="00CE0A6D" w:rsidRDefault="001E55A8" w:rsidP="005B7F97">
            <w:pPr>
              <w:pStyle w:val="Tabletext1"/>
              <w:ind w:left="34"/>
              <w:jc w:val="right"/>
            </w:pPr>
            <w:r>
              <w:sym w:font="Symbol" w:char="F02D"/>
            </w:r>
            <w:r>
              <w:t>$</w:t>
            </w:r>
            <w:r w:rsidRPr="003D5E01">
              <w:t>421,705</w:t>
            </w:r>
          </w:p>
        </w:tc>
        <w:tc>
          <w:tcPr>
            <w:tcW w:w="1175" w:type="dxa"/>
            <w:tcBorders>
              <w:bottom w:val="single" w:sz="4" w:space="0" w:color="auto"/>
            </w:tcBorders>
            <w:vAlign w:val="bottom"/>
          </w:tcPr>
          <w:p w14:paraId="380147A4" w14:textId="77777777" w:rsidR="001E55A8" w:rsidRPr="00CE0A6D" w:rsidRDefault="001E55A8" w:rsidP="005B7F97">
            <w:pPr>
              <w:pStyle w:val="Tabletext1"/>
              <w:ind w:left="34"/>
              <w:jc w:val="right"/>
            </w:pPr>
            <w:r>
              <w:sym w:font="Symbol" w:char="F02D"/>
            </w:r>
            <w:r>
              <w:t>$</w:t>
            </w:r>
            <w:r w:rsidRPr="003D5E01">
              <w:t>484,960</w:t>
            </w:r>
          </w:p>
        </w:tc>
        <w:tc>
          <w:tcPr>
            <w:tcW w:w="1175" w:type="dxa"/>
            <w:tcBorders>
              <w:bottom w:val="single" w:sz="4" w:space="0" w:color="auto"/>
            </w:tcBorders>
            <w:vAlign w:val="bottom"/>
          </w:tcPr>
          <w:p w14:paraId="24262576" w14:textId="77777777" w:rsidR="001E55A8" w:rsidRPr="00CE0A6D" w:rsidRDefault="001E55A8" w:rsidP="005B7F97">
            <w:pPr>
              <w:pStyle w:val="Tabletext1"/>
              <w:ind w:left="34"/>
              <w:jc w:val="right"/>
            </w:pPr>
            <w:r>
              <w:sym w:font="Symbol" w:char="F02D"/>
            </w:r>
            <w:r>
              <w:t>$</w:t>
            </w:r>
            <w:r w:rsidRPr="003D5E01">
              <w:t>557,705</w:t>
            </w:r>
          </w:p>
        </w:tc>
      </w:tr>
    </w:tbl>
    <w:p w14:paraId="22BC318D" w14:textId="77777777" w:rsidR="001E55A8" w:rsidRDefault="001E55A8" w:rsidP="004566DC">
      <w:pPr>
        <w:pStyle w:val="TableNotes"/>
        <w:spacing w:after="120" w:line="240" w:lineRule="auto"/>
        <w:ind w:left="0"/>
        <w:rPr>
          <w:sz w:val="18"/>
          <w:szCs w:val="18"/>
        </w:rPr>
      </w:pPr>
      <w:r w:rsidRPr="004566DC">
        <w:rPr>
          <w:sz w:val="18"/>
          <w:szCs w:val="18"/>
          <w:vertAlign w:val="superscript"/>
        </w:rPr>
        <w:t>a</w:t>
      </w:r>
      <w:r>
        <w:rPr>
          <w:sz w:val="18"/>
          <w:szCs w:val="18"/>
        </w:rPr>
        <w:t xml:space="preserve"> no change in test cost</w:t>
      </w:r>
    </w:p>
    <w:p w14:paraId="28C5AA64" w14:textId="79D489E3" w:rsidR="001E55A8" w:rsidRDefault="001E55A8" w:rsidP="004566DC">
      <w:pPr>
        <w:pStyle w:val="TableNotes"/>
        <w:spacing w:after="120" w:line="240" w:lineRule="auto"/>
        <w:ind w:left="0"/>
        <w:rPr>
          <w:sz w:val="18"/>
          <w:szCs w:val="18"/>
        </w:rPr>
      </w:pPr>
      <w:r>
        <w:rPr>
          <w:sz w:val="18"/>
          <w:szCs w:val="18"/>
        </w:rPr>
        <w:t>MBS = Medicare Benefits Schedule</w:t>
      </w:r>
    </w:p>
    <w:p w14:paraId="2C2B3EBD" w14:textId="77777777" w:rsidR="000A1A2C" w:rsidRDefault="001D6A28" w:rsidP="005D1AC4">
      <w:pPr>
        <w:spacing w:before="240"/>
      </w:pPr>
      <w:r w:rsidRPr="002939FE">
        <w:t>Scenario analyses conducted using alternative MBS fees are presented in Table 83.</w:t>
      </w:r>
    </w:p>
    <w:p w14:paraId="5CD6A4BB" w14:textId="42772FF9" w:rsidR="001E55A8" w:rsidRDefault="001E55A8" w:rsidP="001E55A8">
      <w:pPr>
        <w:pStyle w:val="Caption"/>
      </w:pPr>
      <w:bookmarkStart w:id="461" w:name="_Toc418179480"/>
      <w:r>
        <w:t xml:space="preserve">Table </w:t>
      </w:r>
      <w:fldSimple w:instr=" SEQ Table \* ARABIC ">
        <w:r w:rsidR="00BB0E3E">
          <w:rPr>
            <w:noProof/>
          </w:rPr>
          <w:t>83</w:t>
        </w:r>
      </w:fldSimple>
      <w:r>
        <w:tab/>
        <w:t>Financial implication</w:t>
      </w:r>
      <w:r w:rsidR="008A0BED">
        <w:t>s</w:t>
      </w:r>
      <w:r>
        <w:t xml:space="preserve"> </w:t>
      </w:r>
      <w:r w:rsidR="00022486">
        <w:t xml:space="preserve">of </w:t>
      </w:r>
      <w:r w:rsidR="00FD37D3" w:rsidRPr="00FD37D3">
        <w:t>CFTR</w:t>
      </w:r>
      <w:r>
        <w:t xml:space="preserve"> test cost scenario analyses</w:t>
      </w:r>
      <w:bookmarkEnd w:id="461"/>
    </w:p>
    <w:tbl>
      <w:tblPr>
        <w:tblStyle w:val="TableGrid"/>
        <w:tblW w:w="0" w:type="auto"/>
        <w:tblInd w:w="108" w:type="dxa"/>
        <w:tblLayout w:type="fixed"/>
        <w:tblLook w:val="04A0" w:firstRow="1" w:lastRow="0" w:firstColumn="1" w:lastColumn="0" w:noHBand="0" w:noVBand="1"/>
        <w:tblCaption w:val="Sensitivity analyses"/>
        <w:tblDescription w:val="Financial implications of CFTR test cost scenario analyses"/>
      </w:tblPr>
      <w:tblGrid>
        <w:gridCol w:w="3261"/>
        <w:gridCol w:w="1174"/>
        <w:gridCol w:w="1175"/>
        <w:gridCol w:w="1174"/>
        <w:gridCol w:w="1175"/>
        <w:gridCol w:w="1175"/>
      </w:tblGrid>
      <w:tr w:rsidR="001E55A8" w:rsidRPr="007C5348" w14:paraId="422A383A" w14:textId="77777777" w:rsidTr="005B7F97">
        <w:trPr>
          <w:cantSplit/>
          <w:trHeight w:val="283"/>
          <w:tblHeader/>
        </w:trPr>
        <w:tc>
          <w:tcPr>
            <w:tcW w:w="3261" w:type="dxa"/>
            <w:tcBorders>
              <w:bottom w:val="single" w:sz="4" w:space="0" w:color="auto"/>
            </w:tcBorders>
          </w:tcPr>
          <w:p w14:paraId="317A939E" w14:textId="3D19BF67" w:rsidR="001E55A8" w:rsidRPr="00020CD4" w:rsidRDefault="001E55A8" w:rsidP="004566DC">
            <w:pPr>
              <w:pStyle w:val="Caption"/>
              <w:spacing w:before="40"/>
              <w:ind w:left="0"/>
              <w:jc w:val="left"/>
              <w:rPr>
                <w:szCs w:val="20"/>
              </w:rPr>
            </w:pPr>
          </w:p>
        </w:tc>
        <w:tc>
          <w:tcPr>
            <w:tcW w:w="1174" w:type="dxa"/>
            <w:tcBorders>
              <w:bottom w:val="single" w:sz="4" w:space="0" w:color="auto"/>
            </w:tcBorders>
            <w:vAlign w:val="bottom"/>
          </w:tcPr>
          <w:p w14:paraId="467DEDA3" w14:textId="77777777" w:rsidR="001E55A8" w:rsidRPr="00020CD4" w:rsidRDefault="001E55A8" w:rsidP="005B7F97">
            <w:pPr>
              <w:pStyle w:val="Caption"/>
              <w:spacing w:before="40"/>
              <w:ind w:left="0"/>
              <w:jc w:val="center"/>
              <w:rPr>
                <w:szCs w:val="20"/>
              </w:rPr>
            </w:pPr>
            <w:r w:rsidRPr="00020CD4">
              <w:rPr>
                <w:szCs w:val="20"/>
              </w:rPr>
              <w:t>2015</w:t>
            </w:r>
          </w:p>
        </w:tc>
        <w:tc>
          <w:tcPr>
            <w:tcW w:w="1175" w:type="dxa"/>
            <w:tcBorders>
              <w:bottom w:val="single" w:sz="4" w:space="0" w:color="auto"/>
            </w:tcBorders>
            <w:vAlign w:val="bottom"/>
          </w:tcPr>
          <w:p w14:paraId="68126CDD" w14:textId="77777777" w:rsidR="001E55A8" w:rsidRPr="00020CD4" w:rsidRDefault="001E55A8" w:rsidP="005B7F97">
            <w:pPr>
              <w:pStyle w:val="Caption"/>
              <w:spacing w:before="40"/>
              <w:ind w:left="0"/>
              <w:jc w:val="center"/>
              <w:rPr>
                <w:szCs w:val="20"/>
              </w:rPr>
            </w:pPr>
            <w:r w:rsidRPr="00020CD4">
              <w:rPr>
                <w:szCs w:val="20"/>
              </w:rPr>
              <w:t>2016</w:t>
            </w:r>
          </w:p>
        </w:tc>
        <w:tc>
          <w:tcPr>
            <w:tcW w:w="1174" w:type="dxa"/>
            <w:tcBorders>
              <w:bottom w:val="single" w:sz="4" w:space="0" w:color="auto"/>
            </w:tcBorders>
            <w:vAlign w:val="bottom"/>
          </w:tcPr>
          <w:p w14:paraId="25E754A5" w14:textId="77777777" w:rsidR="001E55A8" w:rsidRPr="00020CD4" w:rsidRDefault="001E55A8" w:rsidP="005B7F97">
            <w:pPr>
              <w:pStyle w:val="Caption"/>
              <w:spacing w:before="40"/>
              <w:ind w:left="0"/>
              <w:jc w:val="center"/>
              <w:rPr>
                <w:szCs w:val="20"/>
              </w:rPr>
            </w:pPr>
            <w:r w:rsidRPr="00020CD4">
              <w:rPr>
                <w:szCs w:val="20"/>
              </w:rPr>
              <w:t>2017</w:t>
            </w:r>
          </w:p>
        </w:tc>
        <w:tc>
          <w:tcPr>
            <w:tcW w:w="1175" w:type="dxa"/>
            <w:tcBorders>
              <w:bottom w:val="single" w:sz="4" w:space="0" w:color="auto"/>
            </w:tcBorders>
            <w:vAlign w:val="bottom"/>
          </w:tcPr>
          <w:p w14:paraId="36A7092C" w14:textId="77777777" w:rsidR="001E55A8" w:rsidRPr="00020CD4" w:rsidRDefault="001E55A8" w:rsidP="005B7F97">
            <w:pPr>
              <w:pStyle w:val="Caption"/>
              <w:spacing w:before="40"/>
              <w:ind w:left="0"/>
              <w:jc w:val="center"/>
              <w:rPr>
                <w:szCs w:val="20"/>
              </w:rPr>
            </w:pPr>
            <w:r w:rsidRPr="00020CD4">
              <w:rPr>
                <w:szCs w:val="20"/>
              </w:rPr>
              <w:t>2018</w:t>
            </w:r>
          </w:p>
        </w:tc>
        <w:tc>
          <w:tcPr>
            <w:tcW w:w="1175" w:type="dxa"/>
            <w:tcBorders>
              <w:bottom w:val="single" w:sz="4" w:space="0" w:color="auto"/>
            </w:tcBorders>
            <w:vAlign w:val="bottom"/>
          </w:tcPr>
          <w:p w14:paraId="41179E8C" w14:textId="77777777" w:rsidR="001E55A8" w:rsidRPr="00020CD4" w:rsidRDefault="001E55A8" w:rsidP="005B7F97">
            <w:pPr>
              <w:pStyle w:val="Caption"/>
              <w:spacing w:before="40"/>
              <w:ind w:left="0"/>
              <w:jc w:val="center"/>
              <w:rPr>
                <w:szCs w:val="20"/>
              </w:rPr>
            </w:pPr>
            <w:r w:rsidRPr="00020CD4">
              <w:rPr>
                <w:szCs w:val="20"/>
              </w:rPr>
              <w:t>2019</w:t>
            </w:r>
          </w:p>
        </w:tc>
      </w:tr>
      <w:tr w:rsidR="001E55A8" w:rsidRPr="003D5E01" w14:paraId="038BC46A" w14:textId="77777777" w:rsidTr="005B7F97">
        <w:trPr>
          <w:cantSplit/>
          <w:trHeight w:val="283"/>
          <w:tblHeader/>
        </w:trPr>
        <w:tc>
          <w:tcPr>
            <w:tcW w:w="3261" w:type="dxa"/>
            <w:tcBorders>
              <w:right w:val="nil"/>
            </w:tcBorders>
            <w:vAlign w:val="center"/>
          </w:tcPr>
          <w:p w14:paraId="68BBDAF7" w14:textId="77777777" w:rsidR="001E55A8" w:rsidRPr="002F38D0" w:rsidRDefault="001E55A8" w:rsidP="004566DC">
            <w:pPr>
              <w:keepNext/>
              <w:widowControl w:val="0"/>
              <w:spacing w:before="40" w:after="40" w:line="240" w:lineRule="auto"/>
              <w:ind w:left="34"/>
              <w:jc w:val="left"/>
              <w:rPr>
                <w:rFonts w:ascii="Arial Narrow" w:hAnsi="Arial Narrow"/>
                <w:b/>
                <w:sz w:val="20"/>
                <w:szCs w:val="20"/>
              </w:rPr>
            </w:pPr>
            <w:r w:rsidRPr="002F38D0">
              <w:rPr>
                <w:rFonts w:ascii="Arial Narrow" w:hAnsi="Arial Narrow"/>
                <w:b/>
                <w:sz w:val="20"/>
                <w:szCs w:val="20"/>
              </w:rPr>
              <w:t>Base-case</w:t>
            </w:r>
          </w:p>
        </w:tc>
        <w:tc>
          <w:tcPr>
            <w:tcW w:w="1174" w:type="dxa"/>
            <w:tcBorders>
              <w:left w:val="nil"/>
              <w:right w:val="nil"/>
            </w:tcBorders>
            <w:vAlign w:val="bottom"/>
          </w:tcPr>
          <w:p w14:paraId="09CC2407"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right w:val="nil"/>
            </w:tcBorders>
            <w:vAlign w:val="bottom"/>
          </w:tcPr>
          <w:p w14:paraId="778EE267"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4" w:type="dxa"/>
            <w:tcBorders>
              <w:left w:val="nil"/>
              <w:right w:val="nil"/>
            </w:tcBorders>
            <w:vAlign w:val="bottom"/>
          </w:tcPr>
          <w:p w14:paraId="3F907CA8"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right w:val="nil"/>
            </w:tcBorders>
            <w:vAlign w:val="bottom"/>
          </w:tcPr>
          <w:p w14:paraId="250B20F5"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c>
          <w:tcPr>
            <w:tcW w:w="1175" w:type="dxa"/>
            <w:tcBorders>
              <w:left w:val="nil"/>
            </w:tcBorders>
            <w:vAlign w:val="bottom"/>
          </w:tcPr>
          <w:p w14:paraId="36FC2E5F" w14:textId="77777777" w:rsidR="001E55A8" w:rsidRPr="003D5E01" w:rsidRDefault="001E55A8" w:rsidP="005B7F97">
            <w:pPr>
              <w:keepNext/>
              <w:widowControl w:val="0"/>
              <w:spacing w:before="40" w:after="40" w:line="240" w:lineRule="auto"/>
              <w:ind w:left="34"/>
              <w:rPr>
                <w:rFonts w:ascii="Arial Narrow" w:hAnsi="Arial Narrow"/>
                <w:b/>
                <w:color w:val="FFFFFF" w:themeColor="background1"/>
                <w:sz w:val="20"/>
                <w:szCs w:val="20"/>
              </w:rPr>
            </w:pPr>
            <w:r w:rsidRPr="003D5E01">
              <w:rPr>
                <w:rFonts w:ascii="Arial Narrow" w:hAnsi="Arial Narrow"/>
                <w:b/>
                <w:color w:val="FFFFFF" w:themeColor="background1"/>
                <w:sz w:val="20"/>
                <w:szCs w:val="20"/>
              </w:rPr>
              <w:t>-</w:t>
            </w:r>
          </w:p>
        </w:tc>
      </w:tr>
      <w:tr w:rsidR="001E55A8" w:rsidRPr="003D5E01" w14:paraId="4AFA1CF0" w14:textId="77777777" w:rsidTr="005B7F97">
        <w:trPr>
          <w:cantSplit/>
          <w:trHeight w:val="283"/>
          <w:tblHeader/>
        </w:trPr>
        <w:tc>
          <w:tcPr>
            <w:tcW w:w="3261" w:type="dxa"/>
          </w:tcPr>
          <w:p w14:paraId="23FAB814" w14:textId="77777777"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Cost to MBS</w:t>
            </w:r>
          </w:p>
        </w:tc>
        <w:tc>
          <w:tcPr>
            <w:tcW w:w="1174" w:type="dxa"/>
            <w:vAlign w:val="bottom"/>
          </w:tcPr>
          <w:p w14:paraId="64749920"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$1,806,926</w:t>
            </w:r>
          </w:p>
        </w:tc>
        <w:tc>
          <w:tcPr>
            <w:tcW w:w="1175" w:type="dxa"/>
            <w:vAlign w:val="bottom"/>
          </w:tcPr>
          <w:p w14:paraId="682353DD"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$2,077,965</w:t>
            </w:r>
          </w:p>
        </w:tc>
        <w:tc>
          <w:tcPr>
            <w:tcW w:w="1174" w:type="dxa"/>
            <w:vAlign w:val="bottom"/>
          </w:tcPr>
          <w:p w14:paraId="2E552D10"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$2,389,660</w:t>
            </w:r>
          </w:p>
        </w:tc>
        <w:tc>
          <w:tcPr>
            <w:tcW w:w="1175" w:type="dxa"/>
            <w:vAlign w:val="bottom"/>
          </w:tcPr>
          <w:p w14:paraId="14AE883F"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$2,748,109</w:t>
            </w:r>
          </w:p>
        </w:tc>
        <w:tc>
          <w:tcPr>
            <w:tcW w:w="1175" w:type="dxa"/>
            <w:vAlign w:val="bottom"/>
          </w:tcPr>
          <w:p w14:paraId="06AD8CAA"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$3,160,326</w:t>
            </w:r>
          </w:p>
        </w:tc>
      </w:tr>
      <w:tr w:rsidR="001E55A8" w:rsidRPr="003D5E01" w14:paraId="5CF3EDE2" w14:textId="77777777" w:rsidTr="005B7F97">
        <w:trPr>
          <w:cantSplit/>
          <w:trHeight w:val="283"/>
          <w:tblHeader/>
        </w:trPr>
        <w:tc>
          <w:tcPr>
            <w:tcW w:w="3261" w:type="dxa"/>
            <w:tcBorders>
              <w:bottom w:val="single" w:sz="4" w:space="0" w:color="auto"/>
            </w:tcBorders>
          </w:tcPr>
          <w:p w14:paraId="78351274" w14:textId="24EB8073"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 xml:space="preserve">Savings to </w:t>
            </w:r>
            <w:r w:rsidR="00E37AED">
              <w:rPr>
                <w:rFonts w:ascii="Arial Narrow" w:hAnsi="Arial Narrow"/>
                <w:b/>
                <w:sz w:val="20"/>
                <w:szCs w:val="20"/>
              </w:rPr>
              <w:t>s</w:t>
            </w:r>
            <w:r w:rsidRPr="00047E2E">
              <w:rPr>
                <w:rFonts w:ascii="Arial Narrow" w:hAnsi="Arial Narrow"/>
                <w:b/>
                <w:sz w:val="20"/>
                <w:szCs w:val="20"/>
              </w:rPr>
              <w:t>tate</w:t>
            </w:r>
            <w:r w:rsidR="00E37AED">
              <w:rPr>
                <w:rFonts w:ascii="Arial Narrow" w:hAnsi="Arial Narrow"/>
                <w:b/>
                <w:sz w:val="20"/>
                <w:szCs w:val="20"/>
              </w:rPr>
              <w:t>s</w:t>
            </w:r>
            <w:r w:rsidRPr="00047E2E">
              <w:rPr>
                <w:rFonts w:ascii="Arial Narrow" w:hAnsi="Arial Narrow"/>
                <w:b/>
                <w:sz w:val="20"/>
                <w:szCs w:val="20"/>
              </w:rPr>
              <w:t>/</w:t>
            </w:r>
            <w:r w:rsidR="00E37AED">
              <w:rPr>
                <w:rFonts w:ascii="Arial Narrow" w:hAnsi="Arial Narrow"/>
                <w:b/>
                <w:sz w:val="20"/>
                <w:szCs w:val="20"/>
              </w:rPr>
              <w:t>t</w:t>
            </w:r>
            <w:r w:rsidRPr="00047E2E">
              <w:rPr>
                <w:rFonts w:ascii="Arial Narrow" w:hAnsi="Arial Narrow"/>
                <w:b/>
                <w:sz w:val="20"/>
                <w:szCs w:val="20"/>
              </w:rPr>
              <w:t>erritories</w:t>
            </w:r>
          </w:p>
        </w:tc>
        <w:tc>
          <w:tcPr>
            <w:tcW w:w="1174" w:type="dxa"/>
            <w:tcBorders>
              <w:bottom w:val="single" w:sz="4" w:space="0" w:color="auto"/>
            </w:tcBorders>
            <w:vAlign w:val="bottom"/>
          </w:tcPr>
          <w:p w14:paraId="2711E23B"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3D5E01">
              <w:rPr>
                <w:rFonts w:ascii="Arial Narrow" w:hAnsi="Arial Narrow"/>
                <w:b/>
                <w:sz w:val="20"/>
                <w:szCs w:val="20"/>
              </w:rPr>
              <w:t>$</w:t>
            </w:r>
            <w:r w:rsidRPr="00047E2E">
              <w:rPr>
                <w:rFonts w:ascii="Arial Narrow" w:hAnsi="Arial Narrow"/>
                <w:b/>
                <w:sz w:val="20"/>
                <w:szCs w:val="20"/>
              </w:rPr>
              <w:t>969,726</w:t>
            </w:r>
          </w:p>
        </w:tc>
        <w:tc>
          <w:tcPr>
            <w:tcW w:w="1175" w:type="dxa"/>
            <w:tcBorders>
              <w:bottom w:val="single" w:sz="4" w:space="0" w:color="auto"/>
            </w:tcBorders>
            <w:vAlign w:val="bottom"/>
          </w:tcPr>
          <w:p w14:paraId="7420AF19"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3D5E01">
              <w:rPr>
                <w:rFonts w:ascii="Arial Narrow" w:hAnsi="Arial Narrow"/>
                <w:b/>
                <w:sz w:val="20"/>
                <w:szCs w:val="20"/>
              </w:rPr>
              <w:t>$</w:t>
            </w:r>
            <w:r w:rsidRPr="00047E2E">
              <w:rPr>
                <w:rFonts w:ascii="Arial Narrow" w:hAnsi="Arial Narrow"/>
                <w:b/>
                <w:sz w:val="20"/>
                <w:szCs w:val="20"/>
              </w:rPr>
              <w:t>1,115,184</w:t>
            </w:r>
          </w:p>
        </w:tc>
        <w:tc>
          <w:tcPr>
            <w:tcW w:w="1174" w:type="dxa"/>
            <w:tcBorders>
              <w:bottom w:val="single" w:sz="4" w:space="0" w:color="auto"/>
            </w:tcBorders>
            <w:vAlign w:val="bottom"/>
          </w:tcPr>
          <w:p w14:paraId="24EA3EBB"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3D5E01">
              <w:rPr>
                <w:rFonts w:ascii="Arial Narrow" w:hAnsi="Arial Narrow"/>
                <w:b/>
                <w:sz w:val="20"/>
                <w:szCs w:val="20"/>
              </w:rPr>
              <w:t>$</w:t>
            </w:r>
            <w:r w:rsidRPr="00047E2E">
              <w:rPr>
                <w:rFonts w:ascii="Arial Narrow" w:hAnsi="Arial Narrow"/>
                <w:b/>
                <w:sz w:val="20"/>
                <w:szCs w:val="20"/>
              </w:rPr>
              <w:t>1,282,462</w:t>
            </w:r>
          </w:p>
        </w:tc>
        <w:tc>
          <w:tcPr>
            <w:tcW w:w="1175" w:type="dxa"/>
            <w:tcBorders>
              <w:bottom w:val="single" w:sz="4" w:space="0" w:color="auto"/>
            </w:tcBorders>
            <w:vAlign w:val="bottom"/>
          </w:tcPr>
          <w:p w14:paraId="49754E18"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3D5E01">
              <w:rPr>
                <w:rFonts w:ascii="Arial Narrow" w:hAnsi="Arial Narrow"/>
                <w:b/>
                <w:sz w:val="20"/>
                <w:szCs w:val="20"/>
              </w:rPr>
              <w:t>$</w:t>
            </w:r>
            <w:r w:rsidRPr="00047E2E">
              <w:rPr>
                <w:rFonts w:ascii="Arial Narrow" w:hAnsi="Arial Narrow"/>
                <w:b/>
                <w:sz w:val="20"/>
                <w:szCs w:val="20"/>
              </w:rPr>
              <w:t>1,474,831</w:t>
            </w:r>
          </w:p>
        </w:tc>
        <w:tc>
          <w:tcPr>
            <w:tcW w:w="1175" w:type="dxa"/>
            <w:tcBorders>
              <w:bottom w:val="single" w:sz="4" w:space="0" w:color="auto"/>
            </w:tcBorders>
            <w:vAlign w:val="bottom"/>
          </w:tcPr>
          <w:p w14:paraId="3441D778"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3D5E01">
              <w:rPr>
                <w:rFonts w:ascii="Arial Narrow" w:hAnsi="Arial Narrow"/>
                <w:b/>
                <w:sz w:val="20"/>
                <w:szCs w:val="20"/>
              </w:rPr>
              <w:t>$</w:t>
            </w:r>
            <w:r w:rsidRPr="00047E2E">
              <w:rPr>
                <w:rFonts w:ascii="Arial Narrow" w:hAnsi="Arial Narrow"/>
                <w:b/>
                <w:sz w:val="20"/>
                <w:szCs w:val="20"/>
              </w:rPr>
              <w:t>1,696,056</w:t>
            </w:r>
          </w:p>
        </w:tc>
      </w:tr>
      <w:tr w:rsidR="001E55A8" w:rsidRPr="003D5E01" w14:paraId="47903020" w14:textId="77777777" w:rsidTr="005B7F97">
        <w:trPr>
          <w:cantSplit/>
          <w:trHeight w:val="283"/>
          <w:tblHeader/>
        </w:trPr>
        <w:tc>
          <w:tcPr>
            <w:tcW w:w="3261" w:type="dxa"/>
            <w:tcBorders>
              <w:bottom w:val="single" w:sz="8" w:space="0" w:color="auto"/>
            </w:tcBorders>
          </w:tcPr>
          <w:p w14:paraId="14F9E865" w14:textId="0D091D13" w:rsidR="001E55A8" w:rsidRPr="003D5E01"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 xml:space="preserve">Net </w:t>
            </w:r>
            <w:r w:rsidR="008A0BED" w:rsidRPr="004566DC">
              <w:rPr>
                <w:rFonts w:ascii="Arial Narrow" w:hAnsi="Arial Narrow"/>
                <w:b/>
                <w:sz w:val="20"/>
                <w:szCs w:val="20"/>
              </w:rPr>
              <w:t xml:space="preserve">savings </w:t>
            </w:r>
            <w:r w:rsidRPr="00047E2E">
              <w:rPr>
                <w:rFonts w:ascii="Arial Narrow" w:hAnsi="Arial Narrow"/>
                <w:b/>
                <w:sz w:val="20"/>
                <w:szCs w:val="20"/>
              </w:rPr>
              <w:t>to government health budgets</w:t>
            </w:r>
          </w:p>
        </w:tc>
        <w:tc>
          <w:tcPr>
            <w:tcW w:w="1174" w:type="dxa"/>
            <w:tcBorders>
              <w:bottom w:val="single" w:sz="8" w:space="0" w:color="auto"/>
            </w:tcBorders>
            <w:vAlign w:val="bottom"/>
          </w:tcPr>
          <w:p w14:paraId="525536BE"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$837,201</w:t>
            </w:r>
          </w:p>
        </w:tc>
        <w:tc>
          <w:tcPr>
            <w:tcW w:w="1175" w:type="dxa"/>
            <w:tcBorders>
              <w:bottom w:val="single" w:sz="8" w:space="0" w:color="auto"/>
            </w:tcBorders>
            <w:vAlign w:val="bottom"/>
          </w:tcPr>
          <w:p w14:paraId="2A21FEE0"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$962,781</w:t>
            </w:r>
          </w:p>
        </w:tc>
        <w:tc>
          <w:tcPr>
            <w:tcW w:w="1174" w:type="dxa"/>
            <w:tcBorders>
              <w:bottom w:val="single" w:sz="8" w:space="0" w:color="auto"/>
            </w:tcBorders>
            <w:vAlign w:val="bottom"/>
          </w:tcPr>
          <w:p w14:paraId="753BA7C5"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$1,107,198</w:t>
            </w:r>
          </w:p>
        </w:tc>
        <w:tc>
          <w:tcPr>
            <w:tcW w:w="1175" w:type="dxa"/>
            <w:tcBorders>
              <w:bottom w:val="single" w:sz="8" w:space="0" w:color="auto"/>
            </w:tcBorders>
            <w:vAlign w:val="bottom"/>
          </w:tcPr>
          <w:p w14:paraId="0CA02CF3"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$1,273,278</w:t>
            </w:r>
          </w:p>
        </w:tc>
        <w:tc>
          <w:tcPr>
            <w:tcW w:w="1175" w:type="dxa"/>
            <w:tcBorders>
              <w:bottom w:val="single" w:sz="8" w:space="0" w:color="auto"/>
            </w:tcBorders>
            <w:vAlign w:val="bottom"/>
          </w:tcPr>
          <w:p w14:paraId="77E92DD5" w14:textId="77777777" w:rsidR="001E55A8" w:rsidRPr="003D5E01"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$1,464,270</w:t>
            </w:r>
          </w:p>
        </w:tc>
      </w:tr>
      <w:tr w:rsidR="001E55A8" w:rsidRPr="003D5E01" w14:paraId="44653422" w14:textId="77777777" w:rsidTr="005B7F97">
        <w:trPr>
          <w:cantSplit/>
          <w:trHeight w:val="283"/>
        </w:trPr>
        <w:tc>
          <w:tcPr>
            <w:tcW w:w="3261" w:type="dxa"/>
            <w:tcBorders>
              <w:top w:val="single" w:sz="8" w:space="0" w:color="auto"/>
              <w:right w:val="nil"/>
            </w:tcBorders>
          </w:tcPr>
          <w:p w14:paraId="01931D43" w14:textId="44DFD3DB"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610796">
              <w:rPr>
                <w:rFonts w:ascii="Arial Narrow" w:hAnsi="Arial Narrow"/>
                <w:i/>
                <w:sz w:val="20"/>
                <w:szCs w:val="20"/>
              </w:rPr>
              <w:t>Cost of known mutation analysis $</w:t>
            </w:r>
            <w:r w:rsidR="00610796" w:rsidRPr="00610796">
              <w:rPr>
                <w:rFonts w:ascii="Arial Narrow" w:hAnsi="Arial Narrow"/>
                <w:i/>
                <w:sz w:val="20"/>
                <w:szCs w:val="20"/>
              </w:rPr>
              <w:t>50</w:t>
            </w:r>
            <w:r w:rsidRPr="00610796">
              <w:rPr>
                <w:rFonts w:ascii="Arial Narrow" w:hAnsi="Arial Narrow"/>
                <w:i/>
                <w:sz w:val="20"/>
                <w:szCs w:val="20"/>
              </w:rPr>
              <w:br/>
              <w:t>(base</w:t>
            </w:r>
            <w:r w:rsidR="00E37AED">
              <w:rPr>
                <w:rFonts w:ascii="Arial Narrow" w:hAnsi="Arial Narrow"/>
                <w:i/>
                <w:sz w:val="20"/>
                <w:szCs w:val="20"/>
              </w:rPr>
              <w:t>-</w:t>
            </w:r>
            <w:r w:rsidRPr="00610796">
              <w:rPr>
                <w:rFonts w:ascii="Arial Narrow" w:hAnsi="Arial Narrow"/>
                <w:i/>
                <w:sz w:val="20"/>
                <w:szCs w:val="20"/>
              </w:rPr>
              <w:t>case: $80)</w:t>
            </w:r>
          </w:p>
        </w:tc>
        <w:tc>
          <w:tcPr>
            <w:tcW w:w="1174" w:type="dxa"/>
            <w:tcBorders>
              <w:top w:val="single" w:sz="8" w:space="0" w:color="auto"/>
              <w:left w:val="nil"/>
              <w:right w:val="nil"/>
            </w:tcBorders>
          </w:tcPr>
          <w:p w14:paraId="03D63A75"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right w:val="nil"/>
            </w:tcBorders>
          </w:tcPr>
          <w:p w14:paraId="4C8D46F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top w:val="single" w:sz="8" w:space="0" w:color="auto"/>
              <w:left w:val="nil"/>
              <w:right w:val="nil"/>
            </w:tcBorders>
          </w:tcPr>
          <w:p w14:paraId="62E73F82"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right w:val="nil"/>
            </w:tcBorders>
          </w:tcPr>
          <w:p w14:paraId="5C7C4267"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top w:val="single" w:sz="8" w:space="0" w:color="auto"/>
              <w:left w:val="nil"/>
            </w:tcBorders>
          </w:tcPr>
          <w:p w14:paraId="260C6401"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610796" w:rsidRPr="007C5348" w14:paraId="31A7DE1A" w14:textId="77777777" w:rsidTr="00626626">
        <w:trPr>
          <w:cantSplit/>
          <w:trHeight w:val="283"/>
        </w:trPr>
        <w:tc>
          <w:tcPr>
            <w:tcW w:w="3261" w:type="dxa"/>
          </w:tcPr>
          <w:p w14:paraId="798DD7E9" w14:textId="77777777" w:rsidR="00610796" w:rsidRPr="00821297" w:rsidRDefault="00610796"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tcPr>
          <w:p w14:paraId="51A1047F" w14:textId="77777777" w:rsidR="00610796" w:rsidRPr="00325B35" w:rsidRDefault="00610796" w:rsidP="00610796">
            <w:pPr>
              <w:pStyle w:val="Tabletext1"/>
              <w:ind w:left="34"/>
              <w:jc w:val="right"/>
            </w:pPr>
            <w:r w:rsidRPr="00325B35">
              <w:t>$1,788,559</w:t>
            </w:r>
          </w:p>
        </w:tc>
        <w:tc>
          <w:tcPr>
            <w:tcW w:w="1175" w:type="dxa"/>
          </w:tcPr>
          <w:p w14:paraId="293669E9" w14:textId="77777777" w:rsidR="00610796" w:rsidRPr="00325B35" w:rsidRDefault="00610796" w:rsidP="00610796">
            <w:pPr>
              <w:pStyle w:val="Tabletext1"/>
              <w:ind w:left="34"/>
              <w:jc w:val="right"/>
            </w:pPr>
            <w:r w:rsidRPr="00325B35">
              <w:t>$2,056,842</w:t>
            </w:r>
          </w:p>
        </w:tc>
        <w:tc>
          <w:tcPr>
            <w:tcW w:w="1174" w:type="dxa"/>
          </w:tcPr>
          <w:p w14:paraId="2789C718" w14:textId="77777777" w:rsidR="00610796" w:rsidRPr="00325B35" w:rsidRDefault="00610796" w:rsidP="00610796">
            <w:pPr>
              <w:pStyle w:val="Tabletext1"/>
              <w:ind w:left="34"/>
              <w:jc w:val="right"/>
            </w:pPr>
            <w:r w:rsidRPr="00325B35">
              <w:t>$2,365,369</w:t>
            </w:r>
          </w:p>
        </w:tc>
        <w:tc>
          <w:tcPr>
            <w:tcW w:w="1175" w:type="dxa"/>
          </w:tcPr>
          <w:p w14:paraId="6BA7A714" w14:textId="77777777" w:rsidR="00610796" w:rsidRPr="00325B35" w:rsidRDefault="00610796" w:rsidP="00610796">
            <w:pPr>
              <w:pStyle w:val="Tabletext1"/>
              <w:ind w:left="34"/>
              <w:jc w:val="right"/>
            </w:pPr>
            <w:r w:rsidRPr="00325B35">
              <w:t>$2,720,174</w:t>
            </w:r>
          </w:p>
        </w:tc>
        <w:tc>
          <w:tcPr>
            <w:tcW w:w="1175" w:type="dxa"/>
          </w:tcPr>
          <w:p w14:paraId="19C18F6C" w14:textId="77777777" w:rsidR="00610796" w:rsidRPr="00325B35" w:rsidRDefault="00610796" w:rsidP="00610796">
            <w:pPr>
              <w:pStyle w:val="Tabletext1"/>
              <w:ind w:left="34"/>
              <w:jc w:val="right"/>
            </w:pPr>
            <w:r w:rsidRPr="00325B35">
              <w:t>$3,128,200</w:t>
            </w:r>
          </w:p>
        </w:tc>
      </w:tr>
      <w:tr w:rsidR="00610796" w:rsidRPr="007C5348" w14:paraId="0F8386BA" w14:textId="77777777" w:rsidTr="00626626">
        <w:trPr>
          <w:cantSplit/>
          <w:trHeight w:val="283"/>
        </w:trPr>
        <w:tc>
          <w:tcPr>
            <w:tcW w:w="3261" w:type="dxa"/>
          </w:tcPr>
          <w:p w14:paraId="10006A4F" w14:textId="040B888A" w:rsidR="00610796" w:rsidRPr="003D5E01" w:rsidRDefault="00610796"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E37AED">
              <w:rPr>
                <w:rFonts w:ascii="Arial Narrow" w:hAnsi="Arial Narrow"/>
                <w:sz w:val="20"/>
                <w:szCs w:val="20"/>
              </w:rPr>
              <w:t>s</w:t>
            </w:r>
            <w:r w:rsidRPr="00047E2E">
              <w:rPr>
                <w:rFonts w:ascii="Arial Narrow" w:hAnsi="Arial Narrow"/>
                <w:sz w:val="20"/>
                <w:szCs w:val="20"/>
              </w:rPr>
              <w:t>tate</w:t>
            </w:r>
            <w:r w:rsidR="00E37AED">
              <w:rPr>
                <w:rFonts w:ascii="Arial Narrow" w:hAnsi="Arial Narrow"/>
                <w:sz w:val="20"/>
                <w:szCs w:val="20"/>
              </w:rPr>
              <w:t>s</w:t>
            </w:r>
            <w:r w:rsidRPr="00047E2E">
              <w:rPr>
                <w:rFonts w:ascii="Arial Narrow" w:hAnsi="Arial Narrow"/>
                <w:sz w:val="20"/>
                <w:szCs w:val="20"/>
              </w:rPr>
              <w:t>/</w:t>
            </w:r>
            <w:r w:rsidR="00E37AED">
              <w:rPr>
                <w:rFonts w:ascii="Arial Narrow" w:hAnsi="Arial Narrow"/>
                <w:sz w:val="20"/>
                <w:szCs w:val="20"/>
              </w:rPr>
              <w:t>t</w:t>
            </w:r>
            <w:r w:rsidRPr="00047E2E">
              <w:rPr>
                <w:rFonts w:ascii="Arial Narrow" w:hAnsi="Arial Narrow"/>
                <w:sz w:val="20"/>
                <w:szCs w:val="20"/>
              </w:rPr>
              <w:t>erritories</w:t>
            </w:r>
          </w:p>
        </w:tc>
        <w:tc>
          <w:tcPr>
            <w:tcW w:w="1174" w:type="dxa"/>
          </w:tcPr>
          <w:p w14:paraId="7AFB0A86" w14:textId="77777777" w:rsidR="00610796" w:rsidRPr="00325B35" w:rsidRDefault="00610796" w:rsidP="00610796">
            <w:pPr>
              <w:pStyle w:val="Tabletext1"/>
              <w:ind w:left="34"/>
              <w:jc w:val="right"/>
            </w:pPr>
            <w:r w:rsidRPr="00325B35">
              <w:t>$959,868</w:t>
            </w:r>
          </w:p>
        </w:tc>
        <w:tc>
          <w:tcPr>
            <w:tcW w:w="1175" w:type="dxa"/>
          </w:tcPr>
          <w:p w14:paraId="0BCFAEDE" w14:textId="77777777" w:rsidR="00610796" w:rsidRPr="00325B35" w:rsidRDefault="00610796" w:rsidP="00610796">
            <w:pPr>
              <w:pStyle w:val="Tabletext1"/>
              <w:ind w:left="34"/>
              <w:jc w:val="right"/>
            </w:pPr>
            <w:r w:rsidRPr="00325B35">
              <w:t>$1,103,848</w:t>
            </w:r>
          </w:p>
        </w:tc>
        <w:tc>
          <w:tcPr>
            <w:tcW w:w="1174" w:type="dxa"/>
          </w:tcPr>
          <w:p w14:paraId="39743B9D" w14:textId="77777777" w:rsidR="00610796" w:rsidRPr="00325B35" w:rsidRDefault="00610796" w:rsidP="00610796">
            <w:pPr>
              <w:pStyle w:val="Tabletext1"/>
              <w:ind w:left="34"/>
              <w:jc w:val="right"/>
            </w:pPr>
            <w:r w:rsidRPr="00325B35">
              <w:t>$1,269,426</w:t>
            </w:r>
          </w:p>
        </w:tc>
        <w:tc>
          <w:tcPr>
            <w:tcW w:w="1175" w:type="dxa"/>
          </w:tcPr>
          <w:p w14:paraId="3B1FBC05" w14:textId="77777777" w:rsidR="00610796" w:rsidRPr="00325B35" w:rsidRDefault="00610796" w:rsidP="00610796">
            <w:pPr>
              <w:pStyle w:val="Tabletext1"/>
              <w:ind w:left="34"/>
              <w:jc w:val="right"/>
            </w:pPr>
            <w:r w:rsidRPr="00325B35">
              <w:t>$1,459,839</w:t>
            </w:r>
          </w:p>
        </w:tc>
        <w:tc>
          <w:tcPr>
            <w:tcW w:w="1175" w:type="dxa"/>
          </w:tcPr>
          <w:p w14:paraId="4B7CD851" w14:textId="77777777" w:rsidR="00610796" w:rsidRPr="00325B35" w:rsidRDefault="00610796" w:rsidP="00610796">
            <w:pPr>
              <w:pStyle w:val="Tabletext1"/>
              <w:ind w:left="34"/>
              <w:jc w:val="right"/>
            </w:pPr>
            <w:r w:rsidRPr="00325B35">
              <w:t>$1,678,815</w:t>
            </w:r>
          </w:p>
        </w:tc>
      </w:tr>
      <w:tr w:rsidR="00610796" w:rsidRPr="007C5348" w14:paraId="082D2B12" w14:textId="77777777" w:rsidTr="00626626">
        <w:trPr>
          <w:cantSplit/>
          <w:trHeight w:val="283"/>
        </w:trPr>
        <w:tc>
          <w:tcPr>
            <w:tcW w:w="3261" w:type="dxa"/>
            <w:tcBorders>
              <w:bottom w:val="single" w:sz="4" w:space="0" w:color="auto"/>
            </w:tcBorders>
          </w:tcPr>
          <w:p w14:paraId="43D4453E" w14:textId="31AD20C5" w:rsidR="00610796" w:rsidRPr="003D5E01" w:rsidRDefault="00610796" w:rsidP="004566DC">
            <w:pPr>
              <w:keepNext/>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8A0BED">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tcBorders>
              <w:bottom w:val="single" w:sz="4" w:space="0" w:color="auto"/>
            </w:tcBorders>
          </w:tcPr>
          <w:p w14:paraId="417133CA" w14:textId="77777777" w:rsidR="00610796" w:rsidRPr="00325B35" w:rsidRDefault="00610796" w:rsidP="00610796">
            <w:pPr>
              <w:pStyle w:val="Tabletext1"/>
              <w:ind w:left="34"/>
              <w:jc w:val="right"/>
            </w:pPr>
            <w:r w:rsidRPr="00325B35">
              <w:t>$828,690</w:t>
            </w:r>
          </w:p>
        </w:tc>
        <w:tc>
          <w:tcPr>
            <w:tcW w:w="1175" w:type="dxa"/>
            <w:tcBorders>
              <w:bottom w:val="single" w:sz="4" w:space="0" w:color="auto"/>
            </w:tcBorders>
          </w:tcPr>
          <w:p w14:paraId="2EDCA52D" w14:textId="77777777" w:rsidR="00610796" w:rsidRPr="00325B35" w:rsidRDefault="00610796" w:rsidP="00610796">
            <w:pPr>
              <w:pStyle w:val="Tabletext1"/>
              <w:ind w:left="34"/>
              <w:jc w:val="right"/>
            </w:pPr>
            <w:r w:rsidRPr="00325B35">
              <w:t>$952,994</w:t>
            </w:r>
          </w:p>
        </w:tc>
        <w:tc>
          <w:tcPr>
            <w:tcW w:w="1174" w:type="dxa"/>
            <w:tcBorders>
              <w:bottom w:val="single" w:sz="4" w:space="0" w:color="auto"/>
            </w:tcBorders>
          </w:tcPr>
          <w:p w14:paraId="61B96C30" w14:textId="77777777" w:rsidR="00610796" w:rsidRPr="00325B35" w:rsidRDefault="00610796" w:rsidP="00610796">
            <w:pPr>
              <w:pStyle w:val="Tabletext1"/>
              <w:ind w:left="34"/>
              <w:jc w:val="right"/>
            </w:pPr>
            <w:r w:rsidRPr="00325B35">
              <w:t>$1,095,943</w:t>
            </w:r>
          </w:p>
        </w:tc>
        <w:tc>
          <w:tcPr>
            <w:tcW w:w="1175" w:type="dxa"/>
            <w:tcBorders>
              <w:bottom w:val="single" w:sz="4" w:space="0" w:color="auto"/>
            </w:tcBorders>
          </w:tcPr>
          <w:p w14:paraId="21785A29" w14:textId="77777777" w:rsidR="00610796" w:rsidRPr="00325B35" w:rsidRDefault="00610796" w:rsidP="00610796">
            <w:pPr>
              <w:pStyle w:val="Tabletext1"/>
              <w:ind w:left="34"/>
              <w:jc w:val="right"/>
            </w:pPr>
            <w:r w:rsidRPr="00325B35">
              <w:t>$1,260,335</w:t>
            </w:r>
          </w:p>
        </w:tc>
        <w:tc>
          <w:tcPr>
            <w:tcW w:w="1175" w:type="dxa"/>
            <w:tcBorders>
              <w:bottom w:val="single" w:sz="4" w:space="0" w:color="auto"/>
            </w:tcBorders>
          </w:tcPr>
          <w:p w14:paraId="21279FE0" w14:textId="77777777" w:rsidR="00610796" w:rsidRDefault="00610796" w:rsidP="00610796">
            <w:pPr>
              <w:pStyle w:val="Tabletext1"/>
              <w:ind w:left="34"/>
              <w:jc w:val="right"/>
            </w:pPr>
            <w:r w:rsidRPr="00325B35">
              <w:t>$1,449,385</w:t>
            </w:r>
          </w:p>
        </w:tc>
      </w:tr>
      <w:tr w:rsidR="001E55A8" w:rsidRPr="003D5E01" w14:paraId="7F1EDBE8" w14:textId="77777777" w:rsidTr="005B7F97">
        <w:trPr>
          <w:cantSplit/>
          <w:trHeight w:val="283"/>
        </w:trPr>
        <w:tc>
          <w:tcPr>
            <w:tcW w:w="3261" w:type="dxa"/>
            <w:tcBorders>
              <w:right w:val="nil"/>
            </w:tcBorders>
          </w:tcPr>
          <w:p w14:paraId="47DA0B15" w14:textId="10A7D3CC" w:rsidR="001E55A8" w:rsidRPr="002F38D0" w:rsidRDefault="001E55A8" w:rsidP="004566DC">
            <w:pPr>
              <w:keepNext/>
              <w:widowControl w:val="0"/>
              <w:spacing w:before="40" w:after="40" w:line="240" w:lineRule="auto"/>
              <w:ind w:left="34"/>
              <w:jc w:val="left"/>
              <w:rPr>
                <w:rFonts w:ascii="Arial Narrow" w:hAnsi="Arial Narrow"/>
                <w:i/>
                <w:sz w:val="20"/>
                <w:szCs w:val="20"/>
              </w:rPr>
            </w:pPr>
            <w:r w:rsidRPr="002F38D0">
              <w:rPr>
                <w:rFonts w:ascii="Arial Narrow" w:hAnsi="Arial Narrow"/>
                <w:i/>
                <w:sz w:val="20"/>
                <w:szCs w:val="20"/>
              </w:rPr>
              <w:t>Cost of whole gene screen $500</w:t>
            </w:r>
            <w:r w:rsidRPr="002F38D0">
              <w:rPr>
                <w:rFonts w:ascii="Arial Narrow" w:hAnsi="Arial Narrow"/>
                <w:i/>
                <w:sz w:val="20"/>
                <w:szCs w:val="20"/>
              </w:rPr>
              <w:br/>
              <w:t>(base</w:t>
            </w:r>
            <w:r w:rsidR="00E37AED">
              <w:rPr>
                <w:rFonts w:ascii="Arial Narrow" w:hAnsi="Arial Narrow"/>
                <w:i/>
                <w:sz w:val="20"/>
                <w:szCs w:val="20"/>
              </w:rPr>
              <w:t>-</w:t>
            </w:r>
            <w:r w:rsidRPr="002F38D0">
              <w:rPr>
                <w:rFonts w:ascii="Arial Narrow" w:hAnsi="Arial Narrow"/>
                <w:i/>
                <w:sz w:val="20"/>
                <w:szCs w:val="20"/>
              </w:rPr>
              <w:t>case: $1,000)</w:t>
            </w:r>
          </w:p>
        </w:tc>
        <w:tc>
          <w:tcPr>
            <w:tcW w:w="1174" w:type="dxa"/>
            <w:tcBorders>
              <w:left w:val="nil"/>
              <w:right w:val="nil"/>
            </w:tcBorders>
          </w:tcPr>
          <w:p w14:paraId="12E811A7"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6BF9F228"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6ECBD51A"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1CBB27EE"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52F79513"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55E21184" w14:textId="77777777" w:rsidTr="005B7F97">
        <w:trPr>
          <w:cantSplit/>
          <w:trHeight w:val="283"/>
        </w:trPr>
        <w:tc>
          <w:tcPr>
            <w:tcW w:w="3261" w:type="dxa"/>
          </w:tcPr>
          <w:p w14:paraId="5DE74399"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0C192937" w14:textId="77777777" w:rsidR="001E55A8" w:rsidRPr="00FA14FE" w:rsidRDefault="001E55A8" w:rsidP="005B7F97">
            <w:pPr>
              <w:pStyle w:val="Tabletext1"/>
              <w:ind w:left="34"/>
              <w:jc w:val="right"/>
            </w:pPr>
            <w:r w:rsidRPr="003D5E01">
              <w:t>$1,307,071</w:t>
            </w:r>
          </w:p>
        </w:tc>
        <w:tc>
          <w:tcPr>
            <w:tcW w:w="1175" w:type="dxa"/>
            <w:vAlign w:val="bottom"/>
          </w:tcPr>
          <w:p w14:paraId="3C4ED449" w14:textId="77777777" w:rsidR="001E55A8" w:rsidRPr="00FA14FE" w:rsidRDefault="001E55A8" w:rsidP="005B7F97">
            <w:pPr>
              <w:pStyle w:val="Tabletext1"/>
              <w:ind w:left="34"/>
              <w:jc w:val="right"/>
            </w:pPr>
            <w:r w:rsidRPr="003D5E01">
              <w:t>$1,503,131</w:t>
            </w:r>
          </w:p>
        </w:tc>
        <w:tc>
          <w:tcPr>
            <w:tcW w:w="1174" w:type="dxa"/>
            <w:vAlign w:val="bottom"/>
          </w:tcPr>
          <w:p w14:paraId="3732BBED" w14:textId="77777777" w:rsidR="001E55A8" w:rsidRPr="00FA14FE" w:rsidRDefault="001E55A8" w:rsidP="005B7F97">
            <w:pPr>
              <w:pStyle w:val="Tabletext1"/>
              <w:ind w:left="34"/>
              <w:jc w:val="right"/>
            </w:pPr>
            <w:r w:rsidRPr="003D5E01">
              <w:t>$1,728,601</w:t>
            </w:r>
          </w:p>
        </w:tc>
        <w:tc>
          <w:tcPr>
            <w:tcW w:w="1175" w:type="dxa"/>
            <w:vAlign w:val="bottom"/>
          </w:tcPr>
          <w:p w14:paraId="306050E9" w14:textId="77777777" w:rsidR="001E55A8" w:rsidRPr="00FA14FE" w:rsidRDefault="001E55A8" w:rsidP="005B7F97">
            <w:pPr>
              <w:pStyle w:val="Tabletext1"/>
              <w:ind w:left="34"/>
              <w:jc w:val="right"/>
            </w:pPr>
            <w:r w:rsidRPr="003D5E01">
              <w:t>$1,987,891</w:t>
            </w:r>
          </w:p>
        </w:tc>
        <w:tc>
          <w:tcPr>
            <w:tcW w:w="1175" w:type="dxa"/>
            <w:vAlign w:val="bottom"/>
          </w:tcPr>
          <w:p w14:paraId="7A0CBE00" w14:textId="77777777" w:rsidR="001E55A8" w:rsidRPr="00FA14FE" w:rsidRDefault="001E55A8" w:rsidP="005B7F97">
            <w:pPr>
              <w:pStyle w:val="Tabletext1"/>
              <w:ind w:left="34"/>
              <w:jc w:val="right"/>
            </w:pPr>
            <w:r w:rsidRPr="003D5E01">
              <w:t>$2,286,075</w:t>
            </w:r>
          </w:p>
        </w:tc>
      </w:tr>
      <w:tr w:rsidR="001E55A8" w:rsidRPr="007C5348" w14:paraId="4FCD3B5E" w14:textId="77777777" w:rsidTr="005B7F97">
        <w:trPr>
          <w:cantSplit/>
          <w:trHeight w:val="283"/>
        </w:trPr>
        <w:tc>
          <w:tcPr>
            <w:tcW w:w="3261" w:type="dxa"/>
          </w:tcPr>
          <w:p w14:paraId="5CC6D72F" w14:textId="51371F0A" w:rsidR="001E55A8" w:rsidRPr="003D5E01"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E37AED">
              <w:rPr>
                <w:rFonts w:ascii="Arial Narrow" w:hAnsi="Arial Narrow"/>
                <w:sz w:val="20"/>
                <w:szCs w:val="20"/>
              </w:rPr>
              <w:t>s</w:t>
            </w:r>
            <w:r w:rsidRPr="00047E2E">
              <w:rPr>
                <w:rFonts w:ascii="Arial Narrow" w:hAnsi="Arial Narrow"/>
                <w:sz w:val="20"/>
                <w:szCs w:val="20"/>
              </w:rPr>
              <w:t>tate</w:t>
            </w:r>
            <w:r w:rsidR="00E37AED">
              <w:rPr>
                <w:rFonts w:ascii="Arial Narrow" w:hAnsi="Arial Narrow"/>
                <w:sz w:val="20"/>
                <w:szCs w:val="20"/>
              </w:rPr>
              <w:t>s</w:t>
            </w:r>
            <w:r w:rsidRPr="00047E2E">
              <w:rPr>
                <w:rFonts w:ascii="Arial Narrow" w:hAnsi="Arial Narrow"/>
                <w:sz w:val="20"/>
                <w:szCs w:val="20"/>
              </w:rPr>
              <w:t>/</w:t>
            </w:r>
            <w:r w:rsidR="00E37AED">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533A04EF" w14:textId="77777777" w:rsidR="001E55A8" w:rsidRPr="003C3194" w:rsidRDefault="001E55A8" w:rsidP="005B7F97">
            <w:pPr>
              <w:pStyle w:val="Tabletext1"/>
              <w:ind w:left="34"/>
              <w:jc w:val="right"/>
            </w:pPr>
            <w:r>
              <w:t>$</w:t>
            </w:r>
            <w:r w:rsidRPr="003D5E01">
              <w:t>701,467</w:t>
            </w:r>
          </w:p>
        </w:tc>
        <w:tc>
          <w:tcPr>
            <w:tcW w:w="1175" w:type="dxa"/>
            <w:vAlign w:val="bottom"/>
          </w:tcPr>
          <w:p w14:paraId="73DC1D03" w14:textId="77777777" w:rsidR="001E55A8" w:rsidRPr="003C3194" w:rsidRDefault="001E55A8" w:rsidP="005B7F97">
            <w:pPr>
              <w:pStyle w:val="Tabletext1"/>
              <w:ind w:left="34"/>
              <w:jc w:val="right"/>
            </w:pPr>
            <w:r>
              <w:t>$</w:t>
            </w:r>
            <w:r w:rsidRPr="003D5E01">
              <w:t>806,687</w:t>
            </w:r>
          </w:p>
        </w:tc>
        <w:tc>
          <w:tcPr>
            <w:tcW w:w="1174" w:type="dxa"/>
            <w:vAlign w:val="bottom"/>
          </w:tcPr>
          <w:p w14:paraId="5E51F446" w14:textId="77777777" w:rsidR="001E55A8" w:rsidRPr="003C3194" w:rsidRDefault="001E55A8" w:rsidP="005B7F97">
            <w:pPr>
              <w:pStyle w:val="Tabletext1"/>
              <w:ind w:left="34"/>
              <w:jc w:val="right"/>
            </w:pPr>
            <w:r>
              <w:t>$</w:t>
            </w:r>
            <w:r w:rsidRPr="003D5E01">
              <w:t>927,691</w:t>
            </w:r>
          </w:p>
        </w:tc>
        <w:tc>
          <w:tcPr>
            <w:tcW w:w="1175" w:type="dxa"/>
            <w:vAlign w:val="bottom"/>
          </w:tcPr>
          <w:p w14:paraId="091508C2" w14:textId="77777777" w:rsidR="001E55A8" w:rsidRPr="003C3194" w:rsidRDefault="001E55A8" w:rsidP="005B7F97">
            <w:pPr>
              <w:pStyle w:val="Tabletext1"/>
              <w:ind w:left="34"/>
              <w:jc w:val="right"/>
            </w:pPr>
            <w:r>
              <w:t>$</w:t>
            </w:r>
            <w:r w:rsidRPr="003D5E01">
              <w:t>1,066,844</w:t>
            </w:r>
          </w:p>
        </w:tc>
        <w:tc>
          <w:tcPr>
            <w:tcW w:w="1175" w:type="dxa"/>
            <w:vAlign w:val="bottom"/>
          </w:tcPr>
          <w:p w14:paraId="06FDC077" w14:textId="77777777" w:rsidR="001E55A8" w:rsidRPr="003C3194" w:rsidRDefault="001E55A8" w:rsidP="005B7F97">
            <w:pPr>
              <w:pStyle w:val="Tabletext1"/>
              <w:ind w:left="34"/>
              <w:jc w:val="right"/>
            </w:pPr>
            <w:r>
              <w:t>$</w:t>
            </w:r>
            <w:r w:rsidRPr="003D5E01">
              <w:t>1,226,871</w:t>
            </w:r>
          </w:p>
        </w:tc>
      </w:tr>
      <w:tr w:rsidR="001E55A8" w:rsidRPr="007C5348" w14:paraId="65D0C2F0" w14:textId="77777777" w:rsidTr="005B7F97">
        <w:trPr>
          <w:cantSplit/>
          <w:trHeight w:val="283"/>
        </w:trPr>
        <w:tc>
          <w:tcPr>
            <w:tcW w:w="3261" w:type="dxa"/>
          </w:tcPr>
          <w:p w14:paraId="0F6B7073" w14:textId="59CEE840" w:rsidR="001E55A8" w:rsidRPr="003D5E01" w:rsidRDefault="001E55A8" w:rsidP="004566DC">
            <w:pPr>
              <w:keepNext/>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8A0BED">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27C5A373" w14:textId="77777777" w:rsidR="001E55A8" w:rsidRPr="003C3194" w:rsidRDefault="001E55A8" w:rsidP="005B7F97">
            <w:pPr>
              <w:pStyle w:val="Tabletext1"/>
              <w:ind w:left="34"/>
              <w:jc w:val="right"/>
            </w:pPr>
            <w:r w:rsidRPr="003D5E01">
              <w:t>$605,603</w:t>
            </w:r>
          </w:p>
        </w:tc>
        <w:tc>
          <w:tcPr>
            <w:tcW w:w="1175" w:type="dxa"/>
            <w:vAlign w:val="bottom"/>
          </w:tcPr>
          <w:p w14:paraId="641C4B0A" w14:textId="77777777" w:rsidR="001E55A8" w:rsidRPr="003C3194" w:rsidRDefault="001E55A8" w:rsidP="005B7F97">
            <w:pPr>
              <w:pStyle w:val="Tabletext1"/>
              <w:ind w:left="34"/>
              <w:jc w:val="right"/>
            </w:pPr>
            <w:r w:rsidRPr="003D5E01">
              <w:t>$696,444</w:t>
            </w:r>
          </w:p>
        </w:tc>
        <w:tc>
          <w:tcPr>
            <w:tcW w:w="1174" w:type="dxa"/>
            <w:vAlign w:val="bottom"/>
          </w:tcPr>
          <w:p w14:paraId="2C77BDCA" w14:textId="77777777" w:rsidR="001E55A8" w:rsidRPr="003C3194" w:rsidRDefault="001E55A8" w:rsidP="005B7F97">
            <w:pPr>
              <w:pStyle w:val="Tabletext1"/>
              <w:ind w:left="34"/>
              <w:jc w:val="right"/>
            </w:pPr>
            <w:r w:rsidRPr="003D5E01">
              <w:t>$800,910</w:t>
            </w:r>
          </w:p>
        </w:tc>
        <w:tc>
          <w:tcPr>
            <w:tcW w:w="1175" w:type="dxa"/>
            <w:vAlign w:val="bottom"/>
          </w:tcPr>
          <w:p w14:paraId="08B8AB3A" w14:textId="77777777" w:rsidR="001E55A8" w:rsidRPr="003C3194" w:rsidRDefault="001E55A8" w:rsidP="005B7F97">
            <w:pPr>
              <w:pStyle w:val="Tabletext1"/>
              <w:ind w:left="34"/>
              <w:jc w:val="right"/>
            </w:pPr>
            <w:r w:rsidRPr="003D5E01">
              <w:t>$921,047</w:t>
            </w:r>
          </w:p>
        </w:tc>
        <w:tc>
          <w:tcPr>
            <w:tcW w:w="1175" w:type="dxa"/>
            <w:vAlign w:val="bottom"/>
          </w:tcPr>
          <w:p w14:paraId="2F8D966E" w14:textId="77777777" w:rsidR="001E55A8" w:rsidRPr="003C3194" w:rsidRDefault="001E55A8" w:rsidP="005B7F97">
            <w:pPr>
              <w:pStyle w:val="Tabletext1"/>
              <w:ind w:left="34"/>
              <w:jc w:val="right"/>
            </w:pPr>
            <w:r w:rsidRPr="003D5E01">
              <w:t>$1,059,204</w:t>
            </w:r>
          </w:p>
        </w:tc>
      </w:tr>
    </w:tbl>
    <w:p w14:paraId="14D36E3F" w14:textId="3754401F" w:rsidR="001E55A8" w:rsidRDefault="00FD37D3" w:rsidP="005D1AC4">
      <w:pPr>
        <w:pStyle w:val="TableNotes"/>
        <w:spacing w:after="120"/>
        <w:ind w:left="0"/>
        <w:rPr>
          <w:sz w:val="18"/>
          <w:szCs w:val="18"/>
        </w:rPr>
      </w:pPr>
      <w:r w:rsidRPr="00FD37D3">
        <w:rPr>
          <w:sz w:val="18"/>
          <w:szCs w:val="18"/>
        </w:rPr>
        <w:t>CFTR</w:t>
      </w:r>
      <w:r w:rsidR="001E55A8">
        <w:rPr>
          <w:sz w:val="18"/>
          <w:szCs w:val="18"/>
        </w:rPr>
        <w:t xml:space="preserve"> = </w:t>
      </w:r>
      <w:r w:rsidR="00E37AED">
        <w:rPr>
          <w:sz w:val="18"/>
          <w:szCs w:val="18"/>
        </w:rPr>
        <w:t>c</w:t>
      </w:r>
      <w:r w:rsidR="00F9373B">
        <w:rPr>
          <w:sz w:val="18"/>
          <w:szCs w:val="18"/>
        </w:rPr>
        <w:t xml:space="preserve">ystic </w:t>
      </w:r>
      <w:r w:rsidR="00E37AED">
        <w:rPr>
          <w:sz w:val="18"/>
          <w:szCs w:val="18"/>
        </w:rPr>
        <w:t>f</w:t>
      </w:r>
      <w:r w:rsidR="00F9373B">
        <w:rPr>
          <w:sz w:val="18"/>
          <w:szCs w:val="18"/>
        </w:rPr>
        <w:t xml:space="preserve">ibrosis </w:t>
      </w:r>
      <w:r w:rsidR="00E37AED">
        <w:rPr>
          <w:sz w:val="18"/>
          <w:szCs w:val="18"/>
        </w:rPr>
        <w:t>t</w:t>
      </w:r>
      <w:r w:rsidR="00F9373B">
        <w:rPr>
          <w:sz w:val="18"/>
          <w:szCs w:val="18"/>
        </w:rPr>
        <w:t xml:space="preserve">ransmembrane conductance </w:t>
      </w:r>
      <w:r w:rsidR="00E37AED">
        <w:rPr>
          <w:sz w:val="18"/>
          <w:szCs w:val="18"/>
        </w:rPr>
        <w:t>r</w:t>
      </w:r>
      <w:r w:rsidR="00F9373B">
        <w:rPr>
          <w:sz w:val="18"/>
          <w:szCs w:val="18"/>
        </w:rPr>
        <w:t>egulator</w:t>
      </w:r>
      <w:r w:rsidR="001E55A8">
        <w:rPr>
          <w:sz w:val="18"/>
          <w:szCs w:val="18"/>
        </w:rPr>
        <w:t>; MBS = Medicare Benefits Schedule</w:t>
      </w:r>
    </w:p>
    <w:p w14:paraId="0E39206F" w14:textId="362CB403" w:rsidR="001E55A8" w:rsidRPr="004566DC" w:rsidRDefault="001D6A28" w:rsidP="005D1AC4">
      <w:pPr>
        <w:spacing w:before="240"/>
        <w:rPr>
          <w:rFonts w:ascii="Arial Narrow" w:hAnsi="Arial Narrow"/>
          <w:b/>
          <w:bCs/>
          <w:sz w:val="20"/>
        </w:rPr>
      </w:pPr>
      <w:r w:rsidRPr="004566DC">
        <w:t>A scenario analysis assuming 92% clinical sensitivity and a $200 cost of common mutation panel testing is presented in Table 84.</w:t>
      </w:r>
    </w:p>
    <w:p w14:paraId="409E08FB" w14:textId="71784CBB" w:rsidR="001E55A8" w:rsidRDefault="001E55A8" w:rsidP="001E55A8">
      <w:pPr>
        <w:pStyle w:val="Caption"/>
      </w:pPr>
      <w:bookmarkStart w:id="462" w:name="_Toc418179481"/>
      <w:r>
        <w:lastRenderedPageBreak/>
        <w:t xml:space="preserve">Table </w:t>
      </w:r>
      <w:fldSimple w:instr=" SEQ Table \* ARABIC ">
        <w:r w:rsidR="00BB0E3E">
          <w:rPr>
            <w:noProof/>
          </w:rPr>
          <w:t>84</w:t>
        </w:r>
      </w:fldSimple>
      <w:r>
        <w:tab/>
        <w:t>Financial implication</w:t>
      </w:r>
      <w:r w:rsidR="008A0BED">
        <w:t>s</w:t>
      </w:r>
      <w:r>
        <w:t xml:space="preserve"> </w:t>
      </w:r>
      <w:r w:rsidR="00022486">
        <w:t xml:space="preserve">of </w:t>
      </w:r>
      <w:r>
        <w:t>common mutation panel scenario analyses</w:t>
      </w:r>
      <w:bookmarkEnd w:id="462"/>
    </w:p>
    <w:tbl>
      <w:tblPr>
        <w:tblStyle w:val="TableGrid"/>
        <w:tblW w:w="0" w:type="auto"/>
        <w:tblInd w:w="108" w:type="dxa"/>
        <w:tblLayout w:type="fixed"/>
        <w:tblLook w:val="04A0" w:firstRow="1" w:lastRow="0" w:firstColumn="1" w:lastColumn="0" w:noHBand="0" w:noVBand="1"/>
        <w:tblCaption w:val="Sensitivity analyses"/>
        <w:tblDescription w:val="Financial implications of common mutation panel scenario analyses"/>
      </w:tblPr>
      <w:tblGrid>
        <w:gridCol w:w="3261"/>
        <w:gridCol w:w="1174"/>
        <w:gridCol w:w="1175"/>
        <w:gridCol w:w="1174"/>
        <w:gridCol w:w="1175"/>
        <w:gridCol w:w="1175"/>
      </w:tblGrid>
      <w:tr w:rsidR="001E55A8" w:rsidRPr="007C5348" w14:paraId="32A452C0" w14:textId="77777777" w:rsidTr="005B7F97">
        <w:trPr>
          <w:cantSplit/>
          <w:trHeight w:val="283"/>
          <w:tblHeader/>
        </w:trPr>
        <w:tc>
          <w:tcPr>
            <w:tcW w:w="3261" w:type="dxa"/>
            <w:tcBorders>
              <w:bottom w:val="single" w:sz="4" w:space="0" w:color="auto"/>
            </w:tcBorders>
          </w:tcPr>
          <w:p w14:paraId="09CB6A0A" w14:textId="6C02AD41" w:rsidR="001E55A8" w:rsidRPr="00020CD4" w:rsidRDefault="001E55A8" w:rsidP="004566DC">
            <w:pPr>
              <w:pStyle w:val="Caption"/>
              <w:spacing w:before="40"/>
              <w:ind w:left="0"/>
              <w:jc w:val="left"/>
              <w:rPr>
                <w:szCs w:val="20"/>
              </w:rPr>
            </w:pPr>
          </w:p>
        </w:tc>
        <w:tc>
          <w:tcPr>
            <w:tcW w:w="1174" w:type="dxa"/>
            <w:tcBorders>
              <w:bottom w:val="single" w:sz="4" w:space="0" w:color="auto"/>
            </w:tcBorders>
            <w:vAlign w:val="bottom"/>
          </w:tcPr>
          <w:p w14:paraId="5BAFC7D7" w14:textId="77777777" w:rsidR="001E55A8" w:rsidRPr="00020CD4" w:rsidRDefault="001E55A8" w:rsidP="005B7F97">
            <w:pPr>
              <w:pStyle w:val="Caption"/>
              <w:spacing w:before="40"/>
              <w:ind w:left="0"/>
              <w:jc w:val="center"/>
              <w:rPr>
                <w:szCs w:val="20"/>
              </w:rPr>
            </w:pPr>
            <w:r w:rsidRPr="00020CD4">
              <w:rPr>
                <w:szCs w:val="20"/>
              </w:rPr>
              <w:t>2015</w:t>
            </w:r>
          </w:p>
        </w:tc>
        <w:tc>
          <w:tcPr>
            <w:tcW w:w="1175" w:type="dxa"/>
            <w:tcBorders>
              <w:bottom w:val="single" w:sz="4" w:space="0" w:color="auto"/>
            </w:tcBorders>
            <w:vAlign w:val="bottom"/>
          </w:tcPr>
          <w:p w14:paraId="01926484" w14:textId="77777777" w:rsidR="001E55A8" w:rsidRPr="00020CD4" w:rsidRDefault="001E55A8" w:rsidP="005B7F97">
            <w:pPr>
              <w:pStyle w:val="Caption"/>
              <w:spacing w:before="40"/>
              <w:ind w:left="0"/>
              <w:jc w:val="center"/>
              <w:rPr>
                <w:szCs w:val="20"/>
              </w:rPr>
            </w:pPr>
            <w:r w:rsidRPr="00020CD4">
              <w:rPr>
                <w:szCs w:val="20"/>
              </w:rPr>
              <w:t>2016</w:t>
            </w:r>
          </w:p>
        </w:tc>
        <w:tc>
          <w:tcPr>
            <w:tcW w:w="1174" w:type="dxa"/>
            <w:tcBorders>
              <w:bottom w:val="single" w:sz="4" w:space="0" w:color="auto"/>
            </w:tcBorders>
            <w:vAlign w:val="bottom"/>
          </w:tcPr>
          <w:p w14:paraId="6826D486" w14:textId="77777777" w:rsidR="001E55A8" w:rsidRPr="00020CD4" w:rsidRDefault="001E55A8" w:rsidP="005B7F97">
            <w:pPr>
              <w:pStyle w:val="Caption"/>
              <w:spacing w:before="40"/>
              <w:ind w:left="0"/>
              <w:jc w:val="center"/>
              <w:rPr>
                <w:szCs w:val="20"/>
              </w:rPr>
            </w:pPr>
            <w:r w:rsidRPr="00020CD4">
              <w:rPr>
                <w:szCs w:val="20"/>
              </w:rPr>
              <w:t>2017</w:t>
            </w:r>
          </w:p>
        </w:tc>
        <w:tc>
          <w:tcPr>
            <w:tcW w:w="1175" w:type="dxa"/>
            <w:tcBorders>
              <w:bottom w:val="single" w:sz="4" w:space="0" w:color="auto"/>
            </w:tcBorders>
            <w:vAlign w:val="bottom"/>
          </w:tcPr>
          <w:p w14:paraId="34B3F7D7" w14:textId="77777777" w:rsidR="001E55A8" w:rsidRPr="00020CD4" w:rsidRDefault="001E55A8" w:rsidP="005B7F97">
            <w:pPr>
              <w:pStyle w:val="Caption"/>
              <w:spacing w:before="40"/>
              <w:ind w:left="0"/>
              <w:jc w:val="center"/>
              <w:rPr>
                <w:szCs w:val="20"/>
              </w:rPr>
            </w:pPr>
            <w:r w:rsidRPr="00020CD4">
              <w:rPr>
                <w:szCs w:val="20"/>
              </w:rPr>
              <w:t>2018</w:t>
            </w:r>
          </w:p>
        </w:tc>
        <w:tc>
          <w:tcPr>
            <w:tcW w:w="1175" w:type="dxa"/>
            <w:tcBorders>
              <w:bottom w:val="single" w:sz="4" w:space="0" w:color="auto"/>
            </w:tcBorders>
            <w:vAlign w:val="bottom"/>
          </w:tcPr>
          <w:p w14:paraId="7737CC44" w14:textId="77777777" w:rsidR="001E55A8" w:rsidRPr="00020CD4" w:rsidRDefault="001E55A8" w:rsidP="005B7F97">
            <w:pPr>
              <w:pStyle w:val="Caption"/>
              <w:spacing w:before="40"/>
              <w:ind w:left="0"/>
              <w:jc w:val="center"/>
              <w:rPr>
                <w:szCs w:val="20"/>
              </w:rPr>
            </w:pPr>
            <w:r w:rsidRPr="00020CD4">
              <w:rPr>
                <w:szCs w:val="20"/>
              </w:rPr>
              <w:t>2019</w:t>
            </w:r>
          </w:p>
        </w:tc>
      </w:tr>
      <w:tr w:rsidR="001E55A8" w:rsidRPr="00047E2E" w14:paraId="2B046477" w14:textId="77777777" w:rsidTr="005B7F97">
        <w:trPr>
          <w:cantSplit/>
          <w:trHeight w:val="283"/>
          <w:tblHeader/>
        </w:trPr>
        <w:tc>
          <w:tcPr>
            <w:tcW w:w="3261" w:type="dxa"/>
            <w:tcBorders>
              <w:right w:val="nil"/>
            </w:tcBorders>
            <w:vAlign w:val="center"/>
          </w:tcPr>
          <w:p w14:paraId="650767F0" w14:textId="77777777" w:rsidR="001E55A8" w:rsidRPr="002F38D0" w:rsidRDefault="001E55A8" w:rsidP="004566DC">
            <w:pPr>
              <w:keepNext/>
              <w:widowControl w:val="0"/>
              <w:spacing w:before="40" w:after="40" w:line="240" w:lineRule="auto"/>
              <w:ind w:left="34"/>
              <w:jc w:val="left"/>
              <w:rPr>
                <w:rFonts w:ascii="Arial Narrow" w:hAnsi="Arial Narrow"/>
                <w:b/>
                <w:sz w:val="20"/>
                <w:szCs w:val="20"/>
              </w:rPr>
            </w:pPr>
            <w:r w:rsidRPr="002F38D0">
              <w:rPr>
                <w:rFonts w:ascii="Arial Narrow" w:hAnsi="Arial Narrow"/>
                <w:b/>
                <w:sz w:val="20"/>
                <w:szCs w:val="20"/>
              </w:rPr>
              <w:t>Base-case</w:t>
            </w:r>
          </w:p>
        </w:tc>
        <w:tc>
          <w:tcPr>
            <w:tcW w:w="1174" w:type="dxa"/>
            <w:tcBorders>
              <w:left w:val="nil"/>
              <w:right w:val="nil"/>
            </w:tcBorders>
            <w:vAlign w:val="bottom"/>
          </w:tcPr>
          <w:p w14:paraId="682B5A5F" w14:textId="77777777" w:rsidR="001E55A8" w:rsidRPr="00047E2E" w:rsidRDefault="001E55A8" w:rsidP="005B7F97">
            <w:pPr>
              <w:keepNext/>
              <w:widowControl w:val="0"/>
              <w:spacing w:before="40" w:after="40" w:line="240" w:lineRule="auto"/>
              <w:ind w:left="34"/>
              <w:rPr>
                <w:rFonts w:ascii="Arial Narrow" w:hAnsi="Arial Narrow"/>
                <w:b/>
                <w:color w:val="FFFFFF" w:themeColor="background1"/>
                <w:sz w:val="20"/>
                <w:szCs w:val="20"/>
              </w:rPr>
            </w:pPr>
            <w:r w:rsidRPr="00047E2E">
              <w:rPr>
                <w:rFonts w:ascii="Arial Narrow" w:hAnsi="Arial Narrow"/>
                <w:b/>
                <w:color w:val="FFFFFF" w:themeColor="background1"/>
                <w:sz w:val="20"/>
                <w:szCs w:val="20"/>
              </w:rPr>
              <w:t>-</w:t>
            </w:r>
          </w:p>
        </w:tc>
        <w:tc>
          <w:tcPr>
            <w:tcW w:w="1175" w:type="dxa"/>
            <w:tcBorders>
              <w:left w:val="nil"/>
              <w:right w:val="nil"/>
            </w:tcBorders>
            <w:vAlign w:val="bottom"/>
          </w:tcPr>
          <w:p w14:paraId="6236D5D6" w14:textId="77777777" w:rsidR="001E55A8" w:rsidRPr="00047E2E" w:rsidRDefault="001E55A8" w:rsidP="005B7F97">
            <w:pPr>
              <w:keepNext/>
              <w:widowControl w:val="0"/>
              <w:spacing w:before="40" w:after="40" w:line="240" w:lineRule="auto"/>
              <w:ind w:left="34"/>
              <w:rPr>
                <w:rFonts w:ascii="Arial Narrow" w:hAnsi="Arial Narrow"/>
                <w:b/>
                <w:color w:val="FFFFFF" w:themeColor="background1"/>
                <w:sz w:val="20"/>
                <w:szCs w:val="20"/>
              </w:rPr>
            </w:pPr>
            <w:r w:rsidRPr="00047E2E">
              <w:rPr>
                <w:rFonts w:ascii="Arial Narrow" w:hAnsi="Arial Narrow"/>
                <w:b/>
                <w:color w:val="FFFFFF" w:themeColor="background1"/>
                <w:sz w:val="20"/>
                <w:szCs w:val="20"/>
              </w:rPr>
              <w:t>-</w:t>
            </w:r>
          </w:p>
        </w:tc>
        <w:tc>
          <w:tcPr>
            <w:tcW w:w="1174" w:type="dxa"/>
            <w:tcBorders>
              <w:left w:val="nil"/>
              <w:right w:val="nil"/>
            </w:tcBorders>
            <w:vAlign w:val="bottom"/>
          </w:tcPr>
          <w:p w14:paraId="6CB65F16" w14:textId="77777777" w:rsidR="001E55A8" w:rsidRPr="00047E2E" w:rsidRDefault="001E55A8" w:rsidP="005B7F97">
            <w:pPr>
              <w:keepNext/>
              <w:widowControl w:val="0"/>
              <w:spacing w:before="40" w:after="40" w:line="240" w:lineRule="auto"/>
              <w:ind w:left="34"/>
              <w:rPr>
                <w:rFonts w:ascii="Arial Narrow" w:hAnsi="Arial Narrow"/>
                <w:b/>
                <w:color w:val="FFFFFF" w:themeColor="background1"/>
                <w:sz w:val="20"/>
                <w:szCs w:val="20"/>
              </w:rPr>
            </w:pPr>
            <w:r w:rsidRPr="00047E2E">
              <w:rPr>
                <w:rFonts w:ascii="Arial Narrow" w:hAnsi="Arial Narrow"/>
                <w:b/>
                <w:color w:val="FFFFFF" w:themeColor="background1"/>
                <w:sz w:val="20"/>
                <w:szCs w:val="20"/>
              </w:rPr>
              <w:t>-</w:t>
            </w:r>
          </w:p>
        </w:tc>
        <w:tc>
          <w:tcPr>
            <w:tcW w:w="1175" w:type="dxa"/>
            <w:tcBorders>
              <w:left w:val="nil"/>
              <w:right w:val="nil"/>
            </w:tcBorders>
            <w:vAlign w:val="bottom"/>
          </w:tcPr>
          <w:p w14:paraId="2B6AC1DC" w14:textId="77777777" w:rsidR="001E55A8" w:rsidRPr="00047E2E" w:rsidRDefault="001E55A8" w:rsidP="005B7F97">
            <w:pPr>
              <w:keepNext/>
              <w:widowControl w:val="0"/>
              <w:spacing w:before="40" w:after="40" w:line="240" w:lineRule="auto"/>
              <w:ind w:left="34"/>
              <w:rPr>
                <w:rFonts w:ascii="Arial Narrow" w:hAnsi="Arial Narrow"/>
                <w:b/>
                <w:color w:val="FFFFFF" w:themeColor="background1"/>
                <w:sz w:val="20"/>
                <w:szCs w:val="20"/>
              </w:rPr>
            </w:pPr>
            <w:r w:rsidRPr="00047E2E">
              <w:rPr>
                <w:rFonts w:ascii="Arial Narrow" w:hAnsi="Arial Narrow"/>
                <w:b/>
                <w:color w:val="FFFFFF" w:themeColor="background1"/>
                <w:sz w:val="20"/>
                <w:szCs w:val="20"/>
              </w:rPr>
              <w:t>-</w:t>
            </w:r>
          </w:p>
        </w:tc>
        <w:tc>
          <w:tcPr>
            <w:tcW w:w="1175" w:type="dxa"/>
            <w:tcBorders>
              <w:left w:val="nil"/>
            </w:tcBorders>
            <w:vAlign w:val="bottom"/>
          </w:tcPr>
          <w:p w14:paraId="399BD9EE" w14:textId="77777777" w:rsidR="001E55A8" w:rsidRPr="00047E2E" w:rsidRDefault="001E55A8" w:rsidP="005B7F97">
            <w:pPr>
              <w:keepNext/>
              <w:widowControl w:val="0"/>
              <w:spacing w:before="40" w:after="40" w:line="240" w:lineRule="auto"/>
              <w:ind w:left="34"/>
              <w:rPr>
                <w:rFonts w:ascii="Arial Narrow" w:hAnsi="Arial Narrow"/>
                <w:b/>
                <w:color w:val="FFFFFF" w:themeColor="background1"/>
                <w:sz w:val="20"/>
                <w:szCs w:val="20"/>
              </w:rPr>
            </w:pPr>
            <w:r w:rsidRPr="00047E2E">
              <w:rPr>
                <w:rFonts w:ascii="Arial Narrow" w:hAnsi="Arial Narrow"/>
                <w:b/>
                <w:color w:val="FFFFFF" w:themeColor="background1"/>
                <w:sz w:val="20"/>
                <w:szCs w:val="20"/>
              </w:rPr>
              <w:t>-</w:t>
            </w:r>
          </w:p>
        </w:tc>
      </w:tr>
      <w:tr w:rsidR="001E55A8" w:rsidRPr="00047E2E" w14:paraId="6479E943" w14:textId="77777777" w:rsidTr="005B7F97">
        <w:trPr>
          <w:cantSplit/>
          <w:trHeight w:val="283"/>
          <w:tblHeader/>
        </w:trPr>
        <w:tc>
          <w:tcPr>
            <w:tcW w:w="3261" w:type="dxa"/>
          </w:tcPr>
          <w:p w14:paraId="628EFD60" w14:textId="77777777" w:rsidR="001E55A8" w:rsidRPr="00047E2E"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Cost to MBS</w:t>
            </w:r>
          </w:p>
        </w:tc>
        <w:tc>
          <w:tcPr>
            <w:tcW w:w="1174" w:type="dxa"/>
            <w:vAlign w:val="bottom"/>
          </w:tcPr>
          <w:p w14:paraId="229B250B"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$1,806,926</w:t>
            </w:r>
          </w:p>
        </w:tc>
        <w:tc>
          <w:tcPr>
            <w:tcW w:w="1175" w:type="dxa"/>
            <w:vAlign w:val="bottom"/>
          </w:tcPr>
          <w:p w14:paraId="34E8D051"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$2,077,965</w:t>
            </w:r>
          </w:p>
        </w:tc>
        <w:tc>
          <w:tcPr>
            <w:tcW w:w="1174" w:type="dxa"/>
            <w:vAlign w:val="bottom"/>
          </w:tcPr>
          <w:p w14:paraId="628C8B8A"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$2,389,660</w:t>
            </w:r>
          </w:p>
        </w:tc>
        <w:tc>
          <w:tcPr>
            <w:tcW w:w="1175" w:type="dxa"/>
            <w:vAlign w:val="bottom"/>
          </w:tcPr>
          <w:p w14:paraId="44D21E59"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$2,748,109</w:t>
            </w:r>
          </w:p>
        </w:tc>
        <w:tc>
          <w:tcPr>
            <w:tcW w:w="1175" w:type="dxa"/>
            <w:vAlign w:val="bottom"/>
          </w:tcPr>
          <w:p w14:paraId="4BE327C7"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$3,160,326</w:t>
            </w:r>
          </w:p>
        </w:tc>
      </w:tr>
      <w:tr w:rsidR="001E55A8" w:rsidRPr="00047E2E" w14:paraId="2923C896" w14:textId="77777777" w:rsidTr="005B7F97">
        <w:trPr>
          <w:cantSplit/>
          <w:trHeight w:val="283"/>
          <w:tblHeader/>
        </w:trPr>
        <w:tc>
          <w:tcPr>
            <w:tcW w:w="3261" w:type="dxa"/>
            <w:tcBorders>
              <w:bottom w:val="single" w:sz="4" w:space="0" w:color="auto"/>
            </w:tcBorders>
          </w:tcPr>
          <w:p w14:paraId="33F6A5BA" w14:textId="2CA8E92D" w:rsidR="001E55A8" w:rsidRPr="00047E2E"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 xml:space="preserve">Savings to </w:t>
            </w:r>
            <w:r w:rsidR="00E37AED">
              <w:rPr>
                <w:rFonts w:ascii="Arial Narrow" w:hAnsi="Arial Narrow"/>
                <w:b/>
                <w:sz w:val="20"/>
                <w:szCs w:val="20"/>
              </w:rPr>
              <w:t>s</w:t>
            </w:r>
            <w:r w:rsidRPr="00047E2E">
              <w:rPr>
                <w:rFonts w:ascii="Arial Narrow" w:hAnsi="Arial Narrow"/>
                <w:b/>
                <w:sz w:val="20"/>
                <w:szCs w:val="20"/>
              </w:rPr>
              <w:t>tate</w:t>
            </w:r>
            <w:r w:rsidR="00E37AED">
              <w:rPr>
                <w:rFonts w:ascii="Arial Narrow" w:hAnsi="Arial Narrow"/>
                <w:b/>
                <w:sz w:val="20"/>
                <w:szCs w:val="20"/>
              </w:rPr>
              <w:t>s</w:t>
            </w:r>
            <w:r w:rsidRPr="00047E2E">
              <w:rPr>
                <w:rFonts w:ascii="Arial Narrow" w:hAnsi="Arial Narrow"/>
                <w:b/>
                <w:sz w:val="20"/>
                <w:szCs w:val="20"/>
              </w:rPr>
              <w:t>/</w:t>
            </w:r>
            <w:r w:rsidR="00E37AED">
              <w:rPr>
                <w:rFonts w:ascii="Arial Narrow" w:hAnsi="Arial Narrow"/>
                <w:b/>
                <w:sz w:val="20"/>
                <w:szCs w:val="20"/>
              </w:rPr>
              <w:t>t</w:t>
            </w:r>
            <w:r w:rsidRPr="00047E2E">
              <w:rPr>
                <w:rFonts w:ascii="Arial Narrow" w:hAnsi="Arial Narrow"/>
                <w:b/>
                <w:sz w:val="20"/>
                <w:szCs w:val="20"/>
              </w:rPr>
              <w:t>erritories</w:t>
            </w:r>
          </w:p>
        </w:tc>
        <w:tc>
          <w:tcPr>
            <w:tcW w:w="1174" w:type="dxa"/>
            <w:tcBorders>
              <w:bottom w:val="single" w:sz="4" w:space="0" w:color="auto"/>
            </w:tcBorders>
            <w:vAlign w:val="bottom"/>
          </w:tcPr>
          <w:p w14:paraId="1840AA1D"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$969,726</w:t>
            </w:r>
          </w:p>
        </w:tc>
        <w:tc>
          <w:tcPr>
            <w:tcW w:w="1175" w:type="dxa"/>
            <w:tcBorders>
              <w:bottom w:val="single" w:sz="4" w:space="0" w:color="auto"/>
            </w:tcBorders>
            <w:vAlign w:val="bottom"/>
          </w:tcPr>
          <w:p w14:paraId="03CAD056"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$1,115,184</w:t>
            </w:r>
          </w:p>
        </w:tc>
        <w:tc>
          <w:tcPr>
            <w:tcW w:w="1174" w:type="dxa"/>
            <w:tcBorders>
              <w:bottom w:val="single" w:sz="4" w:space="0" w:color="auto"/>
            </w:tcBorders>
            <w:vAlign w:val="bottom"/>
          </w:tcPr>
          <w:p w14:paraId="16A736C1"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$1,282,462</w:t>
            </w:r>
          </w:p>
        </w:tc>
        <w:tc>
          <w:tcPr>
            <w:tcW w:w="1175" w:type="dxa"/>
            <w:tcBorders>
              <w:bottom w:val="single" w:sz="4" w:space="0" w:color="auto"/>
            </w:tcBorders>
            <w:vAlign w:val="bottom"/>
          </w:tcPr>
          <w:p w14:paraId="27EC56D7"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$1,474,831</w:t>
            </w:r>
          </w:p>
        </w:tc>
        <w:tc>
          <w:tcPr>
            <w:tcW w:w="1175" w:type="dxa"/>
            <w:tcBorders>
              <w:bottom w:val="single" w:sz="4" w:space="0" w:color="auto"/>
            </w:tcBorders>
            <w:vAlign w:val="bottom"/>
          </w:tcPr>
          <w:p w14:paraId="30CC4FF2"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$1,696,056</w:t>
            </w:r>
          </w:p>
        </w:tc>
      </w:tr>
      <w:tr w:rsidR="001E55A8" w:rsidRPr="00047E2E" w14:paraId="1B1F3B9F" w14:textId="77777777" w:rsidTr="005B7F97">
        <w:trPr>
          <w:cantSplit/>
          <w:trHeight w:val="283"/>
          <w:tblHeader/>
        </w:trPr>
        <w:tc>
          <w:tcPr>
            <w:tcW w:w="3261" w:type="dxa"/>
            <w:tcBorders>
              <w:bottom w:val="single" w:sz="8" w:space="0" w:color="auto"/>
            </w:tcBorders>
          </w:tcPr>
          <w:p w14:paraId="5CD2FBE1" w14:textId="7F9F2B89" w:rsidR="001E55A8" w:rsidRPr="00047E2E" w:rsidRDefault="001E55A8" w:rsidP="004566DC">
            <w:pPr>
              <w:keepNext/>
              <w:widowControl w:val="0"/>
              <w:spacing w:before="40" w:after="40" w:line="240" w:lineRule="auto"/>
              <w:ind w:left="34"/>
              <w:jc w:val="left"/>
              <w:rPr>
                <w:rFonts w:ascii="Arial Narrow" w:hAnsi="Arial Narrow"/>
                <w:b/>
                <w:sz w:val="20"/>
                <w:szCs w:val="20"/>
              </w:rPr>
            </w:pPr>
            <w:r w:rsidRPr="00047E2E">
              <w:rPr>
                <w:rFonts w:ascii="Arial Narrow" w:hAnsi="Arial Narrow"/>
                <w:b/>
                <w:sz w:val="20"/>
                <w:szCs w:val="20"/>
              </w:rPr>
              <w:t>Ne</w:t>
            </w:r>
            <w:r w:rsidRPr="008A0BED">
              <w:rPr>
                <w:rFonts w:ascii="Arial Narrow" w:hAnsi="Arial Narrow"/>
                <w:b/>
                <w:sz w:val="20"/>
                <w:szCs w:val="20"/>
              </w:rPr>
              <w:t xml:space="preserve">t </w:t>
            </w:r>
            <w:r w:rsidR="008A0BED" w:rsidRPr="004566DC">
              <w:rPr>
                <w:rFonts w:ascii="Arial Narrow" w:hAnsi="Arial Narrow"/>
                <w:b/>
                <w:sz w:val="20"/>
                <w:szCs w:val="20"/>
              </w:rPr>
              <w:t xml:space="preserve">savings </w:t>
            </w:r>
            <w:r w:rsidRPr="008A0BED">
              <w:rPr>
                <w:rFonts w:ascii="Arial Narrow" w:hAnsi="Arial Narrow"/>
                <w:b/>
                <w:sz w:val="20"/>
                <w:szCs w:val="20"/>
              </w:rPr>
              <w:t xml:space="preserve">to </w:t>
            </w:r>
            <w:r w:rsidRPr="00047E2E">
              <w:rPr>
                <w:rFonts w:ascii="Arial Narrow" w:hAnsi="Arial Narrow"/>
                <w:b/>
                <w:sz w:val="20"/>
                <w:szCs w:val="20"/>
              </w:rPr>
              <w:t>government health budgets</w:t>
            </w:r>
          </w:p>
        </w:tc>
        <w:tc>
          <w:tcPr>
            <w:tcW w:w="1174" w:type="dxa"/>
            <w:tcBorders>
              <w:bottom w:val="single" w:sz="8" w:space="0" w:color="auto"/>
            </w:tcBorders>
            <w:vAlign w:val="bottom"/>
          </w:tcPr>
          <w:p w14:paraId="2515DB54"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$837,201</w:t>
            </w:r>
          </w:p>
        </w:tc>
        <w:tc>
          <w:tcPr>
            <w:tcW w:w="1175" w:type="dxa"/>
            <w:tcBorders>
              <w:bottom w:val="single" w:sz="8" w:space="0" w:color="auto"/>
            </w:tcBorders>
            <w:vAlign w:val="bottom"/>
          </w:tcPr>
          <w:p w14:paraId="528BF144"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$962,781</w:t>
            </w:r>
          </w:p>
        </w:tc>
        <w:tc>
          <w:tcPr>
            <w:tcW w:w="1174" w:type="dxa"/>
            <w:tcBorders>
              <w:bottom w:val="single" w:sz="8" w:space="0" w:color="auto"/>
            </w:tcBorders>
            <w:vAlign w:val="bottom"/>
          </w:tcPr>
          <w:p w14:paraId="5DB3B00B"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$1,107,198</w:t>
            </w:r>
          </w:p>
        </w:tc>
        <w:tc>
          <w:tcPr>
            <w:tcW w:w="1175" w:type="dxa"/>
            <w:tcBorders>
              <w:bottom w:val="single" w:sz="8" w:space="0" w:color="auto"/>
            </w:tcBorders>
            <w:vAlign w:val="bottom"/>
          </w:tcPr>
          <w:p w14:paraId="517576E1"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$1,273,278</w:t>
            </w:r>
          </w:p>
        </w:tc>
        <w:tc>
          <w:tcPr>
            <w:tcW w:w="1175" w:type="dxa"/>
            <w:tcBorders>
              <w:bottom w:val="single" w:sz="8" w:space="0" w:color="auto"/>
            </w:tcBorders>
            <w:vAlign w:val="bottom"/>
          </w:tcPr>
          <w:p w14:paraId="225E6A42" w14:textId="77777777" w:rsidR="001E55A8" w:rsidRPr="00047E2E" w:rsidRDefault="001E55A8" w:rsidP="005B7F97">
            <w:pPr>
              <w:keepNext/>
              <w:widowControl w:val="0"/>
              <w:spacing w:before="40" w:after="40" w:line="240" w:lineRule="auto"/>
              <w:ind w:left="34"/>
              <w:jc w:val="right"/>
              <w:rPr>
                <w:rFonts w:ascii="Arial Narrow" w:hAnsi="Arial Narrow"/>
                <w:b/>
                <w:sz w:val="20"/>
                <w:szCs w:val="20"/>
              </w:rPr>
            </w:pPr>
            <w:r w:rsidRPr="00047E2E">
              <w:rPr>
                <w:rFonts w:ascii="Arial Narrow" w:hAnsi="Arial Narrow"/>
                <w:b/>
                <w:sz w:val="20"/>
                <w:szCs w:val="20"/>
              </w:rPr>
              <w:t>$1,464,270</w:t>
            </w:r>
          </w:p>
        </w:tc>
      </w:tr>
      <w:tr w:rsidR="001E55A8" w:rsidRPr="00047E2E" w14:paraId="1C8A7EC0" w14:textId="77777777" w:rsidTr="005B7F97">
        <w:trPr>
          <w:cantSplit/>
          <w:trHeight w:val="283"/>
        </w:trPr>
        <w:tc>
          <w:tcPr>
            <w:tcW w:w="3261" w:type="dxa"/>
            <w:tcBorders>
              <w:right w:val="nil"/>
            </w:tcBorders>
          </w:tcPr>
          <w:p w14:paraId="183F0DD8" w14:textId="6706262E" w:rsidR="001E55A8" w:rsidRPr="002F38D0" w:rsidRDefault="001E55A8" w:rsidP="004566DC">
            <w:pPr>
              <w:keepNext/>
              <w:widowControl w:val="0"/>
              <w:spacing w:before="40" w:after="40" w:line="240" w:lineRule="auto"/>
              <w:ind w:left="34"/>
              <w:jc w:val="left"/>
              <w:rPr>
                <w:rFonts w:ascii="Arial Narrow" w:hAnsi="Arial Narrow"/>
                <w:i/>
                <w:sz w:val="20"/>
                <w:szCs w:val="20"/>
              </w:rPr>
            </w:pPr>
            <w:r>
              <w:rPr>
                <w:rFonts w:ascii="Arial Narrow" w:hAnsi="Arial Narrow"/>
                <w:i/>
                <w:sz w:val="20"/>
                <w:szCs w:val="20"/>
              </w:rPr>
              <w:t>Common mutation panel, clinical sensitivity (92%) and cost ($200)</w:t>
            </w:r>
            <w:r>
              <w:rPr>
                <w:rFonts w:ascii="Arial Narrow" w:hAnsi="Arial Narrow"/>
                <w:i/>
                <w:sz w:val="20"/>
                <w:szCs w:val="20"/>
              </w:rPr>
              <w:br/>
              <w:t>(base</w:t>
            </w:r>
            <w:r w:rsidR="00E37AED">
              <w:rPr>
                <w:rFonts w:ascii="Arial Narrow" w:hAnsi="Arial Narrow"/>
                <w:i/>
                <w:sz w:val="20"/>
                <w:szCs w:val="20"/>
              </w:rPr>
              <w:t>-</w:t>
            </w:r>
            <w:r>
              <w:rPr>
                <w:rFonts w:ascii="Arial Narrow" w:hAnsi="Arial Narrow"/>
                <w:i/>
                <w:sz w:val="20"/>
                <w:szCs w:val="20"/>
              </w:rPr>
              <w:t>case: 80% and $135)</w:t>
            </w:r>
          </w:p>
        </w:tc>
        <w:tc>
          <w:tcPr>
            <w:tcW w:w="1174" w:type="dxa"/>
            <w:tcBorders>
              <w:left w:val="nil"/>
              <w:right w:val="nil"/>
            </w:tcBorders>
          </w:tcPr>
          <w:p w14:paraId="4602CB18"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74363753"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4" w:type="dxa"/>
            <w:tcBorders>
              <w:left w:val="nil"/>
              <w:right w:val="nil"/>
            </w:tcBorders>
          </w:tcPr>
          <w:p w14:paraId="5EF562A9"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right w:val="nil"/>
            </w:tcBorders>
          </w:tcPr>
          <w:p w14:paraId="06D6E2D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c>
          <w:tcPr>
            <w:tcW w:w="1175" w:type="dxa"/>
            <w:tcBorders>
              <w:left w:val="nil"/>
            </w:tcBorders>
          </w:tcPr>
          <w:p w14:paraId="7CC7EAE0" w14:textId="77777777" w:rsidR="001E55A8" w:rsidRPr="002F38D0" w:rsidRDefault="001E55A8" w:rsidP="005B7F97">
            <w:pPr>
              <w:keepNext/>
              <w:widowControl w:val="0"/>
              <w:spacing w:before="40" w:after="40" w:line="240" w:lineRule="auto"/>
              <w:ind w:left="34"/>
              <w:rPr>
                <w:rFonts w:ascii="Arial Narrow" w:hAnsi="Arial Narrow"/>
                <w:i/>
                <w:sz w:val="20"/>
                <w:szCs w:val="20"/>
              </w:rPr>
            </w:pPr>
          </w:p>
        </w:tc>
      </w:tr>
      <w:tr w:rsidR="001E55A8" w:rsidRPr="007C5348" w14:paraId="6AE7EC13" w14:textId="77777777" w:rsidTr="005B7F97">
        <w:trPr>
          <w:cantSplit/>
          <w:trHeight w:val="283"/>
        </w:trPr>
        <w:tc>
          <w:tcPr>
            <w:tcW w:w="3261" w:type="dxa"/>
          </w:tcPr>
          <w:p w14:paraId="082D4A78" w14:textId="77777777" w:rsidR="001E55A8" w:rsidRPr="00821297"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C</w:t>
            </w:r>
            <w:r w:rsidRPr="00821297">
              <w:rPr>
                <w:rFonts w:ascii="Arial Narrow" w:hAnsi="Arial Narrow"/>
                <w:sz w:val="20"/>
                <w:szCs w:val="20"/>
              </w:rPr>
              <w:t>ost to MBS</w:t>
            </w:r>
          </w:p>
        </w:tc>
        <w:tc>
          <w:tcPr>
            <w:tcW w:w="1174" w:type="dxa"/>
            <w:vAlign w:val="bottom"/>
          </w:tcPr>
          <w:p w14:paraId="4C8E9258" w14:textId="77777777" w:rsidR="001E55A8" w:rsidRPr="00FA14FE" w:rsidRDefault="001E55A8" w:rsidP="005B7F97">
            <w:pPr>
              <w:pStyle w:val="Tabletext1"/>
              <w:ind w:left="34"/>
              <w:jc w:val="right"/>
            </w:pPr>
            <w:r w:rsidRPr="003D5E01">
              <w:t>$1,719,313</w:t>
            </w:r>
          </w:p>
        </w:tc>
        <w:tc>
          <w:tcPr>
            <w:tcW w:w="1175" w:type="dxa"/>
            <w:vAlign w:val="bottom"/>
          </w:tcPr>
          <w:p w14:paraId="14910F04" w14:textId="77777777" w:rsidR="001E55A8" w:rsidRPr="00FA14FE" w:rsidRDefault="001E55A8" w:rsidP="005B7F97">
            <w:pPr>
              <w:pStyle w:val="Tabletext1"/>
              <w:ind w:left="34"/>
              <w:jc w:val="right"/>
            </w:pPr>
            <w:r w:rsidRPr="003D5E01">
              <w:t>$1,977,210</w:t>
            </w:r>
          </w:p>
        </w:tc>
        <w:tc>
          <w:tcPr>
            <w:tcW w:w="1174" w:type="dxa"/>
            <w:vAlign w:val="bottom"/>
          </w:tcPr>
          <w:p w14:paraId="1BF9C627" w14:textId="77777777" w:rsidR="001E55A8" w:rsidRPr="00FA14FE" w:rsidRDefault="001E55A8" w:rsidP="005B7F97">
            <w:pPr>
              <w:pStyle w:val="Tabletext1"/>
              <w:ind w:left="34"/>
              <w:jc w:val="right"/>
            </w:pPr>
            <w:r w:rsidRPr="003D5E01">
              <w:t>$2,273,791</w:t>
            </w:r>
          </w:p>
        </w:tc>
        <w:tc>
          <w:tcPr>
            <w:tcW w:w="1175" w:type="dxa"/>
            <w:vAlign w:val="bottom"/>
          </w:tcPr>
          <w:p w14:paraId="58337466" w14:textId="77777777" w:rsidR="001E55A8" w:rsidRPr="00FA14FE" w:rsidRDefault="001E55A8" w:rsidP="005B7F97">
            <w:pPr>
              <w:pStyle w:val="Tabletext1"/>
              <w:ind w:left="34"/>
              <w:jc w:val="right"/>
            </w:pPr>
            <w:r w:rsidRPr="003D5E01">
              <w:t>$2,614,860</w:t>
            </w:r>
          </w:p>
        </w:tc>
        <w:tc>
          <w:tcPr>
            <w:tcW w:w="1175" w:type="dxa"/>
            <w:vAlign w:val="bottom"/>
          </w:tcPr>
          <w:p w14:paraId="490549AA" w14:textId="77777777" w:rsidR="001E55A8" w:rsidRPr="00FA14FE" w:rsidRDefault="001E55A8" w:rsidP="005B7F97">
            <w:pPr>
              <w:pStyle w:val="Tabletext1"/>
              <w:ind w:left="34"/>
              <w:jc w:val="right"/>
            </w:pPr>
            <w:r w:rsidRPr="003D5E01">
              <w:t>$3,007,089</w:t>
            </w:r>
          </w:p>
        </w:tc>
      </w:tr>
      <w:tr w:rsidR="001E55A8" w:rsidRPr="007C5348" w14:paraId="45044EC7" w14:textId="77777777" w:rsidTr="005B7F97">
        <w:trPr>
          <w:cantSplit/>
          <w:trHeight w:val="283"/>
        </w:trPr>
        <w:tc>
          <w:tcPr>
            <w:tcW w:w="3261" w:type="dxa"/>
          </w:tcPr>
          <w:p w14:paraId="5E5895A1" w14:textId="2D460B21" w:rsidR="001E55A8" w:rsidRPr="00047E2E" w:rsidRDefault="001E55A8" w:rsidP="004566DC">
            <w:pPr>
              <w:keepNext/>
              <w:widowControl w:val="0"/>
              <w:spacing w:before="40" w:after="40" w:line="240" w:lineRule="auto"/>
              <w:ind w:left="34"/>
              <w:jc w:val="left"/>
              <w:rPr>
                <w:rFonts w:ascii="Arial Narrow" w:hAnsi="Arial Narrow"/>
                <w:sz w:val="20"/>
                <w:szCs w:val="20"/>
              </w:rPr>
            </w:pPr>
            <w:r>
              <w:rPr>
                <w:rFonts w:ascii="Arial Narrow" w:hAnsi="Arial Narrow"/>
                <w:sz w:val="20"/>
                <w:szCs w:val="20"/>
              </w:rPr>
              <w:t>Savings</w:t>
            </w:r>
            <w:r w:rsidRPr="00047E2E">
              <w:rPr>
                <w:rFonts w:ascii="Arial Narrow" w:hAnsi="Arial Narrow"/>
                <w:sz w:val="20"/>
                <w:szCs w:val="20"/>
              </w:rPr>
              <w:t xml:space="preserve"> to </w:t>
            </w:r>
            <w:r w:rsidR="00E37AED">
              <w:rPr>
                <w:rFonts w:ascii="Arial Narrow" w:hAnsi="Arial Narrow"/>
                <w:sz w:val="20"/>
                <w:szCs w:val="20"/>
              </w:rPr>
              <w:t>s</w:t>
            </w:r>
            <w:r w:rsidRPr="00047E2E">
              <w:rPr>
                <w:rFonts w:ascii="Arial Narrow" w:hAnsi="Arial Narrow"/>
                <w:sz w:val="20"/>
                <w:szCs w:val="20"/>
              </w:rPr>
              <w:t>tate</w:t>
            </w:r>
            <w:r w:rsidR="00E37AED">
              <w:rPr>
                <w:rFonts w:ascii="Arial Narrow" w:hAnsi="Arial Narrow"/>
                <w:sz w:val="20"/>
                <w:szCs w:val="20"/>
              </w:rPr>
              <w:t>s</w:t>
            </w:r>
            <w:r w:rsidRPr="00047E2E">
              <w:rPr>
                <w:rFonts w:ascii="Arial Narrow" w:hAnsi="Arial Narrow"/>
                <w:sz w:val="20"/>
                <w:szCs w:val="20"/>
              </w:rPr>
              <w:t>/</w:t>
            </w:r>
            <w:r w:rsidR="00E37AED">
              <w:rPr>
                <w:rFonts w:ascii="Arial Narrow" w:hAnsi="Arial Narrow"/>
                <w:sz w:val="20"/>
                <w:szCs w:val="20"/>
              </w:rPr>
              <w:t>t</w:t>
            </w:r>
            <w:r w:rsidRPr="00047E2E">
              <w:rPr>
                <w:rFonts w:ascii="Arial Narrow" w:hAnsi="Arial Narrow"/>
                <w:sz w:val="20"/>
                <w:szCs w:val="20"/>
              </w:rPr>
              <w:t>erritories</w:t>
            </w:r>
          </w:p>
        </w:tc>
        <w:tc>
          <w:tcPr>
            <w:tcW w:w="1174" w:type="dxa"/>
            <w:vAlign w:val="bottom"/>
          </w:tcPr>
          <w:p w14:paraId="07711DBB" w14:textId="77777777" w:rsidR="001E55A8" w:rsidRPr="003C3194" w:rsidRDefault="001E55A8" w:rsidP="005B7F97">
            <w:pPr>
              <w:pStyle w:val="Tabletext1"/>
              <w:ind w:left="34"/>
              <w:jc w:val="right"/>
            </w:pPr>
            <w:r>
              <w:t>$</w:t>
            </w:r>
            <w:r w:rsidRPr="003D5E01">
              <w:t>922,706</w:t>
            </w:r>
          </w:p>
        </w:tc>
        <w:tc>
          <w:tcPr>
            <w:tcW w:w="1175" w:type="dxa"/>
            <w:vAlign w:val="bottom"/>
          </w:tcPr>
          <w:p w14:paraId="198E330D" w14:textId="77777777" w:rsidR="001E55A8" w:rsidRPr="003C3194" w:rsidRDefault="001E55A8" w:rsidP="005B7F97">
            <w:pPr>
              <w:pStyle w:val="Tabletext1"/>
              <w:ind w:left="34"/>
              <w:jc w:val="right"/>
            </w:pPr>
            <w:r>
              <w:t>$</w:t>
            </w:r>
            <w:r w:rsidRPr="003D5E01">
              <w:t>1,061,112</w:t>
            </w:r>
          </w:p>
        </w:tc>
        <w:tc>
          <w:tcPr>
            <w:tcW w:w="1174" w:type="dxa"/>
            <w:vAlign w:val="bottom"/>
          </w:tcPr>
          <w:p w14:paraId="7F494253" w14:textId="77777777" w:rsidR="001E55A8" w:rsidRPr="003C3194" w:rsidRDefault="001E55A8" w:rsidP="005B7F97">
            <w:pPr>
              <w:pStyle w:val="Tabletext1"/>
              <w:ind w:left="34"/>
              <w:jc w:val="right"/>
            </w:pPr>
            <w:r>
              <w:t>$</w:t>
            </w:r>
            <w:r w:rsidRPr="003D5E01">
              <w:t>1,220,279</w:t>
            </w:r>
          </w:p>
        </w:tc>
        <w:tc>
          <w:tcPr>
            <w:tcW w:w="1175" w:type="dxa"/>
            <w:vAlign w:val="bottom"/>
          </w:tcPr>
          <w:p w14:paraId="38826ABB" w14:textId="77777777" w:rsidR="001E55A8" w:rsidRPr="003C3194" w:rsidRDefault="001E55A8" w:rsidP="005B7F97">
            <w:pPr>
              <w:pStyle w:val="Tabletext1"/>
              <w:ind w:left="34"/>
              <w:jc w:val="right"/>
            </w:pPr>
            <w:r>
              <w:t>$</w:t>
            </w:r>
            <w:r w:rsidRPr="003D5E01">
              <w:t>1,403,320</w:t>
            </w:r>
          </w:p>
        </w:tc>
        <w:tc>
          <w:tcPr>
            <w:tcW w:w="1175" w:type="dxa"/>
            <w:vAlign w:val="bottom"/>
          </w:tcPr>
          <w:p w14:paraId="7E455615" w14:textId="77777777" w:rsidR="001E55A8" w:rsidRPr="003C3194" w:rsidRDefault="001E55A8" w:rsidP="005B7F97">
            <w:pPr>
              <w:pStyle w:val="Tabletext1"/>
              <w:ind w:left="34"/>
              <w:jc w:val="right"/>
            </w:pPr>
            <w:r>
              <w:t>$</w:t>
            </w:r>
            <w:r w:rsidRPr="003D5E01">
              <w:t>1,613,818</w:t>
            </w:r>
          </w:p>
        </w:tc>
      </w:tr>
      <w:tr w:rsidR="001E55A8" w:rsidRPr="007C5348" w14:paraId="778FC9CB" w14:textId="77777777" w:rsidTr="005B7F97">
        <w:trPr>
          <w:cantSplit/>
          <w:trHeight w:val="283"/>
        </w:trPr>
        <w:tc>
          <w:tcPr>
            <w:tcW w:w="3261" w:type="dxa"/>
          </w:tcPr>
          <w:p w14:paraId="514EF88A" w14:textId="235F470F" w:rsidR="001E55A8" w:rsidRPr="00047E2E" w:rsidRDefault="001E55A8" w:rsidP="004566DC">
            <w:pPr>
              <w:keepNext/>
              <w:widowControl w:val="0"/>
              <w:spacing w:before="40" w:after="40" w:line="240" w:lineRule="auto"/>
              <w:ind w:left="34"/>
              <w:jc w:val="left"/>
              <w:rPr>
                <w:rFonts w:ascii="Arial Narrow" w:hAnsi="Arial Narrow"/>
                <w:sz w:val="20"/>
                <w:szCs w:val="20"/>
              </w:rPr>
            </w:pPr>
            <w:r w:rsidRPr="00047E2E">
              <w:rPr>
                <w:rFonts w:ascii="Arial Narrow" w:hAnsi="Arial Narrow"/>
                <w:sz w:val="20"/>
                <w:szCs w:val="20"/>
              </w:rPr>
              <w:t xml:space="preserve">Net </w:t>
            </w:r>
            <w:r w:rsidR="008A0BED">
              <w:rPr>
                <w:rFonts w:ascii="Arial Narrow" w:hAnsi="Arial Narrow"/>
                <w:sz w:val="20"/>
                <w:szCs w:val="20"/>
              </w:rPr>
              <w:t xml:space="preserve">savings </w:t>
            </w:r>
            <w:r w:rsidRPr="00047E2E">
              <w:rPr>
                <w:rFonts w:ascii="Arial Narrow" w:hAnsi="Arial Narrow"/>
                <w:sz w:val="20"/>
                <w:szCs w:val="20"/>
              </w:rPr>
              <w:t>to government health budgets</w:t>
            </w:r>
          </w:p>
        </w:tc>
        <w:tc>
          <w:tcPr>
            <w:tcW w:w="1174" w:type="dxa"/>
            <w:vAlign w:val="bottom"/>
          </w:tcPr>
          <w:p w14:paraId="5DA1B493" w14:textId="77777777" w:rsidR="001E55A8" w:rsidRPr="003C3194" w:rsidRDefault="001E55A8" w:rsidP="005B7F97">
            <w:pPr>
              <w:pStyle w:val="Tabletext1"/>
              <w:ind w:left="34"/>
              <w:jc w:val="right"/>
            </w:pPr>
            <w:r w:rsidRPr="003D5E01">
              <w:t>$796,607</w:t>
            </w:r>
          </w:p>
        </w:tc>
        <w:tc>
          <w:tcPr>
            <w:tcW w:w="1175" w:type="dxa"/>
            <w:vAlign w:val="bottom"/>
          </w:tcPr>
          <w:p w14:paraId="1F996191" w14:textId="77777777" w:rsidR="001E55A8" w:rsidRPr="003C3194" w:rsidRDefault="001E55A8" w:rsidP="005B7F97">
            <w:pPr>
              <w:pStyle w:val="Tabletext1"/>
              <w:ind w:left="34"/>
              <w:jc w:val="right"/>
            </w:pPr>
            <w:r w:rsidRPr="003D5E01">
              <w:t>$916,098</w:t>
            </w:r>
          </w:p>
        </w:tc>
        <w:tc>
          <w:tcPr>
            <w:tcW w:w="1174" w:type="dxa"/>
            <w:vAlign w:val="bottom"/>
          </w:tcPr>
          <w:p w14:paraId="5A40BC4F" w14:textId="77777777" w:rsidR="001E55A8" w:rsidRPr="003C3194" w:rsidRDefault="001E55A8" w:rsidP="005B7F97">
            <w:pPr>
              <w:pStyle w:val="Tabletext1"/>
              <w:ind w:left="34"/>
              <w:jc w:val="right"/>
            </w:pPr>
            <w:r w:rsidRPr="003D5E01">
              <w:t>$1,053,513</w:t>
            </w:r>
          </w:p>
        </w:tc>
        <w:tc>
          <w:tcPr>
            <w:tcW w:w="1175" w:type="dxa"/>
            <w:vAlign w:val="bottom"/>
          </w:tcPr>
          <w:p w14:paraId="00850B3A" w14:textId="77777777" w:rsidR="001E55A8" w:rsidRPr="003C3194" w:rsidRDefault="001E55A8" w:rsidP="005B7F97">
            <w:pPr>
              <w:pStyle w:val="Tabletext1"/>
              <w:ind w:left="34"/>
              <w:jc w:val="right"/>
            </w:pPr>
            <w:r w:rsidRPr="003D5E01">
              <w:t>$1,211,540</w:t>
            </w:r>
          </w:p>
        </w:tc>
        <w:tc>
          <w:tcPr>
            <w:tcW w:w="1175" w:type="dxa"/>
            <w:vAlign w:val="bottom"/>
          </w:tcPr>
          <w:p w14:paraId="0B0C7276" w14:textId="77777777" w:rsidR="001E55A8" w:rsidRPr="003C3194" w:rsidRDefault="001E55A8" w:rsidP="005B7F97">
            <w:pPr>
              <w:pStyle w:val="Tabletext1"/>
              <w:ind w:left="34"/>
              <w:jc w:val="right"/>
            </w:pPr>
            <w:r w:rsidRPr="003D5E01">
              <w:t>$1,393,271</w:t>
            </w:r>
          </w:p>
        </w:tc>
      </w:tr>
    </w:tbl>
    <w:p w14:paraId="623D6D8A" w14:textId="5BA72CD8" w:rsidR="001E55A8" w:rsidRDefault="001E55A8" w:rsidP="001E55A8">
      <w:pPr>
        <w:pStyle w:val="TableNotes"/>
        <w:ind w:left="0"/>
        <w:rPr>
          <w:sz w:val="18"/>
          <w:szCs w:val="18"/>
        </w:rPr>
      </w:pPr>
      <w:r>
        <w:rPr>
          <w:sz w:val="18"/>
          <w:szCs w:val="18"/>
        </w:rPr>
        <w:t>MBS = Medicare Benefits Schedule</w:t>
      </w:r>
    </w:p>
    <w:p w14:paraId="69A021DE" w14:textId="77777777" w:rsidR="001E55A8" w:rsidRDefault="001E55A8" w:rsidP="001E55A8"/>
    <w:p w14:paraId="3F404094" w14:textId="66B32AF2" w:rsidR="0077418B" w:rsidRPr="005E5586" w:rsidRDefault="0077418B">
      <w:pPr>
        <w:pStyle w:val="Heading1"/>
        <w:tabs>
          <w:tab w:val="left" w:pos="2268"/>
        </w:tabs>
      </w:pPr>
      <w:bookmarkStart w:id="463" w:name="_Toc418179943"/>
      <w:r w:rsidRPr="005E5586">
        <w:lastRenderedPageBreak/>
        <w:t>Section F</w:t>
      </w:r>
      <w:r w:rsidRPr="005E5586">
        <w:tab/>
        <w:t xml:space="preserve">Other </w:t>
      </w:r>
      <w:r w:rsidR="00E17289">
        <w:t>R</w:t>
      </w:r>
      <w:r w:rsidRPr="005E5586">
        <w:t xml:space="preserve">elevant </w:t>
      </w:r>
      <w:r w:rsidR="00E17289">
        <w:t>C</w:t>
      </w:r>
      <w:r w:rsidRPr="005E5586">
        <w:t>onsiderations</w:t>
      </w:r>
      <w:bookmarkEnd w:id="387"/>
      <w:bookmarkEnd w:id="388"/>
      <w:bookmarkEnd w:id="463"/>
    </w:p>
    <w:p w14:paraId="1EFA3C11" w14:textId="6E270224" w:rsidR="00E96488" w:rsidRDefault="00DF5EC6">
      <w:pPr>
        <w:pStyle w:val="Heading2"/>
        <w:tabs>
          <w:tab w:val="left" w:pos="1134"/>
        </w:tabs>
      </w:pPr>
      <w:bookmarkStart w:id="464" w:name="_Toc418179944"/>
      <w:bookmarkStart w:id="465" w:name="_Toc378236089"/>
      <w:r>
        <w:t>F.1.</w:t>
      </w:r>
      <w:r w:rsidR="00AA6922">
        <w:tab/>
      </w:r>
      <w:r w:rsidR="00E96488">
        <w:t xml:space="preserve">Ethical </w:t>
      </w:r>
      <w:r w:rsidR="00E17289">
        <w:t>C</w:t>
      </w:r>
      <w:r w:rsidR="00E96488">
        <w:t xml:space="preserve">onsiderations </w:t>
      </w:r>
      <w:r w:rsidR="00E17289">
        <w:t>C</w:t>
      </w:r>
      <w:r w:rsidR="00E96488">
        <w:t>oncerning</w:t>
      </w:r>
      <w:r w:rsidR="00E96488" w:rsidRPr="00F013AF">
        <w:t xml:space="preserve"> </w:t>
      </w:r>
      <w:r w:rsidR="00E17289">
        <w:t>P</w:t>
      </w:r>
      <w:r w:rsidR="00E96488" w:rsidRPr="00F013AF">
        <w:t xml:space="preserve">renatal </w:t>
      </w:r>
      <w:r w:rsidR="00E17289">
        <w:t>G</w:t>
      </w:r>
      <w:r w:rsidR="00E96488" w:rsidRPr="00F013AF">
        <w:t xml:space="preserve">enetic </w:t>
      </w:r>
      <w:r w:rsidR="00E17289">
        <w:t>T</w:t>
      </w:r>
      <w:r w:rsidR="00E96488" w:rsidRPr="00F013AF">
        <w:t>esting</w:t>
      </w:r>
      <w:bookmarkEnd w:id="464"/>
    </w:p>
    <w:p w14:paraId="00DF2AE7" w14:textId="698A07FA" w:rsidR="00E96488" w:rsidRDefault="00DF5EC6" w:rsidP="00E96488">
      <w:pPr>
        <w:pStyle w:val="Heading3"/>
      </w:pPr>
      <w:bookmarkStart w:id="466" w:name="_Toc418179945"/>
      <w:r>
        <w:t>F.1.1.</w:t>
      </w:r>
      <w:r w:rsidR="00AA6922">
        <w:tab/>
      </w:r>
      <w:r w:rsidR="00AA6922">
        <w:tab/>
      </w:r>
      <w:r w:rsidR="00E96488">
        <w:t>Introduction</w:t>
      </w:r>
      <w:bookmarkEnd w:id="466"/>
    </w:p>
    <w:p w14:paraId="0C7D816A" w14:textId="1C482CCD" w:rsidR="00E96488" w:rsidRDefault="00F2476C" w:rsidP="00E96488">
      <w:r>
        <w:t>P</w:t>
      </w:r>
      <w:r w:rsidR="00E96488">
        <w:t xml:space="preserve">renatal testing for </w:t>
      </w:r>
      <w:r w:rsidR="00FD37D3" w:rsidRPr="00FD37D3">
        <w:t>CFTR</w:t>
      </w:r>
      <w:r w:rsidR="00E96488">
        <w:t xml:space="preserve"> mutations is typically used to enable reproductive choices or family planning to proceed on the basis of the health of the fetus, with the opportunity being given to terminate the pregnancy when the fetus is affected </w:t>
      </w:r>
      <w:r w:rsidR="00E96488">
        <w:fldChar w:fldCharType="begin"/>
      </w:r>
      <w:r w:rsidR="009A054F">
        <w:instrText xml:space="preserve"> ADDIN EN.CITE &lt;EndNote&gt;&lt;Cite&gt;&lt;Author&gt;Munthe&lt;/Author&gt;&lt;Year&gt;2015&lt;/Year&gt;&lt;RecNum&gt;980&lt;/RecNum&gt;&lt;IDText&gt;36-45&lt;/IDText&gt;&lt;DisplayText&gt;(Munthe 2015)&lt;/DisplayText&gt;&lt;record&gt;&lt;rec-number&gt;980&lt;/rec-number&gt;&lt;foreign-keys&gt;&lt;key app="EN" db-id="parffa0acae2voep5w3vv9rypas2tr522eef" timestamp="1430369642"&gt;980&lt;/key&gt;&lt;/foreign-keys&gt;&lt;ref-type name="Journal Article"&gt;17&lt;/ref-type&gt;&lt;contributors&gt;&lt;authors&gt;&lt;author&gt;Munthe, C.&lt;/author&gt;&lt;/authors&gt;&lt;/contributors&gt;&lt;titles&gt;&lt;title&gt;A NEW ETHICAL LANDSCAPE OF PRENATAL TESTING: INDIVIDUALIZING CHOICE TO SERVE AUTONOMY AND PROMOTE PUBLIC HEALTH: A RADICAL PROPOSAL&lt;/title&gt;&lt;secondary-title&gt;Bioethics&lt;/secondary-title&gt;&lt;/titles&gt;&lt;periodical&gt;&lt;full-title&gt;Bioethics&lt;/full-title&gt;&lt;/periodical&gt;&lt;pages&gt;36-45&lt;/pages&gt;&lt;volume&gt;29&lt;/volume&gt;&lt;number&gt;1&lt;/number&gt;&lt;dates&gt;&lt;year&gt;2015&lt;/year&gt;&lt;pub-dates&gt;&lt;date&gt;Jan&lt;/date&gt;&lt;/pub-dates&gt;&lt;/dates&gt;&lt;isbn&gt;0269-9702&lt;/isbn&gt;&lt;accession-num&gt;CCC:000346473700006&lt;/accession-num&gt;&lt;urls&gt;&lt;related-urls&gt;&lt;url&gt;&amp;lt;Go to ISI&amp;gt;://CCC:000346473700006&lt;/url&gt;&lt;url&gt;http://onlinelibrary.wiley.com/store/10.1111/bioe.12126/asset/bioe12126.pdf?v=1&amp;amp;t=i58xdpfw&amp;amp;s=297b912b1c8b49301c296bb9aebbad590e419395&lt;/url&gt;&lt;/related-urls&gt;&lt;/urls&gt;&lt;/record&gt;&lt;/Cite&gt;&lt;/EndNote&gt;</w:instrText>
      </w:r>
      <w:r w:rsidR="00E96488">
        <w:fldChar w:fldCharType="separate"/>
      </w:r>
      <w:r w:rsidR="00E96488">
        <w:rPr>
          <w:noProof/>
        </w:rPr>
        <w:t>(</w:t>
      </w:r>
      <w:hyperlink w:anchor="_ENREF_87" w:tooltip="Munthe, 2015 #980" w:history="1">
        <w:r w:rsidR="00B46ABF">
          <w:rPr>
            <w:noProof/>
          </w:rPr>
          <w:t>Munthe 2015</w:t>
        </w:r>
      </w:hyperlink>
      <w:r w:rsidR="00E96488">
        <w:rPr>
          <w:noProof/>
        </w:rPr>
        <w:t>)</w:t>
      </w:r>
      <w:r w:rsidR="00E96488">
        <w:fldChar w:fldCharType="end"/>
      </w:r>
      <w:r w:rsidR="00E96488">
        <w:t xml:space="preserve">. In this way the goal of prenatal testing is to help couples make an informed choice, namely about what they feel would be best for themselves and their family </w:t>
      </w:r>
      <w:r w:rsidR="00E96488">
        <w:fldChar w:fldCharType="begin"/>
      </w:r>
      <w:r w:rsidR="009A054F">
        <w:instrText xml:space="preserve"> ADDIN EN.CITE &lt;EndNote&gt;&lt;Cite&gt;&lt;Author&gt;Aksoy&lt;/Author&gt;&lt;Year&gt;2001&lt;/Year&gt;&lt;RecNum&gt;714&lt;/RecNum&gt;&lt;IDText&gt;E3&lt;/IDText&gt;&lt;DisplayText&gt;(Aksoy 2001)&lt;/DisplayText&gt;&lt;record&gt;&lt;rec-number&gt;714&lt;/rec-number&gt;&lt;foreign-keys&gt;&lt;key app="EN" db-id="parffa0acae2voep5w3vv9rypas2tr522eef" timestamp="1430369555"&gt;714&lt;/key&gt;&lt;/foreign-keys&gt;&lt;ref-type name="Journal Article"&gt;17&lt;/ref-type&gt;&lt;contributors&gt;&lt;authors&gt;&lt;author&gt;Aksoy, S.&lt;/author&gt;&lt;/authors&gt;&lt;/contributors&gt;&lt;auth-address&gt;Aksoy, S., Harran University, Faculty of Medicine, Department of Medical Ethics and History of Medicine, 63200 Sanliurfa, TURKEY.&lt;/auth-address&gt;&lt;titles&gt;&lt;title&gt;Antenatal screening and its possible meaning from unborn baby&amp;apos;s perspective&lt;/title&gt;&lt;secondary-title&gt;BMC medical ethics&lt;/secondary-title&gt;&lt;/titles&gt;&lt;periodical&gt;&lt;full-title&gt;BMC medical ethics&lt;/full-title&gt;&lt;/periodical&gt;&lt;pages&gt;E3&lt;/pages&gt;&lt;volume&gt;2&lt;/volume&gt;&lt;keywords&gt;&lt;keyword&gt;abortion&lt;/keyword&gt;&lt;keyword&gt;article&lt;/keyword&gt;&lt;keyword&gt;congenital malformation&lt;/keyword&gt;&lt;keyword&gt;cost benefit analysis&lt;/keyword&gt;&lt;keyword&gt;directive counseling&lt;/keyword&gt;&lt;keyword&gt;economics&lt;/keyword&gt;&lt;keyword&gt;ethics&lt;/keyword&gt;&lt;keyword&gt;female&lt;/keyword&gt;&lt;keyword&gt;fetus&lt;/keyword&gt;&lt;keyword&gt;genetic counseling&lt;/keyword&gt;&lt;keyword&gt;genetic disorder&lt;/keyword&gt;&lt;keyword&gt;genetic screening&lt;/keyword&gt;&lt;keyword&gt;genetics&lt;/keyword&gt;&lt;keyword&gt;Genetics and Reproduction&lt;/keyword&gt;&lt;keyword&gt;human&lt;/keyword&gt;&lt;keyword&gt;methodology&lt;/keyword&gt;&lt;keyword&gt;parent&lt;/keyword&gt;&lt;keyword&gt;pregnancy&lt;/keyword&gt;&lt;keyword&gt;pregnant woman&lt;/keyword&gt;&lt;keyword&gt;prenatal diagnosis&lt;/keyword&gt;&lt;keyword&gt;sex determination&lt;/keyword&gt;&lt;/keywords&gt;&lt;dates&gt;&lt;year&gt;2001&lt;/year&gt;&lt;/dates&gt;&lt;isbn&gt;1472-6939&lt;/isbn&gt;&lt;urls&gt;&lt;related-urls&gt;&lt;url&gt;http://www.embase.com/search/results?subaction=viewrecord&amp;amp;from=export&amp;amp;id=L39033990&lt;/url&gt;&lt;url&gt;http://www.ncbi.nlm.nih.gov/pmc/articles/PMC32195/pdf/1472-6939-2-3.pdf&lt;/url&gt;&lt;/related-urls&gt;&lt;/urls&gt;&lt;/record&gt;&lt;/Cite&gt;&lt;/EndNote&gt;</w:instrText>
      </w:r>
      <w:r w:rsidR="00E96488">
        <w:fldChar w:fldCharType="separate"/>
      </w:r>
      <w:r w:rsidR="00E96488">
        <w:rPr>
          <w:noProof/>
        </w:rPr>
        <w:t>(</w:t>
      </w:r>
      <w:hyperlink w:anchor="_ENREF_2" w:tooltip="Aksoy, 2001 #714" w:history="1">
        <w:r w:rsidR="00B46ABF">
          <w:rPr>
            <w:noProof/>
          </w:rPr>
          <w:t>Aksoy 2001</w:t>
        </w:r>
      </w:hyperlink>
      <w:r w:rsidR="00E96488">
        <w:rPr>
          <w:noProof/>
        </w:rPr>
        <w:t>)</w:t>
      </w:r>
      <w:r w:rsidR="00E96488">
        <w:fldChar w:fldCharType="end"/>
      </w:r>
      <w:r w:rsidR="00E96488">
        <w:t>. In</w:t>
      </w:r>
      <w:r>
        <w:t xml:space="preserve"> the scenari</w:t>
      </w:r>
      <w:r w:rsidR="002D0501">
        <w:t>os where parents are carriers or</w:t>
      </w:r>
      <w:r>
        <w:t xml:space="preserve"> where an echogenic gut has been detected in the fetus</w:t>
      </w:r>
      <w:r w:rsidR="00E96488">
        <w:t xml:space="preserve">, prenatal testing is considered standard care. </w:t>
      </w:r>
    </w:p>
    <w:p w14:paraId="45DA7A67" w14:textId="3C367001" w:rsidR="00E96488" w:rsidRDefault="00E96488" w:rsidP="00E96488">
      <w:r>
        <w:t xml:space="preserve">Genetic tests pose their own specific ethical considerations, which </w:t>
      </w:r>
      <w:r w:rsidR="004048A4">
        <w:t>are</w:t>
      </w:r>
      <w:r>
        <w:t xml:space="preserve"> discussed below. The aim of the assessment report is to review and synthesise the available evidence to inform a public funding decision. In the case of ethical considerations, evidence</w:t>
      </w:r>
      <w:r w:rsidRPr="003C43DC">
        <w:t xml:space="preserve"> synthesis equates to reviewing </w:t>
      </w:r>
      <w:r>
        <w:t xml:space="preserve">the </w:t>
      </w:r>
      <w:r w:rsidRPr="003C43DC">
        <w:t>relevant literature and assessing the balance of arguments.</w:t>
      </w:r>
      <w:r>
        <w:t xml:space="preserve"> </w:t>
      </w:r>
      <w:r w:rsidRPr="003C43DC">
        <w:t xml:space="preserve">The </w:t>
      </w:r>
      <w:r>
        <w:t>synthesis</w:t>
      </w:r>
      <w:r w:rsidRPr="003C43DC">
        <w:t xml:space="preserve"> is </w:t>
      </w:r>
      <w:r>
        <w:t>m</w:t>
      </w:r>
      <w:r w:rsidRPr="00F011A0">
        <w:t>a</w:t>
      </w:r>
      <w:r>
        <w:t xml:space="preserve">inly </w:t>
      </w:r>
      <w:r w:rsidRPr="003C43DC">
        <w:t>descriptive</w:t>
      </w:r>
      <w:r>
        <w:t xml:space="preserve"> but it </w:t>
      </w:r>
      <w:r w:rsidRPr="003C43DC">
        <w:t>is also normative insofar as it seeks to identify ethical ideals for framing policy on how medical professionals should conduct themselves.</w:t>
      </w:r>
      <w:r w:rsidRPr="006F0FC8">
        <w:t xml:space="preserve"> </w:t>
      </w:r>
    </w:p>
    <w:p w14:paraId="69969DEA" w14:textId="0F739D53" w:rsidR="00E96488" w:rsidRDefault="00DF5EC6" w:rsidP="00E96488">
      <w:pPr>
        <w:pStyle w:val="Heading3"/>
      </w:pPr>
      <w:bookmarkStart w:id="467" w:name="_Toc418179946"/>
      <w:r>
        <w:t>F.1.2.</w:t>
      </w:r>
      <w:r w:rsidR="00AA6922">
        <w:tab/>
      </w:r>
      <w:r w:rsidR="00AA6922">
        <w:tab/>
      </w:r>
      <w:r w:rsidR="00E96488">
        <w:t>Methods of evidence synthesis</w:t>
      </w:r>
      <w:bookmarkEnd w:id="467"/>
    </w:p>
    <w:p w14:paraId="52351018" w14:textId="70D55984" w:rsidR="00E96488" w:rsidRDefault="00F2476C" w:rsidP="00E96488">
      <w:r>
        <w:t xml:space="preserve">A literature search was performed for papers </w:t>
      </w:r>
      <w:r w:rsidR="00907967">
        <w:t xml:space="preserve">that </w:t>
      </w:r>
      <w:r>
        <w:t xml:space="preserve">linked ethical theory to genetic testing. Articles identified as potentially relevant were selected </w:t>
      </w:r>
      <w:r w:rsidR="00E96488">
        <w:fldChar w:fldCharType="begin">
          <w:fldData xml:space="preserve">PEVuZE5vdGU+PENpdGU+PEF1dGhvcj5IaWxkdDwvQXV0aG9yPjxZZWFyPjIwMDI8L1llYXI+PFJl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</w:fldData>
        </w:fldChar>
      </w:r>
      <w:r w:rsidR="009A054F">
        <w:instrText xml:space="preserve"> ADDIN EN.CITE </w:instrText>
      </w:r>
      <w:r w:rsidR="009A054F">
        <w:fldChar w:fldCharType="begin">
          <w:fldData xml:space="preserve">PEVuZE5vdGU+PENpdGU+PEF1dGhvcj5IaWxkdDwvQXV0aG9yPjxZZWFyPjIwMDI8L1llYXI+PFJl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</w:fldData>
        </w:fldChar>
      </w:r>
      <w:r w:rsidR="009A054F">
        <w:instrText xml:space="preserve"> ADDIN EN.CITE.DATA </w:instrText>
      </w:r>
      <w:r w:rsidR="009A054F">
        <w:fldChar w:fldCharType="end"/>
      </w:r>
      <w:r w:rsidR="00E96488">
        <w:fldChar w:fldCharType="separate"/>
      </w:r>
      <w:r w:rsidR="00E96488">
        <w:rPr>
          <w:noProof/>
        </w:rPr>
        <w:t>(</w:t>
      </w:r>
      <w:hyperlink w:anchor="_ENREF_44" w:tooltip="Giarelli, 2001 #869" w:history="1">
        <w:r w:rsidR="00B46ABF">
          <w:rPr>
            <w:noProof/>
          </w:rPr>
          <w:t>Giarelli 2001</w:t>
        </w:r>
      </w:hyperlink>
      <w:r w:rsidR="00E96488">
        <w:rPr>
          <w:noProof/>
        </w:rPr>
        <w:t xml:space="preserve">; </w:t>
      </w:r>
      <w:hyperlink w:anchor="_ENREF_49" w:tooltip="Hildt, 2002 #893" w:history="1">
        <w:r w:rsidR="00B46ABF">
          <w:rPr>
            <w:noProof/>
          </w:rPr>
          <w:t>Hildt 2002</w:t>
        </w:r>
      </w:hyperlink>
      <w:r w:rsidR="00E96488">
        <w:rPr>
          <w:noProof/>
        </w:rPr>
        <w:t xml:space="preserve">; </w:t>
      </w:r>
      <w:hyperlink w:anchor="_ENREF_61" w:tooltip="Kinder, 1998 #922" w:history="1">
        <w:r w:rsidR="00B46ABF">
          <w:rPr>
            <w:noProof/>
          </w:rPr>
          <w:t>Kinder 1998</w:t>
        </w:r>
      </w:hyperlink>
      <w:r w:rsidR="00E96488">
        <w:rPr>
          <w:noProof/>
        </w:rPr>
        <w:t xml:space="preserve">; </w:t>
      </w:r>
      <w:hyperlink w:anchor="_ENREF_130" w:tooltip="Wilcken, 2011 #1088" w:history="1">
        <w:r w:rsidR="00B46ABF">
          <w:rPr>
            <w:noProof/>
          </w:rPr>
          <w:t>Wilcken 2011</w:t>
        </w:r>
      </w:hyperlink>
      <w:r w:rsidR="00E96488">
        <w:rPr>
          <w:noProof/>
        </w:rPr>
        <w:t xml:space="preserve">; </w:t>
      </w:r>
      <w:hyperlink w:anchor="_ENREF_133" w:tooltip="Winslow, 2005 #1093" w:history="1">
        <w:r w:rsidR="00B46ABF">
          <w:rPr>
            <w:noProof/>
          </w:rPr>
          <w:t>Winslow, Kodner &amp; Dietz 2005</w:t>
        </w:r>
      </w:hyperlink>
      <w:r w:rsidR="00E96488">
        <w:rPr>
          <w:noProof/>
        </w:rPr>
        <w:t>)</w:t>
      </w:r>
      <w:r w:rsidR="00E96488">
        <w:fldChar w:fldCharType="end"/>
      </w:r>
      <w:r w:rsidR="00E96488">
        <w:t>.</w:t>
      </w:r>
      <w:r w:rsidR="00E96488" w:rsidRPr="003C43DC">
        <w:t xml:space="preserve"> </w:t>
      </w:r>
      <w:r w:rsidR="00E96488">
        <w:t>These</w:t>
      </w:r>
      <w:r w:rsidR="00E96488" w:rsidRPr="003C43DC">
        <w:t xml:space="preserve"> </w:t>
      </w:r>
      <w:r w:rsidR="00E96488">
        <w:t xml:space="preserve">papers </w:t>
      </w:r>
      <w:r w:rsidR="00E96488" w:rsidRPr="003C43DC">
        <w:t>constituted the main body of evidence. Where possible</w:t>
      </w:r>
      <w:r w:rsidR="00E96488">
        <w:t>,</w:t>
      </w:r>
      <w:r w:rsidR="00E96488" w:rsidRPr="003C43DC">
        <w:t xml:space="preserve"> </w:t>
      </w:r>
      <w:r w:rsidR="00E96488">
        <w:t>these papers</w:t>
      </w:r>
      <w:r w:rsidR="00E96488" w:rsidRPr="003C43DC">
        <w:t xml:space="preserve"> </w:t>
      </w:r>
      <w:r w:rsidR="00E96488">
        <w:t>were</w:t>
      </w:r>
      <w:r w:rsidR="00E96488" w:rsidRPr="003C43DC">
        <w:t xml:space="preserve"> supported by additional </w:t>
      </w:r>
      <w:r w:rsidR="00E96488">
        <w:t>articles</w:t>
      </w:r>
      <w:r w:rsidR="00E96488" w:rsidRPr="003C43DC">
        <w:t xml:space="preserve"> that presented (</w:t>
      </w:r>
      <w:r w:rsidR="00E96488">
        <w:t>i</w:t>
      </w:r>
      <w:r w:rsidR="00E96488" w:rsidRPr="003C43DC">
        <w:t>) material from an Australian perspective and (</w:t>
      </w:r>
      <w:r w:rsidR="00E96488">
        <w:t>ii</w:t>
      </w:r>
      <w:r w:rsidR="00E96488" w:rsidRPr="003C43DC">
        <w:t xml:space="preserve">) issues relating specifically to </w:t>
      </w:r>
      <w:r w:rsidR="00E96488">
        <w:t>prenatal mutation testing</w:t>
      </w:r>
      <w:r w:rsidR="00E96488" w:rsidRPr="003C43DC">
        <w:t xml:space="preserve">. Some of these additional </w:t>
      </w:r>
      <w:r w:rsidR="00E96488">
        <w:t>articles were</w:t>
      </w:r>
      <w:r w:rsidR="00E96488" w:rsidRPr="003C43DC">
        <w:t xml:space="preserve"> identified</w:t>
      </w:r>
      <w:r w:rsidR="00E96488">
        <w:t xml:space="preserve"> in the ‘ethics’ literature search,</w:t>
      </w:r>
      <w:r w:rsidR="00E96488" w:rsidRPr="003C43DC">
        <w:t xml:space="preserve"> </w:t>
      </w:r>
      <w:r w:rsidR="00E96488">
        <w:t>while o</w:t>
      </w:r>
      <w:r w:rsidR="00E96488" w:rsidRPr="003C43DC">
        <w:t xml:space="preserve">thers </w:t>
      </w:r>
      <w:r w:rsidR="00E96488">
        <w:t>were identified in a separate search on ethics in prenatal testing for CF</w:t>
      </w:r>
      <w:r w:rsidR="00E96488" w:rsidRPr="003C43DC">
        <w:t xml:space="preserve">. </w:t>
      </w:r>
      <w:r w:rsidR="00E96488">
        <w:t>Additional</w:t>
      </w:r>
      <w:r w:rsidR="00E96488" w:rsidRPr="003C43DC">
        <w:t xml:space="preserve"> key texts in medical ethics </w:t>
      </w:r>
      <w:r w:rsidR="00E96488">
        <w:fldChar w:fldCharType="begin"/>
      </w:r>
      <w:r w:rsidR="009A054F">
        <w:instrText xml:space="preserve"> ADDIN EN.CITE &lt;EndNote&gt;&lt;Cite&gt;&lt;Author&gt;Beauchamp&lt;/Author&gt;&lt;Year&gt;2001&lt;/Year&gt;&lt;RecNum&gt;743&lt;/RecNum&gt;&lt;DisplayText&gt;(Beauchamp &amp;amp; Childress 2001; Rogers &amp;amp; Braunack-Mayer 2004)&lt;/DisplayText&gt;&lt;record&gt;&lt;rec-number&gt;743&lt;/rec-number&gt;&lt;foreign-keys&gt;&lt;key app="EN" db-id="parffa0acae2voep5w3vv9rypas2tr522eef" timestamp="1430369567"&gt;743&lt;/key&gt;&lt;/foreign-keys&gt;&lt;ref-type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Rogers&lt;/Author&gt;&lt;Year&gt;2004&lt;/Year&gt;&lt;RecNum&gt;1013&lt;/RecNum&gt;&lt;record&gt;&lt;rec-number&gt;1013&lt;/rec-number&gt;&lt;foreign-keys&gt;&lt;key app="EN" db-id="parffa0acae2voep5w3vv9rypas2tr522eef" timestamp="1430369654"&gt;1013&lt;/key&gt;&lt;/foreign-keys&gt;&lt;ref-type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rsidR="00E96488">
        <w:fldChar w:fldCharType="separate"/>
      </w:r>
      <w:r w:rsidR="00E96488">
        <w:rPr>
          <w:noProof/>
        </w:rPr>
        <w:t>(</w:t>
      </w:r>
      <w:hyperlink w:anchor="_ENREF_12" w:tooltip="Beauchamp, 2001 #743" w:history="1">
        <w:r w:rsidR="00B46ABF">
          <w:rPr>
            <w:noProof/>
          </w:rPr>
          <w:t>Beauchamp &amp; Childress 2001</w:t>
        </w:r>
      </w:hyperlink>
      <w:r w:rsidR="00E96488">
        <w:rPr>
          <w:noProof/>
        </w:rPr>
        <w:t xml:space="preserve">; </w:t>
      </w:r>
      <w:hyperlink w:anchor="_ENREF_103" w:tooltip="Rogers, 2004 #1013" w:history="1">
        <w:r w:rsidR="00B46ABF">
          <w:rPr>
            <w:noProof/>
          </w:rPr>
          <w:t>Rogers &amp; Braunack-Mayer 2004</w:t>
        </w:r>
      </w:hyperlink>
      <w:r w:rsidR="00E96488">
        <w:rPr>
          <w:noProof/>
        </w:rPr>
        <w:t>)</w:t>
      </w:r>
      <w:r w:rsidR="00E96488">
        <w:fldChar w:fldCharType="end"/>
      </w:r>
      <w:r w:rsidR="00E96488">
        <w:t xml:space="preserve"> and</w:t>
      </w:r>
      <w:r w:rsidR="00E96488" w:rsidRPr="003C43DC">
        <w:t xml:space="preserve"> web resources</w:t>
      </w:r>
      <w:r w:rsidR="00E96488">
        <w:t xml:space="preserve"> </w:t>
      </w:r>
      <w:r w:rsidR="00E96488">
        <w:fldChar w:fldCharType="begin"/>
      </w:r>
      <w:r w:rsidR="009A054F">
        <w:instrText xml:space="preserve"> ADDIN EN.CITE &lt;EndNote&gt;&lt;Cite&gt;&lt;Author&gt;ALRC&lt;/Author&gt;&lt;Year&gt;2003&lt;/Year&gt;&lt;RecNum&gt;718&lt;/RecNum&gt;&lt;DisplayText&gt;(ALRC 2003; Andersen et al. 2005)&lt;/DisplayText&gt;&lt;record&gt;&lt;rec-number&gt;718&lt;/rec-number&gt;&lt;foreign-keys&gt;&lt;key app="EN" db-id="parffa0acae2voep5w3vv9rypas2tr522eef" timestamp="1430369558"&gt;718&lt;/key&gt;&lt;/foreign-keys&gt;&lt;ref-type name="Web Page"&gt;12&lt;/ref-type&gt;&lt;contributors&gt;&lt;authors&gt;&lt;author&gt;ALRC,&lt;/author&gt;&lt;/authors&gt;&lt;/contributors&gt;&lt;titles&gt;&lt;title&gt;Essentially Yours: The Protection of Human Genetic Information in Australia (ALRC Report 96)&lt;/title&gt;&lt;/titles&gt;&lt;volume&gt;2015&lt;/volume&gt;&lt;number&gt;3 February&lt;/number&gt;&lt;dates&gt;&lt;year&gt;2003&lt;/year&gt;&lt;/dates&gt;&lt;pub-location&gt;Canberra&lt;/pub-location&gt;&lt;publisher&gt;Australian Law Reform Commission&lt;/publisher&gt;&lt;accession-num&gt;BE_04&lt;/accession-num&gt;&lt;urls&gt;&lt;related-urls&gt;&lt;url&gt;http://www.alrc.gov.au/publications/report-96&lt;/url&gt;&lt;/related-urls&gt;&lt;/urls&gt;&lt;/record&gt;&lt;/Cite&gt;&lt;Cite&gt;&lt;Author&gt;Andersen&lt;/Author&gt;&lt;Year&gt;2005&lt;/Year&gt;&lt;RecNum&gt;721&lt;/RecNum&gt;&lt;record&gt;&lt;rec-number&gt;721&lt;/rec-number&gt;&lt;foreign-keys&gt;&lt;key app="EN" db-id="parffa0acae2voep5w3vv9rypas2tr522eef" timestamp="1430369560"&gt;721&lt;/key&gt;&lt;/foreign-keys&gt;&lt;ref-type name="Report"&gt;27&lt;/ref-type&gt;&lt;contributors&gt;&lt;authors&gt;&lt;author&gt;Andersen, S.&lt;/author&gt;&lt;author&gt;Caron, L.&lt;/author&gt;&lt;author&gt;Cleret de Langavant, G.&lt;/author&gt;&lt;author&gt;Dondorp, W.&lt;/author&gt;&lt;author&gt;Gabbay, J.&lt;/author&gt;&lt;author&gt;Hagenfeldt, K.&lt;/author&gt;&lt;author&gt;Harstall, C.&lt;/author&gt;&lt;author&gt;Hofmann, B.&lt;/author&gt;&lt;author&gt;Lopez-Argumedo, M.&lt;/author&gt;&lt;author&gt;Noorani, H.&lt;/author&gt;&lt;/authors&gt;&lt;/contributors&gt;&lt;titles&gt;&lt;title&gt;INAHTA&amp;apos;s Working Group On Handling Ethical Issues&lt;/title&gt;&lt;/titles&gt;&lt;dates&gt;&lt;year&gt;2005&lt;/year&gt;&lt;/dates&gt;&lt;publisher&gt;INAHTA&lt;/publisher&gt;&lt;urls&gt;&lt;/urls&gt;&lt;/record&gt;&lt;/Cite&gt;&lt;/EndNote&gt;</w:instrText>
      </w:r>
      <w:r w:rsidR="00E96488">
        <w:fldChar w:fldCharType="separate"/>
      </w:r>
      <w:r w:rsidR="00E96488">
        <w:rPr>
          <w:noProof/>
        </w:rPr>
        <w:t>(</w:t>
      </w:r>
      <w:hyperlink w:anchor="_ENREF_4" w:tooltip="ALRC, 2003 #718" w:history="1">
        <w:r w:rsidR="00B46ABF">
          <w:rPr>
            <w:noProof/>
          </w:rPr>
          <w:t>ALRC 2003</w:t>
        </w:r>
      </w:hyperlink>
      <w:r w:rsidR="00E96488">
        <w:rPr>
          <w:noProof/>
        </w:rPr>
        <w:t xml:space="preserve">; </w:t>
      </w:r>
      <w:hyperlink w:anchor="_ENREF_6" w:tooltip="Andersen, 2005 #721" w:history="1">
        <w:r w:rsidR="00B46ABF">
          <w:rPr>
            <w:noProof/>
          </w:rPr>
          <w:t>Andersen et al. 2005</w:t>
        </w:r>
      </w:hyperlink>
      <w:r w:rsidR="00E96488">
        <w:rPr>
          <w:noProof/>
        </w:rPr>
        <w:t>)</w:t>
      </w:r>
      <w:r w:rsidR="00E96488">
        <w:fldChar w:fldCharType="end"/>
      </w:r>
      <w:r w:rsidR="00E96488">
        <w:t xml:space="preserve"> were also sourced</w:t>
      </w:r>
      <w:r w:rsidR="00E96488" w:rsidRPr="003C43DC">
        <w:t>.</w:t>
      </w:r>
    </w:p>
    <w:p w14:paraId="58B74CBF" w14:textId="43D8142A" w:rsidR="00E96488" w:rsidRDefault="00DF5EC6" w:rsidP="00E96488">
      <w:pPr>
        <w:pStyle w:val="Heading3"/>
      </w:pPr>
      <w:bookmarkStart w:id="468" w:name="_Toc418179947"/>
      <w:r>
        <w:t>F.1.3.</w:t>
      </w:r>
      <w:r w:rsidR="00AA6922">
        <w:tab/>
      </w:r>
      <w:r w:rsidR="00AA6922">
        <w:tab/>
      </w:r>
      <w:r w:rsidR="00E96488">
        <w:t>Ethical framework</w:t>
      </w:r>
      <w:bookmarkEnd w:id="468"/>
    </w:p>
    <w:p w14:paraId="0B082809" w14:textId="538A68CC" w:rsidR="00E96488" w:rsidRDefault="00E96488" w:rsidP="00E96488">
      <w:r>
        <w:t xml:space="preserve">The philosophical approach adopted by this assessment is the ‘four-principles approach’, also called ‘principlism’ since it is predominant within the field of biomedical ethics </w:t>
      </w:r>
      <w:r>
        <w:fldChar w:fldCharType="begin"/>
      </w:r>
      <w:r w:rsidR="009A054F">
        <w:instrText xml:space="preserve"> ADDIN EN.CITE &lt;EndNote&gt;&lt;Cite&gt;&lt;Author&gt;Beauchamp&lt;/Author&gt;&lt;Year&gt;2001&lt;/Year&gt;&lt;RecNum&gt;743&lt;/RecNum&gt;&lt;DisplayText&gt;(Beauchamp &amp;amp; Childress 2001; Munson 2000; Rogers &amp;amp; Braunack-Mayer 2004)&lt;/DisplayText&gt;&lt;record&gt;&lt;rec-number&gt;743&lt;/rec-number&gt;&lt;foreign-keys&gt;&lt;key app="EN" db-id="parffa0acae2voep5w3vv9rypas2tr522eef" timestamp="1430369567"&gt;743&lt;/key&gt;&lt;/foreign-keys&gt;&lt;ref-type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Cite&gt;&lt;Author&gt;Munson&lt;/Author&gt;&lt;Year&gt;2000&lt;/Year&gt;&lt;RecNum&gt;979&lt;/RecNum&gt;&lt;record&gt;&lt;rec-number&gt;979&lt;/rec-number&gt;&lt;foreign-keys&gt;&lt;key app="EN" db-id="parffa0acae2voep5w3vv9rypas2tr522eef" timestamp="1430369642"&gt;979&lt;/key&gt;&lt;/foreign-keys&gt;&lt;ref-type name="Book"&gt;6&lt;/ref-type&gt;&lt;contributors&gt;&lt;authors&gt;&lt;author&gt;Munson, R.&lt;/author&gt;&lt;/authors&gt;&lt;/contributors&gt;&lt;titles&gt;&lt;title&gt;Intervention and Reflection: Basic Issues in Medical Ethics&lt;/title&gt;&lt;/titles&gt;&lt;edition&gt;6th&lt;/edition&gt;&lt;dates&gt;&lt;year&gt;2000&lt;/year&gt;&lt;/dates&gt;&lt;pub-location&gt;Belmont&lt;/pub-location&gt;&lt;publisher&gt;Wadsworth Thomson Learning&lt;/publisher&gt;&lt;accession-num&gt;BE_02&lt;/accession-num&gt;&lt;urls&gt;&lt;/urls&gt;&lt;/record&gt;&lt;/Cite&gt;&lt;Cite&gt;&lt;Author&gt;Rogers&lt;/Author&gt;&lt;Year&gt;2004&lt;/Year&gt;&lt;RecNum&gt;1013&lt;/RecNum&gt;&lt;record&gt;&lt;rec-number&gt;1013&lt;/rec-number&gt;&lt;foreign-keys&gt;&lt;key app="EN" db-id="parffa0acae2voep5w3vv9rypas2tr522eef" timestamp="1430369654"&gt;1013&lt;/key&gt;&lt;/foreign-keys&gt;&lt;ref-type name="Book"&gt;6&lt;/ref-type&gt;&lt;contributors&gt;&lt;authors&gt;&lt;author&gt;Rogers, W.A.&lt;/author&gt;&lt;author&gt;Braunack-Mayer, A.J.&lt;/author&gt;&lt;/authors&gt;&lt;/contributors&gt;&lt;titles&gt;&lt;title&gt;Practical Ethics for General Practice&lt;/title&gt;&lt;/titles&gt;&lt;dates&gt;&lt;year&gt;2004&lt;/year&gt;&lt;/dates&gt;&lt;pub-location&gt;Oxford&lt;/pub-location&gt;&lt;publisher&gt;Oxford University Press&lt;/publisher&gt;&lt;accession-num&gt;BE_03&lt;/accession-num&gt;&lt;urls&gt;&lt;/urls&gt;&lt;/record&gt;&lt;/Cite&gt;&lt;/EndNote&gt;</w:instrText>
      </w:r>
      <w:r>
        <w:fldChar w:fldCharType="separate"/>
      </w:r>
      <w:r>
        <w:rPr>
          <w:noProof/>
        </w:rPr>
        <w:t>(</w:t>
      </w:r>
      <w:hyperlink w:anchor="_ENREF_12" w:tooltip="Beauchamp, 2001 #743" w:history="1">
        <w:r w:rsidR="00B46ABF">
          <w:rPr>
            <w:noProof/>
          </w:rPr>
          <w:t>Beauchamp &amp; Childress 2001</w:t>
        </w:r>
      </w:hyperlink>
      <w:r>
        <w:rPr>
          <w:noProof/>
        </w:rPr>
        <w:t xml:space="preserve">; </w:t>
      </w:r>
      <w:hyperlink w:anchor="_ENREF_86" w:tooltip="Munson, 2000 #979" w:history="1">
        <w:r w:rsidR="00B46ABF">
          <w:rPr>
            <w:noProof/>
          </w:rPr>
          <w:t>Munson 2000</w:t>
        </w:r>
      </w:hyperlink>
      <w:r>
        <w:rPr>
          <w:noProof/>
        </w:rPr>
        <w:t xml:space="preserve">; </w:t>
      </w:r>
      <w:hyperlink w:anchor="_ENREF_103" w:tooltip="Rogers, 2004 #1013" w:history="1">
        <w:r w:rsidR="00B46ABF">
          <w:rPr>
            <w:noProof/>
          </w:rPr>
          <w:t>Rogers &amp; Braunack-Mayer 2004</w:t>
        </w:r>
      </w:hyperlink>
      <w:r>
        <w:rPr>
          <w:noProof/>
        </w:rPr>
        <w:t>)</w:t>
      </w:r>
      <w:r>
        <w:fldChar w:fldCharType="end"/>
      </w:r>
      <w:r>
        <w:t xml:space="preserve">. The articles included in the assessment all used the four-principles approach. </w:t>
      </w:r>
    </w:p>
    <w:p w14:paraId="52F4A348" w14:textId="7FE33645" w:rsidR="00E96488" w:rsidRPr="00507B29" w:rsidRDefault="004F026A" w:rsidP="004F026A">
      <w:pPr>
        <w:pStyle w:val="Heading4"/>
      </w:pPr>
      <w:r>
        <w:lastRenderedPageBreak/>
        <w:t>F.1.3.1.</w:t>
      </w:r>
      <w:r w:rsidR="00AA6922">
        <w:tab/>
      </w:r>
      <w:r w:rsidR="00E96488">
        <w:t xml:space="preserve">The ‘four-principles approach’ </w:t>
      </w:r>
    </w:p>
    <w:p w14:paraId="0E28DBF9" w14:textId="529E8714" w:rsidR="00E96488" w:rsidRPr="00AD4ECB" w:rsidRDefault="00E96488" w:rsidP="00E96488">
      <w:r>
        <w:t xml:space="preserve">Principlism comprises respect for </w:t>
      </w:r>
      <w:r w:rsidRPr="003C43DC">
        <w:t>autonomy, non</w:t>
      </w:r>
      <w:r>
        <w:t>-</w:t>
      </w:r>
      <w:r w:rsidRPr="003C43DC">
        <w:t>maleficence, beneficence and justice</w:t>
      </w:r>
      <w:r w:rsidR="006A0064">
        <w:t>, which</w:t>
      </w:r>
      <w:r w:rsidR="00907967">
        <w:t xml:space="preserve"> </w:t>
      </w:r>
      <w:r>
        <w:t xml:space="preserve">are used to analyse and </w:t>
      </w:r>
      <w:r w:rsidRPr="00AD4ECB">
        <w:t xml:space="preserve">assess </w:t>
      </w:r>
      <w:r>
        <w:t xml:space="preserve">the </w:t>
      </w:r>
      <w:r w:rsidRPr="00AD4ECB">
        <w:t xml:space="preserve">ethical </w:t>
      </w:r>
      <w:r>
        <w:t>considerations relating to the provision of health care,</w:t>
      </w:r>
      <w:r w:rsidRPr="00AD4ECB">
        <w:t xml:space="preserve"> </w:t>
      </w:r>
      <w:r>
        <w:t xml:space="preserve">including </w:t>
      </w:r>
      <w:r w:rsidRPr="00AD4ECB">
        <w:t>genetic testing</w:t>
      </w:r>
      <w:r>
        <w:t xml:space="preserve"> </w:t>
      </w:r>
      <w:r>
        <w:fldChar w:fldCharType="begin">
          <w:fldData xml:space="preserve">PEVuZE5vdGU+PENpdGU+PEF1dGhvcj5BbmRlcnNlbjwvQXV0aG9yPjxZZWFyPjIwMDU8L1llYXI+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</w:fldData>
        </w:fldChar>
      </w:r>
      <w:r w:rsidR="009A054F">
        <w:instrText xml:space="preserve"> ADDIN EN.CITE </w:instrText>
      </w:r>
      <w:r w:rsidR="009A054F">
        <w:fldChar w:fldCharType="begin">
          <w:fldData xml:space="preserve">PEVuZE5vdGU+PENpdGU+PEF1dGhvcj5BbmRlcnNlbjwvQXV0aG9yPjxZZWFyPjIwMDU8L1llYXI+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</w:fldData>
        </w:fldChar>
      </w:r>
      <w:r w:rsidR="009A054F">
        <w:instrText xml:space="preserve"> ADDIN EN.CITE.DATA </w:instrText>
      </w:r>
      <w:r w:rsidR="009A054F">
        <w:fldChar w:fldCharType="end"/>
      </w:r>
      <w:r>
        <w:fldChar w:fldCharType="separate"/>
      </w:r>
      <w:r>
        <w:rPr>
          <w:noProof/>
        </w:rPr>
        <w:t>(</w:t>
      </w:r>
      <w:hyperlink w:anchor="_ENREF_6" w:tooltip="Andersen, 2005 #721" w:history="1">
        <w:r w:rsidR="00B46ABF">
          <w:rPr>
            <w:noProof/>
          </w:rPr>
          <w:t>Andersen et al. 2005</w:t>
        </w:r>
      </w:hyperlink>
      <w:r>
        <w:rPr>
          <w:noProof/>
        </w:rPr>
        <w:t xml:space="preserve">; </w:t>
      </w:r>
      <w:hyperlink w:anchor="_ENREF_12" w:tooltip="Beauchamp, 2001 #743" w:history="1">
        <w:r w:rsidR="00B46ABF">
          <w:rPr>
            <w:noProof/>
          </w:rPr>
          <w:t>Beauchamp &amp; Childress 2001</w:t>
        </w:r>
      </w:hyperlink>
      <w:r>
        <w:rPr>
          <w:noProof/>
        </w:rPr>
        <w:t xml:space="preserve">; </w:t>
      </w:r>
      <w:hyperlink w:anchor="_ENREF_133" w:tooltip="Winslow, 2005 #1093" w:history="1">
        <w:r w:rsidR="00B46ABF">
          <w:rPr>
            <w:noProof/>
          </w:rPr>
          <w:t>Winslow, Kodner &amp; Dietz 2005</w:t>
        </w:r>
      </w:hyperlink>
      <w:r>
        <w:rPr>
          <w:noProof/>
        </w:rPr>
        <w:t>)</w:t>
      </w:r>
      <w:r>
        <w:fldChar w:fldCharType="end"/>
      </w:r>
      <w:r>
        <w:t>. Each of the principles is briefly described below.</w:t>
      </w:r>
    </w:p>
    <w:p w14:paraId="508B98A0" w14:textId="26B0EAA0" w:rsidR="00E96488" w:rsidRDefault="00E96488" w:rsidP="007A1EC0">
      <w:pPr>
        <w:pStyle w:val="Heading5"/>
      </w:pPr>
      <w:r>
        <w:t xml:space="preserve">Respect for </w:t>
      </w:r>
      <w:r w:rsidR="009635BE">
        <w:t>a</w:t>
      </w:r>
      <w:r>
        <w:t>utonomy</w:t>
      </w:r>
    </w:p>
    <w:p w14:paraId="166B22AC" w14:textId="08AB737E" w:rsidR="00E96488" w:rsidRDefault="00E96488" w:rsidP="00E96488">
      <w:r>
        <w:t>Autonomy refers to self-rule. The principle of respect for autonomy emphasises the importance of personal freedom and choice in personal as well as political life. It is deeply rooted in the Western moral and political tradition. It includes different aspects</w:t>
      </w:r>
      <w:r w:rsidR="00907967">
        <w:t>;</w:t>
      </w:r>
      <w:r>
        <w:t xml:space="preserve"> </w:t>
      </w:r>
      <w:r w:rsidR="00907967">
        <w:t>for example,</w:t>
      </w:r>
      <w:r>
        <w:t xml:space="preserve"> independence, privacy, self-realisation and voluntariness (i.e. freedom from coercion and manipulation) </w:t>
      </w:r>
      <w:r>
        <w:fldChar w:fldCharType="begin"/>
      </w:r>
      <w:r w:rsidR="009A054F">
        <w:instrText xml:space="preserve"> ADDIN EN.CITE &lt;EndNote&gt;&lt;Cite&gt;&lt;Author&gt;Hildt&lt;/Author&gt;&lt;Year&gt;2002&lt;/Year&gt;&lt;RecNum&gt;893&lt;/RecNum&gt;&lt;IDText&gt;65-71&lt;/IDText&gt;&lt;DisplayText&gt;(Hildt 2002)&lt;/DisplayText&gt;&lt;record&gt;&lt;rec-number&gt;893&lt;/rec-number&gt;&lt;foreign-keys&gt;&lt;key app="EN" db-id="parffa0acae2voep5w3vv9rypas2tr522eef" timestamp="1430369619"&gt;893&lt;/key&gt;&lt;/foreign-keys&gt;&lt;ref-type name="Journal Article"&gt;17&lt;/ref-type&gt;&lt;contributors&gt;&lt;authors&gt;&lt;author&gt;Hildt, E.&lt;/author&gt;&lt;/authors&gt;&lt;/contributors&gt;&lt;auth-address&gt;Hildt, E., Institut fur Medizinische Psychologie, Universitat Munchen, Germany.&lt;/auth-address&gt;&lt;titles&gt;&lt;title&gt;Autonomy and freedom of choice in prenatal genetic diagnosis&lt;/title&gt;&lt;secondary-title&gt;Medicine, health care, and philosophy&lt;/secondary-title&gt;&lt;/titles&gt;&lt;periodical&gt;&lt;full-title&gt;Medicine, health care, and philosophy&lt;/full-title&gt;&lt;/periodical&gt;&lt;pages&gt;65-71&lt;/pages&gt;&lt;volume&gt;5&lt;/volume&gt;&lt;number&gt;1&lt;/number&gt;&lt;keywords&gt;&lt;keyword&gt;Analytical Approach&lt;/keyword&gt;&lt;keyword&gt;article&lt;/keyword&gt;&lt;keyword&gt;decision making&lt;/keyword&gt;&lt;keyword&gt;ethics&lt;/keyword&gt;&lt;keyword&gt;freedom&lt;/keyword&gt;&lt;keyword&gt;genetic counseling&lt;/keyword&gt;&lt;keyword&gt;Genetics and Reproduction&lt;/keyword&gt;&lt;keyword&gt;human&lt;/keyword&gt;&lt;keyword&gt;personal autonomy&lt;/keyword&gt;&lt;keyword&gt;prenatal diagnosis&lt;/keyword&gt;&lt;/keywords&gt;&lt;dates&gt;&lt;year&gt;2002&lt;/year&gt;&lt;/dates&gt;&lt;isbn&gt;1386-7423&lt;/isbn&gt;&lt;urls&gt;&lt;related-urls&gt;&lt;url&gt;http://www.embase.com/search/results?subaction=viewrecord&amp;amp;from=export&amp;amp;id=L35667889&lt;/url&gt;&lt;/related-urls&gt;&lt;/urls&gt;&lt;/record&gt;&lt;/Cite&gt;&lt;/EndNote&gt;</w:instrText>
      </w:r>
      <w:r>
        <w:fldChar w:fldCharType="separate"/>
      </w:r>
      <w:r>
        <w:rPr>
          <w:noProof/>
        </w:rPr>
        <w:t>(</w:t>
      </w:r>
      <w:hyperlink w:anchor="_ENREF_49" w:tooltip="Hildt, 2002 #893" w:history="1">
        <w:r w:rsidR="00B46ABF">
          <w:rPr>
            <w:noProof/>
          </w:rPr>
          <w:t>Hildt 2002</w:t>
        </w:r>
      </w:hyperlink>
      <w:r>
        <w:rPr>
          <w:noProof/>
        </w:rPr>
        <w:t>)</w:t>
      </w:r>
      <w:r>
        <w:fldChar w:fldCharType="end"/>
      </w:r>
      <w:r>
        <w:t>. Autonomy requires two things: agency</w:t>
      </w:r>
      <w:r w:rsidR="00907967">
        <w:t>—</w:t>
      </w:r>
      <w:r>
        <w:t>the capacity for intentional action</w:t>
      </w:r>
      <w:r w:rsidR="00907967">
        <w:t xml:space="preserve">; </w:t>
      </w:r>
      <w:r>
        <w:t>and liberty</w:t>
      </w:r>
      <w:r w:rsidR="00907967">
        <w:t>—</w:t>
      </w:r>
      <w:r>
        <w:t>the absence of constraints imposed by others that prevent or impede one’s intentional choices and actions</w:t>
      </w:r>
      <w:r w:rsidRPr="00AD4ECB">
        <w:t xml:space="preserve"> </w:t>
      </w:r>
      <w:r>
        <w:fldChar w:fldCharType="begin">
          <w:fldData xml:space="preserve">PEVuZE5vdGU+PENpdGU+PEF1dGhvcj5CZWF1Y2hhbXA8L0F1dGhvcj48WWVhcj4yMDAxPC9ZZWFy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</w:fldData>
        </w:fldChar>
      </w:r>
      <w:r w:rsidR="009A054F">
        <w:instrText xml:space="preserve"> ADDIN EN.CITE </w:instrText>
      </w:r>
      <w:r w:rsidR="009A054F">
        <w:fldChar w:fldCharType="begin">
          <w:fldData xml:space="preserve">PEVuZE5vdGU+PENpdGU+PEF1dGhvcj5CZWF1Y2hhbXA8L0F1dGhvcj48WWVhcj4yMDAxPC9ZZWFy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</w:fldData>
        </w:fldChar>
      </w:r>
      <w:r w:rsidR="009A054F">
        <w:instrText xml:space="preserve"> ADDIN EN.CITE.DATA </w:instrText>
      </w:r>
      <w:r w:rsidR="009A054F">
        <w:fldChar w:fldCharType="end"/>
      </w:r>
      <w:r>
        <w:fldChar w:fldCharType="separate"/>
      </w:r>
      <w:r>
        <w:rPr>
          <w:noProof/>
        </w:rPr>
        <w:t>(</w:t>
      </w:r>
      <w:hyperlink w:anchor="_ENREF_12" w:tooltip="Beauchamp, 2001 #743" w:history="1">
        <w:r w:rsidR="00B46ABF">
          <w:rPr>
            <w:noProof/>
          </w:rPr>
          <w:t>Beauchamp &amp; Childress 2001</w:t>
        </w:r>
      </w:hyperlink>
      <w:r>
        <w:rPr>
          <w:noProof/>
        </w:rPr>
        <w:t xml:space="preserve">; </w:t>
      </w:r>
      <w:hyperlink w:anchor="_ENREF_49" w:tooltip="Hildt, 2002 #893" w:history="1">
        <w:r w:rsidR="00B46ABF">
          <w:rPr>
            <w:noProof/>
          </w:rPr>
          <w:t>Hildt 2002</w:t>
        </w:r>
      </w:hyperlink>
      <w:r>
        <w:rPr>
          <w:noProof/>
        </w:rPr>
        <w:t xml:space="preserve">; </w:t>
      </w:r>
      <w:hyperlink w:anchor="_ENREF_133" w:tooltip="Winslow, 2005 #1093" w:history="1">
        <w:r w:rsidR="00B46ABF">
          <w:rPr>
            <w:noProof/>
          </w:rPr>
          <w:t>Winslow, Kodner &amp; Dietz 2005</w:t>
        </w:r>
      </w:hyperlink>
      <w:r>
        <w:rPr>
          <w:noProof/>
        </w:rPr>
        <w:t>)</w:t>
      </w:r>
      <w:r>
        <w:fldChar w:fldCharType="end"/>
      </w:r>
      <w:r>
        <w:t>. The principle of respect for autonomy underpins the widely acknowledged ethical requirement that, as a rule with limited exceptions, medical treatment should proceed only with the ‘informed consent’ of the patient.</w:t>
      </w:r>
    </w:p>
    <w:p w14:paraId="271DCD38" w14:textId="56F240BF" w:rsidR="00E96488" w:rsidRDefault="00E96488" w:rsidP="00E96488">
      <w:r>
        <w:t xml:space="preserve">In the case of prenatal genetic testing, the principle of respect for autonomy commends that the pregnant patient or couple should be able to make their own informed decisions regarding whether testing and TOP occur. However, the availability of testing may itself negatively impact on </w:t>
      </w:r>
      <w:r w:rsidR="00907967">
        <w:t xml:space="preserve">the </w:t>
      </w:r>
      <w:r>
        <w:t xml:space="preserve">people involved, since the pregnant patient or couple can thus be assigned the major share of responsibility for health outcomes </w:t>
      </w:r>
      <w:r>
        <w:fldChar w:fldCharType="begin"/>
      </w:r>
      <w:r w:rsidR="009A054F">
        <w:instrText xml:space="preserve"> ADDIN EN.CITE &lt;EndNote&gt;&lt;Cite&gt;&lt;Author&gt;Schmitz&lt;/Author&gt;&lt;Year&gt;2013&lt;/Year&gt;&lt;RecNum&gt;687&lt;/RecNum&gt;&lt;IDText&gt;357-364&lt;/IDText&gt;&lt;DisplayText&gt;(Schmitz 2013)&lt;/DisplayText&gt;&lt;record&gt;&lt;rec-number&gt;687&lt;/rec-number&gt;&lt;foreign-keys&gt;&lt;key app="EN" db-id="parffa0acae2voep5w3vv9rypas2tr522eef" timestamp="1430369503"&gt;687&lt;/key&gt;&lt;/foreign-keys&gt;&lt;ref-type name="Journal Article"&gt;17&lt;/ref-type&gt;&lt;contributors&gt;&lt;authors&gt;&lt;author&gt;Schmitz, D.&lt;/author&gt;&lt;/authors&gt;&lt;/contributors&gt;&lt;titles&gt;&lt;title&gt;A new era in prenatal testing: are we prepared?&lt;/title&gt;&lt;secondary-title&gt;Medicine Health Care and Philosophy&lt;/secondary-title&gt;&lt;/titles&gt;&lt;periodical&gt;&lt;full-title&gt;Medicine Health Care and Philosophy&lt;/full-title&gt;&lt;/periodical&gt;&lt;pages&gt;357-364&lt;/pages&gt;&lt;volume&gt;16&lt;/volume&gt;&lt;number&gt;3&lt;/number&gt;&lt;dates&gt;&lt;year&gt;2013&lt;/year&gt;&lt;pub-dates&gt;&lt;date&gt;Aug&lt;/date&gt;&lt;/pub-dates&gt;&lt;/dates&gt;&lt;isbn&gt;1386-7423&lt;/isbn&gt;&lt;accession-num&gt;CCC:000321128900005&lt;/accession-num&gt;&lt;urls&gt;&lt;related-urls&gt;&lt;url&gt;&amp;lt;Go to ISI&amp;gt;://CCC:000321128900005&lt;/url&gt;&lt;url&gt;http://download.springer.com/static/pdf/516/art%253A10.1007%252Fs11019-012-9411-y.pdf?auth66=1421978748_34b8c0b0353754375850e322543d7a0d&amp;amp;ext=.pdf&lt;/url&gt;&lt;/related-urls&gt;&lt;/urls&gt;&lt;/record&gt;&lt;/Cite&gt;&lt;/EndNote&gt;</w:instrText>
      </w:r>
      <w:r>
        <w:fldChar w:fldCharType="separate"/>
      </w:r>
      <w:r>
        <w:rPr>
          <w:noProof/>
        </w:rPr>
        <w:t>(</w:t>
      </w:r>
      <w:hyperlink w:anchor="_ENREF_109" w:tooltip="Schmitz, 2013 #687" w:history="1">
        <w:r w:rsidR="00B46ABF">
          <w:rPr>
            <w:noProof/>
          </w:rPr>
          <w:t>Schmitz 2013</w:t>
        </w:r>
      </w:hyperlink>
      <w:r>
        <w:rPr>
          <w:noProof/>
        </w:rPr>
        <w:t>)</w:t>
      </w:r>
      <w:r>
        <w:fldChar w:fldCharType="end"/>
      </w:r>
      <w:r>
        <w:t xml:space="preserve">. External social influences play a significant role here, since the availability of testing and TOP may result in a reduction in social support for people having ‘avoidable’ disabilities caused by genetic mutations. The feeling may emerge that parents of an affected child are responsible for the disease suffered by the child and have to face the consequences </w:t>
      </w:r>
      <w:r w:rsidR="00907967">
        <w:t>(</w:t>
      </w:r>
      <w:r>
        <w:t>e.g. without the support of public funds</w:t>
      </w:r>
      <w:r w:rsidR="00907967">
        <w:t>)</w:t>
      </w:r>
      <w:r>
        <w:t>.</w:t>
      </w:r>
      <w:r w:rsidR="00DF5916">
        <w:t xml:space="preserve"> </w:t>
      </w:r>
      <w:r>
        <w:t xml:space="preserve">The importance of the principle of respect for autonomy, together with the tendency of society to moralise in terms of individual responsibility, could result in genetic testing being increasingly promoted and used </w:t>
      </w:r>
      <w:r>
        <w:fldChar w:fldCharType="begin"/>
      </w:r>
      <w:r w:rsidR="009A054F">
        <w:instrText xml:space="preserve"> ADDIN EN.CITE &lt;EndNote&gt;&lt;Cite&gt;&lt;Author&gt;Hildt&lt;/Author&gt;&lt;Year&gt;2002&lt;/Year&gt;&lt;RecNum&gt;893&lt;/RecNum&gt;&lt;IDText&gt;65-71&lt;/IDText&gt;&lt;DisplayText&gt;(Hildt 2002)&lt;/DisplayText&gt;&lt;record&gt;&lt;rec-number&gt;893&lt;/rec-number&gt;&lt;foreign-keys&gt;&lt;key app="EN" db-id="parffa0acae2voep5w3vv9rypas2tr522eef" timestamp="1430369619"&gt;893&lt;/key&gt;&lt;/foreign-keys&gt;&lt;ref-type name="Journal Article"&gt;17&lt;/ref-type&gt;&lt;contributors&gt;&lt;authors&gt;&lt;author&gt;Hildt, E.&lt;/author&gt;&lt;/authors&gt;&lt;/contributors&gt;&lt;auth-address&gt;Hildt, E., Institut fur Medizinische Psychologie, Universitat Munchen, Germany.&lt;/auth-address&gt;&lt;titles&gt;&lt;title&gt;Autonomy and freedom of choice in prenatal genetic diagnosis&lt;/title&gt;&lt;secondary-title&gt;Medicine, health care, and philosophy&lt;/secondary-title&gt;&lt;/titles&gt;&lt;periodical&gt;&lt;full-title&gt;Medicine, health care, and philosophy&lt;/full-title&gt;&lt;/periodical&gt;&lt;pages&gt;65-71&lt;/pages&gt;&lt;volume&gt;5&lt;/volume&gt;&lt;number&gt;1&lt;/number&gt;&lt;keywords&gt;&lt;keyword&gt;Analytical Approach&lt;/keyword&gt;&lt;keyword&gt;article&lt;/keyword&gt;&lt;keyword&gt;decision making&lt;/keyword&gt;&lt;keyword&gt;ethics&lt;/keyword&gt;&lt;keyword&gt;freedom&lt;/keyword&gt;&lt;keyword&gt;genetic counseling&lt;/keyword&gt;&lt;keyword&gt;Genetics and Reproduction&lt;/keyword&gt;&lt;keyword&gt;human&lt;/keyword&gt;&lt;keyword&gt;personal autonomy&lt;/keyword&gt;&lt;keyword&gt;prenatal diagnosis&lt;/keyword&gt;&lt;/keywords&gt;&lt;dates&gt;&lt;year&gt;2002&lt;/year&gt;&lt;/dates&gt;&lt;isbn&gt;1386-7423&lt;/isbn&gt;&lt;urls&gt;&lt;related-urls&gt;&lt;url&gt;http://www.embase.com/search/results?subaction=viewrecord&amp;amp;from=export&amp;amp;id=L35667889&lt;/url&gt;&lt;/related-urls&gt;&lt;/urls&gt;&lt;/record&gt;&lt;/Cite&gt;&lt;/EndNote&gt;</w:instrText>
      </w:r>
      <w:r>
        <w:fldChar w:fldCharType="separate"/>
      </w:r>
      <w:r>
        <w:rPr>
          <w:noProof/>
        </w:rPr>
        <w:t>(</w:t>
      </w:r>
      <w:hyperlink w:anchor="_ENREF_49" w:tooltip="Hildt, 2002 #893" w:history="1">
        <w:r w:rsidR="00B46ABF">
          <w:rPr>
            <w:noProof/>
          </w:rPr>
          <w:t>Hildt 2002</w:t>
        </w:r>
      </w:hyperlink>
      <w:r>
        <w:rPr>
          <w:noProof/>
        </w:rPr>
        <w:t>)</w:t>
      </w:r>
      <w:r>
        <w:fldChar w:fldCharType="end"/>
      </w:r>
      <w:r>
        <w:t>, with blame being cast on those who choose not to utilise available technologies.</w:t>
      </w:r>
    </w:p>
    <w:p w14:paraId="3D56A1AE" w14:textId="26AAC212" w:rsidR="00E96488" w:rsidRDefault="00E96488" w:rsidP="007A1EC0">
      <w:pPr>
        <w:pStyle w:val="Heading5"/>
      </w:pPr>
      <w:r>
        <w:t>Non-</w:t>
      </w:r>
      <w:r w:rsidR="009635BE">
        <w:t>m</w:t>
      </w:r>
      <w:r>
        <w:t>aleficence</w:t>
      </w:r>
    </w:p>
    <w:p w14:paraId="3F855CDD" w14:textId="603321BC" w:rsidR="00E96488" w:rsidRPr="00AD4ECB" w:rsidRDefault="00E96488" w:rsidP="00E96488">
      <w:r w:rsidRPr="00AD4ECB">
        <w:t>Non</w:t>
      </w:r>
      <w:r>
        <w:t>-</w:t>
      </w:r>
      <w:r w:rsidRPr="00AD4ECB">
        <w:t>maleficence refers to not inflicting harm or injury to others</w:t>
      </w:r>
      <w:r>
        <w:t>,</w:t>
      </w:r>
      <w:r w:rsidRPr="00AD4ECB">
        <w:t xml:space="preserve"> and is associated with the dictum </w:t>
      </w:r>
      <w:r w:rsidRPr="0059107E">
        <w:rPr>
          <w:i/>
        </w:rPr>
        <w:t>Primum non nocere</w:t>
      </w:r>
      <w:r w:rsidRPr="00AD4ECB">
        <w:t xml:space="preserve">: </w:t>
      </w:r>
      <w:r>
        <w:t>‘</w:t>
      </w:r>
      <w:r w:rsidRPr="00AD4ECB">
        <w:t>Above all</w:t>
      </w:r>
      <w:r>
        <w:t>,</w:t>
      </w:r>
      <w:r w:rsidRPr="00AD4ECB">
        <w:t xml:space="preserve"> (first) do no harm</w:t>
      </w:r>
      <w:r>
        <w:t>’</w:t>
      </w:r>
      <w:r w:rsidRPr="00AD4ECB">
        <w:t xml:space="preserve">. The principle also finds expression in the modern Hippocratic oath: </w:t>
      </w:r>
      <w:r>
        <w:t>‘</w:t>
      </w:r>
      <w:r w:rsidRPr="00AD4ECB">
        <w:t>I will use treatment to help the sick according to my ability and judg</w:t>
      </w:r>
      <w:r>
        <w:t>e</w:t>
      </w:r>
      <w:r w:rsidRPr="00AD4ECB">
        <w:t xml:space="preserve">ment, </w:t>
      </w:r>
      <w:r w:rsidRPr="00462E01">
        <w:rPr>
          <w:i/>
        </w:rPr>
        <w:t>but I will never use it to injure or wrong them</w:t>
      </w:r>
      <w:r>
        <w:t>’</w:t>
      </w:r>
      <w:r w:rsidRPr="00AD4ECB">
        <w:t>. In clinical practice the principle of non</w:t>
      </w:r>
      <w:r>
        <w:t>-</w:t>
      </w:r>
      <w:r w:rsidRPr="00AD4ECB">
        <w:t xml:space="preserve">maleficence is often combined with, and sometimes balanced against, the principle of beneficence, a version of which is expressed in the first half of the above Hippocratic </w:t>
      </w:r>
      <w:r>
        <w:t>oath</w:t>
      </w:r>
      <w:r w:rsidRPr="00AD4ECB">
        <w:t xml:space="preserve"> </w:t>
      </w:r>
      <w:r>
        <w:fldChar w:fldCharType="begin">
          <w:fldData xml:space="preserve">PEVuZE5vdGU+PENpdGU+PEF1dGhvcj5CZWF1Y2hhbXA8L0F1dGhvcj48WWVhcj4yMDAxPC9ZZWFy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</w:fldData>
        </w:fldChar>
      </w:r>
      <w:r w:rsidR="009A054F">
        <w:instrText xml:space="preserve"> ADDIN EN.CITE </w:instrText>
      </w:r>
      <w:r w:rsidR="009A054F">
        <w:fldChar w:fldCharType="begin">
          <w:fldData xml:space="preserve">PEVuZE5vdGU+PENpdGU+PEF1dGhvcj5CZWF1Y2hhbXA8L0F1dGhvcj48WWVhcj4yMDAxPC9ZZWFy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</w:fldData>
        </w:fldChar>
      </w:r>
      <w:r w:rsidR="009A054F">
        <w:instrText xml:space="preserve"> ADDIN EN.CITE.DATA </w:instrText>
      </w:r>
      <w:r w:rsidR="009A054F">
        <w:fldChar w:fldCharType="end"/>
      </w:r>
      <w:r>
        <w:fldChar w:fldCharType="separate"/>
      </w:r>
      <w:r>
        <w:rPr>
          <w:noProof/>
        </w:rPr>
        <w:t>(</w:t>
      </w:r>
      <w:hyperlink w:anchor="_ENREF_12" w:tooltip="Beauchamp, 2001 #743" w:history="1">
        <w:r w:rsidR="00B46ABF">
          <w:rPr>
            <w:noProof/>
          </w:rPr>
          <w:t>Beauchamp &amp; Childress 2001</w:t>
        </w:r>
      </w:hyperlink>
      <w:r>
        <w:rPr>
          <w:noProof/>
        </w:rPr>
        <w:t xml:space="preserve">; </w:t>
      </w:r>
      <w:hyperlink w:anchor="_ENREF_44" w:tooltip="Giarelli, 2001 #869" w:history="1">
        <w:r w:rsidR="00B46ABF">
          <w:rPr>
            <w:noProof/>
          </w:rPr>
          <w:t>Giarelli 2001</w:t>
        </w:r>
      </w:hyperlink>
      <w:r>
        <w:rPr>
          <w:noProof/>
        </w:rPr>
        <w:t>)</w:t>
      </w:r>
      <w:r>
        <w:fldChar w:fldCharType="end"/>
      </w:r>
      <w:r>
        <w:t xml:space="preserve">. </w:t>
      </w:r>
      <w:r w:rsidRPr="00AD4ECB">
        <w:t>For instance, even the best diagnostic tests and treatments can carry certain risks of harm</w:t>
      </w:r>
      <w:r>
        <w:t xml:space="preserve"> (e.g. amniocentesis),</w:t>
      </w:r>
      <w:r w:rsidRPr="00AD4ECB">
        <w:t xml:space="preserve"> and it is practically impossible for medical professionals to act without ever causing harm</w:t>
      </w:r>
      <w:r w:rsidR="00907967">
        <w:t>—c</w:t>
      </w:r>
      <w:r>
        <w:t xml:space="preserve">ausing some harm might be worthwhile in the light of greater potential benefits. </w:t>
      </w:r>
      <w:r w:rsidRPr="00AD4ECB">
        <w:lastRenderedPageBreak/>
        <w:t>Hence</w:t>
      </w:r>
      <w:r>
        <w:t>,</w:t>
      </w:r>
      <w:r w:rsidRPr="00AD4ECB">
        <w:t xml:space="preserve"> the avoidance of </w:t>
      </w:r>
      <w:r w:rsidRPr="00462E01">
        <w:rPr>
          <w:i/>
        </w:rPr>
        <w:t>unwarranted</w:t>
      </w:r>
      <w:r w:rsidRPr="00AD4ECB">
        <w:t xml:space="preserve"> or </w:t>
      </w:r>
      <w:r w:rsidRPr="00462E01">
        <w:rPr>
          <w:i/>
        </w:rPr>
        <w:t>unnecessary</w:t>
      </w:r>
      <w:r w:rsidRPr="00AD4ECB">
        <w:t xml:space="preserve"> harm, even if </w:t>
      </w:r>
      <w:r>
        <w:t xml:space="preserve">that harm is </w:t>
      </w:r>
      <w:r w:rsidRPr="00AD4ECB">
        <w:t>unintentional, is paramount to the non</w:t>
      </w:r>
      <w:r>
        <w:t>-</w:t>
      </w:r>
      <w:r w:rsidRPr="00AD4ECB">
        <w:t xml:space="preserve">maleficent conduct of health professionals. </w:t>
      </w:r>
    </w:p>
    <w:p w14:paraId="7A485D27" w14:textId="77777777" w:rsidR="00E96488" w:rsidRDefault="00E96488" w:rsidP="007A1EC0">
      <w:pPr>
        <w:pStyle w:val="Heading5"/>
      </w:pPr>
      <w:r>
        <w:t>Beneficence</w:t>
      </w:r>
    </w:p>
    <w:p w14:paraId="452A9D53" w14:textId="5AFD2156" w:rsidR="00E96488" w:rsidRPr="00AD4ECB" w:rsidRDefault="00E96488" w:rsidP="00E96488">
      <w:r w:rsidRPr="00AD4ECB">
        <w:t>The principle of beneficence asserts that it is not enough to respect the autonomy of patients and to avoid causing them harm</w:t>
      </w:r>
      <w:r>
        <w:t>;</w:t>
      </w:r>
      <w:r w:rsidRPr="00AD4ECB">
        <w:t xml:space="preserve"> clinicians and providers of health services should </w:t>
      </w:r>
      <w:r>
        <w:t xml:space="preserve">also </w:t>
      </w:r>
      <w:r w:rsidRPr="00AD4ECB">
        <w:t xml:space="preserve">act in ways that actively promote the welfare </w:t>
      </w:r>
      <w:r>
        <w:t xml:space="preserve">or best interests </w:t>
      </w:r>
      <w:r w:rsidRPr="00AD4ECB">
        <w:t xml:space="preserve">of patients </w:t>
      </w:r>
      <w:r>
        <w:fldChar w:fldCharType="begin"/>
      </w:r>
      <w:r w:rsidR="009A054F">
        <w:instrText xml:space="preserve"> ADDIN EN.CITE &lt;EndNote&gt;&lt;Cite&gt;&lt;Author&gt;Kinder&lt;/Author&gt;&lt;Year&gt;1998&lt;/Year&gt;&lt;RecNum&gt;922&lt;/RecNum&gt;&lt;IDText&gt;1208-11&lt;/IDText&gt;&lt;DisplayText&gt;(Kinder 1998)&lt;/DisplayText&gt;&lt;record&gt;&lt;rec-number&gt;922&lt;/rec-number&gt;&lt;foreign-keys&gt;&lt;key app="EN" db-id="parffa0acae2voep5w3vv9rypas2tr522eef" timestamp="1430369626"&gt;922&lt;/key&gt;&lt;/foreign-keys&gt;&lt;ref-type name="Journal Article"&gt;17&lt;/ref-type&gt;&lt;contributors&gt;&lt;authors&gt;&lt;author&gt;Kinder, B. K.&lt;/author&gt;&lt;/authors&gt;&lt;/contributors&gt;&lt;auth-address&gt;Department of Surgery, Yale University School of Medicine, New Haven, Connecticut 06510, USA.&lt;/auth-address&gt;&lt;titles&gt;&lt;title&gt;Genetic and biochemical screening for endocrine disease: II. Ethical issues&lt;/title&gt;&lt;secondary-title&gt;World J Surg&lt;/secondary-title&gt;&lt;/titles&gt;&lt;periodical&gt;&lt;full-title&gt;World J Surg&lt;/full-title&gt;&lt;/periodical&gt;&lt;pages&gt;1208-11&lt;/pages&gt;&lt;volume&gt;22&lt;/volume&gt;&lt;number&gt;12&lt;/number&gt;&lt;edition&gt;1998/12/05&lt;/edition&gt;&lt;keywords&gt;&lt;keyword&gt;Anonymous Testing&lt;/keyword&gt;&lt;keyword&gt;Beneficence&lt;/keyword&gt;&lt;keyword&gt;Confidentiality&lt;/keyword&gt;&lt;keyword&gt;Endocrine System Diseases/ diagnosis/genetics&lt;/keyword&gt;&lt;keyword&gt;Ethics, Medical&lt;/keyword&gt;&lt;keyword&gt;Genetic Diseases, Inborn&lt;/keyword&gt;&lt;keyword&gt;Genetic Predisposition to Disease&lt;/keyword&gt;&lt;keyword&gt;Genetic Testing/legislation &amp;amp; jurisprudence&lt;/keyword&gt;&lt;keyword&gt;Humans&lt;/keyword&gt;&lt;keyword&gt;Insurance, Health&lt;/keyword&gt;&lt;keyword&gt;Paternalism&lt;/keyword&gt;&lt;keyword&gt;Personal Autonomy&lt;/keyword&gt;&lt;keyword&gt;Physician-Patient Relations&lt;/keyword&gt;&lt;keyword&gt;Trust&lt;/keyword&gt;&lt;/keywords&gt;&lt;dates&gt;&lt;year&gt;1998&lt;/year&gt;&lt;pub-dates&gt;&lt;date&gt;Dec&lt;/date&gt;&lt;/pub-dates&gt;&lt;/dates&gt;&lt;isbn&gt;0364-2313 (Print)&amp;#xD;0364-2313 (Linking)&lt;/isbn&gt;&lt;accession-num&gt;9841745&lt;/accession-num&gt;&lt;urls&gt;&lt;/urls&gt;&lt;remote-database-provider&gt;Nlm&lt;/remote-database-provider&gt;&lt;language&gt;eng&lt;/language&gt;&lt;/record&gt;&lt;/Cite&gt;&lt;/EndNote&gt;</w:instrText>
      </w:r>
      <w:r>
        <w:fldChar w:fldCharType="separate"/>
      </w:r>
      <w:r>
        <w:rPr>
          <w:noProof/>
        </w:rPr>
        <w:t>(</w:t>
      </w:r>
      <w:hyperlink w:anchor="_ENREF_61" w:tooltip="Kinder, 1998 #922" w:history="1">
        <w:r w:rsidR="00B46ABF">
          <w:rPr>
            <w:noProof/>
          </w:rPr>
          <w:t>Kinder 1998</w:t>
        </w:r>
      </w:hyperlink>
      <w:r>
        <w:rPr>
          <w:noProof/>
        </w:rPr>
        <w:t>)</w:t>
      </w:r>
      <w:r>
        <w:fldChar w:fldCharType="end"/>
      </w:r>
      <w:r w:rsidRPr="00AD4ECB">
        <w:t xml:space="preserve">. Just as there are standards of due care that define appropriate conduct in the protection of patients from harm, so too are there standards of beneficence. For example, an obvious expectation in medical care is the physician’s duty to </w:t>
      </w:r>
      <w:r>
        <w:t>improve the health of</w:t>
      </w:r>
      <w:r w:rsidRPr="00AD4ECB">
        <w:t xml:space="preserve"> patients by providing appropriate treatment. </w:t>
      </w:r>
    </w:p>
    <w:p w14:paraId="0EE2523F" w14:textId="77777777" w:rsidR="00E96488" w:rsidRDefault="00E96488" w:rsidP="007A1EC0">
      <w:pPr>
        <w:pStyle w:val="Heading5"/>
      </w:pPr>
      <w:r>
        <w:t>Justice</w:t>
      </w:r>
    </w:p>
    <w:p w14:paraId="1B79ED3E" w14:textId="6B47C9FB" w:rsidR="00E96488" w:rsidRDefault="00E96488" w:rsidP="00E96488">
      <w:r w:rsidRPr="00AD4ECB">
        <w:t xml:space="preserve">Justice refers to </w:t>
      </w:r>
      <w:r>
        <w:t xml:space="preserve">giving people what they are owed, </w:t>
      </w:r>
      <w:r w:rsidR="00684781">
        <w:t>for example</w:t>
      </w:r>
      <w:r>
        <w:t xml:space="preserve"> honesty</w:t>
      </w:r>
      <w:r w:rsidR="00684781">
        <w:t>,</w:t>
      </w:r>
      <w:r>
        <w:t xml:space="preserve"> courtesy and a fair share in the available resources</w:t>
      </w:r>
      <w:r w:rsidRPr="00AD4ECB">
        <w:t xml:space="preserve">. </w:t>
      </w:r>
      <w:r w:rsidR="006A0064">
        <w:t>In the present context</w:t>
      </w:r>
      <w:r w:rsidRPr="00AD4ECB">
        <w:t xml:space="preserve"> the principle of justice finds expression in the belief </w:t>
      </w:r>
      <w:r>
        <w:t xml:space="preserve">that </w:t>
      </w:r>
      <w:r w:rsidRPr="00271397">
        <w:t>everyone deserves equal access to advances in medicine</w:t>
      </w:r>
      <w:r w:rsidRPr="00AD4ECB">
        <w:t>. Different theories of justice focus on conditions of entitlement</w:t>
      </w:r>
      <w:r w:rsidR="00684781">
        <w:t>;</w:t>
      </w:r>
      <w:r w:rsidRPr="00AD4ECB">
        <w:t xml:space="preserve"> fair and equal treatment</w:t>
      </w:r>
      <w:r w:rsidR="00684781">
        <w:t>;</w:t>
      </w:r>
      <w:r w:rsidRPr="00AD4ECB">
        <w:t xml:space="preserve"> and </w:t>
      </w:r>
      <w:r>
        <w:t>how t</w:t>
      </w:r>
      <w:r w:rsidRPr="00AD4ECB">
        <w:t>he distribution of social goods such as health</w:t>
      </w:r>
      <w:r w:rsidR="00684781">
        <w:t xml:space="preserve"> </w:t>
      </w:r>
      <w:r w:rsidRPr="00AD4ECB">
        <w:t xml:space="preserve">care </w:t>
      </w:r>
      <w:r>
        <w:t xml:space="preserve">ought to </w:t>
      </w:r>
      <w:r w:rsidRPr="00AD4ECB">
        <w:t xml:space="preserve">occur on the basis of </w:t>
      </w:r>
      <w:r>
        <w:t xml:space="preserve">morally </w:t>
      </w:r>
      <w:r w:rsidRPr="00AD4ECB">
        <w:t>relevant factors</w:t>
      </w:r>
      <w:r>
        <w:t xml:space="preserve"> such as a person’s</w:t>
      </w:r>
      <w:r w:rsidRPr="00AD4ECB">
        <w:t xml:space="preserve"> degree of need, capacit</w:t>
      </w:r>
      <w:r>
        <w:t>y</w:t>
      </w:r>
      <w:r w:rsidRPr="00AD4ECB">
        <w:t xml:space="preserve"> to benefit and/or particular rights. Distributive justice concerns how resources are distributed, to whom and for what reasons. </w:t>
      </w:r>
      <w:r>
        <w:t>F</w:t>
      </w:r>
      <w:r w:rsidRPr="00AD4ECB">
        <w:t>or instance</w:t>
      </w:r>
      <w:r>
        <w:t>,</w:t>
      </w:r>
      <w:r w:rsidRPr="00AD4ECB">
        <w:t xml:space="preserve"> </w:t>
      </w:r>
      <w:r>
        <w:t>d</w:t>
      </w:r>
      <w:r w:rsidRPr="00AD4ECB">
        <w:t>ifficult choices are sometimes made between greatly benefiting the few (</w:t>
      </w:r>
      <w:r>
        <w:t xml:space="preserve">e.g. </w:t>
      </w:r>
      <w:r w:rsidRPr="00AD4ECB">
        <w:t xml:space="preserve">those with rare diseases) and benefiting to a lesser degree the many </w:t>
      </w:r>
      <w:r>
        <w:fldChar w:fldCharType="begin">
          <w:fldData xml:space="preserve">PEVuZE5vdGU+PENpdGU+PEF1dGhvcj5HaWFyZWxsaTwvQXV0aG9yPjxZZWFyPjIwMDE8L1llYXI+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</w:fldData>
        </w:fldChar>
      </w:r>
      <w:r w:rsidR="009A054F">
        <w:instrText xml:space="preserve"> ADDIN EN.CITE </w:instrText>
      </w:r>
      <w:r w:rsidR="009A054F">
        <w:fldChar w:fldCharType="begin">
          <w:fldData xml:space="preserve">PEVuZE5vdGU+PENpdGU+PEF1dGhvcj5HaWFyZWxsaTwvQXV0aG9yPjxZZWFyPjIwMDE8L1llYXI+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</w:fldData>
        </w:fldChar>
      </w:r>
      <w:r w:rsidR="009A054F">
        <w:instrText xml:space="preserve"> ADDIN EN.CITE.DATA </w:instrText>
      </w:r>
      <w:r w:rsidR="009A054F">
        <w:fldChar w:fldCharType="end"/>
      </w:r>
      <w:r>
        <w:fldChar w:fldCharType="separate"/>
      </w:r>
      <w:r>
        <w:rPr>
          <w:noProof/>
        </w:rPr>
        <w:t>(</w:t>
      </w:r>
      <w:hyperlink w:anchor="_ENREF_44" w:tooltip="Giarelli, 2001 #869" w:history="1">
        <w:r w:rsidR="00B46ABF">
          <w:rPr>
            <w:noProof/>
          </w:rPr>
          <w:t>Giarelli 2001</w:t>
        </w:r>
      </w:hyperlink>
      <w:r>
        <w:rPr>
          <w:noProof/>
        </w:rPr>
        <w:t xml:space="preserve">; </w:t>
      </w:r>
      <w:hyperlink w:anchor="_ENREF_133" w:tooltip="Winslow, 2005 #1093" w:history="1">
        <w:r w:rsidR="00B46ABF">
          <w:rPr>
            <w:noProof/>
          </w:rPr>
          <w:t>Winslow, Kodner &amp; Dietz 2005</w:t>
        </w:r>
      </w:hyperlink>
      <w:r>
        <w:rPr>
          <w:noProof/>
        </w:rPr>
        <w:t>)</w:t>
      </w:r>
      <w:r>
        <w:fldChar w:fldCharType="end"/>
      </w:r>
      <w:r w:rsidR="00AE313A">
        <w:t>;</w:t>
      </w:r>
      <w:r w:rsidR="00DF5916">
        <w:t xml:space="preserve"> </w:t>
      </w:r>
      <w:r w:rsidR="00AE313A">
        <w:t>and</w:t>
      </w:r>
      <w:r>
        <w:t xml:space="preserve"> </w:t>
      </w:r>
      <w:r w:rsidR="006A0064">
        <w:t xml:space="preserve">are </w:t>
      </w:r>
      <w:r>
        <w:t>also made concerning the degree to which benefits going to the worst off may be more important to secure.</w:t>
      </w:r>
    </w:p>
    <w:p w14:paraId="2F8F1966" w14:textId="3C1C98F2" w:rsidR="00E96488" w:rsidRDefault="007A1EC0" w:rsidP="00E96488">
      <w:pPr>
        <w:pStyle w:val="Heading3"/>
      </w:pPr>
      <w:bookmarkStart w:id="469" w:name="_Toc418179948"/>
      <w:r>
        <w:t>F.1.4.</w:t>
      </w:r>
      <w:r w:rsidR="00AA6922">
        <w:tab/>
      </w:r>
      <w:r w:rsidR="00AA6922">
        <w:tab/>
      </w:r>
      <w:r w:rsidR="00E96488">
        <w:t>Ethical issues specific to prenatal testing</w:t>
      </w:r>
      <w:bookmarkEnd w:id="469"/>
      <w:r w:rsidR="00E96488">
        <w:t xml:space="preserve"> </w:t>
      </w:r>
    </w:p>
    <w:p w14:paraId="1FCE2889" w14:textId="32746D40" w:rsidR="00E96488" w:rsidRDefault="00E96488" w:rsidP="00A26CF4">
      <w:bookmarkStart w:id="470" w:name="_Ref303341101"/>
      <w:bookmarkStart w:id="471" w:name="_Toc303860776"/>
      <w:bookmarkStart w:id="472" w:name="_Toc305162610"/>
      <w:bookmarkStart w:id="473" w:name="_Toc355771974"/>
      <w:r>
        <w:t>Provisional questions</w:t>
      </w:r>
      <w:r w:rsidRPr="0078371E">
        <w:t xml:space="preserve"> such as those proposed by </w:t>
      </w:r>
      <w:r w:rsidRPr="00AB744C">
        <w:t>Hoffmann (2005)</w:t>
      </w:r>
      <w:r w:rsidRPr="0078371E">
        <w:t xml:space="preserve"> may help identify where documentation is needed. They elicit reflection on the possible implications of a technology</w:t>
      </w:r>
      <w:r w:rsidR="00AE313A">
        <w:t>,</w:t>
      </w:r>
      <w:r w:rsidRPr="0078371E">
        <w:t xml:space="preserve"> and on other dimensions such as the social construction of the technology</w:t>
      </w:r>
      <w:r w:rsidR="006A0064">
        <w:t>;</w:t>
      </w:r>
      <w:r w:rsidRPr="0078371E">
        <w:t xml:space="preserve"> interactions between various actors and institutions</w:t>
      </w:r>
      <w:r w:rsidR="006A0064">
        <w:t>;</w:t>
      </w:r>
      <w:r w:rsidRPr="0078371E">
        <w:t xml:space="preserve"> conflicting interests between stakeholders</w:t>
      </w:r>
      <w:r w:rsidR="006A0064">
        <w:t>;</w:t>
      </w:r>
      <w:r w:rsidRPr="0078371E">
        <w:t xml:space="preserve"> and historical, economic, social and cultural considerations</w:t>
      </w:r>
      <w:r>
        <w:t xml:space="preserve"> </w:t>
      </w:r>
      <w:r>
        <w:fldChar w:fldCharType="begin"/>
      </w:r>
      <w:r w:rsidR="009A054F">
        <w:instrText xml:space="preserve"> ADDIN EN.CITE &lt;EndNote&gt;&lt;Cite&gt;&lt;Author&gt;Andersen&lt;/Author&gt;&lt;Year&gt;2005&lt;/Year&gt;&lt;RecNum&gt;721&lt;/RecNum&gt;&lt;DisplayText&gt;(Andersen et al. 2005)&lt;/DisplayText&gt;&lt;record&gt;&lt;rec-number&gt;721&lt;/rec-number&gt;&lt;foreign-keys&gt;&lt;key app="EN" db-id="parffa0acae2voep5w3vv9rypas2tr522eef" timestamp="1430369560"&gt;721&lt;/key&gt;&lt;/foreign-keys&gt;&lt;ref-type name="Report"&gt;27&lt;/ref-type&gt;&lt;contributors&gt;&lt;authors&gt;&lt;author&gt;Andersen, S.&lt;/author&gt;&lt;author&gt;Caron, L.&lt;/author&gt;&lt;author&gt;Cleret de Langavant, G.&lt;/author&gt;&lt;author&gt;Dondorp, W.&lt;/author&gt;&lt;author&gt;Gabbay, J.&lt;/author&gt;&lt;author&gt;Hagenfeldt, K.&lt;/author&gt;&lt;author&gt;Harstall, C.&lt;/author&gt;&lt;author&gt;Hofmann, B.&lt;/author&gt;&lt;author&gt;Lopez-Argumedo, M.&lt;/author&gt;&lt;author&gt;Noorani, H.&lt;/author&gt;&lt;/authors&gt;&lt;/contributors&gt;&lt;titles&gt;&lt;title&gt;INAHTA&amp;apos;s Working Group On Handling Ethical Issues&lt;/title&gt;&lt;/titles&gt;&lt;dates&gt;&lt;year&gt;2005&lt;/year&gt;&lt;/dates&gt;&lt;publisher&gt;INAHTA&lt;/publisher&gt;&lt;urls&gt;&lt;/urls&gt;&lt;/record&gt;&lt;/Cite&gt;&lt;/EndNote&gt;</w:instrText>
      </w:r>
      <w:r>
        <w:fldChar w:fldCharType="separate"/>
      </w:r>
      <w:r>
        <w:rPr>
          <w:noProof/>
        </w:rPr>
        <w:t>(</w:t>
      </w:r>
      <w:hyperlink w:anchor="_ENREF_6" w:tooltip="Andersen, 2005 #721" w:history="1">
        <w:r w:rsidR="00B46ABF">
          <w:rPr>
            <w:noProof/>
          </w:rPr>
          <w:t>Andersen et al. 2005</w:t>
        </w:r>
      </w:hyperlink>
      <w:r>
        <w:rPr>
          <w:noProof/>
        </w:rPr>
        <w:t>)</w:t>
      </w:r>
      <w:r>
        <w:fldChar w:fldCharType="end"/>
      </w:r>
      <w:r w:rsidRPr="0078371E">
        <w:t>.</w:t>
      </w:r>
      <w:r>
        <w:t xml:space="preserve"> The main ethical issues associated with prenatal genetic testing and their relevant ethical principles are shown in </w:t>
      </w:r>
      <w:r w:rsidRPr="006C36C3">
        <w:fldChar w:fldCharType="begin"/>
      </w:r>
      <w:r>
        <w:instrText xml:space="preserve"> REF _Ref410994983 \h  \* MERGEFORMAT </w:instrText>
      </w:r>
      <w:r w:rsidRPr="006C36C3">
        <w:fldChar w:fldCharType="separate"/>
      </w:r>
      <w:r w:rsidR="00BB0E3E" w:rsidRPr="00BB0E3E">
        <w:t>Table 85</w:t>
      </w:r>
      <w:r w:rsidRPr="006C36C3">
        <w:fldChar w:fldCharType="end"/>
      </w:r>
      <w:r>
        <w:t xml:space="preserve"> and discussed below.</w:t>
      </w:r>
    </w:p>
    <w:p w14:paraId="42F5D860" w14:textId="77777777" w:rsidR="00E96488" w:rsidRPr="00F6101A" w:rsidRDefault="00E96488" w:rsidP="00A26CF4">
      <w:pPr>
        <w:pStyle w:val="Tablename0"/>
        <w:keepNext w:val="0"/>
        <w:tabs>
          <w:tab w:val="left" w:pos="1134"/>
        </w:tabs>
        <w:spacing w:after="120"/>
        <w:ind w:left="0" w:firstLine="0"/>
        <w:rPr>
          <w:sz w:val="20"/>
          <w:szCs w:val="20"/>
        </w:rPr>
      </w:pPr>
      <w:bookmarkStart w:id="474" w:name="_Ref410994983"/>
      <w:bookmarkStart w:id="475" w:name="_Ref413074859"/>
      <w:bookmarkStart w:id="476" w:name="_Toc418179482"/>
      <w:r w:rsidRPr="00F6101A">
        <w:rPr>
          <w:sz w:val="20"/>
          <w:szCs w:val="20"/>
        </w:rPr>
        <w:t xml:space="preserve">Table </w:t>
      </w:r>
      <w:r w:rsidRPr="00F6101A">
        <w:rPr>
          <w:sz w:val="20"/>
          <w:szCs w:val="20"/>
        </w:rPr>
        <w:fldChar w:fldCharType="begin"/>
      </w:r>
      <w:r w:rsidRPr="00F6101A">
        <w:rPr>
          <w:sz w:val="20"/>
          <w:szCs w:val="20"/>
        </w:rPr>
        <w:instrText xml:space="preserve"> SEQ Table \* ARABIC </w:instrText>
      </w:r>
      <w:r w:rsidRPr="00F6101A">
        <w:rPr>
          <w:sz w:val="20"/>
          <w:szCs w:val="20"/>
        </w:rPr>
        <w:fldChar w:fldCharType="separate"/>
      </w:r>
      <w:r w:rsidR="00BB0E3E">
        <w:rPr>
          <w:noProof/>
          <w:sz w:val="20"/>
          <w:szCs w:val="20"/>
        </w:rPr>
        <w:t>85</w:t>
      </w:r>
      <w:r w:rsidRPr="00F6101A">
        <w:rPr>
          <w:sz w:val="20"/>
          <w:szCs w:val="20"/>
        </w:rPr>
        <w:fldChar w:fldCharType="end"/>
      </w:r>
      <w:bookmarkEnd w:id="470"/>
      <w:bookmarkEnd w:id="474"/>
      <w:r w:rsidRPr="00F6101A">
        <w:rPr>
          <w:sz w:val="20"/>
          <w:szCs w:val="20"/>
        </w:rPr>
        <w:tab/>
        <w:t xml:space="preserve">Main ethical issues </w:t>
      </w:r>
      <w:r>
        <w:rPr>
          <w:sz w:val="20"/>
          <w:szCs w:val="20"/>
        </w:rPr>
        <w:t xml:space="preserve">for prenatal genetic testing </w:t>
      </w:r>
      <w:r w:rsidRPr="00F6101A">
        <w:rPr>
          <w:sz w:val="20"/>
          <w:szCs w:val="20"/>
        </w:rPr>
        <w:t>and their most relevant principle</w:t>
      </w:r>
      <w:bookmarkEnd w:id="471"/>
      <w:bookmarkEnd w:id="472"/>
      <w:r>
        <w:rPr>
          <w:sz w:val="20"/>
          <w:szCs w:val="20"/>
        </w:rPr>
        <w:t>s</w:t>
      </w:r>
      <w:bookmarkEnd w:id="473"/>
      <w:bookmarkEnd w:id="475"/>
      <w:bookmarkEnd w:id="476"/>
    </w:p>
    <w:tbl>
      <w:tblPr>
        <w:tblStyle w:val="TableGrid1"/>
        <w:tblW w:w="0" w:type="auto"/>
        <w:tblLook w:val="04A0" w:firstRow="1" w:lastRow="0" w:firstColumn="1" w:lastColumn="0" w:noHBand="0" w:noVBand="1"/>
        <w:tblCaption w:val="Main ethical issues for prenatal genetic testing and their most relevant principles"/>
        <w:tblDescription w:val="Main ethical issues for prenatal genetic testing and their most relevant principles"/>
      </w:tblPr>
      <w:tblGrid>
        <w:gridCol w:w="4305"/>
        <w:gridCol w:w="4342"/>
      </w:tblGrid>
      <w:tr w:rsidR="00E96488" w:rsidRPr="00682B41" w14:paraId="28809D16"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4305" w:type="dxa"/>
          </w:tcPr>
          <w:p w14:paraId="6C7AB516" w14:textId="77777777" w:rsidR="00E96488" w:rsidRPr="00462E01" w:rsidRDefault="00E96488" w:rsidP="00A26CF4">
            <w:pPr>
              <w:pStyle w:val="TableText0"/>
              <w:keepNext w:val="0"/>
              <w:rPr>
                <w:b/>
              </w:rPr>
            </w:pPr>
            <w:r w:rsidRPr="00462E01">
              <w:rPr>
                <w:b/>
              </w:rPr>
              <w:t>Issue</w:t>
            </w:r>
          </w:p>
        </w:tc>
        <w:tc>
          <w:tcPr>
            <w:tcW w:w="4342" w:type="dxa"/>
          </w:tcPr>
          <w:p w14:paraId="3A820182" w14:textId="77777777" w:rsidR="00E96488" w:rsidRPr="00462E01" w:rsidRDefault="00E96488" w:rsidP="00A26CF4">
            <w:pPr>
              <w:pStyle w:val="TableText0"/>
              <w:keepNext w:val="0"/>
              <w:rPr>
                <w:b/>
              </w:rPr>
            </w:pPr>
            <w:r w:rsidRPr="00462E01">
              <w:rPr>
                <w:b/>
              </w:rPr>
              <w:t>Most relevant principle(s)</w:t>
            </w:r>
          </w:p>
        </w:tc>
      </w:tr>
      <w:tr w:rsidR="00E96488" w:rsidRPr="00682B41" w14:paraId="20594529" w14:textId="77777777" w:rsidTr="0042252D">
        <w:tc>
          <w:tcPr>
            <w:tcW w:w="4305" w:type="dxa"/>
          </w:tcPr>
          <w:p w14:paraId="69172C0F" w14:textId="77777777" w:rsidR="00E96488" w:rsidRPr="008C5D5A" w:rsidRDefault="00E96488" w:rsidP="00A26CF4">
            <w:pPr>
              <w:pStyle w:val="TableText0"/>
              <w:keepNext w:val="0"/>
            </w:pPr>
            <w:r>
              <w:t>Informed choice and counselling</w:t>
            </w:r>
          </w:p>
        </w:tc>
        <w:tc>
          <w:tcPr>
            <w:tcW w:w="4342" w:type="dxa"/>
          </w:tcPr>
          <w:p w14:paraId="390217D6" w14:textId="77777777" w:rsidR="00E96488" w:rsidRPr="008C5D5A" w:rsidRDefault="00E96488" w:rsidP="00A26CF4">
            <w:pPr>
              <w:pStyle w:val="TableText0"/>
              <w:keepNext w:val="0"/>
            </w:pPr>
            <w:r>
              <w:t>Respect for a</w:t>
            </w:r>
            <w:r w:rsidRPr="008C5D5A">
              <w:t>utonomy, non-maleficence, beneficence</w:t>
            </w:r>
          </w:p>
        </w:tc>
      </w:tr>
      <w:tr w:rsidR="00E96488" w:rsidRPr="00682B41" w14:paraId="213510A9" w14:textId="77777777" w:rsidTr="0042252D">
        <w:tc>
          <w:tcPr>
            <w:tcW w:w="4305" w:type="dxa"/>
          </w:tcPr>
          <w:p w14:paraId="1BBEF643" w14:textId="77777777" w:rsidR="00E96488" w:rsidRPr="008C5D5A" w:rsidRDefault="00E96488" w:rsidP="00A26CF4">
            <w:pPr>
              <w:pStyle w:val="TableText0"/>
              <w:keepNext w:val="0"/>
            </w:pPr>
            <w:r>
              <w:t>Disability rights critique</w:t>
            </w:r>
          </w:p>
        </w:tc>
        <w:tc>
          <w:tcPr>
            <w:tcW w:w="4342" w:type="dxa"/>
          </w:tcPr>
          <w:p w14:paraId="07FA1CF1" w14:textId="77777777" w:rsidR="00E96488" w:rsidRPr="008C5D5A" w:rsidRDefault="00E96488" w:rsidP="00A26CF4">
            <w:pPr>
              <w:pStyle w:val="TableText0"/>
              <w:keepNext w:val="0"/>
            </w:pPr>
            <w:r>
              <w:t>Justice</w:t>
            </w:r>
          </w:p>
        </w:tc>
      </w:tr>
      <w:tr w:rsidR="00E96488" w:rsidRPr="00682B41" w14:paraId="22C2B9DD" w14:textId="77777777" w:rsidTr="0042252D">
        <w:tc>
          <w:tcPr>
            <w:tcW w:w="4305" w:type="dxa"/>
          </w:tcPr>
          <w:p w14:paraId="0BCCE556" w14:textId="379000A6" w:rsidR="00E96488" w:rsidRPr="008C5D5A" w:rsidRDefault="00E96488" w:rsidP="00A73768">
            <w:pPr>
              <w:pStyle w:val="TableText0"/>
              <w:keepNext w:val="0"/>
            </w:pPr>
            <w:r w:rsidRPr="008C5D5A">
              <w:t>Access</w:t>
            </w:r>
            <w:r>
              <w:t xml:space="preserve"> to testing and </w:t>
            </w:r>
            <w:r w:rsidR="00A73768">
              <w:t>TOP</w:t>
            </w:r>
          </w:p>
        </w:tc>
        <w:tc>
          <w:tcPr>
            <w:tcW w:w="4342" w:type="dxa"/>
          </w:tcPr>
          <w:p w14:paraId="4E86C1B9" w14:textId="77777777" w:rsidR="00E96488" w:rsidRPr="008C5D5A" w:rsidRDefault="00E96488" w:rsidP="00A26CF4">
            <w:pPr>
              <w:pStyle w:val="TableText0"/>
              <w:keepNext w:val="0"/>
            </w:pPr>
            <w:r w:rsidRPr="008C5D5A">
              <w:t>Justice</w:t>
            </w:r>
          </w:p>
        </w:tc>
      </w:tr>
      <w:tr w:rsidR="00E96488" w:rsidRPr="00682B41" w14:paraId="77751665" w14:textId="77777777" w:rsidTr="0042252D">
        <w:tc>
          <w:tcPr>
            <w:tcW w:w="4305" w:type="dxa"/>
          </w:tcPr>
          <w:p w14:paraId="23611D17" w14:textId="77777777" w:rsidR="00E96488" w:rsidRPr="008C5D5A" w:rsidRDefault="00E96488" w:rsidP="00A26CF4">
            <w:pPr>
              <w:pStyle w:val="TableText0"/>
              <w:keepNext w:val="0"/>
            </w:pPr>
            <w:r w:rsidRPr="008C5D5A">
              <w:t>Privacy and confidentiality</w:t>
            </w:r>
          </w:p>
        </w:tc>
        <w:tc>
          <w:tcPr>
            <w:tcW w:w="4342" w:type="dxa"/>
          </w:tcPr>
          <w:p w14:paraId="5FA5D1F9" w14:textId="77777777" w:rsidR="00E96488" w:rsidRPr="008C5D5A" w:rsidRDefault="00E96488" w:rsidP="00A26CF4">
            <w:pPr>
              <w:pStyle w:val="TableText0"/>
              <w:keepNext w:val="0"/>
            </w:pPr>
            <w:r w:rsidRPr="006D1DFD">
              <w:t>Respect for autonomy</w:t>
            </w:r>
            <w:r>
              <w:t xml:space="preserve">, </w:t>
            </w:r>
            <w:r w:rsidRPr="008C5D5A">
              <w:t>non-maleficence, beneficence</w:t>
            </w:r>
          </w:p>
        </w:tc>
      </w:tr>
      <w:tr w:rsidR="00E96488" w:rsidRPr="00682B41" w14:paraId="41C00D65" w14:textId="77777777" w:rsidTr="0042252D">
        <w:tc>
          <w:tcPr>
            <w:tcW w:w="4305" w:type="dxa"/>
          </w:tcPr>
          <w:p w14:paraId="61E911D5" w14:textId="77777777" w:rsidR="00E96488" w:rsidRPr="008C5D5A" w:rsidRDefault="00E96488" w:rsidP="00A26CF4">
            <w:pPr>
              <w:pStyle w:val="TableText0"/>
              <w:keepNext w:val="0"/>
            </w:pPr>
            <w:r>
              <w:t>Weighing</w:t>
            </w:r>
            <w:r w:rsidRPr="008C5D5A">
              <w:t xml:space="preserve"> risks and benefits</w:t>
            </w:r>
          </w:p>
        </w:tc>
        <w:tc>
          <w:tcPr>
            <w:tcW w:w="4342" w:type="dxa"/>
          </w:tcPr>
          <w:p w14:paraId="455DFD02" w14:textId="77777777" w:rsidR="00E96488" w:rsidRPr="008C5D5A" w:rsidRDefault="00E96488" w:rsidP="00A26CF4">
            <w:pPr>
              <w:pStyle w:val="TableText0"/>
              <w:keepNext w:val="0"/>
            </w:pPr>
            <w:r w:rsidRPr="008C5D5A">
              <w:t>Non-maleficence, beneficence</w:t>
            </w:r>
          </w:p>
        </w:tc>
      </w:tr>
    </w:tbl>
    <w:p w14:paraId="34D0BA44" w14:textId="35533637" w:rsidR="00F67283" w:rsidRPr="004566DC" w:rsidRDefault="00F67283" w:rsidP="004566DC">
      <w:pPr>
        <w:rPr>
          <w:rFonts w:ascii="Arial Narrow" w:hAnsi="Arial Narrow"/>
          <w:sz w:val="18"/>
          <w:szCs w:val="18"/>
        </w:rPr>
      </w:pPr>
      <w:r w:rsidRPr="004566DC">
        <w:rPr>
          <w:rFonts w:ascii="Arial Narrow" w:hAnsi="Arial Narrow"/>
          <w:sz w:val="18"/>
          <w:szCs w:val="18"/>
        </w:rPr>
        <w:t>TOP = termination of pregnancy</w:t>
      </w:r>
    </w:p>
    <w:p w14:paraId="7FCEA318" w14:textId="2A75B653" w:rsidR="00E96488" w:rsidRDefault="007A1EC0" w:rsidP="00E96488">
      <w:pPr>
        <w:pStyle w:val="Heading4"/>
      </w:pPr>
      <w:r>
        <w:lastRenderedPageBreak/>
        <w:t>F.1.4.1.</w:t>
      </w:r>
      <w:r w:rsidR="00AA6922">
        <w:tab/>
      </w:r>
      <w:r w:rsidR="00E96488">
        <w:t>Aim of prenatal testing</w:t>
      </w:r>
    </w:p>
    <w:p w14:paraId="3553D3E5" w14:textId="48CB712E" w:rsidR="00E96488" w:rsidRDefault="00E96488" w:rsidP="00E96488">
      <w:r>
        <w:t xml:space="preserve">The aim of prenatal screening and testing differs from that of most other forms of genetic screening and testing. Whereas most genetic testing provides an individual with options for treatment and for the possible prevention of disease, prenatal testing serves as a basis for reproductive decision making and family planning </w:t>
      </w:r>
      <w:r>
        <w:fldChar w:fldCharType="begin">
          <w:fldData xml:space="preserve">PEVuZE5vdGU+PENpdGU+PEF1dGhvcj5Ba3NveTwvQXV0aG9yPjxZZWFyPjIwMDE8L1llYXI+PFJl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</w:fldData>
        </w:fldChar>
      </w:r>
      <w:r w:rsidR="009A054F">
        <w:instrText xml:space="preserve"> ADDIN EN.CITE </w:instrText>
      </w:r>
      <w:r w:rsidR="009A054F">
        <w:fldChar w:fldCharType="begin">
          <w:fldData xml:space="preserve">PEVuZE5vdGU+PENpdGU+PEF1dGhvcj5Ba3NveTwvQXV0aG9yPjxZZWFyPjIwMDE8L1llYXI+PFJl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</w:fldData>
        </w:fldChar>
      </w:r>
      <w:r w:rsidR="009A054F">
        <w:instrText xml:space="preserve"> ADDIN EN.CITE.DATA </w:instrText>
      </w:r>
      <w:r w:rsidR="009A054F">
        <w:fldChar w:fldCharType="end"/>
      </w:r>
      <w:r>
        <w:fldChar w:fldCharType="separate"/>
      </w:r>
      <w:r>
        <w:rPr>
          <w:noProof/>
        </w:rPr>
        <w:t>(</w:t>
      </w:r>
      <w:hyperlink w:anchor="_ENREF_2" w:tooltip="Aksoy, 2001 #714" w:history="1">
        <w:r w:rsidR="00B46ABF">
          <w:rPr>
            <w:noProof/>
          </w:rPr>
          <w:t>Aksoy 2001</w:t>
        </w:r>
      </w:hyperlink>
      <w:r>
        <w:rPr>
          <w:noProof/>
        </w:rPr>
        <w:t xml:space="preserve">; </w:t>
      </w:r>
      <w:hyperlink w:anchor="_ENREF_30" w:tooltip="de Jong, 2015 #822" w:history="1">
        <w:r w:rsidR="00B46ABF">
          <w:rPr>
            <w:noProof/>
          </w:rPr>
          <w:t>de Jong &amp; de Wert 2015</w:t>
        </w:r>
      </w:hyperlink>
      <w:r>
        <w:rPr>
          <w:noProof/>
        </w:rPr>
        <w:t xml:space="preserve">; </w:t>
      </w:r>
      <w:hyperlink w:anchor="_ENREF_31" w:tooltip="de Jong, 2011 #825" w:history="1">
        <w:r w:rsidR="00B46ABF">
          <w:rPr>
            <w:noProof/>
          </w:rPr>
          <w:t>de Jong et al. 2011</w:t>
        </w:r>
      </w:hyperlink>
      <w:r>
        <w:rPr>
          <w:noProof/>
        </w:rPr>
        <w:t>)</w:t>
      </w:r>
      <w:r>
        <w:fldChar w:fldCharType="end"/>
      </w:r>
      <w:r>
        <w:t xml:space="preserve">. In other words, prenatal testing cannot serve to prevent the development of disease in a particular individual. It can only inform parents of the presence of disease in the fetus, while any subsequent TOP prevents the birth of an individual with a disease. However, it has also been argued that the aim of prenatal testing is to serve societal goals, and there have been controversial calls for prenatal testing to be used to reduce the number of otherwise costly people in society </w:t>
      </w:r>
      <w:r>
        <w:fldChar w:fldCharType="begin"/>
      </w:r>
      <w:r w:rsidR="009A054F">
        <w:instrText xml:space="preserve"> ADDIN EN.CITE &lt;EndNote&gt;&lt;Cite&gt;&lt;Author&gt;Munthe&lt;/Author&gt;&lt;Year&gt;2015&lt;/Year&gt;&lt;RecNum&gt;980&lt;/RecNum&gt;&lt;IDText&gt;36-45&lt;/IDText&gt;&lt;DisplayText&gt;(Munthe 2015)&lt;/DisplayText&gt;&lt;record&gt;&lt;rec-number&gt;980&lt;/rec-number&gt;&lt;foreign-keys&gt;&lt;key app="EN" db-id="parffa0acae2voep5w3vv9rypas2tr522eef" timestamp="1430369642"&gt;980&lt;/key&gt;&lt;/foreign-keys&gt;&lt;ref-type name="Journal Article"&gt;17&lt;/ref-type&gt;&lt;contributors&gt;&lt;authors&gt;&lt;author&gt;Munthe, C.&lt;/author&gt;&lt;/authors&gt;&lt;/contributors&gt;&lt;titles&gt;&lt;title&gt;A NEW ETHICAL LANDSCAPE OF PRENATAL TESTING: INDIVIDUALIZING CHOICE TO SERVE AUTONOMY AND PROMOTE PUBLIC HEALTH: A RADICAL PROPOSAL&lt;/title&gt;&lt;secondary-title&gt;Bioethics&lt;/secondary-title&gt;&lt;/titles&gt;&lt;periodical&gt;&lt;full-title&gt;Bioethics&lt;/full-title&gt;&lt;/periodical&gt;&lt;pages&gt;36-45&lt;/pages&gt;&lt;volume&gt;29&lt;/volume&gt;&lt;number&gt;1&lt;/number&gt;&lt;dates&gt;&lt;year&gt;2015&lt;/year&gt;&lt;pub-dates&gt;&lt;date&gt;Jan&lt;/date&gt;&lt;/pub-dates&gt;&lt;/dates&gt;&lt;isbn&gt;0269-9702&lt;/isbn&gt;&lt;accession-num&gt;CCC:000346473700006&lt;/accession-num&gt;&lt;urls&gt;&lt;related-urls&gt;&lt;url&gt;&amp;lt;Go to ISI&amp;gt;://CCC:000346473700006&lt;/url&gt;&lt;url&gt;http://onlinelibrary.wiley.com/store/10.1111/bioe.12126/asset/bioe12126.pdf?v=1&amp;amp;t=i58xdpfw&amp;amp;s=297b912b1c8b49301c296bb9aebbad590e419395&lt;/url&gt;&lt;/related-urls&gt;&lt;/urls&gt;&lt;/record&gt;&lt;/Cite&gt;&lt;/EndNote&gt;</w:instrText>
      </w:r>
      <w:r>
        <w:fldChar w:fldCharType="separate"/>
      </w:r>
      <w:r>
        <w:rPr>
          <w:noProof/>
        </w:rPr>
        <w:t>(</w:t>
      </w:r>
      <w:hyperlink w:anchor="_ENREF_87" w:tooltip="Munthe, 2015 #980" w:history="1">
        <w:r w:rsidR="00B46ABF">
          <w:rPr>
            <w:noProof/>
          </w:rPr>
          <w:t>Munthe 2015</w:t>
        </w:r>
      </w:hyperlink>
      <w:r>
        <w:rPr>
          <w:noProof/>
        </w:rPr>
        <w:t>)</w:t>
      </w:r>
      <w:r>
        <w:fldChar w:fldCharType="end"/>
      </w:r>
      <w:r w:rsidR="001521A4">
        <w:t>. The Department of Health and Social Security</w:t>
      </w:r>
      <w:r>
        <w:t xml:space="preserve"> in the UK, for instance, released a governmental document</w:t>
      </w:r>
      <w:r w:rsidR="00F2476C">
        <w:t xml:space="preserve"> in 1977</w:t>
      </w:r>
      <w:r>
        <w:t xml:space="preserve"> that states: </w:t>
      </w:r>
      <w:r w:rsidR="00413DD1">
        <w:t xml:space="preserve">‘… </w:t>
      </w:r>
      <w:r>
        <w:t>because caring for the handicapped can impose great burdens on our society the prevention of handicaps</w:t>
      </w:r>
      <w:r w:rsidR="00413DD1">
        <w:t xml:space="preserve"> </w:t>
      </w:r>
      <w:r>
        <w:t>… in addition to its other benefits may save money</w:t>
      </w:r>
      <w:r w:rsidR="00413DD1">
        <w:t>’</w:t>
      </w:r>
      <w:r>
        <w:t xml:space="preserve"> </w:t>
      </w:r>
      <w:r>
        <w:fldChar w:fldCharType="begin"/>
      </w:r>
      <w:r w:rsidR="009A054F">
        <w:instrText xml:space="preserve"> ADDIN EN.CITE &lt;EndNote&gt;&lt;Cite&gt;&lt;Author&gt;Aksoy&lt;/Author&gt;&lt;Year&gt;2001&lt;/Year&gt;&lt;RecNum&gt;714&lt;/RecNum&gt;&lt;IDText&gt;E3&lt;/IDText&gt;&lt;DisplayText&gt;(Aksoy 2001)&lt;/DisplayText&gt;&lt;record&gt;&lt;rec-number&gt;714&lt;/rec-number&gt;&lt;foreign-keys&gt;&lt;key app="EN" db-id="parffa0acae2voep5w3vv9rypas2tr522eef" timestamp="1430369555"&gt;714&lt;/key&gt;&lt;/foreign-keys&gt;&lt;ref-type name="Journal Article"&gt;17&lt;/ref-type&gt;&lt;contributors&gt;&lt;authors&gt;&lt;author&gt;Aksoy, S.&lt;/author&gt;&lt;/authors&gt;&lt;/contributors&gt;&lt;auth-address&gt;Aksoy, S., Harran University, Faculty of Medicine, Department of Medical Ethics and History of Medicine, 63200 Sanliurfa, TURKEY.&lt;/auth-address&gt;&lt;titles&gt;&lt;title&gt;Antenatal screening and its possible meaning from unborn baby&amp;apos;s perspective&lt;/title&gt;&lt;secondary-title&gt;BMC medical ethics&lt;/secondary-title&gt;&lt;/titles&gt;&lt;periodical&gt;&lt;full-title&gt;BMC medical ethics&lt;/full-title&gt;&lt;/periodical&gt;&lt;pages&gt;E3&lt;/pages&gt;&lt;volume&gt;2&lt;/volume&gt;&lt;keywords&gt;&lt;keyword&gt;abortion&lt;/keyword&gt;&lt;keyword&gt;article&lt;/keyword&gt;&lt;keyword&gt;congenital malformation&lt;/keyword&gt;&lt;keyword&gt;cost benefit analysis&lt;/keyword&gt;&lt;keyword&gt;directive counseling&lt;/keyword&gt;&lt;keyword&gt;economics&lt;/keyword&gt;&lt;keyword&gt;ethics&lt;/keyword&gt;&lt;keyword&gt;female&lt;/keyword&gt;&lt;keyword&gt;fetus&lt;/keyword&gt;&lt;keyword&gt;genetic counseling&lt;/keyword&gt;&lt;keyword&gt;genetic disorder&lt;/keyword&gt;&lt;keyword&gt;genetic screening&lt;/keyword&gt;&lt;keyword&gt;genetics&lt;/keyword&gt;&lt;keyword&gt;Genetics and Reproduction&lt;/keyword&gt;&lt;keyword&gt;human&lt;/keyword&gt;&lt;keyword&gt;methodology&lt;/keyword&gt;&lt;keyword&gt;parent&lt;/keyword&gt;&lt;keyword&gt;pregnancy&lt;/keyword&gt;&lt;keyword&gt;pregnant woman&lt;/keyword&gt;&lt;keyword&gt;prenatal diagnosis&lt;/keyword&gt;&lt;keyword&gt;sex determination&lt;/keyword&gt;&lt;/keywords&gt;&lt;dates&gt;&lt;year&gt;2001&lt;/year&gt;&lt;/dates&gt;&lt;isbn&gt;1472-6939&lt;/isbn&gt;&lt;urls&gt;&lt;related-urls&gt;&lt;url&gt;http://www.embase.com/search/results?subaction=viewrecord&amp;amp;from=export&amp;amp;id=L39033990&lt;/url&gt;&lt;url&gt;http://www.ncbi.nlm.nih.gov/pmc/articles/PMC32195/pdf/1472-6939-2-3.pdf&lt;/url&gt;&lt;/related-urls&gt;&lt;/urls&gt;&lt;/record&gt;&lt;/Cite&gt;&lt;/EndNote&gt;</w:instrText>
      </w:r>
      <w:r>
        <w:fldChar w:fldCharType="separate"/>
      </w:r>
      <w:r>
        <w:rPr>
          <w:noProof/>
        </w:rPr>
        <w:t>(</w:t>
      </w:r>
      <w:hyperlink w:anchor="_ENREF_2" w:tooltip="Aksoy, 2001 #714" w:history="1">
        <w:r w:rsidR="00B46ABF">
          <w:rPr>
            <w:noProof/>
          </w:rPr>
          <w:t>Aksoy 2001</w:t>
        </w:r>
      </w:hyperlink>
      <w:r>
        <w:rPr>
          <w:noProof/>
        </w:rPr>
        <w:t>)</w:t>
      </w:r>
      <w:r>
        <w:fldChar w:fldCharType="end"/>
      </w:r>
      <w:r>
        <w:t>. If the aim of prenatal testing was to reduce the birth prevalence of CF, this would be morally problematic because it would favour the use of TOP as a means of reducing the number of people with specific disorders or other medical needs. This has led to the general view that prenatal screening for fetal abnormalities should be regarded as serving the aim of providing pregnant couples with reproductive options, to then be freely chosen (respect for autonomy).</w:t>
      </w:r>
    </w:p>
    <w:p w14:paraId="6BF4BB8D" w14:textId="3FC1DF55" w:rsidR="00E96488" w:rsidRDefault="007A1EC0" w:rsidP="00E96488">
      <w:pPr>
        <w:pStyle w:val="Heading4"/>
      </w:pPr>
      <w:r>
        <w:t>F.1.4.2.</w:t>
      </w:r>
      <w:r w:rsidR="00AA6922">
        <w:tab/>
      </w:r>
      <w:r w:rsidR="00E96488">
        <w:t>Informed choice and counselling</w:t>
      </w:r>
    </w:p>
    <w:p w14:paraId="26CBF561" w14:textId="43E612E2" w:rsidR="00E96488" w:rsidRDefault="00E96488" w:rsidP="00E96488">
      <w:r>
        <w:t xml:space="preserve">Counselling before and after prenatal testing is crucial. If pre-test information is incomplete or unbalanced, if support is minimal or absent, or if counselling is directive, the aim of ‘providing options for meaningful reproductive choice’ for couples is not met. Without adequate information and counselling, the aim of prenatal testing would, in effect, change to protecting society against the birth of children with (costly) disorders by encouraging selective terminations of pregnancy </w:t>
      </w:r>
      <w:r>
        <w:fldChar w:fldCharType="begin"/>
      </w:r>
      <w:r w:rsidR="009A054F">
        <w:instrText xml:space="preserve"> ADDIN EN.CITE &lt;EndNote&gt;&lt;Cite&gt;&lt;Author&gt;de Jong&lt;/Author&gt;&lt;Year&gt;2015&lt;/Year&gt;&lt;RecNum&gt;822&lt;/RecNum&gt;&lt;IDText&gt;46-55&lt;/IDText&gt;&lt;DisplayText&gt;(de Jong &amp;amp; de Wert 2015)&lt;/DisplayText&gt;&lt;record&gt;&lt;rec-number&gt;822&lt;/rec-number&gt;&lt;foreign-keys&gt;&lt;key app="EN" db-id="parffa0acae2voep5w3vv9rypas2tr522eef" timestamp="1430369597"&gt;822&lt;/key&gt;&lt;/foreign-keys&gt;&lt;ref-type name="Journal Article"&gt;17&lt;/ref-type&gt;&lt;contributors&gt;&lt;authors&gt;&lt;author&gt;de Jong, A.&lt;/author&gt;&lt;author&gt;de Wert, G. M.&lt;/author&gt;&lt;/authors&gt;&lt;/contributors&gt;&lt;titles&gt;&lt;title&gt;Prenatal screening: an ethical agenda for the near future&lt;/title&gt;&lt;secondary-title&gt;Bioethics&lt;/secondary-title&gt;&lt;alt-title&gt;Bioethics&lt;/alt-title&gt;&lt;/titles&gt;&lt;periodical&gt;&lt;full-title&gt;Bioethics&lt;/full-title&gt;&lt;/periodical&gt;&lt;alt-periodical&gt;&lt;full-title&gt;Bioethics&lt;/full-title&gt;&lt;/alt-periodical&gt;&lt;pages&gt;46-55&lt;/pages&gt;&lt;volume&gt;29&lt;/volume&gt;&lt;number&gt;1&lt;/number&gt;&lt;dates&gt;&lt;year&gt;2015&lt;/year&gt;&lt;pub-dates&gt;&lt;date&gt;Jan&lt;/date&gt;&lt;/pub-dates&gt;&lt;/dates&gt;&lt;isbn&gt;1467-8519 (Electronic)&amp;#xD;0269-9702 (Linking)&lt;/isbn&gt;&lt;accession-num&gt;25521973&lt;/accession-num&gt;&lt;urls&gt;&lt;related-urls&gt;&lt;url&gt;http://www.ncbi.nlm.nih.gov/pubmed/25521973&lt;/url&gt;&lt;url&gt;http://onlinelibrary.wiley.com/store/10.1111/bioe.12122/asset/bioe12122.pdf?v=1&amp;amp;t=i5fyem07&amp;amp;s=7fa8e16426089a4b24124477096f6fe48388bfe1&lt;/url&gt;&lt;/related-urls&gt;&lt;/urls&gt;&lt;electronic-resource-num&gt;10.1111/bioe.12122&lt;/electronic-resource-num&gt;&lt;/record&gt;&lt;/Cite&gt;&lt;/EndNote&gt;</w:instrText>
      </w:r>
      <w:r>
        <w:fldChar w:fldCharType="separate"/>
      </w:r>
      <w:r>
        <w:rPr>
          <w:noProof/>
        </w:rPr>
        <w:t>(</w:t>
      </w:r>
      <w:hyperlink w:anchor="_ENREF_30" w:tooltip="de Jong, 2015 #822" w:history="1">
        <w:r w:rsidR="00B46ABF">
          <w:rPr>
            <w:noProof/>
          </w:rPr>
          <w:t>de Jong &amp; de Wert 2015</w:t>
        </w:r>
      </w:hyperlink>
      <w:r>
        <w:rPr>
          <w:noProof/>
        </w:rPr>
        <w:t>)</w:t>
      </w:r>
      <w:r>
        <w:fldChar w:fldCharType="end"/>
      </w:r>
      <w:r>
        <w:t xml:space="preserve">. Already, the fact that the offer of testing comes from authoritative institutions or people (physicians) means that there is an initial pressure on women and couples to consider prenatal testing, and the more suggestive the offer and less clear the opportunity to freely decline it, the greater the pressure </w:t>
      </w:r>
      <w:r>
        <w:fldChar w:fldCharType="begin"/>
      </w:r>
      <w:r w:rsidR="009A054F">
        <w:instrText xml:space="preserve"> ADDIN EN.CITE &lt;EndNote&gt;&lt;Cite&gt;&lt;Author&gt;Munthe&lt;/Author&gt;&lt;Year&gt;2015&lt;/Year&gt;&lt;RecNum&gt;980&lt;/RecNum&gt;&lt;IDText&gt;36-45&lt;/IDText&gt;&lt;DisplayText&gt;(Munthe 2015)&lt;/DisplayText&gt;&lt;record&gt;&lt;rec-number&gt;980&lt;/rec-number&gt;&lt;foreign-keys&gt;&lt;key app="EN" db-id="parffa0acae2voep5w3vv9rypas2tr522eef" timestamp="1430369642"&gt;980&lt;/key&gt;&lt;/foreign-keys&gt;&lt;ref-type name="Journal Article"&gt;17&lt;/ref-type&gt;&lt;contributors&gt;&lt;authors&gt;&lt;author&gt;Munthe, C.&lt;/author&gt;&lt;/authors&gt;&lt;/contributors&gt;&lt;titles&gt;&lt;title&gt;A NEW ETHICAL LANDSCAPE OF PRENATAL TESTING: INDIVIDUALIZING CHOICE TO SERVE AUTONOMY AND PROMOTE PUBLIC HEALTH: A RADICAL PROPOSAL&lt;/title&gt;&lt;secondary-title&gt;Bioethics&lt;/secondary-title&gt;&lt;/titles&gt;&lt;periodical&gt;&lt;full-title&gt;Bioethics&lt;/full-title&gt;&lt;/periodical&gt;&lt;pages&gt;36-45&lt;/pages&gt;&lt;volume&gt;29&lt;/volume&gt;&lt;number&gt;1&lt;/number&gt;&lt;dates&gt;&lt;year&gt;2015&lt;/year&gt;&lt;pub-dates&gt;&lt;date&gt;Jan&lt;/date&gt;&lt;/pub-dates&gt;&lt;/dates&gt;&lt;isbn&gt;0269-9702&lt;/isbn&gt;&lt;accession-num&gt;CCC:000346473700006&lt;/accession-num&gt;&lt;urls&gt;&lt;related-urls&gt;&lt;url&gt;&amp;lt;Go to ISI&amp;gt;://CCC:000346473700006&lt;/url&gt;&lt;url&gt;http://onlinelibrary.wiley.com/store/10.1111/bioe.12126/asset/bioe12126.pdf?v=1&amp;amp;t=i58xdpfw&amp;amp;s=297b912b1c8b49301c296bb9aebbad590e419395&lt;/url&gt;&lt;/related-urls&gt;&lt;/urls&gt;&lt;/record&gt;&lt;/Cite&gt;&lt;/EndNote&gt;</w:instrText>
      </w:r>
      <w:r>
        <w:fldChar w:fldCharType="separate"/>
      </w:r>
      <w:r>
        <w:rPr>
          <w:noProof/>
        </w:rPr>
        <w:t>(</w:t>
      </w:r>
      <w:hyperlink w:anchor="_ENREF_87" w:tooltip="Munthe, 2015 #980" w:history="1">
        <w:r w:rsidR="00B46ABF">
          <w:rPr>
            <w:noProof/>
          </w:rPr>
          <w:t>Munthe 2015</w:t>
        </w:r>
      </w:hyperlink>
      <w:r>
        <w:rPr>
          <w:noProof/>
        </w:rPr>
        <w:t>)</w:t>
      </w:r>
      <w:r>
        <w:fldChar w:fldCharType="end"/>
      </w:r>
      <w:r>
        <w:t>. The legality and availability of TOP in the case of an abnormal test may alone contribute to pressure and bias toward testing.</w:t>
      </w:r>
    </w:p>
    <w:p w14:paraId="7991461A" w14:textId="06CF7E25" w:rsidR="00E96488" w:rsidRDefault="00E96488" w:rsidP="004566DC">
      <w:pPr>
        <w:spacing w:after="120"/>
      </w:pPr>
      <w:r>
        <w:t xml:space="preserve">The three most common reasons that women cite as reasons for changing their mind about prenatal testing are </w:t>
      </w:r>
      <w:r>
        <w:fldChar w:fldCharType="begin"/>
      </w:r>
      <w:r w:rsidR="009A054F">
        <w:instrText xml:space="preserve"> ADDIN EN.CITE &lt;EndNote&gt;&lt;Cite&gt;&lt;Author&gt;Aksoy&lt;/Author&gt;&lt;Year&gt;2001&lt;/Year&gt;&lt;RecNum&gt;714&lt;/RecNum&gt;&lt;IDText&gt;E3&lt;/IDText&gt;&lt;DisplayText&gt;(Aksoy 2001)&lt;/DisplayText&gt;&lt;record&gt;&lt;rec-number&gt;714&lt;/rec-number&gt;&lt;foreign-keys&gt;&lt;key app="EN" db-id="parffa0acae2voep5w3vv9rypas2tr522eef" timestamp="1430369555"&gt;714&lt;/key&gt;&lt;/foreign-keys&gt;&lt;ref-type name="Journal Article"&gt;17&lt;/ref-type&gt;&lt;contributors&gt;&lt;authors&gt;&lt;author&gt;Aksoy, S.&lt;/author&gt;&lt;/authors&gt;&lt;/contributors&gt;&lt;auth-address&gt;Aksoy, S., Harran University, Faculty of Medicine, Department of Medical Ethics and History of Medicine, 63200 Sanliurfa, TURKEY.&lt;/auth-address&gt;&lt;titles&gt;&lt;title&gt;Antenatal screening and its possible meaning from unborn baby&amp;apos;s perspective&lt;/title&gt;&lt;secondary-title&gt;BMC medical ethics&lt;/secondary-title&gt;&lt;/titles&gt;&lt;periodical&gt;&lt;full-title&gt;BMC medical ethics&lt;/full-title&gt;&lt;/periodical&gt;&lt;pages&gt;E3&lt;/pages&gt;&lt;volume&gt;2&lt;/volume&gt;&lt;keywords&gt;&lt;keyword&gt;abortion&lt;/keyword&gt;&lt;keyword&gt;article&lt;/keyword&gt;&lt;keyword&gt;congenital malformation&lt;/keyword&gt;&lt;keyword&gt;cost benefit analysis&lt;/keyword&gt;&lt;keyword&gt;directive counseling&lt;/keyword&gt;&lt;keyword&gt;economics&lt;/keyword&gt;&lt;keyword&gt;ethics&lt;/keyword&gt;&lt;keyword&gt;female&lt;/keyword&gt;&lt;keyword&gt;fetus&lt;/keyword&gt;&lt;keyword&gt;genetic counseling&lt;/keyword&gt;&lt;keyword&gt;genetic disorder&lt;/keyword&gt;&lt;keyword&gt;genetic screening&lt;/keyword&gt;&lt;keyword&gt;genetics&lt;/keyword&gt;&lt;keyword&gt;Genetics and Reproduction&lt;/keyword&gt;&lt;keyword&gt;human&lt;/keyword&gt;&lt;keyword&gt;methodology&lt;/keyword&gt;&lt;keyword&gt;parent&lt;/keyword&gt;&lt;keyword&gt;pregnancy&lt;/keyword&gt;&lt;keyword&gt;pregnant woman&lt;/keyword&gt;&lt;keyword&gt;prenatal diagnosis&lt;/keyword&gt;&lt;keyword&gt;sex determination&lt;/keyword&gt;&lt;/keywords&gt;&lt;dates&gt;&lt;year&gt;2001&lt;/year&gt;&lt;/dates&gt;&lt;isbn&gt;1472-6939&lt;/isbn&gt;&lt;urls&gt;&lt;related-urls&gt;&lt;url&gt;http://www.embase.com/search/results?subaction=viewrecord&amp;amp;from=export&amp;amp;id=L39033990&lt;/url&gt;&lt;url&gt;http://www.ncbi.nlm.nih.gov/pmc/articles/PMC32195/pdf/1472-6939-2-3.pdf&lt;/url&gt;&lt;/related-urls&gt;&lt;/urls&gt;&lt;/record&gt;&lt;/Cite&gt;&lt;/EndNote&gt;</w:instrText>
      </w:r>
      <w:r>
        <w:fldChar w:fldCharType="separate"/>
      </w:r>
      <w:r>
        <w:rPr>
          <w:noProof/>
        </w:rPr>
        <w:t>(</w:t>
      </w:r>
      <w:hyperlink w:anchor="_ENREF_2" w:tooltip="Aksoy, 2001 #714" w:history="1">
        <w:r w:rsidR="00B46ABF">
          <w:rPr>
            <w:noProof/>
          </w:rPr>
          <w:t>Aksoy 2001</w:t>
        </w:r>
      </w:hyperlink>
      <w:r>
        <w:rPr>
          <w:noProof/>
        </w:rPr>
        <w:t>)</w:t>
      </w:r>
      <w:r>
        <w:fldChar w:fldCharType="end"/>
      </w:r>
      <w:r>
        <w:t>:</w:t>
      </w:r>
    </w:p>
    <w:p w14:paraId="553B58AB" w14:textId="058BF1D8" w:rsidR="00E96488" w:rsidRDefault="00413DD1" w:rsidP="004566DC">
      <w:pPr>
        <w:pStyle w:val="ListParagraph"/>
        <w:numPr>
          <w:ilvl w:val="0"/>
          <w:numId w:val="22"/>
        </w:numPr>
        <w:spacing w:after="120"/>
        <w:ind w:left="714" w:hanging="357"/>
      </w:pPr>
      <w:r>
        <w:t>t</w:t>
      </w:r>
      <w:r w:rsidR="00E96488">
        <w:t>he level of risk they have for the condition in question (in this case</w:t>
      </w:r>
      <w:r>
        <w:t>,</w:t>
      </w:r>
      <w:r w:rsidR="00E96488">
        <w:t xml:space="preserve"> CF)</w:t>
      </w:r>
    </w:p>
    <w:p w14:paraId="60C57076" w14:textId="2650B6AC" w:rsidR="00E96488" w:rsidRDefault="00413DD1" w:rsidP="004566DC">
      <w:pPr>
        <w:pStyle w:val="ListParagraph"/>
        <w:numPr>
          <w:ilvl w:val="0"/>
          <w:numId w:val="22"/>
        </w:numPr>
        <w:spacing w:after="120"/>
        <w:ind w:left="714" w:hanging="357"/>
      </w:pPr>
      <w:r>
        <w:t>t</w:t>
      </w:r>
      <w:r w:rsidR="00E96488">
        <w:t>he miscarriage risk of the test (amniocentesis or CVS)</w:t>
      </w:r>
    </w:p>
    <w:p w14:paraId="11783EA1" w14:textId="0B02684B" w:rsidR="00E96488" w:rsidRDefault="00413DD1" w:rsidP="004566DC">
      <w:pPr>
        <w:pStyle w:val="ListParagraph"/>
        <w:numPr>
          <w:ilvl w:val="0"/>
          <w:numId w:val="22"/>
        </w:numPr>
        <w:spacing w:after="120"/>
        <w:ind w:left="714" w:hanging="357"/>
      </w:pPr>
      <w:r>
        <w:t>t</w:t>
      </w:r>
      <w:r w:rsidR="00E96488">
        <w:t xml:space="preserve">he method </w:t>
      </w:r>
      <w:r>
        <w:t xml:space="preserve">that </w:t>
      </w:r>
      <w:r w:rsidR="00E96488">
        <w:t xml:space="preserve">would be offered if they opted for TOP following an abnormal test result. </w:t>
      </w:r>
    </w:p>
    <w:p w14:paraId="4D075F35" w14:textId="7667CCFD" w:rsidR="00E96488" w:rsidRDefault="00E96488" w:rsidP="00E96488">
      <w:r>
        <w:t xml:space="preserve">These considerations are relevant during counselling, especially since counselling professionals and women seem to place different degrees of importance on different aspects of testing. Women value </w:t>
      </w:r>
      <w:r>
        <w:lastRenderedPageBreak/>
        <w:t xml:space="preserve">the safety of the test most highly, whereas health professionals foremost value test accuracy </w:t>
      </w:r>
      <w:r>
        <w:fldChar w:fldCharType="begin"/>
      </w:r>
      <w:r w:rsidR="009A054F">
        <w:instrText xml:space="preserve"> ADDIN EN.CITE &lt;EndNote&gt;&lt;Cite&gt;&lt;Author&gt;De Jong&lt;/Author&gt;&lt;Year&gt;2015&lt;/Year&gt;&lt;RecNum&gt;826&lt;/RecNum&gt;&lt;IDText&gt;1-8&lt;/IDText&gt;&lt;DisplayText&gt;(De Jong, Maya &amp;amp; Van Lith 2015)&lt;/DisplayText&gt;&lt;record&gt;&lt;rec-number&gt;826&lt;/rec-number&gt;&lt;foreign-keys&gt;&lt;key app="EN" db-id="parffa0acae2voep5w3vv9rypas2tr522eef" timestamp="1430369599"&gt;826&lt;/key&gt;&lt;/foreign-keys&gt;&lt;ref-type name="Journal Article"&gt;17&lt;/ref-type&gt;&lt;contributors&gt;&lt;authors&gt;&lt;author&gt;De Jong, A.&lt;/author&gt;&lt;author&gt;Maya, I.&lt;/author&gt;&lt;author&gt;Van Lith, J. M. M.&lt;/author&gt;&lt;/authors&gt;&lt;/contributors&gt;&lt;titles&gt;&lt;title&gt;PRENATAL SCREENING: CURRENT PRACTICE, NEW DEVELOPMENTS, ETHICAL CHALLENGES&lt;/title&gt;&lt;secondary-title&gt;Bioethics&lt;/secondary-title&gt;&lt;/titles&gt;&lt;periodical&gt;&lt;full-title&gt;Bioethics&lt;/full-title&gt;&lt;/periodical&gt;&lt;pages&gt;1-8&lt;/pages&gt;&lt;volume&gt;29&lt;/volume&gt;&lt;number&gt;1&lt;/number&gt;&lt;dates&gt;&lt;year&gt;2015&lt;/year&gt;&lt;pub-dates&gt;&lt;date&gt;Jan&lt;/date&gt;&lt;/pub-dates&gt;&lt;/dates&gt;&lt;isbn&gt;0269-9702&lt;/isbn&gt;&lt;accession-num&gt;CCC:000346473700002&lt;/accession-num&gt;&lt;urls&gt;&lt;related-urls&gt;&lt;url&gt;&amp;lt;Go to ISI&amp;gt;://CCC:000346473700002&lt;/url&gt;&lt;url&gt;http://onlinelibrary.wiley.com/store/10.1111/bioe.12123/asset/bioe12123.pdf?v=1&amp;amp;t=i58x958z&amp;amp;s=981f7ead2a5c207a85ab99ae26bc26e994585d9c&lt;/url&gt;&lt;/related-urls&gt;&lt;/urls&gt;&lt;/record&gt;&lt;/Cite&gt;&lt;/EndNote&gt;</w:instrText>
      </w:r>
      <w:r>
        <w:fldChar w:fldCharType="separate"/>
      </w:r>
      <w:r>
        <w:rPr>
          <w:noProof/>
        </w:rPr>
        <w:t>(</w:t>
      </w:r>
      <w:hyperlink w:anchor="_ENREF_32" w:tooltip="De Jong, 2015 #826" w:history="1">
        <w:r w:rsidR="00A37914">
          <w:rPr>
            <w:noProof/>
          </w:rPr>
          <w:t>d</w:t>
        </w:r>
        <w:r w:rsidR="00B46ABF">
          <w:rPr>
            <w:noProof/>
          </w:rPr>
          <w:t>e Jong, Maya &amp; Van Lith 2015</w:t>
        </w:r>
      </w:hyperlink>
      <w:r>
        <w:rPr>
          <w:noProof/>
        </w:rPr>
        <w:t>)</w:t>
      </w:r>
      <w:r>
        <w:fldChar w:fldCharType="end"/>
      </w:r>
      <w:r>
        <w:t>.</w:t>
      </w:r>
    </w:p>
    <w:p w14:paraId="2EDC615A" w14:textId="072FEFE6" w:rsidR="00E96488" w:rsidRDefault="00F13316" w:rsidP="00E96488">
      <w:pPr>
        <w:pStyle w:val="Heading4"/>
      </w:pPr>
      <w:r>
        <w:t>F.1.4.3.</w:t>
      </w:r>
      <w:r w:rsidR="00AA6922">
        <w:tab/>
      </w:r>
      <w:r w:rsidR="00E96488">
        <w:t>Disability rights critique</w:t>
      </w:r>
    </w:p>
    <w:p w14:paraId="578F7F27" w14:textId="00A868A4" w:rsidR="00E96488" w:rsidRPr="00B41CFA" w:rsidRDefault="00E96488" w:rsidP="00E96488">
      <w:r>
        <w:t>Th</w:t>
      </w:r>
      <w:r w:rsidR="00FC1D49">
        <w:t>e ‘disability rights critique’</w:t>
      </w:r>
      <w:r>
        <w:t xml:space="preserve"> </w:t>
      </w:r>
      <w:r w:rsidR="00FC1D49">
        <w:t>disagrees with</w:t>
      </w:r>
      <w:r>
        <w:t xml:space="preserve"> selective </w:t>
      </w:r>
      <w:r w:rsidR="00A569B1">
        <w:t xml:space="preserve">termination </w:t>
      </w:r>
      <w:r>
        <w:t>as a means to avoid the birth of children with a certain disorder or disability</w:t>
      </w:r>
      <w:r w:rsidR="00D571F3">
        <w:t>—</w:t>
      </w:r>
      <w:r>
        <w:t xml:space="preserve">it is mostly understood as a claim that prenatal testing sends a discriminatory message about people with the condition tested for </w:t>
      </w:r>
      <w:r>
        <w:fldChar w:fldCharType="begin"/>
      </w:r>
      <w:r w:rsidR="009A054F">
        <w:instrText xml:space="preserve"> ADDIN EN.CITE &lt;EndNote&gt;&lt;Cite&gt;&lt;Author&gt;de Jong&lt;/Author&gt;&lt;Year&gt;2015&lt;/Year&gt;&lt;RecNum&gt;822&lt;/RecNum&gt;&lt;IDText&gt;46-55&lt;/IDText&gt;&lt;DisplayText&gt;(de Jong &amp;amp; de Wert 2015)&lt;/DisplayText&gt;&lt;record&gt;&lt;rec-number&gt;822&lt;/rec-number&gt;&lt;foreign-keys&gt;&lt;key app="EN" db-id="parffa0acae2voep5w3vv9rypas2tr522eef" timestamp="1430369597"&gt;822&lt;/key&gt;&lt;/foreign-keys&gt;&lt;ref-type name="Journal Article"&gt;17&lt;/ref-type&gt;&lt;contributors&gt;&lt;authors&gt;&lt;author&gt;de Jong, A.&lt;/author&gt;&lt;author&gt;de Wert, G. M.&lt;/author&gt;&lt;/authors&gt;&lt;/contributors&gt;&lt;titles&gt;&lt;title&gt;Prenatal screening: an ethical agenda for the near future&lt;/title&gt;&lt;secondary-title&gt;Bioethics&lt;/secondary-title&gt;&lt;alt-title&gt;Bioethics&lt;/alt-title&gt;&lt;/titles&gt;&lt;periodical&gt;&lt;full-title&gt;Bioethics&lt;/full-title&gt;&lt;/periodical&gt;&lt;alt-periodical&gt;&lt;full-title&gt;Bioethics&lt;/full-title&gt;&lt;/alt-periodical&gt;&lt;pages&gt;46-55&lt;/pages&gt;&lt;volume&gt;29&lt;/volume&gt;&lt;number&gt;1&lt;/number&gt;&lt;dates&gt;&lt;year&gt;2015&lt;/year&gt;&lt;pub-dates&gt;&lt;date&gt;Jan&lt;/date&gt;&lt;/pub-dates&gt;&lt;/dates&gt;&lt;isbn&gt;1467-8519 (Electronic)&amp;#xD;0269-9702 (Linking)&lt;/isbn&gt;&lt;accession-num&gt;25521973&lt;/accession-num&gt;&lt;urls&gt;&lt;related-urls&gt;&lt;url&gt;http://www.ncbi.nlm.nih.gov/pubmed/25521973&lt;/url&gt;&lt;url&gt;http://onlinelibrary.wiley.com/store/10.1111/bioe.12122/asset/bioe12122.pdf?v=1&amp;amp;t=i5fyem07&amp;amp;s=7fa8e16426089a4b24124477096f6fe48388bfe1&lt;/url&gt;&lt;/related-urls&gt;&lt;/urls&gt;&lt;electronic-resource-num&gt;10.1111/bioe.12122&lt;/electronic-resource-num&gt;&lt;/record&gt;&lt;/Cite&gt;&lt;/EndNote&gt;</w:instrText>
      </w:r>
      <w:r>
        <w:fldChar w:fldCharType="separate"/>
      </w:r>
      <w:r>
        <w:rPr>
          <w:noProof/>
        </w:rPr>
        <w:t>(</w:t>
      </w:r>
      <w:hyperlink w:anchor="_ENREF_30" w:tooltip="de Jong, 2015 #822" w:history="1">
        <w:r w:rsidR="00B46ABF">
          <w:rPr>
            <w:noProof/>
          </w:rPr>
          <w:t>de Jong &amp; de Wert 2015</w:t>
        </w:r>
      </w:hyperlink>
      <w:r>
        <w:rPr>
          <w:noProof/>
        </w:rPr>
        <w:t>)</w:t>
      </w:r>
      <w:r>
        <w:fldChar w:fldCharType="end"/>
      </w:r>
      <w:r>
        <w:t xml:space="preserve">. Prenatal testing sends to society the message that it would have been better if those living with the targeted condition had not been born </w:t>
      </w:r>
      <w:r>
        <w:fldChar w:fldCharType="begin"/>
      </w:r>
      <w:r w:rsidR="009A054F">
        <w:instrText xml:space="preserve"> ADDIN EN.CITE &lt;EndNote&gt;&lt;Cite&gt;&lt;Author&gt;de Jong&lt;/Author&gt;&lt;Year&gt;2011&lt;/Year&gt;&lt;RecNum&gt;825&lt;/RecNum&gt;&lt;IDText&gt;657-NIL_1500&lt;/IDText&gt;&lt;DisplayText&gt;(de Jong et al. 2011)&lt;/DisplayText&gt;&lt;record&gt;&lt;rec-number&gt;825&lt;/rec-number&gt;&lt;foreign-keys&gt;&lt;key app="EN" db-id="parffa0acae2voep5w3vv9rypas2tr522eef" timestamp="1430369598"&gt;825&lt;/key&gt;&lt;/foreign-keys&gt;&lt;ref-type name="Journal Article"&gt;17&lt;/ref-type&gt;&lt;contributors&gt;&lt;authors&gt;&lt;author&gt;de Jong, A.&lt;/author&gt;&lt;author&gt;Dondorp, W. J.&lt;/author&gt;&lt;author&gt;Frints, S. G. M.&lt;/author&gt;&lt;author&gt;de Die-Smulders, C. E. M.&lt;/author&gt;&lt;author&gt;de Wert, Gmwr&lt;/author&gt;&lt;/authors&gt;&lt;/contributors&gt;&lt;titles&gt;&lt;title&gt;Advances in prenatal screening: the ethical dimension&lt;/title&gt;&lt;secondary-title&gt;Nature Reviews Genetics&lt;/secondary-title&gt;&lt;/titles&gt;&lt;periodical&gt;&lt;full-title&gt;Nature Reviews Genetics&lt;/full-title&gt;&lt;/periodical&gt;&lt;pages&gt;657-NIL_1500&lt;/pages&gt;&lt;volume&gt;12&lt;/volume&gt;&lt;number&gt;9&lt;/number&gt;&lt;dates&gt;&lt;year&gt;2011&lt;/year&gt;&lt;pub-dates&gt;&lt;date&gt;Sep&lt;/date&gt;&lt;/pub-dates&gt;&lt;/dates&gt;&lt;isbn&gt;1471-0056&lt;/isbn&gt;&lt;accession-num&gt;CCC:000294004100011&lt;/accession-num&gt;&lt;urls&gt;&lt;related-urls&gt;&lt;url&gt;&amp;lt;Go to ISI&amp;gt;://CCC:000294004100011&lt;/url&gt;&lt;url&gt;http://www.nature.com/nrg/journal/v12/n9/pdf/nrg3036.pdf&lt;/url&gt;&lt;/related-urls&gt;&lt;/urls&gt;&lt;/record&gt;&lt;/Cite&gt;&lt;/EndNote&gt;</w:instrText>
      </w:r>
      <w:r>
        <w:fldChar w:fldCharType="separate"/>
      </w:r>
      <w:r>
        <w:rPr>
          <w:noProof/>
        </w:rPr>
        <w:t>(</w:t>
      </w:r>
      <w:hyperlink w:anchor="_ENREF_31" w:tooltip="de Jong, 2011 #825" w:history="1">
        <w:r w:rsidR="00B46ABF">
          <w:rPr>
            <w:noProof/>
          </w:rPr>
          <w:t>de Jong et al. 2011</w:t>
        </w:r>
      </w:hyperlink>
      <w:r>
        <w:rPr>
          <w:noProof/>
        </w:rPr>
        <w:t>)</w:t>
      </w:r>
      <w:r>
        <w:fldChar w:fldCharType="end"/>
      </w:r>
      <w:r>
        <w:t>. Hildt (2002) stated</w:t>
      </w:r>
      <w:r w:rsidR="00C7646B">
        <w:t>,</w:t>
      </w:r>
      <w:r>
        <w:t xml:space="preserve"> </w:t>
      </w:r>
      <w:r w:rsidR="00C7646B">
        <w:t>‘</w:t>
      </w:r>
      <w:r>
        <w:t>It is well known that one of the main arguments against PND is that a widespread use may lead to further discrimination of disabled people</w:t>
      </w:r>
      <w:r w:rsidR="00C7646B">
        <w:t>’</w:t>
      </w:r>
      <w:r>
        <w:t xml:space="preserve">. There is a concern that prenatal testing will lead to a degradation of society’s willingness to accept and care for children deemed ‘abnormal’, while at the same time enlarging the category of unacceptable ‘abnormality’ and narrowing the range of acceptable ‘normality’. Furthermore, it has been argued that widespread acceptance of selective TOP would diminish the importance of, and the motivation toward, developing cures for genetic disorders </w:t>
      </w:r>
      <w:r>
        <w:fldChar w:fldCharType="begin"/>
      </w:r>
      <w:r w:rsidR="009A054F">
        <w:instrText xml:space="preserve"> ADDIN EN.CITE &lt;EndNote&gt;&lt;Cite&gt;&lt;Author&gt;Aksoy&lt;/Author&gt;&lt;Year&gt;2001&lt;/Year&gt;&lt;RecNum&gt;714&lt;/RecNum&gt;&lt;IDText&gt;E3&lt;/IDText&gt;&lt;DisplayText&gt;(Aksoy 2001)&lt;/DisplayText&gt;&lt;record&gt;&lt;rec-number&gt;714&lt;/rec-number&gt;&lt;foreign-keys&gt;&lt;key app="EN" db-id="parffa0acae2voep5w3vv9rypas2tr522eef" timestamp="1430369555"&gt;714&lt;/key&gt;&lt;/foreign-keys&gt;&lt;ref-type name="Journal Article"&gt;17&lt;/ref-type&gt;&lt;contributors&gt;&lt;authors&gt;&lt;author&gt;Aksoy, S.&lt;/author&gt;&lt;/authors&gt;&lt;/contributors&gt;&lt;auth-address&gt;Aksoy, S., Harran University, Faculty of Medicine, Department of Medical Ethics and History of Medicine, 63200 Sanliurfa, TURKEY.&lt;/auth-address&gt;&lt;titles&gt;&lt;title&gt;Antenatal screening and its possible meaning from unborn baby&amp;apos;s perspective&lt;/title&gt;&lt;secondary-title&gt;BMC medical ethics&lt;/secondary-title&gt;&lt;/titles&gt;&lt;periodical&gt;&lt;full-title&gt;BMC medical ethics&lt;/full-title&gt;&lt;/periodical&gt;&lt;pages&gt;E3&lt;/pages&gt;&lt;volume&gt;2&lt;/volume&gt;&lt;keywords&gt;&lt;keyword&gt;abortion&lt;/keyword&gt;&lt;keyword&gt;article&lt;/keyword&gt;&lt;keyword&gt;congenital malformation&lt;/keyword&gt;&lt;keyword&gt;cost benefit analysis&lt;/keyword&gt;&lt;keyword&gt;directive counseling&lt;/keyword&gt;&lt;keyword&gt;economics&lt;/keyword&gt;&lt;keyword&gt;ethics&lt;/keyword&gt;&lt;keyword&gt;female&lt;/keyword&gt;&lt;keyword&gt;fetus&lt;/keyword&gt;&lt;keyword&gt;genetic counseling&lt;/keyword&gt;&lt;keyword&gt;genetic disorder&lt;/keyword&gt;&lt;keyword&gt;genetic screening&lt;/keyword&gt;&lt;keyword&gt;genetics&lt;/keyword&gt;&lt;keyword&gt;Genetics and Reproduction&lt;/keyword&gt;&lt;keyword&gt;human&lt;/keyword&gt;&lt;keyword&gt;methodology&lt;/keyword&gt;&lt;keyword&gt;parent&lt;/keyword&gt;&lt;keyword&gt;pregnancy&lt;/keyword&gt;&lt;keyword&gt;pregnant woman&lt;/keyword&gt;&lt;keyword&gt;prenatal diagnosis&lt;/keyword&gt;&lt;keyword&gt;sex determination&lt;/keyword&gt;&lt;/keywords&gt;&lt;dates&gt;&lt;year&gt;2001&lt;/year&gt;&lt;/dates&gt;&lt;isbn&gt;1472-6939&lt;/isbn&gt;&lt;urls&gt;&lt;related-urls&gt;&lt;url&gt;http://www.embase.com/search/results?subaction=viewrecord&amp;amp;from=export&amp;amp;id=L39033990&lt;/url&gt;&lt;url&gt;http://www.ncbi.nlm.nih.gov/pmc/articles/PMC32195/pdf/1472-6939-2-3.pdf&lt;/url&gt;&lt;/related-urls&gt;&lt;/urls&gt;&lt;/record&gt;&lt;/Cite&gt;&lt;/EndNote&gt;</w:instrText>
      </w:r>
      <w:r>
        <w:fldChar w:fldCharType="separate"/>
      </w:r>
      <w:r>
        <w:rPr>
          <w:noProof/>
        </w:rPr>
        <w:t>(</w:t>
      </w:r>
      <w:hyperlink w:anchor="_ENREF_2" w:tooltip="Aksoy, 2001 #714" w:history="1">
        <w:r w:rsidR="00B46ABF">
          <w:rPr>
            <w:noProof/>
          </w:rPr>
          <w:t>Aksoy 2001</w:t>
        </w:r>
      </w:hyperlink>
      <w:r>
        <w:rPr>
          <w:noProof/>
        </w:rPr>
        <w:t>)</w:t>
      </w:r>
      <w:r>
        <w:fldChar w:fldCharType="end"/>
      </w:r>
      <w:r>
        <w:t xml:space="preserve">. However, if informed decisions, rather than </w:t>
      </w:r>
      <w:r w:rsidR="00A569B1">
        <w:t xml:space="preserve">termination </w:t>
      </w:r>
      <w:r>
        <w:t xml:space="preserve">rates, are taken as a measure of success in prenatal testing, the disability rights critique is arguably less convincing </w:t>
      </w:r>
      <w:r>
        <w:fldChar w:fldCharType="begin"/>
      </w:r>
      <w:r w:rsidR="009A054F">
        <w:instrText xml:space="preserve"> ADDIN EN.CITE &lt;EndNote&gt;&lt;Cite&gt;&lt;Author&gt;de Jong&lt;/Author&gt;&lt;Year&gt;2011&lt;/Year&gt;&lt;RecNum&gt;825&lt;/RecNum&gt;&lt;IDText&gt;657-NIL_1500&lt;/IDText&gt;&lt;DisplayText&gt;(de Jong et al. 2011)&lt;/DisplayText&gt;&lt;record&gt;&lt;rec-number&gt;825&lt;/rec-number&gt;&lt;foreign-keys&gt;&lt;key app="EN" db-id="parffa0acae2voep5w3vv9rypas2tr522eef" timestamp="1430369598"&gt;825&lt;/key&gt;&lt;/foreign-keys&gt;&lt;ref-type name="Journal Article"&gt;17&lt;/ref-type&gt;&lt;contributors&gt;&lt;authors&gt;&lt;author&gt;de Jong, A.&lt;/author&gt;&lt;author&gt;Dondorp, W. J.&lt;/author&gt;&lt;author&gt;Frints, S. G. M.&lt;/author&gt;&lt;author&gt;de Die-Smulders, C. E. M.&lt;/author&gt;&lt;author&gt;de Wert, Gmwr&lt;/author&gt;&lt;/authors&gt;&lt;/contributors&gt;&lt;titles&gt;&lt;title&gt;Advances in prenatal screening: the ethical dimension&lt;/title&gt;&lt;secondary-title&gt;Nature Reviews Genetics&lt;/secondary-title&gt;&lt;/titles&gt;&lt;periodical&gt;&lt;full-title&gt;Nature Reviews Genetics&lt;/full-title&gt;&lt;/periodical&gt;&lt;pages&gt;657-NIL_1500&lt;/pages&gt;&lt;volume&gt;12&lt;/volume&gt;&lt;number&gt;9&lt;/number&gt;&lt;dates&gt;&lt;year&gt;2011&lt;/year&gt;&lt;pub-dates&gt;&lt;date&gt;Sep&lt;/date&gt;&lt;/pub-dates&gt;&lt;/dates&gt;&lt;isbn&gt;1471-0056&lt;/isbn&gt;&lt;accession-num&gt;CCC:000294004100011&lt;/accession-num&gt;&lt;urls&gt;&lt;related-urls&gt;&lt;url&gt;&amp;lt;Go to ISI&amp;gt;://CCC:000294004100011&lt;/url&gt;&lt;url&gt;http://www.nature.com/nrg/journal/v12/n9/pdf/nrg3036.pdf&lt;/url&gt;&lt;/related-urls&gt;&lt;/urls&gt;&lt;/record&gt;&lt;/Cite&gt;&lt;/EndNote&gt;</w:instrText>
      </w:r>
      <w:r>
        <w:fldChar w:fldCharType="separate"/>
      </w:r>
      <w:r>
        <w:rPr>
          <w:noProof/>
        </w:rPr>
        <w:t>(</w:t>
      </w:r>
      <w:hyperlink w:anchor="_ENREF_31" w:tooltip="de Jong, 2011 #825" w:history="1">
        <w:r w:rsidR="00B46ABF">
          <w:rPr>
            <w:noProof/>
          </w:rPr>
          <w:t>de Jong et al. 2011</w:t>
        </w:r>
      </w:hyperlink>
      <w:r>
        <w:rPr>
          <w:noProof/>
        </w:rPr>
        <w:t>)</w:t>
      </w:r>
      <w:r>
        <w:fldChar w:fldCharType="end"/>
      </w:r>
      <w:r>
        <w:t>.</w:t>
      </w:r>
    </w:p>
    <w:p w14:paraId="370DE39E" w14:textId="57C2FBF2" w:rsidR="00E96488" w:rsidRDefault="00F13316" w:rsidP="00E96488">
      <w:pPr>
        <w:pStyle w:val="Heading4"/>
      </w:pPr>
      <w:r>
        <w:t>F.1.4.4.</w:t>
      </w:r>
      <w:r w:rsidR="00AA6922">
        <w:tab/>
      </w:r>
      <w:r w:rsidR="00E96488">
        <w:t>Access to testing and TOP</w:t>
      </w:r>
    </w:p>
    <w:p w14:paraId="2AE2062E" w14:textId="6E485EBC" w:rsidR="00E96488" w:rsidRDefault="00E96488" w:rsidP="00E96488">
      <w:r>
        <w:t xml:space="preserve">In Australia access to medical services is generally adequate and equitable; however, access problems among the rural population are well known. Genetics services are no exception </w:t>
      </w:r>
      <w:r>
        <w:fldChar w:fldCharType="begin"/>
      </w:r>
      <w:r w:rsidR="009A054F">
        <w:instrText xml:space="preserve"> ADDIN EN.CITE &lt;EndNote&gt;&lt;Cite&gt;&lt;Author&gt;Wilcken&lt;/Author&gt;&lt;Year&gt;2011&lt;/Year&gt;&lt;RecNum&gt;1088&lt;/RecNum&gt;&lt;IDText&gt;668-671&lt;/IDText&gt;&lt;DisplayText&gt;(Wilcken 2011)&lt;/DisplayText&gt;&lt;record&gt;&lt;rec-number&gt;1088&lt;/rec-number&gt;&lt;foreign-keys&gt;&lt;key app="EN" db-id="parffa0acae2voep5w3vv9rypas2tr522eef" timestamp="1430369673"&gt;1088&lt;/key&gt;&lt;/foreign-keys&gt;&lt;ref-type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fldChar w:fldCharType="separate"/>
      </w:r>
      <w:r>
        <w:rPr>
          <w:noProof/>
        </w:rPr>
        <w:t>(</w:t>
      </w:r>
      <w:hyperlink w:anchor="_ENREF_130" w:tooltip="Wilcken, 2011 #1088" w:history="1">
        <w:r w:rsidR="00B46ABF">
          <w:rPr>
            <w:noProof/>
          </w:rPr>
          <w:t>Wilcken 2011</w:t>
        </w:r>
      </w:hyperlink>
      <w:r>
        <w:rPr>
          <w:noProof/>
        </w:rPr>
        <w:t>)</w:t>
      </w:r>
      <w:r>
        <w:fldChar w:fldCharType="end"/>
      </w:r>
      <w:r>
        <w:t xml:space="preserve">. </w:t>
      </w:r>
    </w:p>
    <w:p w14:paraId="3C13EE20" w14:textId="358D4052" w:rsidR="00E96488" w:rsidRDefault="00E96488" w:rsidP="00E96488">
      <w:r>
        <w:t xml:space="preserve">Currently, most genetic tests are expensive and not </w:t>
      </w:r>
      <w:r w:rsidR="008E7116">
        <w:t>listed on</w:t>
      </w:r>
      <w:r>
        <w:t xml:space="preserve"> the MBS. In most cases, but not all, diagnostic </w:t>
      </w:r>
      <w:r w:rsidR="00FD37D3" w:rsidRPr="00FD37D3">
        <w:t>CFTR</w:t>
      </w:r>
      <w:r>
        <w:t xml:space="preserve"> testing is paid for by the </w:t>
      </w:r>
      <w:r w:rsidR="00C7646B">
        <w:t>s</w:t>
      </w:r>
      <w:r>
        <w:t>tates/</w:t>
      </w:r>
      <w:r w:rsidR="00C7646B">
        <w:t>t</w:t>
      </w:r>
      <w:r>
        <w:t>erritories. When people are referred by a private facility, they are billed directly and must cover the entire cost themselves. Pre-implantation genetic diagnosis (PGD) is not included in this assessment, since this service is assessed elsewhere (</w:t>
      </w:r>
      <w:r w:rsidR="00C7646B">
        <w:t xml:space="preserve">see </w:t>
      </w:r>
      <w:r>
        <w:t xml:space="preserve">MSAC 1165), and at the time of writing no subsidies are offered for PGD. PGD is often preferred by families to avoid the risk of having to abort an affected fetus, </w:t>
      </w:r>
      <w:r w:rsidR="00C7646B">
        <w:t>al</w:t>
      </w:r>
      <w:r>
        <w:t xml:space="preserve">though it is prohibitively expensive for most couples </w:t>
      </w:r>
      <w:r>
        <w:fldChar w:fldCharType="begin"/>
      </w:r>
      <w:r w:rsidR="009A054F">
        <w:instrText xml:space="preserve"> ADDIN EN.CITE &lt;EndNote&gt;&lt;Cite&gt;&lt;Author&gt;Wilcken&lt;/Author&gt;&lt;Year&gt;2011&lt;/Year&gt;&lt;RecNum&gt;1088&lt;/RecNum&gt;&lt;IDText&gt;668-671&lt;/IDText&gt;&lt;DisplayText&gt;(Wilcken 2011)&lt;/DisplayText&gt;&lt;record&gt;&lt;rec-number&gt;1088&lt;/rec-number&gt;&lt;foreign-keys&gt;&lt;key app="EN" db-id="parffa0acae2voep5w3vv9rypas2tr522eef" timestamp="1430369673"&gt;1088&lt;/key&gt;&lt;/foreign-keys&gt;&lt;ref-type name="Journal Article"&gt;17&lt;/ref-type&gt;&lt;contributors&gt;&lt;authors&gt;&lt;author&gt;Wilcken, B.&lt;/author&gt;&lt;/authors&gt;&lt;/contributors&gt;&lt;auth-address&gt;Wilcken, B., Childrens Hospital at Westmead, Westmead, NSW 2145, Australia&lt;/auth-address&gt;&lt;titles&gt;&lt;title&gt;Ethical issues in genetics&lt;/title&gt;&lt;secondary-title&gt;Journal of Paediatrics and Child Health&lt;/secondary-title&gt;&lt;/titles&gt;&lt;periodical&gt;&lt;full-title&gt;Journal of Paediatrics and Child Health&lt;/full-title&gt;&lt;/periodical&gt;&lt;pages&gt;668-671&lt;/pages&gt;&lt;volume&gt;47&lt;/volume&gt;&lt;number&gt;9&lt;/number&gt;&lt;keywords&gt;&lt;keyword&gt;child advocacy&lt;/keyword&gt;&lt;keyword&gt;child safety&lt;/keyword&gt;&lt;keyword&gt;clinical genetics&lt;/keyword&gt;&lt;keyword&gt;confidentiality&lt;/keyword&gt;&lt;keyword&gt;diagnostic test&lt;/keyword&gt;&lt;keyword&gt;direct to consumer testing&lt;/keyword&gt;&lt;keyword&gt;gene sequence&lt;/keyword&gt;&lt;keyword&gt;genetic counseling&lt;/keyword&gt;&lt;keyword&gt;genetic screening&lt;/keyword&gt;&lt;keyword&gt;genetic selection&lt;/keyword&gt;&lt;keyword&gt;health care access&lt;/keyword&gt;&lt;keyword&gt;health care cost&lt;/keyword&gt;&lt;keyword&gt;human&lt;/keyword&gt;&lt;keyword&gt;interpersonal communication&lt;/keyword&gt;&lt;keyword&gt;medical ethics&lt;/keyword&gt;&lt;keyword&gt;newborn screening&lt;/keyword&gt;&lt;keyword&gt;prenatal screening&lt;/keyword&gt;&lt;keyword&gt;priority journal&lt;/keyword&gt;&lt;keyword&gt;reproduction&lt;/keyword&gt;&lt;keyword&gt;review&lt;/keyword&gt;&lt;keyword&gt;sibling&lt;/keyword&gt;&lt;/keywords&gt;&lt;dates&gt;&lt;year&gt;2011&lt;/year&gt;&lt;/dates&gt;&lt;isbn&gt;1034-4810&amp;#xD;1440-1754&lt;/isbn&gt;&lt;urls&gt;&lt;related-urls&gt;&lt;url&gt;http://www.embase.com/search/results?subaction=viewrecord&amp;amp;from=export&amp;amp;id=L362686631&lt;/url&gt;&lt;url&gt;http://dx.doi.org/10.1111/j.1440-1754.2011.02168.x&lt;/url&gt;&lt;url&gt;http://onlinelibrary.wiley.com/store/10.1111/j.1440-1754.2011.02168.x/asset/j.1440-1754.2011.02168.x.pdf?v=1&amp;amp;t=h827woda&amp;amp;s=e2c3d1b5b4762694873bc4dd531feb7e0a513ae3&lt;/url&gt;&lt;/related-urls&gt;&lt;/urls&gt;&lt;/record&gt;&lt;/Cite&gt;&lt;/EndNote&gt;</w:instrText>
      </w:r>
      <w:r>
        <w:fldChar w:fldCharType="separate"/>
      </w:r>
      <w:r>
        <w:rPr>
          <w:noProof/>
        </w:rPr>
        <w:t>(</w:t>
      </w:r>
      <w:hyperlink w:anchor="_ENREF_130" w:tooltip="Wilcken, 2011 #1088" w:history="1">
        <w:r w:rsidR="00B46ABF">
          <w:rPr>
            <w:noProof/>
          </w:rPr>
          <w:t>Wilcken 2011</w:t>
        </w:r>
      </w:hyperlink>
      <w:r>
        <w:rPr>
          <w:noProof/>
        </w:rPr>
        <w:t>)</w:t>
      </w:r>
      <w:r>
        <w:fldChar w:fldCharType="end"/>
      </w:r>
      <w:r>
        <w:t xml:space="preserve">. </w:t>
      </w:r>
      <w:r w:rsidR="00CC7E3B">
        <w:t>In the event that MBS funding for PGD is not recommended, the number of people who opt for prenatal testing might increase, leaving PGD for those individuals who can afford to pay for it privately</w:t>
      </w:r>
      <w:r>
        <w:t xml:space="preserve">. This is a relevant consideration in the decision making that is to follow both the present assessment (MSAC 1216) and </w:t>
      </w:r>
      <w:r w:rsidRPr="00911A7E">
        <w:t xml:space="preserve">assessment of </w:t>
      </w:r>
      <w:r>
        <w:t>MSAC 1165.</w:t>
      </w:r>
    </w:p>
    <w:p w14:paraId="63A30C2D" w14:textId="06E96AAD" w:rsidR="00E96488" w:rsidRDefault="00F13316" w:rsidP="00E96488">
      <w:pPr>
        <w:pStyle w:val="Heading4"/>
      </w:pPr>
      <w:r>
        <w:t>F.1.4.5.</w:t>
      </w:r>
      <w:r w:rsidR="00AA6922">
        <w:tab/>
      </w:r>
      <w:r w:rsidR="00E96488">
        <w:t>Privacy and confidentiality</w:t>
      </w:r>
    </w:p>
    <w:p w14:paraId="0117104A" w14:textId="1A158763" w:rsidR="00E96488" w:rsidRDefault="00E96488" w:rsidP="00E96488">
      <w:pPr>
        <w:tabs>
          <w:tab w:val="left" w:pos="284"/>
        </w:tabs>
        <w:spacing w:after="120"/>
      </w:pPr>
      <w:r>
        <w:t>The principle of respect for autonomy commends access to voluntary genetic testing, including proper counselling and information on its risks and benefits. It also affirms the individual’s right to privacy. In the case of prenatal testing, an individual may choose to reveal information about their carrier status</w:t>
      </w:r>
      <w:r w:rsidRPr="00BD5C24">
        <w:t xml:space="preserve"> </w:t>
      </w:r>
      <w:r>
        <w:t xml:space="preserve">to their partner and medical personnel, but this information must usually be kept </w:t>
      </w:r>
      <w:r>
        <w:lastRenderedPageBreak/>
        <w:t xml:space="preserve">confidential by medical personnel. Genetic information is special insofar as genetic abnormalities in one individual could also have implications for the health of genetically related family members. Therefore, if the individual chooses to keep his/her carrier status private, this limits the ability of other family members to make informed reproductive choices. Because </w:t>
      </w:r>
      <w:r w:rsidR="00FD37D3" w:rsidRPr="00FD37D3">
        <w:t>CFTR</w:t>
      </w:r>
      <w:r>
        <w:t xml:space="preserve"> mutations are a matter for both individuals and families, ethical dilemmas can occur when a clinician is torn between maintain</w:t>
      </w:r>
      <w:r w:rsidR="002D0501">
        <w:t>ing the confidentiality of test</w:t>
      </w:r>
      <w:r>
        <w:t xml:space="preserve"> results and informing family members of their own risk of having a child with CF. </w:t>
      </w:r>
      <w:r w:rsidRPr="00A069A0">
        <w:t xml:space="preserve">Judging which specific clinical situations warrant a breach of confidentiality remains one of the most difficult ethical issues raised by genetic testing. </w:t>
      </w:r>
      <w:r>
        <w:t>In the case of CF-carriers, genetic counsellors may seek to persuade patients to disclose their carrier</w:t>
      </w:r>
      <w:r w:rsidR="00C7646B">
        <w:t xml:space="preserve"> </w:t>
      </w:r>
      <w:r>
        <w:t xml:space="preserve">status </w:t>
      </w:r>
      <w:r w:rsidR="00D571F3">
        <w:t xml:space="preserve">to </w:t>
      </w:r>
      <w:r>
        <w:t xml:space="preserve">siblings, parents and/or children instead of providing non-directive counselling, or ask </w:t>
      </w:r>
      <w:r w:rsidR="00D571F3">
        <w:t xml:space="preserve">patients </w:t>
      </w:r>
      <w:r>
        <w:t xml:space="preserve">to allow the counsellors to disclose this information </w:t>
      </w:r>
      <w:r>
        <w:fldChar w:fldCharType="begin"/>
      </w:r>
      <w:r w:rsidR="009A054F">
        <w:instrText xml:space="preserve"> ADDIN EN.CITE &lt;EndNote&gt;&lt;Cite&gt;&lt;Author&gt;Beauchamp&lt;/Author&gt;&lt;Year&gt;2001&lt;/Year&gt;&lt;RecNum&gt;743&lt;/RecNum&gt;&lt;DisplayText&gt;(Beauchamp &amp;amp; Childress 2001)&lt;/DisplayText&gt;&lt;record&gt;&lt;rec-number&gt;743&lt;/rec-number&gt;&lt;foreign-keys&gt;&lt;key app="EN" db-id="parffa0acae2voep5w3vv9rypas2tr522eef" timestamp="1430369567"&gt;743&lt;/key&gt;&lt;/foreign-keys&gt;&lt;ref-type name="Book"&gt;6&lt;/ref-type&gt;&lt;contributors&gt;&lt;authors&gt;&lt;author&gt;Beauchamp, T.L.,&lt;/author&gt;&lt;author&gt;Childress, J.F.&lt;/author&gt;&lt;/authors&gt;&lt;/contributors&gt;&lt;titles&gt;&lt;title&gt;Principles of Biomedical Ethics&lt;/title&gt;&lt;/titles&gt;&lt;edition&gt;5th&lt;/edition&gt;&lt;dates&gt;&lt;year&gt;2001&lt;/year&gt;&lt;/dates&gt;&lt;pub-location&gt;New York&lt;/pub-location&gt;&lt;publisher&gt;Oxford University Press&lt;/publisher&gt;&lt;accession-num&gt;BE_01&lt;/accession-num&gt;&lt;urls&gt;&lt;/urls&gt;&lt;/record&gt;&lt;/Cite&gt;&lt;/EndNote&gt;</w:instrText>
      </w:r>
      <w:r>
        <w:fldChar w:fldCharType="separate"/>
      </w:r>
      <w:r>
        <w:rPr>
          <w:noProof/>
        </w:rPr>
        <w:t>(</w:t>
      </w:r>
      <w:hyperlink w:anchor="_ENREF_12" w:tooltip="Beauchamp, 2001 #743" w:history="1">
        <w:r w:rsidR="00B46ABF">
          <w:rPr>
            <w:noProof/>
          </w:rPr>
          <w:t>Beauchamp &amp; Childress 2001</w:t>
        </w:r>
      </w:hyperlink>
      <w:r>
        <w:rPr>
          <w:noProof/>
        </w:rPr>
        <w:t>)</w:t>
      </w:r>
      <w:r>
        <w:fldChar w:fldCharType="end"/>
      </w:r>
      <w:r>
        <w:t>. The ex</w:t>
      </w:r>
      <w:r w:rsidR="00B46ABF">
        <w:t>ception</w:t>
      </w:r>
      <w:r w:rsidR="00C7646B">
        <w:t>s</w:t>
      </w:r>
      <w:r>
        <w:t xml:space="preserve"> that permit or even mandate disclosure are circumstances in which </w:t>
      </w:r>
      <w:r w:rsidR="008C437A">
        <w:t>it</w:t>
      </w:r>
      <w:r w:rsidR="00B46ABF">
        <w:t xml:space="preserve"> is necessary to lessen or prevent a serious threat to </w:t>
      </w:r>
      <w:r w:rsidR="00C7646B">
        <w:t xml:space="preserve">the </w:t>
      </w:r>
      <w:r w:rsidR="00B46ABF">
        <w:t xml:space="preserve">life, health </w:t>
      </w:r>
      <w:r w:rsidR="00C7646B">
        <w:t xml:space="preserve">or </w:t>
      </w:r>
      <w:r w:rsidR="00B46ABF">
        <w:t xml:space="preserve">safety (whether or not the threat is imminent) of an individual who is a genetic relative of the </w:t>
      </w:r>
      <w:r w:rsidR="00C7646B">
        <w:t xml:space="preserve">person </w:t>
      </w:r>
      <w:r w:rsidR="00B46ABF">
        <w:t xml:space="preserve">to whom the genetic information relates </w:t>
      </w:r>
      <w:r w:rsidR="00B46ABF">
        <w:fldChar w:fldCharType="begin"/>
      </w:r>
      <w:r w:rsidR="00B46ABF">
        <w:instrText xml:space="preserve"> ADDIN EN.CITE &lt;EndNote&gt;&lt;Cite&gt;&lt;Author&gt;Suthers&lt;/Author&gt;&lt;Year&gt;2011&lt;/Year&gt;&lt;RecNum&gt;1105&lt;/RecNum&gt;&lt;IDText&gt;385-6&lt;/IDText&gt;&lt;DisplayText&gt;(Suthers, McCusker &amp;amp; Wake 2011)&lt;/DisplayText&gt;&lt;record&gt;&lt;rec-number&gt;1105&lt;/rec-number&gt;&lt;foreign-keys&gt;&lt;key app="EN" db-id="parffa0acae2voep5w3vv9rypas2tr522eef" timestamp="1430381115"&gt;1105&lt;/key&gt;&lt;/foreign-keys&gt;&lt;ref-type name="Journal Article"&gt;17&lt;/ref-type&gt;&lt;contributors&gt;&lt;authors&gt;&lt;author&gt;Suthers, G. K.&lt;/author&gt;&lt;author&gt;McCusker, E. A.&lt;/author&gt;&lt;author&gt;Wake, S. A.&lt;/author&gt;&lt;/authors&gt;&lt;/contributors&gt;&lt;titles&gt;&lt;title&gt;Alerting genetic relatives to a risk of serious inherited disease without a patient&amp;apos;s consent&lt;/title&gt;&lt;secondary-title&gt;Med J Aust&lt;/secondary-title&gt;&lt;alt-title&gt;The Medical journal of Australia&lt;/alt-title&gt;&lt;/titles&gt;&lt;alt-periodical&gt;&lt;full-title&gt;The Medical Journal of Australia&lt;/full-title&gt;&lt;abbr-1&gt;MJA&lt;/abbr-1&gt;&lt;/alt-periodical&gt;&lt;pages&gt;385-6&lt;/pages&gt;&lt;volume&gt;194&lt;/volume&gt;&lt;number&gt;8&lt;/number&gt;&lt;edition&gt;2011/04/19&lt;/edition&gt;&lt;keywords&gt;&lt;keyword&gt;Australia&lt;/keyword&gt;&lt;keyword&gt;Confidentiality/*legislation &amp;amp; jurisprudence&lt;/keyword&gt;&lt;keyword&gt;Genetic Diseases, Inborn/*diagnosis/*genetics/therapy&lt;/keyword&gt;&lt;keyword&gt;Guidelines as Topic&lt;/keyword&gt;&lt;keyword&gt;Humans&lt;/keyword&gt;&lt;keyword&gt;Informed Consent/*legislation &amp;amp; jurisprudence&lt;/keyword&gt;&lt;keyword&gt;*Truth Disclosure&lt;/keyword&gt;&lt;/keywords&gt;&lt;dates&gt;&lt;year&gt;2011&lt;/year&gt;&lt;pub-dates&gt;&lt;date&gt;Apr 18&lt;/date&gt;&lt;/pub-dates&gt;&lt;/dates&gt;&lt;isbn&gt;1326-5377 (Electronic)&amp;#xD;0025-729X (Linking)&lt;/isbn&gt;&lt;accession-num&gt;21495936&lt;/accession-num&gt;&lt;work-type&gt;Editorial&lt;/work-type&gt;&lt;urls&gt;&lt;related-urls&gt;&lt;url&gt;http://www.ncbi.nlm.nih.gov/pubmed/21495936&lt;/url&gt;&lt;/related-urls&gt;&lt;/urls&gt;&lt;/record&gt;&lt;/Cite&gt;&lt;/EndNote&gt;</w:instrText>
      </w:r>
      <w:r w:rsidR="00B46ABF">
        <w:fldChar w:fldCharType="separate"/>
      </w:r>
      <w:r w:rsidR="00B46ABF">
        <w:rPr>
          <w:noProof/>
        </w:rPr>
        <w:t>(</w:t>
      </w:r>
      <w:hyperlink w:anchor="_ENREF_120" w:tooltip="Suthers, 2011 #1105" w:history="1">
        <w:r w:rsidR="00B46ABF">
          <w:rPr>
            <w:noProof/>
          </w:rPr>
          <w:t>Suthers, McCusker &amp; Wake 2011</w:t>
        </w:r>
      </w:hyperlink>
      <w:r w:rsidR="00B46ABF">
        <w:rPr>
          <w:noProof/>
        </w:rPr>
        <w:t>)</w:t>
      </w:r>
      <w:r w:rsidR="00B46ABF">
        <w:fldChar w:fldCharType="end"/>
      </w:r>
      <w:r>
        <w:t>. The Institute of Medicine’s Committee on Assessing Genetic Risks, together with other institutions, has proposed that the following criteria must be met to justify a breach of confidentiality: (1) all attempts to elicit voluntary disclosure must be exhausted, (2) the seriousness of the har</w:t>
      </w:r>
      <w:r w:rsidR="00B46ABF">
        <w:t>m posed by the mutations must be</w:t>
      </w:r>
      <w:r>
        <w:t xml:space="preserve"> </w:t>
      </w:r>
      <w:r w:rsidR="00B46ABF">
        <w:t>c</w:t>
      </w:r>
      <w:r>
        <w:t xml:space="preserve">ertain, and (3) the availability of preventative or therapeutic interventions must be clear </w:t>
      </w:r>
      <w:r>
        <w:fldChar w:fldCharType="begin">
          <w:fldData xml:space="preserve">PEVuZE5vdGU+PENpdGU+PEF1dGhvcj5XaW5zbG93PC9BdXRob3I+PFllYXI+MjAwNTwvWWVhcj48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==
</w:fldData>
        </w:fldChar>
      </w:r>
      <w:r w:rsidR="009A054F">
        <w:instrText xml:space="preserve"> ADDIN EN.CITE </w:instrText>
      </w:r>
      <w:r w:rsidR="009A054F">
        <w:fldChar w:fldCharType="begin">
          <w:fldData xml:space="preserve">PEVuZE5vdGU+PENpdGU+PEF1dGhvcj5XaW5zbG93PC9BdXRob3I+PFllYXI+MjAwNTwvWWVhcj48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==
</w:fldData>
        </w:fldChar>
      </w:r>
      <w:r w:rsidR="009A054F">
        <w:instrText xml:space="preserve"> ADDIN EN.CITE.DATA </w:instrText>
      </w:r>
      <w:r w:rsidR="009A054F">
        <w:fldChar w:fldCharType="end"/>
      </w:r>
      <w:r>
        <w:fldChar w:fldCharType="separate"/>
      </w:r>
      <w:r>
        <w:rPr>
          <w:noProof/>
        </w:rPr>
        <w:t>(</w:t>
      </w:r>
      <w:hyperlink w:anchor="_ENREF_133" w:tooltip="Winslow, 2005 #1093" w:history="1">
        <w:r w:rsidR="00B46ABF">
          <w:rPr>
            <w:noProof/>
          </w:rPr>
          <w:t>Winslow, Kodner &amp; Dietz 2005</w:t>
        </w:r>
      </w:hyperlink>
      <w:r>
        <w:rPr>
          <w:noProof/>
        </w:rPr>
        <w:t>)</w:t>
      </w:r>
      <w:r>
        <w:fldChar w:fldCharType="end"/>
      </w:r>
      <w:r>
        <w:t>. It is important to consider that, in the case of carriers, there is only a risk for family members if they are going to have children.</w:t>
      </w:r>
    </w:p>
    <w:p w14:paraId="6CD8969C" w14:textId="259BA6FB" w:rsidR="00E96488" w:rsidRDefault="00E96488" w:rsidP="00E96488">
      <w:r>
        <w:t xml:space="preserve">It is possible that, in some cases, the prenatal test may indicate non-paternity </w:t>
      </w:r>
      <w:r>
        <w:fldChar w:fldCharType="begin"/>
      </w:r>
      <w:r w:rsidR="009A054F">
        <w:instrText xml:space="preserve"> ADDIN EN.CITE &lt;EndNote&gt;&lt;Cite&gt;&lt;Author&gt;Hill&lt;/Author&gt;&lt;Year&gt;2004&lt;/Year&gt;&lt;RecNum&gt;894&lt;/RecNum&gt;&lt;IDText&gt;1654&lt;/IDText&gt;&lt;DisplayText&gt;(Hill, J 2004)&lt;/DisplayText&gt;&lt;record&gt;&lt;rec-number&gt;894&lt;/rec-number&gt;&lt;foreign-keys&gt;&lt;key app="EN" db-id="parffa0acae2voep5w3vv9rypas2tr522eef" timestamp="1430369619"&gt;894&lt;/key&gt;&lt;/foreign-keys&gt;&lt;ref-type name="Journal Article"&gt;17&lt;/ref-type&gt;&lt;contributors&gt;&lt;authors&gt;&lt;author&gt;Hill, J.&lt;/author&gt;&lt;/authors&gt;&lt;/contributors&gt;&lt;auth-address&gt;Joal.Hill@advocatehealth.co&lt;/auth-address&gt;&lt;titles&gt;&lt;title&gt;More than I wanted to know&lt;/title&gt;&lt;secondary-title&gt;Lancet&lt;/secondary-title&gt;&lt;alt-title&gt;Lancet&lt;/alt-title&gt;&lt;/titles&gt;&lt;periodical&gt;&lt;full-title&gt;Lancet&lt;/full-title&gt;&lt;abbr-1&gt;Lancet&lt;/abbr-1&gt;&lt;/periodical&gt;&lt;alt-periodical&gt;&lt;full-title&gt;Lancet&lt;/full-title&gt;&lt;abbr-1&gt;Lancet&lt;/abbr-1&gt;&lt;/alt-periodical&gt;&lt;pages&gt;1654&lt;/pages&gt;&lt;volume&gt;363&lt;/volume&gt;&lt;number&gt;9421&lt;/number&gt;&lt;keywords&gt;&lt;keyword&gt;Female&lt;/keyword&gt;&lt;keyword&gt;Genetic Testing&lt;/keyword&gt;&lt;keyword&gt;Humans&lt;/keyword&gt;&lt;keyword&gt;Kidney Transplantation&lt;/keyword&gt;&lt;keyword&gt;Male&lt;/keyword&gt;&lt;keyword&gt;*Paternity&lt;/keyword&gt;&lt;keyword&gt;Physician-Patient Relations/*ethics&lt;/keyword&gt;&lt;keyword&gt;Truth Disclosure/*ethics&lt;/keyword&gt;&lt;/keywords&gt;&lt;dates&gt;&lt;year&gt;2004&lt;/year&gt;&lt;pub-dates&gt;&lt;date&gt;May 15&lt;/date&gt;&lt;/pub-dates&gt;&lt;/dates&gt;&lt;isbn&gt;1474-547X (Electronic)&amp;#xD;0140-6736 (Linking)&lt;/isbn&gt;&lt;accession-num&gt;15145654&lt;/accession-num&gt;&lt;urls&gt;&lt;related-urls&gt;&lt;url&gt;http://www.ncbi.nlm.nih.gov/pubmed/15145654&lt;/url&gt;&lt;url&gt;http://ac.els-cdn.com/S0140673604162260/1-s2.0-S0140673604162260-main.pdf?_tid=73567274-aa96-11e4-865c-00000aab0f27&amp;amp;acdnat=1422852568_18c686e6d7f3095aff1875eb690c75f7&lt;/url&gt;&lt;/related-urls&gt;&lt;/urls&gt;&lt;electronic-resource-num&gt;10.1016/S0140-6736(04)16226-0&lt;/electronic-resource-num&gt;&lt;/record&gt;&lt;/Cite&gt;&lt;/EndNote&gt;</w:instrText>
      </w:r>
      <w:r>
        <w:fldChar w:fldCharType="separate"/>
      </w:r>
      <w:r>
        <w:rPr>
          <w:noProof/>
        </w:rPr>
        <w:t>(</w:t>
      </w:r>
      <w:hyperlink w:anchor="_ENREF_50" w:tooltip="Hill, 2004 #894" w:history="1">
        <w:r w:rsidR="00B46ABF">
          <w:rPr>
            <w:noProof/>
          </w:rPr>
          <w:t>Hill, J 2004</w:t>
        </w:r>
      </w:hyperlink>
      <w:r>
        <w:rPr>
          <w:noProof/>
        </w:rPr>
        <w:t>)</w:t>
      </w:r>
      <w:r>
        <w:fldChar w:fldCharType="end"/>
      </w:r>
      <w:r>
        <w:t>. Disclosure of non-paternity is a separate ethical issue. If a spontaneous mutation is a possible cause of this genetic discrepancy, it is possible and ethical for the physician to advise the family about the fetus’</w:t>
      </w:r>
      <w:r w:rsidR="008C437A">
        <w:t>s</w:t>
      </w:r>
      <w:r>
        <w:t xml:space="preserve"> status with regard to mutations, and to indicate that presumably this was a rare case of spontaneous mutation </w:t>
      </w:r>
      <w:r>
        <w:fldChar w:fldCharType="begin"/>
      </w:r>
      <w:r w:rsidR="009A054F">
        <w:instrText xml:space="preserve"> ADDIN EN.CITE &lt;EndNote&gt;&lt;Cite&gt;&lt;Author&gt;Campbell&lt;/Author&gt;&lt;Year&gt;2004&lt;/Year&gt;&lt;RecNum&gt;781&lt;/RecNum&gt;&lt;IDText&gt;327; author reply 328&lt;/IDText&gt;&lt;DisplayText&gt;(Campbell 2004)&lt;/DisplayText&gt;&lt;record&gt;&lt;rec-number&gt;781&lt;/rec-number&gt;&lt;foreign-keys&gt;&lt;key app="EN" db-id="parffa0acae2voep5w3vv9rypas2tr522eef" timestamp="1430369582"&gt;781&lt;/key&gt;&lt;/foreign-keys&gt;&lt;ref-type name="Journal Article"&gt;17&lt;/ref-type&gt;&lt;contributors&gt;&lt;authors&gt;&lt;author&gt;Campbell, K.&lt;/author&gt;&lt;/authors&gt;&lt;/contributors&gt;&lt;titles&gt;&lt;title&gt;Disclosure of non-paternity&lt;/title&gt;&lt;secondary-title&gt;Lancet&lt;/secondary-title&gt;&lt;alt-title&gt;Lancet&lt;/alt-title&gt;&lt;/titles&gt;&lt;periodical&gt;&lt;full-title&gt;Lancet&lt;/full-title&gt;&lt;abbr-1&gt;Lancet&lt;/abbr-1&gt;&lt;/periodical&gt;&lt;alt-periodical&gt;&lt;full-title&gt;Lancet&lt;/full-title&gt;&lt;abbr-1&gt;Lancet&lt;/abbr-1&gt;&lt;/alt-periodical&gt;&lt;pages&gt;327; author reply 328&lt;/pages&gt;&lt;volume&gt;364&lt;/volume&gt;&lt;number&gt;9431&lt;/number&gt;&lt;keywords&gt;&lt;keyword&gt;Genetic Testing/*ethics&lt;/keyword&gt;&lt;keyword&gt;Humans&lt;/keyword&gt;&lt;keyword&gt;Male&lt;/keyword&gt;&lt;keyword&gt;Mutation&lt;/keyword&gt;&lt;keyword&gt;*Paternity&lt;/keyword&gt;&lt;keyword&gt;Truth Disclosure/*ethics&lt;/keyword&gt;&lt;/keywords&gt;&lt;dates&gt;&lt;year&gt;2004&lt;/year&gt;&lt;pub-dates&gt;&lt;date&gt;Jul 24-30&lt;/date&gt;&lt;/pub-dates&gt;&lt;/dates&gt;&lt;isbn&gt;1474-547X (Electronic)&amp;#xD;0140-6736 (Linking)&lt;/isbn&gt;&lt;accession-num&gt;15276383&lt;/accession-num&gt;&lt;urls&gt;&lt;related-urls&gt;&lt;url&gt;http://www.ncbi.nlm.nih.gov/pubmed/15276383&lt;/url&gt;&lt;url&gt;http://ac.els-cdn.com/S0140673604167123/1-s2.0-S0140673604167123-main.pdf?_tid=fd420d9a-aa96-11e4-9723-00000aab0f02&amp;amp;acdnat=1422852799_8f59e3759ed7a7563cc5bc8e45e871c9&lt;/url&gt;&lt;/related-urls&gt;&lt;/urls&gt;&lt;electronic-resource-num&gt;10.1016/S0140-6736(04)16712-3&lt;/electronic-resource-num&gt;&lt;/record&gt;&lt;/Cite&gt;&lt;/EndNote&gt;</w:instrText>
      </w:r>
      <w:r>
        <w:fldChar w:fldCharType="separate"/>
      </w:r>
      <w:r>
        <w:rPr>
          <w:noProof/>
        </w:rPr>
        <w:t>(</w:t>
      </w:r>
      <w:hyperlink w:anchor="_ENREF_19" w:tooltip="Campbell, 2004 #781" w:history="1">
        <w:r w:rsidR="00B46ABF">
          <w:rPr>
            <w:noProof/>
          </w:rPr>
          <w:t>Campbell 2004</w:t>
        </w:r>
      </w:hyperlink>
      <w:r>
        <w:rPr>
          <w:noProof/>
        </w:rPr>
        <w:t>)</w:t>
      </w:r>
      <w:r>
        <w:fldChar w:fldCharType="end"/>
      </w:r>
      <w:r>
        <w:t xml:space="preserve">. Unless a physician has solid evidence of non-paternity, they have no right to share these suspicions with the father, since doing so could have devastating consequences. However, if there is evidence of non-paternity, sharing the medical (genetic) fetal information with the couple might lead to the conclusion of non-paternity, since withholding information about paternity might only be possible by misinforming them about the test results, which would not be justified </w:t>
      </w:r>
      <w:r>
        <w:fldChar w:fldCharType="begin"/>
      </w:r>
      <w:r w:rsidR="009A054F">
        <w:instrText xml:space="preserve"> ADDIN EN.CITE &lt;EndNote&gt;&lt;Cite&gt;&lt;Author&gt;Hill&lt;/Author&gt;&lt;Year&gt;2004&lt;/Year&gt;&lt;RecNum&gt;894&lt;/RecNum&gt;&lt;IDText&gt;1654&lt;/IDText&gt;&lt;DisplayText&gt;(Hill, J 2004)&lt;/DisplayText&gt;&lt;record&gt;&lt;rec-number&gt;894&lt;/rec-number&gt;&lt;foreign-keys&gt;&lt;key app="EN" db-id="parffa0acae2voep5w3vv9rypas2tr522eef" timestamp="1430369619"&gt;894&lt;/key&gt;&lt;/foreign-keys&gt;&lt;ref-type name="Journal Article"&gt;17&lt;/ref-type&gt;&lt;contributors&gt;&lt;authors&gt;&lt;author&gt;Hill, J.&lt;/author&gt;&lt;/authors&gt;&lt;/contributors&gt;&lt;auth-address&gt;Joal.Hill@advocatehealth.co&lt;/auth-address&gt;&lt;titles&gt;&lt;title&gt;More than I wanted to know&lt;/title&gt;&lt;secondary-title&gt;Lancet&lt;/secondary-title&gt;&lt;alt-title&gt;Lancet&lt;/alt-title&gt;&lt;/titles&gt;&lt;periodical&gt;&lt;full-title&gt;Lancet&lt;/full-title&gt;&lt;abbr-1&gt;Lancet&lt;/abbr-1&gt;&lt;/periodical&gt;&lt;alt-periodical&gt;&lt;full-title&gt;Lancet&lt;/full-title&gt;&lt;abbr-1&gt;Lancet&lt;/abbr-1&gt;&lt;/alt-periodical&gt;&lt;pages&gt;1654&lt;/pages&gt;&lt;volume&gt;363&lt;/volume&gt;&lt;number&gt;9421&lt;/number&gt;&lt;keywords&gt;&lt;keyword&gt;Female&lt;/keyword&gt;&lt;keyword&gt;Genetic Testing&lt;/keyword&gt;&lt;keyword&gt;Humans&lt;/keyword&gt;&lt;keyword&gt;Kidney Transplantation&lt;/keyword&gt;&lt;keyword&gt;Male&lt;/keyword&gt;&lt;keyword&gt;*Paternity&lt;/keyword&gt;&lt;keyword&gt;Physician-Patient Relations/*ethics&lt;/keyword&gt;&lt;keyword&gt;Truth Disclosure/*ethics&lt;/keyword&gt;&lt;/keywords&gt;&lt;dates&gt;&lt;year&gt;2004&lt;/year&gt;&lt;pub-dates&gt;&lt;date&gt;May 15&lt;/date&gt;&lt;/pub-dates&gt;&lt;/dates&gt;&lt;isbn&gt;1474-547X (Electronic)&amp;#xD;0140-6736 (Linking)&lt;/isbn&gt;&lt;accession-num&gt;15145654&lt;/accession-num&gt;&lt;urls&gt;&lt;related-urls&gt;&lt;url&gt;http://www.ncbi.nlm.nih.gov/pubmed/15145654&lt;/url&gt;&lt;url&gt;http://ac.els-cdn.com/S0140673604162260/1-s2.0-S0140673604162260-main.pdf?_tid=73567274-aa96-11e4-865c-00000aab0f27&amp;amp;acdnat=1422852568_18c686e6d7f3095aff1875eb690c75f7&lt;/url&gt;&lt;/related-urls&gt;&lt;/urls&gt;&lt;electronic-resource-num&gt;10.1016/S0140-6736(04)16226-0&lt;/electronic-resource-num&gt;&lt;/record&gt;&lt;/Cite&gt;&lt;/EndNote&gt;</w:instrText>
      </w:r>
      <w:r>
        <w:fldChar w:fldCharType="separate"/>
      </w:r>
      <w:r>
        <w:rPr>
          <w:noProof/>
        </w:rPr>
        <w:t>(</w:t>
      </w:r>
      <w:hyperlink w:anchor="_ENREF_50" w:tooltip="Hill, 2004 #894" w:history="1">
        <w:r w:rsidR="00B46ABF">
          <w:rPr>
            <w:noProof/>
          </w:rPr>
          <w:t>Hill, J 2004</w:t>
        </w:r>
      </w:hyperlink>
      <w:r>
        <w:rPr>
          <w:noProof/>
        </w:rPr>
        <w:t>)</w:t>
      </w:r>
      <w:r>
        <w:fldChar w:fldCharType="end"/>
      </w:r>
      <w:r>
        <w:t>.</w:t>
      </w:r>
    </w:p>
    <w:p w14:paraId="4C16D390" w14:textId="5F61A973" w:rsidR="00E96488" w:rsidRDefault="00F13316" w:rsidP="00E96488">
      <w:pPr>
        <w:pStyle w:val="Heading4"/>
      </w:pPr>
      <w:r>
        <w:t>F.1.4.6.</w:t>
      </w:r>
      <w:r w:rsidR="00AA6922">
        <w:tab/>
      </w:r>
      <w:r w:rsidR="00E96488">
        <w:t>Fetal perspective</w:t>
      </w:r>
    </w:p>
    <w:p w14:paraId="22BF081E" w14:textId="40AE7872" w:rsidR="00E96488" w:rsidRDefault="00E96488" w:rsidP="00E96488">
      <w:r>
        <w:t xml:space="preserve">For the fetus, the difference is not between being born with CF and being born without CF; rather, </w:t>
      </w:r>
      <w:r w:rsidR="008C437A">
        <w:t>it</w:t>
      </w:r>
      <w:r>
        <w:t xml:space="preserve"> is between a worldly existence or none at all. The difference between existing and not existing is beyond comparison here </w:t>
      </w:r>
      <w:r>
        <w:fldChar w:fldCharType="begin"/>
      </w:r>
      <w:r w:rsidR="009A054F">
        <w:instrText xml:space="preserve"> ADDIN EN.CITE &lt;EndNote&gt;&lt;Cite&gt;&lt;Author&gt;Aksoy&lt;/Author&gt;&lt;Year&gt;2001&lt;/Year&gt;&lt;RecNum&gt;714&lt;/RecNum&gt;&lt;IDText&gt;E3&lt;/IDText&gt;&lt;DisplayText&gt;(Aksoy 2001)&lt;/DisplayText&gt;&lt;record&gt;&lt;rec-number&gt;714&lt;/rec-number&gt;&lt;foreign-keys&gt;&lt;key app="EN" db-id="parffa0acae2voep5w3vv9rypas2tr522eef" timestamp="1430369555"&gt;714&lt;/key&gt;&lt;/foreign-keys&gt;&lt;ref-type name="Journal Article"&gt;17&lt;/ref-type&gt;&lt;contributors&gt;&lt;authors&gt;&lt;author&gt;Aksoy, S.&lt;/author&gt;&lt;/authors&gt;&lt;/contributors&gt;&lt;auth-address&gt;Aksoy, S., Harran University, Faculty of Medicine, Department of Medical Ethics and History of Medicine, 63200 Sanliurfa, TURKEY.&lt;/auth-address&gt;&lt;titles&gt;&lt;title&gt;Antenatal screening and its possible meaning from unborn baby&amp;apos;s perspective&lt;/title&gt;&lt;secondary-title&gt;BMC medical ethics&lt;/secondary-title&gt;&lt;/titles&gt;&lt;periodical&gt;&lt;full-title&gt;BMC medical ethics&lt;/full-title&gt;&lt;/periodical&gt;&lt;pages&gt;E3&lt;/pages&gt;&lt;volume&gt;2&lt;/volume&gt;&lt;keywords&gt;&lt;keyword&gt;abortion&lt;/keyword&gt;&lt;keyword&gt;article&lt;/keyword&gt;&lt;keyword&gt;congenital malformation&lt;/keyword&gt;&lt;keyword&gt;cost benefit analysis&lt;/keyword&gt;&lt;keyword&gt;directive counseling&lt;/keyword&gt;&lt;keyword&gt;economics&lt;/keyword&gt;&lt;keyword&gt;ethics&lt;/keyword&gt;&lt;keyword&gt;female&lt;/keyword&gt;&lt;keyword&gt;fetus&lt;/keyword&gt;&lt;keyword&gt;genetic counseling&lt;/keyword&gt;&lt;keyword&gt;genetic disorder&lt;/keyword&gt;&lt;keyword&gt;genetic screening&lt;/keyword&gt;&lt;keyword&gt;genetics&lt;/keyword&gt;&lt;keyword&gt;Genetics and Reproduction&lt;/keyword&gt;&lt;keyword&gt;human&lt;/keyword&gt;&lt;keyword&gt;methodology&lt;/keyword&gt;&lt;keyword&gt;parent&lt;/keyword&gt;&lt;keyword&gt;pregnancy&lt;/keyword&gt;&lt;keyword&gt;pregnant woman&lt;/keyword&gt;&lt;keyword&gt;prenatal diagnosis&lt;/keyword&gt;&lt;keyword&gt;sex determination&lt;/keyword&gt;&lt;/keywords&gt;&lt;dates&gt;&lt;year&gt;2001&lt;/year&gt;&lt;/dates&gt;&lt;isbn&gt;1472-6939&lt;/isbn&gt;&lt;urls&gt;&lt;related-urls&gt;&lt;url&gt;http://www.embase.com/search/results?subaction=viewrecord&amp;amp;from=export&amp;amp;id=L39033990&lt;/url&gt;&lt;url&gt;http://www.ncbi.nlm.nih.gov/pmc/articles/PMC32195/pdf/1472-6939-2-3.pdf&lt;/url&gt;&lt;/related-urls&gt;&lt;/urls&gt;&lt;/record&gt;&lt;/Cite&gt;&lt;/EndNote&gt;</w:instrText>
      </w:r>
      <w:r>
        <w:fldChar w:fldCharType="separate"/>
      </w:r>
      <w:r>
        <w:rPr>
          <w:noProof/>
        </w:rPr>
        <w:t>(</w:t>
      </w:r>
      <w:hyperlink w:anchor="_ENREF_2" w:tooltip="Aksoy, 2001 #714" w:history="1">
        <w:r w:rsidR="00B46ABF">
          <w:rPr>
            <w:noProof/>
          </w:rPr>
          <w:t>Aksoy 2001</w:t>
        </w:r>
      </w:hyperlink>
      <w:r>
        <w:rPr>
          <w:noProof/>
        </w:rPr>
        <w:t>)</w:t>
      </w:r>
      <w:r>
        <w:fldChar w:fldCharType="end"/>
      </w:r>
      <w:r>
        <w:t xml:space="preserve">. </w:t>
      </w:r>
    </w:p>
    <w:p w14:paraId="15A72158" w14:textId="004F74D3" w:rsidR="00E96488" w:rsidRDefault="00F13316" w:rsidP="00E96488">
      <w:pPr>
        <w:pStyle w:val="Heading4"/>
      </w:pPr>
      <w:r>
        <w:t>F.1.4.7.</w:t>
      </w:r>
      <w:r w:rsidR="00AA6922">
        <w:tab/>
      </w:r>
      <w:r w:rsidR="00E96488">
        <w:t>Weighing risks and benefits</w:t>
      </w:r>
    </w:p>
    <w:p w14:paraId="47B6FA85" w14:textId="40FAD588" w:rsidR="00E96488" w:rsidRDefault="00E96488" w:rsidP="00E96488">
      <w:r>
        <w:t>The principles of non-mal</w:t>
      </w:r>
      <w:r w:rsidR="000345EB">
        <w:t>e</w:t>
      </w:r>
      <w:r>
        <w:t xml:space="preserve">ficence and beneficence could be taken to entail that </w:t>
      </w:r>
      <w:r w:rsidR="00D571F3">
        <w:t xml:space="preserve">the </w:t>
      </w:r>
      <w:r>
        <w:t xml:space="preserve">risks of harm should be outweighed (perhaps substantially) by </w:t>
      </w:r>
      <w:r w:rsidR="00D571F3">
        <w:t xml:space="preserve">the </w:t>
      </w:r>
      <w:r>
        <w:t xml:space="preserve">probable benefits before a genetic test is </w:t>
      </w:r>
      <w:r>
        <w:lastRenderedPageBreak/>
        <w:t>accepted into general practice. Thus, relevant factors include the predictive value of the test</w:t>
      </w:r>
      <w:r w:rsidR="008C437A">
        <w:t>,</w:t>
      </w:r>
      <w:r>
        <w:t xml:space="preserve"> the benefits and harms provided by interventions associated with the test (</w:t>
      </w:r>
      <w:r w:rsidR="00D571F3">
        <w:t xml:space="preserve">i.e. </w:t>
      </w:r>
      <w:r>
        <w:t>amniocentesis</w:t>
      </w:r>
      <w:r w:rsidR="008E7116">
        <w:t xml:space="preserve"> </w:t>
      </w:r>
      <w:r w:rsidR="00D571F3">
        <w:t xml:space="preserve">and </w:t>
      </w:r>
      <w:r w:rsidR="008E7116">
        <w:t>CVS</w:t>
      </w:r>
      <w:r>
        <w:t>) and with a positive test result (</w:t>
      </w:r>
      <w:r w:rsidR="00D571F3">
        <w:t xml:space="preserve">i.e. </w:t>
      </w:r>
      <w:r>
        <w:t>TOP)</w:t>
      </w:r>
      <w:r w:rsidR="008C437A">
        <w:t>,</w:t>
      </w:r>
      <w:r>
        <w:t xml:space="preserve"> and the availability and acceptability of those interventions </w:t>
      </w:r>
      <w:r>
        <w:fldChar w:fldCharType="begin"/>
      </w:r>
      <w:r w:rsidR="009A054F">
        <w:instrText xml:space="preserve"> ADDIN EN.CITE &lt;EndNote&gt;&lt;Cite&gt;&lt;Author&gt;Burke&lt;/Author&gt;&lt;Year&gt;2006&lt;/Year&gt;&lt;RecNum&gt;777&lt;/RecNum&gt;&lt;IDText&gt;476-482&lt;/IDText&gt;&lt;DisplayText&gt;(Burke &amp;amp; Press 2006)&lt;/DisplayText&gt;&lt;record&gt;&lt;rec-number&gt;777&lt;/rec-number&gt;&lt;foreign-keys&gt;&lt;key app="EN" db-id="parffa0acae2voep5w3vv9rypas2tr522eef" timestamp="1430369581"&gt;777&lt;/key&gt;&lt;/foreign-keys&gt;&lt;ref-type name="Journal Article"&gt;17&lt;/ref-type&gt;&lt;contributors&gt;&lt;authors&gt;&lt;author&gt;Burke, Wylie&lt;/author&gt;&lt;author&gt;Press, Nancy&lt;/author&gt;&lt;/authors&gt;&lt;/contributors&gt;&lt;titles&gt;&lt;title&gt;Genetics as a tool to improve cancer outcomes: ethics and policy&lt;/title&gt;&lt;secondary-title&gt;Nat Rev Cancer&lt;/secondary-title&gt;&lt;/titles&gt;&lt;periodical&gt;&lt;full-title&gt;Nat Rev Cancer&lt;/full-title&gt;&lt;/periodical&gt;&lt;pages&gt;476-482&lt;/pages&gt;&lt;volume&gt;6&lt;/volume&gt;&lt;number&gt;6&lt;/number&gt;&lt;dates&gt;&lt;year&gt;2006&lt;/year&gt;&lt;/dates&gt;&lt;publisher&gt;Nature Publishing Group&lt;/publisher&gt;&lt;isbn&gt;1474-175X&lt;/isbn&gt;&lt;work-type&gt;10.1038/nrc1890&lt;/work-type&gt;&lt;urls&gt;&lt;related-urls&gt;&lt;url&gt;http://dx.doi.org/10.1038/nrc1890&lt;/url&gt;&lt;/related-urls&gt;&lt;/urls&gt;&lt;/record&gt;&lt;/Cite&gt;&lt;/EndNote&gt;</w:instrText>
      </w:r>
      <w:r>
        <w:fldChar w:fldCharType="separate"/>
      </w:r>
      <w:r>
        <w:rPr>
          <w:noProof/>
        </w:rPr>
        <w:t>(</w:t>
      </w:r>
      <w:hyperlink w:anchor="_ENREF_18" w:tooltip="Burke, 2006 #777" w:history="1">
        <w:r w:rsidR="00B46ABF">
          <w:rPr>
            <w:noProof/>
          </w:rPr>
          <w:t>Burke &amp; Press 2006</w:t>
        </w:r>
      </w:hyperlink>
      <w:r>
        <w:rPr>
          <w:noProof/>
        </w:rPr>
        <w:t>)</w:t>
      </w:r>
      <w:r>
        <w:fldChar w:fldCharType="end"/>
      </w:r>
      <w:r>
        <w:t xml:space="preserve">. It is important to weigh all the benefits and risks of genetic testing before undergoing prenatal testing. For example, what would a positive test result mean to the prospective parents? What are the harms of the test? What is the accuracy of the test? What are the consequences in case of a false-negative or false-positive </w:t>
      </w:r>
      <w:r w:rsidR="008C437A">
        <w:t>result</w:t>
      </w:r>
      <w:r>
        <w:t>? What would be the psychological consequences when choosing TOP? What would be the psychological impact of caring for a child with CF? In general, do the benefits of testing outweigh the risks?</w:t>
      </w:r>
    </w:p>
    <w:p w14:paraId="51B59A14" w14:textId="71DE9B58" w:rsidR="00E96488" w:rsidRDefault="00F13316" w:rsidP="00E96488">
      <w:pPr>
        <w:pStyle w:val="Heading3"/>
      </w:pPr>
      <w:bookmarkStart w:id="477" w:name="_Toc418179949"/>
      <w:r>
        <w:t>F.1.5.</w:t>
      </w:r>
      <w:r w:rsidR="00AA6922">
        <w:tab/>
      </w:r>
      <w:r w:rsidR="00AA6922">
        <w:tab/>
      </w:r>
      <w:r w:rsidR="00E96488">
        <w:t>Summary</w:t>
      </w:r>
      <w:bookmarkEnd w:id="477"/>
      <w:r w:rsidR="00E96488">
        <w:t xml:space="preserve"> </w:t>
      </w:r>
    </w:p>
    <w:p w14:paraId="3EE4E255" w14:textId="77777777" w:rsidR="00E96488" w:rsidRDefault="00E96488" w:rsidP="004566DC">
      <w:pPr>
        <w:spacing w:after="120"/>
      </w:pPr>
      <w:r>
        <w:t>Important ethical considerations regarding prenatal genetic testing include the following:</w:t>
      </w:r>
    </w:p>
    <w:p w14:paraId="6DCBB463" w14:textId="77777777" w:rsidR="00E96488" w:rsidRDefault="00E96488" w:rsidP="004566DC">
      <w:pPr>
        <w:pStyle w:val="ListParagraph"/>
        <w:numPr>
          <w:ilvl w:val="0"/>
          <w:numId w:val="23"/>
        </w:numPr>
        <w:spacing w:after="120"/>
        <w:ind w:left="714" w:hanging="357"/>
      </w:pPr>
      <w:r>
        <w:t>Prenatal testing for fetal abnormalities should be regarded as serving the aim of providing pregnant couples with reproductive options, not as serving the aim of reducing the number of people deemed costly to society.</w:t>
      </w:r>
    </w:p>
    <w:p w14:paraId="3AD42E2E" w14:textId="39ABC6A7" w:rsidR="00E96488" w:rsidRDefault="00E96488" w:rsidP="004566DC">
      <w:pPr>
        <w:pStyle w:val="ListParagraph"/>
        <w:numPr>
          <w:ilvl w:val="0"/>
          <w:numId w:val="23"/>
        </w:numPr>
        <w:spacing w:after="120"/>
        <w:ind w:left="714" w:hanging="357"/>
      </w:pPr>
      <w:r>
        <w:t xml:space="preserve">Non-directive counselling is crucial for ensuring proper informed consent and </w:t>
      </w:r>
      <w:r w:rsidR="00D80662">
        <w:t xml:space="preserve">for </w:t>
      </w:r>
      <w:r>
        <w:t>minimis</w:t>
      </w:r>
      <w:r w:rsidR="00D80662">
        <w:t>ing</w:t>
      </w:r>
      <w:r>
        <w:t xml:space="preserve"> </w:t>
      </w:r>
      <w:r w:rsidR="00D80662">
        <w:t xml:space="preserve">the </w:t>
      </w:r>
      <w:r>
        <w:t>risks of harm, both psychological and physical.</w:t>
      </w:r>
    </w:p>
    <w:p w14:paraId="78FC6A0F" w14:textId="77777777" w:rsidR="00E96488" w:rsidRDefault="00E96488" w:rsidP="004566DC">
      <w:pPr>
        <w:pStyle w:val="ListParagraph"/>
        <w:numPr>
          <w:ilvl w:val="0"/>
          <w:numId w:val="23"/>
        </w:numPr>
        <w:spacing w:after="120"/>
        <w:ind w:left="714" w:hanging="357"/>
      </w:pPr>
      <w:r>
        <w:t>There is a concern that prenatal testing may lead to a degradation of society’s willingness to accept and care for children with CF, while at the same time enlarging the category of unacceptable abnormality and narrowing the range of acceptable normality. This is why the success of testing is ideally gauged in terms of the number of informed decisions produced, rather than the number of CF births prevented.</w:t>
      </w:r>
      <w:r w:rsidDel="001711A8">
        <w:t xml:space="preserve"> </w:t>
      </w:r>
    </w:p>
    <w:p w14:paraId="067DA901" w14:textId="77777777" w:rsidR="00E96488" w:rsidRDefault="00E96488" w:rsidP="004566DC">
      <w:pPr>
        <w:pStyle w:val="ListParagraph"/>
        <w:numPr>
          <w:ilvl w:val="0"/>
          <w:numId w:val="23"/>
        </w:numPr>
        <w:spacing w:after="120"/>
        <w:ind w:left="714" w:hanging="357"/>
      </w:pPr>
      <w:r>
        <w:t>Testing and counselling should be available, and not financially burdensome, to all women at increased risk of having a child with CF.</w:t>
      </w:r>
    </w:p>
    <w:p w14:paraId="1DC9400A" w14:textId="77777777" w:rsidR="00E96488" w:rsidRDefault="00E96488" w:rsidP="004566DC">
      <w:pPr>
        <w:pStyle w:val="ListParagraph"/>
        <w:numPr>
          <w:ilvl w:val="0"/>
          <w:numId w:val="23"/>
        </w:numPr>
        <w:spacing w:after="120"/>
        <w:ind w:left="714" w:hanging="357"/>
      </w:pPr>
      <w:r>
        <w:t>Test results should be kept confidential by medical personnel; however, the couple should be counselled on sharing information with family members who may benefit from it.</w:t>
      </w:r>
    </w:p>
    <w:p w14:paraId="4CAA8DB5" w14:textId="0DF0BE67" w:rsidR="00E96488" w:rsidRDefault="00F13316" w:rsidP="00FE72FF">
      <w:pPr>
        <w:pStyle w:val="Heading3"/>
      </w:pPr>
      <w:bookmarkStart w:id="478" w:name="_Toc418179950"/>
      <w:r>
        <w:t>F.1.6.</w:t>
      </w:r>
      <w:r w:rsidR="00EA4E46">
        <w:tab/>
      </w:r>
      <w:r w:rsidR="00EA4E46">
        <w:tab/>
      </w:r>
      <w:r w:rsidR="00E96488">
        <w:t>Conclusions</w:t>
      </w:r>
      <w:bookmarkEnd w:id="478"/>
    </w:p>
    <w:p w14:paraId="460B3CEF" w14:textId="77777777" w:rsidR="00E96488" w:rsidRDefault="00E96488" w:rsidP="00FE72FF">
      <w:r>
        <w:t>The above ethical considerations suggest that prenatal genetic testing should only be offered on the MBS in conjunction with non-directive pre- and post-test genetic counselling from accredited counsellors.</w:t>
      </w:r>
    </w:p>
    <w:p w14:paraId="382D710B" w14:textId="4545788B" w:rsidR="00E96488" w:rsidRDefault="00F13316">
      <w:pPr>
        <w:pStyle w:val="Heading2"/>
        <w:tabs>
          <w:tab w:val="left" w:pos="1134"/>
        </w:tabs>
      </w:pPr>
      <w:bookmarkStart w:id="479" w:name="_Toc418179951"/>
      <w:r>
        <w:t>F.2.</w:t>
      </w:r>
      <w:r w:rsidR="00EA4E46">
        <w:tab/>
      </w:r>
      <w:r w:rsidR="00E96488">
        <w:t xml:space="preserve">Non-invasive </w:t>
      </w:r>
      <w:r w:rsidR="009635BE">
        <w:t>P</w:t>
      </w:r>
      <w:r w:rsidR="00E96488">
        <w:t xml:space="preserve">renatal </w:t>
      </w:r>
      <w:bookmarkEnd w:id="465"/>
      <w:r w:rsidR="009635BE">
        <w:t>D</w:t>
      </w:r>
      <w:r w:rsidR="00E96488">
        <w:t>iagnosis (NIPD)</w:t>
      </w:r>
      <w:bookmarkEnd w:id="479"/>
    </w:p>
    <w:p w14:paraId="42569321" w14:textId="73E755A5" w:rsidR="00E96488" w:rsidRDefault="00E96488" w:rsidP="00E96488">
      <w:r>
        <w:t xml:space="preserve">Prenatal care for couples at risk of single-gene disorders such as CF has the potential to change </w:t>
      </w:r>
      <w:r w:rsidR="008E7116">
        <w:t xml:space="preserve">through </w:t>
      </w:r>
      <w:r>
        <w:t>the implementation of earlier prenatal testing using non-invasive prenatal diagnosis (NIPD)</w:t>
      </w:r>
      <w:r w:rsidRPr="00BC326F">
        <w:t xml:space="preserve"> </w:t>
      </w:r>
      <w:r>
        <w:fldChar w:fldCharType="begin"/>
      </w:r>
      <w:r w:rsidR="009A054F">
        <w:instrText xml:space="preserve"> ADDIN EN.CITE &lt;EndNote&gt;&lt;Cite&gt;&lt;Author&gt;Schmitz&lt;/Author&gt;&lt;Year&gt;2013&lt;/Year&gt;&lt;RecNum&gt;687&lt;/RecNum&gt;&lt;IDText&gt;357-364&lt;/IDText&gt;&lt;DisplayText&gt;(Schmitz 2013)&lt;/DisplayText&gt;&lt;record&gt;&lt;rec-number&gt;687&lt;/rec-number&gt;&lt;foreign-keys&gt;&lt;key app="EN" db-id="parffa0acae2voep5w3vv9rypas2tr522eef" timestamp="1430369503"&gt;687&lt;/key&gt;&lt;/foreign-keys&gt;&lt;ref-type name="Journal Article"&gt;17&lt;/ref-type&gt;&lt;contributors&gt;&lt;authors&gt;&lt;author&gt;Schmitz, D.&lt;/author&gt;&lt;/authors&gt;&lt;/contributors&gt;&lt;titles&gt;&lt;title&gt;A new era in prenatal testing: are we prepared?&lt;/title&gt;&lt;secondary-title&gt;Medicine Health Care and Philosophy&lt;/secondary-title&gt;&lt;/titles&gt;&lt;periodical&gt;&lt;full-title&gt;Medicine Health Care and Philosophy&lt;/full-title&gt;&lt;/periodical&gt;&lt;pages&gt;357-364&lt;/pages&gt;&lt;volume&gt;16&lt;/volume&gt;&lt;number&gt;3&lt;/number&gt;&lt;dates&gt;&lt;year&gt;2013&lt;/year&gt;&lt;pub-dates&gt;&lt;date&gt;Aug&lt;/date&gt;&lt;/pub-dates&gt;&lt;/dates&gt;&lt;isbn&gt;1386-7423&lt;/isbn&gt;&lt;accession-num&gt;CCC:000321128900005&lt;/accession-num&gt;&lt;urls&gt;&lt;related-urls&gt;&lt;url&gt;&amp;lt;Go to ISI&amp;gt;://CCC:000321128900005&lt;/url&gt;&lt;url&gt;http://download.springer.com/static/pdf/516/art%253A10.1007%252Fs11019-012-9411-y.pdf?auth66=1421978748_34b8c0b0353754375850e322543d7a0d&amp;amp;ext=.pdf&lt;/url&gt;&lt;/related-urls&gt;&lt;/urls&gt;&lt;/record&gt;&lt;/Cite&gt;&lt;/EndNote&gt;</w:instrText>
      </w:r>
      <w:r>
        <w:fldChar w:fldCharType="separate"/>
      </w:r>
      <w:r>
        <w:rPr>
          <w:noProof/>
        </w:rPr>
        <w:t>(</w:t>
      </w:r>
      <w:hyperlink w:anchor="_ENREF_109" w:tooltip="Schmitz, 2013 #687" w:history="1">
        <w:r w:rsidR="00B46ABF">
          <w:rPr>
            <w:noProof/>
          </w:rPr>
          <w:t>Schmitz 2013</w:t>
        </w:r>
      </w:hyperlink>
      <w:r>
        <w:rPr>
          <w:noProof/>
        </w:rPr>
        <w:t>)</w:t>
      </w:r>
      <w:r>
        <w:fldChar w:fldCharType="end"/>
      </w:r>
      <w:r>
        <w:t xml:space="preserve">. NIPD is based on cell-free fetal DNA in maternal plasma and enables prenatal diagnosis using a maternal blood test. This means that the risk of miscarriage and other risks of </w:t>
      </w:r>
      <w:r>
        <w:lastRenderedPageBreak/>
        <w:t>injury associated with amniocentesis</w:t>
      </w:r>
      <w:r w:rsidR="00F56EB6">
        <w:t xml:space="preserve"> or CVS</w:t>
      </w:r>
      <w:r>
        <w:t xml:space="preserve"> would be avoided </w:t>
      </w:r>
      <w:r>
        <w:fldChar w:fldCharType="begin"/>
      </w:r>
      <w:r w:rsidR="009A054F">
        <w:instrText xml:space="preserve"> ADDIN EN.CITE &lt;EndNote&gt;&lt;Cite&gt;&lt;Author&gt;Hill&lt;/Author&gt;&lt;Year&gt;2014&lt;/Year&gt;&lt;RecNum&gt;895&lt;/RecNum&gt;&lt;IDText&gt;1012-21&lt;/IDText&gt;&lt;DisplayText&gt;(Hill, M et al. 2014)&lt;/DisplayText&gt;&lt;record&gt;&lt;rec-number&gt;895&lt;/rec-number&gt;&lt;foreign-keys&gt;&lt;key app="EN" db-id="parffa0acae2voep5w3vv9rypas2tr522eef" timestamp="1430369619"&gt;895&lt;/key&gt;&lt;/foreign-keys&gt;&lt;ref-type name="Journal Article"&gt;17&lt;/ref-type&gt;&lt;contributors&gt;&lt;authors&gt;&lt;author&gt;Hill, M.&lt;/author&gt;&lt;author&gt;Compton, C.&lt;/author&gt;&lt;author&gt;Karunaratna, M.&lt;/author&gt;&lt;author&gt;Lewis, C.&lt;/author&gt;&lt;author&gt;Chitty, L.&lt;/author&gt;&lt;/authors&gt;&lt;/contributors&gt;&lt;auth-address&gt;Clinical and Molecular Genetics, Institute of Child Health and Great Ormond Street Hospital NHS Foundation Trust, London, UK, melissa.hill@ucl.ac.uk.&lt;/auth-address&gt;&lt;titles&gt;&lt;title&gt;Client views and attitudes to non-invasive prenatal diagnosis for sickle cell disease, thalassaemia and cystic fibrosis&lt;/title&gt;&lt;secondary-title&gt;J Genet Couns&lt;/secondary-title&gt;&lt;alt-title&gt;Journal of genetic counseling&lt;/alt-title&gt;&lt;/titles&gt;&lt;periodical&gt;&lt;full-title&gt;J Genet Couns&lt;/full-title&gt;&lt;abbr-1&gt;Journal of genetic counseling&lt;/abbr-1&gt;&lt;/periodical&gt;&lt;alt-periodical&gt;&lt;full-title&gt;J Genet Couns&lt;/full-title&gt;&lt;abbr-1&gt;Journal of genetic counseling&lt;/abbr-1&gt;&lt;/alt-periodical&gt;&lt;pages&gt;1012-21&lt;/pages&gt;&lt;volume&gt;23&lt;/volume&gt;&lt;number&gt;6&lt;/number&gt;&lt;dates&gt;&lt;year&gt;2014&lt;/year&gt;&lt;pub-dates&gt;&lt;date&gt;Dec&lt;/date&gt;&lt;/pub-dates&gt;&lt;/dates&gt;&lt;isbn&gt;1573-3599 (Electronic)&amp;#xD;1059-7700 (Linking)&lt;/isbn&gt;&lt;accession-num&gt;24788196&lt;/accession-num&gt;&lt;urls&gt;&lt;related-urls&gt;&lt;url&gt;http://www.ncbi.nlm.nih.gov/pubmed/24788196&lt;/url&gt;&lt;url&gt;http://download.springer.com/static/pdf/468/art%253A10.1007%252Fs10897-014-9725-4.pdf?auth66=1422930560_52cfd005d840a162a1a9b78521fb9e1d&amp;amp;ext=.pdf&lt;/url&gt;&lt;/related-urls&gt;&lt;/urls&gt;&lt;electronic-resource-num&gt;10.1007/s10897-014-9725-4&lt;/electronic-resource-num&gt;&lt;/record&gt;&lt;/Cite&gt;&lt;/EndNote&gt;</w:instrText>
      </w:r>
      <w:r>
        <w:fldChar w:fldCharType="separate"/>
      </w:r>
      <w:r>
        <w:rPr>
          <w:noProof/>
        </w:rPr>
        <w:t>(</w:t>
      </w:r>
      <w:hyperlink w:anchor="_ENREF_51" w:tooltip="Hill, 2014 #895" w:history="1">
        <w:r w:rsidR="00B46ABF">
          <w:rPr>
            <w:noProof/>
          </w:rPr>
          <w:t>Hill, M et al. 2014</w:t>
        </w:r>
      </w:hyperlink>
      <w:r>
        <w:rPr>
          <w:noProof/>
        </w:rPr>
        <w:t>)</w:t>
      </w:r>
      <w:r>
        <w:fldChar w:fldCharType="end"/>
      </w:r>
      <w:r>
        <w:t xml:space="preserve">. Another advantage of NIPD is that there is enough cell-free fetal DNA in maternal plasma for testing between </w:t>
      </w:r>
      <w:r w:rsidR="003D3B66">
        <w:t xml:space="preserve">7 </w:t>
      </w:r>
      <w:r>
        <w:t xml:space="preserve">and </w:t>
      </w:r>
      <w:r w:rsidR="003D3B66">
        <w:t xml:space="preserve">9 </w:t>
      </w:r>
      <w:r>
        <w:t>weeks’ gestation, meaning that the test can be performed earlier than invasive tests. This would allow more time to psychologically and practically prepare for a CF child</w:t>
      </w:r>
      <w:r w:rsidR="003D3B66">
        <w:t>,</w:t>
      </w:r>
      <w:r>
        <w:t xml:space="preserve"> a less invasive method of TOP</w:t>
      </w:r>
      <w:r w:rsidR="003D3B66">
        <w:t>,</w:t>
      </w:r>
      <w:r>
        <w:t xml:space="preserve"> and </w:t>
      </w:r>
      <w:r w:rsidR="008E7116">
        <w:t>the potential for less psychological attachment to pregnancy due to less delay in testing.</w:t>
      </w:r>
      <w:r>
        <w:t xml:space="preserve"> It is anticipated that non-invasive prenatal tests for CF will be available in the near future </w:t>
      </w:r>
      <w:r>
        <w:fldChar w:fldCharType="begin"/>
      </w:r>
      <w:r w:rsidR="009A054F">
        <w:instrText xml:space="preserve"> ADDIN EN.CITE &lt;EndNote&gt;&lt;Cite&gt;&lt;Author&gt;Hill&lt;/Author&gt;&lt;Year&gt;2014&lt;/Year&gt;&lt;RecNum&gt;895&lt;/RecNum&gt;&lt;IDText&gt;1012-21&lt;/IDText&gt;&lt;DisplayText&gt;(Hill, M et al. 2014)&lt;/DisplayText&gt;&lt;record&gt;&lt;rec-number&gt;895&lt;/rec-number&gt;&lt;foreign-keys&gt;&lt;key app="EN" db-id="parffa0acae2voep5w3vv9rypas2tr522eef" timestamp="1430369619"&gt;895&lt;/key&gt;&lt;/foreign-keys&gt;&lt;ref-type name="Journal Article"&gt;17&lt;/ref-type&gt;&lt;contributors&gt;&lt;authors&gt;&lt;author&gt;Hill, M.&lt;/author&gt;&lt;author&gt;Compton, C.&lt;/author&gt;&lt;author&gt;Karunaratna, M.&lt;/author&gt;&lt;author&gt;Lewis, C.&lt;/author&gt;&lt;author&gt;Chitty, L.&lt;/author&gt;&lt;/authors&gt;&lt;/contributors&gt;&lt;auth-address&gt;Clinical and Molecular Genetics, Institute of Child Health and Great Ormond Street Hospital NHS Foundation Trust, London, UK, melissa.hill@ucl.ac.uk.&lt;/auth-address&gt;&lt;titles&gt;&lt;title&gt;Client views and attitudes to non-invasive prenatal diagnosis for sickle cell disease, thalassaemia and cystic fibrosis&lt;/title&gt;&lt;secondary-title&gt;J Genet Couns&lt;/secondary-title&gt;&lt;alt-title&gt;Journal of genetic counseling&lt;/alt-title&gt;&lt;/titles&gt;&lt;periodical&gt;&lt;full-title&gt;J Genet Couns&lt;/full-title&gt;&lt;abbr-1&gt;Journal of genetic counseling&lt;/abbr-1&gt;&lt;/periodical&gt;&lt;alt-periodical&gt;&lt;full-title&gt;J Genet Couns&lt;/full-title&gt;&lt;abbr-1&gt;Journal of genetic counseling&lt;/abbr-1&gt;&lt;/alt-periodical&gt;&lt;pages&gt;1012-21&lt;/pages&gt;&lt;volume&gt;23&lt;/volume&gt;&lt;number&gt;6&lt;/number&gt;&lt;dates&gt;&lt;year&gt;2014&lt;/year&gt;&lt;pub-dates&gt;&lt;date&gt;Dec&lt;/date&gt;&lt;/pub-dates&gt;&lt;/dates&gt;&lt;isbn&gt;1573-3599 (Electronic)&amp;#xD;1059-7700 (Linking)&lt;/isbn&gt;&lt;accession-num&gt;24788196&lt;/accession-num&gt;&lt;urls&gt;&lt;related-urls&gt;&lt;url&gt;http://www.ncbi.nlm.nih.gov/pubmed/24788196&lt;/url&gt;&lt;url&gt;http://download.springer.com/static/pdf/468/art%253A10.1007%252Fs10897-014-9725-4.pdf?auth66=1422930560_52cfd005d840a162a1a9b78521fb9e1d&amp;amp;ext=.pdf&lt;/url&gt;&lt;/related-urls&gt;&lt;/urls&gt;&lt;electronic-resource-num&gt;10.1007/s10897-014-9725-4&lt;/electronic-resource-num&gt;&lt;/record&gt;&lt;/Cite&gt;&lt;/EndNote&gt;</w:instrText>
      </w:r>
      <w:r>
        <w:fldChar w:fldCharType="separate"/>
      </w:r>
      <w:r>
        <w:rPr>
          <w:noProof/>
        </w:rPr>
        <w:t>(</w:t>
      </w:r>
      <w:hyperlink w:anchor="_ENREF_51" w:tooltip="Hill, 2014 #895" w:history="1">
        <w:r w:rsidR="00B46ABF">
          <w:rPr>
            <w:noProof/>
          </w:rPr>
          <w:t>Hill, M et al. 2014</w:t>
        </w:r>
      </w:hyperlink>
      <w:r>
        <w:rPr>
          <w:noProof/>
        </w:rPr>
        <w:t>)</w:t>
      </w:r>
      <w:r>
        <w:fldChar w:fldCharType="end"/>
      </w:r>
      <w:r>
        <w:t>. NIPD is predominantly seen as a positive development; however, there are some concerns about the following ethical issues.</w:t>
      </w:r>
    </w:p>
    <w:p w14:paraId="0E57348E" w14:textId="344FCB15" w:rsidR="00E96488" w:rsidRDefault="00E96488" w:rsidP="00E96488">
      <w:r w:rsidRPr="00B6689C">
        <w:rPr>
          <w:b/>
        </w:rPr>
        <w:t>NIPD must be accurate</w:t>
      </w:r>
      <w:r>
        <w:rPr>
          <w:b/>
        </w:rPr>
        <w:t xml:space="preserve">. </w:t>
      </w:r>
      <w:r>
        <w:t xml:space="preserve">It has to be assessed whether NIPD will be as accurate as invasive prenatal testing regarding the detection of </w:t>
      </w:r>
      <w:r w:rsidR="00FD37D3" w:rsidRPr="00FD37D3">
        <w:t>CFTR</w:t>
      </w:r>
      <w:r>
        <w:t xml:space="preserve"> mutations.</w:t>
      </w:r>
    </w:p>
    <w:p w14:paraId="4287DDB7" w14:textId="2DFB53A4" w:rsidR="00E96488" w:rsidRDefault="00E96488" w:rsidP="00E96488">
      <w:r w:rsidRPr="00CC0693">
        <w:rPr>
          <w:b/>
        </w:rPr>
        <w:t xml:space="preserve">Difficulties in ensuring informed consent. </w:t>
      </w:r>
      <w:r>
        <w:t>The decreased risk of miscarriage that NIPD brings also increases the risk of people being more easily lured into prenatal testing</w:t>
      </w:r>
      <w:r w:rsidR="00D07E8E">
        <w:t>—</w:t>
      </w:r>
      <w:r>
        <w:t>which could resemble a ‘harmless routine blood test</w:t>
      </w:r>
      <w:r w:rsidR="0044251F">
        <w:t>’</w:t>
      </w:r>
      <w:r w:rsidR="00D07E8E">
        <w:t>—</w:t>
      </w:r>
      <w:r>
        <w:t xml:space="preserve">without serious reflection on the long-term consequences, including possible TOP </w:t>
      </w:r>
      <w:r>
        <w:fldChar w:fldCharType="begin"/>
      </w:r>
      <w:r w:rsidR="009A054F">
        <w:instrText xml:space="preserve"> ADDIN EN.CITE &lt;EndNote&gt;&lt;Cite&gt;&lt;Author&gt;Munthe&lt;/Author&gt;&lt;Year&gt;2015&lt;/Year&gt;&lt;RecNum&gt;980&lt;/RecNum&gt;&lt;IDText&gt;36-45&lt;/IDText&gt;&lt;DisplayText&gt;(Munthe 2015)&lt;/DisplayText&gt;&lt;record&gt;&lt;rec-number&gt;980&lt;/rec-number&gt;&lt;foreign-keys&gt;&lt;key app="EN" db-id="parffa0acae2voep5w3vv9rypas2tr522eef" timestamp="1430369642"&gt;980&lt;/key&gt;&lt;/foreign-keys&gt;&lt;ref-type name="Journal Article"&gt;17&lt;/ref-type&gt;&lt;contributors&gt;&lt;authors&gt;&lt;author&gt;Munthe, C.&lt;/author&gt;&lt;/authors&gt;&lt;/contributors&gt;&lt;titles&gt;&lt;title&gt;A NEW ETHICAL LANDSCAPE OF PRENATAL TESTING: INDIVIDUALIZING CHOICE TO SERVE AUTONOMY AND PROMOTE PUBLIC HEALTH: A RADICAL PROPOSAL&lt;/title&gt;&lt;secondary-title&gt;Bioethics&lt;/secondary-title&gt;&lt;/titles&gt;&lt;periodical&gt;&lt;full-title&gt;Bioethics&lt;/full-title&gt;&lt;/periodical&gt;&lt;pages&gt;36-45&lt;/pages&gt;&lt;volume&gt;29&lt;/volume&gt;&lt;number&gt;1&lt;/number&gt;&lt;dates&gt;&lt;year&gt;2015&lt;/year&gt;&lt;pub-dates&gt;&lt;date&gt;Jan&lt;/date&gt;&lt;/pub-dates&gt;&lt;/dates&gt;&lt;isbn&gt;0269-9702&lt;/isbn&gt;&lt;accession-num&gt;CCC:000346473700006&lt;/accession-num&gt;&lt;urls&gt;&lt;related-urls&gt;&lt;url&gt;&amp;lt;Go to ISI&amp;gt;://CCC:000346473700006&lt;/url&gt;&lt;url&gt;http://onlinelibrary.wiley.com/store/10.1111/bioe.12126/asset/bioe12126.pdf?v=1&amp;amp;t=i58xdpfw&amp;amp;s=297b912b1c8b49301c296bb9aebbad590e419395&lt;/url&gt;&lt;/related-urls&gt;&lt;/urls&gt;&lt;/record&gt;&lt;/Cite&gt;&lt;/EndNote&gt;</w:instrText>
      </w:r>
      <w:r>
        <w:fldChar w:fldCharType="separate"/>
      </w:r>
      <w:r>
        <w:rPr>
          <w:noProof/>
        </w:rPr>
        <w:t>(</w:t>
      </w:r>
      <w:hyperlink w:anchor="_ENREF_87" w:tooltip="Munthe, 2015 #980" w:history="1">
        <w:r w:rsidR="00B46ABF">
          <w:rPr>
            <w:noProof/>
          </w:rPr>
          <w:t>Munthe 2015</w:t>
        </w:r>
      </w:hyperlink>
      <w:r>
        <w:rPr>
          <w:noProof/>
        </w:rPr>
        <w:t>)</w:t>
      </w:r>
      <w:r>
        <w:fldChar w:fldCharType="end"/>
      </w:r>
      <w:r>
        <w:t xml:space="preserve">. There is an increased risk of the test’s ‘routinisation’ and this may lead to an erosion of informed decision making </w:t>
      </w:r>
      <w:r>
        <w:fldChar w:fldCharType="begin"/>
      </w:r>
      <w:r w:rsidR="009A054F">
        <w:instrText xml:space="preserve"> ADDIN EN.CITE &lt;EndNote&gt;&lt;Cite&gt;&lt;Author&gt;De Jong&lt;/Author&gt;&lt;Year&gt;2015&lt;/Year&gt;&lt;RecNum&gt;826&lt;/RecNum&gt;&lt;IDText&gt;1-8&lt;/IDText&gt;&lt;DisplayText&gt;(De Jong, Maya &amp;amp; Van Lith 2015)&lt;/DisplayText&gt;&lt;record&gt;&lt;rec-number&gt;826&lt;/rec-number&gt;&lt;foreign-keys&gt;&lt;key app="EN" db-id="parffa0acae2voep5w3vv9rypas2tr522eef" timestamp="1430369599"&gt;826&lt;/key&gt;&lt;/foreign-keys&gt;&lt;ref-type name="Journal Article"&gt;17&lt;/ref-type&gt;&lt;contributors&gt;&lt;authors&gt;&lt;author&gt;De Jong, A.&lt;/author&gt;&lt;author&gt;Maya, I.&lt;/author&gt;&lt;author&gt;Van Lith, J. M. M.&lt;/author&gt;&lt;/authors&gt;&lt;/contributors&gt;&lt;titles&gt;&lt;title&gt;PRENATAL SCREENING: CURRENT PRACTICE, NEW DEVELOPMENTS, ETHICAL CHALLENGES&lt;/title&gt;&lt;secondary-title&gt;Bioethics&lt;/secondary-title&gt;&lt;/titles&gt;&lt;periodical&gt;&lt;full-title&gt;Bioethics&lt;/full-title&gt;&lt;/periodical&gt;&lt;pages&gt;1-8&lt;/pages&gt;&lt;volume&gt;29&lt;/volume&gt;&lt;number&gt;1&lt;/number&gt;&lt;dates&gt;&lt;year&gt;2015&lt;/year&gt;&lt;pub-dates&gt;&lt;date&gt;Jan&lt;/date&gt;&lt;/pub-dates&gt;&lt;/dates&gt;&lt;isbn&gt;0269-9702&lt;/isbn&gt;&lt;accession-num&gt;CCC:000346473700002&lt;/accession-num&gt;&lt;urls&gt;&lt;related-urls&gt;&lt;url&gt;&amp;lt;Go to ISI&amp;gt;://CCC:000346473700002&lt;/url&gt;&lt;url&gt;http://onlinelibrary.wiley.com/store/10.1111/bioe.12123/asset/bioe12123.pdf?v=1&amp;amp;t=i58x958z&amp;amp;s=981f7ead2a5c207a85ab99ae26bc26e994585d9c&lt;/url&gt;&lt;/related-urls&gt;&lt;/urls&gt;&lt;/record&gt;&lt;/Cite&gt;&lt;/EndNote&gt;</w:instrText>
      </w:r>
      <w:r>
        <w:fldChar w:fldCharType="separate"/>
      </w:r>
      <w:r>
        <w:rPr>
          <w:noProof/>
        </w:rPr>
        <w:t>(</w:t>
      </w:r>
      <w:hyperlink w:anchor="_ENREF_32" w:tooltip="De Jong, 2015 #826" w:history="1">
        <w:r w:rsidR="00C22EAD">
          <w:rPr>
            <w:noProof/>
          </w:rPr>
          <w:t>d</w:t>
        </w:r>
        <w:r w:rsidR="00B46ABF">
          <w:rPr>
            <w:noProof/>
          </w:rPr>
          <w:t>e Jong, Maya &amp; Van Lith 2015</w:t>
        </w:r>
      </w:hyperlink>
      <w:r>
        <w:rPr>
          <w:noProof/>
        </w:rPr>
        <w:t>)</w:t>
      </w:r>
      <w:r>
        <w:fldChar w:fldCharType="end"/>
      </w:r>
      <w:r>
        <w:t xml:space="preserve">. Evidence is available showing that </w:t>
      </w:r>
      <w:r w:rsidR="0044251F">
        <w:t>NIPD</w:t>
      </w:r>
      <w:r>
        <w:t xml:space="preserve"> may be considered by parents as routine rather than optional </w:t>
      </w:r>
      <w:r>
        <w:fldChar w:fldCharType="begin">
          <w:fldData xml:space="preserve">PEVuZE5vdGU+PENpdGU+PEF1dGhvcj5IaWxsPC9BdXRob3I+PFllYXI+MjAxNDwvWWVhcj48UmVj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</w:fldData>
        </w:fldChar>
      </w:r>
      <w:r w:rsidR="009A054F">
        <w:instrText xml:space="preserve"> ADDIN EN.CITE </w:instrText>
      </w:r>
      <w:r w:rsidR="009A054F">
        <w:fldChar w:fldCharType="begin">
          <w:fldData xml:space="preserve">PEVuZE5vdGU+PENpdGU+PEF1dGhvcj5IaWxsPC9BdXRob3I+PFllYXI+MjAxNDwvWWVhcj48UmVj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</w:fldData>
        </w:fldChar>
      </w:r>
      <w:r w:rsidR="009A054F">
        <w:instrText xml:space="preserve"> ADDIN EN.CITE.DATA </w:instrText>
      </w:r>
      <w:r w:rsidR="009A054F">
        <w:fldChar w:fldCharType="end"/>
      </w:r>
      <w:r>
        <w:fldChar w:fldCharType="separate"/>
      </w:r>
      <w:r>
        <w:rPr>
          <w:noProof/>
        </w:rPr>
        <w:t>(</w:t>
      </w:r>
      <w:hyperlink w:anchor="_ENREF_51" w:tooltip="Hill, 2014 #895" w:history="1">
        <w:r w:rsidR="00B46ABF">
          <w:rPr>
            <w:noProof/>
          </w:rPr>
          <w:t>Hill, M et al. 2014</w:t>
        </w:r>
      </w:hyperlink>
      <w:r>
        <w:rPr>
          <w:noProof/>
        </w:rPr>
        <w:t xml:space="preserve">; </w:t>
      </w:r>
      <w:hyperlink w:anchor="_ENREF_109" w:tooltip="Schmitz, 2013 #687" w:history="1">
        <w:r w:rsidR="00B46ABF">
          <w:rPr>
            <w:noProof/>
          </w:rPr>
          <w:t>Schmitz 2013</w:t>
        </w:r>
      </w:hyperlink>
      <w:r>
        <w:rPr>
          <w:noProof/>
        </w:rPr>
        <w:t xml:space="preserve">; </w:t>
      </w:r>
      <w:hyperlink w:anchor="_ENREF_115" w:tooltip="Skirton, 2014 #1037" w:history="1">
        <w:r w:rsidR="00B46ABF">
          <w:rPr>
            <w:noProof/>
          </w:rPr>
          <w:t>Skirton, Goldsmith &amp; Chitty 2014</w:t>
        </w:r>
      </w:hyperlink>
      <w:r>
        <w:rPr>
          <w:noProof/>
        </w:rPr>
        <w:t>)</w:t>
      </w:r>
      <w:r>
        <w:fldChar w:fldCharType="end"/>
      </w:r>
      <w:r>
        <w:t>, emphasising the importance of counselling and differentiating prenatal genetic testing from more</w:t>
      </w:r>
      <w:r w:rsidR="0044251F">
        <w:t>-</w:t>
      </w:r>
      <w:r>
        <w:t>routine blood tests.</w:t>
      </w:r>
    </w:p>
    <w:p w14:paraId="71517CCF" w14:textId="554811F7" w:rsidR="00E96488" w:rsidRDefault="00E96488" w:rsidP="00E96488">
      <w:r w:rsidRPr="00CC0693">
        <w:rPr>
          <w:b/>
        </w:rPr>
        <w:t>Increased pressure to undergo testing.</w:t>
      </w:r>
      <w:r>
        <w:rPr>
          <w:b/>
        </w:rPr>
        <w:t xml:space="preserve"> </w:t>
      </w:r>
      <w:r>
        <w:t>The decreased risks of NIPD may not only lead to difficulties in ensuring informed consent</w:t>
      </w:r>
      <w:r w:rsidR="00D07E8E">
        <w:t>,</w:t>
      </w:r>
      <w:r>
        <w:t xml:space="preserve"> </w:t>
      </w:r>
      <w:r w:rsidR="00D07E8E">
        <w:t xml:space="preserve">but </w:t>
      </w:r>
      <w:r>
        <w:t>may increase pressure on couples to undertake prenatal testing. Society, family and health professionals could all suggest that testing is the routine thing to do. Couples should not have to justify these choices to society or family.</w:t>
      </w:r>
    </w:p>
    <w:p w14:paraId="5E2E0E67" w14:textId="48E618E1" w:rsidR="00E96488" w:rsidRDefault="00E96488" w:rsidP="00E96488">
      <w:r w:rsidRPr="005D49DD">
        <w:rPr>
          <w:b/>
        </w:rPr>
        <w:t>Widening the scope.</w:t>
      </w:r>
      <w:r>
        <w:rPr>
          <w:b/>
        </w:rPr>
        <w:t xml:space="preserve"> </w:t>
      </w:r>
      <w:r>
        <w:t>With any increasing use and routinisation of NIPD, one should expect that more gene disorders will be able to be tested for (</w:t>
      </w:r>
      <w:r w:rsidR="00D07E8E">
        <w:t xml:space="preserve">i.e. </w:t>
      </w:r>
      <w:r>
        <w:t xml:space="preserve">beyond just CF). In turn, this widening of the scope of prenatal testing could lead to further difficulties in ensuring informed consent and to the trivialisation of selective </w:t>
      </w:r>
      <w:r w:rsidR="00A569B1">
        <w:t xml:space="preserve">terminations </w:t>
      </w:r>
      <w:r>
        <w:t xml:space="preserve">on the part of society and medical personnel </w:t>
      </w:r>
      <w:r>
        <w:fldChar w:fldCharType="begin">
          <w:fldData xml:space="preserve">PEVuZE5vdGU+PENpdGU+PEF1dGhvcj5kZSBKb25nPC9BdXRob3I+PFllYXI+MjAxNTwvWWVhcj48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</w:fldData>
        </w:fldChar>
      </w:r>
      <w:r w:rsidR="009A054F">
        <w:instrText xml:space="preserve"> ADDIN EN.CITE </w:instrText>
      </w:r>
      <w:r w:rsidR="009A054F">
        <w:fldChar w:fldCharType="begin">
          <w:fldData xml:space="preserve">PEVuZE5vdGU+PENpdGU+PEF1dGhvcj5kZSBKb25nPC9BdXRob3I+PFllYXI+MjAxNTwvWWVhcj48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</w:fldData>
        </w:fldChar>
      </w:r>
      <w:r w:rsidR="009A054F">
        <w:instrText xml:space="preserve"> ADDIN EN.CITE.DATA </w:instrText>
      </w:r>
      <w:r w:rsidR="009A054F">
        <w:fldChar w:fldCharType="end"/>
      </w:r>
      <w:r>
        <w:fldChar w:fldCharType="separate"/>
      </w:r>
      <w:r>
        <w:rPr>
          <w:noProof/>
        </w:rPr>
        <w:t>(</w:t>
      </w:r>
      <w:hyperlink w:anchor="_ENREF_30" w:tooltip="de Jong, 2015 #822" w:history="1">
        <w:r w:rsidR="00B46ABF">
          <w:rPr>
            <w:noProof/>
          </w:rPr>
          <w:t>de Jong &amp; de Wert 2015</w:t>
        </w:r>
      </w:hyperlink>
      <w:r>
        <w:rPr>
          <w:noProof/>
        </w:rPr>
        <w:t xml:space="preserve">; </w:t>
      </w:r>
      <w:hyperlink w:anchor="_ENREF_109" w:tooltip="Schmitz, 2013 #687" w:history="1">
        <w:r w:rsidR="00B46ABF">
          <w:rPr>
            <w:noProof/>
          </w:rPr>
          <w:t>Schmitz 2013</w:t>
        </w:r>
      </w:hyperlink>
      <w:r>
        <w:rPr>
          <w:noProof/>
        </w:rPr>
        <w:t>)</w:t>
      </w:r>
      <w:r>
        <w:fldChar w:fldCharType="end"/>
      </w:r>
      <w:r>
        <w:t>.</w:t>
      </w:r>
    </w:p>
    <w:p w14:paraId="27EB7357" w14:textId="6BB7A49F" w:rsidR="00E96488" w:rsidRDefault="00F13316">
      <w:pPr>
        <w:pStyle w:val="Heading2"/>
        <w:tabs>
          <w:tab w:val="left" w:pos="1134"/>
        </w:tabs>
      </w:pPr>
      <w:bookmarkStart w:id="480" w:name="_Toc418179952"/>
      <w:r>
        <w:t>F.3.</w:t>
      </w:r>
      <w:r w:rsidR="00EA4E46">
        <w:tab/>
      </w:r>
      <w:r w:rsidR="00E96488">
        <w:t xml:space="preserve">Legal </w:t>
      </w:r>
      <w:r w:rsidR="009635BE">
        <w:t>I</w:t>
      </w:r>
      <w:r w:rsidR="00E96488">
        <w:t>mplications</w:t>
      </w:r>
      <w:bookmarkEnd w:id="480"/>
    </w:p>
    <w:p w14:paraId="0EB495FE" w14:textId="067E95EE" w:rsidR="00E96488" w:rsidRDefault="00E96488" w:rsidP="00E96488">
      <w:r>
        <w:t>TOP</w:t>
      </w:r>
      <w:r w:rsidR="00B46ABF">
        <w:t xml:space="preserve"> is </w:t>
      </w:r>
      <w:r w:rsidR="00D07E8E">
        <w:t>s</w:t>
      </w:r>
      <w:r>
        <w:t>tate</w:t>
      </w:r>
      <w:r w:rsidR="00D07E8E">
        <w:t>-</w:t>
      </w:r>
      <w:r>
        <w:t>regulated and subject to</w:t>
      </w:r>
      <w:r w:rsidRPr="008210FE">
        <w:t xml:space="preserve"> criminal law in almost all states and territories, except the Australian Capital Territory.</w:t>
      </w:r>
      <w:r>
        <w:t xml:space="preserve"> In</w:t>
      </w:r>
      <w:r w:rsidRPr="008210FE">
        <w:t xml:space="preserve"> Victoria, South Australia, Western Australia, Tasmania and the Northern Territory</w:t>
      </w:r>
      <w:r>
        <w:t>,</w:t>
      </w:r>
      <w:r w:rsidRPr="008210FE">
        <w:t xml:space="preserve"> legislation</w:t>
      </w:r>
      <w:r>
        <w:t xml:space="preserve"> is in place to</w:t>
      </w:r>
      <w:r w:rsidRPr="008210FE">
        <w:t xml:space="preserve"> provide a statutory explanation of when a </w:t>
      </w:r>
      <w:r w:rsidR="00A569B1">
        <w:t>termina</w:t>
      </w:r>
      <w:r w:rsidR="00A569B1" w:rsidRPr="008210FE">
        <w:t xml:space="preserve">tion </w:t>
      </w:r>
      <w:r w:rsidRPr="008210FE">
        <w:t xml:space="preserve">is legal, with respect to personal circumstances and timing. </w:t>
      </w:r>
      <w:r w:rsidRPr="00312745">
        <w:t xml:space="preserve">In New South Wales and Queensland the common law recognises exceptions to the Crimes Act and Criminal Code that enable lawful </w:t>
      </w:r>
      <w:r w:rsidR="00D07E8E">
        <w:t>TOP</w:t>
      </w:r>
      <w:r w:rsidRPr="00312745">
        <w:t xml:space="preserve"> in a large number of women who meet </w:t>
      </w:r>
      <w:r>
        <w:t>particular</w:t>
      </w:r>
      <w:r w:rsidRPr="00312745">
        <w:t xml:space="preserve"> criteria</w:t>
      </w:r>
      <w:r>
        <w:t xml:space="preserve">. </w:t>
      </w:r>
      <w:r w:rsidRPr="008210FE">
        <w:t xml:space="preserve">However, whether </w:t>
      </w:r>
      <w:r w:rsidR="00D07E8E">
        <w:t>TOP</w:t>
      </w:r>
      <w:r w:rsidRPr="008210FE">
        <w:t xml:space="preserve"> is lawful when CF is prenatally diagnosed</w:t>
      </w:r>
      <w:r>
        <w:t xml:space="preserve"> could differ between states</w:t>
      </w:r>
      <w:r w:rsidRPr="008210FE">
        <w:t xml:space="preserve">, </w:t>
      </w:r>
      <w:r>
        <w:t xml:space="preserve">as the life expectancy of CF patients continues to </w:t>
      </w:r>
      <w:r>
        <w:lastRenderedPageBreak/>
        <w:t>increase</w:t>
      </w:r>
      <w:r w:rsidRPr="008210FE">
        <w:t>. This should be considered in the decision</w:t>
      </w:r>
      <w:r>
        <w:t>-</w:t>
      </w:r>
      <w:r w:rsidRPr="008210FE">
        <w:t>making process regarding prenatal diagnosis</w:t>
      </w:r>
      <w:r>
        <w:t xml:space="preserve"> of CF</w:t>
      </w:r>
      <w:r w:rsidRPr="008210FE">
        <w:t xml:space="preserve">, </w:t>
      </w:r>
      <w:r>
        <w:t>since</w:t>
      </w:r>
      <w:r w:rsidRPr="008210FE">
        <w:t xml:space="preserve"> </w:t>
      </w:r>
      <w:r>
        <w:t>its</w:t>
      </w:r>
      <w:r w:rsidRPr="008210FE">
        <w:t xml:space="preserve"> usefulness is questionable in circumstances where lawful </w:t>
      </w:r>
      <w:r>
        <w:t xml:space="preserve">TOP </w:t>
      </w:r>
      <w:r w:rsidRPr="008210FE">
        <w:t xml:space="preserve">would not be available. </w:t>
      </w:r>
    </w:p>
    <w:p w14:paraId="40EAEC64" w14:textId="77777777" w:rsidR="005D0B1E" w:rsidRPr="00183E4D" w:rsidRDefault="005D0B1E" w:rsidP="0077418B"/>
    <w:p w14:paraId="0F7B9E3C" w14:textId="77777777" w:rsidR="004E45C4" w:rsidRPr="00183E4D" w:rsidRDefault="004E45C4">
      <w:pPr>
        <w:pStyle w:val="Heading1"/>
        <w:tabs>
          <w:tab w:val="left" w:pos="2268"/>
        </w:tabs>
      </w:pPr>
      <w:bookmarkStart w:id="481" w:name="_Ref352745383"/>
      <w:bookmarkStart w:id="482" w:name="_Toc352254677"/>
      <w:bookmarkStart w:id="483" w:name="_Toc352672949"/>
      <w:bookmarkStart w:id="484" w:name="_Toc355274740"/>
      <w:bookmarkStart w:id="485" w:name="_Toc379118097"/>
      <w:bookmarkStart w:id="486" w:name="_Toc381796496"/>
      <w:bookmarkStart w:id="487" w:name="_Toc418179953"/>
      <w:bookmarkStart w:id="488" w:name="_Ref237760111"/>
      <w:bookmarkEnd w:id="389"/>
      <w:bookmarkEnd w:id="390"/>
      <w:r w:rsidRPr="00183E4D">
        <w:lastRenderedPageBreak/>
        <w:t xml:space="preserve">Appendix </w:t>
      </w:r>
      <w:r w:rsidR="0086593E" w:rsidRPr="00183E4D">
        <w:fldChar w:fldCharType="begin"/>
      </w:r>
      <w:r w:rsidR="00A63A5D" w:rsidRPr="00183E4D">
        <w:instrText xml:space="preserve"> SEQ Appendix \* ALPHABETIC </w:instrText>
      </w:r>
      <w:r w:rsidR="0086593E" w:rsidRPr="00183E4D">
        <w:fldChar w:fldCharType="separate"/>
      </w:r>
      <w:r w:rsidR="00BB0E3E">
        <w:rPr>
          <w:noProof/>
        </w:rPr>
        <w:t>A</w:t>
      </w:r>
      <w:r w:rsidR="0086593E" w:rsidRPr="00183E4D">
        <w:fldChar w:fldCharType="end"/>
      </w:r>
      <w:bookmarkEnd w:id="481"/>
      <w:bookmarkEnd w:id="482"/>
      <w:bookmarkEnd w:id="483"/>
      <w:r w:rsidR="00745565" w:rsidRPr="00183E4D">
        <w:tab/>
      </w:r>
      <w:r w:rsidR="003E626D">
        <w:t>Clinical Experts</w:t>
      </w:r>
      <w:r w:rsidR="00745565" w:rsidRPr="00183E4D">
        <w:t xml:space="preserve"> </w:t>
      </w:r>
      <w:r w:rsidRPr="00183E4D">
        <w:t>and Assessment Group</w:t>
      </w:r>
      <w:bookmarkEnd w:id="484"/>
      <w:bookmarkEnd w:id="485"/>
      <w:bookmarkEnd w:id="486"/>
      <w:bookmarkEnd w:id="487"/>
    </w:p>
    <w:p w14:paraId="14721879" w14:textId="77777777" w:rsidR="004E45C4" w:rsidRPr="00183E4D" w:rsidRDefault="004E45C4" w:rsidP="00DF343F">
      <w:pPr>
        <w:pStyle w:val="Heading2"/>
      </w:pPr>
      <w:bookmarkStart w:id="489" w:name="_Toc352254678"/>
      <w:bookmarkStart w:id="490" w:name="_Toc352672950"/>
      <w:bookmarkStart w:id="491" w:name="_Toc352761735"/>
      <w:bookmarkStart w:id="492" w:name="_Toc379118098"/>
      <w:bookmarkStart w:id="493" w:name="_Toc381796497"/>
      <w:bookmarkStart w:id="494" w:name="_Toc418179954"/>
      <w:r w:rsidRPr="00183E4D">
        <w:t>Health Expert Standing Panel (HESP)</w:t>
      </w:r>
      <w:bookmarkEnd w:id="489"/>
      <w:bookmarkEnd w:id="490"/>
      <w:bookmarkEnd w:id="491"/>
      <w:bookmarkEnd w:id="492"/>
      <w:bookmarkEnd w:id="493"/>
      <w:bookmarkEnd w:id="494"/>
    </w:p>
    <w:p w14:paraId="7821A807" w14:textId="77777777" w:rsidR="009F08F9" w:rsidRPr="00183E4D" w:rsidRDefault="00C43CA5" w:rsidP="00DF343F">
      <w:pPr>
        <w:tabs>
          <w:tab w:val="left" w:pos="4111"/>
        </w:tabs>
        <w:spacing w:line="26" w:lineRule="atLeast"/>
        <w:rPr>
          <w:u w:val="single"/>
        </w:rPr>
      </w:pPr>
      <w:r w:rsidRPr="00183E4D">
        <w:rPr>
          <w:u w:val="single"/>
        </w:rPr>
        <w:t>Member</w:t>
      </w:r>
      <w:r w:rsidRPr="00183E4D">
        <w:tab/>
      </w:r>
      <w:r w:rsidRPr="00183E4D">
        <w:rPr>
          <w:u w:val="single"/>
        </w:rPr>
        <w:t>Expertise or affiliation</w:t>
      </w:r>
    </w:p>
    <w:p w14:paraId="3E381F16" w14:textId="72F589A5" w:rsidR="00C43CA5" w:rsidRDefault="00E03AB4" w:rsidP="00DF343F">
      <w:pPr>
        <w:tabs>
          <w:tab w:val="left" w:pos="4111"/>
        </w:tabs>
        <w:spacing w:line="26" w:lineRule="atLeast"/>
      </w:pPr>
      <w:r>
        <w:t>Dr Felicity Collins</w:t>
      </w:r>
      <w:r w:rsidR="00C43CA5" w:rsidRPr="00183E4D">
        <w:tab/>
      </w:r>
      <w:r>
        <w:t>Clinical Geneticist, Children’s Hospital, Westmead</w:t>
      </w:r>
    </w:p>
    <w:p w14:paraId="0A0D634A" w14:textId="50AE8390" w:rsidR="00E03AB4" w:rsidRDefault="00E03AB4" w:rsidP="00DF343F">
      <w:pPr>
        <w:tabs>
          <w:tab w:val="left" w:pos="4111"/>
        </w:tabs>
        <w:spacing w:line="26" w:lineRule="atLeast"/>
      </w:pPr>
      <w:r>
        <w:t>Dr Carolyn Shalhoub</w:t>
      </w:r>
      <w:r>
        <w:tab/>
        <w:t>Senior Genetic Counsellor, Sydney Children’s Hospital</w:t>
      </w:r>
    </w:p>
    <w:p w14:paraId="3EA6CE9F" w14:textId="07001B4A" w:rsidR="00E03AB4" w:rsidRDefault="00E03AB4" w:rsidP="00BF10BE">
      <w:pPr>
        <w:tabs>
          <w:tab w:val="left" w:pos="4111"/>
        </w:tabs>
        <w:spacing w:line="26" w:lineRule="atLeast"/>
        <w:ind w:left="4110" w:hanging="4110"/>
      </w:pPr>
      <w:r>
        <w:t>Dr Michael Gattas</w:t>
      </w:r>
      <w:r w:rsidR="00BF10BE">
        <w:tab/>
      </w:r>
      <w:r>
        <w:tab/>
        <w:t>Clinical Geneticist, Brisbane Genetics, Wesley Medical</w:t>
      </w:r>
      <w:r w:rsidR="00DF5916">
        <w:t xml:space="preserve"> </w:t>
      </w:r>
      <w:r w:rsidR="00BF10BE">
        <w:t>Centre</w:t>
      </w:r>
    </w:p>
    <w:p w14:paraId="20518135" w14:textId="2A23A1AE" w:rsidR="00E03AB4" w:rsidRPr="00183E4D" w:rsidRDefault="00E03AB4" w:rsidP="00935F84">
      <w:pPr>
        <w:tabs>
          <w:tab w:val="left" w:pos="4111"/>
        </w:tabs>
        <w:spacing w:line="26" w:lineRule="atLeast"/>
        <w:ind w:left="4110" w:hanging="4110"/>
      </w:pPr>
      <w:r>
        <w:t>Dr John Massie</w:t>
      </w:r>
      <w:r>
        <w:tab/>
        <w:t>Paediatric Respiratory Medicine / CF physician, The Royal Children’s Hospital Melbourne</w:t>
      </w:r>
    </w:p>
    <w:p w14:paraId="71D680C1" w14:textId="77777777" w:rsidR="00C43CA5" w:rsidRPr="00183E4D" w:rsidRDefault="00C43CA5" w:rsidP="00DF343F">
      <w:pPr>
        <w:tabs>
          <w:tab w:val="left" w:pos="4111"/>
        </w:tabs>
        <w:spacing w:line="26" w:lineRule="atLeast"/>
      </w:pPr>
      <w:r w:rsidRPr="00183E4D">
        <w:tab/>
      </w:r>
    </w:p>
    <w:p w14:paraId="4D165649" w14:textId="77777777" w:rsidR="004E45C4" w:rsidRPr="00183E4D" w:rsidRDefault="004E45C4" w:rsidP="00DF343F">
      <w:pPr>
        <w:pStyle w:val="Heading2"/>
      </w:pPr>
      <w:bookmarkStart w:id="495" w:name="_Toc379118099"/>
      <w:bookmarkStart w:id="496" w:name="_Toc381796498"/>
      <w:bookmarkStart w:id="497" w:name="_Toc418179955"/>
      <w:r w:rsidRPr="00183E4D">
        <w:t>Assessment group</w:t>
      </w:r>
      <w:bookmarkEnd w:id="495"/>
      <w:bookmarkEnd w:id="496"/>
      <w:bookmarkEnd w:id="497"/>
      <w:r w:rsidR="003E626D">
        <w:t xml:space="preserve"> </w:t>
      </w:r>
    </w:p>
    <w:p w14:paraId="6CF91731" w14:textId="77777777" w:rsidR="004E45C4" w:rsidRPr="00183E4D" w:rsidRDefault="00FE72FF" w:rsidP="00DF343F">
      <w:pPr>
        <w:spacing w:line="240" w:lineRule="auto"/>
        <w:rPr>
          <w:b/>
        </w:rPr>
      </w:pPr>
      <w:r>
        <w:rPr>
          <w:b/>
        </w:rPr>
        <w:t>Adelaide Health Technology Assessment (AHTA), University of Adelaide, Adelaide, South Australia</w:t>
      </w:r>
    </w:p>
    <w:p w14:paraId="2AFBA97D" w14:textId="77777777" w:rsidR="004E45C4" w:rsidRPr="00183E4D" w:rsidRDefault="004E45C4" w:rsidP="00DF343F">
      <w:pPr>
        <w:tabs>
          <w:tab w:val="left" w:pos="4111"/>
        </w:tabs>
        <w:spacing w:after="40"/>
        <w:rPr>
          <w:u w:val="single"/>
        </w:rPr>
      </w:pPr>
      <w:r w:rsidRPr="00183E4D">
        <w:rPr>
          <w:u w:val="single"/>
        </w:rPr>
        <w:t>Name</w:t>
      </w:r>
      <w:r w:rsidRPr="00183E4D">
        <w:tab/>
      </w:r>
      <w:r w:rsidRPr="00183E4D">
        <w:rPr>
          <w:u w:val="single"/>
        </w:rPr>
        <w:t>Position</w:t>
      </w:r>
    </w:p>
    <w:p w14:paraId="13A1EF76" w14:textId="33FE58BC" w:rsidR="007B1DC8" w:rsidRDefault="00FE72FF" w:rsidP="00DF343F">
      <w:pPr>
        <w:tabs>
          <w:tab w:val="left" w:pos="4111"/>
        </w:tabs>
      </w:pPr>
      <w:r>
        <w:t>Ms Sharon Kessels</w:t>
      </w:r>
      <w:r>
        <w:tab/>
        <w:t>Research Officer</w:t>
      </w:r>
    </w:p>
    <w:p w14:paraId="466C4D8B" w14:textId="3F9EE84B" w:rsidR="00FE72FF" w:rsidRDefault="00FE72FF" w:rsidP="00DF343F">
      <w:pPr>
        <w:tabs>
          <w:tab w:val="left" w:pos="4111"/>
        </w:tabs>
      </w:pPr>
      <w:r>
        <w:t>Dr Judy Morona</w:t>
      </w:r>
      <w:r>
        <w:tab/>
        <w:t>Senior Research Officer</w:t>
      </w:r>
    </w:p>
    <w:p w14:paraId="43E7B8DE" w14:textId="4E426C16" w:rsidR="00FE72FF" w:rsidRDefault="00FE72FF" w:rsidP="00DF343F">
      <w:pPr>
        <w:tabs>
          <w:tab w:val="left" w:pos="4111"/>
        </w:tabs>
      </w:pPr>
      <w:r>
        <w:t>Dr Ruchi Mittal</w:t>
      </w:r>
      <w:r>
        <w:tab/>
        <w:t>Senior Research Officer</w:t>
      </w:r>
    </w:p>
    <w:p w14:paraId="2BAC01A7" w14:textId="65395A43" w:rsidR="00FE72FF" w:rsidRDefault="00FE72FF" w:rsidP="00DF343F">
      <w:pPr>
        <w:tabs>
          <w:tab w:val="left" w:pos="4111"/>
        </w:tabs>
      </w:pPr>
      <w:r>
        <w:t>Ms Arlene Vogan</w:t>
      </w:r>
      <w:r>
        <w:tab/>
        <w:t>Health Economist</w:t>
      </w:r>
    </w:p>
    <w:p w14:paraId="00C837D1" w14:textId="6448A71C" w:rsidR="00091A85" w:rsidRDefault="00091A85" w:rsidP="00091A85">
      <w:pPr>
        <w:tabs>
          <w:tab w:val="left" w:pos="4111"/>
        </w:tabs>
      </w:pPr>
      <w:r>
        <w:t>Ms Camille Schubert</w:t>
      </w:r>
      <w:r>
        <w:tab/>
      </w:r>
      <w:r w:rsidRPr="00091A85">
        <w:t>Senior Health Economist</w:t>
      </w:r>
    </w:p>
    <w:p w14:paraId="1C11FFBB" w14:textId="523FD728" w:rsidR="00091A85" w:rsidRDefault="00091A85" w:rsidP="00091A85">
      <w:pPr>
        <w:tabs>
          <w:tab w:val="left" w:pos="4111"/>
        </w:tabs>
      </w:pPr>
      <w:r>
        <w:t>Ms Skye Newton</w:t>
      </w:r>
      <w:r>
        <w:tab/>
        <w:t xml:space="preserve">Team Leader </w:t>
      </w:r>
    </w:p>
    <w:p w14:paraId="798C6240" w14:textId="77777777" w:rsidR="00FE72FF" w:rsidRDefault="00FE72FF" w:rsidP="00DF343F">
      <w:pPr>
        <w:tabs>
          <w:tab w:val="left" w:pos="4111"/>
        </w:tabs>
      </w:pPr>
      <w:r>
        <w:t xml:space="preserve">Assoc. Prof. Tracy Merlin </w:t>
      </w:r>
      <w:r>
        <w:tab/>
        <w:t>Managing Director</w:t>
      </w:r>
    </w:p>
    <w:p w14:paraId="19A23B3C" w14:textId="77777777" w:rsidR="00FE72FF" w:rsidRDefault="00FE72FF" w:rsidP="00DF343F">
      <w:pPr>
        <w:spacing w:line="240" w:lineRule="auto"/>
        <w:rPr>
          <w:b/>
          <w:sz w:val="28"/>
          <w:szCs w:val="28"/>
        </w:rPr>
      </w:pPr>
      <w:bookmarkStart w:id="498" w:name="_Toc352254679"/>
      <w:bookmarkStart w:id="499" w:name="_Toc352672951"/>
      <w:bookmarkStart w:id="500" w:name="_Toc352761736"/>
    </w:p>
    <w:p w14:paraId="7FC71FF8" w14:textId="77777777" w:rsidR="004E45C4" w:rsidRPr="00183E4D" w:rsidRDefault="004E45C4" w:rsidP="001A4A46">
      <w:pPr>
        <w:pStyle w:val="Heading2"/>
      </w:pPr>
      <w:bookmarkStart w:id="501" w:name="_Toc418179956"/>
      <w:r w:rsidRPr="00183E4D">
        <w:t>Noted conflicts of interest</w:t>
      </w:r>
      <w:bookmarkEnd w:id="498"/>
      <w:bookmarkEnd w:id="499"/>
      <w:bookmarkEnd w:id="500"/>
      <w:bookmarkEnd w:id="501"/>
    </w:p>
    <w:p w14:paraId="15226F9F" w14:textId="77777777" w:rsidR="004E45C4" w:rsidRPr="00183E4D" w:rsidRDefault="004E45C4" w:rsidP="00DF343F">
      <w:pPr>
        <w:spacing w:line="240" w:lineRule="auto"/>
      </w:pPr>
      <w:r w:rsidRPr="00183E4D">
        <w:t>There were no conflicts of interest.</w:t>
      </w:r>
    </w:p>
    <w:p w14:paraId="6520EA6C" w14:textId="762DE847" w:rsidR="007A7960" w:rsidRPr="001A4A46" w:rsidRDefault="00193B87">
      <w:pPr>
        <w:pStyle w:val="Heading1"/>
        <w:tabs>
          <w:tab w:val="left" w:pos="2268"/>
        </w:tabs>
      </w:pPr>
      <w:bookmarkStart w:id="502" w:name="_Ref412209642"/>
      <w:bookmarkStart w:id="503" w:name="_Toc379118100"/>
      <w:bookmarkStart w:id="504" w:name="_Toc381796499"/>
      <w:bookmarkStart w:id="505" w:name="_Toc418179957"/>
      <w:bookmarkEnd w:id="488"/>
      <w:r w:rsidRPr="001A4A46">
        <w:lastRenderedPageBreak/>
        <w:t xml:space="preserve">Appendix </w:t>
      </w:r>
      <w:fldSimple w:instr=" SEQ Appendix \* ALPHABETIC ">
        <w:r w:rsidR="00BB0E3E">
          <w:rPr>
            <w:noProof/>
          </w:rPr>
          <w:t>B</w:t>
        </w:r>
      </w:fldSimple>
      <w:bookmarkEnd w:id="502"/>
      <w:r w:rsidR="00871F61" w:rsidRPr="001A4A46">
        <w:tab/>
        <w:t xml:space="preserve">Search </w:t>
      </w:r>
      <w:r w:rsidR="00801313">
        <w:t>S</w:t>
      </w:r>
      <w:r w:rsidR="00871F61" w:rsidRPr="001A4A46">
        <w:t>trategies</w:t>
      </w:r>
      <w:bookmarkEnd w:id="503"/>
      <w:bookmarkEnd w:id="504"/>
      <w:bookmarkEnd w:id="505"/>
    </w:p>
    <w:p w14:paraId="3ACE0BE6" w14:textId="77777777" w:rsidR="00E40E41" w:rsidRPr="00183E4D" w:rsidRDefault="00E40E41" w:rsidP="001A4A46">
      <w:pPr>
        <w:pStyle w:val="Heading2"/>
      </w:pPr>
      <w:bookmarkStart w:id="506" w:name="_Toc294256148"/>
      <w:bookmarkStart w:id="507" w:name="_Toc301358577"/>
      <w:bookmarkStart w:id="508" w:name="_Toc303677590"/>
      <w:bookmarkStart w:id="509" w:name="_Toc303677762"/>
      <w:bookmarkStart w:id="510" w:name="_Toc381796500"/>
      <w:bookmarkStart w:id="511" w:name="_Toc418179958"/>
      <w:r w:rsidRPr="00183E4D">
        <w:t>Bibliographic databases</w:t>
      </w:r>
      <w:bookmarkEnd w:id="506"/>
      <w:bookmarkEnd w:id="507"/>
      <w:bookmarkEnd w:id="508"/>
      <w:bookmarkEnd w:id="509"/>
      <w:bookmarkEnd w:id="510"/>
      <w:bookmarkEnd w:id="511"/>
    </w:p>
    <w:tbl>
      <w:tblPr>
        <w:tblStyle w:val="TableGrid1"/>
        <w:tblW w:w="0" w:type="auto"/>
        <w:tblLayout w:type="fixed"/>
        <w:tblLook w:val="0000" w:firstRow="0" w:lastRow="0" w:firstColumn="0" w:lastColumn="0" w:noHBand="0" w:noVBand="0"/>
        <w:tblCaption w:val="Electronic database"/>
        <w:tblDescription w:val="Electronic database"/>
      </w:tblPr>
      <w:tblGrid>
        <w:gridCol w:w="6834"/>
        <w:gridCol w:w="2165"/>
      </w:tblGrid>
      <w:tr w:rsidR="00FE72FF" w:rsidRPr="00B53E83" w14:paraId="1DCABD34" w14:textId="77777777" w:rsidTr="00447183">
        <w:trPr>
          <w:trHeight w:val="469"/>
          <w:tblHeader/>
        </w:trPr>
        <w:tc>
          <w:tcPr>
            <w:tcW w:w="6834" w:type="dxa"/>
          </w:tcPr>
          <w:p w14:paraId="0DAB4828" w14:textId="77777777" w:rsidR="00FE72FF" w:rsidRPr="00B53E83" w:rsidRDefault="00FE72FF" w:rsidP="004566DC">
            <w:pPr>
              <w:pStyle w:val="TableHeading"/>
              <w:jc w:val="left"/>
            </w:pPr>
            <w:bookmarkStart w:id="512" w:name="_Toc294256149"/>
            <w:bookmarkStart w:id="513" w:name="_Toc301358578"/>
            <w:bookmarkStart w:id="514" w:name="_Toc303677591"/>
            <w:bookmarkStart w:id="515" w:name="_Toc303677763"/>
            <w:bookmarkStart w:id="516" w:name="_Toc381796501"/>
            <w:r w:rsidRPr="00B53E83">
              <w:t>Electronic database</w:t>
            </w:r>
          </w:p>
        </w:tc>
        <w:tc>
          <w:tcPr>
            <w:tcW w:w="2165" w:type="dxa"/>
          </w:tcPr>
          <w:p w14:paraId="7EFBD296" w14:textId="77777777" w:rsidR="00FE72FF" w:rsidRPr="00B53E83" w:rsidRDefault="00FE72FF" w:rsidP="00266596">
            <w:pPr>
              <w:pStyle w:val="TableHeading"/>
            </w:pPr>
            <w:r w:rsidRPr="00B53E83">
              <w:t>Time period</w:t>
            </w:r>
          </w:p>
        </w:tc>
      </w:tr>
      <w:tr w:rsidR="00FE72FF" w:rsidRPr="00B53E83" w14:paraId="6FFB38B0" w14:textId="77777777" w:rsidTr="0042252D">
        <w:trPr>
          <w:trHeight w:val="899"/>
        </w:trPr>
        <w:tc>
          <w:tcPr>
            <w:tcW w:w="6834" w:type="dxa"/>
          </w:tcPr>
          <w:p w14:paraId="05C93F59" w14:textId="77777777" w:rsidR="00FE72FF" w:rsidRPr="00B53E83" w:rsidRDefault="00FE72FF" w:rsidP="004566DC">
            <w:pPr>
              <w:pStyle w:val="Tabletext1"/>
              <w:jc w:val="left"/>
            </w:pPr>
            <w:r w:rsidRPr="00B53E83">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2165" w:type="dxa"/>
          </w:tcPr>
          <w:p w14:paraId="148FE970" w14:textId="77777777" w:rsidR="00FE72FF" w:rsidRPr="00B53E83" w:rsidRDefault="00FE72FF" w:rsidP="00FE72FF">
            <w:pPr>
              <w:pStyle w:val="Tabletext1"/>
            </w:pPr>
            <w:r w:rsidRPr="00B53E83">
              <w:t>1/1989 – 10/2014</w:t>
            </w:r>
          </w:p>
        </w:tc>
      </w:tr>
      <w:tr w:rsidR="00FE72FF" w:rsidRPr="00B53E83" w14:paraId="11361118" w14:textId="77777777" w:rsidTr="0042252D">
        <w:trPr>
          <w:trHeight w:val="267"/>
        </w:trPr>
        <w:tc>
          <w:tcPr>
            <w:tcW w:w="6834" w:type="dxa"/>
          </w:tcPr>
          <w:p w14:paraId="13BAB153" w14:textId="77777777" w:rsidR="00FE72FF" w:rsidRPr="00B53E83" w:rsidRDefault="00FE72FF" w:rsidP="004566DC">
            <w:pPr>
              <w:pStyle w:val="Tabletext1"/>
              <w:jc w:val="left"/>
            </w:pPr>
            <w:r w:rsidRPr="00B53E83">
              <w:t xml:space="preserve">Current Contents </w:t>
            </w:r>
          </w:p>
        </w:tc>
        <w:tc>
          <w:tcPr>
            <w:tcW w:w="2165" w:type="dxa"/>
          </w:tcPr>
          <w:p w14:paraId="7C317A84" w14:textId="77777777" w:rsidR="00FE72FF" w:rsidRPr="00B53E83" w:rsidRDefault="00FE72FF" w:rsidP="00FE72FF">
            <w:pPr>
              <w:pStyle w:val="Tabletext1"/>
            </w:pPr>
            <w:r w:rsidRPr="00B53E83">
              <w:t>1/1989 – 10/2014</w:t>
            </w:r>
          </w:p>
        </w:tc>
      </w:tr>
      <w:tr w:rsidR="00FE72FF" w:rsidRPr="00B53E83" w14:paraId="2D1DE9A1" w14:textId="77777777" w:rsidTr="0042252D">
        <w:trPr>
          <w:trHeight w:val="281"/>
        </w:trPr>
        <w:tc>
          <w:tcPr>
            <w:tcW w:w="6834" w:type="dxa"/>
          </w:tcPr>
          <w:p w14:paraId="623A7200" w14:textId="77777777" w:rsidR="00FE72FF" w:rsidRPr="00B53E83" w:rsidRDefault="00FE72FF" w:rsidP="004566DC">
            <w:pPr>
              <w:pStyle w:val="Tabletext1"/>
              <w:jc w:val="left"/>
            </w:pPr>
            <w:r w:rsidRPr="00B53E83">
              <w:t xml:space="preserve">Embase </w:t>
            </w:r>
          </w:p>
        </w:tc>
        <w:tc>
          <w:tcPr>
            <w:tcW w:w="2165" w:type="dxa"/>
          </w:tcPr>
          <w:p w14:paraId="77345140" w14:textId="77777777" w:rsidR="00FE72FF" w:rsidRPr="00B53E83" w:rsidRDefault="00FE72FF" w:rsidP="00FE72FF">
            <w:pPr>
              <w:pStyle w:val="Tabletext1"/>
            </w:pPr>
            <w:r w:rsidRPr="00B53E83">
              <w:t>1/1989 – 10/2014</w:t>
            </w:r>
          </w:p>
        </w:tc>
      </w:tr>
      <w:tr w:rsidR="00FE72FF" w:rsidRPr="00B53E83" w14:paraId="1868332B" w14:textId="77777777" w:rsidTr="0042252D">
        <w:trPr>
          <w:trHeight w:val="281"/>
        </w:trPr>
        <w:tc>
          <w:tcPr>
            <w:tcW w:w="6834" w:type="dxa"/>
          </w:tcPr>
          <w:p w14:paraId="6F98962F" w14:textId="77777777" w:rsidR="00FE72FF" w:rsidRPr="00B53E83" w:rsidRDefault="00FE72FF" w:rsidP="004566DC">
            <w:pPr>
              <w:pStyle w:val="Tabletext1"/>
              <w:jc w:val="left"/>
            </w:pPr>
            <w:r w:rsidRPr="00B53E83">
              <w:t>PubMed</w:t>
            </w:r>
          </w:p>
        </w:tc>
        <w:tc>
          <w:tcPr>
            <w:tcW w:w="2165" w:type="dxa"/>
          </w:tcPr>
          <w:p w14:paraId="4BC67AF7" w14:textId="77777777" w:rsidR="00FE72FF" w:rsidRPr="00B53E83" w:rsidRDefault="00FE72FF" w:rsidP="00FE72FF">
            <w:pPr>
              <w:pStyle w:val="Tabletext1"/>
            </w:pPr>
            <w:r w:rsidRPr="00B53E83">
              <w:t>1/1989 – 10/2014</w:t>
            </w:r>
          </w:p>
        </w:tc>
      </w:tr>
      <w:tr w:rsidR="00FE72FF" w:rsidRPr="00B53E83" w14:paraId="61054342" w14:textId="77777777" w:rsidTr="0042252D">
        <w:trPr>
          <w:trHeight w:val="267"/>
        </w:trPr>
        <w:tc>
          <w:tcPr>
            <w:tcW w:w="6834" w:type="dxa"/>
          </w:tcPr>
          <w:p w14:paraId="707FBF80" w14:textId="77777777" w:rsidR="00FE72FF" w:rsidRPr="00B53E83" w:rsidRDefault="00FE72FF" w:rsidP="004566DC">
            <w:pPr>
              <w:pStyle w:val="Tabletext1"/>
              <w:jc w:val="left"/>
            </w:pPr>
            <w:r w:rsidRPr="00B53E83">
              <w:t>Web of Science – Science Citation Index Expanded</w:t>
            </w:r>
          </w:p>
        </w:tc>
        <w:tc>
          <w:tcPr>
            <w:tcW w:w="2165" w:type="dxa"/>
          </w:tcPr>
          <w:p w14:paraId="6FE28B42" w14:textId="77777777" w:rsidR="00FE72FF" w:rsidRPr="00B53E83" w:rsidRDefault="00FE72FF" w:rsidP="00FE72FF">
            <w:pPr>
              <w:pStyle w:val="Tabletext1"/>
            </w:pPr>
            <w:r w:rsidRPr="00B53E83">
              <w:t>1/1989 – 10/2014</w:t>
            </w:r>
          </w:p>
        </w:tc>
      </w:tr>
      <w:tr w:rsidR="00FE72FF" w:rsidRPr="00B53E83" w14:paraId="48F70F03" w14:textId="77777777" w:rsidTr="0042252D">
        <w:trPr>
          <w:trHeight w:val="336"/>
        </w:trPr>
        <w:tc>
          <w:tcPr>
            <w:tcW w:w="6834" w:type="dxa"/>
          </w:tcPr>
          <w:p w14:paraId="21F2248D" w14:textId="77777777" w:rsidR="00FE72FF" w:rsidRPr="00B53E83" w:rsidRDefault="00FE72FF" w:rsidP="004566DC">
            <w:pPr>
              <w:pStyle w:val="Tabletext1"/>
              <w:jc w:val="left"/>
            </w:pPr>
            <w:r w:rsidRPr="00B53E83">
              <w:t>Cinahl</w:t>
            </w:r>
          </w:p>
        </w:tc>
        <w:tc>
          <w:tcPr>
            <w:tcW w:w="2165" w:type="dxa"/>
          </w:tcPr>
          <w:p w14:paraId="61710C70" w14:textId="77777777" w:rsidR="00FE72FF" w:rsidRPr="00B53E83" w:rsidRDefault="00FE72FF" w:rsidP="00FE72FF">
            <w:pPr>
              <w:pStyle w:val="Tabletext1"/>
            </w:pPr>
            <w:r w:rsidRPr="00B53E83">
              <w:t>1/1989 – 10/2014</w:t>
            </w:r>
          </w:p>
        </w:tc>
      </w:tr>
      <w:tr w:rsidR="00FE72FF" w:rsidRPr="00B53E83" w14:paraId="2CB398D9" w14:textId="77777777" w:rsidTr="0042252D">
        <w:trPr>
          <w:trHeight w:val="336"/>
        </w:trPr>
        <w:tc>
          <w:tcPr>
            <w:tcW w:w="6834" w:type="dxa"/>
          </w:tcPr>
          <w:p w14:paraId="4907B643" w14:textId="77777777" w:rsidR="00FE72FF" w:rsidRPr="00B53E83" w:rsidRDefault="00FE72FF" w:rsidP="004566DC">
            <w:pPr>
              <w:pStyle w:val="Tabletext1"/>
              <w:jc w:val="left"/>
            </w:pPr>
            <w:r w:rsidRPr="00B53E83">
              <w:t>Econlit</w:t>
            </w:r>
          </w:p>
        </w:tc>
        <w:tc>
          <w:tcPr>
            <w:tcW w:w="2165" w:type="dxa"/>
          </w:tcPr>
          <w:p w14:paraId="47E80FD1" w14:textId="77777777" w:rsidR="00FE72FF" w:rsidRPr="00B53E83" w:rsidRDefault="00FE72FF" w:rsidP="00FE72FF">
            <w:pPr>
              <w:pStyle w:val="Tabletext1"/>
            </w:pPr>
            <w:r w:rsidRPr="00B53E83">
              <w:t>1/1989 – 10/2014</w:t>
            </w:r>
          </w:p>
        </w:tc>
      </w:tr>
      <w:tr w:rsidR="00FE72FF" w:rsidRPr="00B53E83" w14:paraId="10B7B56A" w14:textId="77777777" w:rsidTr="0042252D">
        <w:trPr>
          <w:trHeight w:val="336"/>
        </w:trPr>
        <w:tc>
          <w:tcPr>
            <w:tcW w:w="6834" w:type="dxa"/>
          </w:tcPr>
          <w:p w14:paraId="00FB8119" w14:textId="77777777" w:rsidR="00FE72FF" w:rsidRPr="00B53E83" w:rsidRDefault="00FE72FF" w:rsidP="004566DC">
            <w:pPr>
              <w:pStyle w:val="Tabletext1"/>
              <w:jc w:val="left"/>
            </w:pPr>
            <w:r w:rsidRPr="00B53E83">
              <w:t>Scopus</w:t>
            </w:r>
          </w:p>
        </w:tc>
        <w:tc>
          <w:tcPr>
            <w:tcW w:w="2165" w:type="dxa"/>
          </w:tcPr>
          <w:p w14:paraId="4B943B67" w14:textId="77777777" w:rsidR="00FE72FF" w:rsidRPr="00B53E83" w:rsidRDefault="00FE72FF" w:rsidP="00FE72FF">
            <w:pPr>
              <w:pStyle w:val="Tabletext1"/>
            </w:pPr>
            <w:r w:rsidRPr="00B53E83">
              <w:t>1/1989 – 10/2014</w:t>
            </w:r>
          </w:p>
        </w:tc>
      </w:tr>
    </w:tbl>
    <w:p w14:paraId="72B75E06" w14:textId="77777777" w:rsidR="00E40E41" w:rsidRDefault="00E40E41" w:rsidP="001A4A46">
      <w:pPr>
        <w:pStyle w:val="Heading2"/>
      </w:pPr>
      <w:bookmarkStart w:id="517" w:name="_Toc418179959"/>
      <w:r w:rsidRPr="00183E4D">
        <w:t>Additional sources of literature</w:t>
      </w:r>
      <w:bookmarkEnd w:id="512"/>
      <w:bookmarkEnd w:id="513"/>
      <w:bookmarkEnd w:id="514"/>
      <w:bookmarkEnd w:id="515"/>
      <w:bookmarkEnd w:id="516"/>
      <w:r w:rsidR="00591A6D" w:rsidRPr="00183E4D">
        <w:t xml:space="preserve"> (including websites)</w:t>
      </w:r>
      <w:bookmarkEnd w:id="517"/>
    </w:p>
    <w:p w14:paraId="7F9F070F" w14:textId="77777777" w:rsidR="00FE72FF" w:rsidRPr="00FE72FF" w:rsidRDefault="00FE72FF" w:rsidP="001A4A46">
      <w:pPr>
        <w:pStyle w:val="Heading3"/>
      </w:pPr>
      <w:bookmarkStart w:id="518" w:name="_Toc418179960"/>
      <w:r>
        <w:t>HTA websites</w:t>
      </w:r>
      <w:bookmarkEnd w:id="518"/>
    </w:p>
    <w:tbl>
      <w:tblPr>
        <w:tblStyle w:val="TableGrid1"/>
        <w:tblW w:w="9180" w:type="dxa"/>
        <w:tblLayout w:type="fixed"/>
        <w:tblLook w:val="01E0" w:firstRow="1" w:lastRow="1" w:firstColumn="1" w:lastColumn="1" w:noHBand="0" w:noVBand="0"/>
        <w:tblCaption w:val="ADDITIONAL SOURCES OF LITERATURE (INCLUDING WEBSITES) World Wide"/>
        <w:tblDescription w:val="ADDITIONAL SOURCES OF LITERATURE (INCLUDING WEBSITES)&#10;HTA WEBSITES World Wide&#10;"/>
      </w:tblPr>
      <w:tblGrid>
        <w:gridCol w:w="4347"/>
        <w:gridCol w:w="4833"/>
      </w:tblGrid>
      <w:tr w:rsidR="00FE72FF" w:rsidRPr="00FE72FF" w14:paraId="7893AAFC"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4347" w:type="dxa"/>
          </w:tcPr>
          <w:p w14:paraId="12DEC675"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INTERNATIONAL</w:t>
            </w:r>
          </w:p>
        </w:tc>
        <w:tc>
          <w:tcPr>
            <w:tcW w:w="4833" w:type="dxa"/>
          </w:tcPr>
          <w:p w14:paraId="077041A9"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47374A17" w14:textId="77777777" w:rsidTr="009B1AA7">
        <w:tc>
          <w:tcPr>
            <w:tcW w:w="4347" w:type="dxa"/>
          </w:tcPr>
          <w:p w14:paraId="54138766"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International Network of Agencies for Health Technology Assessment</w:t>
            </w:r>
          </w:p>
        </w:tc>
        <w:tc>
          <w:tcPr>
            <w:tcW w:w="4833" w:type="dxa"/>
          </w:tcPr>
          <w:p w14:paraId="0C3E25A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color w:val="0000FF"/>
                <w:sz w:val="20"/>
                <w:szCs w:val="20"/>
                <w:u w:val="single"/>
              </w:rPr>
              <w:t>http://www.inahta.org/</w:t>
            </w:r>
          </w:p>
        </w:tc>
      </w:tr>
      <w:tr w:rsidR="00FE72FF" w:rsidRPr="00FE72FF" w14:paraId="71925F10" w14:textId="77777777" w:rsidTr="009B1AA7">
        <w:tc>
          <w:tcPr>
            <w:tcW w:w="4347" w:type="dxa"/>
          </w:tcPr>
          <w:p w14:paraId="2F2226B4"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AUSTRALIA</w:t>
            </w:r>
          </w:p>
        </w:tc>
        <w:tc>
          <w:tcPr>
            <w:tcW w:w="4833" w:type="dxa"/>
          </w:tcPr>
          <w:p w14:paraId="4C3392C5"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69F74EA6" w14:textId="77777777" w:rsidTr="009B1AA7">
        <w:tc>
          <w:tcPr>
            <w:tcW w:w="4347" w:type="dxa"/>
          </w:tcPr>
          <w:p w14:paraId="1755DE4E" w14:textId="5A34E853"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Australian Safety and Efficacy Register of New Interventional P</w:t>
            </w:r>
            <w:r w:rsidR="00DB5534">
              <w:rPr>
                <w:rFonts w:ascii="Arial Narrow" w:hAnsi="Arial Narrow" w:cs="Times New Roman"/>
                <w:sz w:val="20"/>
                <w:szCs w:val="20"/>
              </w:rPr>
              <w:t>rocedures – Surgical (ASERNIP-S)</w:t>
            </w:r>
            <w:r w:rsidR="00DF5916">
              <w:rPr>
                <w:rFonts w:ascii="Arial Narrow" w:hAnsi="Arial Narrow" w:cs="Times New Roman"/>
                <w:sz w:val="20"/>
                <w:szCs w:val="20"/>
              </w:rPr>
              <w:t xml:space="preserve"> </w:t>
            </w:r>
          </w:p>
        </w:tc>
        <w:tc>
          <w:tcPr>
            <w:tcW w:w="4833" w:type="dxa"/>
          </w:tcPr>
          <w:p w14:paraId="543E029E" w14:textId="5F2C6C1D" w:rsidR="00FE72FF" w:rsidRPr="00FE72FF" w:rsidRDefault="00447183" w:rsidP="004566DC">
            <w:pPr>
              <w:spacing w:after="40" w:line="240" w:lineRule="auto"/>
              <w:jc w:val="left"/>
              <w:rPr>
                <w:rFonts w:ascii="Arial Narrow" w:hAnsi="Arial Narrow" w:cs="Times New Roman"/>
                <w:sz w:val="20"/>
                <w:szCs w:val="20"/>
              </w:rPr>
            </w:pPr>
            <w:hyperlink r:id="rId52" w:tooltip="Link to Australian Safety and Efficacy Register of New Interventional Procedures – Surgical" w:history="1">
              <w:r w:rsidR="00FE72FF" w:rsidRPr="00FE72FF">
                <w:rPr>
                  <w:rFonts w:ascii="Arial Narrow" w:hAnsi="Arial Narrow" w:cs="Times New Roman"/>
                  <w:color w:val="0000FF"/>
                  <w:sz w:val="20"/>
                  <w:szCs w:val="20"/>
                  <w:u w:val="single"/>
                </w:rPr>
                <w:t>http://www.surgeons.org/for-health-professionals/audits-and-surgical-research/asernip-s/</w:t>
              </w:r>
            </w:hyperlink>
            <w:r w:rsidR="00FE72FF" w:rsidRPr="00FE72FF">
              <w:rPr>
                <w:rFonts w:ascii="Arial Narrow" w:hAnsi="Arial Narrow" w:cs="Times New Roman"/>
                <w:sz w:val="20"/>
                <w:szCs w:val="20"/>
              </w:rPr>
              <w:t xml:space="preserve"> </w:t>
            </w:r>
          </w:p>
        </w:tc>
      </w:tr>
      <w:tr w:rsidR="00FE72FF" w:rsidRPr="00FE72FF" w14:paraId="029C3E17" w14:textId="77777777" w:rsidTr="009B1AA7">
        <w:tc>
          <w:tcPr>
            <w:tcW w:w="4347" w:type="dxa"/>
          </w:tcPr>
          <w:p w14:paraId="4F911BAF"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Centre for Clinical Effectiveness, Monash University </w:t>
            </w:r>
          </w:p>
        </w:tc>
        <w:tc>
          <w:tcPr>
            <w:tcW w:w="4833" w:type="dxa"/>
          </w:tcPr>
          <w:p w14:paraId="0CDFD933" w14:textId="4A70965E" w:rsidR="00FE72FF" w:rsidRPr="00FE72FF" w:rsidRDefault="00447183" w:rsidP="004566DC">
            <w:pPr>
              <w:spacing w:after="40" w:line="240" w:lineRule="auto"/>
              <w:jc w:val="left"/>
              <w:rPr>
                <w:rFonts w:ascii="Arial Narrow" w:hAnsi="Arial Narrow" w:cs="Times New Roman"/>
                <w:sz w:val="20"/>
                <w:szCs w:val="20"/>
              </w:rPr>
            </w:pPr>
            <w:hyperlink r:id="rId53" w:tooltip="Link to Centre for Clinical Effectiveness" w:history="1">
              <w:r w:rsidR="00FE72FF" w:rsidRPr="00FE72FF">
                <w:rPr>
                  <w:rFonts w:ascii="Arial Narrow" w:hAnsi="Arial Narrow" w:cs="Times New Roman"/>
                  <w:color w:val="0000FF"/>
                  <w:sz w:val="20"/>
                  <w:szCs w:val="20"/>
                  <w:u w:val="single"/>
                </w:rPr>
                <w:t>http://www.monashhealth.org/page/Health_Professionals/CCE/</w:t>
              </w:r>
            </w:hyperlink>
            <w:r w:rsidR="00FE72FF" w:rsidRPr="00FE72FF">
              <w:rPr>
                <w:rFonts w:ascii="Arial Narrow" w:hAnsi="Arial Narrow" w:cs="Times New Roman"/>
                <w:sz w:val="20"/>
                <w:szCs w:val="20"/>
              </w:rPr>
              <w:t xml:space="preserve"> </w:t>
            </w:r>
          </w:p>
        </w:tc>
      </w:tr>
      <w:tr w:rsidR="00FE72FF" w:rsidRPr="00FE72FF" w14:paraId="7A2D69DA" w14:textId="77777777" w:rsidTr="009B1AA7">
        <w:tc>
          <w:tcPr>
            <w:tcW w:w="4347" w:type="dxa"/>
          </w:tcPr>
          <w:p w14:paraId="3F06B38D" w14:textId="3AC18DA5"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Centre for Health Economics, Monash University</w:t>
            </w:r>
            <w:r w:rsidR="00DF5916">
              <w:rPr>
                <w:rFonts w:ascii="Arial Narrow" w:hAnsi="Arial Narrow" w:cs="Times New Roman"/>
                <w:sz w:val="20"/>
                <w:szCs w:val="20"/>
              </w:rPr>
              <w:t xml:space="preserve"> </w:t>
            </w:r>
          </w:p>
        </w:tc>
        <w:tc>
          <w:tcPr>
            <w:tcW w:w="4833" w:type="dxa"/>
          </w:tcPr>
          <w:p w14:paraId="7F22EEBB" w14:textId="70550583" w:rsidR="00FE72FF" w:rsidRPr="00FE72FF" w:rsidRDefault="00447183" w:rsidP="004566DC">
            <w:pPr>
              <w:spacing w:after="40" w:line="240" w:lineRule="auto"/>
              <w:jc w:val="left"/>
              <w:rPr>
                <w:rFonts w:ascii="Arial Narrow" w:hAnsi="Arial Narrow" w:cs="Times New Roman"/>
                <w:sz w:val="20"/>
                <w:szCs w:val="20"/>
              </w:rPr>
            </w:pPr>
            <w:hyperlink r:id="rId54" w:tooltip="Link to Centre for Health Economics" w:history="1">
              <w:r w:rsidR="00FE72FF" w:rsidRPr="00FE72FF">
                <w:rPr>
                  <w:rFonts w:ascii="Arial Narrow" w:hAnsi="Arial Narrow" w:cs="Times New Roman"/>
                  <w:color w:val="0000FF"/>
                  <w:sz w:val="20"/>
                  <w:szCs w:val="20"/>
                  <w:u w:val="single"/>
                </w:rPr>
                <w:t>http://www.buseco.monash.edu.au/centres/che/</w:t>
              </w:r>
            </w:hyperlink>
          </w:p>
        </w:tc>
      </w:tr>
      <w:tr w:rsidR="00FE72FF" w:rsidRPr="00FE72FF" w14:paraId="0071D893" w14:textId="77777777" w:rsidTr="009B1AA7">
        <w:tc>
          <w:tcPr>
            <w:tcW w:w="4347" w:type="dxa"/>
          </w:tcPr>
          <w:p w14:paraId="3B42BC05"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AUSTRIA</w:t>
            </w:r>
          </w:p>
        </w:tc>
        <w:tc>
          <w:tcPr>
            <w:tcW w:w="4833" w:type="dxa"/>
          </w:tcPr>
          <w:p w14:paraId="0A33CDFB"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708F97C0" w14:textId="77777777" w:rsidTr="009B1AA7">
        <w:tc>
          <w:tcPr>
            <w:tcW w:w="4347" w:type="dxa"/>
          </w:tcPr>
          <w:p w14:paraId="2A8E3055" w14:textId="2E63D673"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Institute of Technology Assessment / HTA unit</w:t>
            </w:r>
            <w:r w:rsidR="00DF5916">
              <w:rPr>
                <w:rFonts w:ascii="Arial Narrow" w:hAnsi="Arial Narrow" w:cs="Times New Roman"/>
                <w:sz w:val="20"/>
                <w:szCs w:val="20"/>
              </w:rPr>
              <w:t xml:space="preserve"> </w:t>
            </w:r>
          </w:p>
        </w:tc>
        <w:tc>
          <w:tcPr>
            <w:tcW w:w="4833" w:type="dxa"/>
          </w:tcPr>
          <w:p w14:paraId="2BE0F7CF" w14:textId="5CEA9DD8" w:rsidR="00FE72FF" w:rsidRPr="00FE72FF" w:rsidRDefault="00447183" w:rsidP="004566DC">
            <w:pPr>
              <w:spacing w:after="40" w:line="240" w:lineRule="auto"/>
              <w:jc w:val="left"/>
              <w:rPr>
                <w:rFonts w:ascii="Arial Narrow" w:hAnsi="Arial Narrow" w:cs="Times New Roman"/>
                <w:sz w:val="20"/>
                <w:szCs w:val="20"/>
              </w:rPr>
            </w:pPr>
            <w:hyperlink r:id="rId55" w:tooltip="Link to Institute of Technology Assessment" w:history="1">
              <w:r w:rsidR="00FE72FF" w:rsidRPr="00FE72FF">
                <w:rPr>
                  <w:rFonts w:ascii="Arial Narrow" w:hAnsi="Arial Narrow" w:cs="Times New Roman"/>
                  <w:color w:val="0000FF"/>
                  <w:sz w:val="20"/>
                  <w:szCs w:val="20"/>
                  <w:u w:val="single"/>
                </w:rPr>
                <w:t>http://www.oeaw.ac.at/ita</w:t>
              </w:r>
            </w:hyperlink>
          </w:p>
        </w:tc>
      </w:tr>
      <w:tr w:rsidR="00FE72FF" w:rsidRPr="00FE72FF" w14:paraId="02FAEF8D" w14:textId="77777777" w:rsidTr="009B1AA7">
        <w:tc>
          <w:tcPr>
            <w:tcW w:w="4347" w:type="dxa"/>
          </w:tcPr>
          <w:p w14:paraId="4FBD9740"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CANADA</w:t>
            </w:r>
          </w:p>
        </w:tc>
        <w:tc>
          <w:tcPr>
            <w:tcW w:w="4833" w:type="dxa"/>
          </w:tcPr>
          <w:p w14:paraId="37604319"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2F8AD146" w14:textId="77777777" w:rsidTr="009B1AA7">
        <w:tc>
          <w:tcPr>
            <w:tcW w:w="4347" w:type="dxa"/>
          </w:tcPr>
          <w:p w14:paraId="6FC4A30D"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Institut national d’excellence en santé et en services sociaux (INESSS)</w:t>
            </w:r>
          </w:p>
        </w:tc>
        <w:tc>
          <w:tcPr>
            <w:tcW w:w="4833" w:type="dxa"/>
          </w:tcPr>
          <w:p w14:paraId="65B017B8" w14:textId="21A9C144" w:rsidR="00FE72FF" w:rsidRPr="00FE72FF" w:rsidRDefault="00447183" w:rsidP="004566DC">
            <w:pPr>
              <w:spacing w:after="40" w:line="240" w:lineRule="auto"/>
              <w:jc w:val="left"/>
              <w:rPr>
                <w:rFonts w:ascii="Arial Narrow" w:hAnsi="Arial Narrow" w:cs="Times New Roman"/>
                <w:sz w:val="20"/>
                <w:szCs w:val="20"/>
              </w:rPr>
            </w:pPr>
            <w:hyperlink r:id="rId56" w:tooltip="Link to Institut national d’excellence en santé et en services sociaux " w:history="1">
              <w:r w:rsidR="00FE72FF" w:rsidRPr="00FE72FF">
                <w:rPr>
                  <w:rFonts w:ascii="Arial Narrow" w:hAnsi="Arial Narrow" w:cs="Times New Roman"/>
                  <w:color w:val="0000FF"/>
                  <w:sz w:val="20"/>
                  <w:szCs w:val="20"/>
                  <w:u w:val="single"/>
                </w:rPr>
                <w:t>http://www.inesss.qc.ca/en/publications/publications</w:t>
              </w:r>
            </w:hyperlink>
            <w:r w:rsidR="00FE72FF" w:rsidRPr="00FE72FF">
              <w:rPr>
                <w:rFonts w:ascii="Arial Narrow" w:hAnsi="Arial Narrow" w:cs="Times New Roman"/>
                <w:sz w:val="20"/>
                <w:szCs w:val="20"/>
              </w:rPr>
              <w:t>/</w:t>
            </w:r>
          </w:p>
        </w:tc>
      </w:tr>
      <w:tr w:rsidR="00FE72FF" w:rsidRPr="00FE72FF" w14:paraId="1F48F40D" w14:textId="77777777" w:rsidTr="009B1AA7">
        <w:tc>
          <w:tcPr>
            <w:tcW w:w="4347" w:type="dxa"/>
          </w:tcPr>
          <w:p w14:paraId="7B8B45B0"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Alberta Heritage Foundation for Medical Research (AHFMR) </w:t>
            </w:r>
          </w:p>
        </w:tc>
        <w:tc>
          <w:tcPr>
            <w:tcW w:w="4833" w:type="dxa"/>
          </w:tcPr>
          <w:p w14:paraId="28FD7A4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color w:val="0000FF"/>
                <w:sz w:val="20"/>
                <w:szCs w:val="20"/>
                <w:u w:val="single"/>
              </w:rPr>
              <w:t>http://www.ahfmr.ab.ca/</w:t>
            </w:r>
          </w:p>
        </w:tc>
      </w:tr>
      <w:tr w:rsidR="00FE72FF" w:rsidRPr="00FE72FF" w14:paraId="52361C4F" w14:textId="77777777" w:rsidTr="009B1AA7">
        <w:tc>
          <w:tcPr>
            <w:tcW w:w="4347" w:type="dxa"/>
          </w:tcPr>
          <w:p w14:paraId="4CC74CAC"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Alberta Institute of Health Economics</w:t>
            </w:r>
          </w:p>
        </w:tc>
        <w:tc>
          <w:tcPr>
            <w:tcW w:w="4833" w:type="dxa"/>
          </w:tcPr>
          <w:p w14:paraId="14D533EF" w14:textId="7209846F" w:rsidR="00FE72FF" w:rsidRPr="00FE72FF" w:rsidRDefault="00447183" w:rsidP="004566DC">
            <w:pPr>
              <w:spacing w:after="40" w:line="240" w:lineRule="auto"/>
              <w:jc w:val="left"/>
              <w:rPr>
                <w:rFonts w:ascii="Arial Narrow" w:hAnsi="Arial Narrow" w:cs="Times New Roman"/>
                <w:sz w:val="20"/>
                <w:szCs w:val="20"/>
              </w:rPr>
            </w:pPr>
            <w:hyperlink r:id="rId57" w:tooltip="Link to Alberta Institute of Health Economics" w:history="1">
              <w:r w:rsidR="00FE72FF" w:rsidRPr="00FE72FF">
                <w:rPr>
                  <w:rFonts w:ascii="Arial Narrow" w:hAnsi="Arial Narrow" w:cs="Times New Roman"/>
                  <w:color w:val="0000FF"/>
                  <w:sz w:val="20"/>
                  <w:szCs w:val="20"/>
                  <w:u w:val="single"/>
                </w:rPr>
                <w:t>http://www.ihe.ca/</w:t>
              </w:r>
            </w:hyperlink>
          </w:p>
        </w:tc>
      </w:tr>
      <w:tr w:rsidR="00FE72FF" w:rsidRPr="00FE72FF" w14:paraId="0331BA23" w14:textId="77777777" w:rsidTr="009B1AA7">
        <w:tc>
          <w:tcPr>
            <w:tcW w:w="4347" w:type="dxa"/>
          </w:tcPr>
          <w:p w14:paraId="00E8DD4B"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The Canadian Agency for Drugs And Technologies in Health (CADTH)</w:t>
            </w:r>
          </w:p>
        </w:tc>
        <w:tc>
          <w:tcPr>
            <w:tcW w:w="4833" w:type="dxa"/>
          </w:tcPr>
          <w:p w14:paraId="007E2A84" w14:textId="1E298ED3" w:rsidR="00FE72FF" w:rsidRPr="00FE72FF" w:rsidRDefault="00447183" w:rsidP="004566DC">
            <w:pPr>
              <w:spacing w:after="40" w:line="240" w:lineRule="auto"/>
              <w:jc w:val="left"/>
              <w:rPr>
                <w:rFonts w:ascii="Arial Narrow" w:hAnsi="Arial Narrow" w:cs="Times New Roman"/>
                <w:sz w:val="20"/>
                <w:szCs w:val="20"/>
              </w:rPr>
            </w:pPr>
            <w:hyperlink r:id="rId58" w:tooltip="Link to The Canadian Agency for Drugs And Technologies in Health " w:history="1">
              <w:r w:rsidR="00FE72FF" w:rsidRPr="00FE72FF">
                <w:rPr>
                  <w:rFonts w:ascii="Arial Narrow" w:hAnsi="Arial Narrow" w:cs="Times New Roman"/>
                  <w:color w:val="0000FF"/>
                  <w:sz w:val="20"/>
                  <w:szCs w:val="20"/>
                  <w:u w:val="single"/>
                </w:rPr>
                <w:t>http://www.cadth.ca/index.php/en/</w:t>
              </w:r>
            </w:hyperlink>
            <w:r w:rsidR="00FE72FF" w:rsidRPr="00FE72FF">
              <w:rPr>
                <w:rFonts w:ascii="Arial Narrow" w:hAnsi="Arial Narrow" w:cs="Times New Roman"/>
                <w:sz w:val="20"/>
                <w:szCs w:val="20"/>
              </w:rPr>
              <w:t xml:space="preserve"> </w:t>
            </w:r>
          </w:p>
        </w:tc>
      </w:tr>
      <w:tr w:rsidR="00FE72FF" w:rsidRPr="00FE72FF" w14:paraId="167677B9" w14:textId="77777777" w:rsidTr="009B1AA7">
        <w:tc>
          <w:tcPr>
            <w:tcW w:w="4347" w:type="dxa"/>
          </w:tcPr>
          <w:p w14:paraId="25BE87D3"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The Canadian Association for Health Services and Policy Research (CAHSPR)</w:t>
            </w:r>
          </w:p>
        </w:tc>
        <w:tc>
          <w:tcPr>
            <w:tcW w:w="4833" w:type="dxa"/>
          </w:tcPr>
          <w:p w14:paraId="196D7036" w14:textId="5A88EF38" w:rsidR="00FE72FF" w:rsidRPr="00FE72FF" w:rsidRDefault="00447183" w:rsidP="004566DC">
            <w:pPr>
              <w:spacing w:after="40" w:line="240" w:lineRule="auto"/>
              <w:jc w:val="left"/>
              <w:rPr>
                <w:rFonts w:ascii="Arial Narrow" w:hAnsi="Arial Narrow" w:cs="Times New Roman"/>
                <w:sz w:val="20"/>
                <w:szCs w:val="20"/>
              </w:rPr>
            </w:pPr>
            <w:hyperlink r:id="rId59" w:tooltip="Link to The Canadian Association for Health Services and Policy Research " w:history="1">
              <w:r w:rsidR="00FE72FF" w:rsidRPr="00FE72FF">
                <w:rPr>
                  <w:rFonts w:ascii="Arial Narrow" w:hAnsi="Arial Narrow" w:cs="Times New Roman"/>
                  <w:color w:val="0000FF"/>
                  <w:sz w:val="20"/>
                  <w:szCs w:val="20"/>
                  <w:u w:val="single"/>
                </w:rPr>
                <w:t>https://www.cahspr.ca/en/about/vision</w:t>
              </w:r>
            </w:hyperlink>
            <w:r w:rsidR="00FE72FF" w:rsidRPr="00FE72FF">
              <w:rPr>
                <w:rFonts w:ascii="Arial Narrow" w:hAnsi="Arial Narrow" w:cs="Times New Roman"/>
                <w:sz w:val="20"/>
                <w:szCs w:val="20"/>
              </w:rPr>
              <w:t xml:space="preserve"> </w:t>
            </w:r>
          </w:p>
        </w:tc>
      </w:tr>
      <w:tr w:rsidR="00FE72FF" w:rsidRPr="00FE72FF" w14:paraId="570649F1" w14:textId="77777777" w:rsidTr="009B1AA7">
        <w:tc>
          <w:tcPr>
            <w:tcW w:w="4347" w:type="dxa"/>
          </w:tcPr>
          <w:p w14:paraId="59DBBF36" w14:textId="4726B5A5"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Centre for Health Economics and Policy Analysis (CHEPA), McMaster University</w:t>
            </w:r>
            <w:r w:rsidR="00DF5916">
              <w:rPr>
                <w:rFonts w:ascii="Arial Narrow" w:hAnsi="Arial Narrow" w:cs="Times New Roman"/>
                <w:sz w:val="20"/>
                <w:szCs w:val="20"/>
              </w:rPr>
              <w:t xml:space="preserve"> </w:t>
            </w:r>
          </w:p>
        </w:tc>
        <w:tc>
          <w:tcPr>
            <w:tcW w:w="4833" w:type="dxa"/>
          </w:tcPr>
          <w:p w14:paraId="5E434DA3" w14:textId="319C7A35" w:rsidR="00FE72FF" w:rsidRPr="00FE72FF" w:rsidRDefault="00447183" w:rsidP="004566DC">
            <w:pPr>
              <w:spacing w:after="40" w:line="240" w:lineRule="auto"/>
              <w:jc w:val="left"/>
              <w:rPr>
                <w:rFonts w:ascii="Arial Narrow" w:hAnsi="Arial Narrow" w:cs="Times New Roman"/>
                <w:sz w:val="20"/>
                <w:szCs w:val="20"/>
              </w:rPr>
            </w:pPr>
            <w:hyperlink r:id="rId60" w:tooltip="Link to Centre for Health Economics and Policy Analysis " w:history="1">
              <w:r w:rsidR="00FE72FF" w:rsidRPr="00FE72FF">
                <w:rPr>
                  <w:rFonts w:ascii="Arial Narrow" w:hAnsi="Arial Narrow" w:cs="Times New Roman"/>
                  <w:color w:val="0000FF"/>
                  <w:sz w:val="20"/>
                  <w:szCs w:val="20"/>
                  <w:u w:val="single"/>
                </w:rPr>
                <w:t>http://www.chepa.org/</w:t>
              </w:r>
            </w:hyperlink>
            <w:r w:rsidR="00FE72FF" w:rsidRPr="00FE72FF">
              <w:rPr>
                <w:rFonts w:ascii="Arial Narrow" w:hAnsi="Arial Narrow" w:cs="Times New Roman"/>
                <w:sz w:val="20"/>
                <w:szCs w:val="20"/>
              </w:rPr>
              <w:t xml:space="preserve"> </w:t>
            </w:r>
          </w:p>
        </w:tc>
      </w:tr>
      <w:tr w:rsidR="00FE72FF" w:rsidRPr="00FE72FF" w14:paraId="123AC6A4" w14:textId="77777777" w:rsidTr="009B1AA7">
        <w:tc>
          <w:tcPr>
            <w:tcW w:w="4347" w:type="dxa"/>
          </w:tcPr>
          <w:p w14:paraId="274F99B0" w14:textId="331359CD"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Centre for Health Services and Policy Research (CHSPR), University of British Columbia</w:t>
            </w:r>
            <w:r w:rsidR="00DF5916">
              <w:rPr>
                <w:rFonts w:ascii="Arial Narrow" w:hAnsi="Arial Narrow" w:cs="Times New Roman"/>
                <w:sz w:val="20"/>
                <w:szCs w:val="20"/>
              </w:rPr>
              <w:t xml:space="preserve"> </w:t>
            </w:r>
          </w:p>
        </w:tc>
        <w:tc>
          <w:tcPr>
            <w:tcW w:w="4833" w:type="dxa"/>
          </w:tcPr>
          <w:p w14:paraId="33C7C76F" w14:textId="428083C8" w:rsidR="00FE72FF" w:rsidRPr="00FE72FF" w:rsidRDefault="00447183" w:rsidP="004566DC">
            <w:pPr>
              <w:spacing w:after="40" w:line="240" w:lineRule="auto"/>
              <w:jc w:val="left"/>
              <w:rPr>
                <w:rFonts w:ascii="Arial Narrow" w:hAnsi="Arial Narrow" w:cs="Times New Roman"/>
                <w:sz w:val="20"/>
                <w:szCs w:val="20"/>
              </w:rPr>
            </w:pPr>
            <w:hyperlink r:id="rId61" w:tooltip="Link to Centre for Health Services and Policy Research" w:history="1">
              <w:r w:rsidR="00FE72FF" w:rsidRPr="00FE72FF">
                <w:rPr>
                  <w:rFonts w:ascii="Arial Narrow" w:hAnsi="Arial Narrow" w:cs="Times New Roman"/>
                  <w:color w:val="0000FF"/>
                  <w:sz w:val="20"/>
                  <w:szCs w:val="20"/>
                  <w:u w:val="single"/>
                </w:rPr>
                <w:t>http://www.chspr.ubc.ca/</w:t>
              </w:r>
            </w:hyperlink>
          </w:p>
        </w:tc>
      </w:tr>
      <w:tr w:rsidR="00FE72FF" w:rsidRPr="00FE72FF" w14:paraId="2573BE27" w14:textId="77777777" w:rsidTr="009B1AA7">
        <w:tc>
          <w:tcPr>
            <w:tcW w:w="4347" w:type="dxa"/>
          </w:tcPr>
          <w:p w14:paraId="73E348D5" w14:textId="0868E5AB"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lastRenderedPageBreak/>
              <w:t>Institute for Clinical and Evaluative Studies (ICES)</w:t>
            </w:r>
            <w:r w:rsidR="00DF5916">
              <w:rPr>
                <w:rFonts w:ascii="Arial Narrow" w:hAnsi="Arial Narrow" w:cs="Times New Roman"/>
                <w:sz w:val="20"/>
                <w:szCs w:val="20"/>
              </w:rPr>
              <w:t xml:space="preserve"> </w:t>
            </w:r>
          </w:p>
        </w:tc>
        <w:tc>
          <w:tcPr>
            <w:tcW w:w="4833" w:type="dxa"/>
          </w:tcPr>
          <w:p w14:paraId="716E099D" w14:textId="0142D827" w:rsidR="00FE72FF" w:rsidRPr="00FE72FF" w:rsidRDefault="00447183" w:rsidP="004566DC">
            <w:pPr>
              <w:spacing w:after="40" w:line="240" w:lineRule="auto"/>
              <w:jc w:val="left"/>
              <w:rPr>
                <w:rFonts w:ascii="Arial Narrow" w:hAnsi="Arial Narrow" w:cs="Times New Roman"/>
                <w:sz w:val="20"/>
                <w:szCs w:val="20"/>
              </w:rPr>
            </w:pPr>
            <w:hyperlink r:id="rId62" w:tooltip="Link to Institute for Clinical and Evaluative Studies " w:history="1">
              <w:r w:rsidR="00FE72FF" w:rsidRPr="00FE72FF">
                <w:rPr>
                  <w:rFonts w:ascii="Arial Narrow" w:hAnsi="Arial Narrow" w:cs="Times New Roman"/>
                  <w:color w:val="0000FF"/>
                  <w:sz w:val="20"/>
                  <w:szCs w:val="20"/>
                  <w:u w:val="single"/>
                </w:rPr>
                <w:t>http://www.ices.on.ca/</w:t>
              </w:r>
            </w:hyperlink>
          </w:p>
        </w:tc>
      </w:tr>
      <w:tr w:rsidR="00FE72FF" w:rsidRPr="00FE72FF" w14:paraId="3D826490" w14:textId="77777777" w:rsidTr="009B1AA7">
        <w:tc>
          <w:tcPr>
            <w:tcW w:w="4347" w:type="dxa"/>
          </w:tcPr>
          <w:p w14:paraId="6452AA3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Saskatchewan Health Quality Council (Canada)</w:t>
            </w:r>
          </w:p>
        </w:tc>
        <w:tc>
          <w:tcPr>
            <w:tcW w:w="4833" w:type="dxa"/>
          </w:tcPr>
          <w:p w14:paraId="52590E32" w14:textId="77B76502" w:rsidR="00FE72FF" w:rsidRPr="00FE72FF" w:rsidRDefault="00447183" w:rsidP="004566DC">
            <w:pPr>
              <w:spacing w:after="40" w:line="240" w:lineRule="auto"/>
              <w:jc w:val="left"/>
              <w:rPr>
                <w:rFonts w:ascii="Arial Narrow" w:hAnsi="Arial Narrow" w:cs="Times New Roman"/>
                <w:sz w:val="20"/>
                <w:szCs w:val="20"/>
              </w:rPr>
            </w:pPr>
            <w:hyperlink r:id="rId63" w:tooltip="Link to Saskatchewan Health Quality Council " w:history="1">
              <w:r w:rsidR="00FE72FF" w:rsidRPr="00FE72FF">
                <w:rPr>
                  <w:rFonts w:ascii="Arial Narrow" w:hAnsi="Arial Narrow" w:cs="Times New Roman"/>
                  <w:color w:val="0000FF"/>
                  <w:sz w:val="20"/>
                  <w:szCs w:val="20"/>
                  <w:u w:val="single"/>
                </w:rPr>
                <w:t>http://www.hqc.sk.ca/</w:t>
              </w:r>
            </w:hyperlink>
            <w:r w:rsidR="00FE72FF" w:rsidRPr="00FE72FF">
              <w:rPr>
                <w:rFonts w:ascii="Arial Narrow" w:hAnsi="Arial Narrow" w:cs="Times New Roman"/>
                <w:sz w:val="20"/>
                <w:szCs w:val="20"/>
              </w:rPr>
              <w:t xml:space="preserve"> </w:t>
            </w:r>
          </w:p>
        </w:tc>
      </w:tr>
      <w:tr w:rsidR="00FE72FF" w:rsidRPr="00FE72FF" w14:paraId="06EDB013" w14:textId="77777777" w:rsidTr="009B1AA7">
        <w:tc>
          <w:tcPr>
            <w:tcW w:w="4347" w:type="dxa"/>
          </w:tcPr>
          <w:p w14:paraId="4E58BE54"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DENMARK</w:t>
            </w:r>
          </w:p>
        </w:tc>
        <w:tc>
          <w:tcPr>
            <w:tcW w:w="4833" w:type="dxa"/>
          </w:tcPr>
          <w:p w14:paraId="3D8A8A70"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053F02E3" w14:textId="77777777" w:rsidTr="009B1AA7">
        <w:tc>
          <w:tcPr>
            <w:tcW w:w="4347" w:type="dxa"/>
          </w:tcPr>
          <w:p w14:paraId="67888405"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Danish National Institute Of Public Health</w:t>
            </w:r>
          </w:p>
        </w:tc>
        <w:tc>
          <w:tcPr>
            <w:tcW w:w="4833" w:type="dxa"/>
          </w:tcPr>
          <w:p w14:paraId="7B3D99B7" w14:textId="50C0543C" w:rsidR="00FE72FF" w:rsidRPr="00FE72FF" w:rsidRDefault="00447183" w:rsidP="004566DC">
            <w:pPr>
              <w:spacing w:after="40" w:line="240" w:lineRule="auto"/>
              <w:jc w:val="left"/>
              <w:rPr>
                <w:rFonts w:ascii="Arial Narrow" w:hAnsi="Arial Narrow" w:cs="Times New Roman"/>
                <w:sz w:val="20"/>
                <w:szCs w:val="20"/>
              </w:rPr>
            </w:pPr>
            <w:hyperlink r:id="rId64" w:tooltip="Link to Danish National Institute Of Public Health" w:history="1">
              <w:r w:rsidR="00FE72FF" w:rsidRPr="00FE72FF">
                <w:rPr>
                  <w:rFonts w:ascii="Arial Narrow" w:hAnsi="Arial Narrow" w:cs="Times New Roman"/>
                  <w:color w:val="0000FF"/>
                  <w:sz w:val="20"/>
                  <w:szCs w:val="20"/>
                  <w:u w:val="single"/>
                </w:rPr>
                <w:t>http://www.si-folkesundhed.dk/?lang=en</w:t>
              </w:r>
            </w:hyperlink>
            <w:r w:rsidR="00FE72FF" w:rsidRPr="00FE72FF">
              <w:rPr>
                <w:rFonts w:ascii="Arial Narrow" w:hAnsi="Arial Narrow" w:cs="Times New Roman"/>
                <w:sz w:val="20"/>
                <w:szCs w:val="20"/>
              </w:rPr>
              <w:t xml:space="preserve"> </w:t>
            </w:r>
          </w:p>
        </w:tc>
      </w:tr>
      <w:tr w:rsidR="00FE72FF" w:rsidRPr="00FE72FF" w14:paraId="64016927" w14:textId="77777777" w:rsidTr="009B1AA7">
        <w:tc>
          <w:tcPr>
            <w:tcW w:w="4347" w:type="dxa"/>
          </w:tcPr>
          <w:p w14:paraId="5D5E6640"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FINLAND</w:t>
            </w:r>
          </w:p>
        </w:tc>
        <w:tc>
          <w:tcPr>
            <w:tcW w:w="4833" w:type="dxa"/>
          </w:tcPr>
          <w:p w14:paraId="09859067"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2DF5A7B7" w14:textId="77777777" w:rsidTr="009B1AA7">
        <w:tc>
          <w:tcPr>
            <w:tcW w:w="4347" w:type="dxa"/>
          </w:tcPr>
          <w:p w14:paraId="252BDDAD"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Finnish National Institute for Health and Welfare</w:t>
            </w:r>
          </w:p>
        </w:tc>
        <w:tc>
          <w:tcPr>
            <w:tcW w:w="4833" w:type="dxa"/>
          </w:tcPr>
          <w:p w14:paraId="1EE40DE4" w14:textId="0C3129C7" w:rsidR="00FE72FF" w:rsidRPr="00FE72FF" w:rsidRDefault="00447183" w:rsidP="004566DC">
            <w:pPr>
              <w:spacing w:after="40" w:line="240" w:lineRule="auto"/>
              <w:jc w:val="left"/>
              <w:rPr>
                <w:rFonts w:ascii="Arial Narrow" w:hAnsi="Arial Narrow" w:cs="Times New Roman"/>
                <w:sz w:val="20"/>
                <w:szCs w:val="20"/>
              </w:rPr>
            </w:pPr>
            <w:hyperlink r:id="rId65" w:tooltip="Link to Finnish National Institute for Health and Welfare" w:history="1">
              <w:r w:rsidR="00FE72FF" w:rsidRPr="00FE72FF">
                <w:rPr>
                  <w:rFonts w:ascii="Arial Narrow" w:hAnsi="Arial Narrow" w:cs="Times New Roman"/>
                  <w:color w:val="0000FF"/>
                  <w:sz w:val="20"/>
                  <w:szCs w:val="20"/>
                  <w:u w:val="single"/>
                </w:rPr>
                <w:t>http://www.thl.fi/en/web/thlfi-en/</w:t>
              </w:r>
            </w:hyperlink>
            <w:r w:rsidR="00FE72FF" w:rsidRPr="00FE72FF">
              <w:rPr>
                <w:rFonts w:ascii="Arial Narrow" w:hAnsi="Arial Narrow" w:cs="Times New Roman"/>
                <w:sz w:val="20"/>
                <w:szCs w:val="20"/>
              </w:rPr>
              <w:t xml:space="preserve"> </w:t>
            </w:r>
          </w:p>
        </w:tc>
      </w:tr>
      <w:tr w:rsidR="00FE72FF" w:rsidRPr="00FE72FF" w14:paraId="49C0BC87" w14:textId="77777777" w:rsidTr="009B1AA7">
        <w:tc>
          <w:tcPr>
            <w:tcW w:w="4347" w:type="dxa"/>
          </w:tcPr>
          <w:p w14:paraId="442FE0AF"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FRANCE</w:t>
            </w:r>
          </w:p>
        </w:tc>
        <w:tc>
          <w:tcPr>
            <w:tcW w:w="4833" w:type="dxa"/>
          </w:tcPr>
          <w:p w14:paraId="7BCB852B"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304AFA95" w14:textId="77777777" w:rsidTr="009B1AA7">
        <w:tc>
          <w:tcPr>
            <w:tcW w:w="4347" w:type="dxa"/>
          </w:tcPr>
          <w:p w14:paraId="020D7544"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L’Agence Nationale d’Accréditation et d’Evaluation en Santé (ANAES) </w:t>
            </w:r>
          </w:p>
        </w:tc>
        <w:tc>
          <w:tcPr>
            <w:tcW w:w="4833" w:type="dxa"/>
          </w:tcPr>
          <w:p w14:paraId="59586C98" w14:textId="5335DCE9" w:rsidR="00FE72FF" w:rsidRPr="00FE72FF" w:rsidRDefault="00447183" w:rsidP="004566DC">
            <w:pPr>
              <w:spacing w:after="40" w:line="240" w:lineRule="auto"/>
              <w:jc w:val="left"/>
              <w:rPr>
                <w:rFonts w:ascii="Arial Narrow" w:hAnsi="Arial Narrow" w:cs="Times New Roman"/>
                <w:sz w:val="20"/>
                <w:szCs w:val="20"/>
              </w:rPr>
            </w:pPr>
            <w:hyperlink r:id="rId66" w:tooltip="Link to L’Agence Nationale d’Accréditation et d’Evaluation en Santé " w:history="1">
              <w:r w:rsidR="00FE72FF" w:rsidRPr="00FE72FF">
                <w:rPr>
                  <w:rFonts w:ascii="Arial Narrow" w:hAnsi="Arial Narrow" w:cs="Times New Roman"/>
                  <w:color w:val="0000FF"/>
                  <w:sz w:val="20"/>
                  <w:szCs w:val="20"/>
                  <w:u w:val="single"/>
                </w:rPr>
                <w:t>http://www.anaes.fr/</w:t>
              </w:r>
            </w:hyperlink>
            <w:r w:rsidR="00FE72FF" w:rsidRPr="00FE72FF">
              <w:rPr>
                <w:rFonts w:ascii="Arial Narrow" w:hAnsi="Arial Narrow" w:cs="Times New Roman"/>
                <w:sz w:val="20"/>
                <w:szCs w:val="20"/>
              </w:rPr>
              <w:t xml:space="preserve"> </w:t>
            </w:r>
          </w:p>
        </w:tc>
      </w:tr>
      <w:tr w:rsidR="00FE72FF" w:rsidRPr="00FE72FF" w14:paraId="7D98B137" w14:textId="77777777" w:rsidTr="009B1AA7">
        <w:tc>
          <w:tcPr>
            <w:tcW w:w="4347" w:type="dxa"/>
          </w:tcPr>
          <w:p w14:paraId="477BFE2B"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GERMANY</w:t>
            </w:r>
          </w:p>
        </w:tc>
        <w:tc>
          <w:tcPr>
            <w:tcW w:w="4833" w:type="dxa"/>
          </w:tcPr>
          <w:p w14:paraId="7AD2A1DE"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3265119B" w14:textId="77777777" w:rsidTr="009B1AA7">
        <w:tc>
          <w:tcPr>
            <w:tcW w:w="4347" w:type="dxa"/>
          </w:tcPr>
          <w:p w14:paraId="65D376A7" w14:textId="3B3F7C95"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German Institute for Medical Documentation and Information (DIMDI) / HTA</w:t>
            </w:r>
            <w:r w:rsidR="00DF5916">
              <w:rPr>
                <w:rFonts w:ascii="Arial Narrow" w:hAnsi="Arial Narrow" w:cs="Times New Roman"/>
                <w:sz w:val="20"/>
                <w:szCs w:val="20"/>
              </w:rPr>
              <w:t xml:space="preserve"> </w:t>
            </w:r>
          </w:p>
        </w:tc>
        <w:tc>
          <w:tcPr>
            <w:tcW w:w="4833" w:type="dxa"/>
          </w:tcPr>
          <w:p w14:paraId="7C7BBF41" w14:textId="2AA5B62E" w:rsidR="00FE72FF" w:rsidRPr="00FE72FF" w:rsidRDefault="00447183" w:rsidP="004566DC">
            <w:pPr>
              <w:spacing w:after="40" w:line="240" w:lineRule="auto"/>
              <w:jc w:val="left"/>
              <w:rPr>
                <w:rFonts w:ascii="Arial Narrow" w:hAnsi="Arial Narrow" w:cs="Times New Roman"/>
                <w:sz w:val="20"/>
                <w:szCs w:val="20"/>
              </w:rPr>
            </w:pPr>
            <w:hyperlink r:id="rId67" w:tooltip="Link to German Institute for Medical Documentation and Information " w:history="1">
              <w:r w:rsidR="00FE72FF" w:rsidRPr="00FE72FF">
                <w:rPr>
                  <w:rFonts w:ascii="Arial Narrow" w:hAnsi="Arial Narrow" w:cs="Times New Roman"/>
                  <w:color w:val="0000FF"/>
                  <w:sz w:val="20"/>
                  <w:szCs w:val="20"/>
                  <w:u w:val="single"/>
                </w:rPr>
                <w:t>http://www.dimdi.de/static/en/</w:t>
              </w:r>
            </w:hyperlink>
            <w:r w:rsidR="00FE72FF" w:rsidRPr="00FE72FF">
              <w:rPr>
                <w:rFonts w:ascii="Arial Narrow" w:hAnsi="Arial Narrow" w:cs="Times New Roman"/>
                <w:sz w:val="20"/>
                <w:szCs w:val="20"/>
              </w:rPr>
              <w:t xml:space="preserve"> </w:t>
            </w:r>
          </w:p>
        </w:tc>
      </w:tr>
      <w:tr w:rsidR="00FE72FF" w:rsidRPr="00FE72FF" w14:paraId="0E898E86" w14:textId="77777777" w:rsidTr="009B1AA7">
        <w:tc>
          <w:tcPr>
            <w:tcW w:w="4347" w:type="dxa"/>
          </w:tcPr>
          <w:p w14:paraId="6A613DD9"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sz w:val="20"/>
                <w:szCs w:val="20"/>
              </w:rPr>
              <w:t>Institute for Quality and Efficiency in Health Care (IQWiG)</w:t>
            </w:r>
          </w:p>
        </w:tc>
        <w:tc>
          <w:tcPr>
            <w:tcW w:w="4833" w:type="dxa"/>
          </w:tcPr>
          <w:p w14:paraId="2F8EA62B" w14:textId="5E5B770E" w:rsidR="00FE72FF" w:rsidRPr="00FE72FF" w:rsidRDefault="00447183" w:rsidP="004566DC">
            <w:pPr>
              <w:spacing w:after="40" w:line="240" w:lineRule="auto"/>
              <w:jc w:val="left"/>
              <w:rPr>
                <w:rFonts w:ascii="Arial Narrow" w:hAnsi="Arial Narrow" w:cs="Times New Roman"/>
                <w:b/>
                <w:sz w:val="18"/>
                <w:szCs w:val="20"/>
              </w:rPr>
            </w:pPr>
            <w:hyperlink r:id="rId68" w:tooltip="Link to Institute for Quality and Efficiency in Health Care" w:history="1">
              <w:r w:rsidR="00FE72FF" w:rsidRPr="00FE72FF">
                <w:rPr>
                  <w:rFonts w:ascii="Arial Narrow" w:hAnsi="Arial Narrow" w:cs="Times New Roman"/>
                  <w:color w:val="0000FF"/>
                  <w:sz w:val="18"/>
                  <w:szCs w:val="20"/>
                  <w:u w:val="single"/>
                </w:rPr>
                <w:t>http://www.iqwig.de</w:t>
              </w:r>
            </w:hyperlink>
            <w:r w:rsidR="00FE72FF" w:rsidRPr="00FE72FF">
              <w:rPr>
                <w:rFonts w:ascii="Arial Narrow" w:hAnsi="Arial Narrow" w:cs="Times New Roman"/>
                <w:b/>
                <w:sz w:val="18"/>
                <w:szCs w:val="20"/>
              </w:rPr>
              <w:t xml:space="preserve"> </w:t>
            </w:r>
          </w:p>
        </w:tc>
      </w:tr>
      <w:tr w:rsidR="00FE72FF" w:rsidRPr="00FE72FF" w14:paraId="417DAD4D" w14:textId="77777777" w:rsidTr="009B1AA7">
        <w:tc>
          <w:tcPr>
            <w:tcW w:w="4347" w:type="dxa"/>
          </w:tcPr>
          <w:p w14:paraId="4E2D686C"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THE NETHERLANDS</w:t>
            </w:r>
          </w:p>
        </w:tc>
        <w:tc>
          <w:tcPr>
            <w:tcW w:w="4833" w:type="dxa"/>
          </w:tcPr>
          <w:p w14:paraId="3F0BC47C"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746B4E37" w14:textId="77777777" w:rsidTr="009B1AA7">
        <w:tc>
          <w:tcPr>
            <w:tcW w:w="4347" w:type="dxa"/>
          </w:tcPr>
          <w:p w14:paraId="0D6E3E2A"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Health Council of the Netherlands </w:t>
            </w:r>
            <w:r w:rsidR="00266596">
              <w:rPr>
                <w:rFonts w:ascii="Arial Narrow" w:hAnsi="Arial Narrow" w:cs="Times New Roman"/>
                <w:sz w:val="20"/>
                <w:szCs w:val="20"/>
              </w:rPr>
              <w:t>(</w:t>
            </w:r>
            <w:r w:rsidRPr="00FE72FF">
              <w:rPr>
                <w:rFonts w:ascii="Arial Narrow" w:hAnsi="Arial Narrow" w:cs="Times New Roman"/>
                <w:sz w:val="20"/>
                <w:szCs w:val="20"/>
              </w:rPr>
              <w:t>Gezondheidsraad</w:t>
            </w:r>
            <w:r w:rsidR="00266596">
              <w:rPr>
                <w:rFonts w:ascii="Arial Narrow" w:hAnsi="Arial Narrow" w:cs="Times New Roman"/>
                <w:sz w:val="20"/>
                <w:szCs w:val="20"/>
              </w:rPr>
              <w:t>)</w:t>
            </w:r>
            <w:r w:rsidRPr="00FE72FF">
              <w:rPr>
                <w:rFonts w:ascii="Arial Narrow" w:hAnsi="Arial Narrow" w:cs="Times New Roman"/>
                <w:sz w:val="20"/>
                <w:szCs w:val="20"/>
              </w:rPr>
              <w:t xml:space="preserve"> </w:t>
            </w:r>
          </w:p>
        </w:tc>
        <w:tc>
          <w:tcPr>
            <w:tcW w:w="4833" w:type="dxa"/>
          </w:tcPr>
          <w:p w14:paraId="595386E8" w14:textId="23E2C734" w:rsidR="00FE72FF" w:rsidRPr="00FE72FF" w:rsidRDefault="00447183" w:rsidP="004566DC">
            <w:pPr>
              <w:spacing w:after="40" w:line="240" w:lineRule="auto"/>
              <w:jc w:val="left"/>
              <w:rPr>
                <w:rFonts w:ascii="Arial Narrow" w:hAnsi="Arial Narrow" w:cs="Times New Roman"/>
                <w:sz w:val="20"/>
                <w:szCs w:val="20"/>
              </w:rPr>
            </w:pPr>
            <w:hyperlink r:id="rId69" w:tooltip="Link to Health Council of the Netherlands" w:history="1">
              <w:r w:rsidR="00FE72FF" w:rsidRPr="00FE72FF">
                <w:rPr>
                  <w:rFonts w:ascii="Arial Narrow" w:hAnsi="Arial Narrow" w:cs="Times New Roman"/>
                  <w:color w:val="0000FF"/>
                  <w:sz w:val="20"/>
                  <w:szCs w:val="20"/>
                  <w:u w:val="single"/>
                </w:rPr>
                <w:t>http://www.gezondheidsraad.nl/en/</w:t>
              </w:r>
            </w:hyperlink>
          </w:p>
        </w:tc>
      </w:tr>
      <w:tr w:rsidR="00FE72FF" w:rsidRPr="00FE72FF" w14:paraId="7DA9759F" w14:textId="77777777" w:rsidTr="009B1AA7">
        <w:tc>
          <w:tcPr>
            <w:tcW w:w="4347" w:type="dxa"/>
          </w:tcPr>
          <w:p w14:paraId="53A48F50"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NEW ZEALAND</w:t>
            </w:r>
          </w:p>
        </w:tc>
        <w:tc>
          <w:tcPr>
            <w:tcW w:w="4833" w:type="dxa"/>
          </w:tcPr>
          <w:p w14:paraId="6B1AC94D"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58580DFD" w14:textId="77777777" w:rsidTr="009B1AA7">
        <w:tc>
          <w:tcPr>
            <w:tcW w:w="4347" w:type="dxa"/>
          </w:tcPr>
          <w:p w14:paraId="69124F44"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New Zealand Health Technology Assessment (NZHTA) </w:t>
            </w:r>
          </w:p>
        </w:tc>
        <w:tc>
          <w:tcPr>
            <w:tcW w:w="4833" w:type="dxa"/>
          </w:tcPr>
          <w:p w14:paraId="7E77E34D" w14:textId="5B213FE3" w:rsidR="00FE72FF" w:rsidRPr="00FE72FF" w:rsidRDefault="00447183" w:rsidP="004566DC">
            <w:pPr>
              <w:spacing w:after="40" w:line="240" w:lineRule="auto"/>
              <w:jc w:val="left"/>
              <w:rPr>
                <w:rFonts w:ascii="Arial Narrow" w:hAnsi="Arial Narrow" w:cs="Times New Roman"/>
                <w:sz w:val="20"/>
                <w:szCs w:val="20"/>
              </w:rPr>
            </w:pPr>
            <w:hyperlink r:id="rId70" w:tooltip="Link to New Zealand Health Technology Assessment" w:history="1">
              <w:r w:rsidR="00FE72FF" w:rsidRPr="00FE72FF">
                <w:rPr>
                  <w:rFonts w:ascii="Arial Narrow" w:hAnsi="Arial Narrow" w:cs="Times New Roman"/>
                  <w:color w:val="0000FF"/>
                  <w:sz w:val="20"/>
                  <w:szCs w:val="20"/>
                  <w:u w:val="single"/>
                </w:rPr>
                <w:t>http://www.otago.ac.nz/christchurch/research/nzhta/</w:t>
              </w:r>
            </w:hyperlink>
            <w:r w:rsidR="00FE72FF" w:rsidRPr="00FE72FF">
              <w:rPr>
                <w:rFonts w:ascii="Arial Narrow" w:hAnsi="Arial Narrow" w:cs="Times New Roman"/>
                <w:sz w:val="20"/>
                <w:szCs w:val="20"/>
              </w:rPr>
              <w:t xml:space="preserve"> </w:t>
            </w:r>
          </w:p>
        </w:tc>
      </w:tr>
      <w:tr w:rsidR="00FE72FF" w:rsidRPr="00FE72FF" w14:paraId="756DCFEE" w14:textId="77777777" w:rsidTr="009B1AA7">
        <w:tc>
          <w:tcPr>
            <w:tcW w:w="4347" w:type="dxa"/>
          </w:tcPr>
          <w:p w14:paraId="451D770E"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NORWAY</w:t>
            </w:r>
          </w:p>
        </w:tc>
        <w:tc>
          <w:tcPr>
            <w:tcW w:w="4833" w:type="dxa"/>
          </w:tcPr>
          <w:p w14:paraId="166D2D41"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0D6995DE" w14:textId="77777777" w:rsidTr="009B1AA7">
        <w:tc>
          <w:tcPr>
            <w:tcW w:w="4347" w:type="dxa"/>
          </w:tcPr>
          <w:p w14:paraId="10CEDBF1"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Norwegian Knowledge Centre for the Health Services</w:t>
            </w:r>
          </w:p>
        </w:tc>
        <w:tc>
          <w:tcPr>
            <w:tcW w:w="4833" w:type="dxa"/>
          </w:tcPr>
          <w:p w14:paraId="6AD87767" w14:textId="445F617E" w:rsidR="00FE72FF" w:rsidRPr="00FE72FF" w:rsidRDefault="00447183" w:rsidP="004566DC">
            <w:pPr>
              <w:spacing w:after="40" w:line="240" w:lineRule="auto"/>
              <w:jc w:val="left"/>
              <w:rPr>
                <w:rFonts w:ascii="Arial Narrow" w:hAnsi="Arial Narrow" w:cs="Times New Roman"/>
                <w:sz w:val="20"/>
                <w:szCs w:val="20"/>
              </w:rPr>
            </w:pPr>
            <w:hyperlink r:id="rId71" w:tooltip="Link to Norwegian Knowledge Centre for the Health Services" w:history="1">
              <w:r w:rsidR="00FE72FF" w:rsidRPr="00FE72FF">
                <w:rPr>
                  <w:rFonts w:ascii="Arial Narrow" w:hAnsi="Arial Narrow" w:cs="Times New Roman"/>
                  <w:color w:val="0000FF"/>
                  <w:sz w:val="20"/>
                  <w:szCs w:val="20"/>
                  <w:u w:val="single"/>
                </w:rPr>
                <w:t>http://www.kunnskapssenteret.no</w:t>
              </w:r>
            </w:hyperlink>
          </w:p>
        </w:tc>
      </w:tr>
      <w:tr w:rsidR="00FE72FF" w:rsidRPr="00FE72FF" w14:paraId="0690D453" w14:textId="77777777" w:rsidTr="009B1AA7">
        <w:tc>
          <w:tcPr>
            <w:tcW w:w="4347" w:type="dxa"/>
          </w:tcPr>
          <w:p w14:paraId="26A72B69"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SPAIN</w:t>
            </w:r>
          </w:p>
        </w:tc>
        <w:tc>
          <w:tcPr>
            <w:tcW w:w="4833" w:type="dxa"/>
          </w:tcPr>
          <w:p w14:paraId="763912BD"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7FFFE6B0" w14:textId="77777777" w:rsidTr="009B1AA7">
        <w:tc>
          <w:tcPr>
            <w:tcW w:w="4347" w:type="dxa"/>
          </w:tcPr>
          <w:p w14:paraId="7D2E2AC6" w14:textId="3739F796"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Agencia de Evaluación de Tecnologias Sanitarias, Instituto de Salud “Carlos III”I</w:t>
            </w:r>
            <w:r w:rsidR="00BB0B34">
              <w:rPr>
                <w:rFonts w:ascii="Arial Narrow" w:hAnsi="Arial Narrow" w:cs="Times New Roman"/>
                <w:sz w:val="20"/>
                <w:szCs w:val="20"/>
              </w:rPr>
              <w:t xml:space="preserve"> </w:t>
            </w:r>
            <w:r w:rsidRPr="00FE72FF">
              <w:rPr>
                <w:rFonts w:ascii="Arial Narrow" w:hAnsi="Arial Narrow" w:cs="Times New Roman"/>
                <w:sz w:val="20"/>
                <w:szCs w:val="20"/>
              </w:rPr>
              <w:t>/</w:t>
            </w:r>
            <w:r w:rsidR="00BB0B34">
              <w:rPr>
                <w:rFonts w:ascii="Arial Narrow" w:hAnsi="Arial Narrow" w:cs="Times New Roman"/>
                <w:sz w:val="20"/>
                <w:szCs w:val="20"/>
              </w:rPr>
              <w:t xml:space="preserve"> </w:t>
            </w:r>
            <w:r w:rsidRPr="00FE72FF">
              <w:rPr>
                <w:rFonts w:ascii="Arial Narrow" w:hAnsi="Arial Narrow" w:cs="Times New Roman"/>
                <w:sz w:val="20"/>
                <w:szCs w:val="20"/>
              </w:rPr>
              <w:t>Health Technology Assessment Agency (AETS)</w:t>
            </w:r>
            <w:r w:rsidRPr="00FE72FF">
              <w:rPr>
                <w:rFonts w:ascii="Arial Narrow" w:hAnsi="Arial Narrow" w:cs="Times New Roman"/>
                <w:color w:val="0000FF"/>
                <w:sz w:val="20"/>
                <w:szCs w:val="20"/>
                <w:u w:val="single"/>
              </w:rPr>
              <w:t xml:space="preserve"> </w:t>
            </w:r>
          </w:p>
        </w:tc>
        <w:tc>
          <w:tcPr>
            <w:tcW w:w="4833" w:type="dxa"/>
          </w:tcPr>
          <w:p w14:paraId="6F2BD7BA" w14:textId="6178CF26" w:rsidR="00FE72FF" w:rsidRPr="00FE72FF" w:rsidRDefault="00447183" w:rsidP="004566DC">
            <w:pPr>
              <w:spacing w:after="40" w:line="240" w:lineRule="auto"/>
              <w:jc w:val="left"/>
              <w:rPr>
                <w:rFonts w:ascii="Arial Narrow" w:hAnsi="Arial Narrow" w:cs="Times New Roman"/>
                <w:sz w:val="20"/>
                <w:szCs w:val="20"/>
              </w:rPr>
            </w:pPr>
            <w:hyperlink r:id="rId72" w:tooltip="Link to Agencia de Evaluación de Tecnologias Sanitarias, Instituto de Salud " w:history="1">
              <w:r w:rsidR="00FE72FF" w:rsidRPr="00FE72FF">
                <w:rPr>
                  <w:rFonts w:ascii="Arial Narrow" w:hAnsi="Arial Narrow" w:cs="Times New Roman"/>
                  <w:color w:val="0000FF"/>
                  <w:sz w:val="20"/>
                  <w:szCs w:val="20"/>
                  <w:u w:val="single"/>
                </w:rPr>
                <w:t>http://www.isciii.es/</w:t>
              </w:r>
            </w:hyperlink>
          </w:p>
        </w:tc>
      </w:tr>
      <w:tr w:rsidR="00FE72FF" w:rsidRPr="00FE72FF" w14:paraId="45AF24E3" w14:textId="77777777" w:rsidTr="009B1AA7">
        <w:tc>
          <w:tcPr>
            <w:tcW w:w="4347" w:type="dxa"/>
          </w:tcPr>
          <w:p w14:paraId="1741F257"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Andalusian Agency for Health Technology Assessment (Spain)</w:t>
            </w:r>
          </w:p>
        </w:tc>
        <w:tc>
          <w:tcPr>
            <w:tcW w:w="4833" w:type="dxa"/>
          </w:tcPr>
          <w:p w14:paraId="57FAA595" w14:textId="44B4164B" w:rsidR="00FE72FF" w:rsidRPr="00FE72FF" w:rsidRDefault="00447183" w:rsidP="004566DC">
            <w:pPr>
              <w:spacing w:after="40" w:line="240" w:lineRule="auto"/>
              <w:jc w:val="left"/>
              <w:rPr>
                <w:rFonts w:ascii="Arial Narrow" w:hAnsi="Arial Narrow" w:cs="Times New Roman"/>
                <w:sz w:val="20"/>
                <w:szCs w:val="20"/>
              </w:rPr>
            </w:pPr>
            <w:hyperlink r:id="rId73" w:tooltip="Link to Andalusian Agency for Health Technology Assessment" w:history="1">
              <w:r w:rsidR="00FE72FF" w:rsidRPr="00FE72FF">
                <w:rPr>
                  <w:rFonts w:ascii="Arial Narrow" w:hAnsi="Arial Narrow" w:cs="Times New Roman"/>
                  <w:color w:val="0000FF"/>
                  <w:sz w:val="20"/>
                  <w:szCs w:val="20"/>
                  <w:u w:val="single"/>
                </w:rPr>
                <w:t>http://www.juntadeandalucia.es/</w:t>
              </w:r>
            </w:hyperlink>
          </w:p>
        </w:tc>
      </w:tr>
      <w:tr w:rsidR="00FE72FF" w:rsidRPr="00FE72FF" w14:paraId="2DBF5677" w14:textId="77777777" w:rsidTr="009B1AA7">
        <w:tc>
          <w:tcPr>
            <w:tcW w:w="4347" w:type="dxa"/>
          </w:tcPr>
          <w:p w14:paraId="6B26F78C" w14:textId="13515BB4"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Catalan Agency for Health Technology Assessment</w:t>
            </w:r>
            <w:r w:rsidR="00DF5916">
              <w:rPr>
                <w:rFonts w:ascii="Arial Narrow" w:hAnsi="Arial Narrow" w:cs="Times New Roman"/>
                <w:sz w:val="20"/>
                <w:szCs w:val="20"/>
              </w:rPr>
              <w:t xml:space="preserve"> </w:t>
            </w:r>
            <w:r w:rsidRPr="00FE72FF">
              <w:rPr>
                <w:rFonts w:ascii="Arial Narrow" w:hAnsi="Arial Narrow" w:cs="Times New Roman"/>
                <w:sz w:val="20"/>
                <w:szCs w:val="20"/>
              </w:rPr>
              <w:t>(CAHTA)</w:t>
            </w:r>
            <w:r w:rsidR="00DF5916">
              <w:rPr>
                <w:rFonts w:ascii="Arial Narrow" w:hAnsi="Arial Narrow" w:cs="Times New Roman"/>
                <w:sz w:val="20"/>
                <w:szCs w:val="20"/>
              </w:rPr>
              <w:t xml:space="preserve"> </w:t>
            </w:r>
          </w:p>
        </w:tc>
        <w:tc>
          <w:tcPr>
            <w:tcW w:w="4833" w:type="dxa"/>
          </w:tcPr>
          <w:p w14:paraId="50F3A2F4" w14:textId="02FD4CF3" w:rsidR="00FE72FF" w:rsidRPr="00FE72FF" w:rsidRDefault="00447183" w:rsidP="004566DC">
            <w:pPr>
              <w:spacing w:after="40" w:line="240" w:lineRule="auto"/>
              <w:jc w:val="left"/>
              <w:rPr>
                <w:rFonts w:ascii="Arial Narrow" w:hAnsi="Arial Narrow" w:cs="Times New Roman"/>
                <w:sz w:val="20"/>
                <w:szCs w:val="20"/>
              </w:rPr>
            </w:pPr>
            <w:hyperlink r:id="rId74" w:tooltip="Link to Catalan Agency for Health Technology Assessment" w:history="1">
              <w:r w:rsidR="00FE72FF" w:rsidRPr="00FE72FF">
                <w:rPr>
                  <w:rFonts w:ascii="Arial Narrow" w:hAnsi="Arial Narrow" w:cs="Times New Roman"/>
                  <w:color w:val="0000FF"/>
                  <w:sz w:val="20"/>
                  <w:szCs w:val="20"/>
                  <w:u w:val="single"/>
                </w:rPr>
                <w:t>http://www.gencat.cat</w:t>
              </w:r>
            </w:hyperlink>
          </w:p>
        </w:tc>
      </w:tr>
      <w:tr w:rsidR="00FE72FF" w:rsidRPr="00FE72FF" w14:paraId="7555DAAA" w14:textId="77777777" w:rsidTr="009B1AA7">
        <w:tc>
          <w:tcPr>
            <w:tcW w:w="4347" w:type="dxa"/>
          </w:tcPr>
          <w:p w14:paraId="2064D552"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SWEDEN</w:t>
            </w:r>
          </w:p>
        </w:tc>
        <w:tc>
          <w:tcPr>
            <w:tcW w:w="4833" w:type="dxa"/>
          </w:tcPr>
          <w:p w14:paraId="57586635"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0682AD47" w14:textId="77777777" w:rsidTr="009B1AA7">
        <w:tc>
          <w:tcPr>
            <w:tcW w:w="4347" w:type="dxa"/>
          </w:tcPr>
          <w:p w14:paraId="79B29CAC"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Center for Medical Health Technology Assessment </w:t>
            </w:r>
          </w:p>
        </w:tc>
        <w:tc>
          <w:tcPr>
            <w:tcW w:w="4833" w:type="dxa"/>
          </w:tcPr>
          <w:p w14:paraId="5431687F" w14:textId="7D72D8DA" w:rsidR="00FE72FF" w:rsidRPr="00FE72FF" w:rsidRDefault="00447183" w:rsidP="004566DC">
            <w:pPr>
              <w:spacing w:after="40" w:line="240" w:lineRule="auto"/>
              <w:jc w:val="left"/>
              <w:rPr>
                <w:rFonts w:ascii="Arial Narrow" w:hAnsi="Arial Narrow" w:cs="Times New Roman"/>
                <w:sz w:val="20"/>
                <w:szCs w:val="20"/>
              </w:rPr>
            </w:pPr>
            <w:hyperlink r:id="rId75" w:tooltip="Link to Center for Medical Health Technology Assessment" w:history="1">
              <w:r w:rsidR="00FE72FF" w:rsidRPr="00FE72FF">
                <w:rPr>
                  <w:rFonts w:ascii="Arial Narrow" w:hAnsi="Arial Narrow" w:cs="Times New Roman"/>
                  <w:color w:val="0000FF"/>
                  <w:sz w:val="20"/>
                  <w:szCs w:val="20"/>
                  <w:u w:val="single"/>
                </w:rPr>
                <w:t>http://www.cmt.liu.se/?l=en&amp;sc=true</w:t>
              </w:r>
            </w:hyperlink>
            <w:r w:rsidR="00FE72FF" w:rsidRPr="00FE72FF">
              <w:rPr>
                <w:rFonts w:ascii="Arial Narrow" w:hAnsi="Arial Narrow" w:cs="Times New Roman"/>
                <w:sz w:val="20"/>
                <w:szCs w:val="20"/>
              </w:rPr>
              <w:t xml:space="preserve"> </w:t>
            </w:r>
          </w:p>
        </w:tc>
      </w:tr>
      <w:tr w:rsidR="00FE72FF" w:rsidRPr="00FE72FF" w14:paraId="6DB1A667" w14:textId="77777777" w:rsidTr="009B1AA7">
        <w:tc>
          <w:tcPr>
            <w:tcW w:w="4347" w:type="dxa"/>
          </w:tcPr>
          <w:p w14:paraId="5E3E27CD"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Swedish Council on Technology Assessment in Health Care (SBU) </w:t>
            </w:r>
          </w:p>
        </w:tc>
        <w:tc>
          <w:tcPr>
            <w:tcW w:w="4833" w:type="dxa"/>
          </w:tcPr>
          <w:p w14:paraId="1189C75B" w14:textId="7A6EA31C" w:rsidR="00FE72FF" w:rsidRPr="00FE72FF" w:rsidRDefault="00447183" w:rsidP="004566DC">
            <w:pPr>
              <w:spacing w:after="40" w:line="240" w:lineRule="auto"/>
              <w:ind w:right="113"/>
              <w:jc w:val="left"/>
              <w:rPr>
                <w:rFonts w:ascii="Arial Narrow" w:hAnsi="Arial Narrow" w:cs="Times New Roman"/>
                <w:sz w:val="20"/>
                <w:szCs w:val="20"/>
              </w:rPr>
            </w:pPr>
            <w:hyperlink r:id="rId76" w:tooltip="Link to Swedish Council on Technology Assessment in Health Care" w:history="1">
              <w:r w:rsidR="00FE72FF" w:rsidRPr="00FE72FF">
                <w:rPr>
                  <w:rFonts w:ascii="Arial Narrow" w:hAnsi="Arial Narrow" w:cs="Times New Roman"/>
                  <w:color w:val="0000FF"/>
                  <w:sz w:val="20"/>
                  <w:szCs w:val="20"/>
                  <w:u w:val="single"/>
                </w:rPr>
                <w:t>http://www.sbu.se/en/</w:t>
              </w:r>
            </w:hyperlink>
          </w:p>
        </w:tc>
      </w:tr>
      <w:tr w:rsidR="00FE72FF" w:rsidRPr="00FE72FF" w14:paraId="2726A854" w14:textId="77777777" w:rsidTr="009B1AA7">
        <w:tc>
          <w:tcPr>
            <w:tcW w:w="4347" w:type="dxa"/>
          </w:tcPr>
          <w:p w14:paraId="5349AE09"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SWITZERLAND</w:t>
            </w:r>
          </w:p>
        </w:tc>
        <w:tc>
          <w:tcPr>
            <w:tcW w:w="4833" w:type="dxa"/>
          </w:tcPr>
          <w:p w14:paraId="4CA66968"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147DC009" w14:textId="77777777" w:rsidTr="009B1AA7">
        <w:tc>
          <w:tcPr>
            <w:tcW w:w="4347" w:type="dxa"/>
          </w:tcPr>
          <w:p w14:paraId="1114676D" w14:textId="3337D4E5"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Swiss Network on Health Technology Assessment (SNHTA)</w:t>
            </w:r>
            <w:r w:rsidR="00DF5916">
              <w:rPr>
                <w:rFonts w:ascii="Arial Narrow" w:hAnsi="Arial Narrow" w:cs="Times New Roman"/>
                <w:sz w:val="20"/>
                <w:szCs w:val="20"/>
              </w:rPr>
              <w:t xml:space="preserve"> </w:t>
            </w:r>
          </w:p>
        </w:tc>
        <w:tc>
          <w:tcPr>
            <w:tcW w:w="4833" w:type="dxa"/>
          </w:tcPr>
          <w:p w14:paraId="56D069F5" w14:textId="070B7665" w:rsidR="00FE72FF" w:rsidRPr="00FE72FF" w:rsidRDefault="00447183" w:rsidP="004566DC">
            <w:pPr>
              <w:spacing w:after="40" w:line="240" w:lineRule="auto"/>
              <w:jc w:val="left"/>
              <w:rPr>
                <w:rFonts w:ascii="Arial Narrow" w:hAnsi="Arial Narrow" w:cs="Times New Roman"/>
                <w:sz w:val="20"/>
                <w:szCs w:val="20"/>
              </w:rPr>
            </w:pPr>
            <w:hyperlink r:id="rId77" w:tooltip="Link to Swiss Network on Health Technology Assessment" w:history="1">
              <w:r w:rsidR="00FE72FF" w:rsidRPr="00FE72FF">
                <w:rPr>
                  <w:rFonts w:ascii="Arial Narrow" w:hAnsi="Arial Narrow" w:cs="Times New Roman"/>
                  <w:color w:val="0000FF"/>
                  <w:sz w:val="20"/>
                  <w:szCs w:val="20"/>
                  <w:u w:val="single"/>
                </w:rPr>
                <w:t>http://www.snhta.ch/</w:t>
              </w:r>
            </w:hyperlink>
            <w:r w:rsidR="00FE72FF" w:rsidRPr="00FE72FF">
              <w:rPr>
                <w:rFonts w:ascii="Arial Narrow" w:hAnsi="Arial Narrow" w:cs="Times New Roman"/>
                <w:sz w:val="20"/>
                <w:szCs w:val="20"/>
              </w:rPr>
              <w:t xml:space="preserve"> </w:t>
            </w:r>
          </w:p>
        </w:tc>
      </w:tr>
      <w:tr w:rsidR="00FE72FF" w:rsidRPr="00FE72FF" w14:paraId="34452465" w14:textId="77777777" w:rsidTr="009B1AA7">
        <w:tc>
          <w:tcPr>
            <w:tcW w:w="4347" w:type="dxa"/>
          </w:tcPr>
          <w:p w14:paraId="373CDF8E"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UNITED KINGDOM</w:t>
            </w:r>
          </w:p>
        </w:tc>
        <w:tc>
          <w:tcPr>
            <w:tcW w:w="4833" w:type="dxa"/>
          </w:tcPr>
          <w:p w14:paraId="35590C99"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4C175F58" w14:textId="77777777" w:rsidTr="009B1AA7">
        <w:tc>
          <w:tcPr>
            <w:tcW w:w="4347" w:type="dxa"/>
          </w:tcPr>
          <w:p w14:paraId="5B921639"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National Health Service Health Technology Assessment (UK) / National Coordinating Centre for Health Technology Assessment (NCCHTA) </w:t>
            </w:r>
          </w:p>
        </w:tc>
        <w:tc>
          <w:tcPr>
            <w:tcW w:w="4833" w:type="dxa"/>
          </w:tcPr>
          <w:p w14:paraId="0E6B7941" w14:textId="25E24A43" w:rsidR="00FE72FF" w:rsidRPr="00FE72FF" w:rsidRDefault="00447183" w:rsidP="004566DC">
            <w:pPr>
              <w:spacing w:after="40" w:line="240" w:lineRule="auto"/>
              <w:jc w:val="left"/>
              <w:rPr>
                <w:rFonts w:ascii="Arial Narrow" w:hAnsi="Arial Narrow" w:cs="Times New Roman"/>
                <w:sz w:val="20"/>
                <w:szCs w:val="20"/>
              </w:rPr>
            </w:pPr>
            <w:hyperlink r:id="rId78" w:tooltip="Link to National Health Service Health Technology Assessment" w:history="1">
              <w:r w:rsidR="00FE72FF" w:rsidRPr="00FE72FF">
                <w:rPr>
                  <w:rFonts w:ascii="Arial Narrow" w:hAnsi="Arial Narrow" w:cs="Times New Roman"/>
                  <w:color w:val="0000FF"/>
                  <w:sz w:val="20"/>
                  <w:szCs w:val="20"/>
                  <w:u w:val="single"/>
                </w:rPr>
                <w:t>http://www.hta.ac.uk/</w:t>
              </w:r>
            </w:hyperlink>
          </w:p>
        </w:tc>
      </w:tr>
      <w:tr w:rsidR="00FE72FF" w:rsidRPr="00FE72FF" w14:paraId="2A84FFCD" w14:textId="77777777" w:rsidTr="009B1AA7">
        <w:tc>
          <w:tcPr>
            <w:tcW w:w="4347" w:type="dxa"/>
          </w:tcPr>
          <w:p w14:paraId="37B19DAB"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NHS Quality Improvement Scotland </w:t>
            </w:r>
          </w:p>
        </w:tc>
        <w:tc>
          <w:tcPr>
            <w:tcW w:w="4833" w:type="dxa"/>
          </w:tcPr>
          <w:p w14:paraId="33FA75C6" w14:textId="390A5F98" w:rsidR="00FE72FF" w:rsidRPr="00FE72FF" w:rsidRDefault="00447183" w:rsidP="004566DC">
            <w:pPr>
              <w:spacing w:after="40" w:line="240" w:lineRule="auto"/>
              <w:jc w:val="left"/>
              <w:rPr>
                <w:rFonts w:ascii="Arial Narrow" w:hAnsi="Arial Narrow" w:cs="Times New Roman"/>
                <w:sz w:val="20"/>
                <w:szCs w:val="20"/>
              </w:rPr>
            </w:pPr>
            <w:hyperlink r:id="rId79" w:tooltip="Link to NHS Quality Improvement Scotland" w:history="1">
              <w:r w:rsidR="00FE72FF" w:rsidRPr="00FE72FF">
                <w:rPr>
                  <w:rFonts w:ascii="Arial Narrow" w:hAnsi="Arial Narrow" w:cs="Times New Roman"/>
                  <w:color w:val="0000FF"/>
                  <w:sz w:val="20"/>
                  <w:szCs w:val="20"/>
                  <w:u w:val="single"/>
                </w:rPr>
                <w:t>http://www.nhshealthquality.org/</w:t>
              </w:r>
            </w:hyperlink>
            <w:r w:rsidR="00FE72FF" w:rsidRPr="00FE72FF">
              <w:rPr>
                <w:rFonts w:ascii="Arial Narrow" w:hAnsi="Arial Narrow" w:cs="Times New Roman"/>
                <w:sz w:val="20"/>
                <w:szCs w:val="20"/>
              </w:rPr>
              <w:t xml:space="preserve"> </w:t>
            </w:r>
          </w:p>
        </w:tc>
      </w:tr>
      <w:tr w:rsidR="00FE72FF" w:rsidRPr="00FE72FF" w14:paraId="35B62297" w14:textId="77777777" w:rsidTr="009B1AA7">
        <w:tc>
          <w:tcPr>
            <w:tcW w:w="4347" w:type="dxa"/>
          </w:tcPr>
          <w:p w14:paraId="4B563144" w14:textId="6ADC2D26"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National Institute for Clinical Excellence (NICE)</w:t>
            </w:r>
          </w:p>
        </w:tc>
        <w:tc>
          <w:tcPr>
            <w:tcW w:w="4833" w:type="dxa"/>
          </w:tcPr>
          <w:p w14:paraId="44ACD6B8" w14:textId="1369B662" w:rsidR="00FE72FF" w:rsidRPr="00FE72FF" w:rsidRDefault="00447183" w:rsidP="004566DC">
            <w:pPr>
              <w:spacing w:after="40" w:line="240" w:lineRule="auto"/>
              <w:jc w:val="left"/>
              <w:rPr>
                <w:rFonts w:ascii="Arial Narrow" w:hAnsi="Arial Narrow" w:cs="Times New Roman"/>
                <w:sz w:val="20"/>
                <w:szCs w:val="20"/>
              </w:rPr>
            </w:pPr>
            <w:hyperlink r:id="rId80" w:tooltip="Link to National Institute for Clinical Excellence" w:history="1">
              <w:r w:rsidR="00FE72FF" w:rsidRPr="00FE72FF">
                <w:rPr>
                  <w:rFonts w:ascii="Arial Narrow" w:hAnsi="Arial Narrow" w:cs="Times New Roman"/>
                  <w:color w:val="0000FF"/>
                  <w:sz w:val="20"/>
                  <w:szCs w:val="20"/>
                  <w:u w:val="single"/>
                </w:rPr>
                <w:t>http://www.nice.org.uk/</w:t>
              </w:r>
            </w:hyperlink>
          </w:p>
        </w:tc>
      </w:tr>
      <w:tr w:rsidR="00FE72FF" w:rsidRPr="00FE72FF" w14:paraId="321FF31F" w14:textId="77777777" w:rsidTr="009B1AA7">
        <w:tc>
          <w:tcPr>
            <w:tcW w:w="4347" w:type="dxa"/>
          </w:tcPr>
          <w:p w14:paraId="2759DB37"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The European Information Network on New and Changing Health Technologies</w:t>
            </w:r>
          </w:p>
        </w:tc>
        <w:tc>
          <w:tcPr>
            <w:tcW w:w="4833" w:type="dxa"/>
          </w:tcPr>
          <w:p w14:paraId="3D3B9716" w14:textId="7EF9BF23" w:rsidR="00FE72FF" w:rsidRPr="00FE72FF" w:rsidRDefault="00447183" w:rsidP="004566DC">
            <w:pPr>
              <w:spacing w:after="40" w:line="240" w:lineRule="auto"/>
              <w:jc w:val="left"/>
              <w:rPr>
                <w:rFonts w:ascii="Arial Narrow" w:hAnsi="Arial Narrow" w:cs="Times New Roman"/>
                <w:sz w:val="20"/>
                <w:szCs w:val="20"/>
              </w:rPr>
            </w:pPr>
            <w:hyperlink r:id="rId81" w:tooltip="Link to The European Information Network on New and Changing Health Technologies" w:history="1">
              <w:r w:rsidR="00FE72FF" w:rsidRPr="00FE72FF">
                <w:rPr>
                  <w:rFonts w:ascii="Arial Narrow" w:hAnsi="Arial Narrow" w:cs="Times New Roman"/>
                  <w:color w:val="0000FF"/>
                  <w:sz w:val="20"/>
                  <w:szCs w:val="20"/>
                  <w:u w:val="single"/>
                </w:rPr>
                <w:t>http://www.euroscan.bham.ac.uk/</w:t>
              </w:r>
            </w:hyperlink>
            <w:r w:rsidR="00FE72FF" w:rsidRPr="00FE72FF">
              <w:rPr>
                <w:rFonts w:ascii="Arial Narrow" w:hAnsi="Arial Narrow" w:cs="Times New Roman"/>
                <w:sz w:val="20"/>
                <w:szCs w:val="20"/>
              </w:rPr>
              <w:t xml:space="preserve"> </w:t>
            </w:r>
          </w:p>
        </w:tc>
      </w:tr>
      <w:tr w:rsidR="00FE72FF" w:rsidRPr="00FE72FF" w14:paraId="217552A8" w14:textId="77777777" w:rsidTr="009B1AA7">
        <w:tc>
          <w:tcPr>
            <w:tcW w:w="4347" w:type="dxa"/>
          </w:tcPr>
          <w:p w14:paraId="0EBEB4B9"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 xml:space="preserve">University of York NHS Centre for Reviews and Dissemination (NHS CRD) </w:t>
            </w:r>
          </w:p>
        </w:tc>
        <w:tc>
          <w:tcPr>
            <w:tcW w:w="4833" w:type="dxa"/>
          </w:tcPr>
          <w:p w14:paraId="4527C31F" w14:textId="6928BCA5" w:rsidR="00FE72FF" w:rsidRPr="00FE72FF" w:rsidRDefault="00447183" w:rsidP="004566DC">
            <w:pPr>
              <w:spacing w:after="40" w:line="240" w:lineRule="auto"/>
              <w:jc w:val="left"/>
              <w:rPr>
                <w:rFonts w:ascii="Arial Narrow" w:hAnsi="Arial Narrow" w:cs="Times New Roman"/>
                <w:sz w:val="20"/>
                <w:szCs w:val="20"/>
              </w:rPr>
            </w:pPr>
            <w:hyperlink r:id="rId82" w:tooltip="Link to University of York NHS Centre for Reviews and Dissemination" w:history="1">
              <w:r w:rsidR="00FE72FF" w:rsidRPr="00FE72FF">
                <w:rPr>
                  <w:rFonts w:ascii="Arial Narrow" w:hAnsi="Arial Narrow" w:cs="Times New Roman"/>
                  <w:color w:val="0000FF"/>
                  <w:sz w:val="20"/>
                  <w:szCs w:val="20"/>
                  <w:u w:val="single"/>
                </w:rPr>
                <w:t>http://www.york.ac.uk/inst/crd/</w:t>
              </w:r>
            </w:hyperlink>
            <w:r w:rsidR="00FE72FF" w:rsidRPr="00FE72FF">
              <w:rPr>
                <w:rFonts w:ascii="Arial Narrow" w:hAnsi="Arial Narrow" w:cs="Times New Roman"/>
                <w:sz w:val="20"/>
                <w:szCs w:val="20"/>
              </w:rPr>
              <w:t xml:space="preserve"> </w:t>
            </w:r>
          </w:p>
        </w:tc>
      </w:tr>
      <w:tr w:rsidR="00FE72FF" w:rsidRPr="00FE72FF" w14:paraId="4073D0C8" w14:textId="77777777" w:rsidTr="009B1AA7">
        <w:tc>
          <w:tcPr>
            <w:tcW w:w="4347" w:type="dxa"/>
          </w:tcPr>
          <w:p w14:paraId="2CF0BB11" w14:textId="77777777" w:rsidR="00FE72FF" w:rsidRPr="00FE72FF" w:rsidRDefault="00FE72FF" w:rsidP="004566DC">
            <w:pPr>
              <w:spacing w:after="40" w:line="240" w:lineRule="auto"/>
              <w:jc w:val="left"/>
              <w:rPr>
                <w:rFonts w:ascii="Arial Narrow" w:hAnsi="Arial Narrow" w:cs="Times New Roman"/>
                <w:b/>
                <w:sz w:val="18"/>
                <w:szCs w:val="20"/>
              </w:rPr>
            </w:pPr>
            <w:r w:rsidRPr="00FE72FF">
              <w:rPr>
                <w:rFonts w:ascii="Arial Narrow" w:hAnsi="Arial Narrow" w:cs="Times New Roman"/>
                <w:b/>
                <w:sz w:val="18"/>
                <w:szCs w:val="20"/>
              </w:rPr>
              <w:t>UNITED STATES</w:t>
            </w:r>
          </w:p>
        </w:tc>
        <w:tc>
          <w:tcPr>
            <w:tcW w:w="4833" w:type="dxa"/>
          </w:tcPr>
          <w:p w14:paraId="2A455252" w14:textId="77777777" w:rsidR="00FE72FF" w:rsidRPr="00FE72FF" w:rsidRDefault="00FE72FF" w:rsidP="004566DC">
            <w:pPr>
              <w:spacing w:after="40" w:line="240" w:lineRule="auto"/>
              <w:jc w:val="left"/>
              <w:rPr>
                <w:rFonts w:ascii="Arial Narrow" w:hAnsi="Arial Narrow" w:cs="Times New Roman"/>
                <w:b/>
                <w:sz w:val="18"/>
                <w:szCs w:val="20"/>
              </w:rPr>
            </w:pPr>
          </w:p>
        </w:tc>
      </w:tr>
      <w:tr w:rsidR="00FE72FF" w:rsidRPr="00FE72FF" w14:paraId="1C0509AF" w14:textId="77777777" w:rsidTr="009B1AA7">
        <w:tc>
          <w:tcPr>
            <w:tcW w:w="4347" w:type="dxa"/>
          </w:tcPr>
          <w:p w14:paraId="361D5CF4" w14:textId="7FEF1A1F"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Agency for Healthcare Research and Quality</w:t>
            </w:r>
            <w:r w:rsidR="00DF5916">
              <w:rPr>
                <w:rFonts w:ascii="Arial Narrow" w:hAnsi="Arial Narrow" w:cs="Times New Roman"/>
                <w:sz w:val="20"/>
                <w:szCs w:val="20"/>
              </w:rPr>
              <w:t xml:space="preserve"> </w:t>
            </w:r>
            <w:r w:rsidRPr="00FE72FF">
              <w:rPr>
                <w:rFonts w:ascii="Arial Narrow" w:hAnsi="Arial Narrow" w:cs="Times New Roman"/>
                <w:sz w:val="20"/>
                <w:szCs w:val="20"/>
              </w:rPr>
              <w:t xml:space="preserve">(AHRQ) </w:t>
            </w:r>
          </w:p>
        </w:tc>
        <w:tc>
          <w:tcPr>
            <w:tcW w:w="4833" w:type="dxa"/>
          </w:tcPr>
          <w:p w14:paraId="1F83BD62" w14:textId="59872BF2" w:rsidR="00FE72FF" w:rsidRPr="00FE72FF" w:rsidRDefault="00447183" w:rsidP="004566DC">
            <w:pPr>
              <w:spacing w:after="40" w:line="240" w:lineRule="auto"/>
              <w:jc w:val="left"/>
              <w:rPr>
                <w:rFonts w:ascii="Arial Narrow" w:hAnsi="Arial Narrow" w:cs="Times New Roman"/>
                <w:sz w:val="20"/>
                <w:szCs w:val="20"/>
              </w:rPr>
            </w:pPr>
            <w:hyperlink r:id="rId83" w:tooltip="Link to Agency for Healthcare Research and Quality" w:history="1">
              <w:r w:rsidR="00FE72FF" w:rsidRPr="00FE72FF">
                <w:rPr>
                  <w:rFonts w:ascii="Arial Narrow" w:hAnsi="Arial Narrow" w:cs="Times New Roman"/>
                  <w:color w:val="0000FF"/>
                  <w:sz w:val="20"/>
                  <w:szCs w:val="20"/>
                  <w:u w:val="single"/>
                </w:rPr>
                <w:t>http://www.ahrq.gov/clinic/techix.htm</w:t>
              </w:r>
            </w:hyperlink>
            <w:r w:rsidR="00FE72FF" w:rsidRPr="00FE72FF">
              <w:rPr>
                <w:rFonts w:ascii="Arial Narrow" w:hAnsi="Arial Narrow" w:cs="Times New Roman"/>
                <w:color w:val="0000FF"/>
                <w:sz w:val="20"/>
                <w:szCs w:val="20"/>
                <w:u w:val="single"/>
              </w:rPr>
              <w:t>l</w:t>
            </w:r>
          </w:p>
        </w:tc>
      </w:tr>
      <w:tr w:rsidR="00FE72FF" w:rsidRPr="00FE72FF" w14:paraId="4EA81180" w14:textId="77777777" w:rsidTr="009B1AA7">
        <w:tc>
          <w:tcPr>
            <w:tcW w:w="4347" w:type="dxa"/>
          </w:tcPr>
          <w:p w14:paraId="08513114"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lastRenderedPageBreak/>
              <w:t>Harvard School of Public Health</w:t>
            </w:r>
          </w:p>
        </w:tc>
        <w:tc>
          <w:tcPr>
            <w:tcW w:w="4833" w:type="dxa"/>
          </w:tcPr>
          <w:p w14:paraId="2DD49014" w14:textId="3F3A8DC4" w:rsidR="00FE72FF" w:rsidRPr="00FE72FF" w:rsidRDefault="00447183" w:rsidP="004566DC">
            <w:pPr>
              <w:spacing w:after="40" w:line="240" w:lineRule="auto"/>
              <w:jc w:val="left"/>
              <w:rPr>
                <w:rFonts w:ascii="Arial Narrow" w:hAnsi="Arial Narrow" w:cs="Times New Roman"/>
                <w:sz w:val="20"/>
                <w:szCs w:val="20"/>
              </w:rPr>
            </w:pPr>
            <w:hyperlink r:id="rId84" w:tooltip="Link to Harvard School of Public Health" w:history="1">
              <w:r w:rsidR="00FE72FF" w:rsidRPr="00FE72FF">
                <w:rPr>
                  <w:rFonts w:ascii="Arial Narrow" w:hAnsi="Arial Narrow" w:cs="Times New Roman"/>
                  <w:color w:val="0000FF"/>
                  <w:sz w:val="20"/>
                  <w:szCs w:val="20"/>
                  <w:u w:val="single"/>
                </w:rPr>
                <w:t>http://www.hsph.harvard.edu/</w:t>
              </w:r>
            </w:hyperlink>
          </w:p>
        </w:tc>
      </w:tr>
      <w:tr w:rsidR="00FE72FF" w:rsidRPr="00FE72FF" w14:paraId="55ED7141" w14:textId="77777777" w:rsidTr="009B1AA7">
        <w:tc>
          <w:tcPr>
            <w:tcW w:w="4347" w:type="dxa"/>
          </w:tcPr>
          <w:p w14:paraId="20B44B3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Institute for Clinical and Economic Review (ICER)</w:t>
            </w:r>
          </w:p>
        </w:tc>
        <w:tc>
          <w:tcPr>
            <w:tcW w:w="4833" w:type="dxa"/>
          </w:tcPr>
          <w:p w14:paraId="3FB67684" w14:textId="644095F3" w:rsidR="00FE72FF" w:rsidRPr="00FE72FF" w:rsidRDefault="00447183" w:rsidP="004566DC">
            <w:pPr>
              <w:spacing w:after="40" w:line="240" w:lineRule="auto"/>
              <w:jc w:val="left"/>
              <w:rPr>
                <w:rFonts w:ascii="Arial Narrow" w:hAnsi="Arial Narrow" w:cs="Times New Roman"/>
                <w:sz w:val="20"/>
                <w:szCs w:val="20"/>
              </w:rPr>
            </w:pPr>
            <w:hyperlink r:id="rId85" w:tooltip="Link to Institute for Clinical and Economic Review" w:history="1">
              <w:r w:rsidR="00FE72FF" w:rsidRPr="00FE72FF">
                <w:rPr>
                  <w:rFonts w:ascii="Arial Narrow" w:hAnsi="Arial Narrow" w:cs="Times New Roman"/>
                  <w:color w:val="0000FF"/>
                  <w:sz w:val="20"/>
                  <w:szCs w:val="20"/>
                  <w:u w:val="single"/>
                </w:rPr>
                <w:t>http://www.icer-review.org/</w:t>
              </w:r>
            </w:hyperlink>
          </w:p>
        </w:tc>
      </w:tr>
      <w:tr w:rsidR="00FE72FF" w:rsidRPr="00FE72FF" w14:paraId="68238B3A" w14:textId="77777777" w:rsidTr="009B1AA7">
        <w:tc>
          <w:tcPr>
            <w:tcW w:w="4347" w:type="dxa"/>
          </w:tcPr>
          <w:p w14:paraId="111EB983"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Institute for Clinical Systems Improvement (ICSI)</w:t>
            </w:r>
          </w:p>
        </w:tc>
        <w:tc>
          <w:tcPr>
            <w:tcW w:w="4833" w:type="dxa"/>
          </w:tcPr>
          <w:p w14:paraId="62BF8378" w14:textId="731EDD70" w:rsidR="00FE72FF" w:rsidRPr="00FE72FF" w:rsidRDefault="00447183" w:rsidP="004566DC">
            <w:pPr>
              <w:spacing w:after="40" w:line="240" w:lineRule="auto"/>
              <w:jc w:val="left"/>
              <w:rPr>
                <w:rFonts w:ascii="Arial Narrow" w:hAnsi="Arial Narrow" w:cs="Times New Roman"/>
                <w:sz w:val="20"/>
                <w:szCs w:val="20"/>
              </w:rPr>
            </w:pPr>
            <w:hyperlink r:id="rId86" w:tooltip="link to Institute for Clinical Systems Improvement " w:history="1">
              <w:r w:rsidR="00FE72FF" w:rsidRPr="00FE72FF">
                <w:rPr>
                  <w:rFonts w:ascii="Arial Narrow" w:hAnsi="Arial Narrow" w:cs="Times New Roman"/>
                  <w:color w:val="0000FF"/>
                  <w:sz w:val="20"/>
                  <w:szCs w:val="20"/>
                  <w:u w:val="single"/>
                </w:rPr>
                <w:t>http://www.icsi.org</w:t>
              </w:r>
            </w:hyperlink>
            <w:r w:rsidR="00FE72FF" w:rsidRPr="00FE72FF">
              <w:rPr>
                <w:rFonts w:ascii="Arial Narrow" w:hAnsi="Arial Narrow" w:cs="Times New Roman"/>
                <w:sz w:val="20"/>
                <w:szCs w:val="20"/>
              </w:rPr>
              <w:t xml:space="preserve"> </w:t>
            </w:r>
          </w:p>
        </w:tc>
      </w:tr>
      <w:tr w:rsidR="00FE72FF" w:rsidRPr="00FE72FF" w14:paraId="6A96D51A" w14:textId="77777777" w:rsidTr="009B1AA7">
        <w:tc>
          <w:tcPr>
            <w:tcW w:w="4347" w:type="dxa"/>
          </w:tcPr>
          <w:p w14:paraId="36A11AD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Minnesota Department of Health (US)</w:t>
            </w:r>
          </w:p>
        </w:tc>
        <w:tc>
          <w:tcPr>
            <w:tcW w:w="4833" w:type="dxa"/>
          </w:tcPr>
          <w:p w14:paraId="5D8FA416" w14:textId="0F9EDD7C" w:rsidR="00FE72FF" w:rsidRPr="00FE72FF" w:rsidRDefault="00447183" w:rsidP="004566DC">
            <w:pPr>
              <w:spacing w:after="40" w:line="240" w:lineRule="auto"/>
              <w:jc w:val="left"/>
              <w:rPr>
                <w:rFonts w:ascii="Arial Narrow" w:hAnsi="Arial Narrow" w:cs="Times New Roman"/>
                <w:sz w:val="20"/>
                <w:szCs w:val="20"/>
              </w:rPr>
            </w:pPr>
            <w:hyperlink r:id="rId87" w:tooltip="Link to Minnesota Department of Health " w:history="1">
              <w:r w:rsidR="00FE72FF" w:rsidRPr="00FE72FF">
                <w:rPr>
                  <w:rFonts w:ascii="Arial Narrow" w:hAnsi="Arial Narrow" w:cs="Times New Roman"/>
                  <w:color w:val="0000FF"/>
                  <w:sz w:val="20"/>
                  <w:szCs w:val="20"/>
                  <w:u w:val="single"/>
                </w:rPr>
                <w:t>http://www.health.state.mn.us/</w:t>
              </w:r>
            </w:hyperlink>
          </w:p>
        </w:tc>
      </w:tr>
      <w:tr w:rsidR="00FE72FF" w:rsidRPr="00FE72FF" w14:paraId="035E4E92" w14:textId="77777777" w:rsidTr="009B1AA7">
        <w:tc>
          <w:tcPr>
            <w:tcW w:w="4347" w:type="dxa"/>
          </w:tcPr>
          <w:p w14:paraId="377A42FA"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National Information Centre of Health Services Research and Health Care Technology (US)</w:t>
            </w:r>
          </w:p>
        </w:tc>
        <w:tc>
          <w:tcPr>
            <w:tcW w:w="4833" w:type="dxa"/>
          </w:tcPr>
          <w:p w14:paraId="68684650" w14:textId="441C198F" w:rsidR="00FE72FF" w:rsidRPr="00FE72FF" w:rsidRDefault="00447183" w:rsidP="004566DC">
            <w:pPr>
              <w:spacing w:after="40" w:line="240" w:lineRule="auto"/>
              <w:jc w:val="left"/>
              <w:rPr>
                <w:rFonts w:ascii="Arial Narrow" w:hAnsi="Arial Narrow" w:cs="Times New Roman"/>
                <w:sz w:val="20"/>
                <w:szCs w:val="20"/>
              </w:rPr>
            </w:pPr>
            <w:hyperlink r:id="rId88" w:tooltip="Link to National Information Centre of Health Services Research and Health Care Technology " w:history="1">
              <w:r w:rsidR="00FE72FF" w:rsidRPr="00FE72FF">
                <w:rPr>
                  <w:rFonts w:ascii="Arial Narrow" w:hAnsi="Arial Narrow" w:cs="Times New Roman"/>
                  <w:color w:val="0000FF"/>
                  <w:sz w:val="20"/>
                  <w:szCs w:val="20"/>
                  <w:u w:val="single"/>
                </w:rPr>
                <w:t>http://www.nlm.nih.gov/nichsr/nichsr.html</w:t>
              </w:r>
            </w:hyperlink>
          </w:p>
        </w:tc>
      </w:tr>
      <w:tr w:rsidR="00FE72FF" w:rsidRPr="00FE72FF" w14:paraId="54B27645" w14:textId="77777777" w:rsidTr="009B1AA7">
        <w:tc>
          <w:tcPr>
            <w:tcW w:w="4347" w:type="dxa"/>
          </w:tcPr>
          <w:p w14:paraId="53F8F2E8"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Oregon Health Resources Commission (US)</w:t>
            </w:r>
          </w:p>
        </w:tc>
        <w:tc>
          <w:tcPr>
            <w:tcW w:w="4833" w:type="dxa"/>
          </w:tcPr>
          <w:p w14:paraId="108B8D25" w14:textId="4FA471B0" w:rsidR="00FE72FF" w:rsidRPr="00FE72FF" w:rsidRDefault="00447183" w:rsidP="004566DC">
            <w:pPr>
              <w:spacing w:after="40" w:line="240" w:lineRule="auto"/>
              <w:jc w:val="left"/>
              <w:rPr>
                <w:rFonts w:ascii="Arial Narrow" w:hAnsi="Arial Narrow" w:cs="Times New Roman"/>
                <w:sz w:val="20"/>
                <w:szCs w:val="20"/>
              </w:rPr>
            </w:pPr>
            <w:hyperlink r:id="rId89" w:tooltip="link to Oregon Health Resources Commission " w:history="1">
              <w:r w:rsidR="00FE72FF" w:rsidRPr="00FE72FF">
                <w:rPr>
                  <w:rFonts w:ascii="Arial Narrow" w:hAnsi="Arial Narrow" w:cs="Times New Roman"/>
                  <w:color w:val="0000FF"/>
                  <w:sz w:val="20"/>
                  <w:szCs w:val="20"/>
                  <w:u w:val="single"/>
                </w:rPr>
                <w:t>http://www.oregon.gov/oha/OHPR/HRC/Pages/index.aspx</w:t>
              </w:r>
            </w:hyperlink>
            <w:r w:rsidR="00FE72FF" w:rsidRPr="00FE72FF">
              <w:rPr>
                <w:rFonts w:ascii="Arial Narrow" w:hAnsi="Arial Narrow" w:cs="Times New Roman"/>
                <w:sz w:val="20"/>
                <w:szCs w:val="20"/>
              </w:rPr>
              <w:t xml:space="preserve"> </w:t>
            </w:r>
          </w:p>
        </w:tc>
      </w:tr>
      <w:tr w:rsidR="00FE72FF" w:rsidRPr="00FE72FF" w14:paraId="7D7B46BA" w14:textId="77777777" w:rsidTr="009B1AA7">
        <w:tc>
          <w:tcPr>
            <w:tcW w:w="4347" w:type="dxa"/>
          </w:tcPr>
          <w:p w14:paraId="5D7006E3"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Office of Health Technology Assessment Archive (US)</w:t>
            </w:r>
          </w:p>
        </w:tc>
        <w:tc>
          <w:tcPr>
            <w:tcW w:w="4833" w:type="dxa"/>
          </w:tcPr>
          <w:p w14:paraId="2DC519CB" w14:textId="50215CA9" w:rsidR="00FE72FF" w:rsidRPr="00FE72FF" w:rsidRDefault="00447183" w:rsidP="004566DC">
            <w:pPr>
              <w:spacing w:after="40" w:line="240" w:lineRule="auto"/>
              <w:ind w:right="113"/>
              <w:jc w:val="left"/>
              <w:rPr>
                <w:rFonts w:ascii="Arial Narrow" w:hAnsi="Arial Narrow" w:cs="Times New Roman"/>
                <w:sz w:val="20"/>
                <w:szCs w:val="20"/>
              </w:rPr>
            </w:pPr>
            <w:hyperlink r:id="rId90" w:tooltip="Link to Office of Health Technology Assessment Archive" w:history="1">
              <w:r w:rsidR="00FE72FF" w:rsidRPr="00FE72FF">
                <w:rPr>
                  <w:rFonts w:ascii="Arial Narrow" w:hAnsi="Arial Narrow" w:cs="Times New Roman"/>
                  <w:color w:val="0000FF"/>
                  <w:sz w:val="20"/>
                  <w:szCs w:val="20"/>
                  <w:u w:val="single"/>
                </w:rPr>
                <w:t>http://ota.fas.org/</w:t>
              </w:r>
            </w:hyperlink>
            <w:r w:rsidR="00FE72FF" w:rsidRPr="00FE72FF">
              <w:rPr>
                <w:rFonts w:ascii="Arial Narrow" w:hAnsi="Arial Narrow" w:cs="Times New Roman"/>
                <w:sz w:val="20"/>
                <w:szCs w:val="20"/>
              </w:rPr>
              <w:t xml:space="preserve"> </w:t>
            </w:r>
          </w:p>
        </w:tc>
      </w:tr>
      <w:tr w:rsidR="00FE72FF" w:rsidRPr="00FE72FF" w14:paraId="70010ABD" w14:textId="77777777" w:rsidTr="009B1AA7">
        <w:tc>
          <w:tcPr>
            <w:tcW w:w="4347" w:type="dxa"/>
          </w:tcPr>
          <w:p w14:paraId="7D55406F" w14:textId="0D211F59"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U.S. Blue Cross</w:t>
            </w:r>
            <w:r w:rsidR="00BB0B34">
              <w:rPr>
                <w:rFonts w:ascii="Arial Narrow" w:hAnsi="Arial Narrow" w:cs="Times New Roman"/>
                <w:sz w:val="20"/>
                <w:szCs w:val="20"/>
              </w:rPr>
              <w:t xml:space="preserve"> </w:t>
            </w:r>
            <w:r w:rsidRPr="00FE72FF">
              <w:rPr>
                <w:rFonts w:ascii="Arial Narrow" w:hAnsi="Arial Narrow" w:cs="Times New Roman"/>
                <w:sz w:val="20"/>
                <w:szCs w:val="20"/>
              </w:rPr>
              <w:t>/ Blue Shield Association Technology Evaluation Center (Tec)</w:t>
            </w:r>
          </w:p>
        </w:tc>
        <w:tc>
          <w:tcPr>
            <w:tcW w:w="4833" w:type="dxa"/>
          </w:tcPr>
          <w:p w14:paraId="4A95CDB2" w14:textId="2476B834" w:rsidR="00FE72FF" w:rsidRPr="00FE72FF" w:rsidRDefault="00447183" w:rsidP="004566DC">
            <w:pPr>
              <w:spacing w:after="40" w:line="240" w:lineRule="auto"/>
              <w:jc w:val="left"/>
              <w:rPr>
                <w:rFonts w:ascii="Arial Narrow" w:hAnsi="Arial Narrow" w:cs="Times New Roman"/>
                <w:sz w:val="20"/>
                <w:szCs w:val="20"/>
              </w:rPr>
            </w:pPr>
            <w:hyperlink r:id="rId91" w:tooltip="Link to U.S. Blue Cross/ Blue Shield Association Technology Evaluation Center " w:history="1">
              <w:r w:rsidR="00FE72FF" w:rsidRPr="00FE72FF">
                <w:rPr>
                  <w:rFonts w:ascii="Arial Narrow" w:hAnsi="Arial Narrow" w:cs="Times New Roman"/>
                  <w:color w:val="0000FF"/>
                  <w:sz w:val="20"/>
                  <w:szCs w:val="20"/>
                  <w:u w:val="single"/>
                </w:rPr>
                <w:t>http://www.bcbs.com/blueresources/tec/</w:t>
              </w:r>
            </w:hyperlink>
          </w:p>
        </w:tc>
      </w:tr>
      <w:tr w:rsidR="00FE72FF" w:rsidRPr="00FE72FF" w14:paraId="5FD8FF9C" w14:textId="77777777" w:rsidTr="009B1AA7">
        <w:tc>
          <w:tcPr>
            <w:tcW w:w="4347" w:type="dxa"/>
          </w:tcPr>
          <w:p w14:paraId="7305F622" w14:textId="77777777" w:rsidR="00FE72FF" w:rsidRPr="00FE72FF" w:rsidRDefault="00FE72FF" w:rsidP="004566DC">
            <w:pPr>
              <w:spacing w:after="40" w:line="240" w:lineRule="auto"/>
              <w:jc w:val="left"/>
              <w:rPr>
                <w:rFonts w:ascii="Arial Narrow" w:hAnsi="Arial Narrow" w:cs="Times New Roman"/>
                <w:sz w:val="20"/>
                <w:szCs w:val="20"/>
              </w:rPr>
            </w:pPr>
            <w:r w:rsidRPr="00FE72FF">
              <w:rPr>
                <w:rFonts w:ascii="Arial Narrow" w:hAnsi="Arial Narrow" w:cs="Times New Roman"/>
                <w:sz w:val="20"/>
                <w:szCs w:val="20"/>
              </w:rPr>
              <w:t>Veteran’s Affairs Research and Development Technology Assessment Program (US)</w:t>
            </w:r>
          </w:p>
        </w:tc>
        <w:tc>
          <w:tcPr>
            <w:tcW w:w="4833" w:type="dxa"/>
          </w:tcPr>
          <w:p w14:paraId="46C071C2" w14:textId="05465480" w:rsidR="00FE72FF" w:rsidRPr="00FE72FF" w:rsidRDefault="00447183" w:rsidP="004566DC">
            <w:pPr>
              <w:spacing w:after="40" w:line="240" w:lineRule="auto"/>
              <w:jc w:val="left"/>
              <w:rPr>
                <w:rFonts w:ascii="Arial Narrow" w:hAnsi="Arial Narrow" w:cs="Times New Roman"/>
                <w:sz w:val="20"/>
                <w:szCs w:val="20"/>
              </w:rPr>
            </w:pPr>
            <w:hyperlink r:id="rId92" w:tooltip="Link to Veteran’s Affairs Research and Development Technology Assessment Program (US)" w:history="1">
              <w:r w:rsidR="00FE72FF" w:rsidRPr="00FE72FF">
                <w:rPr>
                  <w:rFonts w:ascii="Arial Narrow" w:hAnsi="Arial Narrow" w:cs="Times New Roman"/>
                  <w:color w:val="0000FF"/>
                  <w:sz w:val="20"/>
                  <w:szCs w:val="20"/>
                  <w:u w:val="single"/>
                </w:rPr>
                <w:t>http://www.research.va.gov/default.cfm</w:t>
              </w:r>
            </w:hyperlink>
          </w:p>
        </w:tc>
      </w:tr>
    </w:tbl>
    <w:p w14:paraId="22D2DF3D" w14:textId="77777777" w:rsidR="0039322D" w:rsidRDefault="00266596" w:rsidP="001A4A46">
      <w:pPr>
        <w:pStyle w:val="Heading3"/>
      </w:pPr>
      <w:bookmarkStart w:id="519" w:name="_Toc418179961"/>
      <w:r>
        <w:t>Specialty websites</w:t>
      </w:r>
      <w:bookmarkEnd w:id="519"/>
    </w:p>
    <w:tbl>
      <w:tblPr>
        <w:tblStyle w:val="TableGrid1"/>
        <w:tblW w:w="0" w:type="auto"/>
        <w:tblLook w:val="04A0" w:firstRow="1" w:lastRow="0" w:firstColumn="1" w:lastColumn="0" w:noHBand="0" w:noVBand="1"/>
        <w:tblCaption w:val="SPECIALTY WEBSITES"/>
      </w:tblPr>
      <w:tblGrid>
        <w:gridCol w:w="4395"/>
        <w:gridCol w:w="4778"/>
      </w:tblGrid>
      <w:tr w:rsidR="00266596" w:rsidRPr="00266596" w14:paraId="442E1BD3" w14:textId="77777777" w:rsidTr="00447183">
        <w:trPr>
          <w:cnfStyle w:val="100000000000" w:firstRow="1" w:lastRow="0" w:firstColumn="0" w:lastColumn="0" w:oddVBand="0" w:evenVBand="0" w:oddHBand="0" w:evenHBand="0" w:firstRowFirstColumn="0" w:firstRowLastColumn="0" w:lastRowFirstColumn="0" w:lastRowLastColumn="0"/>
          <w:trHeight w:val="284"/>
          <w:tblHeader/>
        </w:trPr>
        <w:tc>
          <w:tcPr>
            <w:tcW w:w="4395" w:type="dxa"/>
          </w:tcPr>
          <w:p w14:paraId="0ECAD94A" w14:textId="77777777" w:rsidR="00266596" w:rsidRPr="00266596" w:rsidRDefault="00266596" w:rsidP="00266596">
            <w:pPr>
              <w:pStyle w:val="Tabletext1"/>
            </w:pPr>
            <w:r w:rsidRPr="00266596">
              <w:t>Cystic Fibrosis Australia</w:t>
            </w:r>
          </w:p>
        </w:tc>
        <w:tc>
          <w:tcPr>
            <w:tcW w:w="4778" w:type="dxa"/>
          </w:tcPr>
          <w:p w14:paraId="16FEB338" w14:textId="77777777" w:rsidR="00266596" w:rsidRPr="00266596" w:rsidRDefault="00266596" w:rsidP="00266596">
            <w:pPr>
              <w:pStyle w:val="Tabletext1"/>
            </w:pPr>
            <w:r w:rsidRPr="00266596">
              <w:t>http://www.cysticfibrosis.org.au/</w:t>
            </w:r>
          </w:p>
        </w:tc>
      </w:tr>
      <w:tr w:rsidR="00266596" w:rsidRPr="00266596" w14:paraId="6E515D97" w14:textId="77777777" w:rsidTr="00447183">
        <w:trPr>
          <w:trHeight w:val="284"/>
        </w:trPr>
        <w:tc>
          <w:tcPr>
            <w:tcW w:w="4395" w:type="dxa"/>
          </w:tcPr>
          <w:p w14:paraId="37EE3522" w14:textId="77777777" w:rsidR="00266596" w:rsidRPr="00266596" w:rsidRDefault="00266596" w:rsidP="00266596">
            <w:pPr>
              <w:pStyle w:val="Tabletext1"/>
            </w:pPr>
            <w:r w:rsidRPr="00266596">
              <w:t>Cystic Fibrosis Foundation (US)</w:t>
            </w:r>
          </w:p>
        </w:tc>
        <w:tc>
          <w:tcPr>
            <w:tcW w:w="4778" w:type="dxa"/>
          </w:tcPr>
          <w:p w14:paraId="48793E21" w14:textId="77777777" w:rsidR="00266596" w:rsidRPr="00266596" w:rsidRDefault="00266596" w:rsidP="00266596">
            <w:pPr>
              <w:pStyle w:val="Tabletext1"/>
            </w:pPr>
            <w:r w:rsidRPr="00266596">
              <w:t>www.cff.org/</w:t>
            </w:r>
          </w:p>
        </w:tc>
      </w:tr>
      <w:tr w:rsidR="00266596" w:rsidRPr="00266596" w14:paraId="6D3D8471" w14:textId="77777777" w:rsidTr="00447183">
        <w:trPr>
          <w:trHeight w:val="284"/>
        </w:trPr>
        <w:tc>
          <w:tcPr>
            <w:tcW w:w="4395" w:type="dxa"/>
          </w:tcPr>
          <w:p w14:paraId="42804F62" w14:textId="77777777" w:rsidR="00266596" w:rsidRPr="00266596" w:rsidRDefault="00266596" w:rsidP="00266596">
            <w:pPr>
              <w:pStyle w:val="Tabletext1"/>
            </w:pPr>
            <w:r w:rsidRPr="00266596">
              <w:t>Cure4CF Foundation (US)</w:t>
            </w:r>
          </w:p>
        </w:tc>
        <w:tc>
          <w:tcPr>
            <w:tcW w:w="4778" w:type="dxa"/>
          </w:tcPr>
          <w:p w14:paraId="4F72413C" w14:textId="77777777" w:rsidR="00266596" w:rsidRPr="00266596" w:rsidRDefault="00266596" w:rsidP="00266596">
            <w:pPr>
              <w:pStyle w:val="Tabletext1"/>
            </w:pPr>
            <w:r w:rsidRPr="00266596">
              <w:t>http://www.cure4cf.org/</w:t>
            </w:r>
          </w:p>
        </w:tc>
      </w:tr>
      <w:tr w:rsidR="00266596" w:rsidRPr="00266596" w14:paraId="79C1D583" w14:textId="77777777" w:rsidTr="00447183">
        <w:trPr>
          <w:trHeight w:val="284"/>
        </w:trPr>
        <w:tc>
          <w:tcPr>
            <w:tcW w:w="4395" w:type="dxa"/>
          </w:tcPr>
          <w:p w14:paraId="6C0EE799" w14:textId="77777777" w:rsidR="00266596" w:rsidRPr="00266596" w:rsidRDefault="00266596" w:rsidP="00266596">
            <w:pPr>
              <w:pStyle w:val="Tabletext1"/>
            </w:pPr>
            <w:r w:rsidRPr="00266596">
              <w:t xml:space="preserve">Australian Heart/Lung Transplants Association </w:t>
            </w:r>
          </w:p>
        </w:tc>
        <w:tc>
          <w:tcPr>
            <w:tcW w:w="4778" w:type="dxa"/>
          </w:tcPr>
          <w:p w14:paraId="12D7BEDD" w14:textId="77777777" w:rsidR="00266596" w:rsidRPr="00266596" w:rsidRDefault="00266596" w:rsidP="00266596">
            <w:pPr>
              <w:pStyle w:val="Tabletext1"/>
            </w:pPr>
            <w:r w:rsidRPr="00266596">
              <w:t>http://www.ahlta.com.au/</w:t>
            </w:r>
          </w:p>
        </w:tc>
      </w:tr>
      <w:tr w:rsidR="00266596" w:rsidRPr="00266596" w14:paraId="3E4E6453" w14:textId="77777777" w:rsidTr="00447183">
        <w:trPr>
          <w:trHeight w:val="284"/>
        </w:trPr>
        <w:tc>
          <w:tcPr>
            <w:tcW w:w="4395" w:type="dxa"/>
          </w:tcPr>
          <w:p w14:paraId="1C28E965" w14:textId="77777777" w:rsidR="00266596" w:rsidRPr="00266596" w:rsidRDefault="00266596" w:rsidP="00266596">
            <w:pPr>
              <w:pStyle w:val="Tabletext1"/>
            </w:pPr>
            <w:r w:rsidRPr="00266596">
              <w:t>Lung Foundation Australia</w:t>
            </w:r>
          </w:p>
        </w:tc>
        <w:tc>
          <w:tcPr>
            <w:tcW w:w="4778" w:type="dxa"/>
          </w:tcPr>
          <w:p w14:paraId="688E8342" w14:textId="77777777" w:rsidR="00266596" w:rsidRPr="00266596" w:rsidRDefault="00266596" w:rsidP="00266596">
            <w:pPr>
              <w:pStyle w:val="Tabletext1"/>
            </w:pPr>
            <w:r w:rsidRPr="00266596">
              <w:t>http://lungfoundation.com.au/</w:t>
            </w:r>
          </w:p>
        </w:tc>
      </w:tr>
    </w:tbl>
    <w:p w14:paraId="606BACD3" w14:textId="77777777" w:rsidR="009A3655" w:rsidRDefault="00FE72FF" w:rsidP="001A4A46">
      <w:pPr>
        <w:pStyle w:val="Heading3"/>
      </w:pPr>
      <w:bookmarkStart w:id="520" w:name="_Toc418179962"/>
      <w:bookmarkStart w:id="521" w:name="_Ref170808567"/>
      <w:bookmarkStart w:id="522" w:name="_Toc460813781"/>
      <w:bookmarkStart w:id="523" w:name="_Ref170792604"/>
      <w:r>
        <w:t>Additional sources of literature</w:t>
      </w:r>
      <w:bookmarkEnd w:id="520"/>
      <w:r>
        <w:t xml:space="preserve"> </w:t>
      </w:r>
    </w:p>
    <w:tbl>
      <w:tblPr>
        <w:tblStyle w:val="TableGrid1"/>
        <w:tblW w:w="0" w:type="auto"/>
        <w:tblLayout w:type="fixed"/>
        <w:tblLook w:val="0000" w:firstRow="0" w:lastRow="0" w:firstColumn="0" w:lastColumn="0" w:noHBand="0" w:noVBand="0"/>
        <w:tblCaption w:val="ADDITIONAL SOURCES OF LITERATURE "/>
      </w:tblPr>
      <w:tblGrid>
        <w:gridCol w:w="4395"/>
        <w:gridCol w:w="4792"/>
      </w:tblGrid>
      <w:tr w:rsidR="00FE72FF" w:rsidRPr="00266596" w14:paraId="7915C9B5" w14:textId="77777777" w:rsidTr="00447183">
        <w:trPr>
          <w:trHeight w:val="284"/>
          <w:tblHeader/>
        </w:trPr>
        <w:tc>
          <w:tcPr>
            <w:tcW w:w="4395" w:type="dxa"/>
          </w:tcPr>
          <w:p w14:paraId="1DD21157" w14:textId="77777777" w:rsidR="00FE72FF" w:rsidRPr="00266596" w:rsidRDefault="00FE72FF" w:rsidP="004566DC">
            <w:pPr>
              <w:pStyle w:val="TableHeading"/>
              <w:keepNext w:val="0"/>
              <w:jc w:val="left"/>
            </w:pPr>
            <w:bookmarkStart w:id="524" w:name="_Toc144790815"/>
            <w:bookmarkStart w:id="525" w:name="_Toc146454643"/>
            <w:bookmarkStart w:id="526" w:name="_Toc146514366"/>
            <w:bookmarkStart w:id="527" w:name="_Toc148261402"/>
            <w:bookmarkStart w:id="528" w:name="_Toc153262454"/>
            <w:bookmarkStart w:id="529" w:name="_Toc153264175"/>
            <w:bookmarkStart w:id="530" w:name="_Toc187574524"/>
            <w:r w:rsidRPr="00266596">
              <w:t>Source</w:t>
            </w:r>
          </w:p>
        </w:tc>
        <w:tc>
          <w:tcPr>
            <w:tcW w:w="4792" w:type="dxa"/>
          </w:tcPr>
          <w:p w14:paraId="1EF005A8" w14:textId="77777777" w:rsidR="00FE72FF" w:rsidRPr="00266596" w:rsidRDefault="00FE72FF" w:rsidP="00266596">
            <w:pPr>
              <w:pStyle w:val="TableHeading"/>
              <w:keepNext w:val="0"/>
            </w:pPr>
            <w:r w:rsidRPr="00266596">
              <w:t xml:space="preserve">Location </w:t>
            </w:r>
          </w:p>
        </w:tc>
      </w:tr>
      <w:tr w:rsidR="00FE72FF" w:rsidRPr="00C55256" w14:paraId="35B95481" w14:textId="77777777" w:rsidTr="0042252D">
        <w:trPr>
          <w:trHeight w:val="284"/>
        </w:trPr>
        <w:tc>
          <w:tcPr>
            <w:tcW w:w="4395" w:type="dxa"/>
          </w:tcPr>
          <w:p w14:paraId="53E81020" w14:textId="77777777" w:rsidR="00FE72FF" w:rsidRPr="00C55256" w:rsidRDefault="00FE72FF" w:rsidP="004566DC">
            <w:pPr>
              <w:pStyle w:val="Tabletext1"/>
              <w:jc w:val="left"/>
              <w:rPr>
                <w:i/>
              </w:rPr>
            </w:pPr>
            <w:r w:rsidRPr="00C55256">
              <w:rPr>
                <w:i/>
              </w:rPr>
              <w:t>Internet</w:t>
            </w:r>
          </w:p>
        </w:tc>
        <w:tc>
          <w:tcPr>
            <w:tcW w:w="4792" w:type="dxa"/>
          </w:tcPr>
          <w:p w14:paraId="08BF80B5" w14:textId="77777777" w:rsidR="00FE72FF" w:rsidRPr="00C55256" w:rsidRDefault="00FE72FF" w:rsidP="00935F84">
            <w:pPr>
              <w:pStyle w:val="Tabletext1"/>
              <w:rPr>
                <w:i/>
              </w:rPr>
            </w:pPr>
          </w:p>
        </w:tc>
      </w:tr>
      <w:tr w:rsidR="00FE72FF" w:rsidRPr="00935F84" w14:paraId="41844733" w14:textId="77777777" w:rsidTr="0042252D">
        <w:trPr>
          <w:trHeight w:val="270"/>
        </w:trPr>
        <w:tc>
          <w:tcPr>
            <w:tcW w:w="4395" w:type="dxa"/>
          </w:tcPr>
          <w:p w14:paraId="21EBADE9" w14:textId="12CA1BAA" w:rsidR="00FE72FF" w:rsidRPr="00935F84" w:rsidRDefault="00FE72FF" w:rsidP="004566DC">
            <w:pPr>
              <w:pStyle w:val="Tabletext1"/>
              <w:jc w:val="left"/>
            </w:pPr>
            <w:r w:rsidRPr="00935F84">
              <w:t>NHMRC</w:t>
            </w:r>
            <w:r w:rsidR="003C299F">
              <w:t>—</w:t>
            </w:r>
            <w:r w:rsidRPr="00935F84">
              <w:t xml:space="preserve">National Health and Medical Research Council (Australia) </w:t>
            </w:r>
          </w:p>
        </w:tc>
        <w:tc>
          <w:tcPr>
            <w:tcW w:w="4792" w:type="dxa"/>
          </w:tcPr>
          <w:p w14:paraId="697B7D56" w14:textId="77777777" w:rsidR="00FE72FF" w:rsidRPr="00935F84" w:rsidRDefault="00FE72FF" w:rsidP="00935F84">
            <w:pPr>
              <w:pStyle w:val="Tabletext1"/>
              <w:rPr>
                <w:rStyle w:val="Hyperlink"/>
                <w:color w:val="auto"/>
                <w:u w:val="none"/>
              </w:rPr>
            </w:pPr>
            <w:r w:rsidRPr="00935F84">
              <w:rPr>
                <w:rStyle w:val="Hyperlink"/>
                <w:color w:val="auto"/>
                <w:u w:val="none"/>
              </w:rPr>
              <w:t>http://www.nhmrc.gov.au/</w:t>
            </w:r>
          </w:p>
        </w:tc>
      </w:tr>
      <w:tr w:rsidR="00FE72FF" w:rsidRPr="00935F84" w14:paraId="6C93DBA1" w14:textId="77777777" w:rsidTr="0042252D">
        <w:trPr>
          <w:trHeight w:val="284"/>
        </w:trPr>
        <w:tc>
          <w:tcPr>
            <w:tcW w:w="4395" w:type="dxa"/>
          </w:tcPr>
          <w:p w14:paraId="0AAC4C24" w14:textId="77777777" w:rsidR="00FE72FF" w:rsidRPr="00935F84" w:rsidRDefault="00FE72FF" w:rsidP="004566DC">
            <w:pPr>
              <w:pStyle w:val="Tabletext1"/>
              <w:jc w:val="left"/>
            </w:pPr>
            <w:r w:rsidRPr="00935F84">
              <w:t>US Department of Health and Human Services (reports and publications)</w:t>
            </w:r>
          </w:p>
        </w:tc>
        <w:tc>
          <w:tcPr>
            <w:tcW w:w="4792" w:type="dxa"/>
          </w:tcPr>
          <w:p w14:paraId="0EF1C80A" w14:textId="77777777" w:rsidR="00FE72FF" w:rsidRPr="00935F84" w:rsidRDefault="00FE72FF" w:rsidP="00935F84">
            <w:pPr>
              <w:pStyle w:val="Tabletext1"/>
            </w:pPr>
            <w:r w:rsidRPr="00935F84">
              <w:t>http://www.hhs.gov/</w:t>
            </w:r>
          </w:p>
        </w:tc>
      </w:tr>
      <w:tr w:rsidR="00FE72FF" w:rsidRPr="00935F84" w14:paraId="776B7482" w14:textId="77777777" w:rsidTr="0042252D">
        <w:trPr>
          <w:trHeight w:val="284"/>
        </w:trPr>
        <w:tc>
          <w:tcPr>
            <w:tcW w:w="4395" w:type="dxa"/>
          </w:tcPr>
          <w:p w14:paraId="7F5DB1EF" w14:textId="77777777" w:rsidR="00FE72FF" w:rsidRPr="00935F84" w:rsidRDefault="00FE72FF" w:rsidP="004566DC">
            <w:pPr>
              <w:pStyle w:val="Tabletext1"/>
              <w:jc w:val="left"/>
            </w:pPr>
            <w:r w:rsidRPr="00935F84">
              <w:t>New York Academy of Medicine Grey Literature Report</w:t>
            </w:r>
          </w:p>
        </w:tc>
        <w:tc>
          <w:tcPr>
            <w:tcW w:w="4792" w:type="dxa"/>
          </w:tcPr>
          <w:p w14:paraId="4880272B" w14:textId="77777777" w:rsidR="00FE72FF" w:rsidRPr="00935F84" w:rsidRDefault="00FE72FF" w:rsidP="00935F84">
            <w:pPr>
              <w:pStyle w:val="Tabletext1"/>
            </w:pPr>
            <w:r w:rsidRPr="00935F84">
              <w:t>http://www.greylit.org/</w:t>
            </w:r>
          </w:p>
        </w:tc>
      </w:tr>
      <w:tr w:rsidR="00FE72FF" w:rsidRPr="00935F84" w14:paraId="755496B4" w14:textId="77777777" w:rsidTr="0042252D">
        <w:trPr>
          <w:trHeight w:val="270"/>
        </w:trPr>
        <w:tc>
          <w:tcPr>
            <w:tcW w:w="4395" w:type="dxa"/>
          </w:tcPr>
          <w:p w14:paraId="7061A1E6" w14:textId="77777777" w:rsidR="00FE72FF" w:rsidRPr="00935F84" w:rsidRDefault="00FE72FF" w:rsidP="004566DC">
            <w:pPr>
              <w:pStyle w:val="Tabletext1"/>
              <w:jc w:val="left"/>
            </w:pPr>
            <w:r w:rsidRPr="00935F84">
              <w:t>Trip database</w:t>
            </w:r>
          </w:p>
        </w:tc>
        <w:tc>
          <w:tcPr>
            <w:tcW w:w="4792" w:type="dxa"/>
          </w:tcPr>
          <w:p w14:paraId="6C8CEC5D" w14:textId="634CAF09" w:rsidR="00FE72FF" w:rsidRPr="00935F84" w:rsidRDefault="00447183" w:rsidP="00935F84">
            <w:pPr>
              <w:pStyle w:val="Tabletext1"/>
              <w:rPr>
                <w:rStyle w:val="Hyperlink"/>
                <w:color w:val="auto"/>
                <w:u w:val="none"/>
              </w:rPr>
            </w:pPr>
            <w:hyperlink r:id="rId93" w:tooltip="Link to Trip database" w:history="1">
              <w:r w:rsidR="00FE72FF" w:rsidRPr="00935F84">
                <w:rPr>
                  <w:rStyle w:val="Hyperlink"/>
                  <w:color w:val="auto"/>
                  <w:u w:val="none"/>
                </w:rPr>
                <w:t>http://www.tripdatabase.com</w:t>
              </w:r>
            </w:hyperlink>
          </w:p>
        </w:tc>
      </w:tr>
      <w:tr w:rsidR="00FE72FF" w:rsidRPr="00935F84" w14:paraId="2A598FB8" w14:textId="77777777" w:rsidTr="0042252D">
        <w:trPr>
          <w:trHeight w:val="284"/>
        </w:trPr>
        <w:tc>
          <w:tcPr>
            <w:tcW w:w="4395" w:type="dxa"/>
          </w:tcPr>
          <w:p w14:paraId="49267F63" w14:textId="77777777" w:rsidR="00FE72FF" w:rsidRPr="00935F84" w:rsidRDefault="00FE72FF" w:rsidP="004566DC">
            <w:pPr>
              <w:pStyle w:val="Tabletext1"/>
              <w:jc w:val="left"/>
            </w:pPr>
            <w:r w:rsidRPr="00935F84">
              <w:t>Current Controlled Trials metaRegister</w:t>
            </w:r>
          </w:p>
        </w:tc>
        <w:tc>
          <w:tcPr>
            <w:tcW w:w="4792" w:type="dxa"/>
          </w:tcPr>
          <w:p w14:paraId="64F1C684" w14:textId="6C6E312C" w:rsidR="00FE72FF" w:rsidRPr="00935F84" w:rsidRDefault="00447183" w:rsidP="00935F84">
            <w:pPr>
              <w:pStyle w:val="Tabletext1"/>
              <w:rPr>
                <w:rStyle w:val="Hyperlink"/>
                <w:color w:val="auto"/>
                <w:u w:val="none"/>
              </w:rPr>
            </w:pPr>
            <w:hyperlink r:id="rId94" w:tooltip="Link to Current Controlled Trials metaRegister" w:history="1">
              <w:r w:rsidR="00FE72FF" w:rsidRPr="00935F84">
                <w:rPr>
                  <w:rStyle w:val="Hyperlink"/>
                  <w:color w:val="auto"/>
                  <w:u w:val="none"/>
                </w:rPr>
                <w:t>http://controlled-trials.com/</w:t>
              </w:r>
            </w:hyperlink>
          </w:p>
        </w:tc>
      </w:tr>
      <w:tr w:rsidR="00FE72FF" w:rsidRPr="00935F84" w14:paraId="2748525D" w14:textId="77777777" w:rsidTr="0042252D">
        <w:trPr>
          <w:trHeight w:val="270"/>
        </w:trPr>
        <w:tc>
          <w:tcPr>
            <w:tcW w:w="4395" w:type="dxa"/>
          </w:tcPr>
          <w:p w14:paraId="48EB508C" w14:textId="77777777" w:rsidR="00FE72FF" w:rsidRPr="00935F84" w:rsidRDefault="00FE72FF" w:rsidP="004566DC">
            <w:pPr>
              <w:pStyle w:val="Tabletext1"/>
              <w:jc w:val="left"/>
            </w:pPr>
            <w:r w:rsidRPr="00935F84">
              <w:t>National Library of Medicine Health Services/Technology Assessment Text</w:t>
            </w:r>
          </w:p>
        </w:tc>
        <w:tc>
          <w:tcPr>
            <w:tcW w:w="4792" w:type="dxa"/>
          </w:tcPr>
          <w:p w14:paraId="067DE860" w14:textId="0E9E17FF" w:rsidR="00FE72FF" w:rsidRPr="00935F84" w:rsidRDefault="00447183" w:rsidP="00935F84">
            <w:pPr>
              <w:pStyle w:val="Tabletext1"/>
              <w:rPr>
                <w:rStyle w:val="Hyperlink"/>
                <w:color w:val="auto"/>
                <w:u w:val="none"/>
              </w:rPr>
            </w:pPr>
            <w:hyperlink r:id="rId95" w:tooltip="Link to National Library of Medicine Health Services/Technology Assessment Text" w:history="1">
              <w:r w:rsidR="00FE72FF" w:rsidRPr="00935F84">
                <w:rPr>
                  <w:rStyle w:val="Hyperlink"/>
                  <w:color w:val="auto"/>
                  <w:u w:val="none"/>
                </w:rPr>
                <w:t>http://text.nlm.nih.gov/</w:t>
              </w:r>
            </w:hyperlink>
          </w:p>
        </w:tc>
      </w:tr>
      <w:tr w:rsidR="00FE72FF" w:rsidRPr="00935F84" w14:paraId="10C942EB" w14:textId="77777777" w:rsidTr="0042252D">
        <w:trPr>
          <w:trHeight w:val="284"/>
        </w:trPr>
        <w:tc>
          <w:tcPr>
            <w:tcW w:w="4395" w:type="dxa"/>
          </w:tcPr>
          <w:p w14:paraId="1C8C8910" w14:textId="3E06DE0E" w:rsidR="00FE72FF" w:rsidRPr="00935F84" w:rsidRDefault="00FE72FF" w:rsidP="004566DC">
            <w:pPr>
              <w:pStyle w:val="Tabletext1"/>
              <w:jc w:val="left"/>
            </w:pPr>
            <w:r w:rsidRPr="00935F84">
              <w:t>UK National Research Register</w:t>
            </w:r>
          </w:p>
        </w:tc>
        <w:tc>
          <w:tcPr>
            <w:tcW w:w="4792" w:type="dxa"/>
          </w:tcPr>
          <w:p w14:paraId="5672E508" w14:textId="77777777" w:rsidR="00FE72FF" w:rsidRPr="00935F84" w:rsidRDefault="00FE72FF" w:rsidP="00935F84">
            <w:pPr>
              <w:pStyle w:val="Tabletext1"/>
              <w:rPr>
                <w:rStyle w:val="Hyperlink"/>
                <w:color w:val="auto"/>
                <w:u w:val="none"/>
              </w:rPr>
            </w:pPr>
            <w:r w:rsidRPr="00935F84">
              <w:rPr>
                <w:rStyle w:val="Hyperlink"/>
                <w:color w:val="auto"/>
                <w:u w:val="none"/>
              </w:rPr>
              <w:t>http://www.nihr.ac.uk/Pages/NRRArchive.aspx</w:t>
            </w:r>
          </w:p>
        </w:tc>
      </w:tr>
      <w:tr w:rsidR="00FE72FF" w:rsidRPr="00935F84" w14:paraId="1E574653" w14:textId="77777777" w:rsidTr="0042252D">
        <w:trPr>
          <w:trHeight w:val="284"/>
        </w:trPr>
        <w:tc>
          <w:tcPr>
            <w:tcW w:w="4395" w:type="dxa"/>
          </w:tcPr>
          <w:p w14:paraId="1418F123" w14:textId="77777777" w:rsidR="00FE72FF" w:rsidRPr="00935F84" w:rsidRDefault="00FE72FF" w:rsidP="004566DC">
            <w:pPr>
              <w:pStyle w:val="Tabletext1"/>
              <w:jc w:val="left"/>
            </w:pPr>
            <w:r w:rsidRPr="00935F84">
              <w:t>Google Scholar</w:t>
            </w:r>
          </w:p>
        </w:tc>
        <w:tc>
          <w:tcPr>
            <w:tcW w:w="4792" w:type="dxa"/>
          </w:tcPr>
          <w:p w14:paraId="1BE7954C" w14:textId="77777777" w:rsidR="00FE72FF" w:rsidRPr="00935F84" w:rsidRDefault="00FE72FF" w:rsidP="00935F84">
            <w:pPr>
              <w:pStyle w:val="Tabletext1"/>
              <w:rPr>
                <w:rStyle w:val="Hyperlink"/>
                <w:color w:val="auto"/>
                <w:u w:val="none"/>
              </w:rPr>
            </w:pPr>
            <w:r w:rsidRPr="00935F84">
              <w:rPr>
                <w:rStyle w:val="Hyperlink"/>
                <w:color w:val="auto"/>
                <w:u w:val="none"/>
              </w:rPr>
              <w:t>http://scholar.google.com/</w:t>
            </w:r>
          </w:p>
        </w:tc>
      </w:tr>
      <w:tr w:rsidR="00FE72FF" w:rsidRPr="00935F84" w14:paraId="46780A8E" w14:textId="77777777" w:rsidTr="0042252D">
        <w:trPr>
          <w:trHeight w:val="270"/>
        </w:trPr>
        <w:tc>
          <w:tcPr>
            <w:tcW w:w="4395" w:type="dxa"/>
          </w:tcPr>
          <w:p w14:paraId="15319D18" w14:textId="77777777" w:rsidR="00FE72FF" w:rsidRPr="00935F84" w:rsidRDefault="00FE72FF" w:rsidP="004566DC">
            <w:pPr>
              <w:pStyle w:val="Tabletext1"/>
              <w:jc w:val="left"/>
            </w:pPr>
            <w:r w:rsidRPr="00935F84">
              <w:t>Australian and New Zealand Clinical Trials Registry</w:t>
            </w:r>
          </w:p>
        </w:tc>
        <w:tc>
          <w:tcPr>
            <w:tcW w:w="4792" w:type="dxa"/>
          </w:tcPr>
          <w:p w14:paraId="2B646B60" w14:textId="77777777" w:rsidR="00FE72FF" w:rsidRPr="00935F84" w:rsidRDefault="00FE72FF" w:rsidP="00935F84">
            <w:pPr>
              <w:pStyle w:val="Tabletext1"/>
              <w:rPr>
                <w:rStyle w:val="Hyperlink"/>
                <w:color w:val="auto"/>
                <w:u w:val="none"/>
              </w:rPr>
            </w:pPr>
            <w:r w:rsidRPr="00935F84">
              <w:rPr>
                <w:rStyle w:val="Hyperlink"/>
                <w:color w:val="auto"/>
                <w:u w:val="none"/>
              </w:rPr>
              <w:t>www.anzctr.org.au</w:t>
            </w:r>
          </w:p>
        </w:tc>
      </w:tr>
      <w:tr w:rsidR="00FE72FF" w:rsidRPr="00C55256" w14:paraId="04BDFFBF" w14:textId="77777777" w:rsidTr="0042252D">
        <w:trPr>
          <w:trHeight w:val="284"/>
        </w:trPr>
        <w:tc>
          <w:tcPr>
            <w:tcW w:w="4395" w:type="dxa"/>
          </w:tcPr>
          <w:p w14:paraId="0639CAC6" w14:textId="77777777" w:rsidR="00FE72FF" w:rsidRPr="00C55256" w:rsidRDefault="00FE72FF" w:rsidP="004566DC">
            <w:pPr>
              <w:pStyle w:val="Tabletext1"/>
              <w:jc w:val="left"/>
              <w:rPr>
                <w:i/>
              </w:rPr>
            </w:pPr>
            <w:r w:rsidRPr="00C55256">
              <w:rPr>
                <w:i/>
              </w:rPr>
              <w:t>Pearling</w:t>
            </w:r>
          </w:p>
        </w:tc>
        <w:tc>
          <w:tcPr>
            <w:tcW w:w="4792" w:type="dxa"/>
          </w:tcPr>
          <w:p w14:paraId="7224B198" w14:textId="77777777" w:rsidR="00FE72FF" w:rsidRPr="00C55256" w:rsidRDefault="00FE72FF" w:rsidP="00935F84">
            <w:pPr>
              <w:pStyle w:val="Tabletext1"/>
              <w:rPr>
                <w:i/>
              </w:rPr>
            </w:pPr>
          </w:p>
        </w:tc>
      </w:tr>
      <w:tr w:rsidR="00FE72FF" w:rsidRPr="00935F84" w14:paraId="32DBF3A3" w14:textId="77777777" w:rsidTr="0042252D">
        <w:trPr>
          <w:trHeight w:val="497"/>
        </w:trPr>
        <w:tc>
          <w:tcPr>
            <w:tcW w:w="4395" w:type="dxa"/>
          </w:tcPr>
          <w:p w14:paraId="0808E8AE" w14:textId="77777777" w:rsidR="00FE72FF" w:rsidRPr="00935F84" w:rsidRDefault="00FE72FF" w:rsidP="004566DC">
            <w:pPr>
              <w:pStyle w:val="Tabletext1"/>
              <w:jc w:val="left"/>
            </w:pPr>
            <w:r w:rsidRPr="00935F84">
              <w:t xml:space="preserve">All included articles </w:t>
            </w:r>
            <w:r w:rsidR="00266596" w:rsidRPr="00935F84">
              <w:t>had</w:t>
            </w:r>
            <w:r w:rsidRPr="00935F84">
              <w:t xml:space="preserve"> their reference lists searched for additional relevant source material</w:t>
            </w:r>
          </w:p>
        </w:tc>
        <w:tc>
          <w:tcPr>
            <w:tcW w:w="4792" w:type="dxa"/>
          </w:tcPr>
          <w:p w14:paraId="58D307B8" w14:textId="77777777" w:rsidR="00FE72FF" w:rsidRPr="00935F84" w:rsidRDefault="00FE72FF" w:rsidP="00935F84">
            <w:pPr>
              <w:pStyle w:val="Tabletext1"/>
            </w:pPr>
          </w:p>
        </w:tc>
      </w:tr>
      <w:bookmarkEnd w:id="524"/>
      <w:bookmarkEnd w:id="525"/>
      <w:bookmarkEnd w:id="526"/>
      <w:bookmarkEnd w:id="527"/>
      <w:bookmarkEnd w:id="528"/>
      <w:bookmarkEnd w:id="529"/>
      <w:bookmarkEnd w:id="530"/>
    </w:tbl>
    <w:p w14:paraId="3B1E8D3B" w14:textId="77777777" w:rsidR="00FE72FF" w:rsidRDefault="00FE72FF" w:rsidP="00FE72FF"/>
    <w:p w14:paraId="1E1CE22F" w14:textId="77777777" w:rsidR="00266596" w:rsidRPr="00FE72FF" w:rsidRDefault="00266596" w:rsidP="00FE72FF">
      <w:pPr>
        <w:sectPr w:rsidR="00266596" w:rsidRPr="00FE72FF" w:rsidSect="000D04B6">
          <w:headerReference w:type="even" r:id="rId96"/>
          <w:headerReference w:type="default" r:id="rId97"/>
          <w:footerReference w:type="even" r:id="rId98"/>
          <w:footerReference w:type="default" r:id="rId99"/>
          <w:headerReference w:type="first" r:id="rId100"/>
          <w:type w:val="oddPage"/>
          <w:pgSz w:w="11906" w:h="16838"/>
          <w:pgMar w:top="1440" w:right="1440" w:bottom="1440" w:left="1440" w:header="720" w:footer="720" w:gutter="0"/>
          <w:paperSrc w:first="7" w:other="7"/>
          <w:cols w:space="720"/>
        </w:sectPr>
      </w:pPr>
    </w:p>
    <w:p w14:paraId="551DDF11" w14:textId="28819E2C" w:rsidR="007A7960" w:rsidRPr="00183E4D" w:rsidRDefault="00193B87" w:rsidP="00022486">
      <w:pPr>
        <w:pStyle w:val="Heading1"/>
        <w:tabs>
          <w:tab w:val="left" w:pos="2268"/>
        </w:tabs>
      </w:pPr>
      <w:bookmarkStart w:id="531" w:name="_Ref364237249"/>
      <w:bookmarkStart w:id="532" w:name="_Ref190841600"/>
      <w:bookmarkStart w:id="533" w:name="_Toc379118101"/>
      <w:bookmarkStart w:id="534" w:name="_Toc381796504"/>
      <w:bookmarkStart w:id="535" w:name="_Toc418179963"/>
      <w:bookmarkEnd w:id="521"/>
      <w:r w:rsidRPr="00183E4D">
        <w:lastRenderedPageBreak/>
        <w:t xml:space="preserve">Appendix </w:t>
      </w:r>
      <w:fldSimple w:instr=" SEQ Appendix \* ALPHABETIC ">
        <w:r w:rsidR="00BB0E3E">
          <w:rPr>
            <w:noProof/>
          </w:rPr>
          <w:t>C</w:t>
        </w:r>
      </w:fldSimple>
      <w:bookmarkEnd w:id="531"/>
      <w:r w:rsidR="008F59A8" w:rsidRPr="00183E4D">
        <w:tab/>
        <w:t>S</w:t>
      </w:r>
      <w:r w:rsidR="00591A6D" w:rsidRPr="00183E4D">
        <w:t xml:space="preserve">tudies </w:t>
      </w:r>
      <w:r w:rsidR="009F7FD5">
        <w:t>I</w:t>
      </w:r>
      <w:r w:rsidR="00591A6D" w:rsidRPr="00183E4D">
        <w:t>ncluded in the Systematic R</w:t>
      </w:r>
      <w:r w:rsidR="008F59A8" w:rsidRPr="00183E4D">
        <w:t>eview</w:t>
      </w:r>
      <w:bookmarkEnd w:id="522"/>
      <w:bookmarkEnd w:id="523"/>
      <w:bookmarkEnd w:id="532"/>
      <w:bookmarkEnd w:id="533"/>
      <w:bookmarkEnd w:id="534"/>
      <w:bookmarkEnd w:id="535"/>
      <w:r w:rsidR="008F59A8" w:rsidRPr="00183E4D">
        <w:t xml:space="preserve"> </w:t>
      </w:r>
    </w:p>
    <w:p w14:paraId="76037FA4" w14:textId="77777777" w:rsidR="004726AA" w:rsidRDefault="004726AA" w:rsidP="004726AA">
      <w:pPr>
        <w:pStyle w:val="Caption"/>
      </w:pPr>
      <w:bookmarkStart w:id="536" w:name="_Ref418162429"/>
      <w:bookmarkStart w:id="537" w:name="_Toc418179483"/>
      <w:bookmarkStart w:id="538" w:name="_Ref192056948"/>
      <w:bookmarkStart w:id="539" w:name="_Ref169423889"/>
      <w:r>
        <w:t xml:space="preserve">Table </w:t>
      </w:r>
      <w:fldSimple w:instr=" SEQ Table \* ARABIC ">
        <w:r w:rsidR="00BB0E3E">
          <w:rPr>
            <w:noProof/>
          </w:rPr>
          <w:t>86</w:t>
        </w:r>
      </w:fldSimple>
      <w:bookmarkEnd w:id="536"/>
      <w:r>
        <w:tab/>
      </w:r>
      <w:r w:rsidRPr="00CD0517">
        <w:t>Study profiles of included studies on diagnostic accuracy</w:t>
      </w:r>
      <w:bookmarkEnd w:id="537"/>
    </w:p>
    <w:tbl>
      <w:tblPr>
        <w:tblStyle w:val="TableGrid3"/>
        <w:tblW w:w="13858" w:type="dxa"/>
        <w:tblLayout w:type="fixed"/>
        <w:tblLook w:val="04A0" w:firstRow="1" w:lastRow="0" w:firstColumn="1" w:lastColumn="0" w:noHBand="0" w:noVBand="1"/>
        <w:tblCaption w:val="Study profiles of included studies on diagnostic accuracy "/>
        <w:tblDescription w:val="Study profiles of included studies on diagnostic accuracy"/>
      </w:tblPr>
      <w:tblGrid>
        <w:gridCol w:w="1242"/>
        <w:gridCol w:w="1985"/>
        <w:gridCol w:w="2268"/>
        <w:gridCol w:w="2410"/>
        <w:gridCol w:w="3685"/>
        <w:gridCol w:w="2268"/>
      </w:tblGrid>
      <w:tr w:rsidR="005D654C" w:rsidRPr="005D654C" w14:paraId="53F381F7" w14:textId="77777777" w:rsidTr="00935F84">
        <w:trPr>
          <w:tblHeader/>
        </w:trPr>
        <w:tc>
          <w:tcPr>
            <w:tcW w:w="1242" w:type="dxa"/>
          </w:tcPr>
          <w:p w14:paraId="7F44A911"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 xml:space="preserve">Study </w:t>
            </w:r>
          </w:p>
          <w:p w14:paraId="0816E000"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 xml:space="preserve">Country </w:t>
            </w:r>
          </w:p>
        </w:tc>
        <w:tc>
          <w:tcPr>
            <w:tcW w:w="1985" w:type="dxa"/>
          </w:tcPr>
          <w:p w14:paraId="709C05FC"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Study design</w:t>
            </w:r>
          </w:p>
          <w:p w14:paraId="2C9E9846"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 xml:space="preserve">Quality </w:t>
            </w:r>
          </w:p>
        </w:tc>
        <w:tc>
          <w:tcPr>
            <w:tcW w:w="2268" w:type="dxa"/>
          </w:tcPr>
          <w:p w14:paraId="5B44757E" w14:textId="77777777" w:rsidR="005D654C" w:rsidRPr="005D654C" w:rsidRDefault="005D654C" w:rsidP="004566DC">
            <w:pPr>
              <w:keepNext/>
              <w:tabs>
                <w:tab w:val="left" w:pos="89"/>
              </w:tabs>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Study population</w:t>
            </w:r>
          </w:p>
        </w:tc>
        <w:tc>
          <w:tcPr>
            <w:tcW w:w="2410" w:type="dxa"/>
          </w:tcPr>
          <w:p w14:paraId="6C5C4839" w14:textId="638BF225"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 xml:space="preserve">Inclusion criteria / </w:t>
            </w:r>
            <w:r w:rsidR="002902B2">
              <w:rPr>
                <w:rFonts w:ascii="Arial Narrow" w:hAnsi="Arial Narrow" w:cs="Times New Roman"/>
                <w:b/>
                <w:sz w:val="20"/>
                <w:szCs w:val="20"/>
              </w:rPr>
              <w:t>E</w:t>
            </w:r>
            <w:r w:rsidRPr="005D654C">
              <w:rPr>
                <w:rFonts w:ascii="Arial Narrow" w:hAnsi="Arial Narrow" w:cs="Times New Roman"/>
                <w:b/>
                <w:sz w:val="20"/>
                <w:szCs w:val="20"/>
              </w:rPr>
              <w:t>xclusion criteria</w:t>
            </w:r>
          </w:p>
        </w:tc>
        <w:tc>
          <w:tcPr>
            <w:tcW w:w="3685" w:type="dxa"/>
          </w:tcPr>
          <w:p w14:paraId="2B4BB0AA"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Index test(s)</w:t>
            </w:r>
          </w:p>
        </w:tc>
        <w:tc>
          <w:tcPr>
            <w:tcW w:w="2268" w:type="dxa"/>
          </w:tcPr>
          <w:p w14:paraId="11C52A46" w14:textId="77777777" w:rsidR="005D654C" w:rsidRPr="005D654C" w:rsidRDefault="005D654C" w:rsidP="004566DC">
            <w:pPr>
              <w:keepNext/>
              <w:spacing w:after="40" w:line="240" w:lineRule="auto"/>
              <w:jc w:val="left"/>
              <w:rPr>
                <w:rFonts w:ascii="Arial Narrow" w:hAnsi="Arial Narrow" w:cs="Times New Roman"/>
                <w:b/>
                <w:sz w:val="20"/>
                <w:szCs w:val="20"/>
              </w:rPr>
            </w:pPr>
            <w:r w:rsidRPr="005D654C">
              <w:rPr>
                <w:rFonts w:ascii="Arial Narrow" w:hAnsi="Arial Narrow" w:cs="Times New Roman"/>
                <w:b/>
                <w:sz w:val="20"/>
                <w:szCs w:val="20"/>
              </w:rPr>
              <w:t>Reference standard</w:t>
            </w:r>
          </w:p>
        </w:tc>
      </w:tr>
      <w:tr w:rsidR="005D654C" w:rsidRPr="005D654C" w14:paraId="3AA0863A" w14:textId="77777777" w:rsidTr="00935F84">
        <w:tc>
          <w:tcPr>
            <w:tcW w:w="1242" w:type="dxa"/>
          </w:tcPr>
          <w:p w14:paraId="3FCDC5F5" w14:textId="0AD56E4E" w:rsid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Axton </w:t>
            </w:r>
            <w:r w:rsidR="00E25211">
              <w:rPr>
                <w:rFonts w:ascii="Arial Narrow" w:eastAsiaTheme="minorHAnsi" w:hAnsi="Arial Narrow" w:cstheme="minorHAnsi"/>
                <w:sz w:val="20"/>
                <w:szCs w:val="20"/>
                <w:lang w:eastAsia="en-US"/>
              </w:rPr>
              <w:t>&amp;</w:t>
            </w:r>
            <w:r w:rsidR="00E25211"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Brock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ExcludeAuth="1"&gt;&lt;Author&gt;Axton&lt;/Author&gt;&lt;Year&gt;1995&lt;/Year&gt;&lt;RecNum&gt;729&lt;/RecNum&gt;&lt;IDText&gt;260-262&lt;/IDText&gt;&lt;DisplayText&gt;(1995)&lt;/DisplayText&gt;&lt;record&gt;&lt;rec-number&gt;729&lt;/rec-number&gt;&lt;foreign-keys&gt;&lt;key app="EN" db-id="parffa0acae2voep5w3vv9rypas2tr522eef" timestamp="1430369563"&gt;729&lt;/key&gt;&lt;/foreign-keys&gt;&lt;ref-type name="Journal Article"&gt;17&lt;/ref-type&gt;&lt;contributors&gt;&lt;authors&gt;&lt;author&gt;Axton, R. A.&lt;/author&gt;&lt;author&gt;Brock, D. J. H.&lt;/author&gt;&lt;/authors&gt;&lt;/contributors&gt;&lt;auth-address&gt;Human Genetics Unit, University of Edinburgh, Western General Hospital, Edinburgh EH4 2XU, United Kingdom&lt;/auth-address&gt;&lt;titles&gt;&lt;title&gt;A single-tube multiplex system for the simultaneous detection of 10 common cystic fibrosis mutations&lt;/title&gt;&lt;secondary-title&gt;Human Mutation&lt;/secondary-title&gt;&lt;/titles&gt;&lt;periodical&gt;&lt;full-title&gt;Hum Mutat&lt;/full-title&gt;&lt;abbr-1&gt;Human mutation&lt;/abbr-1&gt;&lt;/periodical&gt;&lt;pages&gt;260-262&lt;/pages&gt;&lt;volume&gt;5&lt;/volume&gt;&lt;number&gt;3&lt;/number&gt;&lt;keywords&gt;&lt;keyword&gt;Cystic fibrosis&lt;/keyword&gt;&lt;keyword&gt;Polymerase chain reaction&lt;/keyword&gt;&lt;keyword&gt;Screening&lt;/keyword&gt;&lt;/keywords&gt;&lt;dates&gt;&lt;year&gt;1995&lt;/year&gt;&lt;/dates&gt;&lt;urls&gt;&lt;related-urls&gt;&lt;url&gt;http://www.scopus.com/inward/record.url?eid=2-s2.0-0028916373&amp;amp;partnerID=40&amp;amp;md5=5c966c136833666d9a0ceb4eac5aa844&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0" w:tooltip="Axton, 1995 #729" w:history="1">
              <w:r w:rsidR="00B46ABF">
                <w:rPr>
                  <w:rFonts w:ascii="Arial Narrow" w:eastAsiaTheme="minorHAnsi" w:hAnsi="Arial Narrow" w:cstheme="minorHAnsi"/>
                  <w:noProof/>
                  <w:sz w:val="20"/>
                  <w:szCs w:val="20"/>
                  <w:lang w:eastAsia="en-US"/>
                </w:rPr>
                <w:t>1995</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5430310D" w14:textId="77777777" w:rsidR="002C4133" w:rsidRPr="005D654C" w:rsidRDefault="002C4133" w:rsidP="004566DC">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UK</w:t>
            </w:r>
          </w:p>
        </w:tc>
        <w:tc>
          <w:tcPr>
            <w:tcW w:w="1985" w:type="dxa"/>
          </w:tcPr>
          <w:p w14:paraId="57D6B2E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62998F4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381A3DF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61C89FF2"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N=193 mouthwash samples from CF patients</w:t>
            </w:r>
          </w:p>
        </w:tc>
        <w:tc>
          <w:tcPr>
            <w:tcW w:w="2410" w:type="dxa"/>
          </w:tcPr>
          <w:p w14:paraId="68ACF7FB"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None reported</w:t>
            </w:r>
          </w:p>
        </w:tc>
        <w:tc>
          <w:tcPr>
            <w:tcW w:w="3685" w:type="dxa"/>
          </w:tcPr>
          <w:p w14:paraId="4EB235B2"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Restriction generation PCR. This technique uses a mismatch primer to introduce a base substitution designed to create or destroy a restriction site when a mutation is present.</w:t>
            </w:r>
          </w:p>
        </w:tc>
        <w:tc>
          <w:tcPr>
            <w:tcW w:w="2268" w:type="dxa"/>
          </w:tcPr>
          <w:p w14:paraId="25C2BB84"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 reference standard</w:t>
            </w:r>
          </w:p>
        </w:tc>
      </w:tr>
      <w:tr w:rsidR="005D654C" w:rsidRPr="005D654C" w14:paraId="522F94B6" w14:textId="77777777" w:rsidTr="00935F84">
        <w:tc>
          <w:tcPr>
            <w:tcW w:w="1242" w:type="dxa"/>
          </w:tcPr>
          <w:p w14:paraId="3B4A3FA7" w14:textId="02F95F32"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Bareil et al. </w:t>
            </w:r>
            <w:r w:rsidR="002C4133">
              <w:rPr>
                <w:rFonts w:ascii="Arial Narrow" w:eastAsiaTheme="minorHAnsi" w:hAnsi="Arial Narrow" w:cstheme="minorHAnsi"/>
                <w:sz w:val="20"/>
                <w:szCs w:val="20"/>
                <w:lang w:eastAsia="en-US"/>
              </w:rPr>
              <w:fldChar w:fldCharType="begin"/>
            </w:r>
            <w:r w:rsidR="002C4133">
              <w:rPr>
                <w:rFonts w:ascii="Arial Narrow" w:eastAsiaTheme="minorHAnsi" w:hAnsi="Arial Narrow" w:cstheme="minorHAnsi"/>
                <w:sz w:val="20"/>
                <w:szCs w:val="20"/>
                <w:lang w:eastAsia="en-US"/>
              </w:rPr>
              <w:instrText xml:space="preserve"> ADDIN EN.CITE &lt;EndNote&gt;&lt;Cite ExcludeAuth="1"&gt;&lt;Author&gt;Bareil&lt;/Author&gt;&lt;Year&gt;2007&lt;/Year&gt;&lt;RecNum&gt;15&lt;/RecNum&gt;&lt;IDText&gt;582-588&lt;/IDText&gt;&lt;DisplayText&gt;(2007)&lt;/DisplayText&gt;&lt;record&gt;&lt;rec-number&gt;15&lt;/rec-number&gt;&lt;foreign-keys&gt;&lt;key app="EN" db-id="5e2rp22rqfe5frezsr6x0stksezpdvzfpfav" timestamp="1424405633"&gt;15&lt;/key&gt;&lt;/foreign-keys&gt;&lt;ref-type name="Journal Article"&gt;17&lt;/ref-type&gt;&lt;contributors&gt;&lt;authors&gt;&lt;author&gt;Bareil, C.&lt;/author&gt;&lt;author&gt;Guittard, C.&lt;/author&gt;&lt;author&gt;Altieri, J. P.&lt;/author&gt;&lt;author&gt;Templin, C.&lt;/author&gt;&lt;author&gt;Claustres, M.&lt;/author&gt;&lt;author&gt;Des Georges, M.&lt;/author&gt;&lt;/authors&gt;&lt;/contributors&gt;&lt;auth-address&gt;CHU Montpellier, Hôpital Arnaud de Villeneuve, Laboratoire de Génétique Moléculaire, Montpellier, F-34000, France&amp;#xD;Université Montpellier1, UFR de Médecine, Laboratoire de Génétique Moléculaire, Montpellier, F-34000, France&amp;#xD;INSERM U827, Montpellier, F-34000, France&amp;#xD;Laboratoire de Génétique Moléculaire, Institut Universitaire de Recherche Clinique, 641 av du doyen Gaston Giraud, 34093 Montpellier Cedex 5, France&lt;/auth-address&gt;&lt;titles&gt;&lt;title&gt;Comprehensive and rapid genotyping of mutations and haplotypes in congenital bilateral absence of the vas deferens and other cystic fibrosis transmembrane conductance regulator-related disorders&lt;/title&gt;&lt;secondary-title&gt;Journal of Molecular Diagnostics&lt;/secondary-title&gt;&lt;/titles&gt;&lt;periodical&gt;&lt;full-title&gt;Journal of Molecular Diagnostics&lt;/full-title&gt;&lt;/periodical&gt;&lt;pages&gt;582-588&lt;/pages&gt;&lt;volume&gt;9&lt;/volume&gt;&lt;number&gt;5&lt;/number&gt;&lt;dates&gt;&lt;year&gt;2007&lt;/year&gt;&lt;/dates&gt;&lt;urls&gt;&lt;related-urls&gt;&lt;url&gt;http://www.scopus.com/inward/record.url?eid=2-s2.0-36348994265&amp;amp;partnerID=40&amp;amp;md5=fecb00159d658ac3f5e2090d3ab52290&lt;/url&gt;&lt;url&gt;http://www.ncbi.nlm.nih.gov/pmc/articles/PMC2049054/pdf/JMD009000582.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1" w:tooltip="Bareil, 2007 #15" w:history="1">
              <w:r w:rsidR="00B46ABF">
                <w:rPr>
                  <w:rFonts w:ascii="Arial Narrow" w:eastAsiaTheme="minorHAnsi" w:hAnsi="Arial Narrow" w:cstheme="minorHAnsi"/>
                  <w:noProof/>
                  <w:sz w:val="20"/>
                  <w:szCs w:val="20"/>
                  <w:lang w:eastAsia="en-US"/>
                </w:rPr>
                <w:t>2007</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2A78C8A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France</w:t>
            </w:r>
          </w:p>
        </w:tc>
        <w:tc>
          <w:tcPr>
            <w:tcW w:w="1985" w:type="dxa"/>
          </w:tcPr>
          <w:p w14:paraId="76B77AF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77F5926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22FE3B4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0E35061C"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N=182 samples from men with a clinical diagnosis of CBAVD</w:t>
            </w:r>
          </w:p>
        </w:tc>
        <w:tc>
          <w:tcPr>
            <w:tcW w:w="2410" w:type="dxa"/>
          </w:tcPr>
          <w:p w14:paraId="2338288E"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3C7894E5" w14:textId="38F5594A"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lang w:eastAsia="en-US"/>
              </w:rPr>
              <w:t>Clinical diagnosis of CBAVD</w:t>
            </w:r>
          </w:p>
          <w:p w14:paraId="78F4EFB4"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Exclusion criteria:</w:t>
            </w:r>
          </w:p>
          <w:p w14:paraId="679CB669" w14:textId="376F3324"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rPr>
              <w:t xml:space="preserve">Patients with renal abnormalities </w:t>
            </w:r>
          </w:p>
        </w:tc>
        <w:tc>
          <w:tcPr>
            <w:tcW w:w="3685" w:type="dxa"/>
          </w:tcPr>
          <w:p w14:paraId="020EDB40" w14:textId="507C4B3E"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A complete scan of the 27 coding/flanking sequences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was performed </w:t>
            </w:r>
            <w:r w:rsidR="002902B2" w:rsidRPr="005D654C">
              <w:rPr>
                <w:rFonts w:ascii="Arial Narrow" w:hAnsi="Arial Narrow" w:cs="Times New Roman"/>
                <w:sz w:val="20"/>
                <w:szCs w:val="20"/>
              </w:rPr>
              <w:t xml:space="preserve">by </w:t>
            </w:r>
            <w:r w:rsidRPr="005D654C">
              <w:rPr>
                <w:rFonts w:ascii="Arial Narrow" w:hAnsi="Arial Narrow" w:cs="Times New Roman"/>
                <w:sz w:val="20"/>
                <w:szCs w:val="20"/>
              </w:rPr>
              <w:t xml:space="preserve">either DGGE or DHPLC. </w:t>
            </w:r>
          </w:p>
          <w:p w14:paraId="0EFDD875"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In addition, two intronic mutations, 18111.6kbAG in IVS11 and 384910kbCT in IVS19, and variations at locus IVS8-Tn were screened by specific PCR restriction tests.</w:t>
            </w:r>
          </w:p>
          <w:p w14:paraId="3B65A872" w14:textId="4B5F6DED"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Samples with only </w:t>
            </w:r>
            <w:r w:rsidR="000E7BDF">
              <w:rPr>
                <w:rFonts w:ascii="Arial Narrow" w:hAnsi="Arial Narrow" w:cs="Times New Roman"/>
                <w:sz w:val="20"/>
                <w:szCs w:val="20"/>
              </w:rPr>
              <w:t>1</w:t>
            </w:r>
            <w:r w:rsidR="000E7BDF" w:rsidRPr="005D654C">
              <w:rPr>
                <w:rFonts w:ascii="Arial Narrow" w:hAnsi="Arial Narrow" w:cs="Times New Roman"/>
                <w:sz w:val="20"/>
                <w:szCs w:val="20"/>
              </w:rPr>
              <w:t xml:space="preserve"> </w:t>
            </w:r>
            <w:r w:rsidRPr="005D654C">
              <w:rPr>
                <w:rFonts w:ascii="Arial Narrow" w:hAnsi="Arial Narrow" w:cs="Times New Roman"/>
                <w:sz w:val="20"/>
                <w:szCs w:val="20"/>
              </w:rPr>
              <w:t xml:space="preserve">or no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disease-causing mutation</w:t>
            </w:r>
            <w:r w:rsidR="002902B2">
              <w:rPr>
                <w:rFonts w:ascii="Arial Narrow" w:hAnsi="Arial Narrow" w:cs="Times New Roman"/>
                <w:sz w:val="20"/>
                <w:szCs w:val="20"/>
              </w:rPr>
              <w:t>s</w:t>
            </w:r>
            <w:r w:rsidRPr="005D654C">
              <w:rPr>
                <w:rFonts w:ascii="Arial Narrow" w:hAnsi="Arial Narrow" w:cs="Times New Roman"/>
                <w:sz w:val="20"/>
                <w:szCs w:val="20"/>
              </w:rPr>
              <w:t xml:space="preserve"> were further investigated for large rearrangements by a semi-quantitative fluorescent PCR assay.</w:t>
            </w:r>
          </w:p>
          <w:p w14:paraId="45FBE0C6"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Samples showing abnormal profiles were directly sequenced with BigDye Terminator sequencing.</w:t>
            </w:r>
          </w:p>
        </w:tc>
        <w:tc>
          <w:tcPr>
            <w:tcW w:w="2268" w:type="dxa"/>
          </w:tcPr>
          <w:p w14:paraId="6AEAF115" w14:textId="27090639"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Clinical diagnosis of CBAVD </w:t>
            </w:r>
            <w:r w:rsidR="0009054B">
              <w:rPr>
                <w:rFonts w:ascii="Arial Narrow" w:hAnsi="Arial Narrow" w:cs="Times New Roman"/>
                <w:sz w:val="20"/>
                <w:szCs w:val="20"/>
              </w:rPr>
              <w:t xml:space="preserve">was </w:t>
            </w:r>
            <w:r w:rsidRPr="005D654C">
              <w:rPr>
                <w:rFonts w:ascii="Arial Narrow" w:hAnsi="Arial Narrow" w:cs="Times New Roman"/>
                <w:sz w:val="20"/>
                <w:szCs w:val="20"/>
              </w:rPr>
              <w:t>based on clinical examination with impalpable vas deferens, transrectal ultrasonography, semen analysis and sperm count in accordance with World Health Organization guidelines</w:t>
            </w:r>
            <w:r w:rsidR="0009054B">
              <w:rPr>
                <w:rFonts w:ascii="Arial Narrow" w:hAnsi="Arial Narrow" w:cs="Times New Roman"/>
                <w:sz w:val="20"/>
                <w:szCs w:val="20"/>
              </w:rPr>
              <w:t>.</w:t>
            </w:r>
          </w:p>
        </w:tc>
      </w:tr>
      <w:tr w:rsidR="005D654C" w:rsidRPr="005D654C" w14:paraId="6FC53147" w14:textId="77777777" w:rsidTr="00935F84">
        <w:tc>
          <w:tcPr>
            <w:tcW w:w="1242" w:type="dxa"/>
          </w:tcPr>
          <w:p w14:paraId="0668DB1E" w14:textId="20408C7B"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Bernardino, Lima </w:t>
            </w:r>
            <w:r w:rsidR="00E25211">
              <w:rPr>
                <w:rFonts w:ascii="Arial Narrow" w:eastAsiaTheme="minorHAnsi" w:hAnsi="Arial Narrow" w:cstheme="minorHAnsi"/>
                <w:sz w:val="20"/>
                <w:szCs w:val="20"/>
                <w:lang w:eastAsia="en-US"/>
              </w:rPr>
              <w:t>&amp;</w:t>
            </w:r>
            <w:r w:rsidR="00E25211"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Zatz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ExcludeAuth="1"&gt;&lt;Author&gt;Bernardino&lt;/Author&gt;&lt;Year&gt;2003&lt;/Year&gt;&lt;RecNum&gt;748&lt;/RecNum&gt;&lt;IDText&gt;1-3&lt;/IDText&gt;&lt;DisplayText&gt;(2003)&lt;/DisplayText&gt;&lt;record&gt;&lt;rec-number&gt;748&lt;/rec-number&gt;&lt;foreign-keys&gt;&lt;key app="EN" db-id="parffa0acae2voep5w3vv9rypas2tr522eef" timestamp="1430369569"&gt;748&lt;/key&gt;&lt;/foreign-keys&gt;&lt;ref-type name="Journal Article"&gt;17&lt;/ref-type&gt;&lt;contributors&gt;&lt;authors&gt;&lt;author&gt;Bernardino, A. L. F.&lt;/author&gt;&lt;author&gt;Lima, C. E.&lt;/author&gt;&lt;author&gt;Zatz, M.&lt;/author&gt;&lt;/authors&gt;&lt;/contributors&gt;&lt;auth-address&gt;Human Genome Research Center, Departamento de Biologia, Universidade de São Paulo, 05508-900 São Paulo, Brazil&lt;/auth-address&gt;&lt;titles&gt;&lt;title&gt;Analysis of mutations in the cystic fibrosis transmembrane regulator (CFTR) gene in patients with obstructive azoospermia&lt;/title&gt;&lt;secondary-title&gt;Genetics and Molecular Biology&lt;/secondary-title&gt;&lt;/titles&gt;&lt;periodical&gt;&lt;full-title&gt;Genetics and Molecular Biology&lt;/full-title&gt;&lt;/periodical&gt;&lt;pages&gt;1-3&lt;/pages&gt;&lt;volume&gt;26&lt;/volume&gt;&lt;number&gt;1&lt;/number&gt;&lt;keywords&gt;&lt;keyword&gt;CFTR mutations&lt;/keyword&gt;&lt;keyword&gt;Male infertility&lt;/keyword&gt;&lt;keyword&gt;Obstructive azoospermia&lt;/keyword&gt;&lt;/keywords&gt;&lt;dates&gt;&lt;year&gt;2003&lt;/year&gt;&lt;/dates&gt;&lt;urls&gt;&lt;related-urls&gt;&lt;url&gt;http://www.scopus.com/inward/record.url?eid=2-s2.0-0037360042&amp;amp;partnerID=40&amp;amp;md5=6b23dadd23e8e1958da4951f7333c2c7&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4" w:tooltip="Bernardino, 2003 #748" w:history="1">
              <w:r w:rsidR="00B46ABF">
                <w:rPr>
                  <w:rFonts w:ascii="Arial Narrow" w:eastAsiaTheme="minorHAnsi" w:hAnsi="Arial Narrow" w:cstheme="minorHAnsi"/>
                  <w:noProof/>
                  <w:sz w:val="20"/>
                  <w:szCs w:val="20"/>
                  <w:lang w:eastAsia="en-US"/>
                </w:rPr>
                <w:t>2003</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7FAACEE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Brazil</w:t>
            </w:r>
          </w:p>
        </w:tc>
        <w:tc>
          <w:tcPr>
            <w:tcW w:w="1985" w:type="dxa"/>
          </w:tcPr>
          <w:p w14:paraId="56D19A2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42131F8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72AD970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08887DC1"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N=17 patients with CBAVD</w:t>
            </w:r>
          </w:p>
        </w:tc>
        <w:tc>
          <w:tcPr>
            <w:tcW w:w="2410" w:type="dxa"/>
          </w:tcPr>
          <w:p w14:paraId="774D1938"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63CD7DD1" w14:textId="58188718" w:rsidR="005D654C" w:rsidRPr="005D654C" w:rsidRDefault="00C0101A" w:rsidP="004566DC">
            <w:pPr>
              <w:spacing w:after="40" w:line="240" w:lineRule="auto"/>
              <w:jc w:val="left"/>
              <w:rPr>
                <w:rFonts w:ascii="Arial Narrow" w:hAnsi="Arial Narrow" w:cs="Times New Roman"/>
                <w:sz w:val="20"/>
                <w:szCs w:val="20"/>
                <w:lang w:eastAsia="en-US"/>
              </w:rPr>
            </w:pPr>
            <w:r>
              <w:rPr>
                <w:rFonts w:ascii="Arial Narrow" w:hAnsi="Arial Narrow" w:cs="Times New Roman"/>
                <w:sz w:val="20"/>
                <w:szCs w:val="20"/>
                <w:lang w:eastAsia="en-US"/>
              </w:rPr>
              <w:t>20</w:t>
            </w:r>
            <w:r w:rsidRPr="005D654C">
              <w:rPr>
                <w:rFonts w:ascii="Arial Narrow" w:hAnsi="Arial Narrow" w:cs="Times New Roman"/>
                <w:sz w:val="20"/>
                <w:szCs w:val="20"/>
                <w:lang w:eastAsia="en-US"/>
              </w:rPr>
              <w:t xml:space="preserve"> </w:t>
            </w:r>
            <w:r w:rsidR="005D654C" w:rsidRPr="005D654C">
              <w:rPr>
                <w:rFonts w:ascii="Arial Narrow" w:hAnsi="Arial Narrow" w:cs="Times New Roman"/>
                <w:sz w:val="20"/>
                <w:szCs w:val="20"/>
                <w:lang w:eastAsia="en-US"/>
              </w:rPr>
              <w:t>unrelated men (ages 26</w:t>
            </w:r>
            <w:r w:rsidR="00317D55">
              <w:rPr>
                <w:rFonts w:ascii="Arial Narrow" w:hAnsi="Arial Narrow" w:cs="Times New Roman"/>
                <w:sz w:val="20"/>
                <w:szCs w:val="20"/>
                <w:lang w:eastAsia="en-US"/>
              </w:rPr>
              <w:t>–</w:t>
            </w:r>
            <w:r w:rsidR="005D654C" w:rsidRPr="005D654C">
              <w:rPr>
                <w:rFonts w:ascii="Arial Narrow" w:hAnsi="Arial Narrow" w:cs="Times New Roman"/>
                <w:sz w:val="20"/>
                <w:szCs w:val="20"/>
                <w:lang w:eastAsia="en-US"/>
              </w:rPr>
              <w:t>49</w:t>
            </w:r>
            <w:r w:rsidR="00317D55">
              <w:rPr>
                <w:rFonts w:ascii="Arial Narrow" w:hAnsi="Arial Narrow" w:cs="Times New Roman"/>
                <w:sz w:val="20"/>
                <w:szCs w:val="20"/>
                <w:lang w:eastAsia="en-US"/>
              </w:rPr>
              <w:t> </w:t>
            </w:r>
            <w:r w:rsidR="005D654C" w:rsidRPr="005D654C">
              <w:rPr>
                <w:rFonts w:ascii="Arial Narrow" w:hAnsi="Arial Narrow" w:cs="Times New Roman"/>
                <w:sz w:val="20"/>
                <w:szCs w:val="20"/>
                <w:lang w:eastAsia="en-US"/>
              </w:rPr>
              <w:t>years) with obstructive azoospermia</w:t>
            </w:r>
            <w:r w:rsidR="00317D55">
              <w:rPr>
                <w:rFonts w:ascii="Arial Narrow" w:hAnsi="Arial Narrow" w:cs="Times New Roman"/>
                <w:sz w:val="20"/>
                <w:szCs w:val="20"/>
                <w:lang w:eastAsia="en-US"/>
              </w:rPr>
              <w:t>;</w:t>
            </w:r>
            <w:r w:rsidR="005D654C" w:rsidRPr="005D654C">
              <w:rPr>
                <w:rFonts w:ascii="Arial Narrow" w:hAnsi="Arial Narrow" w:cs="Times New Roman"/>
                <w:sz w:val="20"/>
                <w:szCs w:val="20"/>
                <w:lang w:eastAsia="en-US"/>
              </w:rPr>
              <w:t xml:space="preserve"> </w:t>
            </w:r>
            <w:r>
              <w:rPr>
                <w:rFonts w:ascii="Arial Narrow" w:hAnsi="Arial Narrow" w:cs="Times New Roman"/>
                <w:sz w:val="20"/>
                <w:szCs w:val="20"/>
                <w:lang w:eastAsia="en-US"/>
              </w:rPr>
              <w:t>17</w:t>
            </w:r>
            <w:r w:rsidRPr="005D654C">
              <w:rPr>
                <w:rFonts w:ascii="Arial Narrow" w:hAnsi="Arial Narrow" w:cs="Times New Roman"/>
                <w:sz w:val="20"/>
                <w:szCs w:val="20"/>
                <w:lang w:eastAsia="en-US"/>
              </w:rPr>
              <w:t xml:space="preserve"> </w:t>
            </w:r>
            <w:r w:rsidR="005D654C" w:rsidRPr="005D654C">
              <w:rPr>
                <w:rFonts w:ascii="Arial Narrow" w:hAnsi="Arial Narrow" w:cs="Times New Roman"/>
                <w:sz w:val="20"/>
                <w:szCs w:val="20"/>
                <w:lang w:eastAsia="en-US"/>
              </w:rPr>
              <w:t>were diagnosed with CBAVD</w:t>
            </w:r>
            <w:r>
              <w:rPr>
                <w:rFonts w:ascii="Arial Narrow" w:hAnsi="Arial Narrow" w:cs="Times New Roman"/>
                <w:sz w:val="20"/>
                <w:szCs w:val="20"/>
                <w:lang w:eastAsia="en-US"/>
              </w:rPr>
              <w:t>;</w:t>
            </w:r>
            <w:r w:rsidR="005D654C" w:rsidRPr="005D654C">
              <w:rPr>
                <w:rFonts w:ascii="Arial Narrow" w:hAnsi="Arial Narrow" w:cs="Times New Roman"/>
                <w:sz w:val="20"/>
                <w:szCs w:val="20"/>
                <w:lang w:eastAsia="en-US"/>
              </w:rPr>
              <w:t xml:space="preserve"> </w:t>
            </w:r>
            <w:r>
              <w:rPr>
                <w:rFonts w:ascii="Arial Narrow" w:hAnsi="Arial Narrow" w:cs="Times New Roman"/>
                <w:sz w:val="20"/>
                <w:szCs w:val="20"/>
                <w:lang w:eastAsia="en-US"/>
              </w:rPr>
              <w:t>n</w:t>
            </w:r>
            <w:r w:rsidR="005D654C" w:rsidRPr="005D654C">
              <w:rPr>
                <w:rFonts w:ascii="Arial Narrow" w:hAnsi="Arial Narrow" w:cs="Times New Roman"/>
                <w:sz w:val="20"/>
                <w:szCs w:val="20"/>
                <w:lang w:eastAsia="en-US"/>
              </w:rPr>
              <w:t>one had been diagnosed with CF</w:t>
            </w:r>
          </w:p>
        </w:tc>
        <w:tc>
          <w:tcPr>
            <w:tcW w:w="3685" w:type="dxa"/>
          </w:tcPr>
          <w:p w14:paraId="5D609A28" w14:textId="400396CF"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Mutation detection studies were carried out on all 27 exons and exon</w:t>
            </w:r>
            <w:r w:rsidR="0081298F">
              <w:rPr>
                <w:rFonts w:ascii="Arial Narrow" w:hAnsi="Arial Narrow" w:cs="Times New Roman"/>
                <w:sz w:val="20"/>
                <w:szCs w:val="20"/>
              </w:rPr>
              <w:t>–</w:t>
            </w:r>
            <w:r w:rsidRPr="005D654C">
              <w:rPr>
                <w:rFonts w:ascii="Arial Narrow" w:hAnsi="Arial Narrow" w:cs="Times New Roman"/>
                <w:sz w:val="20"/>
                <w:szCs w:val="20"/>
              </w:rPr>
              <w:t xml:space="preserve">intron boundaries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by SSCP and heteroduplex analysis.</w:t>
            </w:r>
          </w:p>
          <w:p w14:paraId="5E06EB90" w14:textId="4EB8CD4F" w:rsidR="005D654C" w:rsidRPr="005D654C" w:rsidRDefault="00A21FD9" w:rsidP="004566DC">
            <w:pPr>
              <w:spacing w:after="40" w:line="240" w:lineRule="auto"/>
              <w:jc w:val="left"/>
              <w:rPr>
                <w:rFonts w:ascii="Arial Narrow" w:hAnsi="Arial Narrow" w:cs="Times New Roman"/>
                <w:sz w:val="20"/>
                <w:szCs w:val="20"/>
              </w:rPr>
            </w:pPr>
            <w:r w:rsidRPr="00A21FD9">
              <w:rPr>
                <w:rFonts w:ascii="Arial Narrow" w:hAnsi="Arial Narrow" w:cs="Times New Roman"/>
                <w:i/>
                <w:sz w:val="20"/>
                <w:szCs w:val="20"/>
              </w:rPr>
              <w:t>CFTR</w:t>
            </w:r>
            <w:r w:rsidR="005D654C" w:rsidRPr="005D654C">
              <w:rPr>
                <w:rFonts w:ascii="Arial Narrow" w:hAnsi="Arial Narrow" w:cs="Times New Roman"/>
                <w:sz w:val="20"/>
                <w:szCs w:val="20"/>
              </w:rPr>
              <w:t xml:space="preserve"> gene variants of the T tract length of intron 8 were also investigated.</w:t>
            </w:r>
          </w:p>
          <w:p w14:paraId="4A87D6E4"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Abnormally migrating fragments were subsequently sequenced to confirm the </w:t>
            </w:r>
            <w:r w:rsidRPr="005D654C">
              <w:rPr>
                <w:rFonts w:ascii="Arial Narrow" w:hAnsi="Arial Narrow" w:cs="Times New Roman"/>
                <w:sz w:val="20"/>
                <w:szCs w:val="20"/>
              </w:rPr>
              <w:lastRenderedPageBreak/>
              <w:t>presence of mutations.</w:t>
            </w:r>
          </w:p>
        </w:tc>
        <w:tc>
          <w:tcPr>
            <w:tcW w:w="2268" w:type="dxa"/>
          </w:tcPr>
          <w:p w14:paraId="584BD207"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lastRenderedPageBreak/>
              <w:t>Diagnosis of CBAVD was based on scrotal examination, ultrasound and semen analysis.</w:t>
            </w:r>
          </w:p>
        </w:tc>
      </w:tr>
      <w:tr w:rsidR="005D654C" w:rsidRPr="005D654C" w14:paraId="61274612" w14:textId="77777777" w:rsidTr="00935F84">
        <w:trPr>
          <w:cantSplit/>
        </w:trPr>
        <w:tc>
          <w:tcPr>
            <w:tcW w:w="1242" w:type="dxa"/>
          </w:tcPr>
          <w:p w14:paraId="7B006FB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Bickmann et al. </w:t>
            </w:r>
            <w:r w:rsidR="002C4133">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2009</w:t>
            </w:r>
            <w:r w:rsidR="002C4133">
              <w:rPr>
                <w:rFonts w:ascii="Arial Narrow" w:eastAsiaTheme="minorHAnsi" w:hAnsi="Arial Narrow" w:cstheme="minorHAnsi"/>
                <w:sz w:val="20"/>
                <w:szCs w:val="20"/>
                <w:lang w:eastAsia="en-US"/>
              </w:rPr>
              <w:t>)</w:t>
            </w:r>
          </w:p>
          <w:p w14:paraId="5ACADAA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Germany</w:t>
            </w:r>
          </w:p>
        </w:tc>
        <w:tc>
          <w:tcPr>
            <w:tcW w:w="1985" w:type="dxa"/>
          </w:tcPr>
          <w:p w14:paraId="33333FC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502208C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4B7E4E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5DD5629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N=92 CF patients</w:t>
            </w:r>
          </w:p>
        </w:tc>
        <w:tc>
          <w:tcPr>
            <w:tcW w:w="2410" w:type="dxa"/>
          </w:tcPr>
          <w:p w14:paraId="5E34DBB4"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2CDD6AD9" w14:textId="48ADACDC"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Pyrosequencing: single-stranded DNA was prepared and used for pyrosequencing, </w:t>
            </w:r>
            <w:r w:rsidR="00553ECC">
              <w:rPr>
                <w:rFonts w:ascii="Arial Narrow" w:hAnsi="Arial Narrow" w:cs="Times New Roman"/>
                <w:sz w:val="20"/>
                <w:szCs w:val="20"/>
              </w:rPr>
              <w:t xml:space="preserve">and </w:t>
            </w:r>
            <w:r w:rsidRPr="005D654C">
              <w:rPr>
                <w:rFonts w:ascii="Arial Narrow" w:hAnsi="Arial Narrow" w:cs="Times New Roman"/>
                <w:sz w:val="20"/>
                <w:szCs w:val="20"/>
              </w:rPr>
              <w:t>the quantitative signal was detected with the PSQ 96MA instrument.</w:t>
            </w:r>
          </w:p>
        </w:tc>
        <w:tc>
          <w:tcPr>
            <w:tcW w:w="2268" w:type="dxa"/>
          </w:tcPr>
          <w:p w14:paraId="4558D43C" w14:textId="2214275D"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CF patients had typical symptoms and positive sweat test results</w:t>
            </w:r>
            <w:r w:rsidR="00553ECC">
              <w:rPr>
                <w:rFonts w:ascii="Arial Narrow" w:hAnsi="Arial Narrow" w:cs="Times New Roman"/>
                <w:sz w:val="20"/>
                <w:szCs w:val="20"/>
              </w:rPr>
              <w:t>.</w:t>
            </w:r>
          </w:p>
          <w:p w14:paraId="7BD2CD9F" w14:textId="77777777" w:rsidR="005D654C" w:rsidRPr="005D654C" w:rsidRDefault="005D654C" w:rsidP="004566DC">
            <w:pPr>
              <w:spacing w:after="40" w:line="240" w:lineRule="auto"/>
              <w:jc w:val="left"/>
              <w:rPr>
                <w:rFonts w:ascii="Arial Narrow" w:hAnsi="Arial Narrow" w:cs="Times New Roman"/>
                <w:sz w:val="20"/>
                <w:szCs w:val="20"/>
              </w:rPr>
            </w:pPr>
          </w:p>
        </w:tc>
      </w:tr>
      <w:tr w:rsidR="005D654C" w:rsidRPr="005D654C" w14:paraId="046FAFFC" w14:textId="77777777" w:rsidTr="00935F84">
        <w:trPr>
          <w:cantSplit/>
        </w:trPr>
        <w:tc>
          <w:tcPr>
            <w:tcW w:w="1242" w:type="dxa"/>
          </w:tcPr>
          <w:p w14:paraId="3AB7FD6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Bonizzato et al. </w:t>
            </w:r>
            <w:r w:rsidR="002C4133">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1995</w:t>
            </w:r>
            <w:r w:rsidR="002C4133">
              <w:rPr>
                <w:rFonts w:ascii="Arial Narrow" w:eastAsiaTheme="minorHAnsi" w:hAnsi="Arial Narrow" w:cstheme="minorHAnsi"/>
                <w:sz w:val="20"/>
                <w:szCs w:val="20"/>
                <w:lang w:eastAsia="en-US"/>
              </w:rPr>
              <w:t>)</w:t>
            </w:r>
          </w:p>
          <w:p w14:paraId="3F8027BD"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Gasparini et al. </w:t>
            </w:r>
            <w:r w:rsidR="002C4133">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1993</w:t>
            </w:r>
            <w:r w:rsidR="002C4133">
              <w:rPr>
                <w:rFonts w:ascii="Arial Narrow" w:eastAsiaTheme="minorHAnsi" w:hAnsi="Arial Narrow" w:cstheme="minorHAnsi"/>
                <w:sz w:val="20"/>
                <w:szCs w:val="20"/>
                <w:lang w:eastAsia="en-US"/>
              </w:rPr>
              <w:t>)</w:t>
            </w:r>
          </w:p>
          <w:p w14:paraId="32814BA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Italy</w:t>
            </w:r>
          </w:p>
        </w:tc>
        <w:tc>
          <w:tcPr>
            <w:tcW w:w="1985" w:type="dxa"/>
          </w:tcPr>
          <w:p w14:paraId="25406F9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40665A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7476710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Pr>
          <w:p w14:paraId="7EDC51E5" w14:textId="64BD5D09"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N=225 chromosomes from 133 CF patients</w:t>
            </w:r>
          </w:p>
          <w:p w14:paraId="653EAB5C" w14:textId="4FA71A4E"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N=24 chromosomes (12 patients) from whom DNA was not available</w:t>
            </w:r>
          </w:p>
          <w:p w14:paraId="3040DB4A" w14:textId="58A8FBB9"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N=17 chromosomes shared by 8 siblings and 2 cousins </w:t>
            </w:r>
            <w:r w:rsidR="00BB0B34">
              <w:rPr>
                <w:rFonts w:ascii="Arial Narrow" w:eastAsiaTheme="minorHAnsi" w:hAnsi="Arial Narrow" w:cstheme="minorHAnsi"/>
                <w:sz w:val="20"/>
                <w:szCs w:val="20"/>
                <w:lang w:eastAsia="en-US"/>
              </w:rPr>
              <w:t>were</w:t>
            </w:r>
            <w:r w:rsidR="00553ECC"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excluded from analysis</w:t>
            </w:r>
          </w:p>
        </w:tc>
        <w:tc>
          <w:tcPr>
            <w:tcW w:w="2410" w:type="dxa"/>
          </w:tcPr>
          <w:p w14:paraId="43296AD1"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26F3B1F6" w14:textId="2C2EE54D" w:rsidR="005D654C" w:rsidRPr="005D654C" w:rsidRDefault="005D654C" w:rsidP="004566DC">
            <w:pPr>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All CF patients born </w:t>
            </w:r>
            <w:r w:rsidR="00553ECC">
              <w:rPr>
                <w:rFonts w:ascii="Arial Narrow" w:hAnsi="Arial Narrow" w:cs="Times New Roman"/>
                <w:sz w:val="20"/>
                <w:szCs w:val="20"/>
                <w:lang w:eastAsia="en-US"/>
              </w:rPr>
              <w:t>between</w:t>
            </w:r>
            <w:r w:rsidR="00553ECC"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10</w:t>
            </w:r>
            <w:r w:rsidR="00553ECC">
              <w:rPr>
                <w:rFonts w:ascii="Arial Narrow" w:hAnsi="Arial Narrow" w:cs="Times New Roman"/>
                <w:sz w:val="20"/>
                <w:szCs w:val="20"/>
                <w:lang w:eastAsia="en-US"/>
              </w:rPr>
              <w:t xml:space="preserve"> January 19</w:t>
            </w:r>
            <w:r w:rsidRPr="005D654C">
              <w:rPr>
                <w:rFonts w:ascii="Arial Narrow" w:hAnsi="Arial Narrow" w:cs="Times New Roman"/>
                <w:sz w:val="20"/>
                <w:szCs w:val="20"/>
                <w:lang w:eastAsia="en-US"/>
              </w:rPr>
              <w:t xml:space="preserve">73 </w:t>
            </w:r>
            <w:r w:rsidR="00317D55">
              <w:rPr>
                <w:rFonts w:ascii="Arial Narrow" w:hAnsi="Arial Narrow" w:cs="Times New Roman"/>
                <w:sz w:val="20"/>
                <w:szCs w:val="20"/>
                <w:lang w:eastAsia="en-US"/>
              </w:rPr>
              <w:t>and</w:t>
            </w:r>
            <w:r w:rsidR="00317D55"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12</w:t>
            </w:r>
            <w:r w:rsidR="00317D55">
              <w:rPr>
                <w:rFonts w:ascii="Arial Narrow" w:hAnsi="Arial Narrow" w:cs="Times New Roman"/>
                <w:sz w:val="20"/>
                <w:szCs w:val="20"/>
                <w:lang w:eastAsia="en-US"/>
              </w:rPr>
              <w:t> </w:t>
            </w:r>
            <w:r w:rsidR="00553ECC">
              <w:rPr>
                <w:rFonts w:ascii="Arial Narrow" w:hAnsi="Arial Narrow" w:cs="Times New Roman"/>
                <w:sz w:val="20"/>
                <w:szCs w:val="20"/>
                <w:lang w:eastAsia="en-US"/>
              </w:rPr>
              <w:t>December 19</w:t>
            </w:r>
            <w:r w:rsidRPr="005D654C">
              <w:rPr>
                <w:rFonts w:ascii="Arial Narrow" w:hAnsi="Arial Narrow" w:cs="Times New Roman"/>
                <w:sz w:val="20"/>
                <w:szCs w:val="20"/>
                <w:lang w:eastAsia="en-US"/>
              </w:rPr>
              <w:t>81 in two north</w:t>
            </w:r>
            <w:r w:rsidR="00553ECC">
              <w:rPr>
                <w:rFonts w:ascii="Arial Narrow" w:hAnsi="Arial Narrow" w:cs="Times New Roman"/>
                <w:sz w:val="20"/>
                <w:szCs w:val="20"/>
                <w:lang w:eastAsia="en-US"/>
              </w:rPr>
              <w:t>ern</w:t>
            </w:r>
            <w:r w:rsidRPr="005D654C">
              <w:rPr>
                <w:rFonts w:ascii="Arial Narrow" w:hAnsi="Arial Narrow" w:cs="Times New Roman"/>
                <w:sz w:val="20"/>
                <w:szCs w:val="20"/>
                <w:lang w:eastAsia="en-US"/>
              </w:rPr>
              <w:t xml:space="preserve"> Italian regions (Veneto and Trentino-AltoAdige)</w:t>
            </w:r>
          </w:p>
          <w:p w14:paraId="6DFF02A1" w14:textId="77777777" w:rsidR="005D654C" w:rsidRPr="005D654C" w:rsidRDefault="005D654C" w:rsidP="004566DC">
            <w:pPr>
              <w:spacing w:after="40" w:line="240" w:lineRule="auto"/>
              <w:jc w:val="left"/>
              <w:rPr>
                <w:rFonts w:ascii="Arial Narrow" w:hAnsi="Arial Narrow" w:cs="Times New Roman"/>
                <w:sz w:val="20"/>
                <w:szCs w:val="20"/>
                <w:u w:val="single"/>
                <w:lang w:eastAsia="en-US"/>
              </w:rPr>
            </w:pPr>
            <w:r w:rsidRPr="005D654C">
              <w:rPr>
                <w:rFonts w:ascii="Arial Narrow" w:hAnsi="Arial Narrow" w:cs="Times New Roman"/>
                <w:sz w:val="20"/>
                <w:szCs w:val="20"/>
                <w:u w:val="single"/>
                <w:lang w:eastAsia="en-US"/>
              </w:rPr>
              <w:t>Exclusion criteria:</w:t>
            </w:r>
          </w:p>
          <w:p w14:paraId="6B14D9A4" w14:textId="3D071C73" w:rsidR="005D654C" w:rsidRPr="005D654C" w:rsidRDefault="005D654C" w:rsidP="004566DC">
            <w:pPr>
              <w:spacing w:after="40" w:line="240" w:lineRule="auto"/>
              <w:jc w:val="left"/>
              <w:rPr>
                <w:rFonts w:ascii="Arial Narrow" w:hAnsi="Arial Narrow" w:cs="Times New Roman"/>
                <w:sz w:val="20"/>
                <w:szCs w:val="20"/>
                <w:lang w:eastAsia="en-US"/>
              </w:rPr>
            </w:pPr>
            <w:r w:rsidRPr="005D654C">
              <w:rPr>
                <w:rFonts w:ascii="Arial Narrow" w:eastAsiaTheme="minorHAnsi" w:hAnsi="Arial Narrow" w:cstheme="minorHAnsi"/>
                <w:sz w:val="20"/>
                <w:szCs w:val="20"/>
                <w:lang w:eastAsia="en-US"/>
              </w:rPr>
              <w:t>For mutation frequency analysis</w:t>
            </w:r>
            <w:r w:rsidR="00553ECC">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 xml:space="preserve"> 8 brothers or sisters and </w:t>
            </w:r>
            <w:r w:rsidR="00317D55">
              <w:rPr>
                <w:rFonts w:ascii="Arial Narrow" w:eastAsiaTheme="minorHAnsi" w:hAnsi="Arial Narrow" w:cstheme="minorHAnsi"/>
                <w:sz w:val="20"/>
                <w:szCs w:val="20"/>
                <w:lang w:eastAsia="en-US"/>
              </w:rPr>
              <w:t>1</w:t>
            </w:r>
            <w:r w:rsidR="00317D55"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common chromosome shared by cousins were discarded </w:t>
            </w:r>
          </w:p>
        </w:tc>
        <w:tc>
          <w:tcPr>
            <w:tcW w:w="3685" w:type="dxa"/>
          </w:tcPr>
          <w:p w14:paraId="06D05C32" w14:textId="54DB4224" w:rsidR="00553EC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RFLP, RNA-SSCP and DGGE analysis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w:t>
            </w:r>
          </w:p>
          <w:p w14:paraId="19EE4BDC" w14:textId="026DAAC2"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 presence of a given mutation in electrophoretically altered fragments was always determined by DNA sequencing.</w:t>
            </w:r>
          </w:p>
        </w:tc>
        <w:tc>
          <w:tcPr>
            <w:tcW w:w="2268" w:type="dxa"/>
          </w:tcPr>
          <w:p w14:paraId="65E10452" w14:textId="7A36CCC3"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Diagnosis was confirmed by at least two positive sweat tests</w:t>
            </w:r>
            <w:r w:rsidR="00553ECC">
              <w:rPr>
                <w:rFonts w:ascii="Arial Narrow" w:hAnsi="Arial Narrow" w:cs="Times New Roman"/>
                <w:sz w:val="20"/>
                <w:szCs w:val="20"/>
              </w:rPr>
              <w:t>.</w:t>
            </w:r>
          </w:p>
        </w:tc>
      </w:tr>
      <w:tr w:rsidR="005D654C" w:rsidRPr="005D654C" w14:paraId="79330E05" w14:textId="77777777" w:rsidTr="00935F84">
        <w:trPr>
          <w:cantSplit/>
        </w:trPr>
        <w:tc>
          <w:tcPr>
            <w:tcW w:w="1242" w:type="dxa"/>
          </w:tcPr>
          <w:p w14:paraId="4BBF0321" w14:textId="08580912"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Bonizzato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Bonizzato&lt;/Author&gt;&lt;Year&gt;1999&lt;/Year&gt;&lt;RecNum&gt;138&lt;/RecNum&gt;&lt;IDText&gt;117-122&lt;/IDText&gt;&lt;DisplayText&gt;(1999)&lt;/DisplayText&gt;&lt;record&gt;&lt;rec-number&gt;138&lt;/rec-number&gt;&lt;foreign-keys&gt;&lt;key app="EN" db-id="parffa0acae2voep5w3vv9rypas2tr522eef" timestamp="1430365903"&gt;138&lt;/key&gt;&lt;/foreign-keys&gt;&lt;ref-type name="Journal Article"&gt;17&lt;/ref-type&gt;&lt;contributors&gt;&lt;authors&gt;&lt;author&gt;Bonizzato, A.&lt;/author&gt;&lt;author&gt;Rolfini, R.&lt;/author&gt;&lt;author&gt;Cabrini, G.&lt;/author&gt;&lt;/authors&gt;&lt;/contributors&gt;&lt;auth-address&gt;A. Bonizzato, Laboratorio Patologia Molecolare, Centro Regionale Fibrosi Cistica, Ospedale Civile Maggiore, 37126 Verona, Italy&lt;/auth-address&gt;&lt;titles&gt;&lt;title&gt;Detection of cystic fibrosis mutations by reverse dot-blot hybridization&lt;/title&gt;&lt;secondary-title&gt;European Journal of Laboratory Medicine&lt;/secondary-title&gt;&lt;/titles&gt;&lt;periodical&gt;&lt;full-title&gt;European Journal of Laboratory Medicine&lt;/full-title&gt;&lt;/periodical&gt;&lt;pages&gt;117-122&lt;/pages&gt;&lt;volume&gt;7&lt;/volume&gt;&lt;number&gt;3&lt;/number&gt;&lt;keywords&gt;&lt;keyword&gt;DNA&lt;/keyword&gt;&lt;keyword&gt;trypsinogen&lt;/keyword&gt;&lt;keyword&gt;article&lt;/keyword&gt;&lt;keyword&gt;controlled study&lt;/keyword&gt;&lt;keyword&gt;cystic fibrosis&lt;/keyword&gt;&lt;keyword&gt;diagnostic approach route&lt;/keyword&gt;&lt;keyword&gt;DNA hybridization&lt;/keyword&gt;&lt;keyword&gt;gene mutation&lt;/keyword&gt;&lt;keyword&gt;geographic distribution&lt;/keyword&gt;&lt;keyword&gt;health care cost&lt;/keyword&gt;&lt;keyword&gt;heterozygote&lt;/keyword&gt;&lt;keyword&gt;human&lt;/keyword&gt;&lt;keyword&gt;Italy&lt;/keyword&gt;&lt;keyword&gt;major clinical study&lt;/keyword&gt;&lt;keyword&gt;mutation rate&lt;/keyword&gt;&lt;keyword&gt;newborn&lt;/keyword&gt;&lt;keyword&gt;polymerase chain reaction&lt;/keyword&gt;&lt;/keywords&gt;&lt;dates&gt;&lt;year&gt;1999&lt;/year&gt;&lt;/dates&gt;&lt;isbn&gt;1122-8652&lt;/isbn&gt;&lt;urls&gt;&lt;related-urls&gt;&lt;url&gt;http://www.embase.com/search/results?subaction=viewrecord&amp;amp;from=export&amp;amp;id=L30095357&lt;/url&gt;&lt;/related-urls&gt;&lt;/urls&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7" w:tooltip="Bonizzato, 1999 #138" w:history="1">
              <w:r w:rsidR="00B46ABF">
                <w:rPr>
                  <w:rFonts w:ascii="Arial Narrow" w:eastAsiaTheme="minorHAnsi" w:hAnsi="Arial Narrow" w:cstheme="minorHAnsi"/>
                  <w:noProof/>
                  <w:sz w:val="20"/>
                  <w:szCs w:val="20"/>
                  <w:lang w:eastAsia="en-US"/>
                </w:rPr>
                <w:t>1999</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79E7E5B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Italy</w:t>
            </w:r>
          </w:p>
        </w:tc>
        <w:tc>
          <w:tcPr>
            <w:tcW w:w="1985" w:type="dxa"/>
          </w:tcPr>
          <w:p w14:paraId="5065CBA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6C424B2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649618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082F031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N=806 chromosomes from 403 CF patients</w:t>
            </w:r>
          </w:p>
        </w:tc>
        <w:tc>
          <w:tcPr>
            <w:tcW w:w="2410" w:type="dxa"/>
          </w:tcPr>
          <w:p w14:paraId="0E9524D4"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0AB28C58" w14:textId="4D07B7B0"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Reverse dot-blot hybridisation assay designed to detect the 15 most common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 in Italy</w:t>
            </w:r>
          </w:p>
        </w:tc>
        <w:tc>
          <w:tcPr>
            <w:tcW w:w="2268" w:type="dxa"/>
          </w:tcPr>
          <w:p w14:paraId="7EBECFB3"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Diagnosis of CF was by sweat test.</w:t>
            </w:r>
          </w:p>
        </w:tc>
      </w:tr>
      <w:tr w:rsidR="005D654C" w:rsidRPr="005D654C" w14:paraId="66D9120C" w14:textId="77777777" w:rsidTr="00935F84">
        <w:trPr>
          <w:cantSplit/>
        </w:trPr>
        <w:tc>
          <w:tcPr>
            <w:tcW w:w="1242" w:type="dxa"/>
          </w:tcPr>
          <w:p w14:paraId="36ADC9B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Castaldo et al. </w:t>
            </w:r>
            <w:r w:rsidR="002C4133">
              <w:rPr>
                <w:rFonts w:ascii="Arial Narrow" w:eastAsiaTheme="minorHAnsi" w:hAnsi="Arial Narrow" w:cstheme="minorHAnsi"/>
                <w:sz w:val="20"/>
                <w:szCs w:val="20"/>
                <w:lang w:eastAsia="en-US"/>
              </w:rPr>
              <w:t>(2000)</w:t>
            </w:r>
          </w:p>
          <w:p w14:paraId="4420E4C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Italy</w:t>
            </w:r>
          </w:p>
        </w:tc>
        <w:tc>
          <w:tcPr>
            <w:tcW w:w="1985" w:type="dxa"/>
          </w:tcPr>
          <w:p w14:paraId="3CF5519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2A485A5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34BE637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06FABE5A" w14:textId="643B9D29" w:rsidR="005D654C" w:rsidRPr="005D654C" w:rsidRDefault="005D654C" w:rsidP="004566DC">
            <w:pPr>
              <w:spacing w:after="40" w:line="240" w:lineRule="auto"/>
              <w:jc w:val="left"/>
              <w:rPr>
                <w:rFonts w:ascii="Arial Narrow" w:eastAsiaTheme="minorHAnsi" w:hAnsi="Arial Narrow" w:cs="Arial Narrow"/>
                <w:sz w:val="20"/>
                <w:szCs w:val="20"/>
                <w:lang w:eastAsia="en-US"/>
              </w:rPr>
            </w:pPr>
            <w:r w:rsidRPr="005D654C">
              <w:rPr>
                <w:rFonts w:ascii="Arial Narrow" w:eastAsiaTheme="minorHAnsi" w:hAnsi="Arial Narrow" w:cs="Arial Narrow"/>
                <w:sz w:val="20"/>
                <w:szCs w:val="20"/>
                <w:lang w:eastAsia="en-US"/>
              </w:rPr>
              <w:t>N=32 fetal samples</w:t>
            </w:r>
            <w:r w:rsidR="00426451">
              <w:rPr>
                <w:rFonts w:ascii="Arial Narrow" w:eastAsiaTheme="minorHAnsi" w:hAnsi="Arial Narrow" w:cs="Arial Narrow"/>
                <w:sz w:val="20"/>
                <w:szCs w:val="20"/>
                <w:lang w:eastAsia="en-US"/>
              </w:rPr>
              <w:t xml:space="preserve"> collected through CVS</w:t>
            </w:r>
            <w:r w:rsidRPr="005D654C">
              <w:rPr>
                <w:rFonts w:ascii="Arial Narrow" w:eastAsiaTheme="minorHAnsi" w:hAnsi="Arial Narrow" w:cs="Arial Narrow"/>
                <w:sz w:val="20"/>
                <w:szCs w:val="20"/>
                <w:lang w:eastAsia="en-US"/>
              </w:rPr>
              <w:t xml:space="preserve"> from high</w:t>
            </w:r>
            <w:r w:rsidR="00553ECC">
              <w:rPr>
                <w:rFonts w:ascii="Arial Narrow" w:eastAsiaTheme="minorHAnsi" w:hAnsi="Arial Narrow" w:cs="Arial Narrow"/>
                <w:sz w:val="20"/>
                <w:szCs w:val="20"/>
                <w:lang w:eastAsia="en-US"/>
              </w:rPr>
              <w:t>-</w:t>
            </w:r>
            <w:r w:rsidRPr="005D654C">
              <w:rPr>
                <w:rFonts w:ascii="Arial Narrow" w:eastAsiaTheme="minorHAnsi" w:hAnsi="Arial Narrow" w:cs="Arial Narrow"/>
                <w:sz w:val="20"/>
                <w:szCs w:val="20"/>
                <w:lang w:eastAsia="en-US"/>
              </w:rPr>
              <w:t>risk couples (</w:t>
            </w:r>
            <w:r w:rsidR="00BB0B34">
              <w:rPr>
                <w:rFonts w:ascii="Arial Narrow" w:eastAsiaTheme="minorHAnsi" w:hAnsi="Arial Narrow" w:cs="Arial Narrow"/>
                <w:sz w:val="20"/>
                <w:szCs w:val="20"/>
                <w:lang w:eastAsia="en-US"/>
              </w:rPr>
              <w:t>1</w:t>
            </w:r>
            <w:r w:rsidR="00BB0B34" w:rsidRPr="005D654C">
              <w:rPr>
                <w:rFonts w:ascii="Arial Narrow" w:eastAsiaTheme="minorHAnsi" w:hAnsi="Arial Narrow" w:cs="Arial Narrow"/>
                <w:sz w:val="20"/>
                <w:szCs w:val="20"/>
                <w:lang w:eastAsia="en-US"/>
              </w:rPr>
              <w:t xml:space="preserve"> </w:t>
            </w:r>
            <w:r w:rsidRPr="005D654C">
              <w:rPr>
                <w:rFonts w:ascii="Arial Narrow" w:eastAsiaTheme="minorHAnsi" w:hAnsi="Arial Narrow" w:cs="Arial Narrow"/>
                <w:sz w:val="20"/>
                <w:szCs w:val="20"/>
                <w:lang w:eastAsia="en-US"/>
              </w:rPr>
              <w:t>dizygotic twin pregnancy)</w:t>
            </w:r>
          </w:p>
        </w:tc>
        <w:tc>
          <w:tcPr>
            <w:tcW w:w="2410" w:type="dxa"/>
          </w:tcPr>
          <w:p w14:paraId="5C65284F"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2FC83F95" w14:textId="1FE15646"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Pregnant couples were identified during a CF</w:t>
            </w:r>
            <w:r w:rsidR="00553ECC">
              <w:rPr>
                <w:rFonts w:ascii="Arial Narrow" w:hAnsi="Arial Narrow" w:cs="Times New Roman"/>
                <w:sz w:val="20"/>
                <w:szCs w:val="20"/>
              </w:rPr>
              <w:t>-</w:t>
            </w:r>
            <w:r w:rsidRPr="005D654C">
              <w:rPr>
                <w:rFonts w:ascii="Arial Narrow" w:hAnsi="Arial Narrow" w:cs="Times New Roman"/>
                <w:sz w:val="20"/>
                <w:szCs w:val="20"/>
              </w:rPr>
              <w:t>carrier screening study and offered prenatal screening</w:t>
            </w:r>
            <w:r w:rsidR="00553ECC">
              <w:rPr>
                <w:rFonts w:ascii="Arial Narrow" w:hAnsi="Arial Narrow" w:cs="Times New Roman"/>
                <w:sz w:val="20"/>
                <w:szCs w:val="20"/>
              </w:rPr>
              <w:t>;</w:t>
            </w:r>
            <w:r w:rsidRPr="005D654C">
              <w:rPr>
                <w:rFonts w:ascii="Arial Narrow" w:hAnsi="Arial Narrow" w:cs="Times New Roman"/>
                <w:sz w:val="20"/>
                <w:szCs w:val="20"/>
              </w:rPr>
              <w:t xml:space="preserve"> 32/33 couples gave informed consent for prenatal testing.</w:t>
            </w:r>
          </w:p>
        </w:tc>
        <w:tc>
          <w:tcPr>
            <w:tcW w:w="3685" w:type="dxa"/>
          </w:tcPr>
          <w:p w14:paraId="303C0BA6" w14:textId="22B790A0"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An ASOH dot</w:t>
            </w:r>
            <w:r w:rsidR="00553ECC">
              <w:rPr>
                <w:rFonts w:ascii="Arial Narrow" w:hAnsi="Arial Narrow" w:cs="Times New Roman"/>
                <w:sz w:val="20"/>
                <w:szCs w:val="20"/>
              </w:rPr>
              <w:t>-</w:t>
            </w:r>
            <w:r w:rsidRPr="005D654C">
              <w:rPr>
                <w:rFonts w:ascii="Arial Narrow" w:hAnsi="Arial Narrow" w:cs="Times New Roman"/>
                <w:sz w:val="20"/>
                <w:szCs w:val="20"/>
              </w:rPr>
              <w:t>blot semi-automated procedure using a panel of 13 CF mutations was used on all the CF families.</w:t>
            </w:r>
          </w:p>
          <w:p w14:paraId="0A97B4F4" w14:textId="773411C1"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When no mutations were detected</w:t>
            </w:r>
            <w:r w:rsidR="00553ECC">
              <w:rPr>
                <w:rFonts w:ascii="Arial Narrow" w:hAnsi="Arial Narrow" w:cs="Times New Roman"/>
                <w:sz w:val="20"/>
                <w:szCs w:val="20"/>
              </w:rPr>
              <w:t>,</w:t>
            </w:r>
            <w:r w:rsidRPr="005D654C">
              <w:rPr>
                <w:rFonts w:ascii="Arial Narrow" w:hAnsi="Arial Narrow" w:cs="Times New Roman"/>
                <w:sz w:val="20"/>
                <w:szCs w:val="20"/>
              </w:rPr>
              <w:t xml:space="preserve"> STR genotyping of intragenic polymorphisms by PCR and gel electrophoresis </w:t>
            </w:r>
            <w:r w:rsidR="00553ECC">
              <w:rPr>
                <w:rFonts w:ascii="Arial Narrow" w:hAnsi="Arial Narrow" w:cs="Times New Roman"/>
                <w:sz w:val="20"/>
                <w:szCs w:val="20"/>
              </w:rPr>
              <w:t xml:space="preserve">was </w:t>
            </w:r>
            <w:r w:rsidRPr="005D654C">
              <w:rPr>
                <w:rFonts w:ascii="Arial Narrow" w:hAnsi="Arial Narrow" w:cs="Times New Roman"/>
                <w:sz w:val="20"/>
                <w:szCs w:val="20"/>
              </w:rPr>
              <w:t>followed by extragenic polymorphisms by PCR and restriction enzyme analysis.</w:t>
            </w:r>
          </w:p>
        </w:tc>
        <w:tc>
          <w:tcPr>
            <w:tcW w:w="2268" w:type="dxa"/>
          </w:tcPr>
          <w:p w14:paraId="7905995A"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 reference standard</w:t>
            </w:r>
          </w:p>
        </w:tc>
      </w:tr>
      <w:tr w:rsidR="005D654C" w:rsidRPr="005D654C" w14:paraId="7ED80450" w14:textId="77777777" w:rsidTr="00935F84">
        <w:trPr>
          <w:cantSplit/>
        </w:trPr>
        <w:tc>
          <w:tcPr>
            <w:tcW w:w="1242" w:type="dxa"/>
          </w:tcPr>
          <w:p w14:paraId="3096360B" w14:textId="3D62D892"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Collazo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ExcludeAuth="1"&gt;&lt;Author&gt;Collazo&lt;/Author&gt;&lt;Year&gt;2014&lt;/Year&gt;&lt;RecNum&gt;801&lt;/RecNum&gt;&lt;IDText&gt;18-21&lt;/IDText&gt;&lt;DisplayText&gt;(2014)&lt;/DisplayText&gt;&lt;record&gt;&lt;rec-number&gt;801&lt;/rec-number&gt;&lt;foreign-keys&gt;&lt;key app="EN" db-id="parffa0acae2voep5w3vv9rypas2tr522eef" timestamp="1430369589"&gt;801&lt;/key&gt;&lt;/foreign-keys&gt;&lt;ref-type name="Journal Article"&gt;17&lt;/ref-type&gt;&lt;contributors&gt;&lt;authors&gt;&lt;author&gt;Collazo, T.&lt;/author&gt;&lt;author&gt;Lopez, I.&lt;/author&gt;&lt;author&gt;Clark, Y.&lt;/author&gt;&lt;author&gt;Piloto, Y.&lt;/author&gt;&lt;author&gt;Gonzalez, L.&lt;/author&gt;&lt;author&gt;Gomez, M.&lt;/author&gt;&lt;author&gt;Garcia, M.&lt;/author&gt;&lt;author&gt;Reyes, L.&lt;/author&gt;&lt;author&gt;Rodriguez, F.&lt;/author&gt;&lt;/authors&gt;&lt;/contributors&gt;&lt;auth-address&gt;National Medical Genetics Center, Havana, Cuba. tcollazo@infomed.sld.cu.&lt;/auth-address&gt;&lt;titles&gt;&lt;title&gt;Antenatal testing for cystic fibrosis in cuba, 1988-2011&lt;/title&gt;&lt;secondary-title&gt;MEDICC Rev&lt;/secondary-title&gt;&lt;alt-title&gt;MEDICC review&lt;/alt-title&gt;&lt;/titles&gt;&lt;periodical&gt;&lt;full-title&gt;MEDICC Rev&lt;/full-title&gt;&lt;abbr-1&gt;MEDICC review&lt;/abbr-1&gt;&lt;/periodical&gt;&lt;alt-periodical&gt;&lt;full-title&gt;MEDICC Rev&lt;/full-title&gt;&lt;abbr-1&gt;MEDICC review&lt;/abbr-1&gt;&lt;/alt-periodical&gt;&lt;pages&gt;18-21&lt;/pages&gt;&lt;volume&gt;16&lt;/volume&gt;&lt;number&gt;3-4&lt;/number&gt;&lt;edition&gt;2014/09/11&lt;/edition&gt;&lt;dates&gt;&lt;year&gt;2014&lt;/year&gt;&lt;pub-dates&gt;&lt;date&gt;Jul-Oct&lt;/date&gt;&lt;/pub-dates&gt;&lt;/dates&gt;&lt;isbn&gt;1527-3172 (Electronic)&amp;#xD;1527-3172 (Linking)&lt;/isbn&gt;&lt;accession-num&gt;25208115&lt;/accession-num&gt;&lt;urls&gt;&lt;/urls&gt;&lt;remote-database-provider&gt;NLM&lt;/remote-database-provider&gt;&lt;language&gt;eng&lt;/language&gt;&lt;/record&gt;&lt;/Cite&gt;&lt;/EndNote&gt;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24" w:tooltip="Collazo, 2014 #801" w:history="1">
              <w:r w:rsidR="00B46ABF">
                <w:rPr>
                  <w:rFonts w:ascii="Arial Narrow" w:eastAsiaTheme="minorHAnsi" w:hAnsi="Arial Narrow" w:cstheme="minorHAnsi"/>
                  <w:noProof/>
                  <w:sz w:val="20"/>
                  <w:szCs w:val="20"/>
                  <w:lang w:eastAsia="en-US"/>
                </w:rPr>
                <w:t>2014</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0DA41C1D"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Cuba</w:t>
            </w:r>
          </w:p>
        </w:tc>
        <w:tc>
          <w:tcPr>
            <w:tcW w:w="1985" w:type="dxa"/>
          </w:tcPr>
          <w:p w14:paraId="6BD74F6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E0D746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2537CC4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68A42AA9" w14:textId="76AA905A" w:rsidR="005D654C" w:rsidRPr="005D654C" w:rsidRDefault="007152CC" w:rsidP="004566DC">
            <w:pPr>
              <w:spacing w:after="40" w:line="240" w:lineRule="auto"/>
              <w:jc w:val="left"/>
              <w:rPr>
                <w:rFonts w:ascii="Arial Narrow" w:eastAsiaTheme="minorHAnsi" w:hAnsi="Arial Narrow" w:cstheme="minorHAnsi"/>
                <w:sz w:val="20"/>
                <w:szCs w:val="20"/>
                <w:lang w:eastAsia="en-US"/>
              </w:rPr>
            </w:pPr>
            <w:r>
              <w:rPr>
                <w:rFonts w:ascii="Arial Narrow" w:eastAsiaTheme="minorHAnsi" w:hAnsi="Arial Narrow" w:cs="Arial Narrow"/>
                <w:sz w:val="20"/>
                <w:szCs w:val="20"/>
                <w:lang w:eastAsia="en-US"/>
              </w:rPr>
              <w:t>N=61 fetal</w:t>
            </w:r>
            <w:r w:rsidR="005D654C" w:rsidRPr="005D654C">
              <w:rPr>
                <w:rFonts w:ascii="Arial Narrow" w:eastAsiaTheme="minorHAnsi" w:hAnsi="Arial Narrow" w:cs="Arial Narrow"/>
                <w:sz w:val="20"/>
                <w:szCs w:val="20"/>
                <w:lang w:eastAsia="en-US"/>
              </w:rPr>
              <w:t xml:space="preserve"> samples</w:t>
            </w:r>
            <w:r w:rsidR="00426451">
              <w:rPr>
                <w:rFonts w:ascii="Arial Narrow" w:eastAsiaTheme="minorHAnsi" w:hAnsi="Arial Narrow" w:cs="Arial Narrow"/>
                <w:sz w:val="20"/>
                <w:szCs w:val="20"/>
                <w:lang w:eastAsia="en-US"/>
              </w:rPr>
              <w:t xml:space="preserve"> collected t</w:t>
            </w:r>
            <w:r w:rsidR="00BB0B34">
              <w:rPr>
                <w:rFonts w:ascii="Arial Narrow" w:eastAsiaTheme="minorHAnsi" w:hAnsi="Arial Narrow" w:cs="Arial Narrow"/>
                <w:sz w:val="20"/>
                <w:szCs w:val="20"/>
                <w:lang w:eastAsia="en-US"/>
              </w:rPr>
              <w:t>h</w:t>
            </w:r>
            <w:r w:rsidR="00426451">
              <w:rPr>
                <w:rFonts w:ascii="Arial Narrow" w:eastAsiaTheme="minorHAnsi" w:hAnsi="Arial Narrow" w:cs="Arial Narrow"/>
                <w:sz w:val="20"/>
                <w:szCs w:val="20"/>
                <w:lang w:eastAsia="en-US"/>
              </w:rPr>
              <w:t>rough amniocentesis</w:t>
            </w:r>
            <w:r w:rsidR="005D654C" w:rsidRPr="005D654C">
              <w:rPr>
                <w:rFonts w:ascii="Arial Narrow" w:eastAsiaTheme="minorHAnsi" w:hAnsi="Arial Narrow" w:cs="Arial Narrow"/>
                <w:sz w:val="20"/>
                <w:szCs w:val="20"/>
                <w:lang w:eastAsia="en-US"/>
              </w:rPr>
              <w:t xml:space="preserve"> from </w:t>
            </w:r>
            <w:r w:rsidR="005D654C" w:rsidRPr="005D654C">
              <w:rPr>
                <w:rFonts w:ascii="Arial Narrow" w:eastAsiaTheme="minorHAnsi" w:hAnsi="Arial Narrow" w:cstheme="minorHAnsi"/>
                <w:sz w:val="20"/>
                <w:szCs w:val="20"/>
                <w:lang w:eastAsia="en-US"/>
              </w:rPr>
              <w:t>couples with some risk of having children affected by CF</w:t>
            </w:r>
          </w:p>
        </w:tc>
        <w:tc>
          <w:tcPr>
            <w:tcW w:w="2410" w:type="dxa"/>
          </w:tcPr>
          <w:p w14:paraId="7D058D0D"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59012EFF" w14:textId="67C4A173"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Couples with some risk of having children affected by CF, referred from all parts of Cuba </w:t>
            </w:r>
            <w:r w:rsidR="00553ECC">
              <w:rPr>
                <w:rFonts w:ascii="Arial Narrow" w:hAnsi="Arial Narrow" w:cs="Times New Roman"/>
                <w:sz w:val="20"/>
                <w:szCs w:val="20"/>
              </w:rPr>
              <w:t>during</w:t>
            </w:r>
            <w:r w:rsidR="00553ECC" w:rsidRPr="005D654C">
              <w:rPr>
                <w:rFonts w:ascii="Arial Narrow" w:hAnsi="Arial Narrow" w:cs="Times New Roman"/>
                <w:sz w:val="20"/>
                <w:szCs w:val="20"/>
              </w:rPr>
              <w:t xml:space="preserve"> </w:t>
            </w:r>
            <w:r w:rsidRPr="005D654C">
              <w:rPr>
                <w:rFonts w:ascii="Arial Narrow" w:hAnsi="Arial Narrow" w:cs="Times New Roman"/>
                <w:sz w:val="20"/>
                <w:szCs w:val="20"/>
              </w:rPr>
              <w:t>1988</w:t>
            </w:r>
            <w:r w:rsidR="00553ECC">
              <w:rPr>
                <w:rFonts w:ascii="Arial Narrow" w:hAnsi="Arial Narrow" w:cs="Times New Roman"/>
                <w:sz w:val="20"/>
                <w:szCs w:val="20"/>
              </w:rPr>
              <w:t>—</w:t>
            </w:r>
            <w:r w:rsidRPr="005D654C">
              <w:rPr>
                <w:rFonts w:ascii="Arial Narrow" w:hAnsi="Arial Narrow" w:cs="Times New Roman"/>
                <w:sz w:val="20"/>
                <w:szCs w:val="20"/>
              </w:rPr>
              <w:t>2011</w:t>
            </w:r>
          </w:p>
        </w:tc>
        <w:tc>
          <w:tcPr>
            <w:tcW w:w="3685" w:type="dxa"/>
          </w:tcPr>
          <w:p w14:paraId="1D74CF78"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ARMS to detect F508del, G542X and R1162X</w:t>
            </w:r>
          </w:p>
          <w:p w14:paraId="2547F87A"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PCR-based restriction enzyme analysis to detect R334W, R553X and 3120+1G&gt;A</w:t>
            </w:r>
          </w:p>
        </w:tc>
        <w:tc>
          <w:tcPr>
            <w:tcW w:w="2268" w:type="dxa"/>
          </w:tcPr>
          <w:p w14:paraId="5514178B"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Clinical diagnosis at birth</w:t>
            </w:r>
          </w:p>
        </w:tc>
      </w:tr>
      <w:tr w:rsidR="005D654C" w:rsidRPr="005D654C" w14:paraId="01D612C0" w14:textId="77777777" w:rsidTr="00935F84">
        <w:tc>
          <w:tcPr>
            <w:tcW w:w="1242" w:type="dxa"/>
          </w:tcPr>
          <w:p w14:paraId="402A6294" w14:textId="09E9AB4B"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Danziger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ExcludeAuth="1"&gt;&lt;Author&gt;Danziger&lt;/Author&gt;&lt;Year&gt;2004&lt;/Year&gt;&lt;RecNum&gt;814&lt;/RecNum&gt;&lt;IDText&gt;540-546&lt;/IDText&gt;&lt;DisplayText&gt;(2004)&lt;/DisplayText&gt;&lt;record&gt;&lt;rec-number&gt;814&lt;/rec-number&gt;&lt;foreign-keys&gt;&lt;key app="EN" db-id="parffa0acae2voep5w3vv9rypas2tr522eef" timestamp="1430369593"&gt;814&lt;/key&gt;&lt;/foreign-keys&gt;&lt;ref-type name="Journal Article"&gt;17&lt;/ref-type&gt;&lt;contributors&gt;&lt;authors&gt;&lt;author&gt;Danziger, K. L.&lt;/author&gt;&lt;author&gt;Black, L. D.&lt;/author&gt;&lt;author&gt;Keiles, S. B.&lt;/author&gt;&lt;author&gt;Kammesheidt, A.&lt;/author&gt;&lt;author&gt;Turek, P. J.&lt;/author&gt;&lt;/authors&gt;&lt;/contributors&gt;&lt;auth-address&gt;Department of Urology, University of California, 1600 Divisadero Street, San Francisco, CA 94143-1695, United States&amp;#xD;Genetic Risk Assessment Program, California Pacific Medical Center, 3700 California St. G330, San Francisco, CA 94118, United States&amp;#xD;Ambry Genetics Corporation, 2060 Placentia Avenue, Costa Mesa, CA 92627, United States&lt;/auth-address&gt;&lt;titles&gt;&lt;title&gt;Improved detection of cystic fibrosis mutations in infertility patients with DNA sequence analysis&lt;/title&gt;&lt;secondary-title&gt;Human Reproduction&lt;/secondary-title&gt;&lt;/titles&gt;&lt;periodical&gt;&lt;full-title&gt;Human Reproduction&lt;/full-title&gt;&lt;/periodical&gt;&lt;pages&gt;540-546&lt;/pages&gt;&lt;volume&gt;19&lt;/volume&gt;&lt;number&gt;3&lt;/number&gt;&lt;keywords&gt;&lt;keyword&gt;Azoospermia&lt;/keyword&gt;&lt;keyword&gt;Congenital absence of the vas deferens&lt;/keyword&gt;&lt;keyword&gt;Cystic fibrosis&lt;/keyword&gt;&lt;keyword&gt;Genetic testing&lt;/keyword&gt;&lt;keyword&gt;Male infertility&lt;/keyword&gt;&lt;/keywords&gt;&lt;dates&gt;&lt;year&gt;2004&lt;/year&gt;&lt;/dates&gt;&lt;urls&gt;&lt;related-urls&gt;&lt;url&gt;http://www.scopus.com/inward/record.url?eid=2-s2.0-1542502598&amp;amp;partnerID=40&amp;amp;md5=10dbe7c09c4be4780dee74c73ec280f1&lt;/url&gt;&lt;url&gt;http://humrep.oxfordjournals.org/content/19/3/540.full.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27" w:tooltip="Danziger, 2004 #814" w:history="1">
              <w:r w:rsidR="00B46ABF">
                <w:rPr>
                  <w:rFonts w:ascii="Arial Narrow" w:eastAsiaTheme="minorHAnsi" w:hAnsi="Arial Narrow" w:cstheme="minorHAnsi"/>
                  <w:noProof/>
                  <w:sz w:val="20"/>
                  <w:szCs w:val="20"/>
                  <w:lang w:eastAsia="en-US"/>
                </w:rPr>
                <w:t>2004</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3514A8C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749C7C9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263941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31348F2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48653E89" w14:textId="7D72A605"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N=16 male patients with CAVD (n=13 with CBAVD and n=1 CUAVD) or with idiopathic epididymal obstruction (n=2)</w:t>
            </w:r>
          </w:p>
        </w:tc>
        <w:tc>
          <w:tcPr>
            <w:tcW w:w="2410" w:type="dxa"/>
          </w:tcPr>
          <w:p w14:paraId="6F1CE668" w14:textId="762772AF"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lang w:eastAsia="en-US"/>
              </w:rPr>
              <w:t xml:space="preserve">Prospectively selected infertile men attending the male infertility clinic </w:t>
            </w:r>
            <w:r w:rsidRPr="005D654C">
              <w:rPr>
                <w:rFonts w:ascii="Arial Narrow" w:hAnsi="Arial Narrow" w:cs="Times New Roman"/>
                <w:sz w:val="20"/>
                <w:szCs w:val="20"/>
              </w:rPr>
              <w:t>over a 3</w:t>
            </w:r>
            <w:r w:rsidR="00553ECC">
              <w:rPr>
                <w:rFonts w:ascii="Arial Narrow" w:hAnsi="Arial Narrow" w:cs="Times New Roman"/>
                <w:sz w:val="20"/>
                <w:szCs w:val="20"/>
              </w:rPr>
              <w:t>-</w:t>
            </w:r>
            <w:r w:rsidRPr="005D654C">
              <w:rPr>
                <w:rFonts w:ascii="Arial Narrow" w:hAnsi="Arial Narrow" w:cs="Times New Roman"/>
                <w:sz w:val="20"/>
                <w:szCs w:val="20"/>
              </w:rPr>
              <w:t>year period who were diagnosed with obstructive azoospermia</w:t>
            </w:r>
          </w:p>
          <w:p w14:paraId="42C01F6A"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5F81F441" w14:textId="62678D12"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(i) new diagnosis with no prior genotyping</w:t>
            </w:r>
            <w:r w:rsidRPr="005D654C">
              <w:rPr>
                <w:rFonts w:ascii="Arial Narrow" w:hAnsi="Arial Narrow" w:cs="Times New Roman"/>
                <w:sz w:val="20"/>
                <w:szCs w:val="20"/>
              </w:rPr>
              <w:br/>
              <w:t>(ii) members of an ethnic group with an assumed low detection rate by common mutation panel</w:t>
            </w:r>
          </w:p>
        </w:tc>
        <w:tc>
          <w:tcPr>
            <w:tcW w:w="3685" w:type="dxa"/>
          </w:tcPr>
          <w:p w14:paraId="17845E26"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mTTGE and DNA sequencing</w:t>
            </w:r>
          </w:p>
          <w:p w14:paraId="4C1C86EF" w14:textId="3C1EA830"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The Ambry CF Test includes a full mutation scan of all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exons as well as relevant intronic regions by mTTGE analysis followed by DNA sequencing of suspect regions.</w:t>
            </w:r>
          </w:p>
        </w:tc>
        <w:tc>
          <w:tcPr>
            <w:tcW w:w="2268" w:type="dxa"/>
          </w:tcPr>
          <w:p w14:paraId="7D716253"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A detailed history and physical examination was performed on all patients by an experienced urologist. The diagnosis of CAVD or idiopathic obstruction was based on physical examination findings.</w:t>
            </w:r>
          </w:p>
        </w:tc>
      </w:tr>
      <w:tr w:rsidR="005D654C" w:rsidRPr="005D654C" w14:paraId="69FD2F79" w14:textId="77777777" w:rsidTr="00935F84">
        <w:trPr>
          <w:cantSplit/>
        </w:trPr>
        <w:tc>
          <w:tcPr>
            <w:tcW w:w="1242" w:type="dxa"/>
          </w:tcPr>
          <w:p w14:paraId="0C9A0853" w14:textId="6D9D2744"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Donat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ExcludeAuth="1"&gt;&lt;Author&gt;Donat&lt;/Author&gt;&lt;Year&gt;1997&lt;/Year&gt;&lt;RecNum&gt;841&lt;/RecNum&gt;&lt;IDText&gt;74-77&lt;/IDText&gt;&lt;DisplayText&gt;(1997)&lt;/DisplayText&gt;&lt;record&gt;&lt;rec-number&gt;841&lt;/rec-number&gt;&lt;foreign-keys&gt;&lt;key app="EN" db-id="parffa0acae2voep5w3vv9rypas2tr522eef" timestamp="1430369602"&gt;841&lt;/key&gt;&lt;/foreign-keys&gt;&lt;ref-type name="Journal Article"&gt;17&lt;/ref-type&gt;&lt;contributors&gt;&lt;authors&gt;&lt;author&gt;Donat, R.&lt;/author&gt;&lt;author&gt;McNeill, A. S.&lt;/author&gt;&lt;author&gt;Fitzpatrick, D. R.&lt;/author&gt;&lt;author&gt;Hargreave, T. B.&lt;/author&gt;&lt;/authors&gt;&lt;/contributors&gt;&lt;auth-address&gt;Urology Department, Western General Hospital, Edinburgh, United Kingdom&amp;#xD;Urology Department, Western General Hospital, Crewe Road, Edinburgh EH4 2XU, United Kingdom&lt;/auth-address&gt;&lt;titles&gt;&lt;title&gt;The incidence of cystic fibrosis gene mutations in patients with congenital bilateral absence of the vas deferens in Scotland&lt;/title&gt;&lt;secondary-title&gt;British Journal of Urology&lt;/secondary-title&gt;&lt;/titles&gt;&lt;periodical&gt;&lt;full-title&gt;British Journal of Urology&lt;/full-title&gt;&lt;/periodical&gt;&lt;pages&gt;74-77&lt;/pages&gt;&lt;volume&gt;79&lt;/volume&gt;&lt;number&gt;1&lt;/number&gt;&lt;keywords&gt;&lt;keyword&gt;Congenital bilateral absence of the vas deferens&lt;/keyword&gt;&lt;keyword&gt;Cystic fibrosis&lt;/keyword&gt;&lt;keyword&gt;Male infertility&lt;/keyword&gt;&lt;/keywords&gt;&lt;dates&gt;&lt;year&gt;1997&lt;/year&gt;&lt;/dates&gt;&lt;urls&gt;&lt;related-urls&gt;&lt;url&gt;http://www.scopus.com/inward/record.url?eid=2-s2.0-0031397371&amp;amp;partnerID=40&amp;amp;md5=14df01db7e46cc1835c9c80a8ea4f1ad&lt;/url&gt;&lt;url&gt;http://onlinelibrary.wiley.com/store/10.1046/j.1464-410X.1997.30816.x/asset/j.1464-410X.1997.30816.x.pdf?v=1&amp;amp;t=i2fc1m9h&amp;amp;s=f5b938f0ff543c494e10355d4effe3db9398fd90&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34" w:tooltip="Donat, 1997 #841" w:history="1">
              <w:r w:rsidR="00B46ABF">
                <w:rPr>
                  <w:rFonts w:ascii="Arial Narrow" w:eastAsiaTheme="minorHAnsi" w:hAnsi="Arial Narrow" w:cstheme="minorHAnsi"/>
                  <w:noProof/>
                  <w:sz w:val="20"/>
                  <w:szCs w:val="20"/>
                  <w:lang w:eastAsia="en-US"/>
                </w:rPr>
                <w:t>1997</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0C3E10F4" w14:textId="77777777" w:rsidR="005D654C" w:rsidRPr="005D654C" w:rsidRDefault="005D654C" w:rsidP="004566DC">
            <w:pPr>
              <w:spacing w:after="40" w:line="240" w:lineRule="auto"/>
              <w:jc w:val="left"/>
              <w:rPr>
                <w:rFonts w:ascii="Arial Narrow" w:eastAsiaTheme="minorHAnsi" w:hAnsi="Arial Narrow" w:cstheme="minorHAnsi"/>
                <w:sz w:val="20"/>
                <w:szCs w:val="20"/>
                <w:highlight w:val="yellow"/>
                <w:lang w:eastAsia="en-US"/>
              </w:rPr>
            </w:pPr>
            <w:r w:rsidRPr="005D654C">
              <w:rPr>
                <w:rFonts w:ascii="Arial Narrow" w:eastAsiaTheme="minorHAnsi" w:hAnsi="Arial Narrow" w:cstheme="minorHAnsi"/>
                <w:sz w:val="20"/>
                <w:szCs w:val="20"/>
                <w:lang w:eastAsia="en-US"/>
              </w:rPr>
              <w:t>UK</w:t>
            </w:r>
          </w:p>
        </w:tc>
        <w:tc>
          <w:tcPr>
            <w:tcW w:w="1985" w:type="dxa"/>
          </w:tcPr>
          <w:p w14:paraId="441D1EF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2C3A05D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8FEAB5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6D004F8B"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N=30 patients with CBAVD</w:t>
            </w:r>
          </w:p>
        </w:tc>
        <w:tc>
          <w:tcPr>
            <w:tcW w:w="2410" w:type="dxa"/>
          </w:tcPr>
          <w:p w14:paraId="3FF87C03"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3ABA43F3" w14:textId="399BE22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Patients with CBAVD presenting consecutively to the Edinburgh infertility clinic</w:t>
            </w:r>
          </w:p>
        </w:tc>
        <w:tc>
          <w:tcPr>
            <w:tcW w:w="3685" w:type="dxa"/>
          </w:tcPr>
          <w:p w14:paraId="16CD9859" w14:textId="13558E96"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All patients were tested for 14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mutations using a single-tube PCR multiplex system with restriction enzyme analysis</w:t>
            </w:r>
            <w:r w:rsidR="008432FD">
              <w:rPr>
                <w:rFonts w:ascii="Arial Narrow" w:hAnsi="Arial Narrow" w:cs="Times New Roman"/>
                <w:sz w:val="20"/>
                <w:szCs w:val="20"/>
              </w:rPr>
              <w:t>.</w:t>
            </w:r>
          </w:p>
        </w:tc>
        <w:tc>
          <w:tcPr>
            <w:tcW w:w="2268" w:type="dxa"/>
          </w:tcPr>
          <w:p w14:paraId="685A445A" w14:textId="3ACD8796" w:rsidR="005D654C" w:rsidRPr="005D654C" w:rsidRDefault="0009054B" w:rsidP="004566DC">
            <w:pPr>
              <w:spacing w:after="40" w:line="240" w:lineRule="auto"/>
              <w:jc w:val="left"/>
              <w:rPr>
                <w:rFonts w:ascii="Arial Narrow" w:hAnsi="Arial Narrow" w:cs="Times New Roman"/>
                <w:sz w:val="20"/>
                <w:szCs w:val="20"/>
              </w:rPr>
            </w:pPr>
            <w:r>
              <w:rPr>
                <w:rFonts w:ascii="Arial Narrow" w:hAnsi="Arial Narrow" w:cs="Times New Roman"/>
                <w:sz w:val="20"/>
                <w:szCs w:val="20"/>
              </w:rPr>
              <w:t>C</w:t>
            </w:r>
            <w:r w:rsidR="005D654C" w:rsidRPr="005D654C">
              <w:rPr>
                <w:rFonts w:ascii="Arial Narrow" w:hAnsi="Arial Narrow" w:cs="Times New Roman"/>
                <w:sz w:val="20"/>
                <w:szCs w:val="20"/>
              </w:rPr>
              <w:t>linical diagnosis of CBAVD was made if the semen analysis confirmed azoospermia, the volume was low (&lt;2</w:t>
            </w:r>
            <w:r w:rsidR="008432FD">
              <w:rPr>
                <w:rFonts w:ascii="Arial Narrow" w:hAnsi="Arial Narrow" w:cs="Times New Roman"/>
                <w:sz w:val="20"/>
                <w:szCs w:val="20"/>
              </w:rPr>
              <w:t> </w:t>
            </w:r>
            <w:r w:rsidR="005D654C" w:rsidRPr="005D654C">
              <w:rPr>
                <w:rFonts w:ascii="Arial Narrow" w:hAnsi="Arial Narrow" w:cs="Times New Roman"/>
                <w:sz w:val="20"/>
                <w:szCs w:val="20"/>
              </w:rPr>
              <w:t>mL)</w:t>
            </w:r>
            <w:r w:rsidR="0014117B">
              <w:rPr>
                <w:rFonts w:ascii="Arial Narrow" w:hAnsi="Arial Narrow" w:cs="Times New Roman"/>
                <w:sz w:val="20"/>
                <w:szCs w:val="20"/>
              </w:rPr>
              <w:t>,</w:t>
            </w:r>
            <w:r w:rsidR="005D654C" w:rsidRPr="005D654C">
              <w:rPr>
                <w:rFonts w:ascii="Arial Narrow" w:hAnsi="Arial Narrow" w:cs="Times New Roman"/>
                <w:sz w:val="20"/>
                <w:szCs w:val="20"/>
              </w:rPr>
              <w:t xml:space="preserve"> the pH was low (&lt;7), the vasa were impalpable and the testes were otherwise normal.</w:t>
            </w:r>
          </w:p>
        </w:tc>
      </w:tr>
      <w:tr w:rsidR="005D654C" w:rsidRPr="005D654C" w14:paraId="081FCD92" w14:textId="77777777" w:rsidTr="00935F84">
        <w:trPr>
          <w:cantSplit/>
        </w:trPr>
        <w:tc>
          <w:tcPr>
            <w:tcW w:w="1242" w:type="dxa"/>
          </w:tcPr>
          <w:p w14:paraId="31131BAF" w14:textId="543CFBDC"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Durieu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ExcludeAuth="1"&gt;&lt;Author&gt;Durieu&lt;/Author&gt;&lt;Year&gt;1995&lt;/Year&gt;&lt;RecNum&gt;842&lt;/RecNum&gt;&lt;IDText&gt;42-47&lt;/IDText&gt;&lt;DisplayText&gt;(1995)&lt;/DisplayText&gt;&lt;record&gt;&lt;rec-number&gt;842&lt;/rec-number&gt;&lt;foreign-keys&gt;&lt;key app="EN" db-id="parffa0acae2voep5w3vv9rypas2tr522eef" timestamp="1430369603"&gt;842&lt;/key&gt;&lt;/foreign-keys&gt;&lt;ref-type name="Journal Article"&gt;17&lt;/ref-type&gt;&lt;contributors&gt;&lt;authors&gt;&lt;author&gt;Durieu, I.&lt;/author&gt;&lt;author&gt;Bey-Omar, F.&lt;/author&gt;&lt;author&gt;Rollet, J.&lt;/author&gt;&lt;author&gt;Calemard, L.&lt;/author&gt;&lt;author&gt;Boggio, D.&lt;/author&gt;&lt;author&gt;Lejeune, H.&lt;/author&gt;&lt;author&gt;Gilly, R.&lt;/author&gt;&lt;author&gt;Morel, Y.&lt;/author&gt;&lt;author&gt;Durand, D. V.&lt;/author&gt;&lt;/authors&gt;&lt;/contributors&gt;&lt;auth-address&gt;Department of Internal Medicine, Centre Hospitalier Lyon Sud, 69310 Pierre Benite, France&lt;/auth-address&gt;&lt;titles&gt;&lt;title&gt;Diagnostic criteria for cystic fibrosis in men with congenital absence of the vas deferens&lt;/title&gt;&lt;secondary-title&gt;Medicine&lt;/secondary-title&gt;&lt;/titles&gt;&lt;periodical&gt;&lt;full-title&gt;Medicine&lt;/full-title&gt;&lt;/periodical&gt;&lt;pages&gt;42-47&lt;/pages&gt;&lt;volume&gt;74&lt;/volume&gt;&lt;number&gt;1&lt;/number&gt;&lt;dates&gt;&lt;year&gt;1995&lt;/year&gt;&lt;/dates&gt;&lt;urls&gt;&lt;related-urls&gt;&lt;url&gt;http://www.scopus.com/inward/record.url?eid=2-s2.0-0028795401&amp;amp;partnerID=40&amp;amp;md5=5d10ec21d88d8f7600ec9278f281da8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36" w:tooltip="Durieu, 1995 #842" w:history="1">
              <w:r w:rsidR="00B46ABF">
                <w:rPr>
                  <w:rFonts w:ascii="Arial Narrow" w:eastAsiaTheme="minorHAnsi" w:hAnsi="Arial Narrow" w:cstheme="minorHAnsi"/>
                  <w:noProof/>
                  <w:sz w:val="20"/>
                  <w:szCs w:val="20"/>
                  <w:lang w:eastAsia="en-US"/>
                </w:rPr>
                <w:t>1995</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4519E38A" w14:textId="77777777" w:rsidR="005D654C" w:rsidRPr="005D654C" w:rsidRDefault="005D654C" w:rsidP="004566DC">
            <w:pPr>
              <w:spacing w:after="40" w:line="240" w:lineRule="auto"/>
              <w:jc w:val="left"/>
              <w:rPr>
                <w:rFonts w:ascii="Arial Narrow" w:eastAsiaTheme="minorHAnsi" w:hAnsi="Arial Narrow" w:cstheme="minorHAnsi"/>
                <w:sz w:val="20"/>
                <w:szCs w:val="20"/>
                <w:highlight w:val="yellow"/>
                <w:lang w:eastAsia="en-US"/>
              </w:rPr>
            </w:pPr>
            <w:r w:rsidRPr="005D654C">
              <w:rPr>
                <w:rFonts w:ascii="Arial Narrow" w:eastAsiaTheme="minorHAnsi" w:hAnsi="Arial Narrow" w:cstheme="minorHAnsi"/>
                <w:sz w:val="20"/>
                <w:szCs w:val="20"/>
                <w:lang w:eastAsia="en-US"/>
              </w:rPr>
              <w:t>France</w:t>
            </w:r>
          </w:p>
        </w:tc>
        <w:tc>
          <w:tcPr>
            <w:tcW w:w="1985" w:type="dxa"/>
          </w:tcPr>
          <w:p w14:paraId="0D3AEC3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2885C87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2F682AB7"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4A3B6BC6"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N=14 CBAVD patients</w:t>
            </w:r>
          </w:p>
        </w:tc>
        <w:tc>
          <w:tcPr>
            <w:tcW w:w="2410" w:type="dxa"/>
          </w:tcPr>
          <w:p w14:paraId="64A254BB"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429986EA"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Patients were consecutively included between December 1992 and July 1993</w:t>
            </w:r>
          </w:p>
        </w:tc>
        <w:tc>
          <w:tcPr>
            <w:tcW w:w="3685" w:type="dxa"/>
          </w:tcPr>
          <w:p w14:paraId="16D997F3"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PCR amplification with restriction enzyme or heteroduplex analysis</w:t>
            </w:r>
          </w:p>
        </w:tc>
        <w:tc>
          <w:tcPr>
            <w:tcW w:w="2268" w:type="dxa"/>
          </w:tcPr>
          <w:p w14:paraId="34A7100F" w14:textId="5534A4A9"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 clinical diagnosis of CBAVD was made on azoospermia with normal or slightly smaller sized testes, non-palpable vas deferens</w:t>
            </w:r>
            <w:r w:rsidR="008432FD">
              <w:rPr>
                <w:rFonts w:ascii="Arial Narrow" w:hAnsi="Arial Narrow" w:cs="Times New Roman"/>
                <w:sz w:val="20"/>
                <w:szCs w:val="20"/>
              </w:rPr>
              <w:t>,</w:t>
            </w:r>
            <w:r w:rsidRPr="005D654C">
              <w:rPr>
                <w:rFonts w:ascii="Arial Narrow" w:hAnsi="Arial Narrow" w:cs="Times New Roman"/>
                <w:sz w:val="20"/>
                <w:szCs w:val="20"/>
              </w:rPr>
              <w:t xml:space="preserve"> and small volume and low pH ejaculate.</w:t>
            </w:r>
          </w:p>
        </w:tc>
      </w:tr>
      <w:tr w:rsidR="005D654C" w:rsidRPr="005D654C" w14:paraId="20AE4838" w14:textId="77777777" w:rsidTr="00935F84">
        <w:trPr>
          <w:cantSplit/>
        </w:trPr>
        <w:tc>
          <w:tcPr>
            <w:tcW w:w="1242" w:type="dxa"/>
          </w:tcPr>
          <w:p w14:paraId="471DFD68" w14:textId="2AC79DF9"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Edelmann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ExcludeAuth="1"&gt;&lt;Author&gt;Edelmann&lt;/Author&gt;&lt;Year&gt;2004&lt;/Year&gt;&lt;RecNum&gt;843&lt;/RecNum&gt;&lt;IDText&gt;431-438&lt;/IDText&gt;&lt;DisplayText&gt;(2004)&lt;/DisplayText&gt;&lt;record&gt;&lt;rec-number&gt;843&lt;/rec-number&gt;&lt;foreign-keys&gt;&lt;key app="EN" db-id="parffa0acae2voep5w3vv9rypas2tr522eef" timestamp="1430369604"&gt;843&lt;/key&gt;&lt;/foreign-keys&gt;&lt;ref-type name="Journal Article"&gt;17&lt;/ref-type&gt;&lt;contributors&gt;&lt;authors&gt;&lt;author&gt;Edelmann, L.&lt;/author&gt;&lt;author&gt;Hashmi, G.&lt;/author&gt;&lt;author&gt;Song, Y.&lt;/author&gt;&lt;author&gt;Han, Y.&lt;/author&gt;&lt;author&gt;Kornreich, R.&lt;/author&gt;&lt;author&gt;Desnick, R. J.&lt;/author&gt;&lt;/authors&gt;&lt;/contributors&gt;&lt;auth-address&gt;Department of Human Genetics, Mount Sinai School of Medicine, New York, NY, United States&amp;#xD;BioArray Solutions Ltd., Warren, NJ, United States&amp;#xD;Department of Human Genetics, Mount Sinai School of Medicine, Box 1498, Fifth Ave at 100th St, New York, NY 10029, United States&lt;/auth-address&gt;&lt;titles&gt;&lt;title&gt;Cystic fibrosis carrier screening: Validation of a novel method using BeadChip technology&lt;/title&gt;&lt;secondary-title&gt;Genetics in Medicine&lt;/secondary-title&gt;&lt;/titles&gt;&lt;periodical&gt;&lt;full-title&gt;Genetics in Medicine&lt;/full-title&gt;&lt;/periodical&gt;&lt;pages&gt;431-438&lt;/pages&gt;&lt;volume&gt;6&lt;/volume&gt;&lt;number&gt;5&lt;/number&gt;&lt;keywords&gt;&lt;keyword&gt;BeadChip technology&lt;/keyword&gt;&lt;keyword&gt;Carrier screening&lt;/keyword&gt;&lt;keyword&gt;Cystic fibrosis&lt;/keyword&gt;&lt;/keywords&gt;&lt;dates&gt;&lt;year&gt;2004&lt;/year&gt;&lt;/dates&gt;&lt;urls&gt;&lt;related-urls&gt;&lt;url&gt;http://www.scopus.com/inward/record.url?eid=2-s2.0-4644353131&amp;amp;partnerID=40&amp;amp;md5=cf33980481a6bf52dff88fd2cc15c009&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37" w:tooltip="Edelmann, 2004 #843" w:history="1">
              <w:r w:rsidR="00B46ABF">
                <w:rPr>
                  <w:rFonts w:ascii="Arial Narrow" w:eastAsiaTheme="minorHAnsi" w:hAnsi="Arial Narrow" w:cstheme="minorHAnsi"/>
                  <w:noProof/>
                  <w:sz w:val="20"/>
                  <w:szCs w:val="20"/>
                  <w:lang w:eastAsia="en-US"/>
                </w:rPr>
                <w:t>2004</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648F4E6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68C0AF0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4307439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08B89322"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2BF13753" w14:textId="0CC2C34F"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N=507 patients</w:t>
            </w:r>
            <w:r w:rsidR="00BB0B34">
              <w:rPr>
                <w:rFonts w:ascii="Arial Narrow" w:hAnsi="Arial Narrow" w:cs="Times New Roman"/>
                <w:sz w:val="20"/>
                <w:szCs w:val="20"/>
                <w:lang w:eastAsia="en-US"/>
              </w:rPr>
              <w:t>’</w:t>
            </w:r>
            <w:r w:rsidRPr="005D654C">
              <w:rPr>
                <w:rFonts w:ascii="Arial Narrow" w:hAnsi="Arial Narrow" w:cs="Times New Roman"/>
                <w:sz w:val="20"/>
                <w:szCs w:val="20"/>
                <w:lang w:eastAsia="en-US"/>
              </w:rPr>
              <w:t xml:space="preserve"> samples referred for CF screening, 12 proficiency samples</w:t>
            </w:r>
          </w:p>
        </w:tc>
        <w:tc>
          <w:tcPr>
            <w:tcW w:w="2410" w:type="dxa"/>
          </w:tcPr>
          <w:p w14:paraId="5FE438ED"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5168CAC4"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CF testing was initially performed by multiplex PCR followed by ASOH.</w:t>
            </w:r>
          </w:p>
          <w:p w14:paraId="3C37A5E8"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Then samples were tested with eMAP</w:t>
            </w:r>
            <w:r w:rsidRPr="005D654C">
              <w:rPr>
                <w:rFonts w:ascii="Times New Roman" w:hAnsi="Times New Roman" w:cs="Times New Roman"/>
                <w:sz w:val="20"/>
                <w:szCs w:val="20"/>
              </w:rPr>
              <w:t xml:space="preserve"> </w:t>
            </w:r>
            <w:r w:rsidRPr="005D654C">
              <w:rPr>
                <w:rFonts w:ascii="Arial Narrow" w:hAnsi="Arial Narrow" w:cs="Times New Roman"/>
                <w:sz w:val="20"/>
                <w:szCs w:val="20"/>
              </w:rPr>
              <w:t>BeadChip assay, which combines multiplex amplification of genomic DNA and multiplex detection of mutations and polymorphisms using ASOs with variable 3'-terminal sequences displayed on colour-encoded beads that are assembled into random arrays on semiconductor chips.</w:t>
            </w:r>
          </w:p>
          <w:p w14:paraId="3DE493EB"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Single-stranded PCR products are annealed to the bead-displayed ASOs and rendered visible by incorporation of a fluorescently labelled nucleotide analogue.</w:t>
            </w:r>
          </w:p>
        </w:tc>
        <w:tc>
          <w:tcPr>
            <w:tcW w:w="2268" w:type="dxa"/>
          </w:tcPr>
          <w:p w14:paraId="050B61A9"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 reference standard</w:t>
            </w:r>
          </w:p>
        </w:tc>
      </w:tr>
      <w:tr w:rsidR="005D654C" w:rsidRPr="005D654C" w14:paraId="46FD95E0" w14:textId="77777777" w:rsidTr="00935F84">
        <w:trPr>
          <w:cantSplit/>
        </w:trPr>
        <w:tc>
          <w:tcPr>
            <w:tcW w:w="1242" w:type="dxa"/>
          </w:tcPr>
          <w:p w14:paraId="59154C2E" w14:textId="52ED5A0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Fren</w:t>
            </w:r>
            <w:r w:rsidR="005327D0">
              <w:rPr>
                <w:rFonts w:ascii="Arial Narrow" w:eastAsiaTheme="minorHAnsi" w:hAnsi="Arial Narrow" w:cstheme="minorHAnsi"/>
                <w:sz w:val="20"/>
                <w:szCs w:val="20"/>
                <w:lang w:eastAsia="en-US"/>
              </w:rPr>
              <w:t>t</w:t>
            </w:r>
            <w:r w:rsidRPr="005D654C">
              <w:rPr>
                <w:rFonts w:ascii="Arial Narrow" w:eastAsiaTheme="minorHAnsi" w:hAnsi="Arial Narrow" w:cstheme="minorHAnsi"/>
                <w:sz w:val="20"/>
                <w:szCs w:val="20"/>
                <w:lang w:eastAsia="en-US"/>
              </w:rPr>
              <w:t>escu and Budi</w:t>
            </w:r>
            <w:r w:rsidR="005327D0">
              <w:rPr>
                <w:rFonts w:ascii="Arial Narrow" w:eastAsiaTheme="minorHAnsi" w:hAnsi="Arial Narrow" w:cstheme="minorHAnsi"/>
                <w:sz w:val="20"/>
                <w:szCs w:val="20"/>
                <w:lang w:eastAsia="en-US"/>
              </w:rPr>
              <w:t>s</w:t>
            </w:r>
            <w:r w:rsidRPr="005D654C">
              <w:rPr>
                <w:rFonts w:ascii="Arial Narrow" w:eastAsiaTheme="minorHAnsi" w:hAnsi="Arial Narrow" w:cstheme="minorHAnsi"/>
                <w:sz w:val="20"/>
                <w:szCs w:val="20"/>
                <w:lang w:eastAsia="en-US"/>
              </w:rPr>
              <w:t xml:space="preserve">an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ExcludeAuth="1"&gt;&lt;Author&gt;Frenţescu&lt;/Author&gt;&lt;Year&gt;2009&lt;/Year&gt;&lt;RecNum&gt;663&lt;/RecNum&gt;&lt;IDText&gt;25-30&lt;/IDText&gt;&lt;DisplayText&gt;(2009)&lt;/DisplayText&gt;&lt;record&gt;&lt;rec-number&gt;663&lt;/rec-number&gt;&lt;foreign-keys&gt;&lt;key app="EN" db-id="parffa0acae2voep5w3vv9rypas2tr522eef" timestamp="1430369496"&gt;663&lt;/key&gt;&lt;/foreign-keys&gt;&lt;ref-type name="Journal Article"&gt;17&lt;/ref-type&gt;&lt;contributors&gt;&lt;authors&gt;&lt;author&gt;Frenţescu, L.&lt;/author&gt;&lt;author&gt;Budişan, L.&lt;/author&gt;&lt;/authors&gt;&lt;/contributors&gt;&lt;auth-address&gt;Center of Molecular Medicine from the Department of Cell and Molecular Biology, &amp;apos;Iuliu Haţieganu&amp;apos; University of Medicine and Pharmacy, Romania&amp;#xD;1st Laboratory of Genetic Explorations, Cluj County Emergency Hospital, Romania&lt;/auth-address&gt;&lt;titles&gt;&lt;title&gt;Screening for common cystic fibrosis mutations in Romanian patients: Analysis of twenty-one cases&lt;/title&gt;&lt;secondary-title&gt;Revista Romana de Medicina de Laborator&lt;/secondary-title&gt;&lt;/titles&gt;&lt;periodical&gt;&lt;full-title&gt;Revista Romana de Medicina de Laborator&lt;/full-title&gt;&lt;/periodical&gt;&lt;pages&gt;25-30&lt;/pages&gt;&lt;volume&gt;17&lt;/volume&gt;&lt;number&gt;4&lt;/number&gt;&lt;keywords&gt;&lt;keyword&gt;Cystic fibrosis&lt;/keyword&gt;&lt;keyword&gt;Mutations&lt;/keyword&gt;&lt;keyword&gt;Romania&lt;/keyword&gt;&lt;/keywords&gt;&lt;dates&gt;&lt;year&gt;2009&lt;/year&gt;&lt;/dates&gt;&lt;urls&gt;&lt;related-urls&gt;&lt;url&gt;http://www.scopus.com/inward/record.url?eid=2-s2.0-75449086873&amp;amp;partnerID=40&amp;amp;md5=a607c971e8c5e956dc0d94724ce4588b&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39" w:tooltip="Frenţescu, 2009 #663" w:history="1">
              <w:r w:rsidR="00B46ABF">
                <w:rPr>
                  <w:rFonts w:ascii="Arial Narrow" w:eastAsiaTheme="minorHAnsi" w:hAnsi="Arial Narrow" w:cstheme="minorHAnsi"/>
                  <w:noProof/>
                  <w:sz w:val="20"/>
                  <w:szCs w:val="20"/>
                  <w:lang w:eastAsia="en-US"/>
                </w:rPr>
                <w:t>2009</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211877A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Romania</w:t>
            </w:r>
          </w:p>
        </w:tc>
        <w:tc>
          <w:tcPr>
            <w:tcW w:w="1985" w:type="dxa"/>
          </w:tcPr>
          <w:p w14:paraId="42B1F2B7"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FB93C2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045B707"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Pr>
          <w:p w14:paraId="4D8B61FB" w14:textId="76A3AFE8"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N=42 chromosomes from 21 patients with a clinical suspicion of CF from 21 unrelated families</w:t>
            </w:r>
          </w:p>
        </w:tc>
        <w:tc>
          <w:tcPr>
            <w:tcW w:w="2410" w:type="dxa"/>
          </w:tcPr>
          <w:p w14:paraId="773ABD3C"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237AABF2" w14:textId="5CBB5A12"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rPr>
              <w:t xml:space="preserve">Patients were recruited </w:t>
            </w:r>
            <w:r w:rsidR="006A21DD">
              <w:rPr>
                <w:rFonts w:ascii="Arial Narrow" w:hAnsi="Arial Narrow" w:cs="Times New Roman"/>
                <w:sz w:val="20"/>
                <w:szCs w:val="20"/>
              </w:rPr>
              <w:t>from</w:t>
            </w:r>
            <w:r w:rsidR="006A21DD" w:rsidRPr="005D654C">
              <w:rPr>
                <w:rFonts w:ascii="Arial Narrow" w:hAnsi="Arial Narrow" w:cs="Times New Roman"/>
                <w:sz w:val="20"/>
                <w:szCs w:val="20"/>
              </w:rPr>
              <w:t xml:space="preserve"> </w:t>
            </w:r>
            <w:r w:rsidRPr="005D654C">
              <w:rPr>
                <w:rFonts w:ascii="Arial Narrow" w:hAnsi="Arial Narrow" w:cs="Times New Roman"/>
                <w:sz w:val="20"/>
                <w:szCs w:val="20"/>
              </w:rPr>
              <w:t xml:space="preserve">paediatric hospitals </w:t>
            </w:r>
            <w:r w:rsidR="006A21DD">
              <w:rPr>
                <w:rFonts w:ascii="Arial Narrow" w:hAnsi="Arial Narrow" w:cs="Times New Roman"/>
                <w:sz w:val="20"/>
                <w:szCs w:val="20"/>
              </w:rPr>
              <w:t>in</w:t>
            </w:r>
            <w:r w:rsidR="006A21DD" w:rsidRPr="005D654C">
              <w:rPr>
                <w:rFonts w:ascii="Arial Narrow" w:hAnsi="Arial Narrow" w:cs="Times New Roman"/>
                <w:sz w:val="20"/>
                <w:szCs w:val="20"/>
              </w:rPr>
              <w:t xml:space="preserve"> </w:t>
            </w:r>
            <w:r w:rsidRPr="005D654C">
              <w:rPr>
                <w:rFonts w:ascii="Arial Narrow" w:hAnsi="Arial Narrow" w:cs="Times New Roman"/>
                <w:sz w:val="20"/>
                <w:szCs w:val="20"/>
              </w:rPr>
              <w:t>Bucharest, Cluj-Napoca and Constanta</w:t>
            </w:r>
          </w:p>
        </w:tc>
        <w:tc>
          <w:tcPr>
            <w:tcW w:w="3685" w:type="dxa"/>
          </w:tcPr>
          <w:p w14:paraId="34233436" w14:textId="1A7B4C81" w:rsidR="005D654C" w:rsidRPr="005D654C" w:rsidRDefault="006A21DD" w:rsidP="004566DC">
            <w:pPr>
              <w:spacing w:after="40" w:line="240" w:lineRule="auto"/>
              <w:jc w:val="left"/>
              <w:rPr>
                <w:rFonts w:ascii="Arial Narrow" w:hAnsi="Arial Narrow" w:cs="Times New Roman"/>
                <w:sz w:val="20"/>
                <w:szCs w:val="20"/>
              </w:rPr>
            </w:pPr>
            <w:r>
              <w:rPr>
                <w:rFonts w:ascii="Arial Narrow" w:hAnsi="Arial Narrow" w:cs="Times New Roman"/>
                <w:sz w:val="20"/>
                <w:szCs w:val="20"/>
              </w:rPr>
              <w:t>M</w:t>
            </w:r>
            <w:r w:rsidR="005D654C" w:rsidRPr="005D654C">
              <w:rPr>
                <w:rFonts w:ascii="Arial Narrow" w:hAnsi="Arial Narrow" w:cs="Times New Roman"/>
                <w:sz w:val="20"/>
                <w:szCs w:val="20"/>
              </w:rPr>
              <w:t>ultiplex PCR, heteroduplex and RFLP analysis</w:t>
            </w:r>
          </w:p>
        </w:tc>
        <w:tc>
          <w:tcPr>
            <w:tcW w:w="2268" w:type="dxa"/>
          </w:tcPr>
          <w:p w14:paraId="4596D887"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Diagnosis was based on clinical symptoms and sweat test values.</w:t>
            </w:r>
          </w:p>
        </w:tc>
      </w:tr>
      <w:tr w:rsidR="005D654C" w:rsidRPr="005D654C" w14:paraId="127C8AD4" w14:textId="77777777" w:rsidTr="00935F84">
        <w:trPr>
          <w:cantSplit/>
        </w:trPr>
        <w:tc>
          <w:tcPr>
            <w:tcW w:w="1242" w:type="dxa"/>
          </w:tcPr>
          <w:p w14:paraId="096B7C42" w14:textId="3A633E4F"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Gallati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ExcludeAuth="1"&gt;&lt;Author&gt;Gallati&lt;/Author&gt;&lt;Year&gt;2009&lt;/Year&gt;&lt;RecNum&gt;860&lt;/RecNum&gt;&lt;IDText&gt;685-694&lt;/IDText&gt;&lt;DisplayText&gt;(2009)&lt;/DisplayText&gt;&lt;record&gt;&lt;rec-number&gt;860&lt;/rec-number&gt;&lt;foreign-keys&gt;&lt;key app="EN" db-id="parffa0acae2voep5w3vv9rypas2tr522eef" timestamp="1430369610"&gt;860&lt;/key&gt;&lt;/foreign-keys&gt;&lt;ref-type name="Journal Article"&gt;17&lt;/ref-type&gt;&lt;contributors&gt;&lt;authors&gt;&lt;author&gt;Gallati, S.&lt;/author&gt;&lt;author&gt;Hess, S.&lt;/author&gt;&lt;author&gt;Galié-Wunder, D.&lt;/author&gt;&lt;author&gt;Berger-Menz, E.&lt;/author&gt;&lt;author&gt;Böhlen, D.&lt;/author&gt;&lt;/authors&gt;&lt;/contributors&gt;&lt;auth-address&gt;Departments of Paediatrics and Clinical Research, Inselspital, University of Berne, CH-3010 Berne, Switzerland&amp;#xD;Division of Gynaecological Endocrinology and Reproductive Medicine, Inselspital, University of Berne, CH-3010 Berne, Switzerland&amp;#xD;Division of Obstetrics and Gynaecology, Lindenhofspital, CH-3001 Berne, Switzerland&amp;#xD;Division of Urology, Clinic Beau-Site, CH-3013 Berne, Switzerland&lt;/auth-address&gt;&lt;titles&gt;&lt;title&gt;Cystic fibrosis transmembrane conductance regulator mutations in azoospermic and oligospermie men and their partners&lt;/title&gt;&lt;secondary-title&gt;Reproductive BioMedicine Online&lt;/secondary-title&gt;&lt;/titles&gt;&lt;periodical&gt;&lt;full-title&gt;Reproductive BioMedicine Online&lt;/full-title&gt;&lt;/periodical&gt;&lt;pages&gt;685-694&lt;/pages&gt;&lt;volume&gt;19&lt;/volume&gt;&lt;number&gt;5&lt;/number&gt;&lt;keywords&gt;&lt;keyword&gt;Assisted reproduction&lt;/keyword&gt;&lt;keyword&gt;Cystic fibrosis transmembrane conductance regulator&lt;/keyword&gt;&lt;keyword&gt;Mutation spectrum&lt;/keyword&gt;&lt;keyword&gt;Polyvariant mutants&lt;/keyword&gt;&lt;keyword&gt;Primary infertility&lt;/keyword&gt;&lt;keyword&gt;Risk for offspring&lt;/keyword&gt;&lt;/keywords&gt;&lt;dates&gt;&lt;year&gt;2009&lt;/year&gt;&lt;/dates&gt;&lt;urls&gt;&lt;related-urls&gt;&lt;url&gt;http://www.scopus.com/inward/record.url?eid=2-s2.0-74949085091&amp;amp;partnerID=40&amp;amp;md5=5c96ab08e4220922c8aa8c4a3e585af1&lt;/url&gt;&lt;/related-urls&gt;&lt;/urls&gt;&lt;custom7&gt;4035&lt;/custom7&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40" w:tooltip="Gallati, 2009 #860" w:history="1">
              <w:r w:rsidR="00B46ABF">
                <w:rPr>
                  <w:rFonts w:ascii="Arial Narrow" w:eastAsiaTheme="minorHAnsi" w:hAnsi="Arial Narrow" w:cstheme="minorHAnsi"/>
                  <w:noProof/>
                  <w:sz w:val="20"/>
                  <w:szCs w:val="20"/>
                  <w:lang w:eastAsia="en-US"/>
                </w:rPr>
                <w:t>2009</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7B8AA732"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Switzerland</w:t>
            </w:r>
          </w:p>
        </w:tc>
        <w:tc>
          <w:tcPr>
            <w:tcW w:w="1985" w:type="dxa"/>
          </w:tcPr>
          <w:p w14:paraId="113D245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71A8357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5D18B70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Pr>
          <w:p w14:paraId="18317D01"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N=25 azoospermic men diagnosed with CAVD</w:t>
            </w:r>
          </w:p>
        </w:tc>
        <w:tc>
          <w:tcPr>
            <w:tcW w:w="2410" w:type="dxa"/>
          </w:tcPr>
          <w:p w14:paraId="3D954876"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23099A14" w14:textId="3FDF8C5C" w:rsidR="005D654C" w:rsidRPr="001C067F" w:rsidRDefault="005D654C" w:rsidP="004566DC">
            <w:pPr>
              <w:autoSpaceDE w:val="0"/>
              <w:autoSpaceDN w:val="0"/>
              <w:adjustRightInd w:val="0"/>
              <w:spacing w:after="0" w:line="240" w:lineRule="auto"/>
              <w:jc w:val="left"/>
              <w:rPr>
                <w:rFonts w:ascii="Arial Narrow" w:hAnsi="Arial Narrow" w:cs="Times New Roman"/>
                <w:sz w:val="20"/>
                <w:szCs w:val="20"/>
              </w:rPr>
            </w:pPr>
            <w:r w:rsidRPr="004566DC">
              <w:rPr>
                <w:rFonts w:ascii="Arial Narrow" w:hAnsi="Arial Narrow" w:cs="AdvEPSTIM"/>
                <w:sz w:val="20"/>
                <w:szCs w:val="20"/>
              </w:rPr>
              <w:t>Men aged between 27 and 57</w:t>
            </w:r>
            <w:r w:rsidR="001C067F">
              <w:rPr>
                <w:rFonts w:ascii="Arial Narrow" w:hAnsi="Arial Narrow" w:cs="AdvEPSTIM"/>
                <w:sz w:val="20"/>
                <w:szCs w:val="20"/>
              </w:rPr>
              <w:t> </w:t>
            </w:r>
            <w:r w:rsidRPr="004566DC">
              <w:rPr>
                <w:rFonts w:ascii="Arial Narrow" w:hAnsi="Arial Narrow" w:cs="AdvEPSTIM"/>
                <w:sz w:val="20"/>
                <w:szCs w:val="20"/>
              </w:rPr>
              <w:t>years who had consulted for primary couple infertility and were diagnosed with CAVD</w:t>
            </w:r>
          </w:p>
        </w:tc>
        <w:tc>
          <w:tcPr>
            <w:tcW w:w="3685" w:type="dxa"/>
          </w:tcPr>
          <w:p w14:paraId="4268C87B" w14:textId="7E187EA8"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Screening of the entire coding sequence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including intron</w:t>
            </w:r>
            <w:r w:rsidR="0081298F">
              <w:rPr>
                <w:rFonts w:ascii="Arial Narrow" w:hAnsi="Arial Narrow" w:cs="Times New Roman"/>
                <w:sz w:val="20"/>
                <w:szCs w:val="20"/>
              </w:rPr>
              <w:t>–</w:t>
            </w:r>
            <w:r w:rsidRPr="005D654C">
              <w:rPr>
                <w:rFonts w:ascii="Arial Narrow" w:hAnsi="Arial Narrow" w:cs="Times New Roman"/>
                <w:sz w:val="20"/>
                <w:szCs w:val="20"/>
              </w:rPr>
              <w:t xml:space="preserve">exon boundaries and the promoter region was performed by SSCP and heteroduplex analysis. </w:t>
            </w:r>
          </w:p>
          <w:p w14:paraId="48E00102" w14:textId="29F29980" w:rsidR="005D654C" w:rsidRPr="005D654C" w:rsidRDefault="00A21FD9" w:rsidP="004566DC">
            <w:pPr>
              <w:spacing w:after="40" w:line="240" w:lineRule="auto"/>
              <w:jc w:val="left"/>
              <w:rPr>
                <w:rFonts w:ascii="Arial Narrow" w:hAnsi="Arial Narrow" w:cs="Times New Roman"/>
                <w:sz w:val="20"/>
                <w:szCs w:val="20"/>
              </w:rPr>
            </w:pPr>
            <w:r w:rsidRPr="00A21FD9">
              <w:rPr>
                <w:rFonts w:ascii="Arial Narrow" w:hAnsi="Arial Narrow" w:cs="Times New Roman"/>
                <w:i/>
                <w:sz w:val="20"/>
                <w:szCs w:val="20"/>
              </w:rPr>
              <w:t>CFTR</w:t>
            </w:r>
            <w:r w:rsidR="005D654C" w:rsidRPr="005D654C">
              <w:rPr>
                <w:rFonts w:ascii="Arial Narrow" w:hAnsi="Arial Narrow" w:cs="Times New Roman"/>
                <w:sz w:val="20"/>
                <w:szCs w:val="20"/>
              </w:rPr>
              <w:t xml:space="preserve"> gene variants of the T tract length of intron 8 were also investigated. </w:t>
            </w:r>
          </w:p>
          <w:p w14:paraId="549379E6" w14:textId="0CC0000D"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DNA sequencing of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variants using an ABI 377 sequencing system</w:t>
            </w:r>
          </w:p>
        </w:tc>
        <w:tc>
          <w:tcPr>
            <w:tcW w:w="2268" w:type="dxa"/>
          </w:tcPr>
          <w:p w14:paraId="38B85408"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 diagnosis of primary infertility was based on physical examination, ultrasonography and semen analysis. All patients were investigated for testicular volumes, pathological findings and CAVD.</w:t>
            </w:r>
          </w:p>
        </w:tc>
      </w:tr>
      <w:tr w:rsidR="005D654C" w:rsidRPr="005D654C" w14:paraId="36AEFE82" w14:textId="77777777" w:rsidTr="00935F84">
        <w:tc>
          <w:tcPr>
            <w:tcW w:w="1242" w:type="dxa"/>
          </w:tcPr>
          <w:p w14:paraId="4EE6AB4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Giuliani et al. </w:t>
            </w:r>
            <w:r w:rsidR="002C4133">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2010</w:t>
            </w:r>
            <w:r w:rsidR="002C4133">
              <w:rPr>
                <w:rFonts w:ascii="Arial Narrow" w:eastAsiaTheme="minorHAnsi" w:hAnsi="Arial Narrow" w:cstheme="minorHAnsi"/>
                <w:sz w:val="20"/>
                <w:szCs w:val="20"/>
                <w:lang w:eastAsia="en-US"/>
              </w:rPr>
              <w:t>)</w:t>
            </w:r>
          </w:p>
          <w:p w14:paraId="0245887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Italy</w:t>
            </w:r>
          </w:p>
        </w:tc>
        <w:tc>
          <w:tcPr>
            <w:tcW w:w="1985" w:type="dxa"/>
          </w:tcPr>
          <w:p w14:paraId="4091875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2A00DD7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7E3DAB3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Pr>
          <w:p w14:paraId="1EDE86FF"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N=23 CBAVD patients</w:t>
            </w:r>
          </w:p>
        </w:tc>
        <w:tc>
          <w:tcPr>
            <w:tcW w:w="2410" w:type="dxa"/>
          </w:tcPr>
          <w:p w14:paraId="59ED9DA8"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0BC618A4" w14:textId="3CCEA05B"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 patients did not have a family history of CF, and were enrolled in an assisted reproduction technology program</w:t>
            </w:r>
          </w:p>
        </w:tc>
        <w:tc>
          <w:tcPr>
            <w:tcW w:w="3685" w:type="dxa"/>
          </w:tcPr>
          <w:p w14:paraId="49AC008D" w14:textId="6380D272"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Screening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 was performed by analysis of 57 mutations and the 5T allele by using a reverse dot-blot approach (INNO-LiPA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19 and INNO-LiPA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17 + Tn Update Kits). INNO-LiPA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Italian Regional Kit</w:t>
            </w:r>
          </w:p>
          <w:p w14:paraId="669E0B2B" w14:textId="77777777" w:rsidR="005D654C" w:rsidRPr="005D654C" w:rsidRDefault="005D654C" w:rsidP="004566DC">
            <w:pPr>
              <w:spacing w:after="40" w:line="240" w:lineRule="auto"/>
              <w:jc w:val="left"/>
              <w:rPr>
                <w:rFonts w:ascii="Arial Narrow" w:hAnsi="Arial Narrow" w:cs="Times New Roman"/>
                <w:sz w:val="20"/>
                <w:szCs w:val="20"/>
              </w:rPr>
            </w:pPr>
          </w:p>
        </w:tc>
        <w:tc>
          <w:tcPr>
            <w:tcW w:w="2268" w:type="dxa"/>
          </w:tcPr>
          <w:p w14:paraId="581F6AAE" w14:textId="5BDC11F6"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1. When no mutation was detected, MLPA to detect deletions and/or duplications and DHPLC with DNA sequencing were undertaken</w:t>
            </w:r>
            <w:r w:rsidR="001C067F">
              <w:rPr>
                <w:rFonts w:ascii="Arial Narrow" w:hAnsi="Arial Narrow" w:cs="Times New Roman"/>
                <w:sz w:val="20"/>
                <w:szCs w:val="20"/>
              </w:rPr>
              <w:t>.</w:t>
            </w:r>
          </w:p>
          <w:p w14:paraId="484C6AEE" w14:textId="5DEA8E49"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2. Clinical diagnosis of CBAVD was based on azoospermia with low seminal fluid volume</w:t>
            </w:r>
            <w:r w:rsidR="001C067F">
              <w:rPr>
                <w:rFonts w:ascii="Arial Narrow" w:hAnsi="Arial Narrow" w:cs="Times New Roman"/>
                <w:sz w:val="20"/>
                <w:szCs w:val="20"/>
              </w:rPr>
              <w:t>.</w:t>
            </w:r>
            <w:r w:rsidRPr="005D654C">
              <w:rPr>
                <w:rFonts w:ascii="Arial Narrow" w:hAnsi="Arial Narrow" w:cs="Times New Roman"/>
                <w:sz w:val="20"/>
                <w:szCs w:val="20"/>
              </w:rPr>
              <w:t xml:space="preserve"> presence of globus major and absence of palpable vas deferens.</w:t>
            </w:r>
          </w:p>
        </w:tc>
      </w:tr>
      <w:tr w:rsidR="005D654C" w:rsidRPr="005D654C" w14:paraId="1AA39B0B" w14:textId="77777777" w:rsidTr="00935F84">
        <w:trPr>
          <w:cantSplit/>
        </w:trPr>
        <w:tc>
          <w:tcPr>
            <w:tcW w:w="1242" w:type="dxa"/>
            <w:tcBorders>
              <w:bottom w:val="single" w:sz="4" w:space="0" w:color="auto"/>
            </w:tcBorders>
          </w:tcPr>
          <w:p w14:paraId="72669717" w14:textId="0A616E73"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Heim, Sugarman </w:t>
            </w:r>
            <w:r w:rsidR="00E25211">
              <w:rPr>
                <w:rFonts w:ascii="Arial Narrow" w:eastAsiaTheme="minorHAnsi" w:hAnsi="Arial Narrow" w:cstheme="minorHAnsi"/>
                <w:sz w:val="20"/>
                <w:szCs w:val="20"/>
                <w:lang w:eastAsia="en-US"/>
              </w:rPr>
              <w:t>&amp;</w:t>
            </w:r>
            <w:r w:rsidR="00E25211"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Allitto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ExcludeAuth="1"&gt;&lt;Author&gt;Heim&lt;/Author&gt;&lt;Year&gt;2001&lt;/Year&gt;&lt;RecNum&gt;890&lt;/RecNum&gt;&lt;IDText&gt;168-176&lt;/IDText&gt;&lt;DisplayText&gt;(2001)&lt;/DisplayText&gt;&lt;record&gt;&lt;rec-number&gt;890&lt;/rec-number&gt;&lt;foreign-keys&gt;&lt;key app="EN" db-id="parffa0acae2voep5w3vv9rypas2tr522eef" timestamp="1430369618"&gt;890&lt;/key&gt;&lt;/foreign-keys&gt;&lt;ref-type name="Journal Article"&gt;17&lt;/ref-type&gt;&lt;contributors&gt;&lt;authors&gt;&lt;author&gt;Heim, R. A.&lt;/author&gt;&lt;author&gt;Sugarman, E. A.&lt;/author&gt;&lt;author&gt;Allitto, B. A.&lt;/author&gt;&lt;/authors&gt;&lt;/contributors&gt;&lt;auth-address&gt;DNA Diagnostic Laboratory, Genzyme Genetics, 5 Mountain Road, Framingham, MA 01701-9322, United States&lt;/auth-address&gt;&lt;titles&gt;&lt;title&gt;Improved detection of cystic fibrosis mutations in the heterogeneous U.S. population using an expanded, pan-ethnic mutation panel&lt;/title&gt;&lt;secondary-title&gt;Genetics in Medicine&lt;/secondary-title&gt;&lt;/titles&gt;&lt;periodical&gt;&lt;full-title&gt;Genetics in Medicine&lt;/full-title&gt;&lt;/periodical&gt;&lt;pages&gt;168-176&lt;/pages&gt;&lt;volume&gt;3&lt;/volume&gt;&lt;number&gt;3&lt;/number&gt;&lt;keywords&gt;&lt;keyword&gt;Carrier screening&lt;/keyword&gt;&lt;keyword&gt;CFTR mutations&lt;/keyword&gt;&lt;keyword&gt;Cystic fibrosis&lt;/keyword&gt;&lt;keyword&gt;Molecular diagnosis&lt;/keyword&gt;&lt;keyword&gt;Population genetics&lt;/keyword&gt;&lt;/keywords&gt;&lt;dates&gt;&lt;year&gt;2001&lt;/year&gt;&lt;/dates&gt;&lt;urls&gt;&lt;related-urls&gt;&lt;url&gt;http://www.scopus.com/inward/record.url?eid=2-s2.0-0035746484&amp;amp;partnerID=40&amp;amp;md5=74c88eabc5f90ed27e8bd3f8e32565e1&lt;/url&gt;&lt;url&gt;http://graphics.tx.ovid.com/ovftpdfs/FPDDNCLBDBBCIH00/fs006/ovft/live/gv014/00125817/00125817-200105000-00004.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48" w:tooltip="Heim, 2001 #890" w:history="1">
              <w:r w:rsidR="00B46ABF">
                <w:rPr>
                  <w:rFonts w:ascii="Arial Narrow" w:eastAsiaTheme="minorHAnsi" w:hAnsi="Arial Narrow" w:cstheme="minorHAnsi"/>
                  <w:noProof/>
                  <w:sz w:val="20"/>
                  <w:szCs w:val="20"/>
                  <w:lang w:eastAsia="en-US"/>
                </w:rPr>
                <w:t>2001</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64BF53B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Borders>
              <w:bottom w:val="single" w:sz="4" w:space="0" w:color="auto"/>
            </w:tcBorders>
          </w:tcPr>
          <w:p w14:paraId="1AFAEE1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278CD00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601691E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Borders>
              <w:bottom w:val="single" w:sz="4" w:space="0" w:color="auto"/>
            </w:tcBorders>
          </w:tcPr>
          <w:p w14:paraId="5CE875E7" w14:textId="6B831988"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N=5,840 chromosomes from 2,920 individuals with a clinical diagnosis of CF</w:t>
            </w:r>
            <w:r w:rsidR="001C067F">
              <w:rPr>
                <w:rFonts w:ascii="Arial Narrow" w:hAnsi="Arial Narrow" w:cs="Times New Roman"/>
                <w:sz w:val="20"/>
                <w:szCs w:val="20"/>
                <w:lang w:eastAsia="en-US"/>
              </w:rPr>
              <w:t>:</w:t>
            </w:r>
          </w:p>
          <w:p w14:paraId="5D000C16"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4.3% Hispanic</w:t>
            </w:r>
            <w:r w:rsidRPr="005D654C">
              <w:rPr>
                <w:rFonts w:ascii="Arial Narrow" w:hAnsi="Arial Narrow" w:cs="Times New Roman"/>
                <w:sz w:val="20"/>
                <w:szCs w:val="20"/>
                <w:lang w:eastAsia="en-US"/>
              </w:rPr>
              <w:br/>
              <w:t>3.5% African American</w:t>
            </w:r>
            <w:r w:rsidRPr="005D654C">
              <w:rPr>
                <w:rFonts w:ascii="Arial Narrow" w:hAnsi="Arial Narrow" w:cs="Times New Roman"/>
                <w:sz w:val="20"/>
                <w:szCs w:val="20"/>
                <w:lang w:eastAsia="en-US"/>
              </w:rPr>
              <w:br/>
              <w:t>0.7% Native American</w:t>
            </w:r>
            <w:r w:rsidRPr="005D654C">
              <w:rPr>
                <w:rFonts w:ascii="Arial Narrow" w:hAnsi="Arial Narrow" w:cs="Times New Roman"/>
                <w:sz w:val="20"/>
                <w:szCs w:val="20"/>
                <w:lang w:eastAsia="en-US"/>
              </w:rPr>
              <w:br/>
              <w:t>0.3% Asian</w:t>
            </w:r>
          </w:p>
        </w:tc>
        <w:tc>
          <w:tcPr>
            <w:tcW w:w="2410" w:type="dxa"/>
            <w:tcBorders>
              <w:bottom w:val="single" w:sz="4" w:space="0" w:color="auto"/>
            </w:tcBorders>
          </w:tcPr>
          <w:p w14:paraId="65DC9AC8"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5B2ACEFC" w14:textId="01E6DC9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Patient</w:t>
            </w:r>
            <w:r w:rsidR="00E25211">
              <w:rPr>
                <w:rFonts w:ascii="Arial Narrow" w:hAnsi="Arial Narrow" w:cs="Times New Roman"/>
                <w:sz w:val="20"/>
                <w:szCs w:val="20"/>
              </w:rPr>
              <w:t>s</w:t>
            </w:r>
            <w:r w:rsidRPr="005D654C">
              <w:rPr>
                <w:rFonts w:ascii="Arial Narrow" w:hAnsi="Arial Narrow" w:cs="Times New Roman"/>
                <w:sz w:val="20"/>
                <w:szCs w:val="20"/>
              </w:rPr>
              <w:t xml:space="preserve"> were referred from all 50 </w:t>
            </w:r>
            <w:r w:rsidR="001C067F">
              <w:rPr>
                <w:rFonts w:ascii="Arial Narrow" w:hAnsi="Arial Narrow" w:cs="Times New Roman"/>
                <w:sz w:val="20"/>
                <w:szCs w:val="20"/>
              </w:rPr>
              <w:t xml:space="preserve">US </w:t>
            </w:r>
            <w:r w:rsidRPr="005D654C">
              <w:rPr>
                <w:rFonts w:ascii="Arial Narrow" w:hAnsi="Arial Narrow" w:cs="Times New Roman"/>
                <w:sz w:val="20"/>
                <w:szCs w:val="20"/>
              </w:rPr>
              <w:t xml:space="preserve">states, with 28.3% from the </w:t>
            </w:r>
            <w:r w:rsidR="001C067F">
              <w:rPr>
                <w:rFonts w:ascii="Arial Narrow" w:hAnsi="Arial Narrow" w:cs="Times New Roman"/>
                <w:sz w:val="20"/>
                <w:szCs w:val="20"/>
              </w:rPr>
              <w:t>n</w:t>
            </w:r>
            <w:r w:rsidRPr="005D654C">
              <w:rPr>
                <w:rFonts w:ascii="Arial Narrow" w:hAnsi="Arial Narrow" w:cs="Times New Roman"/>
                <w:sz w:val="20"/>
                <w:szCs w:val="20"/>
              </w:rPr>
              <w:t>ortheast</w:t>
            </w:r>
            <w:r w:rsidR="00DD7F8A">
              <w:rPr>
                <w:rFonts w:ascii="Arial Narrow" w:hAnsi="Arial Narrow" w:cs="Times New Roman"/>
                <w:sz w:val="20"/>
                <w:szCs w:val="20"/>
              </w:rPr>
              <w:t>ern</w:t>
            </w:r>
            <w:r w:rsidRPr="005D654C">
              <w:rPr>
                <w:rFonts w:ascii="Arial Narrow" w:hAnsi="Arial Narrow" w:cs="Times New Roman"/>
                <w:sz w:val="20"/>
                <w:szCs w:val="20"/>
              </w:rPr>
              <w:t xml:space="preserve">, 24.8% from the </w:t>
            </w:r>
            <w:r w:rsidR="001C067F">
              <w:rPr>
                <w:rFonts w:ascii="Arial Narrow" w:hAnsi="Arial Narrow" w:cs="Times New Roman"/>
                <w:sz w:val="20"/>
                <w:szCs w:val="20"/>
              </w:rPr>
              <w:t>s</w:t>
            </w:r>
            <w:r w:rsidRPr="005D654C">
              <w:rPr>
                <w:rFonts w:ascii="Arial Narrow" w:hAnsi="Arial Narrow" w:cs="Times New Roman"/>
                <w:sz w:val="20"/>
                <w:szCs w:val="20"/>
              </w:rPr>
              <w:t>outheast</w:t>
            </w:r>
            <w:r w:rsidR="00DD7F8A">
              <w:rPr>
                <w:rFonts w:ascii="Arial Narrow" w:hAnsi="Arial Narrow" w:cs="Times New Roman"/>
                <w:sz w:val="20"/>
                <w:szCs w:val="20"/>
              </w:rPr>
              <w:t>ern</w:t>
            </w:r>
            <w:r w:rsidRPr="005D654C">
              <w:rPr>
                <w:rFonts w:ascii="Arial Narrow" w:hAnsi="Arial Narrow" w:cs="Times New Roman"/>
                <w:sz w:val="20"/>
                <w:szCs w:val="20"/>
              </w:rPr>
              <w:t xml:space="preserve">, 16.6% from the </w:t>
            </w:r>
            <w:r w:rsidR="001C067F">
              <w:rPr>
                <w:rFonts w:ascii="Arial Narrow" w:hAnsi="Arial Narrow" w:cs="Times New Roman"/>
                <w:sz w:val="20"/>
                <w:szCs w:val="20"/>
              </w:rPr>
              <w:t>w</w:t>
            </w:r>
            <w:r w:rsidRPr="005D654C">
              <w:rPr>
                <w:rFonts w:ascii="Arial Narrow" w:hAnsi="Arial Narrow" w:cs="Times New Roman"/>
                <w:sz w:val="20"/>
                <w:szCs w:val="20"/>
              </w:rPr>
              <w:t>est</w:t>
            </w:r>
            <w:r w:rsidR="00DD7F8A">
              <w:rPr>
                <w:rFonts w:ascii="Arial Narrow" w:hAnsi="Arial Narrow" w:cs="Times New Roman"/>
                <w:sz w:val="20"/>
                <w:szCs w:val="20"/>
              </w:rPr>
              <w:t>ern</w:t>
            </w:r>
            <w:r w:rsidRPr="005D654C">
              <w:rPr>
                <w:rFonts w:ascii="Arial Narrow" w:hAnsi="Arial Narrow" w:cs="Times New Roman"/>
                <w:sz w:val="20"/>
                <w:szCs w:val="20"/>
              </w:rPr>
              <w:t xml:space="preserve">, and 30.3% from the </w:t>
            </w:r>
            <w:r w:rsidR="001C067F">
              <w:rPr>
                <w:rFonts w:ascii="Arial Narrow" w:hAnsi="Arial Narrow" w:cs="Times New Roman"/>
                <w:sz w:val="20"/>
                <w:szCs w:val="20"/>
              </w:rPr>
              <w:t>c</w:t>
            </w:r>
            <w:r w:rsidRPr="005D654C">
              <w:rPr>
                <w:rFonts w:ascii="Arial Narrow" w:hAnsi="Arial Narrow" w:cs="Times New Roman"/>
                <w:sz w:val="20"/>
                <w:szCs w:val="20"/>
              </w:rPr>
              <w:t>entral</w:t>
            </w:r>
            <w:r w:rsidR="00DD7F8A">
              <w:rPr>
                <w:rFonts w:ascii="Arial Narrow" w:hAnsi="Arial Narrow" w:cs="Times New Roman"/>
                <w:sz w:val="20"/>
                <w:szCs w:val="20"/>
              </w:rPr>
              <w:t>,</w:t>
            </w:r>
            <w:r w:rsidRPr="005D654C">
              <w:rPr>
                <w:rFonts w:ascii="Arial Narrow" w:hAnsi="Arial Narrow" w:cs="Times New Roman"/>
                <w:sz w:val="20"/>
                <w:szCs w:val="20"/>
              </w:rPr>
              <w:t xml:space="preserve"> </w:t>
            </w:r>
            <w:r w:rsidR="001C067F">
              <w:rPr>
                <w:rFonts w:ascii="Arial Narrow" w:hAnsi="Arial Narrow" w:cs="Times New Roman"/>
                <w:sz w:val="20"/>
                <w:szCs w:val="20"/>
              </w:rPr>
              <w:t>s</w:t>
            </w:r>
            <w:r w:rsidRPr="005D654C">
              <w:rPr>
                <w:rFonts w:ascii="Arial Narrow" w:hAnsi="Arial Narrow" w:cs="Times New Roman"/>
                <w:sz w:val="20"/>
                <w:szCs w:val="20"/>
              </w:rPr>
              <w:t>tates.</w:t>
            </w:r>
          </w:p>
        </w:tc>
        <w:tc>
          <w:tcPr>
            <w:tcW w:w="3685" w:type="dxa"/>
            <w:tcBorders>
              <w:bottom w:val="single" w:sz="4" w:space="0" w:color="auto"/>
            </w:tcBorders>
          </w:tcPr>
          <w:p w14:paraId="14537BB5"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Samples were analysed using one of two mutation panels comprising 70 or 86 mutations, using a pooled ASOH strategy.</w:t>
            </w:r>
          </w:p>
          <w:p w14:paraId="61BD8048" w14:textId="26CAD748"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The 86-mutation panel included 63 mutations in common with the 70-mutation panel </w:t>
            </w:r>
            <w:r w:rsidR="00DD7F8A">
              <w:rPr>
                <w:rFonts w:ascii="Arial Narrow" w:hAnsi="Arial Narrow" w:cs="Times New Roman"/>
                <w:sz w:val="20"/>
                <w:szCs w:val="20"/>
              </w:rPr>
              <w:t xml:space="preserve">and </w:t>
            </w:r>
            <w:r w:rsidRPr="005D654C">
              <w:rPr>
                <w:rFonts w:ascii="Arial Narrow" w:hAnsi="Arial Narrow" w:cs="Times New Roman"/>
                <w:sz w:val="20"/>
                <w:szCs w:val="20"/>
              </w:rPr>
              <w:t xml:space="preserve">an additional 23 mutations, and excluded </w:t>
            </w:r>
            <w:r w:rsidR="00DD7F8A">
              <w:rPr>
                <w:rFonts w:ascii="Arial Narrow" w:hAnsi="Arial Narrow" w:cs="Times New Roman"/>
                <w:sz w:val="20"/>
                <w:szCs w:val="20"/>
              </w:rPr>
              <w:t>7</w:t>
            </w:r>
            <w:r w:rsidR="00DD7F8A" w:rsidRPr="005D654C">
              <w:rPr>
                <w:rFonts w:ascii="Arial Narrow" w:hAnsi="Arial Narrow" w:cs="Times New Roman"/>
                <w:sz w:val="20"/>
                <w:szCs w:val="20"/>
              </w:rPr>
              <w:t xml:space="preserve"> </w:t>
            </w:r>
            <w:r w:rsidRPr="005D654C">
              <w:rPr>
                <w:rFonts w:ascii="Arial Narrow" w:hAnsi="Arial Narrow" w:cs="Times New Roman"/>
                <w:sz w:val="20"/>
                <w:szCs w:val="20"/>
              </w:rPr>
              <w:t>mutations in the 70-mutation panel</w:t>
            </w:r>
          </w:p>
        </w:tc>
        <w:tc>
          <w:tcPr>
            <w:tcW w:w="2268" w:type="dxa"/>
            <w:tcBorders>
              <w:bottom w:val="single" w:sz="4" w:space="0" w:color="auto"/>
            </w:tcBorders>
          </w:tcPr>
          <w:p w14:paraId="3DEF2678" w14:textId="72E1BA8A"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Clinical diagnosis</w:t>
            </w:r>
            <w:r w:rsidR="00DD7F8A">
              <w:rPr>
                <w:rFonts w:ascii="Arial Narrow" w:hAnsi="Arial Narrow" w:cs="Times New Roman"/>
                <w:sz w:val="20"/>
                <w:szCs w:val="20"/>
              </w:rPr>
              <w:t>;</w:t>
            </w:r>
            <w:r w:rsidRPr="005D654C">
              <w:rPr>
                <w:rFonts w:ascii="Arial Narrow" w:hAnsi="Arial Narrow" w:cs="Times New Roman"/>
                <w:sz w:val="20"/>
                <w:szCs w:val="20"/>
              </w:rPr>
              <w:t xml:space="preserve"> </w:t>
            </w:r>
            <w:r w:rsidR="00DD7F8A">
              <w:rPr>
                <w:rFonts w:ascii="Arial Narrow" w:hAnsi="Arial Narrow" w:cs="Times New Roman"/>
                <w:sz w:val="20"/>
                <w:szCs w:val="20"/>
              </w:rPr>
              <w:t>n</w:t>
            </w:r>
            <w:r w:rsidRPr="005D654C">
              <w:rPr>
                <w:rFonts w:ascii="Arial Narrow" w:hAnsi="Arial Narrow" w:cs="Times New Roman"/>
                <w:sz w:val="20"/>
                <w:szCs w:val="20"/>
              </w:rPr>
              <w:t>o details given</w:t>
            </w:r>
          </w:p>
        </w:tc>
      </w:tr>
      <w:tr w:rsidR="005D654C" w:rsidRPr="005D654C" w14:paraId="004A2BF0" w14:textId="77777777" w:rsidTr="00935F84">
        <w:trPr>
          <w:cantSplit/>
        </w:trPr>
        <w:tc>
          <w:tcPr>
            <w:tcW w:w="1242" w:type="dxa"/>
            <w:tcBorders>
              <w:bottom w:val="single" w:sz="4" w:space="0" w:color="auto"/>
            </w:tcBorders>
          </w:tcPr>
          <w:p w14:paraId="117FB97C" w14:textId="38BE11EC"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Houdayer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Houdayer&lt;/Author&gt;&lt;Year&gt;1998&lt;/Year&gt;&lt;RecNum&gt;899&lt;/RecNum&gt;&lt;IDText&gt;1346-1348&lt;/IDText&gt;&lt;DisplayText&gt;(1998)&lt;/DisplayText&gt;&lt;record&gt;&lt;rec-number&gt;899&lt;/rec-number&gt;&lt;foreign-keys&gt;&lt;key app="EN" db-id="parffa0acae2voep5w3vv9rypas2tr522eef" timestamp="1430369620"&gt;899&lt;/key&gt;&lt;/foreign-keys&gt;&lt;ref-type name="Journal Article"&gt;17&lt;/ref-type&gt;&lt;contributors&gt;&lt;authors&gt;&lt;author&gt;Houdayer, C.&lt;/author&gt;&lt;author&gt;Cazeneuve, C.&lt;/author&gt;&lt;author&gt;Cougoureux, E.&lt;/author&gt;&lt;author&gt;Magnier, C.&lt;/author&gt;&lt;author&gt;Tredano, M.&lt;/author&gt;&lt;author&gt;Aymard, P.&lt;/author&gt;&lt;author&gt;Goossens, M.&lt;/author&gt;&lt;author&gt;Feldmann, D.&lt;/author&gt;&lt;/authors&gt;&lt;/contributors&gt;&lt;auth-address&gt;Department of Clinical Biochemistry, Hôpital Armand Trousseau, 75012 Paris, France&amp;#xD;Dept. of Biochem. and Molec. Genet., Hôpital Henri Mondor, 94010 Creteil, France&lt;/auth-address&gt;&lt;titles&gt;&lt;title&gt;Clinical evaluation of the CF(12)m cystic fibrosis DNA diagnostic kit&lt;/title&gt;&lt;secondary-title&gt;Clinical Chemistry&lt;/secondary-title&gt;&lt;/titles&gt;&lt;periodical&gt;&lt;full-title&gt;Clinical Chemistry&lt;/full-title&gt;&lt;/periodical&gt;&lt;pages&gt;1346-1348&lt;/pages&gt;&lt;volume&gt;44&lt;/volume&gt;&lt;number&gt;6&lt;/number&gt;&lt;dates&gt;&lt;year&gt;1998&lt;/year&gt;&lt;/dates&gt;&lt;urls&gt;&lt;related-urls&gt;&lt;url&gt;http://www.scopus.com/inward/record.url?eid=2-s2.0-0031747469&amp;amp;partnerID=40&amp;amp;md5=e5d892cbf7e8a2988e74f374f7cd8d18&lt;/url&gt;&lt;url&gt;http://www.clinchem.org/content/44/6/1346.full.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54" w:tooltip="Houdayer, 1998 #899" w:history="1">
              <w:r w:rsidR="00B46ABF">
                <w:rPr>
                  <w:rFonts w:ascii="Arial Narrow" w:eastAsiaTheme="minorHAnsi" w:hAnsi="Arial Narrow" w:cstheme="minorHAnsi"/>
                  <w:noProof/>
                  <w:sz w:val="20"/>
                  <w:szCs w:val="20"/>
                  <w:lang w:eastAsia="en-US"/>
                </w:rPr>
                <w:t>1998</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6BFB7E4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France</w:t>
            </w:r>
          </w:p>
        </w:tc>
        <w:tc>
          <w:tcPr>
            <w:tcW w:w="1985" w:type="dxa"/>
            <w:tcBorders>
              <w:bottom w:val="single" w:sz="4" w:space="0" w:color="auto"/>
            </w:tcBorders>
          </w:tcPr>
          <w:p w14:paraId="2A280E0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5DB02BFD"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A94813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Borders>
              <w:bottom w:val="single" w:sz="4" w:space="0" w:color="auto"/>
            </w:tcBorders>
          </w:tcPr>
          <w:p w14:paraId="3E2F1CC9" w14:textId="53599959"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N=40 DNA samples of known </w:t>
            </w:r>
            <w:r w:rsidR="00FD37D3" w:rsidRPr="00FD37D3">
              <w:rPr>
                <w:rFonts w:ascii="Arial Narrow" w:hAnsi="Arial Narrow" w:cs="Times New Roman"/>
                <w:sz w:val="20"/>
                <w:szCs w:val="20"/>
                <w:lang w:eastAsia="en-US"/>
              </w:rPr>
              <w:t>CFTR</w:t>
            </w:r>
            <w:r w:rsidRPr="005D654C">
              <w:rPr>
                <w:rFonts w:ascii="Arial Narrow" w:hAnsi="Arial Narrow" w:cs="Times New Roman"/>
                <w:sz w:val="20"/>
                <w:szCs w:val="20"/>
                <w:lang w:eastAsia="en-US"/>
              </w:rPr>
              <w:t xml:space="preserve"> mutations</w:t>
            </w:r>
            <w:r w:rsidRPr="005D654C">
              <w:rPr>
                <w:rFonts w:ascii="Times New Roman" w:hAnsi="Times New Roman" w:cs="Times New Roman"/>
                <w:sz w:val="20"/>
                <w:szCs w:val="20"/>
              </w:rPr>
              <w:t xml:space="preserve"> </w:t>
            </w:r>
            <w:r w:rsidRPr="005D654C">
              <w:rPr>
                <w:rFonts w:ascii="Arial Narrow" w:hAnsi="Arial Narrow" w:cs="Times New Roman"/>
                <w:sz w:val="20"/>
                <w:szCs w:val="20"/>
                <w:lang w:eastAsia="en-US"/>
              </w:rPr>
              <w:t>from CF patients or carriers</w:t>
            </w:r>
          </w:p>
        </w:tc>
        <w:tc>
          <w:tcPr>
            <w:tcW w:w="2410" w:type="dxa"/>
            <w:tcBorders>
              <w:bottom w:val="single" w:sz="4" w:space="0" w:color="auto"/>
            </w:tcBorders>
          </w:tcPr>
          <w:p w14:paraId="30702F20"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rPr>
              <w:t>Not reported</w:t>
            </w:r>
          </w:p>
        </w:tc>
        <w:tc>
          <w:tcPr>
            <w:tcW w:w="3685" w:type="dxa"/>
            <w:tcBorders>
              <w:bottom w:val="single" w:sz="4" w:space="0" w:color="auto"/>
            </w:tcBorders>
          </w:tcPr>
          <w:p w14:paraId="5ACCABE0"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The CF(12) ARMS kit was used as recommended by the manufacturer (Zeneca Diagnostics).</w:t>
            </w:r>
          </w:p>
          <w:p w14:paraId="78EA94A0" w14:textId="2F5CD19C"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CF(12) ARMS uses multiplexed ARMS technology, which allows the simultaneous identification of the more prevalent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 in 1 working day.</w:t>
            </w:r>
          </w:p>
        </w:tc>
        <w:tc>
          <w:tcPr>
            <w:tcW w:w="2268" w:type="dxa"/>
            <w:tcBorders>
              <w:bottom w:val="single" w:sz="4" w:space="0" w:color="auto"/>
            </w:tcBorders>
          </w:tcPr>
          <w:p w14:paraId="5A54BFAD" w14:textId="58BE438E"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DNA samples from CF patients or carriers were typed by two genetic testing laboratories by analysis of the 27 exons and the intron</w:t>
            </w:r>
            <w:r w:rsidR="0081298F">
              <w:rPr>
                <w:rFonts w:ascii="Arial Narrow" w:hAnsi="Arial Narrow" w:cs="Times New Roman"/>
                <w:sz w:val="20"/>
                <w:szCs w:val="20"/>
              </w:rPr>
              <w:t>–</w:t>
            </w:r>
            <w:r w:rsidRPr="005D654C">
              <w:rPr>
                <w:rFonts w:ascii="Arial Narrow" w:hAnsi="Arial Narrow" w:cs="Times New Roman"/>
                <w:sz w:val="20"/>
                <w:szCs w:val="20"/>
              </w:rPr>
              <w:t xml:space="preserve">exon boundaries of the </w:t>
            </w:r>
            <w:r w:rsidR="00A21FD9" w:rsidRPr="00A21FD9">
              <w:rPr>
                <w:rFonts w:ascii="Arial Narrow" w:hAnsi="Arial Narrow" w:cs="Times New Roman"/>
                <w:i/>
                <w:sz w:val="20"/>
                <w:szCs w:val="20"/>
              </w:rPr>
              <w:t>CFTR</w:t>
            </w:r>
            <w:r w:rsidRPr="005D654C">
              <w:rPr>
                <w:rFonts w:ascii="Arial Narrow" w:hAnsi="Arial Narrow" w:cs="Times New Roman"/>
                <w:sz w:val="20"/>
                <w:szCs w:val="20"/>
              </w:rPr>
              <w:t xml:space="preserve"> gene</w:t>
            </w:r>
            <w:r w:rsidR="0014117B">
              <w:rPr>
                <w:rFonts w:ascii="Arial Narrow" w:hAnsi="Arial Narrow" w:cs="Times New Roman"/>
                <w:sz w:val="20"/>
                <w:szCs w:val="20"/>
              </w:rPr>
              <w:t>.</w:t>
            </w:r>
          </w:p>
        </w:tc>
      </w:tr>
      <w:tr w:rsidR="005D654C" w:rsidRPr="005D654C" w14:paraId="2CB34A7E" w14:textId="77777777" w:rsidTr="00935F84">
        <w:trPr>
          <w:cantSplit/>
        </w:trPr>
        <w:tc>
          <w:tcPr>
            <w:tcW w:w="1242" w:type="dxa"/>
            <w:tcBorders>
              <w:top w:val="single" w:sz="4" w:space="0" w:color="auto"/>
              <w:left w:val="single" w:sz="4" w:space="0" w:color="auto"/>
              <w:bottom w:val="nil"/>
            </w:tcBorders>
          </w:tcPr>
          <w:p w14:paraId="388452BB" w14:textId="430456C5"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Kanavakis et al. </w:t>
            </w:r>
            <w:r w:rsidR="002C4133">
              <w:rPr>
                <w:rFonts w:ascii="Arial Narrow" w:eastAsiaTheme="minorHAnsi" w:hAnsi="Arial Narrow" w:cstheme="minorHAnsi"/>
                <w:sz w:val="20"/>
                <w:szCs w:val="20"/>
                <w:lang w:eastAsia="en-US"/>
              </w:rPr>
              <w:fldChar w:fldCharType="begin"/>
            </w:r>
            <w:r w:rsidR="002C4133">
              <w:rPr>
                <w:rFonts w:ascii="Arial Narrow" w:eastAsiaTheme="minorHAnsi" w:hAnsi="Arial Narrow" w:cstheme="minorHAnsi"/>
                <w:sz w:val="20"/>
                <w:szCs w:val="20"/>
                <w:lang w:eastAsia="en-US"/>
              </w:rPr>
              <w:instrText xml:space="preserve"> ADDIN EN.CITE &lt;EndNote&gt;&lt;Cite ExcludeAuth="1"&gt;&lt;Author&gt;Kanavakis&lt;/Author&gt;&lt;Year&gt;2003&lt;/Year&gt;&lt;RecNum&gt;119&lt;/RecNum&gt;&lt;IDText&gt;400-409&lt;/IDText&gt;&lt;DisplayText&gt;(2003)&lt;/DisplayText&gt;&lt;record&gt;&lt;rec-number&gt;119&lt;/rec-number&gt;&lt;foreign-keys&gt;&lt;key app="EN" db-id="5e2rp22rqfe5frezsr6x0stksezpdvzfpfav" timestamp="1424405671"&gt;119&lt;/key&gt;&lt;/foreign-keys&gt;&lt;ref-type name="Journal Article"&gt;17&lt;/ref-type&gt;&lt;contributors&gt;&lt;authors&gt;&lt;author&gt;Kanavakis, E.&lt;/author&gt;&lt;author&gt;Efthymiadou, A.&lt;/author&gt;&lt;author&gt;Strofalis, S.&lt;/author&gt;&lt;author&gt;Doudounakis, S.&lt;/author&gt;&lt;author&gt;Traeger-Synodinos, J.&lt;/author&gt;&lt;author&gt;Tzetis, M.&lt;/author&gt;&lt;/authors&gt;&lt;/contributors&gt;&lt;auth-address&gt;Department of Medical Genetics, Athens University, Aghia Sophia Children&amp;apos;s Hospital, Athens 11527, Greece&amp;#xD;Cystic Fibrosis Unit, Aghia Sophia Children&amp;apos;s Hospital, Athens 11527, Greece&lt;/auth-address&gt;&lt;titles&gt;&lt;title&gt;Cystic fibrosis in Greece: Molecular diagnosis, haplotypes, prenatal diagnosis and carrier identification amongst high-risk individuals&lt;/title&gt;&lt;secondary-title&gt;Clinical Genetics&lt;/secondary-title&gt;&lt;/titles&gt;&lt;periodical&gt;&lt;full-title&gt;Clinical Genetics&lt;/full-title&gt;&lt;/periodical&gt;&lt;pages&gt;400-409&lt;/pages&gt;&lt;volume&gt;63&lt;/volume&gt;&lt;number&gt;5&lt;/number&gt;&lt;keywords&gt;&lt;keyword&gt;Cascade screening&lt;/keyword&gt;&lt;keyword&gt;CFTR mutations&lt;/keyword&gt;&lt;keyword&gt;Echogenic bowel&lt;/keyword&gt;&lt;keyword&gt;Haplotypes&lt;/keyword&gt;&lt;keyword&gt;Prenatal diagnosis&lt;/keyword&gt;&lt;/keywords&gt;&lt;dates&gt;&lt;year&gt;2003&lt;/year&gt;&lt;/dates&gt;&lt;urls&gt;&lt;related-urls&gt;&lt;url&gt;http://www.scopus.com/inward/record.url?eid=2-s2.0-0043133693&amp;amp;partnerID=40&amp;amp;md5=46a2ac9afa0f16816f19dbd2eb0ac772&lt;/url&gt;&lt;url&gt;http://onlinelibrary.wiley.com/store/10.1034/j.1399-0004.2003.00067.x/asset/j.1399-0004.2003.00067.x.pdf?v=1&amp;amp;t=i2fc4kri&amp;amp;s=75d83695629f02db936de1dc3a3bc16264bf7c26&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57" w:tooltip="Kanavakis, 2003 #119" w:history="1">
              <w:r w:rsidR="00B46ABF">
                <w:rPr>
                  <w:rFonts w:ascii="Arial Narrow" w:eastAsiaTheme="minorHAnsi" w:hAnsi="Arial Narrow" w:cstheme="minorHAnsi"/>
                  <w:noProof/>
                  <w:sz w:val="20"/>
                  <w:szCs w:val="20"/>
                  <w:lang w:eastAsia="en-US"/>
                </w:rPr>
                <w:t>2003</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4766A0C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Greece</w:t>
            </w:r>
          </w:p>
        </w:tc>
        <w:tc>
          <w:tcPr>
            <w:tcW w:w="1985" w:type="dxa"/>
            <w:tcBorders>
              <w:top w:val="single" w:sz="4" w:space="0" w:color="auto"/>
              <w:bottom w:val="nil"/>
            </w:tcBorders>
          </w:tcPr>
          <w:p w14:paraId="47330082"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0AA74BA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4F0D0F2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Borders>
              <w:top w:val="single" w:sz="4" w:space="0" w:color="auto"/>
              <w:bottom w:val="nil"/>
            </w:tcBorders>
          </w:tcPr>
          <w:p w14:paraId="430AC600"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N=874 chromosomes from 437 CF patients</w:t>
            </w:r>
          </w:p>
        </w:tc>
        <w:tc>
          <w:tcPr>
            <w:tcW w:w="2410" w:type="dxa"/>
            <w:tcBorders>
              <w:top w:val="single" w:sz="4" w:space="0" w:color="auto"/>
              <w:bottom w:val="nil"/>
            </w:tcBorders>
          </w:tcPr>
          <w:p w14:paraId="0F5AB363"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u w:val="single"/>
                <w:lang w:eastAsia="en-US"/>
              </w:rPr>
            </w:pPr>
            <w:r w:rsidRPr="005D654C">
              <w:rPr>
                <w:rFonts w:ascii="Arial Narrow" w:eastAsiaTheme="minorHAnsi" w:hAnsi="Arial Narrow" w:cstheme="minorHAnsi"/>
                <w:sz w:val="20"/>
                <w:szCs w:val="20"/>
                <w:u w:val="single"/>
                <w:lang w:eastAsia="en-US"/>
              </w:rPr>
              <w:t>Inclusion criteria:</w:t>
            </w:r>
          </w:p>
          <w:p w14:paraId="25A09816" w14:textId="2CB257B3"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Patients of Greek origin who attend</w:t>
            </w:r>
            <w:r w:rsidR="004E58F7">
              <w:rPr>
                <w:rFonts w:ascii="Arial Narrow" w:eastAsiaTheme="minorHAnsi" w:hAnsi="Arial Narrow" w:cstheme="minorHAnsi"/>
                <w:sz w:val="20"/>
                <w:szCs w:val="20"/>
                <w:lang w:eastAsia="en-US"/>
              </w:rPr>
              <w:t>ed</w:t>
            </w:r>
            <w:r w:rsidRPr="005D654C">
              <w:rPr>
                <w:rFonts w:ascii="Arial Narrow" w:eastAsiaTheme="minorHAnsi" w:hAnsi="Arial Narrow" w:cstheme="minorHAnsi"/>
                <w:sz w:val="20"/>
                <w:szCs w:val="20"/>
                <w:lang w:eastAsia="en-US"/>
              </w:rPr>
              <w:t xml:space="preserve"> the Cystic Fibrosis Unit of St Sophia’s Children’s Hospital</w:t>
            </w:r>
          </w:p>
        </w:tc>
        <w:tc>
          <w:tcPr>
            <w:tcW w:w="3685" w:type="dxa"/>
            <w:tcBorders>
              <w:top w:val="single" w:sz="4" w:space="0" w:color="auto"/>
              <w:bottom w:val="nil"/>
            </w:tcBorders>
          </w:tcPr>
          <w:p w14:paraId="1CF74389" w14:textId="16E22531"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The 27 exons and neighbouring intronic regions of the </w:t>
            </w:r>
            <w:r w:rsidR="00A21FD9" w:rsidRPr="00A21FD9">
              <w:rPr>
                <w:rFonts w:ascii="Arial Narrow" w:eastAsiaTheme="minorHAnsi" w:hAnsi="Arial Narrow" w:cstheme="minorHAnsi"/>
                <w:i/>
                <w:sz w:val="20"/>
                <w:szCs w:val="20"/>
                <w:lang w:eastAsia="en-US"/>
              </w:rPr>
              <w:t>CFTR</w:t>
            </w:r>
            <w:r w:rsidRPr="005D654C">
              <w:rPr>
                <w:rFonts w:ascii="Arial Narrow" w:eastAsiaTheme="minorHAnsi" w:hAnsi="Arial Narrow" w:cstheme="minorHAnsi"/>
                <w:sz w:val="20"/>
                <w:szCs w:val="20"/>
                <w:lang w:eastAsia="en-US"/>
              </w:rPr>
              <w:t xml:space="preserve"> gene were assessed by DGGE. All DNA samples showing a shift in mobility and not presenting a pattern of a known mutation were sequenced.</w:t>
            </w:r>
          </w:p>
        </w:tc>
        <w:tc>
          <w:tcPr>
            <w:tcW w:w="2268" w:type="dxa"/>
            <w:tcBorders>
              <w:top w:val="single" w:sz="4" w:space="0" w:color="auto"/>
              <w:bottom w:val="nil"/>
              <w:right w:val="single" w:sz="4" w:space="0" w:color="auto"/>
            </w:tcBorders>
          </w:tcPr>
          <w:p w14:paraId="54E6937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Diagnostic criteria involved positive sweat tests and typical clinical findings of pulmonary and gastrointestinal disease.</w:t>
            </w:r>
          </w:p>
        </w:tc>
      </w:tr>
      <w:tr w:rsidR="005D654C" w:rsidRPr="005D654C" w14:paraId="6AE65283" w14:textId="77777777" w:rsidTr="00935F84">
        <w:trPr>
          <w:cantSplit/>
        </w:trPr>
        <w:tc>
          <w:tcPr>
            <w:tcW w:w="1242" w:type="dxa"/>
            <w:tcBorders>
              <w:top w:val="nil"/>
              <w:left w:val="single" w:sz="4" w:space="0" w:color="auto"/>
              <w:bottom w:val="nil"/>
            </w:tcBorders>
          </w:tcPr>
          <w:p w14:paraId="753D8196" w14:textId="77777777" w:rsidR="005D654C" w:rsidRPr="005D654C" w:rsidRDefault="005D654C" w:rsidP="004566DC">
            <w:pPr>
              <w:spacing w:after="40" w:line="240" w:lineRule="auto"/>
              <w:jc w:val="left"/>
              <w:rPr>
                <w:rFonts w:ascii="Arial Narrow" w:eastAsiaTheme="minorHAnsi" w:hAnsi="Arial Narrow" w:cstheme="minorHAnsi"/>
                <w:color w:val="FFFFFF" w:themeColor="background1"/>
                <w:sz w:val="20"/>
                <w:szCs w:val="20"/>
                <w:lang w:eastAsia="en-US"/>
              </w:rPr>
            </w:pPr>
            <w:r w:rsidRPr="005D654C">
              <w:rPr>
                <w:rFonts w:ascii="Arial Narrow" w:eastAsiaTheme="minorHAnsi" w:hAnsi="Arial Narrow" w:cstheme="minorHAnsi"/>
                <w:color w:val="FFFFFF" w:themeColor="background1"/>
                <w:sz w:val="20"/>
                <w:szCs w:val="20"/>
                <w:lang w:eastAsia="en-US"/>
              </w:rPr>
              <w:t>Kanavakis et al. 2003</w:t>
            </w:r>
          </w:p>
          <w:p w14:paraId="53A15213" w14:textId="77777777" w:rsidR="005D654C" w:rsidRPr="005D654C" w:rsidRDefault="005D654C" w:rsidP="004566DC">
            <w:pPr>
              <w:spacing w:after="40" w:line="240" w:lineRule="auto"/>
              <w:jc w:val="left"/>
              <w:rPr>
                <w:rFonts w:ascii="Arial Narrow" w:eastAsiaTheme="minorHAnsi" w:hAnsi="Arial Narrow" w:cstheme="minorHAnsi"/>
                <w:color w:val="FFFFFF" w:themeColor="background1"/>
                <w:sz w:val="20"/>
                <w:szCs w:val="20"/>
                <w:lang w:eastAsia="en-US"/>
              </w:rPr>
            </w:pPr>
            <w:r w:rsidRPr="005D654C">
              <w:rPr>
                <w:rFonts w:ascii="Arial Narrow" w:eastAsiaTheme="minorHAnsi" w:hAnsi="Arial Narrow" w:cstheme="minorHAnsi"/>
                <w:color w:val="FFFFFF" w:themeColor="background1"/>
                <w:sz w:val="20"/>
                <w:szCs w:val="20"/>
                <w:lang w:eastAsia="en-US"/>
              </w:rPr>
              <w:t>Greece</w:t>
            </w:r>
          </w:p>
        </w:tc>
        <w:tc>
          <w:tcPr>
            <w:tcW w:w="1985" w:type="dxa"/>
            <w:tcBorders>
              <w:top w:val="nil"/>
              <w:bottom w:val="nil"/>
            </w:tcBorders>
          </w:tcPr>
          <w:p w14:paraId="6ED6830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66DCBD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Borders>
              <w:top w:val="nil"/>
              <w:bottom w:val="nil"/>
            </w:tcBorders>
          </w:tcPr>
          <w:p w14:paraId="2D318305" w14:textId="765DE999"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N=115 prenatal diagnoses, the majority of families ha</w:t>
            </w:r>
            <w:r w:rsidR="004E58F7">
              <w:rPr>
                <w:rFonts w:ascii="Arial Narrow" w:eastAsiaTheme="minorHAnsi" w:hAnsi="Arial Narrow" w:cstheme="minorHAnsi"/>
                <w:sz w:val="20"/>
                <w:szCs w:val="20"/>
                <w:lang w:eastAsia="en-US"/>
              </w:rPr>
              <w:t>ving</w:t>
            </w:r>
            <w:r w:rsidRPr="005D654C">
              <w:rPr>
                <w:rFonts w:ascii="Arial Narrow" w:eastAsiaTheme="minorHAnsi" w:hAnsi="Arial Narrow" w:cstheme="minorHAnsi"/>
                <w:sz w:val="20"/>
                <w:szCs w:val="20"/>
                <w:lang w:eastAsia="en-US"/>
              </w:rPr>
              <w:t xml:space="preserve"> at least </w:t>
            </w:r>
            <w:r w:rsidR="00BB0B34">
              <w:rPr>
                <w:rFonts w:ascii="Arial Narrow" w:eastAsiaTheme="minorHAnsi" w:hAnsi="Arial Narrow" w:cstheme="minorHAnsi"/>
                <w:sz w:val="20"/>
                <w:szCs w:val="20"/>
                <w:lang w:eastAsia="en-US"/>
              </w:rPr>
              <w:t>1</w:t>
            </w:r>
            <w:r w:rsidR="004E58F7"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affected child</w:t>
            </w:r>
          </w:p>
        </w:tc>
        <w:tc>
          <w:tcPr>
            <w:tcW w:w="2410" w:type="dxa"/>
            <w:tcBorders>
              <w:top w:val="nil"/>
              <w:bottom w:val="nil"/>
            </w:tcBorders>
          </w:tcPr>
          <w:p w14:paraId="5F7C2C15"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Not reported</w:t>
            </w:r>
          </w:p>
        </w:tc>
        <w:tc>
          <w:tcPr>
            <w:tcW w:w="3685" w:type="dxa"/>
            <w:tcBorders>
              <w:top w:val="nil"/>
              <w:bottom w:val="nil"/>
            </w:tcBorders>
          </w:tcPr>
          <w:p w14:paraId="39B41698" w14:textId="64082115"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combination of DGGE and PCR</w:t>
            </w:r>
            <w:r w:rsidR="004E58F7">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mediated site-directed mutagenesis was used for confirmation of the mutation(s) for each diagnosis, which included re-testing of sample DNA from parents and healthy and/or affected siblings.</w:t>
            </w:r>
          </w:p>
        </w:tc>
        <w:tc>
          <w:tcPr>
            <w:tcW w:w="2268" w:type="dxa"/>
            <w:tcBorders>
              <w:top w:val="nil"/>
              <w:bottom w:val="nil"/>
              <w:right w:val="single" w:sz="4" w:space="0" w:color="auto"/>
            </w:tcBorders>
          </w:tcPr>
          <w:p w14:paraId="4CD38D7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Clinical diagnosis of child after birth</w:t>
            </w:r>
          </w:p>
        </w:tc>
      </w:tr>
      <w:tr w:rsidR="005D654C" w:rsidRPr="005D654C" w14:paraId="0EDAE3DE" w14:textId="77777777" w:rsidTr="00935F84">
        <w:trPr>
          <w:cantSplit/>
        </w:trPr>
        <w:tc>
          <w:tcPr>
            <w:tcW w:w="1242" w:type="dxa"/>
            <w:tcBorders>
              <w:top w:val="nil"/>
              <w:left w:val="single" w:sz="4" w:space="0" w:color="auto"/>
              <w:bottom w:val="single" w:sz="4" w:space="0" w:color="auto"/>
            </w:tcBorders>
          </w:tcPr>
          <w:p w14:paraId="20F84E59" w14:textId="77777777" w:rsidR="005D654C" w:rsidRPr="005D654C" w:rsidRDefault="005D654C" w:rsidP="004566DC">
            <w:pPr>
              <w:spacing w:after="40" w:line="240" w:lineRule="auto"/>
              <w:jc w:val="left"/>
              <w:rPr>
                <w:rFonts w:ascii="Arial Narrow" w:eastAsiaTheme="minorHAnsi" w:hAnsi="Arial Narrow" w:cstheme="minorHAnsi"/>
                <w:color w:val="FFFFFF" w:themeColor="background1"/>
                <w:sz w:val="20"/>
                <w:szCs w:val="20"/>
                <w:lang w:eastAsia="en-US"/>
              </w:rPr>
            </w:pPr>
            <w:r w:rsidRPr="005D654C">
              <w:rPr>
                <w:rFonts w:ascii="Arial Narrow" w:eastAsiaTheme="minorHAnsi" w:hAnsi="Arial Narrow" w:cstheme="minorHAnsi"/>
                <w:color w:val="FFFFFF" w:themeColor="background1"/>
                <w:sz w:val="20"/>
                <w:szCs w:val="20"/>
                <w:lang w:eastAsia="en-US"/>
              </w:rPr>
              <w:t>Kanavakis et al. 2003</w:t>
            </w:r>
          </w:p>
          <w:p w14:paraId="70E26F64" w14:textId="77777777" w:rsidR="005D654C" w:rsidRPr="005D654C" w:rsidRDefault="005D654C" w:rsidP="004566DC">
            <w:pPr>
              <w:spacing w:after="40" w:line="240" w:lineRule="auto"/>
              <w:jc w:val="left"/>
              <w:rPr>
                <w:rFonts w:ascii="Arial Narrow" w:eastAsiaTheme="minorHAnsi" w:hAnsi="Arial Narrow" w:cstheme="minorHAnsi"/>
                <w:color w:val="FFFFFF" w:themeColor="background1"/>
                <w:sz w:val="20"/>
                <w:szCs w:val="20"/>
                <w:lang w:eastAsia="en-US"/>
              </w:rPr>
            </w:pPr>
            <w:r w:rsidRPr="005D654C">
              <w:rPr>
                <w:rFonts w:ascii="Arial Narrow" w:eastAsiaTheme="minorHAnsi" w:hAnsi="Arial Narrow" w:cstheme="minorHAnsi"/>
                <w:color w:val="FFFFFF" w:themeColor="background1"/>
                <w:sz w:val="20"/>
                <w:szCs w:val="20"/>
                <w:lang w:eastAsia="en-US"/>
              </w:rPr>
              <w:t>Greece</w:t>
            </w:r>
          </w:p>
        </w:tc>
        <w:tc>
          <w:tcPr>
            <w:tcW w:w="1985" w:type="dxa"/>
            <w:tcBorders>
              <w:top w:val="nil"/>
              <w:bottom w:val="single" w:sz="4" w:space="0" w:color="auto"/>
            </w:tcBorders>
          </w:tcPr>
          <w:p w14:paraId="39D83EF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37F4A2C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3F16BC8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Borders>
              <w:top w:val="nil"/>
              <w:bottom w:val="single" w:sz="4" w:space="0" w:color="auto"/>
            </w:tcBorders>
          </w:tcPr>
          <w:p w14:paraId="664CA039" w14:textId="346DE854"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N=49 samples</w:t>
            </w:r>
            <w:r w:rsidR="00426451">
              <w:rPr>
                <w:rFonts w:ascii="Arial Narrow" w:eastAsiaTheme="minorHAnsi" w:hAnsi="Arial Narrow" w:cstheme="minorHAnsi"/>
                <w:sz w:val="20"/>
                <w:szCs w:val="20"/>
                <w:lang w:eastAsia="en-US"/>
              </w:rPr>
              <w:t xml:space="preserve"> collected through CVS or amniocentesis</w:t>
            </w:r>
            <w:r w:rsidRPr="005D654C">
              <w:rPr>
                <w:rFonts w:ascii="Arial Narrow" w:eastAsiaTheme="minorHAnsi" w:hAnsi="Arial Narrow" w:cstheme="minorHAnsi"/>
                <w:sz w:val="20"/>
                <w:szCs w:val="20"/>
                <w:lang w:eastAsia="en-US"/>
              </w:rPr>
              <w:t xml:space="preserve"> from fetus</w:t>
            </w:r>
            <w:r w:rsidR="00BB0B34">
              <w:rPr>
                <w:rFonts w:ascii="Arial Narrow" w:eastAsiaTheme="minorHAnsi" w:hAnsi="Arial Narrow" w:cstheme="minorHAnsi"/>
                <w:sz w:val="20"/>
                <w:szCs w:val="20"/>
                <w:lang w:eastAsia="en-US"/>
              </w:rPr>
              <w:t>es</w:t>
            </w:r>
            <w:r w:rsidRPr="005D654C">
              <w:rPr>
                <w:rFonts w:ascii="Arial Narrow" w:eastAsiaTheme="minorHAnsi" w:hAnsi="Arial Narrow" w:cstheme="minorHAnsi"/>
                <w:sz w:val="20"/>
                <w:szCs w:val="20"/>
                <w:lang w:eastAsia="en-US"/>
              </w:rPr>
              <w:t xml:space="preserve"> due to FEB detected during routine ultrasound</w:t>
            </w:r>
          </w:p>
        </w:tc>
        <w:tc>
          <w:tcPr>
            <w:tcW w:w="2410" w:type="dxa"/>
            <w:tcBorders>
              <w:top w:val="nil"/>
              <w:bottom w:val="single" w:sz="4" w:space="0" w:color="auto"/>
            </w:tcBorders>
          </w:tcPr>
          <w:p w14:paraId="24ABA897"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Not reported</w:t>
            </w:r>
          </w:p>
        </w:tc>
        <w:tc>
          <w:tcPr>
            <w:tcW w:w="3685" w:type="dxa"/>
            <w:tcBorders>
              <w:top w:val="nil"/>
              <w:bottom w:val="single" w:sz="4" w:space="0" w:color="auto"/>
            </w:tcBorders>
          </w:tcPr>
          <w:p w14:paraId="686F6253" w14:textId="7CB98244"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The 27 exons and neighbouring intronic regions of the </w:t>
            </w:r>
            <w:r w:rsidR="00A21FD9" w:rsidRPr="00A21FD9">
              <w:rPr>
                <w:rFonts w:ascii="Arial Narrow" w:eastAsiaTheme="minorHAnsi" w:hAnsi="Arial Narrow" w:cstheme="minorHAnsi"/>
                <w:i/>
                <w:sz w:val="20"/>
                <w:szCs w:val="20"/>
                <w:lang w:eastAsia="en-US"/>
              </w:rPr>
              <w:t>CFTR</w:t>
            </w:r>
            <w:r w:rsidRPr="005D654C">
              <w:rPr>
                <w:rFonts w:ascii="Arial Narrow" w:eastAsiaTheme="minorHAnsi" w:hAnsi="Arial Narrow" w:cstheme="minorHAnsi"/>
                <w:sz w:val="20"/>
                <w:szCs w:val="20"/>
                <w:lang w:eastAsia="en-US"/>
              </w:rPr>
              <w:t xml:space="preserve"> gene were assessed by DGGE. All DNA samples showing a shift in mobility and not presenting a pattern of a known mutation were sequenced.</w:t>
            </w:r>
          </w:p>
        </w:tc>
        <w:tc>
          <w:tcPr>
            <w:tcW w:w="2268" w:type="dxa"/>
            <w:tcBorders>
              <w:top w:val="nil"/>
              <w:bottom w:val="single" w:sz="4" w:space="0" w:color="auto"/>
              <w:right w:val="single" w:sz="4" w:space="0" w:color="auto"/>
            </w:tcBorders>
          </w:tcPr>
          <w:p w14:paraId="141BF035"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Clinical outcomes not reported</w:t>
            </w:r>
          </w:p>
        </w:tc>
      </w:tr>
      <w:tr w:rsidR="005D654C" w:rsidRPr="005D654C" w14:paraId="5281D78E" w14:textId="77777777" w:rsidTr="00935F84">
        <w:trPr>
          <w:cantSplit/>
        </w:trPr>
        <w:tc>
          <w:tcPr>
            <w:tcW w:w="1242" w:type="dxa"/>
            <w:tcBorders>
              <w:top w:val="single" w:sz="4" w:space="0" w:color="auto"/>
            </w:tcBorders>
          </w:tcPr>
          <w:p w14:paraId="7E64817A" w14:textId="7791F33C"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Lay-Son et al. </w:t>
            </w:r>
            <w:r w:rsidR="002C4133">
              <w:rPr>
                <w:rFonts w:ascii="Arial Narrow" w:eastAsiaTheme="minorHAnsi" w:hAnsi="Arial Narrow" w:cstheme="minorHAnsi"/>
                <w:sz w:val="20"/>
                <w:szCs w:val="20"/>
                <w:lang w:eastAsia="en-US"/>
              </w:rPr>
              <w:fldChar w:fldCharType="begin"/>
            </w:r>
            <w:r w:rsidR="002C4133">
              <w:rPr>
                <w:rFonts w:ascii="Arial Narrow" w:eastAsiaTheme="minorHAnsi" w:hAnsi="Arial Narrow" w:cstheme="minorHAnsi"/>
                <w:sz w:val="20"/>
                <w:szCs w:val="20"/>
                <w:lang w:eastAsia="en-US"/>
              </w:rPr>
              <w:instrText xml:space="preserve"> ADDIN EN.CITE &lt;EndNote&gt;&lt;Cite ExcludeAuth="1"&gt;&lt;Author&gt;Lay-Son&lt;/Author&gt;&lt;Year&gt;2011&lt;/Year&gt;&lt;RecNum&gt;121&lt;/RecNum&gt;&lt;IDText&gt;66-70&lt;/IDText&gt;&lt;DisplayText&gt;(2011)&lt;/DisplayText&gt;&lt;record&gt;&lt;rec-number&gt;121&lt;/rec-number&gt;&lt;foreign-keys&gt;&lt;key app="EN" db-id="5e2rp22rqfe5frezsr6x0stksezpdvzfpfav" timestamp="1424405671"&gt;121&lt;/key&gt;&lt;/foreign-keys&gt;&lt;ref-type name="Journal Article"&gt;17&lt;/ref-type&gt;&lt;contributors&gt;&lt;authors&gt;&lt;author&gt;Lay-Son, G.&lt;/author&gt;&lt;author&gt;Puga, A.&lt;/author&gt;&lt;author&gt;Astudillo, P.&lt;/author&gt;&lt;author&gt;Repetto, G. M.&lt;/author&gt;&lt;/authors&gt;&lt;/contributors&gt;&lt;auth-address&gt;Center for Human Genetics, Facultad de Medicina Clínica Alemana, Universidad del Desarrollo, Av. Las Condes 12438, Lo Barnechea, Santiago, 7710162, Chile&amp;#xD;Hospital Dr. Luis Calvo Mackenna, Av. Antonio Varas 360, Providencia, Santiago 7500539, Chile&amp;#xD;Hospital Padre Hurtado, Esperanza 2150, San Ramón, Santiago, 8880465, Chile&amp;#xD;Unidad de Salud Respiratoria - Ministerio de Salud de Chile, Clinica Indisa, Avda. Santa María 1810, Providencia, Santiago 7520378, Chile&lt;/auth-address&gt;&lt;titles&gt;&lt;title&gt;Cystic fibrosis in Chilean patients: Analysis of 36 common CFTR gene mutations&lt;/title&gt;&lt;secondary-title&gt;Journal of Cystic Fibrosis&lt;/secondary-title&gt;&lt;/titles&gt;&lt;periodical&gt;&lt;full-title&gt;Journal of Cystic Fibrosis&lt;/full-title&gt;&lt;/periodical&gt;&lt;pages&gt;66-70&lt;/pages&gt;&lt;volume&gt;10&lt;/volume&gt;&lt;number&gt;1&lt;/number&gt;&lt;keywords&gt;&lt;keyword&gt;Alleles&lt;/keyword&gt;&lt;keyword&gt;CFTR&lt;/keyword&gt;&lt;keyword&gt;Chile&lt;/keyword&gt;&lt;keyword&gt;Cystic fibrosis&lt;/keyword&gt;&lt;keyword&gt;P.F508del&lt;/keyword&gt;&lt;/keywords&gt;&lt;dates&gt;&lt;year&gt;2011&lt;/year&gt;&lt;/dates&gt;&lt;urls&gt;&lt;related-urls&gt;&lt;url&gt;http://www.scopus.com/inward/record.url?eid=2-s2.0-78651431972&amp;amp;partnerID=40&amp;amp;md5=f622b302f27072b2569445924b1fac31&lt;/url&gt;&lt;url&gt;http://ac.els-cdn.com/S1569199310001438/1-s2.0-S1569199310001438-main.pdf?_tid=e10d41b4-6ac5-11e4-8607-00000aab0f02&amp;amp;acdnat=1415836064_bbc98ff1cbb9e6247bbbad5c47f3c228&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69" w:tooltip="Lay-Son, 2011 #121" w:history="1">
              <w:r w:rsidR="00B46ABF">
                <w:rPr>
                  <w:rFonts w:ascii="Arial Narrow" w:eastAsiaTheme="minorHAnsi" w:hAnsi="Arial Narrow" w:cstheme="minorHAnsi"/>
                  <w:noProof/>
                  <w:sz w:val="20"/>
                  <w:szCs w:val="20"/>
                  <w:lang w:eastAsia="en-US"/>
                </w:rPr>
                <w:t>2011</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70C8309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Chile</w:t>
            </w:r>
          </w:p>
        </w:tc>
        <w:tc>
          <w:tcPr>
            <w:tcW w:w="1985" w:type="dxa"/>
            <w:tcBorders>
              <w:top w:val="single" w:sz="4" w:space="0" w:color="auto"/>
            </w:tcBorders>
          </w:tcPr>
          <w:p w14:paraId="4AFDC44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046008D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against independent, blinded reference standard among non-consecutive patients</w:t>
            </w:r>
          </w:p>
          <w:p w14:paraId="73404EF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Borders>
              <w:top w:val="single" w:sz="4" w:space="0" w:color="auto"/>
            </w:tcBorders>
          </w:tcPr>
          <w:p w14:paraId="052317CE"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N=578 chromosomes from 289 patients with CF</w:t>
            </w:r>
          </w:p>
        </w:tc>
        <w:tc>
          <w:tcPr>
            <w:tcW w:w="2410" w:type="dxa"/>
            <w:tcBorders>
              <w:top w:val="single" w:sz="4" w:space="0" w:color="auto"/>
            </w:tcBorders>
          </w:tcPr>
          <w:p w14:paraId="2E54EFDC"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u w:val="single"/>
                <w:lang w:eastAsia="en-US"/>
              </w:rPr>
            </w:pPr>
            <w:r w:rsidRPr="005D654C">
              <w:rPr>
                <w:rFonts w:ascii="Arial Narrow" w:eastAsiaTheme="minorHAnsi" w:hAnsi="Arial Narrow" w:cstheme="minorHAnsi"/>
                <w:sz w:val="20"/>
                <w:szCs w:val="20"/>
                <w:u w:val="single"/>
                <w:lang w:eastAsia="en-US"/>
              </w:rPr>
              <w:t>Inclusion criteria:</w:t>
            </w:r>
          </w:p>
          <w:p w14:paraId="0B82A357" w14:textId="12FFF95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Patients from the CF National Program of the Ministry of Health of Chile recruited </w:t>
            </w:r>
            <w:r w:rsidR="00317D55">
              <w:rPr>
                <w:rFonts w:ascii="Arial Narrow" w:eastAsiaTheme="minorHAnsi" w:hAnsi="Arial Narrow" w:cstheme="minorHAnsi"/>
                <w:sz w:val="20"/>
                <w:szCs w:val="20"/>
                <w:lang w:eastAsia="en-US"/>
              </w:rPr>
              <w:t>bet</w:t>
            </w:r>
            <w:r w:rsidR="00245F40">
              <w:rPr>
                <w:rFonts w:ascii="Arial Narrow" w:eastAsiaTheme="minorHAnsi" w:hAnsi="Arial Narrow" w:cstheme="minorHAnsi"/>
                <w:sz w:val="20"/>
                <w:szCs w:val="20"/>
                <w:lang w:eastAsia="en-US"/>
              </w:rPr>
              <w:t>w</w:t>
            </w:r>
            <w:r w:rsidR="00317D55">
              <w:rPr>
                <w:rFonts w:ascii="Arial Narrow" w:eastAsiaTheme="minorHAnsi" w:hAnsi="Arial Narrow" w:cstheme="minorHAnsi"/>
                <w:sz w:val="20"/>
                <w:szCs w:val="20"/>
                <w:lang w:eastAsia="en-US"/>
              </w:rPr>
              <w:t>een</w:t>
            </w:r>
            <w:r w:rsidR="00317D55"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March 2004 </w:t>
            </w:r>
            <w:r w:rsidR="00317D55">
              <w:rPr>
                <w:rFonts w:ascii="Arial Narrow" w:eastAsiaTheme="minorHAnsi" w:hAnsi="Arial Narrow" w:cstheme="minorHAnsi"/>
                <w:sz w:val="20"/>
                <w:szCs w:val="20"/>
                <w:lang w:eastAsia="en-US"/>
              </w:rPr>
              <w:t>and</w:t>
            </w:r>
            <w:r w:rsidR="00317D55"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March 2010</w:t>
            </w:r>
          </w:p>
        </w:tc>
        <w:tc>
          <w:tcPr>
            <w:tcW w:w="3685" w:type="dxa"/>
            <w:tcBorders>
              <w:top w:val="single" w:sz="4" w:space="0" w:color="auto"/>
            </w:tcBorders>
          </w:tcPr>
          <w:p w14:paraId="2DC100F8" w14:textId="010D2E90" w:rsidR="005D654C" w:rsidRPr="005D654C" w:rsidRDefault="00FD37D3" w:rsidP="004566DC">
            <w:pPr>
              <w:tabs>
                <w:tab w:val="left" w:pos="744"/>
              </w:tabs>
              <w:spacing w:after="40" w:line="240" w:lineRule="auto"/>
              <w:jc w:val="left"/>
              <w:rPr>
                <w:rFonts w:ascii="Arial Narrow" w:eastAsiaTheme="minorHAnsi" w:hAnsi="Arial Narrow" w:cstheme="minorHAnsi"/>
                <w:sz w:val="20"/>
                <w:szCs w:val="20"/>
                <w:lang w:eastAsia="en-US"/>
              </w:rPr>
            </w:pPr>
            <w:r w:rsidRPr="00FD37D3">
              <w:rPr>
                <w:rFonts w:ascii="Arial Narrow" w:eastAsiaTheme="minorHAnsi" w:hAnsi="Arial Narrow" w:cstheme="minorHAnsi"/>
                <w:sz w:val="20"/>
                <w:szCs w:val="20"/>
                <w:lang w:eastAsia="en-US"/>
              </w:rPr>
              <w:t>CFTR</w:t>
            </w:r>
            <w:r w:rsidR="005D654C" w:rsidRPr="005D654C">
              <w:rPr>
                <w:rFonts w:ascii="Arial Narrow" w:eastAsiaTheme="minorHAnsi" w:hAnsi="Arial Narrow" w:cstheme="minorHAnsi"/>
                <w:sz w:val="20"/>
                <w:szCs w:val="20"/>
                <w:lang w:eastAsia="en-US"/>
              </w:rPr>
              <w:t xml:space="preserve"> mutations were determined by two methods throughout the study period: OLA technology using ‘Cystic Fibrosis v3.0’ (32 mutations) was used from 2004 to 2008, and ‘INNO-LiPA </w:t>
            </w:r>
            <w:r w:rsidRPr="00FD37D3">
              <w:rPr>
                <w:rFonts w:ascii="Arial Narrow" w:eastAsiaTheme="minorHAnsi" w:hAnsi="Arial Narrow" w:cstheme="minorHAnsi"/>
                <w:sz w:val="20"/>
                <w:szCs w:val="20"/>
                <w:lang w:eastAsia="en-US"/>
              </w:rPr>
              <w:t>CFTR</w:t>
            </w:r>
            <w:r w:rsidR="005D654C" w:rsidRPr="005D654C">
              <w:rPr>
                <w:rFonts w:ascii="Arial Narrow" w:eastAsiaTheme="minorHAnsi" w:hAnsi="Arial Narrow" w:cstheme="minorHAnsi"/>
                <w:sz w:val="20"/>
                <w:szCs w:val="20"/>
                <w:lang w:eastAsia="en-US"/>
              </w:rPr>
              <w:t>19/</w:t>
            </w:r>
            <w:r w:rsidRPr="00FD37D3">
              <w:rPr>
                <w:rFonts w:ascii="Arial Narrow" w:eastAsiaTheme="minorHAnsi" w:hAnsi="Arial Narrow" w:cstheme="minorHAnsi"/>
                <w:sz w:val="20"/>
                <w:szCs w:val="20"/>
                <w:lang w:eastAsia="en-US"/>
              </w:rPr>
              <w:t>CFTR</w:t>
            </w:r>
            <w:r w:rsidR="005D654C" w:rsidRPr="005D654C">
              <w:rPr>
                <w:rFonts w:ascii="Arial Narrow" w:eastAsiaTheme="minorHAnsi" w:hAnsi="Arial Narrow" w:cstheme="minorHAnsi"/>
                <w:sz w:val="20"/>
                <w:szCs w:val="20"/>
                <w:lang w:eastAsia="en-US"/>
              </w:rPr>
              <w:t>17+Tn Update’(36 mutations) was used since 2008.</w:t>
            </w:r>
          </w:p>
        </w:tc>
        <w:tc>
          <w:tcPr>
            <w:tcW w:w="2268" w:type="dxa"/>
            <w:tcBorders>
              <w:top w:val="single" w:sz="4" w:space="0" w:color="auto"/>
            </w:tcBorders>
          </w:tcPr>
          <w:p w14:paraId="604F050E" w14:textId="6EE7EF80"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Clinical diagnosis</w:t>
            </w:r>
            <w:r w:rsidR="004E58F7">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 xml:space="preserve"> </w:t>
            </w:r>
            <w:r w:rsidR="004E58F7">
              <w:rPr>
                <w:rFonts w:ascii="Arial Narrow" w:eastAsiaTheme="minorHAnsi" w:hAnsi="Arial Narrow" w:cstheme="minorHAnsi"/>
                <w:sz w:val="20"/>
                <w:szCs w:val="20"/>
                <w:lang w:eastAsia="en-US"/>
              </w:rPr>
              <w:t>d</w:t>
            </w:r>
            <w:r w:rsidRPr="005D654C">
              <w:rPr>
                <w:rFonts w:ascii="Arial Narrow" w:eastAsiaTheme="minorHAnsi" w:hAnsi="Arial Narrow" w:cstheme="minorHAnsi"/>
                <w:sz w:val="20"/>
                <w:szCs w:val="20"/>
                <w:lang w:eastAsia="en-US"/>
              </w:rPr>
              <w:t>etails not described</w:t>
            </w:r>
          </w:p>
        </w:tc>
      </w:tr>
      <w:tr w:rsidR="005D654C" w:rsidRPr="005D654C" w14:paraId="392ADF66" w14:textId="77777777" w:rsidTr="00935F84">
        <w:trPr>
          <w:cantSplit/>
        </w:trPr>
        <w:tc>
          <w:tcPr>
            <w:tcW w:w="1242" w:type="dxa"/>
            <w:tcBorders>
              <w:top w:val="single" w:sz="4" w:space="0" w:color="auto"/>
            </w:tcBorders>
          </w:tcPr>
          <w:p w14:paraId="5A374AE3" w14:textId="65741BE0"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Nagy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ExcludeAuth="1"&gt;&lt;Author&gt;Nagy&lt;/Author&gt;&lt;Year&gt;2007&lt;/Year&gt;&lt;RecNum&gt;982&lt;/RecNum&gt;&lt;IDText&gt;63-67&lt;/IDText&gt;&lt;DisplayText&gt;(2007)&lt;/DisplayText&gt;&lt;record&gt;&lt;rec-number&gt;982&lt;/rec-number&gt;&lt;foreign-keys&gt;&lt;key app="EN" db-id="parffa0acae2voep5w3vv9rypas2tr522eef" timestamp="1430369643"&gt;982&lt;/key&gt;&lt;/foreign-keys&gt;&lt;ref-type name="Journal Article"&gt;17&lt;/ref-type&gt;&lt;contributors&gt;&lt;authors&gt;&lt;author&gt;Nagy, B.&lt;/author&gt;&lt;author&gt;Richárd Nagy, G.&lt;/author&gt;&lt;author&gt;Lázár, L.&lt;/author&gt;&lt;author&gt;Bán, Z.&lt;/author&gt;&lt;author&gt;Papp, Z.&lt;/author&gt;&lt;/authors&gt;&lt;/contributors&gt;&lt;auth-address&gt;1st Department of Obstetrics and Gynecology, Semmelweis University, Budapest, Hungary&amp;#xD;Baross 27, HU-1088 Budapest, Hungary&lt;/auth-address&gt;&lt;titles&gt;&lt;title&gt;Detection of ΔF508del using quantitative real-time PCR, comparison of the results obtained by fluorescent PCR&lt;/title&gt;&lt;secondary-title&gt;Fetal Diagnosis and Therapy&lt;/secondary-title&gt;&lt;/titles&gt;&lt;periodical&gt;&lt;full-title&gt;Fetal Diagn Ther&lt;/full-title&gt;&lt;abbr-1&gt;Fetal diagnosis and therapy&lt;/abbr-1&gt;&lt;/periodical&gt;&lt;pages&gt;63-67&lt;/pages&gt;&lt;volume&gt;22&lt;/volume&gt;&lt;number&gt;1&lt;/number&gt;&lt;keywords&gt;&lt;keyword&gt;ΔF508del&lt;/keyword&gt;&lt;keyword&gt;Cystic fibrosis&lt;/keyword&gt;&lt;keyword&gt;Fluorescent PCR&lt;/keyword&gt;&lt;keyword&gt;Melting curve analysis&lt;/keyword&gt;&lt;keyword&gt;Quantitative real-time PCR&lt;/keyword&gt;&lt;/keywords&gt;&lt;dates&gt;&lt;year&gt;2007&lt;/year&gt;&lt;/dates&gt;&lt;urls&gt;&lt;related-urls&gt;&lt;url&gt;http://www.scopus.com/inward/record.url?eid=2-s2.0-33845791520&amp;amp;partnerID=40&amp;amp;md5=44f7084c6ba78a492cf63ffd24cbe406&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88" w:tooltip="Nagy, 2007 #982" w:history="1">
              <w:r w:rsidR="00B46ABF">
                <w:rPr>
                  <w:rFonts w:ascii="Arial Narrow" w:eastAsiaTheme="minorHAnsi" w:hAnsi="Arial Narrow" w:cstheme="minorHAnsi"/>
                  <w:noProof/>
                  <w:sz w:val="20"/>
                  <w:szCs w:val="20"/>
                  <w:lang w:eastAsia="en-US"/>
                </w:rPr>
                <w:t>2007</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1640BA5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Hungary</w:t>
            </w:r>
          </w:p>
        </w:tc>
        <w:tc>
          <w:tcPr>
            <w:tcW w:w="1985" w:type="dxa"/>
            <w:tcBorders>
              <w:top w:val="single" w:sz="4" w:space="0" w:color="auto"/>
            </w:tcBorders>
          </w:tcPr>
          <w:p w14:paraId="4C384C5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26D608DD"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7C1EDCE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Borders>
              <w:top w:val="single" w:sz="4" w:space="0" w:color="auto"/>
            </w:tcBorders>
          </w:tcPr>
          <w:p w14:paraId="470D62DC" w14:textId="7EE7B40F"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N=116 DNA samples</w:t>
            </w:r>
            <w:r w:rsidR="004E58F7">
              <w:rPr>
                <w:rFonts w:ascii="Arial Narrow" w:eastAsiaTheme="minorHAnsi" w:hAnsi="Arial Narrow" w:cstheme="minorHAnsi"/>
                <w:sz w:val="20"/>
                <w:szCs w:val="20"/>
                <w:lang w:eastAsia="en-US"/>
              </w:rPr>
              <w:t>:</w:t>
            </w:r>
          </w:p>
          <w:p w14:paraId="67965CC6" w14:textId="2226E3D9"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84 blood samples</w:t>
            </w:r>
            <w:r w:rsidRPr="005D654C">
              <w:rPr>
                <w:rFonts w:ascii="Arial Narrow" w:eastAsiaTheme="minorHAnsi" w:hAnsi="Arial Narrow" w:cstheme="minorHAnsi"/>
                <w:sz w:val="20"/>
                <w:szCs w:val="20"/>
                <w:lang w:eastAsia="en-US"/>
              </w:rPr>
              <w:br/>
              <w:t>18 chorionic vill</w:t>
            </w:r>
            <w:r w:rsidR="00BB0B34">
              <w:rPr>
                <w:rFonts w:ascii="Arial Narrow" w:eastAsiaTheme="minorHAnsi" w:hAnsi="Arial Narrow" w:cstheme="minorHAnsi"/>
                <w:sz w:val="20"/>
                <w:szCs w:val="20"/>
                <w:lang w:eastAsia="en-US"/>
              </w:rPr>
              <w:t>us</w:t>
            </w:r>
            <w:r w:rsidRPr="005D654C">
              <w:rPr>
                <w:rFonts w:ascii="Arial Narrow" w:eastAsiaTheme="minorHAnsi" w:hAnsi="Arial Narrow" w:cstheme="minorHAnsi"/>
                <w:sz w:val="20"/>
                <w:szCs w:val="20"/>
                <w:lang w:eastAsia="en-US"/>
              </w:rPr>
              <w:t xml:space="preserve"> sample</w:t>
            </w:r>
            <w:r w:rsidR="004E58F7">
              <w:rPr>
                <w:rFonts w:ascii="Arial Narrow" w:eastAsiaTheme="minorHAnsi" w:hAnsi="Arial Narrow" w:cstheme="minorHAnsi"/>
                <w:sz w:val="20"/>
                <w:szCs w:val="20"/>
                <w:lang w:eastAsia="en-US"/>
              </w:rPr>
              <w:t>s</w:t>
            </w:r>
            <w:r w:rsidRPr="005D654C">
              <w:rPr>
                <w:rFonts w:ascii="Arial Narrow" w:eastAsiaTheme="minorHAnsi" w:hAnsi="Arial Narrow" w:cstheme="minorHAnsi"/>
                <w:sz w:val="20"/>
                <w:szCs w:val="20"/>
                <w:lang w:eastAsia="en-US"/>
              </w:rPr>
              <w:t xml:space="preserve"> (at 12th gestational week)</w:t>
            </w:r>
            <w:r w:rsidRPr="005D654C">
              <w:rPr>
                <w:rFonts w:ascii="Arial Narrow" w:eastAsiaTheme="minorHAnsi" w:hAnsi="Arial Narrow" w:cstheme="minorHAnsi"/>
                <w:sz w:val="20"/>
                <w:szCs w:val="20"/>
                <w:lang w:eastAsia="en-US"/>
              </w:rPr>
              <w:br/>
              <w:t>14 amniotic fluids (at 18th gestational week)</w:t>
            </w:r>
          </w:p>
        </w:tc>
        <w:tc>
          <w:tcPr>
            <w:tcW w:w="2410" w:type="dxa"/>
            <w:tcBorders>
              <w:top w:val="single" w:sz="4" w:space="0" w:color="auto"/>
            </w:tcBorders>
          </w:tcPr>
          <w:p w14:paraId="0E720361"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Not reported</w:t>
            </w:r>
          </w:p>
        </w:tc>
        <w:tc>
          <w:tcPr>
            <w:tcW w:w="3685" w:type="dxa"/>
            <w:tcBorders>
              <w:top w:val="single" w:sz="4" w:space="0" w:color="auto"/>
            </w:tcBorders>
          </w:tcPr>
          <w:p w14:paraId="46F865D9"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Samples were analysed for the presence of F508del.</w:t>
            </w:r>
          </w:p>
          <w:p w14:paraId="426805DB" w14:textId="77777777" w:rsidR="005D654C" w:rsidRPr="005D654C" w:rsidRDefault="005D654C" w:rsidP="004566DC">
            <w:pPr>
              <w:tabs>
                <w:tab w:val="left" w:pos="744"/>
              </w:tabs>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qPCR and melting curve analysis</w:t>
            </w:r>
          </w:p>
          <w:p w14:paraId="2BB57C19" w14:textId="16C0FB2C"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Fluorescent PCR and DNA </w:t>
            </w:r>
            <w:r w:rsidR="004E58F7">
              <w:rPr>
                <w:rFonts w:ascii="Arial Narrow" w:eastAsiaTheme="minorHAnsi" w:hAnsi="Arial Narrow" w:cstheme="minorHAnsi"/>
                <w:sz w:val="20"/>
                <w:szCs w:val="20"/>
                <w:lang w:eastAsia="en-US"/>
              </w:rPr>
              <w:t>f</w:t>
            </w:r>
            <w:r w:rsidRPr="005D654C">
              <w:rPr>
                <w:rFonts w:ascii="Arial Narrow" w:eastAsiaTheme="minorHAnsi" w:hAnsi="Arial Narrow" w:cstheme="minorHAnsi"/>
                <w:sz w:val="20"/>
                <w:szCs w:val="20"/>
                <w:lang w:eastAsia="en-US"/>
              </w:rPr>
              <w:t xml:space="preserve">ragment </w:t>
            </w:r>
            <w:r w:rsidR="004E58F7">
              <w:rPr>
                <w:rFonts w:ascii="Arial Narrow" w:eastAsiaTheme="minorHAnsi" w:hAnsi="Arial Narrow" w:cstheme="minorHAnsi"/>
                <w:sz w:val="20"/>
                <w:szCs w:val="20"/>
                <w:lang w:eastAsia="en-US"/>
              </w:rPr>
              <w:t>a</w:t>
            </w:r>
            <w:r w:rsidRPr="005D654C">
              <w:rPr>
                <w:rFonts w:ascii="Arial Narrow" w:eastAsiaTheme="minorHAnsi" w:hAnsi="Arial Narrow" w:cstheme="minorHAnsi"/>
                <w:sz w:val="20"/>
                <w:szCs w:val="20"/>
                <w:lang w:eastAsia="en-US"/>
              </w:rPr>
              <w:t>nalysis</w:t>
            </w:r>
          </w:p>
        </w:tc>
        <w:tc>
          <w:tcPr>
            <w:tcW w:w="2268" w:type="dxa"/>
            <w:tcBorders>
              <w:top w:val="single" w:sz="4" w:space="0" w:color="auto"/>
            </w:tcBorders>
          </w:tcPr>
          <w:p w14:paraId="6C66A73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No reference standard</w:t>
            </w:r>
          </w:p>
        </w:tc>
      </w:tr>
      <w:tr w:rsidR="005D654C" w:rsidRPr="005D654C" w14:paraId="2CDDDE50" w14:textId="77777777" w:rsidTr="00935F84">
        <w:tc>
          <w:tcPr>
            <w:tcW w:w="1242" w:type="dxa"/>
          </w:tcPr>
          <w:p w14:paraId="3CC918DB" w14:textId="047083AE"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Ravnik-Glava</w:t>
            </w:r>
            <w:r w:rsidR="005327D0">
              <w:rPr>
                <w:rFonts w:ascii="Arial Narrow" w:eastAsiaTheme="minorHAnsi" w:hAnsi="Arial Narrow" w:cstheme="minorHAnsi"/>
                <w:sz w:val="20"/>
                <w:szCs w:val="20"/>
                <w:lang w:eastAsia="en-US"/>
              </w:rPr>
              <w:t>c</w:t>
            </w:r>
            <w:r w:rsidRPr="005D654C">
              <w:rPr>
                <w:rFonts w:ascii="Arial Narrow" w:eastAsiaTheme="minorHAnsi" w:hAnsi="Arial Narrow" w:cstheme="minorHAnsi"/>
                <w:sz w:val="20"/>
                <w:szCs w:val="20"/>
                <w:lang w:eastAsia="en-US"/>
              </w:rPr>
              <w:t xml:space="preserve"> et al. </w:t>
            </w:r>
            <w:r w:rsidR="002C4133">
              <w:rPr>
                <w:rFonts w:ascii="Arial Narrow" w:eastAsiaTheme="minorHAnsi" w:hAnsi="Arial Narrow" w:cstheme="minorHAnsi"/>
                <w:sz w:val="20"/>
                <w:szCs w:val="20"/>
                <w:lang w:eastAsia="en-US"/>
              </w:rPr>
              <w:fldChar w:fldCharType="begin">
                <w:fldData xml:space="preserve">PEVuZE5vdGU+PENpdGUgRXhjbHVkZUF1dGg9IjEiPjxBdXRob3I+UmF2bmlrLUdsYXZhxI08L0F1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</w:fldData>
              </w:fldChar>
            </w:r>
            <w:r w:rsidR="009A054F">
              <w:rPr>
                <w:rFonts w:ascii="Arial Narrow" w:eastAsiaTheme="minorHAnsi" w:hAnsi="Arial Narrow" w:cstheme="minorHAnsi"/>
                <w:sz w:val="20"/>
                <w:szCs w:val="20"/>
                <w:lang w:eastAsia="en-US"/>
              </w:rPr>
              <w:instrText xml:space="preserve"> ADDIN EN.CITE </w:instrText>
            </w:r>
            <w:r w:rsidR="009A054F">
              <w:rPr>
                <w:rFonts w:ascii="Arial Narrow" w:eastAsiaTheme="minorHAnsi" w:hAnsi="Arial Narrow" w:cstheme="minorHAnsi"/>
                <w:sz w:val="20"/>
                <w:szCs w:val="20"/>
                <w:lang w:eastAsia="en-US"/>
              </w:rPr>
              <w:fldChar w:fldCharType="begin">
                <w:fldData xml:space="preserve">PEVuZE5vdGU+PENpdGUgRXhjbHVkZUF1dGg9IjEiPjxBdXRob3I+UmF2bmlrLUdsYXZhxI08L0F1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</w:fldData>
              </w:fldChar>
            </w:r>
            <w:r w:rsidR="009A054F">
              <w:rPr>
                <w:rFonts w:ascii="Arial Narrow" w:eastAsiaTheme="minorHAnsi" w:hAnsi="Arial Narrow" w:cstheme="minorHAnsi"/>
                <w:sz w:val="20"/>
                <w:szCs w:val="20"/>
                <w:lang w:eastAsia="en-US"/>
              </w:rPr>
              <w:instrText xml:space="preserve"> ADDIN EN.CITE.DATA </w:instrText>
            </w:r>
            <w:r w:rsidR="009A054F">
              <w:rPr>
                <w:rFonts w:ascii="Arial Narrow" w:eastAsiaTheme="minorHAnsi" w:hAnsi="Arial Narrow" w:cstheme="minorHAnsi"/>
                <w:sz w:val="20"/>
                <w:szCs w:val="20"/>
                <w:lang w:eastAsia="en-US"/>
              </w:rPr>
            </w:r>
            <w:r w:rsidR="009A054F">
              <w:rPr>
                <w:rFonts w:ascii="Arial Narrow" w:eastAsiaTheme="minorHAnsi" w:hAnsi="Arial Narrow" w:cstheme="minorHAnsi"/>
                <w:sz w:val="20"/>
                <w:szCs w:val="20"/>
                <w:lang w:eastAsia="en-US"/>
              </w:rPr>
              <w:fldChar w:fldCharType="end"/>
            </w:r>
            <w:r w:rsidR="002C4133">
              <w:rPr>
                <w:rFonts w:ascii="Arial Narrow" w:eastAsiaTheme="minorHAnsi" w:hAnsi="Arial Narrow" w:cstheme="minorHAnsi"/>
                <w:sz w:val="20"/>
                <w:szCs w:val="20"/>
                <w:lang w:eastAsia="en-US"/>
              </w:rPr>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00" w:tooltip="Ravnik-Glavač, 2002 #1005" w:history="1">
              <w:r w:rsidR="00B46ABF">
                <w:rPr>
                  <w:rFonts w:ascii="Arial Narrow" w:eastAsiaTheme="minorHAnsi" w:hAnsi="Arial Narrow" w:cstheme="minorHAnsi"/>
                  <w:noProof/>
                  <w:sz w:val="20"/>
                  <w:szCs w:val="20"/>
                  <w:lang w:eastAsia="en-US"/>
                </w:rPr>
                <w:t>2002</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09CB6A5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5BBC65B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65965DC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5498FF7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0C8CBC4B" w14:textId="4A4C7653"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N=73 DNA samples of known </w:t>
            </w:r>
            <w:r w:rsidR="00FD37D3" w:rsidRPr="00FD37D3">
              <w:rPr>
                <w:rFonts w:ascii="Arial Narrow" w:hAnsi="Arial Narrow" w:cs="Times New Roman"/>
                <w:sz w:val="20"/>
                <w:szCs w:val="20"/>
                <w:lang w:eastAsia="en-US"/>
              </w:rPr>
              <w:t>CFTR</w:t>
            </w:r>
            <w:r w:rsidRPr="005D654C">
              <w:rPr>
                <w:rFonts w:ascii="Arial Narrow" w:hAnsi="Arial Narrow" w:cs="Times New Roman"/>
                <w:sz w:val="20"/>
                <w:szCs w:val="20"/>
                <w:lang w:eastAsia="en-US"/>
              </w:rPr>
              <w:t xml:space="preserve"> mutations obtained from CF patients</w:t>
            </w:r>
            <w:r w:rsidR="00E25211">
              <w:rPr>
                <w:rFonts w:ascii="Arial Narrow" w:hAnsi="Arial Narrow" w:cs="Times New Roman"/>
                <w:sz w:val="20"/>
                <w:szCs w:val="20"/>
                <w:lang w:eastAsia="en-US"/>
              </w:rPr>
              <w:t>:</w:t>
            </w:r>
          </w:p>
          <w:p w14:paraId="0E2030BD" w14:textId="58F858D8"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53 single</w:t>
            </w:r>
            <w:r w:rsidR="00BB0B34">
              <w:rPr>
                <w:rFonts w:ascii="Arial Narrow" w:hAnsi="Arial Narrow" w:cs="Times New Roman"/>
                <w:sz w:val="20"/>
                <w:szCs w:val="20"/>
                <w:lang w:eastAsia="en-US"/>
              </w:rPr>
              <w:t>-</w:t>
            </w:r>
            <w:r w:rsidRPr="005D654C">
              <w:rPr>
                <w:rFonts w:ascii="Arial Narrow" w:hAnsi="Arial Narrow" w:cs="Times New Roman"/>
                <w:sz w:val="20"/>
                <w:szCs w:val="20"/>
                <w:lang w:eastAsia="en-US"/>
              </w:rPr>
              <w:t>base</w:t>
            </w:r>
            <w:r w:rsidR="00BB0B34">
              <w:rPr>
                <w:rFonts w:ascii="Arial Narrow" w:hAnsi="Arial Narrow" w:cs="Times New Roman"/>
                <w:sz w:val="20"/>
                <w:szCs w:val="20"/>
                <w:lang w:eastAsia="en-US"/>
              </w:rPr>
              <w:t>-</w:t>
            </w:r>
            <w:r w:rsidRPr="005D654C">
              <w:rPr>
                <w:rFonts w:ascii="Arial Narrow" w:hAnsi="Arial Narrow" w:cs="Times New Roman"/>
                <w:sz w:val="20"/>
                <w:szCs w:val="20"/>
                <w:lang w:eastAsia="en-US"/>
              </w:rPr>
              <w:t>pair substitutions</w:t>
            </w:r>
          </w:p>
          <w:p w14:paraId="03FA6B93" w14:textId="4A753D6B"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16 small deletions</w:t>
            </w:r>
          </w:p>
          <w:p w14:paraId="38FDA09F" w14:textId="0EC221BE"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4 small insertions</w:t>
            </w:r>
          </w:p>
        </w:tc>
        <w:tc>
          <w:tcPr>
            <w:tcW w:w="2410" w:type="dxa"/>
          </w:tcPr>
          <w:p w14:paraId="7507D2C5"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482DB5B2" w14:textId="19D57925"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lang w:eastAsia="en-US"/>
              </w:rPr>
              <w:t xml:space="preserve">CF patients who had heterozygous </w:t>
            </w:r>
            <w:r w:rsidR="00FD37D3" w:rsidRPr="00FD37D3">
              <w:rPr>
                <w:rFonts w:ascii="Arial Narrow" w:hAnsi="Arial Narrow" w:cs="Times New Roman"/>
                <w:sz w:val="20"/>
                <w:szCs w:val="20"/>
                <w:lang w:eastAsia="en-US"/>
              </w:rPr>
              <w:t>CFTR</w:t>
            </w:r>
            <w:r w:rsidRPr="005D654C">
              <w:rPr>
                <w:rFonts w:ascii="Arial Narrow" w:hAnsi="Arial Narrow" w:cs="Times New Roman"/>
                <w:sz w:val="20"/>
                <w:szCs w:val="20"/>
                <w:lang w:eastAsia="en-US"/>
              </w:rPr>
              <w:t xml:space="preserve"> mutations</w:t>
            </w:r>
          </w:p>
          <w:p w14:paraId="1CA03752"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Exclusion criteria:</w:t>
            </w:r>
          </w:p>
          <w:p w14:paraId="49770D78" w14:textId="2D9537D1"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CF patients who had homozygous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w:t>
            </w:r>
          </w:p>
        </w:tc>
        <w:tc>
          <w:tcPr>
            <w:tcW w:w="3685" w:type="dxa"/>
          </w:tcPr>
          <w:p w14:paraId="774C95C6" w14:textId="489530C4"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DHPLC of PCR products using Stanford MELT software followed by empirical determination of optimal melting temperatures for unresolved mutations</w:t>
            </w:r>
          </w:p>
        </w:tc>
        <w:tc>
          <w:tcPr>
            <w:tcW w:w="2268" w:type="dxa"/>
          </w:tcPr>
          <w:p w14:paraId="501ABD52" w14:textId="1E7CB8A1"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DNA samples of known mutations </w:t>
            </w:r>
            <w:r w:rsidR="0014117B">
              <w:rPr>
                <w:rFonts w:ascii="Arial Narrow" w:hAnsi="Arial Narrow" w:cs="Times New Roman"/>
                <w:sz w:val="20"/>
                <w:szCs w:val="20"/>
              </w:rPr>
              <w:t xml:space="preserve">were </w:t>
            </w:r>
            <w:r w:rsidRPr="005D654C">
              <w:rPr>
                <w:rFonts w:ascii="Arial Narrow" w:hAnsi="Arial Narrow" w:cs="Times New Roman"/>
                <w:sz w:val="20"/>
                <w:szCs w:val="20"/>
              </w:rPr>
              <w:t>obtained from previous study or kindly provided by the authors who first reported them</w:t>
            </w:r>
            <w:r w:rsidR="0014117B">
              <w:rPr>
                <w:rFonts w:ascii="Arial Narrow" w:hAnsi="Arial Narrow" w:cs="Times New Roman"/>
                <w:sz w:val="20"/>
                <w:szCs w:val="20"/>
              </w:rPr>
              <w:t>.</w:t>
            </w:r>
          </w:p>
        </w:tc>
      </w:tr>
      <w:tr w:rsidR="005D654C" w:rsidRPr="005D654C" w14:paraId="25C417DE" w14:textId="77777777" w:rsidTr="00935F84">
        <w:trPr>
          <w:cantSplit/>
        </w:trPr>
        <w:tc>
          <w:tcPr>
            <w:tcW w:w="1242" w:type="dxa"/>
          </w:tcPr>
          <w:p w14:paraId="56A66FA3" w14:textId="31C3C1C5"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Ravnik-Glava</w:t>
            </w:r>
            <w:r w:rsidR="005327D0">
              <w:rPr>
                <w:rFonts w:ascii="Arial Narrow" w:eastAsiaTheme="minorHAnsi" w:hAnsi="Arial Narrow" w:cstheme="minorHAnsi"/>
                <w:sz w:val="20"/>
                <w:szCs w:val="20"/>
                <w:lang w:eastAsia="en-US"/>
              </w:rPr>
              <w:t>c</w:t>
            </w:r>
            <w:r w:rsidRPr="005D654C">
              <w:rPr>
                <w:rFonts w:ascii="Arial Narrow" w:eastAsiaTheme="minorHAnsi" w:hAnsi="Arial Narrow" w:cstheme="minorHAnsi"/>
                <w:sz w:val="20"/>
                <w:szCs w:val="20"/>
                <w:lang w:eastAsia="en-US"/>
              </w:rPr>
              <w:t xml:space="preserve">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Ravnik-Glavač&lt;/Author&gt;&lt;Year&gt;1994&lt;/Year&gt;&lt;RecNum&gt;1006&lt;/RecNum&gt;&lt;IDText&gt;801-807&lt;/IDText&gt;&lt;DisplayText&gt;(1994)&lt;/DisplayText&gt;&lt;record&gt;&lt;rec-number&gt;1006&lt;/rec-number&gt;&lt;foreign-keys&gt;&lt;key app="EN" db-id="parffa0acae2voep5w3vv9rypas2tr522eef" timestamp="1430369651"&gt;1006&lt;/key&gt;&lt;/foreign-keys&gt;&lt;ref-type name="Journal Article"&gt;17&lt;/ref-type&gt;&lt;contributors&gt;&lt;authors&gt;&lt;author&gt;Ravnik-Glavač, M.&lt;/author&gt;&lt;author&gt;Glavač, D.&lt;/author&gt;&lt;author&gt;Dean, M.&lt;/author&gt;&lt;/authors&gt;&lt;/contributors&gt;&lt;auth-address&gt;Biol. Carcinogenesis Devmt. Prog., Program Resources Inc., DynCorp., Frederick, MD 21702-1201, United States&amp;#xD;Laboratory of Viral Carcinogenesis, National Cancer Institute, Frederick Cancer R. and D. Center, Frederick, MD 21702-1201, United States&lt;/auth-address&gt;&lt;titles&gt;&lt;title&gt;Sensitivity of single-strand conformation polymorphism and heteroduplex method for mutation detection in the cystic fibrosis gene&lt;/title&gt;&lt;secondary-title&gt;Human Molecular Genetics&lt;/secondary-title&gt;&lt;/titles&gt;&lt;periodical&gt;&lt;full-title&gt;Human Molecular Genetics&lt;/full-title&gt;&lt;/periodical&gt;&lt;pages&gt;801-807&lt;/pages&gt;&lt;volume&gt;3&lt;/volume&gt;&lt;number&gt;5&lt;/number&gt;&lt;dates&gt;&lt;year&gt;1994&lt;/year&gt;&lt;/dates&gt;&lt;urls&gt;&lt;related-urls&gt;&lt;url&gt;http://www.scopus.com/inward/record.url?eid=2-s2.0-0028198386&amp;amp;partnerID=40&amp;amp;md5=76d0e9a4ef5c231fc2e7274bdf2accac&lt;/url&gt;&lt;url&gt;http://hmg.oxfordjournals.org/content/3/5/801.full.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01" w:tooltip="Ravnik-Glavač, 1994 #1006" w:history="1">
              <w:r w:rsidR="00B46ABF">
                <w:rPr>
                  <w:rFonts w:ascii="Arial Narrow" w:eastAsiaTheme="minorHAnsi" w:hAnsi="Arial Narrow" w:cstheme="minorHAnsi"/>
                  <w:noProof/>
                  <w:sz w:val="20"/>
                  <w:szCs w:val="20"/>
                  <w:lang w:eastAsia="en-US"/>
                </w:rPr>
                <w:t>1994</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4A15B27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3D6CF29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17A3B03A"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7DAC4FF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5684F86B" w14:textId="508B0951"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N=133 DNA samples of known </w:t>
            </w:r>
            <w:r w:rsidR="00FD37D3" w:rsidRPr="00FD37D3">
              <w:rPr>
                <w:rFonts w:ascii="Arial Narrow" w:hAnsi="Arial Narrow" w:cs="Times New Roman"/>
                <w:sz w:val="20"/>
                <w:szCs w:val="20"/>
                <w:lang w:eastAsia="en-US"/>
              </w:rPr>
              <w:t>CFTR</w:t>
            </w:r>
            <w:r w:rsidRPr="005D654C">
              <w:rPr>
                <w:rFonts w:ascii="Arial Narrow" w:hAnsi="Arial Narrow" w:cs="Times New Roman"/>
                <w:sz w:val="20"/>
                <w:szCs w:val="20"/>
                <w:lang w:eastAsia="en-US"/>
              </w:rPr>
              <w:t xml:space="preserve"> mutations </w:t>
            </w:r>
          </w:p>
          <w:p w14:paraId="463B0F8A"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p>
        </w:tc>
        <w:tc>
          <w:tcPr>
            <w:tcW w:w="2410" w:type="dxa"/>
          </w:tcPr>
          <w:p w14:paraId="62D005D6"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617CC160"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SSCP analysis of PCR products</w:t>
            </w:r>
          </w:p>
        </w:tc>
        <w:tc>
          <w:tcPr>
            <w:tcW w:w="2268" w:type="dxa"/>
          </w:tcPr>
          <w:p w14:paraId="0A136987" w14:textId="3DED6EC5"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DNA samples of known mutations </w:t>
            </w:r>
            <w:r w:rsidR="0014117B">
              <w:rPr>
                <w:rFonts w:ascii="Arial Narrow" w:hAnsi="Arial Narrow" w:cs="Times New Roman"/>
                <w:sz w:val="20"/>
                <w:szCs w:val="20"/>
              </w:rPr>
              <w:t xml:space="preserve">were </w:t>
            </w:r>
            <w:r w:rsidRPr="005D654C">
              <w:rPr>
                <w:rFonts w:ascii="Arial Narrow" w:hAnsi="Arial Narrow" w:cs="Times New Roman"/>
                <w:sz w:val="20"/>
                <w:szCs w:val="20"/>
              </w:rPr>
              <w:t>obtained from previous study or kindly provided by the authors who first reported them</w:t>
            </w:r>
            <w:r w:rsidR="0014117B">
              <w:rPr>
                <w:rFonts w:ascii="Arial Narrow" w:hAnsi="Arial Narrow" w:cs="Times New Roman"/>
                <w:sz w:val="20"/>
                <w:szCs w:val="20"/>
              </w:rPr>
              <w:t>.</w:t>
            </w:r>
          </w:p>
        </w:tc>
      </w:tr>
      <w:tr w:rsidR="005D654C" w:rsidRPr="005D654C" w14:paraId="0C0EACCE" w14:textId="77777777" w:rsidTr="00935F84">
        <w:tc>
          <w:tcPr>
            <w:tcW w:w="1242" w:type="dxa"/>
          </w:tcPr>
          <w:p w14:paraId="6ED45F7C" w14:textId="5D1F8949"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Saker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ExcludeAuth="1"&gt;&lt;Author&gt;Saker&lt;/Author&gt;&lt;Year&gt;2006&lt;/Year&gt;&lt;RecNum&gt;1021&lt;/RecNum&gt;&lt;IDText&gt;906-916&lt;/IDText&gt;&lt;DisplayText&gt;(2006)&lt;/DisplayText&gt;&lt;record&gt;&lt;rec-number&gt;1021&lt;/rec-number&gt;&lt;foreign-keys&gt;&lt;key app="EN" db-id="parffa0acae2voep5w3vv9rypas2tr522eef" timestamp="1430369655"&gt;1021&lt;/key&gt;&lt;/foreign-keys&gt;&lt;ref-type name="Journal Article"&gt;17&lt;/ref-type&gt;&lt;contributors&gt;&lt;authors&gt;&lt;author&gt;Saker, A.&lt;/author&gt;&lt;author&gt;Benachi, A.&lt;/author&gt;&lt;author&gt;Bonnefont, J. P.&lt;/author&gt;&lt;author&gt;Munnich, A.&lt;/author&gt;&lt;author&gt;Dumez, Y.&lt;/author&gt;&lt;author&gt;Lacour, B.&lt;/author&gt;&lt;author&gt;Paterlini-Brechot, P.&lt;/author&gt;&lt;/authors&gt;&lt;/contributors&gt;&lt;auth-address&gt;INSERM, Paris, France&amp;#xD;Université René Descartes, Paris, France&amp;#xD;Laboratoire de Biochimie A, Hôpital Necker-Enfants Malades, Paris, France&amp;#xD;Service Maternité, Hôpital Necker-Enfants Malades, Paris, France&amp;#xD;Service de Génétique Médicale, Hôpital Necker-Enfants Malades, Paris, France&amp;#xD;Faculté de Médecine Necker-Enfants Malades, 156, rue de Vaugirard, 75730 Paris Cedex 15, France&lt;/auth-address&gt;&lt;titles&gt;&lt;title&gt;Genetic characterisation of circulating fetal cells allows non-invasive prenatal diagnosis of cystic fibrosis&lt;/title&gt;&lt;secondary-title&gt;Prenatal Diagnosis&lt;/secondary-title&gt;&lt;/titles&gt;&lt;periodical&gt;&lt;full-title&gt;Prenat Diagn&lt;/full-title&gt;&lt;abbr-1&gt;Prenatal diagnosis&lt;/abbr-1&gt;&lt;/periodical&gt;&lt;pages&gt;906-916&lt;/pages&gt;&lt;volume&gt;26&lt;/volume&gt;&lt;number&gt;10&lt;/number&gt;&lt;keywords&gt;&lt;keyword&gt;Allele drop out (ADO)&lt;/keyword&gt;&lt;keyword&gt;Circulating fetal cells&lt;/keyword&gt;&lt;keyword&gt;Cystic fibrosis&lt;/keyword&gt;&lt;keyword&gt;Genetic analyses&lt;/keyword&gt;&lt;keyword&gt;Non-invasive prenatal diagnosis&lt;/keyword&gt;&lt;/keywords&gt;&lt;dates&gt;&lt;year&gt;2006&lt;/year&gt;&lt;/dates&gt;&lt;urls&gt;&lt;related-urls&gt;&lt;url&gt;http://www.scopus.com/inward/record.url?eid=2-s2.0-33750559624&amp;amp;partnerID=40&amp;amp;md5=37dd02c74be0bb47c888f2c51bd62c98&lt;/url&gt;&lt;url&gt;http://onlinelibrary.wiley.com/store/10.1002/pd.1524/asset/1524_ftp.pdf?v=1&amp;amp;t=i2fc7t3v&amp;amp;s=e01aa564356c763a7d3a61268106943b199c4a53&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06" w:tooltip="Saker, 2006 #1021" w:history="1">
              <w:r w:rsidR="00B46ABF">
                <w:rPr>
                  <w:rFonts w:ascii="Arial Narrow" w:eastAsiaTheme="minorHAnsi" w:hAnsi="Arial Narrow" w:cstheme="minorHAnsi"/>
                  <w:noProof/>
                  <w:sz w:val="20"/>
                  <w:szCs w:val="20"/>
                  <w:lang w:eastAsia="en-US"/>
                </w:rPr>
                <w:t>2006</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64600EF5" w14:textId="77777777" w:rsidR="005D654C" w:rsidRPr="005D654C" w:rsidRDefault="005D654C" w:rsidP="004566DC">
            <w:pPr>
              <w:spacing w:after="40" w:line="240" w:lineRule="auto"/>
              <w:jc w:val="left"/>
              <w:rPr>
                <w:rFonts w:ascii="Arial Narrow" w:eastAsiaTheme="minorHAnsi" w:hAnsi="Arial Narrow" w:cstheme="minorHAnsi"/>
                <w:sz w:val="20"/>
                <w:szCs w:val="20"/>
                <w:highlight w:val="yellow"/>
                <w:lang w:eastAsia="en-US"/>
              </w:rPr>
            </w:pPr>
            <w:r w:rsidRPr="005D654C">
              <w:rPr>
                <w:rFonts w:ascii="Arial Narrow" w:eastAsiaTheme="minorHAnsi" w:hAnsi="Arial Narrow" w:cstheme="minorHAnsi"/>
                <w:sz w:val="20"/>
                <w:szCs w:val="20"/>
                <w:lang w:eastAsia="en-US"/>
              </w:rPr>
              <w:t>France</w:t>
            </w:r>
          </w:p>
        </w:tc>
        <w:tc>
          <w:tcPr>
            <w:tcW w:w="1985" w:type="dxa"/>
          </w:tcPr>
          <w:p w14:paraId="542AB108"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04D66C8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310F4599"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Quality: intermediate with some risk of bias</w:t>
            </w:r>
          </w:p>
        </w:tc>
        <w:tc>
          <w:tcPr>
            <w:tcW w:w="2268" w:type="dxa"/>
          </w:tcPr>
          <w:p w14:paraId="31EDD965" w14:textId="58BF4AFD"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lastRenderedPageBreak/>
              <w:t xml:space="preserve">N=12 fetus samples from carrier couples </w:t>
            </w:r>
            <w:r w:rsidR="00426451">
              <w:rPr>
                <w:rFonts w:ascii="Arial Narrow" w:hAnsi="Arial Narrow" w:cs="Times New Roman"/>
                <w:sz w:val="20"/>
                <w:szCs w:val="20"/>
                <w:lang w:eastAsia="en-US"/>
              </w:rPr>
              <w:t>(</w:t>
            </w:r>
            <w:r w:rsidR="003A4546">
              <w:rPr>
                <w:rFonts w:ascii="Arial Narrow" w:hAnsi="Arial Narrow" w:cs="Times New Roman"/>
                <w:sz w:val="20"/>
                <w:szCs w:val="20"/>
                <w:lang w:eastAsia="en-US"/>
              </w:rPr>
              <w:t>n</w:t>
            </w:r>
            <w:r w:rsidR="00426451">
              <w:rPr>
                <w:rFonts w:ascii="Arial Narrow" w:hAnsi="Arial Narrow" w:cs="Times New Roman"/>
                <w:sz w:val="20"/>
                <w:szCs w:val="20"/>
                <w:lang w:eastAsia="en-US"/>
              </w:rPr>
              <w:t>on-invasive sampling)</w:t>
            </w:r>
          </w:p>
          <w:p w14:paraId="0CB9D73A" w14:textId="1A553DB4"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10 </w:t>
            </w:r>
            <w:r w:rsidR="003A4546">
              <w:rPr>
                <w:rFonts w:ascii="Arial Narrow" w:hAnsi="Arial Narrow" w:cs="Times New Roman"/>
                <w:sz w:val="20"/>
                <w:szCs w:val="20"/>
                <w:lang w:eastAsia="en-US"/>
              </w:rPr>
              <w:t xml:space="preserve">couples </w:t>
            </w:r>
            <w:r w:rsidRPr="005D654C">
              <w:rPr>
                <w:rFonts w:ascii="Arial Narrow" w:hAnsi="Arial Narrow" w:cs="Times New Roman"/>
                <w:sz w:val="20"/>
                <w:szCs w:val="20"/>
                <w:lang w:eastAsia="en-US"/>
              </w:rPr>
              <w:t xml:space="preserve">were both carrying the F508del </w:t>
            </w:r>
            <w:r w:rsidR="00FD37D3" w:rsidRPr="00FD37D3">
              <w:rPr>
                <w:rFonts w:ascii="Arial Narrow" w:hAnsi="Arial Narrow" w:cs="Times New Roman"/>
                <w:sz w:val="20"/>
                <w:szCs w:val="20"/>
                <w:lang w:eastAsia="en-US"/>
              </w:rPr>
              <w:t>CFTR</w:t>
            </w:r>
            <w:r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lastRenderedPageBreak/>
              <w:t>mutation</w:t>
            </w:r>
          </w:p>
        </w:tc>
        <w:tc>
          <w:tcPr>
            <w:tcW w:w="2410" w:type="dxa"/>
          </w:tcPr>
          <w:p w14:paraId="50829640"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lastRenderedPageBreak/>
              <w:t>Not reported</w:t>
            </w:r>
          </w:p>
        </w:tc>
        <w:tc>
          <w:tcPr>
            <w:tcW w:w="3685" w:type="dxa"/>
          </w:tcPr>
          <w:p w14:paraId="3CCAE859" w14:textId="615F35AE"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Samples were analysed for the presence of F508del by PCR</w:t>
            </w:r>
            <w:r w:rsidR="0009054B">
              <w:rPr>
                <w:rFonts w:ascii="Arial Narrow" w:hAnsi="Arial Narrow" w:cs="Times New Roman"/>
                <w:sz w:val="20"/>
                <w:szCs w:val="20"/>
              </w:rPr>
              <w:t>.</w:t>
            </w:r>
          </w:p>
          <w:p w14:paraId="4F4062AB" w14:textId="1C9B393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STR genotyping was by PCR amplification and DNA sequencing</w:t>
            </w:r>
            <w:r w:rsidR="0009054B">
              <w:rPr>
                <w:rFonts w:ascii="Arial Narrow" w:hAnsi="Arial Narrow" w:cs="Times New Roman"/>
                <w:sz w:val="20"/>
                <w:szCs w:val="20"/>
              </w:rPr>
              <w:t>.</w:t>
            </w:r>
          </w:p>
        </w:tc>
        <w:tc>
          <w:tcPr>
            <w:tcW w:w="2268" w:type="dxa"/>
          </w:tcPr>
          <w:p w14:paraId="741606C5"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 reference standard</w:t>
            </w:r>
          </w:p>
        </w:tc>
      </w:tr>
      <w:tr w:rsidR="005D654C" w:rsidRPr="005D654C" w14:paraId="616A2D35" w14:textId="77777777" w:rsidTr="00935F84">
        <w:trPr>
          <w:cantSplit/>
        </w:trPr>
        <w:tc>
          <w:tcPr>
            <w:tcW w:w="1242" w:type="dxa"/>
          </w:tcPr>
          <w:p w14:paraId="2A080A6B" w14:textId="65F7F8A5"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Strom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ExcludeAuth="1"&gt;&lt;Author&gt;Strom&lt;/Author&gt;&lt;Year&gt;2003&lt;/Year&gt;&lt;RecNum&gt;1050&lt;/RecNum&gt;&lt;IDText&gt;9-14&lt;/IDText&gt;&lt;DisplayText&gt;(2003)&lt;/DisplayText&gt;&lt;record&gt;&lt;rec-number&gt;1050&lt;/rec-number&gt;&lt;foreign-keys&gt;&lt;key app="EN" db-id="parffa0acae2voep5w3vv9rypas2tr522eef" timestamp="1430369663"&gt;1050&lt;/key&gt;&lt;/foreign-keys&gt;&lt;ref-type name="Journal Article"&gt;17&lt;/ref-type&gt;&lt;contributors&gt;&lt;authors&gt;&lt;author&gt;Strom, C. M.&lt;/author&gt;&lt;author&gt;Huang, D.&lt;/author&gt;&lt;author&gt;Chen, C.&lt;/author&gt;&lt;author&gt;Buller, A.&lt;/author&gt;&lt;author&gt;Peng, M.&lt;/author&gt;&lt;author&gt;Quan, F.&lt;/author&gt;&lt;author&gt;Redman, J.&lt;/author&gt;&lt;author&gt;Sun, W.&lt;/author&gt;&lt;/authors&gt;&lt;/contributors&gt;&lt;auth-address&gt;Molecular Genetics Laboratory, Quest Diagnostics Nichols Institute, San Juan Capistrano, CA, United States&amp;#xD;Molecular Genetics Laboratory, Quest Diagnostics Nichols Institute, 33608 Ortega Highway, San Juan Capistrano, CA 92690, United States&lt;/auth-address&gt;&lt;titles&gt;&lt;title&gt;Extensive sequencing of the cystic fibrosis transmembrane regulator gene: Assay validation and unexpected benefits of developing a comprehensive test&lt;/title&gt;&lt;secondary-title&gt;Genetics in Medicine&lt;/secondary-title&gt;&lt;/titles&gt;&lt;periodical&gt;&lt;full-title&gt;Genetics in Medicine&lt;/full-title&gt;&lt;/periodical&gt;&lt;pages&gt;9-14&lt;/pages&gt;&lt;volume&gt;5&lt;/volume&gt;&lt;number&gt;1&lt;/number&gt;&lt;keywords&gt;&lt;keyword&gt;Cystic fibrosis&lt;/keyword&gt;&lt;keyword&gt;DNA sequencing&lt;/keyword&gt;&lt;keyword&gt;Mutation detection&lt;/keyword&gt;&lt;/keywords&gt;&lt;dates&gt;&lt;year&gt;2003&lt;/year&gt;&lt;/dates&gt;&lt;urls&gt;&lt;related-urls&gt;&lt;url&gt;http://www.scopus.com/inward/record.url?eid=2-s2.0-0012256562&amp;amp;partnerID=40&amp;amp;md5=5facb5368703fc47671f7a1c885147f5&lt;/url&gt;&lt;url&gt;http://graphics.tx.ovid.com/ovftpdfs/FPDDNCLBDBBCIH00/fs047/ovft/live/gv024/00125817/00125817-200301000-00002.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19" w:tooltip="Strom, 2003 #1050" w:history="1">
              <w:r w:rsidR="00B46ABF">
                <w:rPr>
                  <w:rFonts w:ascii="Arial Narrow" w:eastAsiaTheme="minorHAnsi" w:hAnsi="Arial Narrow" w:cstheme="minorHAnsi"/>
                  <w:noProof/>
                  <w:sz w:val="20"/>
                  <w:szCs w:val="20"/>
                  <w:lang w:eastAsia="en-US"/>
                </w:rPr>
                <w:t>2003</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11846B7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201B5760"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III-1:</w:t>
            </w:r>
          </w:p>
          <w:p w14:paraId="53F3B89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against independent, blinded reference standard among non-consecutive patients</w:t>
            </w:r>
          </w:p>
          <w:p w14:paraId="47FE6ED3" w14:textId="3DACBA6E"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Quality: good with </w:t>
            </w:r>
            <w:r w:rsidR="003A4546">
              <w:rPr>
                <w:rFonts w:ascii="Arial Narrow" w:eastAsiaTheme="minorHAnsi" w:hAnsi="Arial Narrow" w:cstheme="minorHAnsi"/>
                <w:sz w:val="20"/>
                <w:szCs w:val="20"/>
                <w:lang w:eastAsia="en-US"/>
              </w:rPr>
              <w:t>l</w:t>
            </w:r>
            <w:r w:rsidRPr="005D654C">
              <w:rPr>
                <w:rFonts w:ascii="Arial Narrow" w:eastAsiaTheme="minorHAnsi" w:hAnsi="Arial Narrow" w:cstheme="minorHAnsi"/>
                <w:sz w:val="20"/>
                <w:szCs w:val="20"/>
                <w:lang w:eastAsia="en-US"/>
              </w:rPr>
              <w:t>ow risk of bias</w:t>
            </w:r>
          </w:p>
        </w:tc>
        <w:tc>
          <w:tcPr>
            <w:tcW w:w="2268" w:type="dxa"/>
          </w:tcPr>
          <w:p w14:paraId="06EE5DF0"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N=7 confirmed CF patients with positive sweat tests</w:t>
            </w:r>
          </w:p>
          <w:p w14:paraId="01966608" w14:textId="2678E4BB"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4 had </w:t>
            </w:r>
            <w:r w:rsidR="000E7BDF">
              <w:rPr>
                <w:rFonts w:ascii="Arial Narrow" w:hAnsi="Arial Narrow" w:cs="Times New Roman"/>
                <w:sz w:val="20"/>
                <w:szCs w:val="20"/>
                <w:lang w:eastAsia="en-US"/>
              </w:rPr>
              <w:t>1</w:t>
            </w:r>
            <w:r w:rsidR="000E7BDF"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CF mutation identified by extended panel screening</w:t>
            </w:r>
          </w:p>
          <w:p w14:paraId="01D4E9F9" w14:textId="1790F051"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3 had no mutations identified by either ACMG or extended panel screening</w:t>
            </w:r>
          </w:p>
        </w:tc>
        <w:tc>
          <w:tcPr>
            <w:tcW w:w="2410" w:type="dxa"/>
          </w:tcPr>
          <w:p w14:paraId="60209740"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5D575484" w14:textId="2E60124B"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Confirmed CF patients whose samples were submitted by physicians on a research basis for sequencing</w:t>
            </w:r>
          </w:p>
        </w:tc>
        <w:tc>
          <w:tcPr>
            <w:tcW w:w="3685" w:type="dxa"/>
          </w:tcPr>
          <w:p w14:paraId="7A522A82"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DNA sequencing reactions were performed with an ABI Prism Big Dye™ Terminator v3.0 cycle sequencing reaction kit according to the manufacturer’s protocol.</w:t>
            </w:r>
          </w:p>
          <w:p w14:paraId="3D35C645" w14:textId="36AA89EF"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ACMG panel (using the Roche CF Gold Linear Array strips) or extended panel screening</w:t>
            </w:r>
          </w:p>
        </w:tc>
        <w:tc>
          <w:tcPr>
            <w:tcW w:w="2268" w:type="dxa"/>
          </w:tcPr>
          <w:p w14:paraId="53042772" w14:textId="3D2674EF"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Confirmed CF patients</w:t>
            </w:r>
            <w:r w:rsidR="003A4546">
              <w:rPr>
                <w:rFonts w:ascii="Arial Narrow" w:hAnsi="Arial Narrow" w:cs="Times New Roman"/>
                <w:sz w:val="20"/>
                <w:szCs w:val="20"/>
              </w:rPr>
              <w:t>;</w:t>
            </w:r>
            <w:r w:rsidRPr="005D654C">
              <w:rPr>
                <w:rFonts w:ascii="Arial Narrow" w:hAnsi="Arial Narrow" w:cs="Times New Roman"/>
                <w:sz w:val="20"/>
                <w:szCs w:val="20"/>
              </w:rPr>
              <w:t xml:space="preserve"> no diagnostic criteria provided</w:t>
            </w:r>
          </w:p>
        </w:tc>
      </w:tr>
      <w:tr w:rsidR="005D654C" w:rsidRPr="005D654C" w14:paraId="6C08D320" w14:textId="77777777" w:rsidTr="00935F84">
        <w:trPr>
          <w:cantSplit/>
        </w:trPr>
        <w:tc>
          <w:tcPr>
            <w:tcW w:w="1242" w:type="dxa"/>
          </w:tcPr>
          <w:p w14:paraId="41554091" w14:textId="4A746AAA"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Strom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ExcludeAuth="1"&gt;&lt;Author&gt;Strom&lt;/Author&gt;&lt;Year&gt;2004&lt;/Year&gt;&lt;RecNum&gt;1049&lt;/RecNum&gt;&lt;IDText&gt;836-845&lt;/IDText&gt;&lt;DisplayText&gt;(2004)&lt;/DisplayText&gt;&lt;record&gt;&lt;rec-number&gt;1049&lt;/rec-number&gt;&lt;foreign-keys&gt;&lt;key app="EN" db-id="parffa0acae2voep5w3vv9rypas2tr522eef" timestamp="1430369663"&gt;1049&lt;/key&gt;&lt;/foreign-keys&gt;&lt;ref-type name="Journal Article"&gt;17&lt;/ref-type&gt;&lt;contributors&gt;&lt;authors&gt;&lt;author&gt;Strom, C. M.&lt;/author&gt;&lt;author&gt;Clark, D. D.&lt;/author&gt;&lt;author&gt;Hantash, F. M.&lt;/author&gt;&lt;author&gt;Rea, L.&lt;/author&gt;&lt;author&gt;Anderson, B.&lt;/author&gt;&lt;author&gt;Maul, D.&lt;/author&gt;&lt;author&gt;Huang, D.&lt;/author&gt;&lt;author&gt;Traul, D.&lt;/author&gt;&lt;author&gt;Tubman, C. C.&lt;/author&gt;&lt;author&gt;Garcia, R.&lt;/author&gt;&lt;author&gt;Hess, P. P.&lt;/author&gt;&lt;author&gt;Wang, H.&lt;/author&gt;&lt;author&gt;Crossley, B.&lt;/author&gt;&lt;author&gt;Woodruff, E.&lt;/author&gt;&lt;author&gt;Chen, R.&lt;/author&gt;&lt;author&gt;Killeen, M.&lt;/author&gt;&lt;author&gt;Sun, W.&lt;/author&gt;&lt;author&gt;Beer, J.&lt;/author&gt;&lt;author&gt;Avens, H.&lt;/author&gt;&lt;author&gt;Polisky, B.&lt;/author&gt;&lt;author&gt;Jenison, R. D.&lt;/author&gt;&lt;/authors&gt;&lt;/contributors&gt;&lt;auth-address&gt;Nichols Institute, Quest Diagnostics, San Juan Capistrano, CA, United States&amp;#xD;Thermo Electron, Inc., Point Care Rapid Diagnostics, 331 S. 104th St., Louisville, CO 80027, United States&amp;#xD;2505 Meridian Pkwy, Durham, NC, United States&amp;#xD;Sirna Therapeutics, 2945 Wilderness Place, Boulder, CO, United States&lt;/auth-address&gt;&lt;titles&gt;&lt;title&gt;Direct visualization of cystic fibrosis transmembrane regulator mutations in the clinical laboratory setting&lt;/title&gt;&lt;secondary-title&gt;Clinical Chemistry&lt;/secondary-title&gt;&lt;/titles&gt;&lt;periodical&gt;&lt;full-title&gt;Clinical Chemistry&lt;/full-title&gt;&lt;/periodical&gt;&lt;pages&gt;836-845&lt;/pages&gt;&lt;volume&gt;50&lt;/volume&gt;&lt;number&gt;5&lt;/number&gt;&lt;dates&gt;&lt;year&gt;2004&lt;/year&gt;&lt;/dates&gt;&lt;urls&gt;&lt;related-urls&gt;&lt;url&gt;http://www.scopus.com/inward/record.url?eid=2-s2.0-11144353926&amp;amp;partnerID=40&amp;amp;md5=e44844ebf56654eda727073d038b911d&lt;/url&gt;&lt;url&gt;http://www.clinchem.org/content/50/5/836.full.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18" w:tooltip="Strom, 2004 #1049" w:history="1">
              <w:r w:rsidR="00B46ABF">
                <w:rPr>
                  <w:rFonts w:ascii="Arial Narrow" w:eastAsiaTheme="minorHAnsi" w:hAnsi="Arial Narrow" w:cstheme="minorHAnsi"/>
                  <w:noProof/>
                  <w:sz w:val="20"/>
                  <w:szCs w:val="20"/>
                  <w:lang w:eastAsia="en-US"/>
                </w:rPr>
                <w:t>2004</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7E9ACD3E"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13C0CA2C"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IV:</w:t>
            </w:r>
          </w:p>
          <w:p w14:paraId="6618BD3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study of diagnostic yield (no reference standard)</w:t>
            </w:r>
          </w:p>
          <w:p w14:paraId="5E1EFE6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poor with a high risk of bias</w:t>
            </w:r>
          </w:p>
        </w:tc>
        <w:tc>
          <w:tcPr>
            <w:tcW w:w="2268" w:type="dxa"/>
          </w:tcPr>
          <w:p w14:paraId="6611B98F" w14:textId="0760C261"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w:t>
            </w:r>
            <w:r w:rsidR="003A4546">
              <w:rPr>
                <w:rFonts w:ascii="Arial Narrow" w:hAnsi="Arial Narrow" w:cs="Times New Roman"/>
                <w:sz w:val="20"/>
                <w:szCs w:val="20"/>
                <w:lang w:eastAsia="en-US"/>
              </w:rPr>
              <w:t>,</w:t>
            </w:r>
            <w:r w:rsidRPr="005D654C">
              <w:rPr>
                <w:rFonts w:ascii="Arial Narrow" w:hAnsi="Arial Narrow" w:cs="Times New Roman"/>
                <w:sz w:val="20"/>
                <w:szCs w:val="20"/>
                <w:lang w:eastAsia="en-US"/>
              </w:rPr>
              <w:t>092 patient samples previously tested with the CF Gold line probe assay chosen at random</w:t>
            </w:r>
          </w:p>
          <w:p w14:paraId="5108997C" w14:textId="23D9576D"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w:t>
            </w:r>
            <w:r w:rsidR="003A4546">
              <w:rPr>
                <w:rFonts w:ascii="Arial Narrow" w:hAnsi="Arial Narrow" w:cs="Times New Roman"/>
                <w:sz w:val="20"/>
                <w:szCs w:val="20"/>
                <w:lang w:eastAsia="en-US"/>
              </w:rPr>
              <w:t>,</w:t>
            </w:r>
            <w:r w:rsidRPr="005D654C">
              <w:rPr>
                <w:rFonts w:ascii="Arial Narrow" w:hAnsi="Arial Narrow" w:cs="Times New Roman"/>
                <w:sz w:val="20"/>
                <w:szCs w:val="20"/>
                <w:lang w:eastAsia="en-US"/>
              </w:rPr>
              <w:t>076 patient samples previously tested with the Applera CF OLA, Ver. 3.0, platform</w:t>
            </w:r>
          </w:p>
        </w:tc>
        <w:tc>
          <w:tcPr>
            <w:tcW w:w="2410" w:type="dxa"/>
          </w:tcPr>
          <w:p w14:paraId="51F51186" w14:textId="77247C4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Although information such as patient ethnicity and pertinent family history was requested for each patient, in practice this information was rarely provided. Thus, </w:t>
            </w:r>
            <w:r w:rsidR="003A4546">
              <w:rPr>
                <w:rFonts w:ascii="Arial Narrow" w:hAnsi="Arial Narrow" w:cs="Times New Roman"/>
                <w:sz w:val="20"/>
                <w:szCs w:val="20"/>
              </w:rPr>
              <w:t>it was</w:t>
            </w:r>
            <w:r w:rsidR="003A4546" w:rsidRPr="005D654C">
              <w:rPr>
                <w:rFonts w:ascii="Arial Narrow" w:hAnsi="Arial Narrow" w:cs="Times New Roman"/>
                <w:sz w:val="20"/>
                <w:szCs w:val="20"/>
              </w:rPr>
              <w:t xml:space="preserve"> </w:t>
            </w:r>
            <w:r w:rsidRPr="005D654C">
              <w:rPr>
                <w:rFonts w:ascii="Arial Narrow" w:hAnsi="Arial Narrow" w:cs="Times New Roman"/>
                <w:sz w:val="20"/>
                <w:szCs w:val="20"/>
              </w:rPr>
              <w:t xml:space="preserve">not </w:t>
            </w:r>
            <w:r w:rsidR="003A4546">
              <w:rPr>
                <w:rFonts w:ascii="Arial Narrow" w:hAnsi="Arial Narrow" w:cs="Times New Roman"/>
                <w:sz w:val="20"/>
                <w:szCs w:val="20"/>
              </w:rPr>
              <w:t xml:space="preserve">possible to </w:t>
            </w:r>
            <w:r w:rsidRPr="005D654C">
              <w:rPr>
                <w:rFonts w:ascii="Arial Narrow" w:hAnsi="Arial Narrow" w:cs="Times New Roman"/>
                <w:sz w:val="20"/>
                <w:szCs w:val="20"/>
              </w:rPr>
              <w:t>distinguish between samples submitted for mutation detection in a patient with CF or for carrier detection for infertility evaluations.</w:t>
            </w:r>
          </w:p>
        </w:tc>
        <w:tc>
          <w:tcPr>
            <w:tcW w:w="3685" w:type="dxa"/>
          </w:tcPr>
          <w:p w14:paraId="41AE1599" w14:textId="74B974F8"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The CF Portrait</w:t>
            </w:r>
            <w:r w:rsidRPr="005D654C">
              <w:rPr>
                <w:rFonts w:ascii="Arial Narrow" w:eastAsiaTheme="minorHAnsi" w:hAnsi="Arial Narrow" w:cstheme="minorHAnsi"/>
                <w:sz w:val="20"/>
                <w:szCs w:val="20"/>
                <w:vertAlign w:val="superscript"/>
                <w:lang w:eastAsia="en-US"/>
              </w:rPr>
              <w:t>TM</w:t>
            </w:r>
            <w:r w:rsidRPr="005D654C">
              <w:rPr>
                <w:rFonts w:ascii="Arial Narrow" w:eastAsiaTheme="minorHAnsi" w:hAnsi="Arial Narrow" w:cstheme="minorHAnsi"/>
                <w:sz w:val="20"/>
                <w:szCs w:val="20"/>
                <w:lang w:eastAsia="en-US"/>
              </w:rPr>
              <w:t xml:space="preserve"> system includes a one-tube multiplex PCR followed by a completely automated process of hybridi</w:t>
            </w:r>
            <w:r w:rsidR="003A4546">
              <w:rPr>
                <w:rFonts w:ascii="Arial Narrow" w:eastAsiaTheme="minorHAnsi" w:hAnsi="Arial Narrow" w:cstheme="minorHAnsi"/>
                <w:sz w:val="20"/>
                <w:szCs w:val="20"/>
                <w:lang w:eastAsia="en-US"/>
              </w:rPr>
              <w:t>s</w:t>
            </w:r>
            <w:r w:rsidRPr="005D654C">
              <w:rPr>
                <w:rFonts w:ascii="Arial Narrow" w:eastAsiaTheme="minorHAnsi" w:hAnsi="Arial Narrow" w:cstheme="minorHAnsi"/>
                <w:sz w:val="20"/>
                <w:szCs w:val="20"/>
                <w:lang w:eastAsia="en-US"/>
              </w:rPr>
              <w:t>ation and detection in a 96-well microtiter plate containing an assay chip (with an 8x8 array of capture probes and controls to detect all requisite alleles) in the bottom of each well.</w:t>
            </w:r>
          </w:p>
          <w:p w14:paraId="4E7F793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Roche CF Gold line probe strips</w:t>
            </w:r>
          </w:p>
          <w:p w14:paraId="0B59ABF1"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eastAsiaTheme="minorHAnsi" w:hAnsi="Arial Narrow" w:cstheme="minorHAnsi"/>
                <w:sz w:val="20"/>
                <w:szCs w:val="20"/>
                <w:lang w:eastAsia="en-US"/>
              </w:rPr>
              <w:t>Applera CF OLA, Ver 3.0</w:t>
            </w:r>
          </w:p>
        </w:tc>
        <w:tc>
          <w:tcPr>
            <w:tcW w:w="2268" w:type="dxa"/>
          </w:tcPr>
          <w:p w14:paraId="0A25ED2F"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 reference standard</w:t>
            </w:r>
          </w:p>
        </w:tc>
      </w:tr>
      <w:tr w:rsidR="005D654C" w:rsidRPr="005D654C" w14:paraId="58DECB4D" w14:textId="77777777" w:rsidTr="00935F84">
        <w:trPr>
          <w:cantSplit/>
        </w:trPr>
        <w:tc>
          <w:tcPr>
            <w:tcW w:w="1242" w:type="dxa"/>
          </w:tcPr>
          <w:p w14:paraId="29987587" w14:textId="09C943BC"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lastRenderedPageBreak/>
              <w:t xml:space="preserve">Tomaiuolo, Spina &amp; Castaldo </w:t>
            </w:r>
            <w:r w:rsidR="002C4133">
              <w:rPr>
                <w:rFonts w:ascii="Arial Narrow" w:eastAsiaTheme="minorHAnsi" w:hAnsi="Arial Narrow" w:cstheme="minorHAnsi"/>
                <w:sz w:val="20"/>
                <w:szCs w:val="20"/>
                <w:lang w:eastAsia="en-US"/>
              </w:rPr>
              <w:t>(</w:t>
            </w:r>
            <w:r w:rsidRPr="005D654C">
              <w:rPr>
                <w:rFonts w:ascii="Arial Narrow" w:eastAsiaTheme="minorHAnsi" w:hAnsi="Arial Narrow" w:cstheme="minorHAnsi"/>
                <w:sz w:val="20"/>
                <w:szCs w:val="20"/>
                <w:lang w:eastAsia="en-US"/>
              </w:rPr>
              <w:t>2003</w:t>
            </w:r>
            <w:r w:rsidR="002C4133">
              <w:rPr>
                <w:rFonts w:ascii="Arial Narrow" w:eastAsiaTheme="minorHAnsi" w:hAnsi="Arial Narrow" w:cstheme="minorHAnsi"/>
                <w:sz w:val="20"/>
                <w:szCs w:val="20"/>
                <w:lang w:eastAsia="en-US"/>
              </w:rPr>
              <w:t>)</w:t>
            </w:r>
          </w:p>
          <w:p w14:paraId="58E17C1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Italy</w:t>
            </w:r>
          </w:p>
        </w:tc>
        <w:tc>
          <w:tcPr>
            <w:tcW w:w="1985" w:type="dxa"/>
          </w:tcPr>
          <w:p w14:paraId="5D62FD4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399ACAEF"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0267F34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68EC3345"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N=105 DNA samples from CF subjects bearing different genotypes</w:t>
            </w:r>
          </w:p>
          <w:p w14:paraId="4877C76B"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N=80 from CF patients:</w:t>
            </w:r>
          </w:p>
          <w:p w14:paraId="362A2D30" w14:textId="05172FB8"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 xml:space="preserve">49 with </w:t>
            </w:r>
            <w:r w:rsidR="000E7BDF">
              <w:rPr>
                <w:rFonts w:ascii="Arial Narrow" w:hAnsi="Arial Narrow" w:cs="Times New Roman"/>
                <w:sz w:val="20"/>
                <w:szCs w:val="20"/>
                <w:lang w:eastAsia="en-US"/>
              </w:rPr>
              <w:t>2</w:t>
            </w:r>
            <w:r w:rsidR="003A4546"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known mutations (15 homozygous, 34 heterozygous)</w:t>
            </w:r>
            <w:r w:rsidRPr="005D654C">
              <w:rPr>
                <w:rFonts w:ascii="Arial Narrow" w:hAnsi="Arial Narrow" w:cs="Times New Roman"/>
                <w:sz w:val="20"/>
                <w:szCs w:val="20"/>
                <w:lang w:eastAsia="en-US"/>
              </w:rPr>
              <w:br/>
              <w:t xml:space="preserve">31 with </w:t>
            </w:r>
            <w:r w:rsidR="000E7BDF">
              <w:rPr>
                <w:rFonts w:ascii="Arial Narrow" w:hAnsi="Arial Narrow" w:cs="Times New Roman"/>
                <w:sz w:val="20"/>
                <w:szCs w:val="20"/>
                <w:lang w:eastAsia="en-US"/>
              </w:rPr>
              <w:t>1</w:t>
            </w:r>
            <w:r w:rsidR="00E542AA"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 xml:space="preserve">known and </w:t>
            </w:r>
            <w:r w:rsidR="000E7BDF">
              <w:rPr>
                <w:rFonts w:ascii="Arial Narrow" w:hAnsi="Arial Narrow" w:cs="Times New Roman"/>
                <w:sz w:val="20"/>
                <w:szCs w:val="20"/>
                <w:lang w:eastAsia="en-US"/>
              </w:rPr>
              <w:t>1</w:t>
            </w:r>
            <w:r w:rsidR="00E542AA" w:rsidRPr="005D654C">
              <w:rPr>
                <w:rFonts w:ascii="Arial Narrow" w:hAnsi="Arial Narrow" w:cs="Times New Roman"/>
                <w:sz w:val="20"/>
                <w:szCs w:val="20"/>
                <w:lang w:eastAsia="en-US"/>
              </w:rPr>
              <w:t xml:space="preserve"> </w:t>
            </w:r>
            <w:r w:rsidRPr="005D654C">
              <w:rPr>
                <w:rFonts w:ascii="Arial Narrow" w:hAnsi="Arial Narrow" w:cs="Times New Roman"/>
                <w:sz w:val="20"/>
                <w:szCs w:val="20"/>
                <w:lang w:eastAsia="en-US"/>
              </w:rPr>
              <w:t>unknown heterozygous mutation</w:t>
            </w:r>
          </w:p>
          <w:p w14:paraId="0B1451B3"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N=25 from CF carriers with known mutation</w:t>
            </w:r>
          </w:p>
        </w:tc>
        <w:tc>
          <w:tcPr>
            <w:tcW w:w="2410" w:type="dxa"/>
          </w:tcPr>
          <w:p w14:paraId="258EE98A"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76A21EBC" w14:textId="658E678E"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1. CF(12) ARMS kit, based on ARMS technology, requiring 2 multiplex PCRs for 6 mutations each</w:t>
            </w:r>
          </w:p>
          <w:p w14:paraId="4481F6B3" w14:textId="232797E4"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2. The OLA PCR kit, based on a single multiplex PCR, screens for 31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 </w:t>
            </w:r>
          </w:p>
          <w:p w14:paraId="2B32C81B" w14:textId="3F8B8B93" w:rsidR="008C2810"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3. INNO-LiPA CF, based on the reverse hybridisation principle, screens for 12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 (1 kit) and 17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mutations plus IVS8 polyT (second kit) </w:t>
            </w:r>
          </w:p>
          <w:p w14:paraId="25121DF1" w14:textId="72D3F9ED"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4. ASOH dot-blot assay was used according to manufacturer’s instructions to detect the 13 most common mutations in southern Italy</w:t>
            </w:r>
            <w:r w:rsidR="00E542AA">
              <w:rPr>
                <w:rFonts w:ascii="Arial Narrow" w:hAnsi="Arial Narrow" w:cs="Times New Roman"/>
                <w:sz w:val="20"/>
                <w:szCs w:val="20"/>
              </w:rPr>
              <w:t>.</w:t>
            </w:r>
          </w:p>
        </w:tc>
        <w:tc>
          <w:tcPr>
            <w:tcW w:w="2268" w:type="dxa"/>
          </w:tcPr>
          <w:p w14:paraId="43135CE0" w14:textId="40FACF7C"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DGGE of the whole </w:t>
            </w:r>
            <w:r w:rsidR="00FD37D3" w:rsidRPr="00FD37D3">
              <w:rPr>
                <w:rFonts w:ascii="Arial Narrow" w:hAnsi="Arial Narrow" w:cs="Times New Roman"/>
                <w:sz w:val="20"/>
                <w:szCs w:val="20"/>
              </w:rPr>
              <w:t>CFTR</w:t>
            </w:r>
            <w:r w:rsidRPr="005D654C">
              <w:rPr>
                <w:rFonts w:ascii="Arial Narrow" w:hAnsi="Arial Narrow" w:cs="Times New Roman"/>
                <w:sz w:val="20"/>
                <w:szCs w:val="20"/>
              </w:rPr>
              <w:t xml:space="preserve"> coding region </w:t>
            </w:r>
            <w:r w:rsidR="0014117B">
              <w:rPr>
                <w:rFonts w:ascii="Arial Narrow" w:hAnsi="Arial Narrow" w:cs="Times New Roman"/>
                <w:sz w:val="20"/>
                <w:szCs w:val="20"/>
              </w:rPr>
              <w:t xml:space="preserve">was </w:t>
            </w:r>
            <w:r w:rsidRPr="005D654C">
              <w:rPr>
                <w:rFonts w:ascii="Arial Narrow" w:hAnsi="Arial Narrow" w:cs="Times New Roman"/>
                <w:sz w:val="20"/>
                <w:szCs w:val="20"/>
              </w:rPr>
              <w:t>followed by sequence identification of each mutation</w:t>
            </w:r>
            <w:r w:rsidR="0014117B">
              <w:rPr>
                <w:rFonts w:ascii="Arial Narrow" w:hAnsi="Arial Narrow" w:cs="Times New Roman"/>
                <w:sz w:val="20"/>
                <w:szCs w:val="20"/>
              </w:rPr>
              <w:t>.</w:t>
            </w:r>
          </w:p>
        </w:tc>
      </w:tr>
      <w:tr w:rsidR="005D654C" w:rsidRPr="005D654C" w14:paraId="05901D74" w14:textId="77777777" w:rsidTr="00935F84">
        <w:tc>
          <w:tcPr>
            <w:tcW w:w="1242" w:type="dxa"/>
          </w:tcPr>
          <w:p w14:paraId="762A1F36" w14:textId="70F690BA"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Wall, Cai </w:t>
            </w:r>
            <w:r w:rsidR="00E25211">
              <w:rPr>
                <w:rFonts w:ascii="Arial Narrow" w:eastAsiaTheme="minorHAnsi" w:hAnsi="Arial Narrow" w:cstheme="minorHAnsi"/>
                <w:sz w:val="20"/>
                <w:szCs w:val="20"/>
                <w:lang w:eastAsia="en-US"/>
              </w:rPr>
              <w:t>&amp;</w:t>
            </w:r>
            <w:r w:rsidR="00E25211" w:rsidRPr="005D654C">
              <w:rPr>
                <w:rFonts w:ascii="Arial Narrow" w:eastAsiaTheme="minorHAnsi" w:hAnsi="Arial Narrow" w:cstheme="minorHAnsi"/>
                <w:sz w:val="20"/>
                <w:szCs w:val="20"/>
                <w:lang w:eastAsia="en-US"/>
              </w:rPr>
              <w:t xml:space="preserve"> </w:t>
            </w:r>
            <w:r w:rsidRPr="005D654C">
              <w:rPr>
                <w:rFonts w:ascii="Arial Narrow" w:eastAsiaTheme="minorHAnsi" w:hAnsi="Arial Narrow" w:cstheme="minorHAnsi"/>
                <w:sz w:val="20"/>
                <w:szCs w:val="20"/>
                <w:lang w:eastAsia="en-US"/>
              </w:rPr>
              <w:t xml:space="preserve">Chehab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ExcludeAuth="1"&gt;&lt;Author&gt;Wall&lt;/Author&gt;&lt;Year&gt;1995&lt;/Year&gt;&lt;RecNum&gt;1078&lt;/RecNum&gt;&lt;IDText&gt;333-338&lt;/IDText&gt;&lt;DisplayText&gt;(1995)&lt;/DisplayText&gt;&lt;record&gt;&lt;rec-number&gt;1078&lt;/rec-number&gt;&lt;foreign-keys&gt;&lt;key app="EN" db-id="parffa0acae2voep5w3vv9rypas2tr522eef" timestamp="1430369671"&gt;1078&lt;/key&gt;&lt;/foreign-keys&gt;&lt;ref-type name="Journal Article"&gt;17&lt;/ref-type&gt;&lt;contributors&gt;&lt;authors&gt;&lt;author&gt;Wall, J.&lt;/author&gt;&lt;author&gt;Cai, S.&lt;/author&gt;&lt;author&gt;Chehab, F. F.&lt;/author&gt;&lt;/authors&gt;&lt;/contributors&gt;&lt;auth-address&gt;Department of Laboratory Medicine, Division of Molecular Diagnostics, University of California, San Francisco, CA 94143-0134, United States&lt;/auth-address&gt;&lt;titles&gt;&lt;title&gt;A 31-mutation assay for cystic fibrosis testing in the clinical molecular diagnostics laboratory&lt;/title&gt;&lt;secondary-title&gt;Human Mutation&lt;/secondary-title&gt;&lt;/titles&gt;&lt;periodical&gt;&lt;full-title&gt;Hum Mutat&lt;/full-title&gt;&lt;abbr-1&gt;Human mutation&lt;/abbr-1&gt;&lt;/periodical&gt;&lt;pages&gt;333-338&lt;/pages&gt;&lt;volume&gt;5&lt;/volume&gt;&lt;number&gt;4&lt;/number&gt;&lt;dates&gt;&lt;year&gt;1995&lt;/year&gt;&lt;/dates&gt;&lt;urls&gt;&lt;related-urls&gt;&lt;url&gt;http://www.scopus.com/inward/record.url?eid=2-s2.0-0029024219&amp;amp;partnerID=40&amp;amp;md5=1130e4c46623357aa55e1124512fa7e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26" w:tooltip="Wall, 1995 #1078" w:history="1">
              <w:r w:rsidR="00B46ABF">
                <w:rPr>
                  <w:rFonts w:ascii="Arial Narrow" w:eastAsiaTheme="minorHAnsi" w:hAnsi="Arial Narrow" w:cstheme="minorHAnsi"/>
                  <w:noProof/>
                  <w:sz w:val="20"/>
                  <w:szCs w:val="20"/>
                  <w:lang w:eastAsia="en-US"/>
                </w:rPr>
                <w:t>1995</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48FC5D7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14999796"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63591FA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6D20DC94"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intermediate with some risk of bias</w:t>
            </w:r>
          </w:p>
        </w:tc>
        <w:tc>
          <w:tcPr>
            <w:tcW w:w="2268" w:type="dxa"/>
          </w:tcPr>
          <w:p w14:paraId="20BB0477" w14:textId="535E2A09"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N=123 CF patients</w:t>
            </w:r>
            <w:r w:rsidR="00E542AA">
              <w:rPr>
                <w:rFonts w:ascii="Arial Narrow" w:hAnsi="Arial Narrow" w:cs="Times New Roman"/>
                <w:sz w:val="20"/>
                <w:szCs w:val="20"/>
                <w:lang w:eastAsia="en-US"/>
              </w:rPr>
              <w:t>:</w:t>
            </w:r>
          </w:p>
          <w:p w14:paraId="41A715E2"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102 (83%) Caucasian</w:t>
            </w:r>
            <w:r w:rsidRPr="005D654C">
              <w:rPr>
                <w:rFonts w:ascii="Arial Narrow" w:hAnsi="Arial Narrow" w:cs="Times New Roman"/>
                <w:sz w:val="20"/>
                <w:szCs w:val="20"/>
                <w:lang w:eastAsia="en-US"/>
              </w:rPr>
              <w:br/>
              <w:t>20 (16%) Hispanic</w:t>
            </w:r>
            <w:r w:rsidRPr="005D654C">
              <w:rPr>
                <w:rFonts w:ascii="Arial Narrow" w:hAnsi="Arial Narrow" w:cs="Times New Roman"/>
                <w:sz w:val="20"/>
                <w:szCs w:val="20"/>
                <w:lang w:eastAsia="en-US"/>
              </w:rPr>
              <w:br/>
              <w:t>1 (1%) Native American</w:t>
            </w:r>
          </w:p>
        </w:tc>
        <w:tc>
          <w:tcPr>
            <w:tcW w:w="2410" w:type="dxa"/>
          </w:tcPr>
          <w:p w14:paraId="41FF51F9" w14:textId="3E1B10C1"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Not reported</w:t>
            </w:r>
          </w:p>
        </w:tc>
        <w:tc>
          <w:tcPr>
            <w:tcW w:w="3685" w:type="dxa"/>
          </w:tcPr>
          <w:p w14:paraId="7AF8933F"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PCR and reverse dot-blot hybridisation</w:t>
            </w:r>
          </w:p>
        </w:tc>
        <w:tc>
          <w:tcPr>
            <w:tcW w:w="2268" w:type="dxa"/>
          </w:tcPr>
          <w:p w14:paraId="2D35D744" w14:textId="2F5E8638"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CF </w:t>
            </w:r>
            <w:r w:rsidR="0014117B">
              <w:rPr>
                <w:rFonts w:ascii="Arial Narrow" w:hAnsi="Arial Narrow" w:cs="Times New Roman"/>
                <w:sz w:val="20"/>
                <w:szCs w:val="20"/>
              </w:rPr>
              <w:t xml:space="preserve">was </w:t>
            </w:r>
            <w:r w:rsidRPr="005D654C">
              <w:rPr>
                <w:rFonts w:ascii="Arial Narrow" w:hAnsi="Arial Narrow" w:cs="Times New Roman"/>
                <w:sz w:val="20"/>
                <w:szCs w:val="20"/>
              </w:rPr>
              <w:t>established by clinical criteria as well as abnormal sweat chloride levels</w:t>
            </w:r>
            <w:r w:rsidR="0014117B">
              <w:rPr>
                <w:rFonts w:ascii="Arial Narrow" w:hAnsi="Arial Narrow" w:cs="Times New Roman"/>
                <w:sz w:val="20"/>
                <w:szCs w:val="20"/>
              </w:rPr>
              <w:t>.</w:t>
            </w:r>
          </w:p>
        </w:tc>
      </w:tr>
      <w:tr w:rsidR="005D654C" w:rsidRPr="005D654C" w14:paraId="5133FCCA" w14:textId="77777777" w:rsidTr="00935F84">
        <w:trPr>
          <w:cantSplit/>
        </w:trPr>
        <w:tc>
          <w:tcPr>
            <w:tcW w:w="1242" w:type="dxa"/>
          </w:tcPr>
          <w:p w14:paraId="04C6A524" w14:textId="584FDE78"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 xml:space="preserve">Wang et al. </w:t>
            </w:r>
            <w:r w:rsidR="002C4133">
              <w:rPr>
                <w:rFonts w:ascii="Arial Narrow" w:eastAsiaTheme="minorHAnsi" w:hAnsi="Arial Narrow" w:cstheme="minorHAnsi"/>
                <w:sz w:val="20"/>
                <w:szCs w:val="20"/>
                <w:lang w:eastAsia="en-US"/>
              </w:rPr>
              <w:fldChar w:fldCharType="begin"/>
            </w:r>
            <w:r w:rsidR="009A054F">
              <w:rPr>
                <w:rFonts w:ascii="Arial Narrow" w:eastAsiaTheme="minorHAnsi" w:hAnsi="Arial Narrow" w:cstheme="minorHAnsi"/>
                <w:sz w:val="20"/>
                <w:szCs w:val="20"/>
                <w:lang w:eastAsia="en-US"/>
              </w:rPr>
              <w:instrText xml:space="preserve"> ADDIN EN.CITE &lt;EndNote&gt;&lt;Cite ExcludeAuth="1"&gt;&lt;Author&gt;Wang&lt;/Author&gt;&lt;Year&gt;2002&lt;/Year&gt;&lt;RecNum&gt;1082&lt;/RecNum&gt;&lt;IDText&gt;2066-2072&lt;/IDText&gt;&lt;DisplayText&gt;(2002)&lt;/DisplayText&gt;&lt;record&gt;&lt;rec-number&gt;1082&lt;/rec-number&gt;&lt;foreign-keys&gt;&lt;key app="EN" db-id="parffa0acae2voep5w3vv9rypas2tr522eef" timestamp="1430369672"&gt;1082&lt;/key&gt;&lt;/foreign-keys&gt;&lt;ref-type name="Journal Article"&gt;17&lt;/ref-type&gt;&lt;contributors&gt;&lt;authors&gt;&lt;author&gt;Wang, Z.&lt;/author&gt;&lt;author&gt;Milunsky, J.&lt;/author&gt;&lt;author&gt;Yamin, M.&lt;/author&gt;&lt;author&gt;Maher, T.&lt;/author&gt;&lt;author&gt;Oates, R.&lt;/author&gt;&lt;author&gt;Milunsky, A.&lt;/author&gt;&lt;/authors&gt;&lt;/contributors&gt;&lt;auth-address&gt;Department of Pediatrics, Boston University School of Medicine, Boston Medical Center, Boston, MA, United States&amp;#xD;Department of Urology, Boston University School of Medicine, Boston Medical Center, Boston, MA, United States&amp;#xD;Center for Human Genetics, Boston University School of Medicine, 715 Albany Street, Boston, MA 02118, United States&lt;/auth-address&gt;&lt;titles&gt;&lt;title&gt;Analysis by mass spectrometry of 100 cystic fibrosis gene mutations in 92 patients with congenital bilateral absence of the vas deferens&lt;/title&gt;&lt;secondary-title&gt;Human Reproduction&lt;/secondary-title&gt;&lt;/titles&gt;&lt;periodical&gt;&lt;full-title&gt;Human Reproduction&lt;/full-title&gt;&lt;/periodical&gt;&lt;pages&gt;2066-2072&lt;/pages&gt;&lt;volume&gt;17&lt;/volume&gt;&lt;number&gt;8&lt;/number&gt;&lt;keywords&gt;&lt;keyword&gt;Congenital bilateral absence of the vas deferens&lt;/keyword&gt;&lt;keyword&gt;Cystic fibrosis&lt;/keyword&gt;&lt;keyword&gt;Genetic testing&lt;/keyword&gt;&lt;keyword&gt;Mass spectrometry&lt;/keyword&gt;&lt;keyword&gt;Mutation detection&lt;/keyword&gt;&lt;/keywords&gt;&lt;dates&gt;&lt;year&gt;2002&lt;/year&gt;&lt;/dates&gt;&lt;urls&gt;&lt;related-urls&gt;&lt;url&gt;http://www.scopus.com/inward/record.url?eid=2-s2.0-0035988508&amp;amp;partnerID=40&amp;amp;md5=6978cfc8914948b4977f1db95a76b0a3&lt;/url&gt;&lt;url&gt;http://humrep.oxfordjournals.org/content/17/8/2066.full.pdf&lt;/url&gt;&lt;/related-urls&gt;&lt;/urls&gt;&lt;remote-database-name&gt;Scopus&lt;/remote-database-name&gt;&lt;/record&gt;&lt;/Cite&gt;&lt;/EndNote&gt;</w:instrText>
            </w:r>
            <w:r w:rsidR="002C4133">
              <w:rPr>
                <w:rFonts w:ascii="Arial Narrow" w:eastAsiaTheme="minorHAnsi" w:hAnsi="Arial Narrow" w:cstheme="minorHAnsi"/>
                <w:sz w:val="20"/>
                <w:szCs w:val="20"/>
                <w:lang w:eastAsia="en-US"/>
              </w:rPr>
              <w:fldChar w:fldCharType="separate"/>
            </w:r>
            <w:r w:rsidR="002C4133">
              <w:rPr>
                <w:rFonts w:ascii="Arial Narrow" w:eastAsiaTheme="minorHAnsi" w:hAnsi="Arial Narrow" w:cstheme="minorHAnsi"/>
                <w:noProof/>
                <w:sz w:val="20"/>
                <w:szCs w:val="20"/>
                <w:lang w:eastAsia="en-US"/>
              </w:rPr>
              <w:t>(</w:t>
            </w:r>
            <w:hyperlink w:anchor="_ENREF_127" w:tooltip="Wang, 2002 #1082" w:history="1">
              <w:r w:rsidR="00B46ABF">
                <w:rPr>
                  <w:rFonts w:ascii="Arial Narrow" w:eastAsiaTheme="minorHAnsi" w:hAnsi="Arial Narrow" w:cstheme="minorHAnsi"/>
                  <w:noProof/>
                  <w:sz w:val="20"/>
                  <w:szCs w:val="20"/>
                  <w:lang w:eastAsia="en-US"/>
                </w:rPr>
                <w:t>2002</w:t>
              </w:r>
            </w:hyperlink>
            <w:r w:rsidR="002C4133">
              <w:rPr>
                <w:rFonts w:ascii="Arial Narrow" w:eastAsiaTheme="minorHAnsi" w:hAnsi="Arial Narrow" w:cstheme="minorHAnsi"/>
                <w:noProof/>
                <w:sz w:val="20"/>
                <w:szCs w:val="20"/>
                <w:lang w:eastAsia="en-US"/>
              </w:rPr>
              <w:t>)</w:t>
            </w:r>
            <w:r w:rsidR="002C4133">
              <w:rPr>
                <w:rFonts w:ascii="Arial Narrow" w:eastAsiaTheme="minorHAnsi" w:hAnsi="Arial Narrow" w:cstheme="minorHAnsi"/>
                <w:sz w:val="20"/>
                <w:szCs w:val="20"/>
                <w:lang w:eastAsia="en-US"/>
              </w:rPr>
              <w:fldChar w:fldCharType="end"/>
            </w:r>
          </w:p>
          <w:p w14:paraId="53B9F9D1"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USA</w:t>
            </w:r>
          </w:p>
        </w:tc>
        <w:tc>
          <w:tcPr>
            <w:tcW w:w="1985" w:type="dxa"/>
          </w:tcPr>
          <w:p w14:paraId="20B1B96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Level III-2:</w:t>
            </w:r>
          </w:p>
          <w:p w14:paraId="5D230653"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A comparison with reference standard (not blinded or blinding not known)</w:t>
            </w:r>
          </w:p>
          <w:p w14:paraId="23B690CB" w14:textId="77777777" w:rsidR="005D654C" w:rsidRPr="005D654C" w:rsidRDefault="005D654C" w:rsidP="004566DC">
            <w:pPr>
              <w:spacing w:after="40" w:line="240" w:lineRule="auto"/>
              <w:jc w:val="left"/>
              <w:rPr>
                <w:rFonts w:ascii="Arial Narrow" w:eastAsiaTheme="minorHAnsi" w:hAnsi="Arial Narrow" w:cstheme="minorHAnsi"/>
                <w:sz w:val="20"/>
                <w:szCs w:val="20"/>
                <w:lang w:eastAsia="en-US"/>
              </w:rPr>
            </w:pPr>
            <w:r w:rsidRPr="005D654C">
              <w:rPr>
                <w:rFonts w:ascii="Arial Narrow" w:eastAsiaTheme="minorHAnsi" w:hAnsi="Arial Narrow" w:cstheme="minorHAnsi"/>
                <w:sz w:val="20"/>
                <w:szCs w:val="20"/>
                <w:lang w:eastAsia="en-US"/>
              </w:rPr>
              <w:t>Quality: good with a low risk of bias</w:t>
            </w:r>
          </w:p>
        </w:tc>
        <w:tc>
          <w:tcPr>
            <w:tcW w:w="2268" w:type="dxa"/>
          </w:tcPr>
          <w:p w14:paraId="2DDD9224" w14:textId="77777777" w:rsidR="005D654C" w:rsidRPr="005D654C" w:rsidRDefault="005D654C" w:rsidP="004566DC">
            <w:pPr>
              <w:tabs>
                <w:tab w:val="left" w:pos="89"/>
              </w:tabs>
              <w:spacing w:after="40" w:line="240" w:lineRule="auto"/>
              <w:jc w:val="left"/>
              <w:rPr>
                <w:rFonts w:ascii="Arial Narrow" w:hAnsi="Arial Narrow" w:cs="Times New Roman"/>
                <w:sz w:val="20"/>
                <w:szCs w:val="20"/>
                <w:lang w:eastAsia="en-US"/>
              </w:rPr>
            </w:pPr>
            <w:r w:rsidRPr="005D654C">
              <w:rPr>
                <w:rFonts w:ascii="Arial Narrow" w:hAnsi="Arial Narrow" w:cs="Times New Roman"/>
                <w:sz w:val="20"/>
                <w:szCs w:val="20"/>
                <w:lang w:eastAsia="en-US"/>
              </w:rPr>
              <w:t>N=92 patients with CBAVD</w:t>
            </w:r>
          </w:p>
        </w:tc>
        <w:tc>
          <w:tcPr>
            <w:tcW w:w="2410" w:type="dxa"/>
          </w:tcPr>
          <w:p w14:paraId="283C331D" w14:textId="77777777" w:rsidR="005D654C" w:rsidRPr="005D654C" w:rsidRDefault="005D654C" w:rsidP="004566DC">
            <w:pPr>
              <w:spacing w:after="40" w:line="240" w:lineRule="auto"/>
              <w:jc w:val="left"/>
              <w:rPr>
                <w:rFonts w:ascii="Arial Narrow" w:hAnsi="Arial Narrow" w:cs="Times New Roman"/>
                <w:sz w:val="20"/>
                <w:szCs w:val="20"/>
                <w:u w:val="single"/>
              </w:rPr>
            </w:pPr>
            <w:r w:rsidRPr="005D654C">
              <w:rPr>
                <w:rFonts w:ascii="Arial Narrow" w:hAnsi="Arial Narrow" w:cs="Times New Roman"/>
                <w:sz w:val="20"/>
                <w:szCs w:val="20"/>
                <w:u w:val="single"/>
              </w:rPr>
              <w:t>Inclusion criteria:</w:t>
            </w:r>
          </w:p>
          <w:p w14:paraId="2881B6AE" w14:textId="77777777"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Patients were included consecutively.</w:t>
            </w:r>
          </w:p>
        </w:tc>
        <w:tc>
          <w:tcPr>
            <w:tcW w:w="3685" w:type="dxa"/>
          </w:tcPr>
          <w:p w14:paraId="16441530" w14:textId="2A01159F"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Restriction enzyme analysis of either a CF25 mutation panel</w:t>
            </w:r>
            <w:r w:rsidR="00E542AA">
              <w:rPr>
                <w:rFonts w:ascii="Arial Narrow" w:hAnsi="Arial Narrow" w:cs="Times New Roman"/>
                <w:sz w:val="20"/>
                <w:szCs w:val="20"/>
              </w:rPr>
              <w:t>, or</w:t>
            </w:r>
            <w:r w:rsidR="00E542AA" w:rsidRPr="005D654C" w:rsidDel="00E542AA">
              <w:rPr>
                <w:rFonts w:ascii="Arial Narrow" w:hAnsi="Arial Narrow" w:cs="Times New Roman"/>
                <w:sz w:val="20"/>
                <w:szCs w:val="20"/>
              </w:rPr>
              <w:t xml:space="preserve"> </w:t>
            </w:r>
            <w:r w:rsidR="00E542AA">
              <w:rPr>
                <w:rFonts w:ascii="Arial Narrow" w:hAnsi="Arial Narrow" w:cs="Times New Roman"/>
                <w:sz w:val="20"/>
                <w:szCs w:val="20"/>
              </w:rPr>
              <w:t>m</w:t>
            </w:r>
            <w:r w:rsidRPr="005D654C">
              <w:rPr>
                <w:rFonts w:ascii="Arial Narrow" w:hAnsi="Arial Narrow" w:cs="Times New Roman"/>
                <w:sz w:val="20"/>
                <w:szCs w:val="20"/>
              </w:rPr>
              <w:t>ultiplex PCR followed by MALDI-TOF mass spectrometry of a CF100 mutation panel</w:t>
            </w:r>
          </w:p>
        </w:tc>
        <w:tc>
          <w:tcPr>
            <w:tcW w:w="2268" w:type="dxa"/>
          </w:tcPr>
          <w:p w14:paraId="4CED932D" w14:textId="06A72C83" w:rsidR="005D654C" w:rsidRPr="005D654C" w:rsidRDefault="005D654C" w:rsidP="004566DC">
            <w:pPr>
              <w:spacing w:after="40" w:line="240" w:lineRule="auto"/>
              <w:jc w:val="left"/>
              <w:rPr>
                <w:rFonts w:ascii="Arial Narrow" w:hAnsi="Arial Narrow" w:cs="Times New Roman"/>
                <w:sz w:val="20"/>
                <w:szCs w:val="20"/>
              </w:rPr>
            </w:pPr>
            <w:r w:rsidRPr="005D654C">
              <w:rPr>
                <w:rFonts w:ascii="Arial Narrow" w:hAnsi="Arial Narrow" w:cs="Times New Roman"/>
                <w:sz w:val="20"/>
                <w:szCs w:val="20"/>
              </w:rPr>
              <w:t xml:space="preserve">Diagnosis of CBAVD was made clinically by urologists and most </w:t>
            </w:r>
            <w:r w:rsidR="0014117B">
              <w:rPr>
                <w:rFonts w:ascii="Arial Narrow" w:hAnsi="Arial Narrow" w:cs="Times New Roman"/>
                <w:sz w:val="20"/>
                <w:szCs w:val="20"/>
              </w:rPr>
              <w:t xml:space="preserve">patients </w:t>
            </w:r>
            <w:r w:rsidRPr="005D654C">
              <w:rPr>
                <w:rFonts w:ascii="Arial Narrow" w:hAnsi="Arial Narrow" w:cs="Times New Roman"/>
                <w:sz w:val="20"/>
                <w:szCs w:val="20"/>
              </w:rPr>
              <w:t>ha</w:t>
            </w:r>
            <w:r w:rsidR="00320F4E">
              <w:rPr>
                <w:rFonts w:ascii="Arial Narrow" w:hAnsi="Arial Narrow" w:cs="Times New Roman"/>
                <w:sz w:val="20"/>
                <w:szCs w:val="20"/>
              </w:rPr>
              <w:t>d</w:t>
            </w:r>
            <w:r w:rsidRPr="005D654C">
              <w:rPr>
                <w:rFonts w:ascii="Arial Narrow" w:hAnsi="Arial Narrow" w:cs="Times New Roman"/>
                <w:sz w:val="20"/>
                <w:szCs w:val="20"/>
              </w:rPr>
              <w:t xml:space="preserve"> renal ultrasound studies.</w:t>
            </w:r>
          </w:p>
        </w:tc>
      </w:tr>
    </w:tbl>
    <w:p w14:paraId="07111D10" w14:textId="01DC12DB" w:rsidR="005D654C" w:rsidRPr="005D654C" w:rsidRDefault="005D654C" w:rsidP="004566DC">
      <w:pPr>
        <w:spacing w:before="40" w:after="40" w:line="240" w:lineRule="auto"/>
        <w:ind w:right="-57"/>
        <w:jc w:val="left"/>
        <w:rPr>
          <w:rFonts w:ascii="Arial Narrow" w:hAnsi="Arial Narrow"/>
          <w:sz w:val="20"/>
          <w:szCs w:val="20"/>
        </w:rPr>
      </w:pPr>
      <w:r w:rsidRPr="005D654C">
        <w:rPr>
          <w:rFonts w:ascii="Arial Narrow" w:hAnsi="Arial Narrow"/>
          <w:sz w:val="20"/>
          <w:szCs w:val="20"/>
        </w:rPr>
        <w:t xml:space="preserve">ACMG = American College of Medical Genetics; ARMS = amplification refractory mutation system; </w:t>
      </w:r>
      <w:r w:rsidR="00F64717">
        <w:rPr>
          <w:rFonts w:ascii="Arial Narrow" w:hAnsi="Arial Narrow"/>
          <w:sz w:val="20"/>
          <w:szCs w:val="20"/>
        </w:rPr>
        <w:t xml:space="preserve">ASO = </w:t>
      </w:r>
      <w:r w:rsidR="00F64717" w:rsidRPr="005D654C">
        <w:rPr>
          <w:rFonts w:ascii="Arial Narrow" w:hAnsi="Arial Narrow"/>
          <w:sz w:val="20"/>
          <w:szCs w:val="20"/>
        </w:rPr>
        <w:t>allele-specific oligonucleotide</w:t>
      </w:r>
      <w:r w:rsidR="00F64717">
        <w:rPr>
          <w:rFonts w:ascii="Arial Narrow" w:hAnsi="Arial Narrow"/>
          <w:sz w:val="20"/>
          <w:szCs w:val="20"/>
        </w:rPr>
        <w:t xml:space="preserve">; </w:t>
      </w:r>
      <w:r w:rsidRPr="005D654C">
        <w:rPr>
          <w:rFonts w:ascii="Arial Narrow" w:hAnsi="Arial Narrow"/>
          <w:sz w:val="20"/>
          <w:szCs w:val="20"/>
        </w:rPr>
        <w:t xml:space="preserve">ASOH = allele-specific oligonucleotide hybridisation; CAVD = congenital absence of the vas deferens; CBAVD = congenital bilateral absence of the vas deferens; CF = cystic fibrosis; </w:t>
      </w:r>
      <w:r w:rsidR="00FD37D3" w:rsidRPr="00FD37D3">
        <w:rPr>
          <w:rFonts w:ascii="Arial Narrow" w:hAnsi="Arial Narrow"/>
          <w:sz w:val="20"/>
          <w:szCs w:val="20"/>
        </w:rPr>
        <w:t>CFTR</w:t>
      </w:r>
      <w:r w:rsidRPr="005D654C">
        <w:rPr>
          <w:rFonts w:ascii="Arial Narrow" w:hAnsi="Arial Narrow"/>
          <w:sz w:val="20"/>
          <w:szCs w:val="20"/>
        </w:rPr>
        <w:t xml:space="preserve"> = cystic fibrosis transmembrane conductance regulator; </w:t>
      </w:r>
      <w:r w:rsidR="009C3FEA" w:rsidRPr="005D654C">
        <w:rPr>
          <w:rFonts w:ascii="Arial Narrow" w:hAnsi="Arial Narrow"/>
          <w:sz w:val="20"/>
          <w:szCs w:val="20"/>
        </w:rPr>
        <w:t xml:space="preserve">CUAVD = congenital unilateral absence of the vas deferens; </w:t>
      </w:r>
      <w:r w:rsidR="00216252">
        <w:rPr>
          <w:rFonts w:ascii="Arial Narrow" w:hAnsi="Arial Narrow"/>
          <w:sz w:val="20"/>
          <w:szCs w:val="20"/>
        </w:rPr>
        <w:t xml:space="preserve">CVS = chorionic villus sampling; </w:t>
      </w:r>
      <w:r w:rsidRPr="005D654C">
        <w:rPr>
          <w:rFonts w:ascii="Arial Narrow" w:hAnsi="Arial Narrow"/>
          <w:sz w:val="20"/>
          <w:szCs w:val="20"/>
        </w:rPr>
        <w:t>DGGE = denaturing gradient gel electrophoresis; DHPLC = denaturing high performance liquid chromatography; DNA = deoxyribonucleic acid; eMAP = elongation</w:t>
      </w:r>
      <w:r w:rsidR="00320F4E">
        <w:rPr>
          <w:rFonts w:ascii="Arial Narrow" w:hAnsi="Arial Narrow"/>
          <w:sz w:val="20"/>
          <w:szCs w:val="20"/>
        </w:rPr>
        <w:t>-</w:t>
      </w:r>
      <w:r w:rsidRPr="005D654C">
        <w:rPr>
          <w:rFonts w:ascii="Arial Narrow" w:hAnsi="Arial Narrow"/>
          <w:sz w:val="20"/>
          <w:szCs w:val="20"/>
        </w:rPr>
        <w:t xml:space="preserve">mediated multiplexed analysis of polymorphisms; FEB = fetal echogenic bowel; MALDI-TOF = matrix-assisted laser desorption ionisation </w:t>
      </w:r>
      <w:r w:rsidR="0077110F">
        <w:rPr>
          <w:rFonts w:ascii="Arial Narrow" w:hAnsi="Arial Narrow"/>
          <w:sz w:val="20"/>
          <w:szCs w:val="20"/>
        </w:rPr>
        <w:t>–</w:t>
      </w:r>
      <w:r w:rsidRPr="005D654C">
        <w:rPr>
          <w:rFonts w:ascii="Arial Narrow" w:hAnsi="Arial Narrow"/>
          <w:sz w:val="20"/>
          <w:szCs w:val="20"/>
        </w:rPr>
        <w:t xml:space="preserve"> time of flight; MLPA = multiple ligation-dependent probe amplification; mTTGE = modified temporal temperature gradient electrophoresis; OLA = oligonucleotide ligation assay; PCR = polymerase chain reaction; qPCR = quantitative real-time PCR; RFLP = restriction fragment length polymorphism; RNA = ribonucleic acid; SSCP = single-stranded conformation polymorphism; STR = short tandem repeats</w:t>
      </w:r>
    </w:p>
    <w:p w14:paraId="3694B10D" w14:textId="77777777" w:rsidR="005D654C" w:rsidRPr="005D654C" w:rsidRDefault="005D654C" w:rsidP="005D654C">
      <w:pPr>
        <w:spacing w:before="40" w:after="40" w:line="240" w:lineRule="auto"/>
        <w:ind w:right="-57"/>
        <w:rPr>
          <w:rFonts w:ascii="Tahoma" w:hAnsi="Tahoma"/>
        </w:rPr>
      </w:pPr>
    </w:p>
    <w:p w14:paraId="01590915" w14:textId="77777777" w:rsidR="001A4A46" w:rsidRDefault="001A4A46" w:rsidP="001A4A46">
      <w:pPr>
        <w:pStyle w:val="Caption"/>
      </w:pPr>
      <w:bookmarkStart w:id="540" w:name="_Toc418179484"/>
      <w:r>
        <w:lastRenderedPageBreak/>
        <w:t xml:space="preserve">Table </w:t>
      </w:r>
      <w:fldSimple w:instr=" SEQ Table \* ARABIC ">
        <w:r w:rsidR="00BB0E3E">
          <w:rPr>
            <w:noProof/>
          </w:rPr>
          <w:t>87</w:t>
        </w:r>
      </w:fldSimple>
      <w:r>
        <w:t xml:space="preserve"> </w:t>
      </w:r>
      <w:r w:rsidR="00E74E2C">
        <w:tab/>
      </w:r>
      <w:r w:rsidRPr="004F5E33">
        <w:t>Study profiles of include</w:t>
      </w:r>
      <w:r>
        <w:t>d studies on change in management</w:t>
      </w:r>
      <w:bookmarkEnd w:id="540"/>
    </w:p>
    <w:tbl>
      <w:tblPr>
        <w:tblStyle w:val="TableGrid7"/>
        <w:tblW w:w="0" w:type="auto"/>
        <w:tblLook w:val="04A0" w:firstRow="1" w:lastRow="0" w:firstColumn="1" w:lastColumn="0" w:noHBand="0" w:noVBand="1"/>
        <w:tblCaption w:val="Study profiles of included studies on change in management"/>
        <w:tblDescription w:val="Study profiles of included studies on change in management"/>
      </w:tblPr>
      <w:tblGrid>
        <w:gridCol w:w="1526"/>
        <w:gridCol w:w="1701"/>
        <w:gridCol w:w="2551"/>
        <w:gridCol w:w="2551"/>
        <w:gridCol w:w="2552"/>
        <w:gridCol w:w="3293"/>
      </w:tblGrid>
      <w:tr w:rsidR="001A4A46" w:rsidRPr="001A4A46" w14:paraId="41CAD298" w14:textId="77777777" w:rsidTr="006F73C4">
        <w:trPr>
          <w:tblHeader/>
        </w:trPr>
        <w:tc>
          <w:tcPr>
            <w:tcW w:w="1526" w:type="dxa"/>
          </w:tcPr>
          <w:p w14:paraId="4FBE176F" w14:textId="72CBFC4D" w:rsidR="001A4A46" w:rsidRPr="001A4A46" w:rsidRDefault="001A4A46" w:rsidP="004566DC">
            <w:pPr>
              <w:pStyle w:val="TableHeading"/>
              <w:jc w:val="left"/>
              <w:rPr>
                <w:rFonts w:eastAsia="Times New Roman"/>
                <w:lang w:eastAsia="en-AU"/>
              </w:rPr>
            </w:pPr>
            <w:r w:rsidRPr="001A4A46">
              <w:t xml:space="preserve">Study </w:t>
            </w:r>
            <w:r w:rsidR="00097589">
              <w:t>s</w:t>
            </w:r>
            <w:r w:rsidRPr="001A4A46">
              <w:t>etting</w:t>
            </w:r>
          </w:p>
        </w:tc>
        <w:tc>
          <w:tcPr>
            <w:tcW w:w="1701" w:type="dxa"/>
          </w:tcPr>
          <w:p w14:paraId="4A95EEFE" w14:textId="5CEF3938" w:rsidR="001A4A46" w:rsidRPr="001A4A46" w:rsidRDefault="001A4A46" w:rsidP="004566DC">
            <w:pPr>
              <w:pStyle w:val="TableHeading"/>
              <w:jc w:val="left"/>
              <w:rPr>
                <w:rFonts w:eastAsia="Times New Roman"/>
                <w:lang w:eastAsia="en-AU"/>
              </w:rPr>
            </w:pPr>
            <w:r w:rsidRPr="001A4A46">
              <w:t>Study design</w:t>
            </w:r>
            <w:r w:rsidR="002F307F">
              <w:t xml:space="preserve"> </w:t>
            </w:r>
            <w:r w:rsidRPr="001A4A46">
              <w:t>/ Quality appraisal</w:t>
            </w:r>
          </w:p>
        </w:tc>
        <w:tc>
          <w:tcPr>
            <w:tcW w:w="2551" w:type="dxa"/>
          </w:tcPr>
          <w:p w14:paraId="74FE5A44" w14:textId="77777777" w:rsidR="001A4A46" w:rsidRPr="001A4A46" w:rsidRDefault="001A4A46" w:rsidP="004566DC">
            <w:pPr>
              <w:pStyle w:val="TableHeading"/>
              <w:jc w:val="left"/>
              <w:rPr>
                <w:rFonts w:eastAsia="Times New Roman"/>
                <w:lang w:eastAsia="en-AU"/>
              </w:rPr>
            </w:pPr>
            <w:r w:rsidRPr="001A4A46">
              <w:t>Study population and PNDs</w:t>
            </w:r>
          </w:p>
        </w:tc>
        <w:tc>
          <w:tcPr>
            <w:tcW w:w="2551" w:type="dxa"/>
          </w:tcPr>
          <w:p w14:paraId="5CD9D44B" w14:textId="77777777" w:rsidR="001A4A46" w:rsidRPr="001A4A46" w:rsidRDefault="001A4A46" w:rsidP="004566DC">
            <w:pPr>
              <w:pStyle w:val="TableHeading"/>
              <w:jc w:val="left"/>
              <w:rPr>
                <w:rFonts w:eastAsia="Times New Roman"/>
                <w:lang w:eastAsia="en-AU"/>
              </w:rPr>
            </w:pPr>
            <w:r w:rsidRPr="001A4A46">
              <w:t>Inclusion criteria</w:t>
            </w:r>
          </w:p>
        </w:tc>
        <w:tc>
          <w:tcPr>
            <w:tcW w:w="2552" w:type="dxa"/>
          </w:tcPr>
          <w:p w14:paraId="2BB2292C" w14:textId="77777777" w:rsidR="001A4A46" w:rsidRPr="001A4A46" w:rsidRDefault="001A4A46" w:rsidP="004566DC">
            <w:pPr>
              <w:pStyle w:val="TableHeading"/>
              <w:jc w:val="left"/>
              <w:rPr>
                <w:rFonts w:eastAsia="Times New Roman"/>
                <w:lang w:eastAsia="en-AU"/>
              </w:rPr>
            </w:pPr>
            <w:r w:rsidRPr="001A4A46">
              <w:t>Intervention</w:t>
            </w:r>
          </w:p>
        </w:tc>
        <w:tc>
          <w:tcPr>
            <w:tcW w:w="3293" w:type="dxa"/>
          </w:tcPr>
          <w:p w14:paraId="6CE25459" w14:textId="77777777" w:rsidR="001A4A46" w:rsidRPr="001A4A46" w:rsidRDefault="001A4A46" w:rsidP="004566DC">
            <w:pPr>
              <w:pStyle w:val="TableHeading"/>
              <w:jc w:val="left"/>
              <w:rPr>
                <w:rFonts w:eastAsia="Times New Roman"/>
                <w:lang w:eastAsia="en-AU"/>
              </w:rPr>
            </w:pPr>
            <w:r w:rsidRPr="001A4A46">
              <w:t>Outcomes</w:t>
            </w:r>
          </w:p>
        </w:tc>
      </w:tr>
      <w:tr w:rsidR="001A4A46" w:rsidRPr="001A4A46" w14:paraId="775FD700" w14:textId="77777777" w:rsidTr="006F73C4">
        <w:tc>
          <w:tcPr>
            <w:tcW w:w="1526" w:type="dxa"/>
          </w:tcPr>
          <w:p w14:paraId="1CFDD93A"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Ameratunga et al. (2012)</w:t>
            </w:r>
          </w:p>
          <w:p w14:paraId="3576BCA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Melbourne, Victoria, Australia</w:t>
            </w:r>
          </w:p>
        </w:tc>
        <w:tc>
          <w:tcPr>
            <w:tcW w:w="1701" w:type="dxa"/>
          </w:tcPr>
          <w:p w14:paraId="2730FAA3"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Retrospective case series</w:t>
            </w:r>
          </w:p>
          <w:p w14:paraId="712D622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r w:rsidRPr="001A4A46">
              <w:rPr>
                <w:rFonts w:ascii="Arial Narrow" w:hAnsi="Arial Narrow"/>
                <w:sz w:val="20"/>
                <w:szCs w:val="20"/>
              </w:rPr>
              <w:br/>
              <w:t>Quality: 14/18</w:t>
            </w:r>
          </w:p>
        </w:tc>
        <w:tc>
          <w:tcPr>
            <w:tcW w:w="2551" w:type="dxa"/>
          </w:tcPr>
          <w:p w14:paraId="751B87F2" w14:textId="169AFE4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33/63 cases of FEB underwent parental carrier testing, 11/63 were referred from other hospitals or GP practices</w:t>
            </w:r>
            <w:r w:rsidR="00380394">
              <w:rPr>
                <w:rFonts w:ascii="Arial Narrow" w:hAnsi="Arial Narrow"/>
                <w:sz w:val="20"/>
                <w:szCs w:val="20"/>
              </w:rPr>
              <w:t>.</w:t>
            </w:r>
          </w:p>
        </w:tc>
        <w:tc>
          <w:tcPr>
            <w:tcW w:w="2551" w:type="dxa"/>
          </w:tcPr>
          <w:p w14:paraId="3C3B5303"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4AEC7CEB" w14:textId="05E907C4"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Pregnant women found to have FEB on mid</w:t>
            </w:r>
            <w:r w:rsidR="009B6E76">
              <w:rPr>
                <w:rFonts w:ascii="Arial Narrow" w:hAnsi="Arial Narrow"/>
                <w:sz w:val="20"/>
                <w:szCs w:val="20"/>
              </w:rPr>
              <w:t>-</w:t>
            </w:r>
            <w:r w:rsidRPr="001A4A46">
              <w:rPr>
                <w:rFonts w:ascii="Arial Narrow" w:hAnsi="Arial Narrow"/>
                <w:sz w:val="20"/>
                <w:szCs w:val="20"/>
              </w:rPr>
              <w:t xml:space="preserve">trimester ultrasound between </w:t>
            </w:r>
            <w:r w:rsidR="00097589">
              <w:rPr>
                <w:rFonts w:ascii="Arial Narrow" w:hAnsi="Arial Narrow"/>
                <w:sz w:val="20"/>
                <w:szCs w:val="20"/>
              </w:rPr>
              <w:t xml:space="preserve">1 </w:t>
            </w:r>
            <w:r w:rsidRPr="001A4A46">
              <w:rPr>
                <w:rFonts w:ascii="Arial Narrow" w:hAnsi="Arial Narrow"/>
                <w:sz w:val="20"/>
                <w:szCs w:val="20"/>
              </w:rPr>
              <w:t>March</w:t>
            </w:r>
            <w:r w:rsidR="00DF5916">
              <w:rPr>
                <w:rFonts w:ascii="Arial Narrow" w:hAnsi="Arial Narrow"/>
                <w:sz w:val="20"/>
                <w:szCs w:val="20"/>
              </w:rPr>
              <w:t xml:space="preserve"> </w:t>
            </w:r>
            <w:r w:rsidRPr="001A4A46">
              <w:rPr>
                <w:rFonts w:ascii="Arial Narrow" w:hAnsi="Arial Narrow"/>
                <w:sz w:val="20"/>
                <w:szCs w:val="20"/>
              </w:rPr>
              <w:t xml:space="preserve">2004 and </w:t>
            </w:r>
            <w:r w:rsidR="00097589">
              <w:rPr>
                <w:rFonts w:ascii="Arial Narrow" w:hAnsi="Arial Narrow"/>
                <w:sz w:val="20"/>
                <w:szCs w:val="20"/>
              </w:rPr>
              <w:t xml:space="preserve">1 </w:t>
            </w:r>
            <w:r w:rsidRPr="001A4A46">
              <w:rPr>
                <w:rFonts w:ascii="Arial Narrow" w:hAnsi="Arial Narrow"/>
                <w:sz w:val="20"/>
                <w:szCs w:val="20"/>
              </w:rPr>
              <w:t>March</w:t>
            </w:r>
            <w:r w:rsidR="00DF5916">
              <w:rPr>
                <w:rFonts w:ascii="Arial Narrow" w:hAnsi="Arial Narrow"/>
                <w:sz w:val="20"/>
                <w:szCs w:val="20"/>
              </w:rPr>
              <w:t xml:space="preserve"> </w:t>
            </w:r>
            <w:r w:rsidRPr="001A4A46">
              <w:rPr>
                <w:rFonts w:ascii="Arial Narrow" w:hAnsi="Arial Narrow"/>
                <w:sz w:val="20"/>
                <w:szCs w:val="20"/>
              </w:rPr>
              <w:t xml:space="preserve">2009 </w:t>
            </w:r>
          </w:p>
        </w:tc>
        <w:tc>
          <w:tcPr>
            <w:tcW w:w="2552" w:type="dxa"/>
          </w:tcPr>
          <w:p w14:paraId="6D81339C" w14:textId="57DBA313"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Parental carrier status was performed in 33 pregnancies</w:t>
            </w:r>
            <w:r w:rsidR="007151E3">
              <w:rPr>
                <w:rFonts w:ascii="Arial Narrow" w:hAnsi="Arial Narrow"/>
                <w:sz w:val="20"/>
                <w:szCs w:val="20"/>
              </w:rPr>
              <w:t>:</w:t>
            </w:r>
          </w:p>
          <w:p w14:paraId="484D07A8" w14:textId="034C989F"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(32 fetuses underwent ka</w:t>
            </w:r>
            <w:r w:rsidR="000345EB">
              <w:rPr>
                <w:rFonts w:ascii="Arial Narrow" w:hAnsi="Arial Narrow"/>
                <w:sz w:val="20"/>
                <w:szCs w:val="20"/>
              </w:rPr>
              <w:t>r</w:t>
            </w:r>
            <w:r w:rsidRPr="001A4A46">
              <w:rPr>
                <w:rFonts w:ascii="Arial Narrow" w:hAnsi="Arial Narrow"/>
                <w:sz w:val="20"/>
                <w:szCs w:val="20"/>
              </w:rPr>
              <w:t xml:space="preserve">yotyping, </w:t>
            </w:r>
            <w:r w:rsidR="007151E3">
              <w:rPr>
                <w:rFonts w:ascii="Arial Narrow" w:hAnsi="Arial Narrow"/>
                <w:sz w:val="20"/>
                <w:szCs w:val="20"/>
              </w:rPr>
              <w:t xml:space="preserve">and </w:t>
            </w:r>
            <w:r w:rsidRPr="001A4A46">
              <w:rPr>
                <w:rFonts w:ascii="Arial Narrow" w:hAnsi="Arial Narrow"/>
                <w:sz w:val="20"/>
                <w:szCs w:val="20"/>
              </w:rPr>
              <w:t>maternal serology for toxoplasmosis was performed in 44 cases, and for cytomegalovirus</w:t>
            </w:r>
            <w:r w:rsidR="00380394">
              <w:rPr>
                <w:rFonts w:ascii="Arial Narrow" w:hAnsi="Arial Narrow"/>
                <w:sz w:val="20"/>
                <w:szCs w:val="20"/>
              </w:rPr>
              <w:t xml:space="preserve"> </w:t>
            </w:r>
            <w:r w:rsidR="00380394" w:rsidRPr="001A4A46">
              <w:rPr>
                <w:rFonts w:ascii="Arial Narrow" w:hAnsi="Arial Narrow"/>
                <w:sz w:val="20"/>
                <w:szCs w:val="20"/>
              </w:rPr>
              <w:t>in 49</w:t>
            </w:r>
            <w:r w:rsidR="00380394">
              <w:rPr>
                <w:rFonts w:ascii="Arial Narrow" w:hAnsi="Arial Narrow"/>
                <w:sz w:val="20"/>
                <w:szCs w:val="20"/>
              </w:rPr>
              <w:t xml:space="preserve"> cases</w:t>
            </w:r>
            <w:r w:rsidRPr="001A4A46">
              <w:rPr>
                <w:rFonts w:ascii="Arial Narrow" w:hAnsi="Arial Narrow"/>
                <w:sz w:val="20"/>
                <w:szCs w:val="20"/>
              </w:rPr>
              <w:t>)</w:t>
            </w:r>
            <w:r w:rsidR="00DF5916">
              <w:rPr>
                <w:rFonts w:ascii="Arial Narrow" w:hAnsi="Arial Narrow"/>
                <w:sz w:val="20"/>
                <w:szCs w:val="20"/>
              </w:rPr>
              <w:t xml:space="preserve"> </w:t>
            </w:r>
          </w:p>
        </w:tc>
        <w:tc>
          <w:tcPr>
            <w:tcW w:w="3293" w:type="dxa"/>
          </w:tcPr>
          <w:p w14:paraId="4E2B8A27"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 carrier couple, no PND (no TOP), newborn was CF +ve</w:t>
            </w:r>
          </w:p>
        </w:tc>
      </w:tr>
      <w:tr w:rsidR="001A4A46" w:rsidRPr="001A4A46" w14:paraId="47E37084" w14:textId="77777777" w:rsidTr="006F73C4">
        <w:tc>
          <w:tcPr>
            <w:tcW w:w="1526" w:type="dxa"/>
          </w:tcPr>
          <w:p w14:paraId="32C81D3A"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Castaldo et al. (2000)</w:t>
            </w:r>
          </w:p>
          <w:p w14:paraId="4216083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Southern Italy</w:t>
            </w:r>
          </w:p>
        </w:tc>
        <w:tc>
          <w:tcPr>
            <w:tcW w:w="1701" w:type="dxa"/>
          </w:tcPr>
          <w:p w14:paraId="6246377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Prospective case series</w:t>
            </w:r>
          </w:p>
          <w:p w14:paraId="32B3C785"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35FA115C"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12/18</w:t>
            </w:r>
          </w:p>
        </w:tc>
        <w:tc>
          <w:tcPr>
            <w:tcW w:w="2551" w:type="dxa"/>
          </w:tcPr>
          <w:p w14:paraId="5578BA4E" w14:textId="3CA738AB"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33 high</w:t>
            </w:r>
            <w:r w:rsidR="007151E3">
              <w:rPr>
                <w:rFonts w:ascii="Arial Narrow" w:hAnsi="Arial Narrow"/>
                <w:sz w:val="20"/>
                <w:szCs w:val="20"/>
              </w:rPr>
              <w:t>-</w:t>
            </w:r>
            <w:r w:rsidRPr="001A4A46">
              <w:rPr>
                <w:rFonts w:ascii="Arial Narrow" w:hAnsi="Arial Narrow"/>
                <w:sz w:val="20"/>
                <w:szCs w:val="20"/>
              </w:rPr>
              <w:t>risk (1:4) pregnant couples</w:t>
            </w:r>
            <w:r w:rsidR="007151E3">
              <w:rPr>
                <w:rFonts w:ascii="Arial Narrow" w:hAnsi="Arial Narrow"/>
                <w:sz w:val="20"/>
                <w:szCs w:val="20"/>
              </w:rPr>
              <w:t>;</w:t>
            </w:r>
            <w:r w:rsidRPr="001A4A46">
              <w:rPr>
                <w:rFonts w:ascii="Arial Narrow" w:hAnsi="Arial Narrow"/>
                <w:sz w:val="20"/>
                <w:szCs w:val="20"/>
              </w:rPr>
              <w:t xml:space="preserve"> 31 had ≥1 child with CF, 2 were identified as carriers</w:t>
            </w:r>
            <w:r w:rsidR="007151E3">
              <w:rPr>
                <w:rFonts w:ascii="Arial Narrow" w:hAnsi="Arial Narrow"/>
                <w:sz w:val="20"/>
                <w:szCs w:val="20"/>
              </w:rPr>
              <w:t>;</w:t>
            </w:r>
            <w:r w:rsidRPr="001A4A46">
              <w:rPr>
                <w:rFonts w:ascii="Arial Narrow" w:hAnsi="Arial Narrow"/>
                <w:sz w:val="20"/>
                <w:szCs w:val="20"/>
              </w:rPr>
              <w:t xml:space="preserve"> </w:t>
            </w:r>
            <w:r w:rsidR="007151E3">
              <w:rPr>
                <w:rFonts w:ascii="Arial Narrow" w:hAnsi="Arial Narrow"/>
                <w:sz w:val="20"/>
                <w:szCs w:val="20"/>
              </w:rPr>
              <w:t>1</w:t>
            </w:r>
            <w:r w:rsidR="007151E3" w:rsidRPr="001A4A46">
              <w:rPr>
                <w:rFonts w:ascii="Arial Narrow" w:hAnsi="Arial Narrow"/>
                <w:sz w:val="20"/>
                <w:szCs w:val="20"/>
              </w:rPr>
              <w:t xml:space="preserve"> </w:t>
            </w:r>
            <w:r w:rsidRPr="001A4A46">
              <w:rPr>
                <w:rFonts w:ascii="Arial Narrow" w:hAnsi="Arial Narrow"/>
                <w:sz w:val="20"/>
                <w:szCs w:val="20"/>
              </w:rPr>
              <w:t>declined prenatal diagnosis</w:t>
            </w:r>
          </w:p>
        </w:tc>
        <w:tc>
          <w:tcPr>
            <w:tcW w:w="2551" w:type="dxa"/>
          </w:tcPr>
          <w:p w14:paraId="139031E8"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1DD7568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Couples where the woman was pregnant and the risk of the fetus having CF was 1:4</w:t>
            </w:r>
          </w:p>
        </w:tc>
        <w:tc>
          <w:tcPr>
            <w:tcW w:w="2552" w:type="dxa"/>
          </w:tcPr>
          <w:p w14:paraId="691ED97F"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In 22/32 cases both the mutations were known and direct analysis of the mutations was done. </w:t>
            </w:r>
          </w:p>
          <w:p w14:paraId="5F8ACB48" w14:textId="08A528FA"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In 7 cases (6 with </w:t>
            </w:r>
            <w:r w:rsidR="00CE5069">
              <w:rPr>
                <w:rFonts w:ascii="Arial Narrow" w:hAnsi="Arial Narrow"/>
                <w:sz w:val="20"/>
                <w:szCs w:val="20"/>
              </w:rPr>
              <w:t>two</w:t>
            </w:r>
            <w:r w:rsidR="00CE5069" w:rsidRPr="001A4A46">
              <w:rPr>
                <w:rFonts w:ascii="Arial Narrow" w:hAnsi="Arial Narrow"/>
                <w:sz w:val="20"/>
                <w:szCs w:val="20"/>
              </w:rPr>
              <w:t xml:space="preserve"> </w:t>
            </w:r>
            <w:r w:rsidRPr="001A4A46">
              <w:rPr>
                <w:rFonts w:ascii="Arial Narrow" w:hAnsi="Arial Narrow"/>
                <w:sz w:val="20"/>
                <w:szCs w:val="20"/>
              </w:rPr>
              <w:t>unknown mutations and 1 with one unknown mutation) diagnosis was made by analysis of intragenic polymorphisms</w:t>
            </w:r>
            <w:r w:rsidR="00CE5069">
              <w:rPr>
                <w:rFonts w:ascii="Arial Narrow" w:hAnsi="Arial Narrow"/>
                <w:sz w:val="20"/>
                <w:szCs w:val="20"/>
              </w:rPr>
              <w:t>.</w:t>
            </w:r>
            <w:r w:rsidRPr="001A4A46">
              <w:rPr>
                <w:rFonts w:ascii="Arial Narrow" w:hAnsi="Arial Narrow"/>
                <w:sz w:val="20"/>
                <w:szCs w:val="20"/>
              </w:rPr>
              <w:t xml:space="preserve"> </w:t>
            </w:r>
          </w:p>
        </w:tc>
        <w:tc>
          <w:tcPr>
            <w:tcW w:w="3293" w:type="dxa"/>
          </w:tcPr>
          <w:p w14:paraId="6AA56371" w14:textId="77777777" w:rsidR="001A4A46" w:rsidRPr="004566DC" w:rsidRDefault="001A4A46" w:rsidP="004566DC">
            <w:pPr>
              <w:pStyle w:val="ListParagraph"/>
              <w:numPr>
                <w:ilvl w:val="0"/>
                <w:numId w:val="62"/>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7 fetuses, 7 TOP</w:t>
            </w:r>
          </w:p>
          <w:p w14:paraId="65E4E188" w14:textId="77777777" w:rsidR="001A4A46" w:rsidRPr="004566DC" w:rsidRDefault="001A4A46" w:rsidP="004566DC">
            <w:pPr>
              <w:pStyle w:val="ListParagraph"/>
              <w:numPr>
                <w:ilvl w:val="0"/>
                <w:numId w:val="62"/>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18 fetuses</w:t>
            </w:r>
          </w:p>
          <w:p w14:paraId="18AD056F" w14:textId="4321A7F5" w:rsidR="001A4A46" w:rsidRPr="004566DC" w:rsidRDefault="001A4A46" w:rsidP="004566DC">
            <w:pPr>
              <w:pStyle w:val="ListParagraph"/>
              <w:numPr>
                <w:ilvl w:val="0"/>
                <w:numId w:val="62"/>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 xml:space="preserve">CF </w:t>
            </w:r>
            <w:r w:rsidR="00097589" w:rsidRPr="004566DC">
              <w:rPr>
                <w:rFonts w:ascii="Arial Narrow" w:hAnsi="Arial Narrow"/>
                <w:sz w:val="20"/>
                <w:szCs w:val="20"/>
              </w:rPr>
              <w:t>–</w:t>
            </w:r>
            <w:r w:rsidRPr="004566DC">
              <w:rPr>
                <w:rFonts w:ascii="Arial Narrow" w:hAnsi="Arial Narrow"/>
                <w:sz w:val="20"/>
                <w:szCs w:val="20"/>
              </w:rPr>
              <w:t>ve: 6 fetuses</w:t>
            </w:r>
          </w:p>
          <w:p w14:paraId="40B643CC" w14:textId="77777777" w:rsidR="001A4A46" w:rsidRPr="004566DC" w:rsidRDefault="001A4A46" w:rsidP="004566DC">
            <w:pPr>
              <w:pStyle w:val="ListParagraph"/>
              <w:numPr>
                <w:ilvl w:val="0"/>
                <w:numId w:val="62"/>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Unknown: 1 fetus (familial unknown rare mutation)</w:t>
            </w:r>
          </w:p>
          <w:p w14:paraId="2B53C61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 </w:t>
            </w:r>
          </w:p>
        </w:tc>
      </w:tr>
      <w:tr w:rsidR="001A4A46" w:rsidRPr="001A4A46" w14:paraId="42EDD8D3" w14:textId="77777777" w:rsidTr="006F73C4">
        <w:tc>
          <w:tcPr>
            <w:tcW w:w="1526" w:type="dxa"/>
          </w:tcPr>
          <w:p w14:paraId="7B606412" w14:textId="7D353120" w:rsidR="001A4A46" w:rsidRPr="001A4A46" w:rsidRDefault="008316B3" w:rsidP="004566DC">
            <w:pPr>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d</w:t>
            </w:r>
            <w:r w:rsidR="001A4A46" w:rsidRPr="001A4A46">
              <w:rPr>
                <w:rFonts w:ascii="Arial Narrow" w:hAnsi="Arial Narrow"/>
                <w:sz w:val="20"/>
                <w:szCs w:val="20"/>
              </w:rPr>
              <w:t>e Becdelievre et al. (2011)</w:t>
            </w:r>
          </w:p>
          <w:p w14:paraId="3BEC0AD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France</w:t>
            </w:r>
          </w:p>
        </w:tc>
        <w:tc>
          <w:tcPr>
            <w:tcW w:w="1701" w:type="dxa"/>
          </w:tcPr>
          <w:p w14:paraId="696991BB"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Retrospective case series</w:t>
            </w:r>
          </w:p>
          <w:p w14:paraId="6F99DC3E"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r w:rsidRPr="001A4A46">
              <w:rPr>
                <w:rFonts w:ascii="Arial Narrow" w:hAnsi="Arial Narrow"/>
                <w:sz w:val="20"/>
                <w:szCs w:val="20"/>
              </w:rPr>
              <w:br/>
              <w:t>Quality: 14/18</w:t>
            </w:r>
          </w:p>
        </w:tc>
        <w:tc>
          <w:tcPr>
            <w:tcW w:w="2551" w:type="dxa"/>
          </w:tcPr>
          <w:p w14:paraId="7CA32783" w14:textId="7CAA91A1"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465 couples (group 1) directly referred to the researchers’ laboratory because of fetal digestive anomalies at routine ultrasound investigation</w:t>
            </w:r>
          </w:p>
          <w:p w14:paraId="1A2FC97F" w14:textId="7A6239C4"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An additional 229 couples (group 2) referred for further investigations after screening for frequent mutations by other laboratories</w:t>
            </w:r>
          </w:p>
        </w:tc>
        <w:tc>
          <w:tcPr>
            <w:tcW w:w="2551" w:type="dxa"/>
          </w:tcPr>
          <w:p w14:paraId="3651DF2F"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 xml:space="preserve">Inclusion: </w:t>
            </w:r>
          </w:p>
          <w:p w14:paraId="7DEBE3F0"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Pregnant couples where fetal digestive anomalies were found on routine ultrasound investigation (echogenic bowel, intestinal loop dilatation, intra-abdominal calcifications, meconium peritonitis and non-visualisation of the gallbladder) </w:t>
            </w:r>
          </w:p>
          <w:p w14:paraId="5D94748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c>
          <w:tcPr>
            <w:tcW w:w="2552" w:type="dxa"/>
          </w:tcPr>
          <w:p w14:paraId="23477979" w14:textId="64DA5672"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In 679/694 cases </w:t>
            </w:r>
            <w:r w:rsidR="00FD37D3" w:rsidRPr="00FD37D3">
              <w:rPr>
                <w:rFonts w:ascii="Arial Narrow" w:hAnsi="Arial Narrow"/>
                <w:sz w:val="20"/>
                <w:szCs w:val="20"/>
              </w:rPr>
              <w:t>CFTR</w:t>
            </w:r>
            <w:r w:rsidRPr="001A4A46">
              <w:rPr>
                <w:rFonts w:ascii="Arial Narrow" w:hAnsi="Arial Narrow"/>
                <w:sz w:val="20"/>
                <w:szCs w:val="20"/>
              </w:rPr>
              <w:t xml:space="preserve"> mutation analysis was first performed in the parents. The fetus was studied when a mutation was identified in at least one parent and/or when a fetal sample was available. First, common mutation analysis was performed according to patients’ ethnic/geographical origins. If a mutation was identified, a complete scan of the </w:t>
            </w:r>
            <w:r w:rsidR="00FD37D3" w:rsidRPr="00FD37D3">
              <w:rPr>
                <w:rFonts w:ascii="Arial Narrow" w:hAnsi="Arial Narrow"/>
                <w:sz w:val="20"/>
                <w:szCs w:val="20"/>
              </w:rPr>
              <w:t>CFTR</w:t>
            </w:r>
            <w:r w:rsidRPr="001A4A46">
              <w:rPr>
                <w:rFonts w:ascii="Arial Narrow" w:hAnsi="Arial Narrow"/>
                <w:sz w:val="20"/>
                <w:szCs w:val="20"/>
              </w:rPr>
              <w:t xml:space="preserve"> coding regions of the partner was done. If both parents were carriers, prenatal diagnosis was performed.</w:t>
            </w:r>
          </w:p>
        </w:tc>
        <w:tc>
          <w:tcPr>
            <w:tcW w:w="3293" w:type="dxa"/>
          </w:tcPr>
          <w:p w14:paraId="080BD84C"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Group 1:</w:t>
            </w:r>
          </w:p>
          <w:p w14:paraId="49759E12" w14:textId="77777777" w:rsidR="001A4A46" w:rsidRPr="004566DC" w:rsidRDefault="001A4A46" w:rsidP="004566DC">
            <w:pPr>
              <w:pStyle w:val="ListParagraph"/>
              <w:numPr>
                <w:ilvl w:val="0"/>
                <w:numId w:val="63"/>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10/465 fetuses</w:t>
            </w:r>
          </w:p>
          <w:p w14:paraId="403DF6CD" w14:textId="77777777" w:rsidR="001A4A46" w:rsidRPr="004566DC" w:rsidRDefault="001A4A46" w:rsidP="004566DC">
            <w:pPr>
              <w:pStyle w:val="ListParagraph"/>
              <w:numPr>
                <w:ilvl w:val="0"/>
                <w:numId w:val="63"/>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13/465 fetuses</w:t>
            </w:r>
          </w:p>
          <w:p w14:paraId="2431DD4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Group 2:</w:t>
            </w:r>
          </w:p>
          <w:p w14:paraId="2802DF96" w14:textId="77777777" w:rsidR="001A4A46" w:rsidRPr="004566DC" w:rsidRDefault="001A4A46" w:rsidP="004566DC">
            <w:pPr>
              <w:pStyle w:val="ListParagraph"/>
              <w:numPr>
                <w:ilvl w:val="0"/>
                <w:numId w:val="64"/>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20/229 fetuses</w:t>
            </w:r>
          </w:p>
          <w:p w14:paraId="1B1DD9AA"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15/30 CF +ve fetuses were born.</w:t>
            </w:r>
          </w:p>
          <w:p w14:paraId="5CFBCCD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3 cases remained unresolved after complete molecular analysis (one TOP)</w:t>
            </w:r>
          </w:p>
        </w:tc>
      </w:tr>
      <w:tr w:rsidR="001A4A46" w:rsidRPr="001A4A46" w14:paraId="3B0ADA98" w14:textId="77777777" w:rsidTr="006F73C4">
        <w:tc>
          <w:tcPr>
            <w:tcW w:w="1526" w:type="dxa"/>
          </w:tcPr>
          <w:p w14:paraId="39A40180"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lastRenderedPageBreak/>
              <w:t>Ghose et al. (2000)</w:t>
            </w:r>
          </w:p>
          <w:p w14:paraId="63DA6616"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Leeds, UK</w:t>
            </w:r>
          </w:p>
        </w:tc>
        <w:tc>
          <w:tcPr>
            <w:tcW w:w="1701" w:type="dxa"/>
          </w:tcPr>
          <w:p w14:paraId="4C8B4AFC"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Prospective case series</w:t>
            </w:r>
          </w:p>
          <w:p w14:paraId="244D505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450F756A"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15/18</w:t>
            </w:r>
          </w:p>
        </w:tc>
        <w:tc>
          <w:tcPr>
            <w:tcW w:w="2551" w:type="dxa"/>
          </w:tcPr>
          <w:p w14:paraId="7D18479C"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48/60 couples with FEB consented to CF screening.</w:t>
            </w:r>
          </w:p>
          <w:p w14:paraId="27801F4A" w14:textId="273331D3"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54 singleton pregnancies and 6 were twins or triplets. Maternal age range: 16</w:t>
            </w:r>
            <w:r w:rsidR="00097589">
              <w:rPr>
                <w:rFonts w:ascii="Arial Narrow" w:hAnsi="Arial Narrow"/>
                <w:sz w:val="20"/>
                <w:szCs w:val="20"/>
              </w:rPr>
              <w:t>–</w:t>
            </w:r>
            <w:r w:rsidRPr="001A4A46">
              <w:rPr>
                <w:rFonts w:ascii="Arial Narrow" w:hAnsi="Arial Narrow"/>
                <w:sz w:val="20"/>
                <w:szCs w:val="20"/>
              </w:rPr>
              <w:t>41</w:t>
            </w:r>
            <w:r w:rsidR="00380394">
              <w:rPr>
                <w:rFonts w:ascii="Arial Narrow" w:hAnsi="Arial Narrow"/>
                <w:sz w:val="20"/>
                <w:szCs w:val="20"/>
              </w:rPr>
              <w:t> </w:t>
            </w:r>
            <w:r w:rsidR="00097589">
              <w:rPr>
                <w:rFonts w:ascii="Arial Narrow" w:hAnsi="Arial Narrow"/>
                <w:sz w:val="20"/>
                <w:szCs w:val="20"/>
              </w:rPr>
              <w:t>years</w:t>
            </w:r>
          </w:p>
        </w:tc>
        <w:tc>
          <w:tcPr>
            <w:tcW w:w="2551" w:type="dxa"/>
          </w:tcPr>
          <w:p w14:paraId="793D17D8"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37C8C1FD" w14:textId="34B24D3E"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Women with a detected FEB in second</w:t>
            </w:r>
            <w:r w:rsidR="004900ED">
              <w:rPr>
                <w:rFonts w:ascii="Arial Narrow" w:hAnsi="Arial Narrow"/>
                <w:sz w:val="20"/>
                <w:szCs w:val="20"/>
              </w:rPr>
              <w:t>-</w:t>
            </w:r>
            <w:r w:rsidRPr="001A4A46">
              <w:rPr>
                <w:rFonts w:ascii="Arial Narrow" w:hAnsi="Arial Narrow"/>
                <w:sz w:val="20"/>
                <w:szCs w:val="20"/>
              </w:rPr>
              <w:t xml:space="preserve">trimester ultrasound between February 1996 and December 1997 </w:t>
            </w:r>
          </w:p>
          <w:p w14:paraId="2BC6DEF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c>
          <w:tcPr>
            <w:tcW w:w="2552" w:type="dxa"/>
          </w:tcPr>
          <w:p w14:paraId="0763FA88" w14:textId="2D44B946"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Parental blood DNA testing to determine the carrier status (first only dF508, G511D and R553X</w:t>
            </w:r>
            <w:r w:rsidR="004900ED">
              <w:rPr>
                <w:rFonts w:ascii="Arial Narrow" w:hAnsi="Arial Narrow"/>
                <w:sz w:val="20"/>
                <w:szCs w:val="20"/>
              </w:rPr>
              <w:t>;</w:t>
            </w:r>
            <w:r w:rsidRPr="001A4A46">
              <w:rPr>
                <w:rFonts w:ascii="Arial Narrow" w:hAnsi="Arial Narrow"/>
                <w:sz w:val="20"/>
                <w:szCs w:val="20"/>
              </w:rPr>
              <w:t xml:space="preserve"> after January 1997 the 12 most common mutations were screened) for CF when the</w:t>
            </w:r>
            <w:r w:rsidR="004900ED">
              <w:rPr>
                <w:rFonts w:ascii="Arial Narrow" w:hAnsi="Arial Narrow"/>
                <w:sz w:val="20"/>
                <w:szCs w:val="20"/>
              </w:rPr>
              <w:t>y</w:t>
            </w:r>
            <w:r w:rsidRPr="001A4A46">
              <w:rPr>
                <w:rFonts w:ascii="Arial Narrow" w:hAnsi="Arial Narrow"/>
                <w:sz w:val="20"/>
                <w:szCs w:val="20"/>
              </w:rPr>
              <w:t xml:space="preserve"> consented to be screened</w:t>
            </w:r>
          </w:p>
        </w:tc>
        <w:tc>
          <w:tcPr>
            <w:tcW w:w="3293" w:type="dxa"/>
          </w:tcPr>
          <w:p w14:paraId="218ED640" w14:textId="6E4ED354"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CF</w:t>
            </w:r>
            <w:r w:rsidR="004900ED">
              <w:rPr>
                <w:rFonts w:ascii="Arial Narrow" w:hAnsi="Arial Narrow"/>
                <w:sz w:val="20"/>
                <w:szCs w:val="20"/>
              </w:rPr>
              <w:t xml:space="preserve"> </w:t>
            </w:r>
            <w:r w:rsidRPr="001A4A46">
              <w:rPr>
                <w:rFonts w:ascii="Arial Narrow" w:hAnsi="Arial Narrow"/>
                <w:sz w:val="20"/>
                <w:szCs w:val="20"/>
              </w:rPr>
              <w:t>+ve diagnosed through PND: 1/48 (1 TOP)</w:t>
            </w:r>
          </w:p>
          <w:p w14:paraId="7FBE1A7B"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CF +ve diagnosed after birth (out of people with no PND): 2/12 (no TOP)</w:t>
            </w:r>
          </w:p>
        </w:tc>
      </w:tr>
      <w:tr w:rsidR="001A4A46" w:rsidRPr="001A4A46" w14:paraId="0BAE3B70" w14:textId="77777777" w:rsidTr="006F73C4">
        <w:tc>
          <w:tcPr>
            <w:tcW w:w="1526" w:type="dxa"/>
          </w:tcPr>
          <w:p w14:paraId="2A70C11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Muller et al. (2002)</w:t>
            </w:r>
          </w:p>
          <w:p w14:paraId="42ABD72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France</w:t>
            </w:r>
          </w:p>
        </w:tc>
        <w:tc>
          <w:tcPr>
            <w:tcW w:w="1701" w:type="dxa"/>
          </w:tcPr>
          <w:p w14:paraId="556A10E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Prospective case series</w:t>
            </w:r>
          </w:p>
          <w:p w14:paraId="45F1BE63"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6621A45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14.5/18</w:t>
            </w:r>
          </w:p>
        </w:tc>
        <w:tc>
          <w:tcPr>
            <w:tcW w:w="2551" w:type="dxa"/>
          </w:tcPr>
          <w:p w14:paraId="33AAAFA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641 cases:</w:t>
            </w:r>
          </w:p>
          <w:p w14:paraId="3621011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FEB: 580 cases (481 had isolated FEB, 99 had FEB in combination with another anomaly)</w:t>
            </w:r>
          </w:p>
          <w:p w14:paraId="2B33B961"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Intestinal loop dilatation: 37 (34 isolated)</w:t>
            </w:r>
          </w:p>
          <w:p w14:paraId="7A5B98E6"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Intra-abdominal calcification (isolated): 15</w:t>
            </w:r>
          </w:p>
          <w:p w14:paraId="2705A78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Meconium peritonitis (isolated): 5</w:t>
            </w:r>
          </w:p>
          <w:p w14:paraId="1EF8457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Absence of gallbladder (isolated): 4 </w:t>
            </w:r>
          </w:p>
        </w:tc>
        <w:tc>
          <w:tcPr>
            <w:tcW w:w="2551" w:type="dxa"/>
          </w:tcPr>
          <w:p w14:paraId="358D2618"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02FB2DFB" w14:textId="40848779"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Pregnant women with abnormal ultrasound signs of fetal bowel anomalies (FEB, intestinal loop dilatation, intra-abdominal calcifications, absence of gallbladder) that were referred to 21 French molecular genetics laboratories</w:t>
            </w:r>
          </w:p>
        </w:tc>
        <w:tc>
          <w:tcPr>
            <w:tcW w:w="2552" w:type="dxa"/>
          </w:tcPr>
          <w:p w14:paraId="791F9FB1" w14:textId="1BE4BE6B" w:rsidR="001A4A46" w:rsidRPr="001A4A46" w:rsidRDefault="00FD37D3" w:rsidP="004566DC">
            <w:pPr>
              <w:spacing w:before="40" w:after="40" w:line="240" w:lineRule="auto"/>
              <w:jc w:val="left"/>
              <w:rPr>
                <w:rFonts w:ascii="Arial Narrow" w:eastAsia="Times New Roman" w:hAnsi="Arial Narrow"/>
                <w:sz w:val="20"/>
                <w:szCs w:val="20"/>
                <w:lang w:eastAsia="en-AU"/>
              </w:rPr>
            </w:pPr>
            <w:r w:rsidRPr="00FD37D3">
              <w:rPr>
                <w:rFonts w:ascii="Arial Narrow" w:hAnsi="Arial Narrow"/>
                <w:sz w:val="20"/>
                <w:szCs w:val="20"/>
              </w:rPr>
              <w:t>CFTR</w:t>
            </w:r>
            <w:r w:rsidR="001A4A46" w:rsidRPr="001A4A46">
              <w:rPr>
                <w:rFonts w:ascii="Arial Narrow" w:hAnsi="Arial Narrow"/>
                <w:sz w:val="20"/>
                <w:szCs w:val="20"/>
              </w:rPr>
              <w:t xml:space="preserve"> mutation testing was done on fetal cells or parental blood cells, or </w:t>
            </w:r>
            <w:r w:rsidR="004900ED">
              <w:rPr>
                <w:rFonts w:ascii="Arial Narrow" w:hAnsi="Arial Narrow"/>
                <w:sz w:val="20"/>
                <w:szCs w:val="20"/>
              </w:rPr>
              <w:t xml:space="preserve">on </w:t>
            </w:r>
            <w:r w:rsidR="001A4A46" w:rsidRPr="001A4A46">
              <w:rPr>
                <w:rFonts w:ascii="Arial Narrow" w:hAnsi="Arial Narrow"/>
                <w:sz w:val="20"/>
                <w:szCs w:val="20"/>
              </w:rPr>
              <w:t>both. First step was a common mutation screen representing 70</w:t>
            </w:r>
            <w:r w:rsidR="00380394">
              <w:rPr>
                <w:rFonts w:ascii="Arial Narrow" w:hAnsi="Arial Narrow"/>
                <w:sz w:val="20"/>
                <w:szCs w:val="20"/>
              </w:rPr>
              <w:t>%</w:t>
            </w:r>
            <w:r w:rsidR="004900ED">
              <w:rPr>
                <w:rFonts w:ascii="Arial Narrow" w:hAnsi="Arial Narrow"/>
                <w:sz w:val="20"/>
                <w:szCs w:val="20"/>
              </w:rPr>
              <w:t>–</w:t>
            </w:r>
            <w:r w:rsidR="001A4A46" w:rsidRPr="001A4A46">
              <w:rPr>
                <w:rFonts w:ascii="Arial Narrow" w:hAnsi="Arial Narrow"/>
                <w:sz w:val="20"/>
                <w:szCs w:val="20"/>
              </w:rPr>
              <w:t xml:space="preserve">90% of CF chromosomes. In addition, depending on ethnic background, particular mutations were screened, giving a detection rate of ≥90%. If only one mutation was detected (in </w:t>
            </w:r>
            <w:r w:rsidR="000E7BDF">
              <w:rPr>
                <w:rFonts w:ascii="Arial Narrow" w:hAnsi="Arial Narrow"/>
                <w:sz w:val="20"/>
                <w:szCs w:val="20"/>
              </w:rPr>
              <w:t>1</w:t>
            </w:r>
            <w:r w:rsidR="000E7BDF" w:rsidRPr="001A4A46">
              <w:rPr>
                <w:rFonts w:ascii="Arial Narrow" w:hAnsi="Arial Narrow"/>
                <w:sz w:val="20"/>
                <w:szCs w:val="20"/>
              </w:rPr>
              <w:t xml:space="preserve"> </w:t>
            </w:r>
            <w:r w:rsidR="001A4A46" w:rsidRPr="001A4A46">
              <w:rPr>
                <w:rFonts w:ascii="Arial Narrow" w:hAnsi="Arial Narrow"/>
                <w:sz w:val="20"/>
                <w:szCs w:val="20"/>
              </w:rPr>
              <w:t>parent and/or fetus), whole gene sequencing was conducted.</w:t>
            </w:r>
          </w:p>
        </w:tc>
        <w:tc>
          <w:tcPr>
            <w:tcW w:w="3293" w:type="dxa"/>
          </w:tcPr>
          <w:p w14:paraId="4D3E3B45" w14:textId="3169C2DF" w:rsid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Outcome of pregnancies was known for 627/641 cases</w:t>
            </w:r>
            <w:r w:rsidR="004900ED">
              <w:rPr>
                <w:rFonts w:ascii="Arial Narrow" w:hAnsi="Arial Narrow"/>
                <w:sz w:val="20"/>
                <w:szCs w:val="20"/>
              </w:rPr>
              <w:t>:</w:t>
            </w:r>
          </w:p>
          <w:p w14:paraId="7F6F613A" w14:textId="4165C119" w:rsidR="001A4A46" w:rsidRPr="004566DC" w:rsidRDefault="001A4A46" w:rsidP="004566DC">
            <w:pPr>
              <w:pStyle w:val="ListParagraph"/>
              <w:numPr>
                <w:ilvl w:val="0"/>
                <w:numId w:val="64"/>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20/627, 16 TOP, 2 continued pregnancy, 2 had 2nd mutation detected after birth (19 had FEB, 15 isolated)</w:t>
            </w:r>
          </w:p>
          <w:p w14:paraId="6EF1E906" w14:textId="7D757171" w:rsidR="001A4A46" w:rsidRPr="004566DC" w:rsidRDefault="00FD37D3" w:rsidP="004566DC">
            <w:pPr>
              <w:pStyle w:val="ListParagraph"/>
              <w:numPr>
                <w:ilvl w:val="0"/>
                <w:numId w:val="64"/>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CFTR</w:t>
            </w:r>
            <w:r w:rsidR="001A4A46" w:rsidRPr="004566DC">
              <w:rPr>
                <w:rFonts w:ascii="Arial Narrow" w:hAnsi="Arial Narrow"/>
                <w:sz w:val="20"/>
                <w:szCs w:val="20"/>
              </w:rPr>
              <w:t>-RD: 1 (no TOP)</w:t>
            </w:r>
          </w:p>
          <w:p w14:paraId="51858E3B" w14:textId="77777777" w:rsidR="001A4A46" w:rsidRPr="004566DC" w:rsidRDefault="001A4A46" w:rsidP="004566DC">
            <w:pPr>
              <w:pStyle w:val="ListParagraph"/>
              <w:numPr>
                <w:ilvl w:val="0"/>
                <w:numId w:val="64"/>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18 (no TOP, no CF, FEB in 15, 12 isolated)</w:t>
            </w:r>
          </w:p>
        </w:tc>
      </w:tr>
      <w:tr w:rsidR="001A4A46" w:rsidRPr="001A4A46" w14:paraId="3931454A" w14:textId="77777777" w:rsidTr="006F73C4">
        <w:tc>
          <w:tcPr>
            <w:tcW w:w="1526" w:type="dxa"/>
          </w:tcPr>
          <w:p w14:paraId="362AEE8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Scotet et al (2003)</w:t>
            </w:r>
          </w:p>
          <w:p w14:paraId="280DD61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Brittany, France</w:t>
            </w:r>
          </w:p>
        </w:tc>
        <w:tc>
          <w:tcPr>
            <w:tcW w:w="1701" w:type="dxa"/>
          </w:tcPr>
          <w:p w14:paraId="35DBCFEE"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Retrospective case series</w:t>
            </w:r>
          </w:p>
          <w:p w14:paraId="32820D9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r w:rsidRPr="001A4A46">
              <w:rPr>
                <w:rFonts w:ascii="Arial Narrow" w:hAnsi="Arial Narrow"/>
                <w:sz w:val="20"/>
                <w:szCs w:val="20"/>
              </w:rPr>
              <w:br/>
              <w:t>Quality: 13/18</w:t>
            </w:r>
          </w:p>
        </w:tc>
        <w:tc>
          <w:tcPr>
            <w:tcW w:w="2551" w:type="dxa"/>
          </w:tcPr>
          <w:p w14:paraId="425045AD" w14:textId="7E46E2E6"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337 PNDs</w:t>
            </w:r>
            <w:r w:rsidR="00B86899">
              <w:rPr>
                <w:rFonts w:ascii="Arial Narrow" w:hAnsi="Arial Narrow"/>
                <w:sz w:val="20"/>
                <w:szCs w:val="20"/>
              </w:rPr>
              <w:t>:</w:t>
            </w:r>
          </w:p>
          <w:p w14:paraId="1C8DE64D" w14:textId="02E3AC05"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148 PNDs </w:t>
            </w:r>
            <w:r w:rsidR="00732847">
              <w:rPr>
                <w:rFonts w:ascii="Arial Narrow" w:hAnsi="Arial Narrow"/>
                <w:sz w:val="20"/>
                <w:szCs w:val="20"/>
              </w:rPr>
              <w:t>for</w:t>
            </w:r>
            <w:r w:rsidRPr="001A4A46">
              <w:rPr>
                <w:rFonts w:ascii="Arial Narrow" w:hAnsi="Arial Narrow"/>
                <w:sz w:val="20"/>
                <w:szCs w:val="20"/>
              </w:rPr>
              <w:t xml:space="preserve"> couples related to a CF child (1</w:t>
            </w:r>
            <w:r w:rsidR="00732847">
              <w:rPr>
                <w:rFonts w:ascii="Arial Narrow" w:hAnsi="Arial Narrow"/>
                <w:sz w:val="20"/>
                <w:szCs w:val="20"/>
              </w:rPr>
              <w:t>:</w:t>
            </w:r>
            <w:r w:rsidRPr="001A4A46">
              <w:rPr>
                <w:rFonts w:ascii="Arial Narrow" w:hAnsi="Arial Narrow"/>
                <w:sz w:val="20"/>
                <w:szCs w:val="20"/>
              </w:rPr>
              <w:t>4 risk)</w:t>
            </w:r>
          </w:p>
          <w:p w14:paraId="0AC8D365" w14:textId="734AF19D"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189 PNDs following the diagnosis of FEB during pregnancy</w:t>
            </w:r>
          </w:p>
          <w:p w14:paraId="55627EB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c>
          <w:tcPr>
            <w:tcW w:w="2551" w:type="dxa"/>
          </w:tcPr>
          <w:p w14:paraId="3EA50994"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5C6D4257" w14:textId="0993E8CE"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All women using PND between 1</w:t>
            </w:r>
            <w:r w:rsidR="00115DB6">
              <w:rPr>
                <w:rFonts w:ascii="Arial Narrow" w:hAnsi="Arial Narrow"/>
                <w:sz w:val="20"/>
                <w:szCs w:val="20"/>
              </w:rPr>
              <w:t xml:space="preserve"> Jan</w:t>
            </w:r>
            <w:r w:rsidR="00097589">
              <w:rPr>
                <w:rFonts w:ascii="Arial Narrow" w:hAnsi="Arial Narrow"/>
                <w:sz w:val="20"/>
                <w:szCs w:val="20"/>
              </w:rPr>
              <w:t xml:space="preserve">uary </w:t>
            </w:r>
            <w:r w:rsidRPr="001A4A46">
              <w:rPr>
                <w:rFonts w:ascii="Arial Narrow" w:hAnsi="Arial Narrow"/>
                <w:sz w:val="20"/>
                <w:szCs w:val="20"/>
              </w:rPr>
              <w:t>1992 and 31</w:t>
            </w:r>
            <w:r w:rsidR="00C16F7B">
              <w:rPr>
                <w:rFonts w:ascii="Arial Narrow" w:hAnsi="Arial Narrow"/>
                <w:sz w:val="20"/>
                <w:szCs w:val="20"/>
              </w:rPr>
              <w:t> </w:t>
            </w:r>
            <w:r w:rsidR="00097589">
              <w:rPr>
                <w:rFonts w:ascii="Arial Narrow" w:hAnsi="Arial Narrow"/>
                <w:sz w:val="20"/>
                <w:szCs w:val="20"/>
              </w:rPr>
              <w:t xml:space="preserve">December </w:t>
            </w:r>
            <w:r w:rsidRPr="001A4A46">
              <w:rPr>
                <w:rFonts w:ascii="Arial Narrow" w:hAnsi="Arial Narrow"/>
                <w:sz w:val="20"/>
                <w:szCs w:val="20"/>
              </w:rPr>
              <w:t>2001 (data from the two genetics laboratories in the region)</w:t>
            </w:r>
            <w:r w:rsidR="00097589">
              <w:rPr>
                <w:rFonts w:ascii="Arial Narrow" w:hAnsi="Arial Narrow"/>
                <w:sz w:val="20"/>
                <w:szCs w:val="20"/>
              </w:rPr>
              <w:t>;</w:t>
            </w:r>
            <w:r w:rsidRPr="001A4A46">
              <w:rPr>
                <w:rFonts w:ascii="Arial Narrow" w:hAnsi="Arial Narrow"/>
                <w:sz w:val="20"/>
                <w:szCs w:val="20"/>
              </w:rPr>
              <w:t xml:space="preserve"> </w:t>
            </w:r>
            <w:r w:rsidR="00097589">
              <w:rPr>
                <w:rFonts w:ascii="Arial Narrow" w:hAnsi="Arial Narrow"/>
                <w:sz w:val="20"/>
                <w:szCs w:val="20"/>
              </w:rPr>
              <w:t>t</w:t>
            </w:r>
            <w:r w:rsidRPr="001A4A46">
              <w:rPr>
                <w:rFonts w:ascii="Arial Narrow" w:hAnsi="Arial Narrow"/>
                <w:sz w:val="20"/>
                <w:szCs w:val="20"/>
              </w:rPr>
              <w:t>hese are women with a 1 in 4 chance of having a baby with CF or where a</w:t>
            </w:r>
            <w:r w:rsidR="00115DB6">
              <w:rPr>
                <w:rFonts w:ascii="Arial Narrow" w:hAnsi="Arial Narrow"/>
                <w:sz w:val="20"/>
                <w:szCs w:val="20"/>
              </w:rPr>
              <w:t>n</w:t>
            </w:r>
            <w:r w:rsidRPr="001A4A46">
              <w:rPr>
                <w:rFonts w:ascii="Arial Narrow" w:hAnsi="Arial Narrow"/>
                <w:sz w:val="20"/>
                <w:szCs w:val="20"/>
              </w:rPr>
              <w:t xml:space="preserve"> FEB was detected on ultrasound</w:t>
            </w:r>
            <w:r w:rsidR="00C16F7B">
              <w:rPr>
                <w:rFonts w:ascii="Arial Narrow" w:hAnsi="Arial Narrow"/>
                <w:sz w:val="20"/>
                <w:szCs w:val="20"/>
              </w:rPr>
              <w:t>.</w:t>
            </w:r>
          </w:p>
        </w:tc>
        <w:tc>
          <w:tcPr>
            <w:tcW w:w="2552" w:type="dxa"/>
          </w:tcPr>
          <w:p w14:paraId="6696D9B2" w14:textId="46ACD66E"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In the case of a 1</w:t>
            </w:r>
            <w:r w:rsidR="00115DB6">
              <w:rPr>
                <w:rFonts w:ascii="Arial Narrow" w:hAnsi="Arial Narrow"/>
                <w:sz w:val="20"/>
                <w:szCs w:val="20"/>
              </w:rPr>
              <w:t>:</w:t>
            </w:r>
            <w:r w:rsidRPr="001A4A46">
              <w:rPr>
                <w:rFonts w:ascii="Arial Narrow" w:hAnsi="Arial Narrow"/>
                <w:sz w:val="20"/>
                <w:szCs w:val="20"/>
              </w:rPr>
              <w:t xml:space="preserve">4 risk (parents are known to be carriers), the fetus was tested for the parental mutations through </w:t>
            </w:r>
            <w:r w:rsidR="00EF721A">
              <w:rPr>
                <w:rFonts w:ascii="Arial Narrow" w:hAnsi="Arial Narrow"/>
                <w:sz w:val="20"/>
                <w:szCs w:val="20"/>
              </w:rPr>
              <w:t>CVS</w:t>
            </w:r>
            <w:r w:rsidRPr="001A4A46">
              <w:rPr>
                <w:rFonts w:ascii="Arial Narrow" w:hAnsi="Arial Narrow"/>
                <w:sz w:val="20"/>
                <w:szCs w:val="20"/>
              </w:rPr>
              <w:t xml:space="preserve"> (at 10</w:t>
            </w:r>
            <w:r w:rsidR="00EF721A">
              <w:rPr>
                <w:rFonts w:ascii="Arial Narrow" w:hAnsi="Arial Narrow"/>
                <w:sz w:val="20"/>
                <w:szCs w:val="20"/>
              </w:rPr>
              <w:t> </w:t>
            </w:r>
            <w:r w:rsidRPr="001A4A46">
              <w:rPr>
                <w:rFonts w:ascii="Arial Narrow" w:hAnsi="Arial Narrow"/>
                <w:sz w:val="20"/>
                <w:szCs w:val="20"/>
              </w:rPr>
              <w:t>weeks) or amniocentesis (</w:t>
            </w:r>
            <w:r w:rsidR="00EF721A">
              <w:rPr>
                <w:rFonts w:ascii="Arial Narrow" w:hAnsi="Arial Narrow"/>
                <w:sz w:val="20"/>
                <w:szCs w:val="20"/>
              </w:rPr>
              <w:t xml:space="preserve">at </w:t>
            </w:r>
            <w:r w:rsidRPr="001A4A46">
              <w:rPr>
                <w:rFonts w:ascii="Arial Narrow" w:hAnsi="Arial Narrow"/>
                <w:sz w:val="20"/>
                <w:szCs w:val="20"/>
              </w:rPr>
              <w:t>16</w:t>
            </w:r>
            <w:r w:rsidR="00B2275C">
              <w:rPr>
                <w:rFonts w:ascii="Arial Narrow" w:hAnsi="Arial Narrow"/>
                <w:sz w:val="20"/>
                <w:szCs w:val="20"/>
              </w:rPr>
              <w:t>–</w:t>
            </w:r>
            <w:r w:rsidRPr="001A4A46">
              <w:rPr>
                <w:rFonts w:ascii="Arial Narrow" w:hAnsi="Arial Narrow"/>
                <w:sz w:val="20"/>
                <w:szCs w:val="20"/>
              </w:rPr>
              <w:t>17</w:t>
            </w:r>
            <w:r w:rsidR="00EF721A">
              <w:rPr>
                <w:rFonts w:ascii="Arial Narrow" w:hAnsi="Arial Narrow"/>
                <w:sz w:val="20"/>
                <w:szCs w:val="20"/>
              </w:rPr>
              <w:t> </w:t>
            </w:r>
            <w:r w:rsidRPr="001A4A46">
              <w:rPr>
                <w:rFonts w:ascii="Arial Narrow" w:hAnsi="Arial Narrow"/>
                <w:sz w:val="20"/>
                <w:szCs w:val="20"/>
              </w:rPr>
              <w:t>weeks).</w:t>
            </w:r>
          </w:p>
          <w:p w14:paraId="2C12E6DA" w14:textId="1D8DFD3B"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In cases of FEB, a molecular analysis of the </w:t>
            </w:r>
            <w:r w:rsidR="00A21FD9" w:rsidRPr="00A21FD9">
              <w:rPr>
                <w:rFonts w:ascii="Arial Narrow" w:hAnsi="Arial Narrow"/>
                <w:i/>
                <w:sz w:val="20"/>
                <w:szCs w:val="20"/>
              </w:rPr>
              <w:t>CFTR</w:t>
            </w:r>
            <w:r w:rsidRPr="001A4A46">
              <w:rPr>
                <w:rFonts w:ascii="Arial Narrow" w:hAnsi="Arial Narrow"/>
                <w:sz w:val="20"/>
                <w:szCs w:val="20"/>
              </w:rPr>
              <w:t xml:space="preserve"> gene was undertaken. </w:t>
            </w:r>
          </w:p>
        </w:tc>
        <w:tc>
          <w:tcPr>
            <w:tcW w:w="3293" w:type="dxa"/>
          </w:tcPr>
          <w:p w14:paraId="6C2EF4B0" w14:textId="0F68C510"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1</w:t>
            </w:r>
            <w:r w:rsidR="00EF721A">
              <w:rPr>
                <w:rFonts w:ascii="Arial Narrow" w:hAnsi="Arial Narrow"/>
                <w:sz w:val="20"/>
                <w:szCs w:val="20"/>
                <w:u w:val="single"/>
              </w:rPr>
              <w:t>:</w:t>
            </w:r>
            <w:r w:rsidRPr="001A4A46">
              <w:rPr>
                <w:rFonts w:ascii="Arial Narrow" w:hAnsi="Arial Narrow"/>
                <w:sz w:val="20"/>
                <w:szCs w:val="20"/>
                <w:u w:val="single"/>
              </w:rPr>
              <w:t>4 risk couples (148 PNDs, 39 CF</w:t>
            </w:r>
            <w:r w:rsidR="00C11BBC">
              <w:rPr>
                <w:rFonts w:ascii="Arial Narrow" w:hAnsi="Arial Narrow"/>
                <w:sz w:val="20"/>
                <w:szCs w:val="20"/>
                <w:u w:val="single"/>
              </w:rPr>
              <w:t> </w:t>
            </w:r>
            <w:r w:rsidRPr="001A4A46">
              <w:rPr>
                <w:rFonts w:ascii="Arial Narrow" w:hAnsi="Arial Narrow"/>
                <w:sz w:val="20"/>
                <w:szCs w:val="20"/>
                <w:u w:val="single"/>
              </w:rPr>
              <w:t>+ve, 36 TOP, 1 fetal loss, 2 births)</w:t>
            </w:r>
          </w:p>
          <w:p w14:paraId="606DE651"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Related to CF child clinically diagnosed (72 PNDs)</w:t>
            </w:r>
          </w:p>
          <w:p w14:paraId="73299E4B"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u w:val="single"/>
                <w:lang w:eastAsia="en-AU"/>
              </w:rPr>
            </w:pPr>
            <w:r w:rsidRPr="004566DC">
              <w:rPr>
                <w:rFonts w:ascii="Arial Narrow" w:hAnsi="Arial Narrow"/>
                <w:sz w:val="20"/>
                <w:szCs w:val="20"/>
              </w:rPr>
              <w:t>CF +ve: 15/72 (13 TOP)</w:t>
            </w:r>
          </w:p>
          <w:p w14:paraId="1EAAA087"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Related to screened CF child (76 PNDs)</w:t>
            </w:r>
          </w:p>
          <w:p w14:paraId="12DD297F"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24/76 (23 TOP)</w:t>
            </w:r>
          </w:p>
          <w:p w14:paraId="498DA76E" w14:textId="77777777" w:rsidR="001A4A46" w:rsidRPr="004566DC" w:rsidRDefault="001A4A46" w:rsidP="004566DC">
            <w:pPr>
              <w:spacing w:before="40" w:after="40" w:line="240" w:lineRule="auto"/>
              <w:jc w:val="left"/>
              <w:rPr>
                <w:rFonts w:ascii="Arial Narrow" w:eastAsia="Times New Roman" w:hAnsi="Arial Narrow"/>
                <w:sz w:val="20"/>
                <w:szCs w:val="20"/>
                <w:lang w:eastAsia="en-AU"/>
              </w:rPr>
            </w:pPr>
            <w:r w:rsidRPr="004566DC">
              <w:rPr>
                <w:rFonts w:ascii="Arial Narrow" w:hAnsi="Arial Narrow"/>
                <w:sz w:val="20"/>
                <w:szCs w:val="20"/>
              </w:rPr>
              <w:t xml:space="preserve">Family testing (26 PNDs): </w:t>
            </w:r>
          </w:p>
          <w:p w14:paraId="5A5D0CF0"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6/26 (5 TOP)</w:t>
            </w:r>
          </w:p>
          <w:p w14:paraId="3EC63532" w14:textId="6B38799A" w:rsidR="001A4A46" w:rsidRPr="001A4A46" w:rsidRDefault="00FD37D3" w:rsidP="004566DC">
            <w:pPr>
              <w:spacing w:before="40" w:after="40" w:line="240" w:lineRule="auto"/>
              <w:jc w:val="left"/>
              <w:rPr>
                <w:rFonts w:ascii="Arial Narrow" w:eastAsia="Times New Roman" w:hAnsi="Arial Narrow"/>
                <w:sz w:val="20"/>
                <w:szCs w:val="20"/>
                <w:u w:val="single"/>
                <w:lang w:eastAsia="en-AU"/>
              </w:rPr>
            </w:pPr>
            <w:r w:rsidRPr="00FD37D3">
              <w:rPr>
                <w:rFonts w:ascii="Arial Narrow" w:hAnsi="Arial Narrow"/>
                <w:sz w:val="20"/>
                <w:szCs w:val="20"/>
                <w:u w:val="single"/>
              </w:rPr>
              <w:t>CFTR</w:t>
            </w:r>
            <w:r w:rsidR="001A4A46" w:rsidRPr="001A4A46">
              <w:rPr>
                <w:rFonts w:ascii="Arial Narrow" w:hAnsi="Arial Narrow"/>
                <w:sz w:val="20"/>
                <w:szCs w:val="20"/>
                <w:u w:val="single"/>
              </w:rPr>
              <w:t xml:space="preserve"> testing after FEB detection (173 PNDs, 22 CF +ve, 18 TOP)</w:t>
            </w:r>
          </w:p>
          <w:p w14:paraId="54F3891E"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Initial molecular analysis (173 PNDs)</w:t>
            </w:r>
          </w:p>
          <w:p w14:paraId="1DE02874"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lastRenderedPageBreak/>
              <w:t>CF +ve: 17/173 (13 TOP)</w:t>
            </w:r>
          </w:p>
          <w:p w14:paraId="3B7CBAD7" w14:textId="415CBEAB"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w:t>
            </w:r>
            <w:r w:rsidR="00EF721A">
              <w:rPr>
                <w:rFonts w:ascii="Arial Narrow" w:hAnsi="Arial Narrow"/>
                <w:sz w:val="20"/>
                <w:szCs w:val="20"/>
              </w:rPr>
              <w:t>:</w:t>
            </w:r>
            <w:r w:rsidRPr="001A4A46">
              <w:rPr>
                <w:rFonts w:ascii="Arial Narrow" w:hAnsi="Arial Narrow"/>
                <w:sz w:val="20"/>
                <w:szCs w:val="20"/>
              </w:rPr>
              <w:t>4 risk identified through FEB in previous pregnancy (16 PNDs)</w:t>
            </w:r>
          </w:p>
          <w:p w14:paraId="3B1895A2"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 xml:space="preserve">CF +ve: 5/16 (5 TOP) </w:t>
            </w:r>
          </w:p>
        </w:tc>
      </w:tr>
      <w:tr w:rsidR="001A4A46" w:rsidRPr="001A4A46" w14:paraId="78B7DC34" w14:textId="77777777" w:rsidTr="006F73C4">
        <w:tc>
          <w:tcPr>
            <w:tcW w:w="1526" w:type="dxa"/>
          </w:tcPr>
          <w:p w14:paraId="323BEEC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lastRenderedPageBreak/>
              <w:t>Scotet et al (2008)</w:t>
            </w:r>
          </w:p>
          <w:p w14:paraId="4043A89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Brittany, France</w:t>
            </w:r>
          </w:p>
        </w:tc>
        <w:tc>
          <w:tcPr>
            <w:tcW w:w="1701" w:type="dxa"/>
          </w:tcPr>
          <w:p w14:paraId="7EA7D5C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Retrospective case series</w:t>
            </w:r>
          </w:p>
          <w:p w14:paraId="26AE4D7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07DE29D2" w14:textId="1E0B8761"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14.5/18</w:t>
            </w:r>
          </w:p>
        </w:tc>
        <w:tc>
          <w:tcPr>
            <w:tcW w:w="2551" w:type="dxa"/>
          </w:tcPr>
          <w:p w14:paraId="70F7061F" w14:textId="007B8DCA"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290 PNDs</w:t>
            </w:r>
            <w:r w:rsidR="00B86899">
              <w:rPr>
                <w:rFonts w:ascii="Arial Narrow" w:hAnsi="Arial Narrow"/>
                <w:sz w:val="20"/>
                <w:szCs w:val="20"/>
              </w:rPr>
              <w:t>:</w:t>
            </w:r>
          </w:p>
          <w:p w14:paraId="4FB2D33D" w14:textId="56199632"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268 PNDs in 165 couples with 1:4 risk (2 twin pregnancies) </w:t>
            </w:r>
          </w:p>
          <w:p w14:paraId="1A5EAE4B" w14:textId="2EA3EF7B"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22 PNDs after detection of FEB</w:t>
            </w:r>
          </w:p>
        </w:tc>
        <w:tc>
          <w:tcPr>
            <w:tcW w:w="2551" w:type="dxa"/>
          </w:tcPr>
          <w:p w14:paraId="3D5132A3"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6F106450" w14:textId="456E75F9"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Couples with a 1</w:t>
            </w:r>
            <w:r w:rsidR="00EE33F1">
              <w:rPr>
                <w:rFonts w:ascii="Arial Narrow" w:hAnsi="Arial Narrow"/>
                <w:sz w:val="20"/>
                <w:szCs w:val="20"/>
              </w:rPr>
              <w:t>:</w:t>
            </w:r>
            <w:r w:rsidRPr="001A4A46">
              <w:rPr>
                <w:rFonts w:ascii="Arial Narrow" w:hAnsi="Arial Narrow"/>
                <w:sz w:val="20"/>
                <w:szCs w:val="20"/>
              </w:rPr>
              <w:t xml:space="preserve">4 risk of CF (due to previous child or cascade screening) or with FEB diagnosed on ultrasound </w:t>
            </w:r>
            <w:r w:rsidR="00EE33F1">
              <w:rPr>
                <w:rFonts w:ascii="Arial Narrow" w:hAnsi="Arial Narrow"/>
                <w:sz w:val="20"/>
                <w:szCs w:val="20"/>
              </w:rPr>
              <w:t>during</w:t>
            </w:r>
            <w:r w:rsidR="00EE33F1" w:rsidRPr="001A4A46">
              <w:rPr>
                <w:rFonts w:ascii="Arial Narrow" w:hAnsi="Arial Narrow"/>
                <w:sz w:val="20"/>
                <w:szCs w:val="20"/>
              </w:rPr>
              <w:t xml:space="preserve"> </w:t>
            </w:r>
            <w:r w:rsidRPr="001A4A46">
              <w:rPr>
                <w:rFonts w:ascii="Arial Narrow" w:hAnsi="Arial Narrow"/>
                <w:sz w:val="20"/>
                <w:szCs w:val="20"/>
              </w:rPr>
              <w:t>1989</w:t>
            </w:r>
            <w:r w:rsidR="00EE33F1">
              <w:rPr>
                <w:rFonts w:ascii="Arial Narrow" w:hAnsi="Arial Narrow"/>
                <w:sz w:val="20"/>
                <w:szCs w:val="20"/>
              </w:rPr>
              <w:t>–</w:t>
            </w:r>
            <w:r w:rsidRPr="001A4A46">
              <w:rPr>
                <w:rFonts w:ascii="Arial Narrow" w:hAnsi="Arial Narrow"/>
                <w:sz w:val="20"/>
                <w:szCs w:val="20"/>
              </w:rPr>
              <w:t>2006</w:t>
            </w:r>
          </w:p>
        </w:tc>
        <w:tc>
          <w:tcPr>
            <w:tcW w:w="2552" w:type="dxa"/>
          </w:tcPr>
          <w:p w14:paraId="62E54DBE" w14:textId="49C7F2DC"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Common mutation analysis in the fetus (30 most common mutations) and</w:t>
            </w:r>
            <w:r w:rsidR="00EE33F1">
              <w:rPr>
                <w:rFonts w:ascii="Arial Narrow" w:hAnsi="Arial Narrow"/>
                <w:sz w:val="20"/>
                <w:szCs w:val="20"/>
              </w:rPr>
              <w:t>,</w:t>
            </w:r>
            <w:r w:rsidRPr="001A4A46">
              <w:rPr>
                <w:rFonts w:ascii="Arial Narrow" w:hAnsi="Arial Narrow"/>
                <w:sz w:val="20"/>
                <w:szCs w:val="20"/>
              </w:rPr>
              <w:t xml:space="preserve"> if necessary</w:t>
            </w:r>
            <w:r w:rsidR="00EE33F1">
              <w:rPr>
                <w:rFonts w:ascii="Arial Narrow" w:hAnsi="Arial Narrow"/>
                <w:sz w:val="20"/>
                <w:szCs w:val="20"/>
              </w:rPr>
              <w:t>,</w:t>
            </w:r>
            <w:r w:rsidRPr="001A4A46">
              <w:rPr>
                <w:rFonts w:ascii="Arial Narrow" w:hAnsi="Arial Narrow"/>
                <w:sz w:val="20"/>
                <w:szCs w:val="20"/>
              </w:rPr>
              <w:t xml:space="preserve"> whole gene screen or a search for large rearrangements in the gene</w:t>
            </w:r>
          </w:p>
        </w:tc>
        <w:tc>
          <w:tcPr>
            <w:tcW w:w="3293" w:type="dxa"/>
          </w:tcPr>
          <w:p w14:paraId="11E45575" w14:textId="605F6650"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1</w:t>
            </w:r>
            <w:r w:rsidR="00A255DA">
              <w:rPr>
                <w:rFonts w:ascii="Arial Narrow" w:hAnsi="Arial Narrow"/>
                <w:sz w:val="20"/>
                <w:szCs w:val="20"/>
                <w:u w:val="single"/>
              </w:rPr>
              <w:t>:</w:t>
            </w:r>
            <w:r w:rsidRPr="001A4A46">
              <w:rPr>
                <w:rFonts w:ascii="Arial Narrow" w:hAnsi="Arial Narrow"/>
                <w:sz w:val="20"/>
                <w:szCs w:val="20"/>
                <w:u w:val="single"/>
              </w:rPr>
              <w:t>4 risk couples (268 PNDs, 74 CF</w:t>
            </w:r>
            <w:r w:rsidR="00C11BBC">
              <w:rPr>
                <w:rFonts w:ascii="Arial Narrow" w:hAnsi="Arial Narrow"/>
                <w:sz w:val="20"/>
                <w:szCs w:val="20"/>
                <w:u w:val="single"/>
              </w:rPr>
              <w:t> </w:t>
            </w:r>
            <w:r w:rsidRPr="001A4A46">
              <w:rPr>
                <w:rFonts w:ascii="Arial Narrow" w:hAnsi="Arial Narrow"/>
                <w:sz w:val="20"/>
                <w:szCs w:val="20"/>
                <w:u w:val="single"/>
              </w:rPr>
              <w:t>+ve, 70 TOP):</w:t>
            </w:r>
          </w:p>
          <w:p w14:paraId="7FAF1E66"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Previous CF child (195 PNDs):</w:t>
            </w:r>
          </w:p>
          <w:p w14:paraId="7C2E3865"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55 (51 TOP, 3 births, 1 intra-uterine death)</w:t>
            </w:r>
          </w:p>
          <w:p w14:paraId="143678F3"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43</w:t>
            </w:r>
          </w:p>
          <w:p w14:paraId="08CAB84E" w14:textId="77777777" w:rsidR="001A4A46" w:rsidRPr="004566DC" w:rsidRDefault="001A4A46" w:rsidP="004566DC">
            <w:pPr>
              <w:pStyle w:val="ListParagraph"/>
              <w:numPr>
                <w:ilvl w:val="0"/>
                <w:numId w:val="66"/>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96</w:t>
            </w:r>
          </w:p>
          <w:p w14:paraId="640D3A63"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Cascade screening (49 PNDs):</w:t>
            </w:r>
          </w:p>
          <w:p w14:paraId="6A85CEB0" w14:textId="77777777" w:rsidR="001A4A46" w:rsidRPr="004566DC" w:rsidRDefault="001A4A46" w:rsidP="004566DC">
            <w:pPr>
              <w:pStyle w:val="ListParagraph"/>
              <w:numPr>
                <w:ilvl w:val="0"/>
                <w:numId w:val="67"/>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13 (13 TOP)</w:t>
            </w:r>
          </w:p>
          <w:p w14:paraId="2A573744" w14:textId="77777777" w:rsidR="001A4A46" w:rsidRPr="004566DC" w:rsidRDefault="001A4A46" w:rsidP="004566DC">
            <w:pPr>
              <w:pStyle w:val="ListParagraph"/>
              <w:numPr>
                <w:ilvl w:val="0"/>
                <w:numId w:val="67"/>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but diagnosed after birth: 1 (no TOP)</w:t>
            </w:r>
          </w:p>
          <w:p w14:paraId="6EEFF2CF" w14:textId="77777777" w:rsidR="001A4A46" w:rsidRPr="004566DC" w:rsidRDefault="001A4A46" w:rsidP="004566DC">
            <w:pPr>
              <w:pStyle w:val="ListParagraph"/>
              <w:numPr>
                <w:ilvl w:val="0"/>
                <w:numId w:val="67"/>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9</w:t>
            </w:r>
          </w:p>
          <w:p w14:paraId="0642D781" w14:textId="77777777" w:rsidR="001A4A46" w:rsidRPr="004566DC" w:rsidRDefault="001A4A46" w:rsidP="004566DC">
            <w:pPr>
              <w:pStyle w:val="ListParagraph"/>
              <w:numPr>
                <w:ilvl w:val="0"/>
                <w:numId w:val="67"/>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27</w:t>
            </w:r>
          </w:p>
          <w:p w14:paraId="4D521D5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Positive parental CF testing after FEB (22 PNDs):</w:t>
            </w:r>
          </w:p>
          <w:p w14:paraId="623C9C9F" w14:textId="77777777"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6 (6 TOP)</w:t>
            </w:r>
          </w:p>
          <w:p w14:paraId="4A516FEE" w14:textId="709DF97C" w:rsidR="001A4A46" w:rsidRPr="001A4A46" w:rsidRDefault="00FD37D3" w:rsidP="004566DC">
            <w:pPr>
              <w:spacing w:before="40" w:after="40" w:line="240" w:lineRule="auto"/>
              <w:jc w:val="left"/>
              <w:rPr>
                <w:rFonts w:ascii="Arial Narrow" w:eastAsia="Times New Roman" w:hAnsi="Arial Narrow"/>
                <w:sz w:val="20"/>
                <w:szCs w:val="20"/>
                <w:u w:val="single"/>
                <w:lang w:eastAsia="en-AU"/>
              </w:rPr>
            </w:pPr>
            <w:r w:rsidRPr="00FD37D3">
              <w:rPr>
                <w:rFonts w:ascii="Arial Narrow" w:hAnsi="Arial Narrow"/>
                <w:sz w:val="20"/>
                <w:szCs w:val="20"/>
                <w:u w:val="single"/>
              </w:rPr>
              <w:t>CFTR</w:t>
            </w:r>
            <w:r w:rsidR="001A4A46" w:rsidRPr="001A4A46">
              <w:rPr>
                <w:rFonts w:ascii="Arial Narrow" w:hAnsi="Arial Narrow"/>
                <w:sz w:val="20"/>
                <w:szCs w:val="20"/>
                <w:u w:val="single"/>
              </w:rPr>
              <w:t xml:space="preserve"> testing directly after FEB (22 PNDs)</w:t>
            </w:r>
          </w:p>
          <w:p w14:paraId="313FD414" w14:textId="77777777"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22 (18 TOP)</w:t>
            </w:r>
          </w:p>
        </w:tc>
      </w:tr>
      <w:tr w:rsidR="001A4A46" w:rsidRPr="001A4A46" w14:paraId="2D0ADEF5" w14:textId="77777777" w:rsidTr="006F73C4">
        <w:tc>
          <w:tcPr>
            <w:tcW w:w="1526" w:type="dxa"/>
          </w:tcPr>
          <w:p w14:paraId="4087A80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Slotnick &amp; Abuhamad (1996)</w:t>
            </w:r>
          </w:p>
          <w:p w14:paraId="2F461F8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Virginia, USA </w:t>
            </w:r>
          </w:p>
        </w:tc>
        <w:tc>
          <w:tcPr>
            <w:tcW w:w="1701" w:type="dxa"/>
          </w:tcPr>
          <w:p w14:paraId="3034A270"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Prospective case series?</w:t>
            </w:r>
          </w:p>
          <w:p w14:paraId="6E486A17"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6B1AF887"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12/18</w:t>
            </w:r>
          </w:p>
        </w:tc>
        <w:tc>
          <w:tcPr>
            <w:tcW w:w="2551" w:type="dxa"/>
          </w:tcPr>
          <w:p w14:paraId="04BD3CC5" w14:textId="59C33A55"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143 couples with FEB were counselled</w:t>
            </w:r>
            <w:r w:rsidR="00DB3ADC">
              <w:rPr>
                <w:rFonts w:ascii="Arial Narrow" w:hAnsi="Arial Narrow"/>
                <w:sz w:val="20"/>
                <w:szCs w:val="20"/>
              </w:rPr>
              <w:t>;</w:t>
            </w:r>
            <w:r w:rsidRPr="001A4A46">
              <w:rPr>
                <w:rFonts w:ascii="Arial Narrow" w:hAnsi="Arial Narrow"/>
                <w:sz w:val="20"/>
                <w:szCs w:val="20"/>
              </w:rPr>
              <w:t xml:space="preserve"> 58 parental CF tests and 53 amniocenteses were conducted</w:t>
            </w:r>
            <w:r w:rsidR="00C16F7B">
              <w:rPr>
                <w:rFonts w:ascii="Arial Narrow" w:hAnsi="Arial Narrow"/>
                <w:sz w:val="20"/>
                <w:szCs w:val="20"/>
              </w:rPr>
              <w:t>:</w:t>
            </w:r>
          </w:p>
          <w:p w14:paraId="6AD1106E"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Grade 1 FEB: 40</w:t>
            </w:r>
          </w:p>
          <w:p w14:paraId="71703502"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Grade 2 FEB: 81</w:t>
            </w:r>
          </w:p>
          <w:p w14:paraId="78AE810A"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Grade 3 FEB: 24</w:t>
            </w:r>
          </w:p>
          <w:p w14:paraId="59994B73"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c>
          <w:tcPr>
            <w:tcW w:w="2551" w:type="dxa"/>
          </w:tcPr>
          <w:p w14:paraId="68F06D7E"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6AA55822" w14:textId="31A1C45E"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Pregnant women (and their partner</w:t>
            </w:r>
            <w:r w:rsidR="00DB3ADC">
              <w:rPr>
                <w:rFonts w:ascii="Arial Narrow" w:hAnsi="Arial Narrow"/>
                <w:sz w:val="20"/>
                <w:szCs w:val="20"/>
              </w:rPr>
              <w:t>s</w:t>
            </w:r>
            <w:r w:rsidRPr="001A4A46">
              <w:rPr>
                <w:rFonts w:ascii="Arial Narrow" w:hAnsi="Arial Narrow"/>
                <w:sz w:val="20"/>
                <w:szCs w:val="20"/>
              </w:rPr>
              <w:t>) identified as showing FEB at 16</w:t>
            </w:r>
            <w:r w:rsidR="00B2275C">
              <w:rPr>
                <w:rFonts w:ascii="Arial Narrow" w:hAnsi="Arial Narrow"/>
                <w:sz w:val="20"/>
                <w:szCs w:val="20"/>
              </w:rPr>
              <w:t>–</w:t>
            </w:r>
            <w:r w:rsidRPr="001A4A46">
              <w:rPr>
                <w:rFonts w:ascii="Arial Narrow" w:hAnsi="Arial Narrow"/>
                <w:sz w:val="20"/>
                <w:szCs w:val="20"/>
              </w:rPr>
              <w:t>20 weeks’ gestation. The intervention was confined to white couples of European extraction (little was known about gene frequencies in other populations)</w:t>
            </w:r>
            <w:r w:rsidR="00DB3ADC">
              <w:rPr>
                <w:rFonts w:ascii="Arial Narrow" w:hAnsi="Arial Narrow"/>
                <w:sz w:val="20"/>
                <w:szCs w:val="20"/>
              </w:rPr>
              <w:t>.</w:t>
            </w:r>
          </w:p>
        </w:tc>
        <w:tc>
          <w:tcPr>
            <w:tcW w:w="2552" w:type="dxa"/>
          </w:tcPr>
          <w:p w14:paraId="6432F6A0"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Parental carrier testing of CF: standard mutation analysis of 12 (and later 17) mutations and/or deletion analysis. When both parents were carriers, CF testing in the fetus was offered.</w:t>
            </w:r>
          </w:p>
        </w:tc>
        <w:tc>
          <w:tcPr>
            <w:tcW w:w="3293" w:type="dxa"/>
          </w:tcPr>
          <w:p w14:paraId="122C5602"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CF +ve diagnosed through PND: 5 (no TOP)</w:t>
            </w:r>
          </w:p>
          <w:p w14:paraId="49EC4432"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CF +ve but diagnosed after birth: 2 (no PND)</w:t>
            </w:r>
          </w:p>
          <w:p w14:paraId="08011838"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r>
      <w:tr w:rsidR="001A4A46" w:rsidRPr="001A4A46" w14:paraId="56AB4516" w14:textId="77777777" w:rsidTr="006F73C4">
        <w:tc>
          <w:tcPr>
            <w:tcW w:w="1526" w:type="dxa"/>
          </w:tcPr>
          <w:p w14:paraId="151822D7"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lastRenderedPageBreak/>
              <w:t>Tomaiuolo et al. (2013)</w:t>
            </w:r>
          </w:p>
          <w:p w14:paraId="59FD50AB"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Southern Italy</w:t>
            </w:r>
          </w:p>
        </w:tc>
        <w:tc>
          <w:tcPr>
            <w:tcW w:w="1701" w:type="dxa"/>
          </w:tcPr>
          <w:p w14:paraId="660CA3A9"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Retrospective case series</w:t>
            </w:r>
          </w:p>
          <w:p w14:paraId="34695D85"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Level: IV</w:t>
            </w:r>
          </w:p>
          <w:p w14:paraId="493592F4"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Quality: 13/18</w:t>
            </w:r>
          </w:p>
        </w:tc>
        <w:tc>
          <w:tcPr>
            <w:tcW w:w="2551" w:type="dxa"/>
          </w:tcPr>
          <w:p w14:paraId="27537A1A" w14:textId="71078413"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149 couples who underwent pre-test counselling for CF underwent 181 prenatal diagnoses. 11 couples did not have PND due to </w:t>
            </w:r>
            <w:r w:rsidR="00FE44A0">
              <w:rPr>
                <w:rFonts w:ascii="Arial Narrow" w:hAnsi="Arial Narrow"/>
                <w:sz w:val="20"/>
                <w:szCs w:val="20"/>
              </w:rPr>
              <w:t>miscarriage</w:t>
            </w:r>
            <w:r w:rsidRPr="001A4A46">
              <w:rPr>
                <w:rFonts w:ascii="Arial Narrow" w:hAnsi="Arial Narrow"/>
                <w:sz w:val="20"/>
                <w:szCs w:val="20"/>
              </w:rPr>
              <w:t xml:space="preserve">, disagreeing with PND, too difficult to make a decision about </w:t>
            </w:r>
            <w:r w:rsidR="00A569B1">
              <w:rPr>
                <w:rFonts w:ascii="Arial Narrow" w:hAnsi="Arial Narrow"/>
                <w:sz w:val="20"/>
                <w:szCs w:val="20"/>
              </w:rPr>
              <w:t>termina</w:t>
            </w:r>
            <w:r w:rsidR="00A569B1" w:rsidRPr="001A4A46">
              <w:rPr>
                <w:rFonts w:ascii="Arial Narrow" w:hAnsi="Arial Narrow"/>
                <w:sz w:val="20"/>
                <w:szCs w:val="20"/>
              </w:rPr>
              <w:t>tion</w:t>
            </w:r>
            <w:r w:rsidRPr="001A4A46">
              <w:rPr>
                <w:rFonts w:ascii="Arial Narrow" w:hAnsi="Arial Narrow"/>
                <w:sz w:val="20"/>
                <w:szCs w:val="20"/>
              </w:rPr>
              <w:t xml:space="preserve">, and mild mutations in </w:t>
            </w:r>
            <w:r w:rsidR="000E7BDF">
              <w:rPr>
                <w:rFonts w:ascii="Arial Narrow" w:hAnsi="Arial Narrow"/>
                <w:sz w:val="20"/>
                <w:szCs w:val="20"/>
              </w:rPr>
              <w:t>1</w:t>
            </w:r>
            <w:r w:rsidR="000E7BDF" w:rsidRPr="001A4A46">
              <w:rPr>
                <w:rFonts w:ascii="Arial Narrow" w:hAnsi="Arial Narrow"/>
                <w:sz w:val="20"/>
                <w:szCs w:val="20"/>
              </w:rPr>
              <w:t xml:space="preserve"> </w:t>
            </w:r>
            <w:r w:rsidRPr="001A4A46">
              <w:rPr>
                <w:rFonts w:ascii="Arial Narrow" w:hAnsi="Arial Narrow"/>
                <w:sz w:val="20"/>
                <w:szCs w:val="20"/>
              </w:rPr>
              <w:t xml:space="preserve">of the parents (risk of a child with a </w:t>
            </w:r>
            <w:r w:rsidR="00FD37D3" w:rsidRPr="00FD37D3">
              <w:rPr>
                <w:rFonts w:ascii="Arial Narrow" w:hAnsi="Arial Narrow"/>
                <w:sz w:val="20"/>
                <w:szCs w:val="20"/>
              </w:rPr>
              <w:t>CFTR</w:t>
            </w:r>
            <w:r w:rsidR="00DB3ADC">
              <w:rPr>
                <w:rFonts w:ascii="Arial Narrow" w:hAnsi="Arial Narrow"/>
                <w:sz w:val="20"/>
                <w:szCs w:val="20"/>
              </w:rPr>
              <w:t>-</w:t>
            </w:r>
            <w:r w:rsidRPr="001A4A46">
              <w:rPr>
                <w:rFonts w:ascii="Arial Narrow" w:hAnsi="Arial Narrow"/>
                <w:sz w:val="20"/>
                <w:szCs w:val="20"/>
              </w:rPr>
              <w:t xml:space="preserve">related disorder) </w:t>
            </w:r>
          </w:p>
          <w:p w14:paraId="487FFAA8"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Indications:</w:t>
            </w:r>
          </w:p>
          <w:p w14:paraId="70BFD63F"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Affected child: 148</w:t>
            </w:r>
          </w:p>
          <w:p w14:paraId="0A8B1937"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Cascade screening: 28</w:t>
            </w:r>
          </w:p>
          <w:p w14:paraId="1552FCDE" w14:textId="4862B7D3"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Consanguinity: 1</w:t>
            </w:r>
          </w:p>
          <w:p w14:paraId="2BBB98BB"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Preconceptional screen: 2</w:t>
            </w:r>
          </w:p>
          <w:p w14:paraId="56DF0DBB"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Echogenic bowel: 1</w:t>
            </w:r>
          </w:p>
          <w:p w14:paraId="461EA9EE"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Screening for IVF: 1</w:t>
            </w:r>
          </w:p>
        </w:tc>
        <w:tc>
          <w:tcPr>
            <w:tcW w:w="2551" w:type="dxa"/>
          </w:tcPr>
          <w:p w14:paraId="2169F7FD" w14:textId="77777777" w:rsidR="001A4A46" w:rsidRPr="001A4A46" w:rsidRDefault="001A4A46" w:rsidP="004566DC">
            <w:pPr>
              <w:spacing w:before="40" w:after="40" w:line="240" w:lineRule="auto"/>
              <w:jc w:val="left"/>
              <w:rPr>
                <w:rFonts w:ascii="Arial Narrow" w:eastAsia="Times New Roman" w:hAnsi="Arial Narrow"/>
                <w:sz w:val="20"/>
                <w:szCs w:val="20"/>
                <w:u w:val="single"/>
                <w:lang w:eastAsia="en-AU"/>
              </w:rPr>
            </w:pPr>
            <w:r w:rsidRPr="001A4A46">
              <w:rPr>
                <w:rFonts w:ascii="Arial Narrow" w:hAnsi="Arial Narrow"/>
                <w:sz w:val="20"/>
                <w:szCs w:val="20"/>
                <w:u w:val="single"/>
              </w:rPr>
              <w:t>Inclusion:</w:t>
            </w:r>
          </w:p>
          <w:p w14:paraId="795B674B" w14:textId="0E32FB4A"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Couples referred for molecular diagnostics for CF because of being at high risk of giving birth to a child affected by CF between January 1993 and December 2012 </w:t>
            </w:r>
          </w:p>
        </w:tc>
        <w:tc>
          <w:tcPr>
            <w:tcW w:w="2552" w:type="dxa"/>
          </w:tcPr>
          <w:p w14:paraId="4296A5E7" w14:textId="40E7754C"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 xml:space="preserve">Fetal DNA was only tested for parental mutations, as the </w:t>
            </w:r>
            <w:r w:rsidR="00FD37D3" w:rsidRPr="00FD37D3">
              <w:rPr>
                <w:rFonts w:ascii="Arial Narrow" w:hAnsi="Arial Narrow"/>
                <w:sz w:val="20"/>
                <w:szCs w:val="20"/>
              </w:rPr>
              <w:t>CFTR</w:t>
            </w:r>
            <w:r w:rsidRPr="001A4A46">
              <w:rPr>
                <w:rFonts w:ascii="Arial Narrow" w:hAnsi="Arial Narrow"/>
                <w:sz w:val="20"/>
                <w:szCs w:val="20"/>
              </w:rPr>
              <w:t xml:space="preserve"> genotype of all couples was known. </w:t>
            </w:r>
          </w:p>
          <w:p w14:paraId="286759EC"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c>
          <w:tcPr>
            <w:tcW w:w="3293" w:type="dxa"/>
          </w:tcPr>
          <w:p w14:paraId="1FF185C2" w14:textId="502E66FC" w:rsidR="001A4A46" w:rsidRPr="001A4A46" w:rsidRDefault="001A4A46" w:rsidP="004566DC">
            <w:pPr>
              <w:spacing w:before="40" w:after="40" w:line="240" w:lineRule="auto"/>
              <w:jc w:val="left"/>
              <w:rPr>
                <w:rFonts w:ascii="Arial Narrow" w:eastAsia="Times New Roman" w:hAnsi="Arial Narrow"/>
                <w:sz w:val="20"/>
                <w:szCs w:val="20"/>
                <w:lang w:eastAsia="en-AU"/>
              </w:rPr>
            </w:pPr>
            <w:r w:rsidRPr="001A4A46">
              <w:rPr>
                <w:rFonts w:ascii="Arial Narrow" w:hAnsi="Arial Narrow"/>
                <w:sz w:val="20"/>
                <w:szCs w:val="20"/>
              </w:rPr>
              <w:t>1/181: PND not possible due to insufficient DNA in sample</w:t>
            </w:r>
            <w:r w:rsidR="00C16F7B">
              <w:rPr>
                <w:rFonts w:ascii="Arial Narrow" w:hAnsi="Arial Narrow"/>
                <w:sz w:val="20"/>
                <w:szCs w:val="20"/>
              </w:rPr>
              <w:t>:</w:t>
            </w:r>
          </w:p>
          <w:p w14:paraId="0FA520D9" w14:textId="54DEECFF"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w:t>
            </w:r>
            <w:r w:rsidR="00DB3ADC">
              <w:rPr>
                <w:rFonts w:ascii="Arial Narrow" w:hAnsi="Arial Narrow"/>
                <w:sz w:val="20"/>
                <w:szCs w:val="20"/>
              </w:rPr>
              <w:t xml:space="preserve"> –</w:t>
            </w:r>
            <w:r w:rsidRPr="004566DC">
              <w:rPr>
                <w:rFonts w:ascii="Arial Narrow" w:hAnsi="Arial Narrow"/>
                <w:sz w:val="20"/>
                <w:szCs w:val="20"/>
              </w:rPr>
              <w:t>ve: 38</w:t>
            </w:r>
          </w:p>
          <w:p w14:paraId="4CE9CF3E" w14:textId="77777777"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Carriers: 98</w:t>
            </w:r>
          </w:p>
          <w:p w14:paraId="40C05005" w14:textId="77777777"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CF +ve: 42, 41 TOP</w:t>
            </w:r>
          </w:p>
          <w:p w14:paraId="2CCAA922" w14:textId="0736C570"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 xml:space="preserve">Twins </w:t>
            </w:r>
            <w:r w:rsidR="00A93EDF">
              <w:rPr>
                <w:rFonts w:ascii="Arial Narrow" w:hAnsi="Arial Narrow"/>
                <w:sz w:val="20"/>
                <w:szCs w:val="20"/>
              </w:rPr>
              <w:t>(</w:t>
            </w:r>
            <w:r w:rsidRPr="004566DC">
              <w:rPr>
                <w:rFonts w:ascii="Arial Narrow" w:hAnsi="Arial Narrow"/>
                <w:sz w:val="20"/>
                <w:szCs w:val="20"/>
              </w:rPr>
              <w:t xml:space="preserve">1 </w:t>
            </w:r>
            <w:r w:rsidR="002E5305">
              <w:rPr>
                <w:rFonts w:ascii="Arial Narrow" w:hAnsi="Arial Narrow"/>
                <w:sz w:val="20"/>
                <w:szCs w:val="20"/>
              </w:rPr>
              <w:t xml:space="preserve">CF </w:t>
            </w:r>
            <w:r w:rsidRPr="004566DC">
              <w:rPr>
                <w:rFonts w:ascii="Arial Narrow" w:hAnsi="Arial Narrow"/>
                <w:sz w:val="20"/>
                <w:szCs w:val="20"/>
              </w:rPr>
              <w:t>+ve, 1 carrier</w:t>
            </w:r>
            <w:r w:rsidR="00A93EDF">
              <w:rPr>
                <w:rFonts w:ascii="Arial Narrow" w:hAnsi="Arial Narrow"/>
                <w:sz w:val="20"/>
                <w:szCs w:val="20"/>
              </w:rPr>
              <w:t>)</w:t>
            </w:r>
            <w:r w:rsidRPr="004566DC">
              <w:rPr>
                <w:rFonts w:ascii="Arial Narrow" w:hAnsi="Arial Narrow"/>
                <w:sz w:val="20"/>
                <w:szCs w:val="20"/>
              </w:rPr>
              <w:t>: 1 (selective TOP)</w:t>
            </w:r>
          </w:p>
          <w:p w14:paraId="75C7449B" w14:textId="5B410226" w:rsidR="001A4A46" w:rsidRPr="004566DC" w:rsidRDefault="001A4A46" w:rsidP="004566DC">
            <w:pPr>
              <w:pStyle w:val="ListParagraph"/>
              <w:numPr>
                <w:ilvl w:val="0"/>
                <w:numId w:val="68"/>
              </w:numPr>
              <w:spacing w:before="40" w:after="40" w:line="240" w:lineRule="auto"/>
              <w:ind w:left="459"/>
              <w:jc w:val="left"/>
              <w:rPr>
                <w:rFonts w:ascii="Arial Narrow" w:eastAsia="Times New Roman" w:hAnsi="Arial Narrow"/>
                <w:sz w:val="20"/>
                <w:szCs w:val="20"/>
                <w:lang w:eastAsia="en-AU"/>
              </w:rPr>
            </w:pPr>
            <w:r w:rsidRPr="004566DC">
              <w:rPr>
                <w:rFonts w:ascii="Arial Narrow" w:hAnsi="Arial Narrow"/>
                <w:sz w:val="20"/>
                <w:szCs w:val="20"/>
              </w:rPr>
              <w:t xml:space="preserve">Twins </w:t>
            </w:r>
            <w:r w:rsidR="00A93EDF">
              <w:rPr>
                <w:rFonts w:ascii="Arial Narrow" w:hAnsi="Arial Narrow"/>
                <w:sz w:val="20"/>
                <w:szCs w:val="20"/>
              </w:rPr>
              <w:t>(</w:t>
            </w:r>
            <w:r w:rsidRPr="004566DC">
              <w:rPr>
                <w:rFonts w:ascii="Arial Narrow" w:hAnsi="Arial Narrow"/>
                <w:sz w:val="20"/>
                <w:szCs w:val="20"/>
              </w:rPr>
              <w:t xml:space="preserve">1 carrier, 1 </w:t>
            </w:r>
            <w:r w:rsidR="002E5305">
              <w:rPr>
                <w:rFonts w:ascii="Arial Narrow" w:hAnsi="Arial Narrow"/>
                <w:sz w:val="20"/>
                <w:szCs w:val="20"/>
              </w:rPr>
              <w:t xml:space="preserve">CF </w:t>
            </w:r>
            <w:r w:rsidRPr="004566DC">
              <w:rPr>
                <w:rFonts w:ascii="Arial Narrow" w:hAnsi="Arial Narrow"/>
                <w:sz w:val="20"/>
                <w:szCs w:val="20"/>
              </w:rPr>
              <w:t>–ve</w:t>
            </w:r>
            <w:r w:rsidR="00A93EDF">
              <w:rPr>
                <w:rFonts w:ascii="Arial Narrow" w:hAnsi="Arial Narrow"/>
                <w:sz w:val="20"/>
                <w:szCs w:val="20"/>
              </w:rPr>
              <w:t>)</w:t>
            </w:r>
            <w:r w:rsidRPr="004566DC">
              <w:rPr>
                <w:rFonts w:ascii="Arial Narrow" w:hAnsi="Arial Narrow"/>
                <w:sz w:val="20"/>
                <w:szCs w:val="20"/>
              </w:rPr>
              <w:t>: 1</w:t>
            </w:r>
          </w:p>
          <w:p w14:paraId="290F9A9D" w14:textId="77777777" w:rsidR="001A4A46" w:rsidRPr="001A4A46" w:rsidRDefault="001A4A46" w:rsidP="004566DC">
            <w:pPr>
              <w:spacing w:before="40" w:after="40" w:line="240" w:lineRule="auto"/>
              <w:jc w:val="left"/>
              <w:rPr>
                <w:rFonts w:ascii="Arial Narrow" w:eastAsia="Times New Roman" w:hAnsi="Arial Narrow"/>
                <w:sz w:val="20"/>
                <w:szCs w:val="20"/>
                <w:lang w:eastAsia="en-AU"/>
              </w:rPr>
            </w:pPr>
          </w:p>
        </w:tc>
      </w:tr>
    </w:tbl>
    <w:p w14:paraId="038644D9" w14:textId="13B77D2E" w:rsidR="001A4A46" w:rsidRPr="001A4A46" w:rsidRDefault="001A4A46" w:rsidP="004566DC">
      <w:pPr>
        <w:spacing w:before="40" w:after="40" w:line="240" w:lineRule="auto"/>
        <w:jc w:val="left"/>
        <w:rPr>
          <w:rFonts w:ascii="Arial Narrow" w:hAnsi="Arial Narrow"/>
          <w:sz w:val="20"/>
          <w:szCs w:val="20"/>
        </w:rPr>
      </w:pPr>
      <w:r w:rsidRPr="001A4A46">
        <w:rPr>
          <w:rFonts w:ascii="Arial Narrow" w:hAnsi="Arial Narrow"/>
          <w:sz w:val="20"/>
          <w:szCs w:val="20"/>
        </w:rPr>
        <w:t>CF</w:t>
      </w:r>
      <w:r w:rsidR="00B2275C">
        <w:rPr>
          <w:rFonts w:ascii="Arial Narrow" w:hAnsi="Arial Narrow"/>
          <w:sz w:val="20"/>
          <w:szCs w:val="20"/>
        </w:rPr>
        <w:t xml:space="preserve"> =</w:t>
      </w:r>
      <w:r w:rsidRPr="001A4A46">
        <w:rPr>
          <w:rFonts w:ascii="Arial Narrow" w:hAnsi="Arial Narrow"/>
          <w:sz w:val="20"/>
          <w:szCs w:val="20"/>
        </w:rPr>
        <w:t xml:space="preserve"> cystic fibrosis</w:t>
      </w:r>
      <w:r w:rsidR="00B2275C">
        <w:rPr>
          <w:rFonts w:ascii="Arial Narrow" w:hAnsi="Arial Narrow"/>
          <w:sz w:val="20"/>
          <w:szCs w:val="20"/>
        </w:rPr>
        <w:t>;</w:t>
      </w:r>
      <w:r w:rsidRPr="001A4A46">
        <w:rPr>
          <w:rFonts w:ascii="Arial Narrow" w:hAnsi="Arial Narrow"/>
          <w:sz w:val="20"/>
          <w:szCs w:val="20"/>
        </w:rPr>
        <w:t xml:space="preserve"> </w:t>
      </w:r>
      <w:r w:rsidR="00D96752" w:rsidRPr="00FD37D3">
        <w:rPr>
          <w:rFonts w:ascii="Arial Narrow" w:hAnsi="Arial Narrow"/>
          <w:sz w:val="20"/>
          <w:szCs w:val="20"/>
        </w:rPr>
        <w:t>CFTR</w:t>
      </w:r>
      <w:r w:rsidR="00D96752">
        <w:rPr>
          <w:rFonts w:ascii="Arial Narrow" w:hAnsi="Arial Narrow"/>
          <w:sz w:val="20"/>
          <w:szCs w:val="20"/>
        </w:rPr>
        <w:t xml:space="preserve"> =</w:t>
      </w:r>
      <w:r w:rsidR="00D96752" w:rsidRPr="001A4A46">
        <w:rPr>
          <w:rFonts w:ascii="Arial Narrow" w:hAnsi="Arial Narrow"/>
          <w:sz w:val="20"/>
          <w:szCs w:val="20"/>
        </w:rPr>
        <w:t xml:space="preserve"> cystic fibrosis transmembrane conductance regulator</w:t>
      </w:r>
      <w:r w:rsidR="00D96752">
        <w:rPr>
          <w:rFonts w:ascii="Arial Narrow" w:hAnsi="Arial Narrow"/>
          <w:sz w:val="20"/>
          <w:szCs w:val="20"/>
        </w:rPr>
        <w:t>;</w:t>
      </w:r>
      <w:r w:rsidR="00D96752" w:rsidRPr="001A4A46">
        <w:rPr>
          <w:rFonts w:ascii="Arial Narrow" w:hAnsi="Arial Narrow"/>
          <w:sz w:val="20"/>
          <w:szCs w:val="20"/>
        </w:rPr>
        <w:t xml:space="preserve"> </w:t>
      </w:r>
      <w:r w:rsidR="00D96752" w:rsidRPr="00FD37D3">
        <w:rPr>
          <w:rFonts w:ascii="Arial Narrow" w:hAnsi="Arial Narrow"/>
          <w:sz w:val="20"/>
          <w:szCs w:val="20"/>
        </w:rPr>
        <w:t>CFTR</w:t>
      </w:r>
      <w:r w:rsidR="00D96752" w:rsidRPr="001A4A46">
        <w:rPr>
          <w:rFonts w:ascii="Arial Narrow" w:hAnsi="Arial Narrow"/>
          <w:sz w:val="20"/>
          <w:szCs w:val="20"/>
        </w:rPr>
        <w:t>-RD</w:t>
      </w:r>
      <w:r w:rsidR="00D96752">
        <w:rPr>
          <w:rFonts w:ascii="Arial Narrow" w:hAnsi="Arial Narrow"/>
          <w:sz w:val="20"/>
          <w:szCs w:val="20"/>
        </w:rPr>
        <w:t xml:space="preserve"> =</w:t>
      </w:r>
      <w:r w:rsidR="00D96752" w:rsidRPr="001A4A46">
        <w:rPr>
          <w:rFonts w:ascii="Arial Narrow" w:hAnsi="Arial Narrow"/>
          <w:sz w:val="20"/>
          <w:szCs w:val="20"/>
        </w:rPr>
        <w:t xml:space="preserve"> </w:t>
      </w:r>
      <w:r w:rsidR="00D96752" w:rsidRPr="00FD37D3">
        <w:rPr>
          <w:rFonts w:ascii="Arial Narrow" w:hAnsi="Arial Narrow"/>
          <w:sz w:val="20"/>
          <w:szCs w:val="20"/>
        </w:rPr>
        <w:t>CFTR</w:t>
      </w:r>
      <w:r w:rsidR="00D96752" w:rsidRPr="001A4A46">
        <w:rPr>
          <w:rFonts w:ascii="Arial Narrow" w:hAnsi="Arial Narrow"/>
          <w:sz w:val="20"/>
          <w:szCs w:val="20"/>
        </w:rPr>
        <w:t xml:space="preserve"> related disorder</w:t>
      </w:r>
      <w:r w:rsidR="00D96752">
        <w:rPr>
          <w:rFonts w:ascii="Arial Narrow" w:hAnsi="Arial Narrow"/>
          <w:sz w:val="20"/>
          <w:szCs w:val="20"/>
        </w:rPr>
        <w:t xml:space="preserve"> </w:t>
      </w:r>
      <w:r w:rsidR="002829ED">
        <w:rPr>
          <w:rFonts w:ascii="Arial Narrow" w:hAnsi="Arial Narrow"/>
          <w:sz w:val="20"/>
          <w:szCs w:val="20"/>
        </w:rPr>
        <w:t xml:space="preserve">CVS = chorionic villus sampling; </w:t>
      </w:r>
      <w:r w:rsidR="00D96752">
        <w:rPr>
          <w:rFonts w:ascii="Arial Narrow" w:hAnsi="Arial Narrow"/>
          <w:sz w:val="20"/>
          <w:szCs w:val="20"/>
        </w:rPr>
        <w:t xml:space="preserve">DNA = </w:t>
      </w:r>
      <w:r w:rsidR="00D96752" w:rsidRPr="005D654C">
        <w:rPr>
          <w:rFonts w:ascii="Arial Narrow" w:hAnsi="Arial Narrow"/>
          <w:sz w:val="20"/>
          <w:szCs w:val="20"/>
        </w:rPr>
        <w:t>deoxyribonucleic acid;</w:t>
      </w:r>
      <w:r w:rsidR="00D96752">
        <w:rPr>
          <w:rFonts w:ascii="Arial Narrow" w:hAnsi="Arial Narrow"/>
          <w:sz w:val="20"/>
          <w:szCs w:val="20"/>
        </w:rPr>
        <w:t xml:space="preserve"> </w:t>
      </w:r>
      <w:r w:rsidR="00D96752" w:rsidRPr="001A4A46">
        <w:rPr>
          <w:rFonts w:ascii="Arial Narrow" w:hAnsi="Arial Narrow"/>
          <w:sz w:val="20"/>
          <w:szCs w:val="20"/>
        </w:rPr>
        <w:t>FEB</w:t>
      </w:r>
      <w:r w:rsidR="00D96752">
        <w:rPr>
          <w:rFonts w:ascii="Arial Narrow" w:hAnsi="Arial Narrow"/>
          <w:sz w:val="20"/>
          <w:szCs w:val="20"/>
        </w:rPr>
        <w:t xml:space="preserve"> =</w:t>
      </w:r>
      <w:r w:rsidR="00D96752" w:rsidRPr="001A4A46">
        <w:rPr>
          <w:rFonts w:ascii="Arial Narrow" w:hAnsi="Arial Narrow"/>
          <w:sz w:val="20"/>
          <w:szCs w:val="20"/>
        </w:rPr>
        <w:t xml:space="preserve"> fetal echogenic bowel</w:t>
      </w:r>
      <w:r w:rsidR="00D96752">
        <w:rPr>
          <w:rFonts w:ascii="Arial Narrow" w:hAnsi="Arial Narrow"/>
          <w:sz w:val="20"/>
          <w:szCs w:val="20"/>
        </w:rPr>
        <w:t>;</w:t>
      </w:r>
      <w:r w:rsidRPr="001A4A46">
        <w:rPr>
          <w:rFonts w:ascii="Arial Narrow" w:hAnsi="Arial Narrow"/>
          <w:sz w:val="20"/>
          <w:szCs w:val="20"/>
        </w:rPr>
        <w:t xml:space="preserve"> </w:t>
      </w:r>
      <w:r w:rsidR="00D96752">
        <w:rPr>
          <w:rFonts w:ascii="Arial Narrow" w:hAnsi="Arial Narrow"/>
          <w:sz w:val="20"/>
          <w:szCs w:val="20"/>
        </w:rPr>
        <w:t xml:space="preserve">GP = general practitioner; </w:t>
      </w:r>
      <w:r w:rsidRPr="001A4A46">
        <w:rPr>
          <w:rFonts w:ascii="Arial Narrow" w:hAnsi="Arial Narrow"/>
          <w:sz w:val="20"/>
          <w:szCs w:val="20"/>
        </w:rPr>
        <w:t>PND</w:t>
      </w:r>
      <w:r w:rsidR="00B2275C">
        <w:rPr>
          <w:rFonts w:ascii="Arial Narrow" w:hAnsi="Arial Narrow"/>
          <w:sz w:val="20"/>
          <w:szCs w:val="20"/>
        </w:rPr>
        <w:t xml:space="preserve"> =</w:t>
      </w:r>
      <w:r w:rsidRPr="001A4A46">
        <w:rPr>
          <w:rFonts w:ascii="Arial Narrow" w:hAnsi="Arial Narrow"/>
          <w:sz w:val="20"/>
          <w:szCs w:val="20"/>
        </w:rPr>
        <w:t xml:space="preserve"> prenatal diagnosis</w:t>
      </w:r>
      <w:r w:rsidR="00B2275C">
        <w:rPr>
          <w:rFonts w:ascii="Arial Narrow" w:hAnsi="Arial Narrow"/>
          <w:sz w:val="20"/>
          <w:szCs w:val="20"/>
        </w:rPr>
        <w:t>;</w:t>
      </w:r>
      <w:r w:rsidRPr="001A4A46">
        <w:rPr>
          <w:rFonts w:ascii="Arial Narrow" w:hAnsi="Arial Narrow"/>
          <w:sz w:val="20"/>
          <w:szCs w:val="20"/>
        </w:rPr>
        <w:t xml:space="preserve"> IVF</w:t>
      </w:r>
      <w:r w:rsidR="00B2275C">
        <w:rPr>
          <w:rFonts w:ascii="Arial Narrow" w:hAnsi="Arial Narrow"/>
          <w:sz w:val="20"/>
          <w:szCs w:val="20"/>
        </w:rPr>
        <w:t xml:space="preserve"> =</w:t>
      </w:r>
      <w:r w:rsidRPr="001A4A46">
        <w:rPr>
          <w:rFonts w:ascii="Arial Narrow" w:hAnsi="Arial Narrow"/>
          <w:sz w:val="20"/>
          <w:szCs w:val="20"/>
        </w:rPr>
        <w:t xml:space="preserve"> in</w:t>
      </w:r>
      <w:r w:rsidR="00B2275C">
        <w:rPr>
          <w:rFonts w:ascii="Arial Narrow" w:hAnsi="Arial Narrow"/>
          <w:sz w:val="20"/>
          <w:szCs w:val="20"/>
        </w:rPr>
        <w:t>-</w:t>
      </w:r>
      <w:r w:rsidRPr="001A4A46">
        <w:rPr>
          <w:rFonts w:ascii="Arial Narrow" w:hAnsi="Arial Narrow"/>
          <w:sz w:val="20"/>
          <w:szCs w:val="20"/>
        </w:rPr>
        <w:t>vitro fertilisation</w:t>
      </w:r>
      <w:r w:rsidR="00B2275C">
        <w:rPr>
          <w:rFonts w:ascii="Arial Narrow" w:hAnsi="Arial Narrow"/>
          <w:sz w:val="20"/>
          <w:szCs w:val="20"/>
        </w:rPr>
        <w:t>;</w:t>
      </w:r>
      <w:r w:rsidR="00D96752" w:rsidRPr="00D96752">
        <w:rPr>
          <w:rFonts w:ascii="Arial Narrow" w:hAnsi="Arial Narrow"/>
          <w:sz w:val="20"/>
          <w:szCs w:val="20"/>
        </w:rPr>
        <w:t xml:space="preserve"> </w:t>
      </w:r>
      <w:r w:rsidR="00D96752" w:rsidRPr="001A4A46">
        <w:rPr>
          <w:rFonts w:ascii="Arial Narrow" w:hAnsi="Arial Narrow"/>
          <w:sz w:val="20"/>
          <w:szCs w:val="20"/>
        </w:rPr>
        <w:t>TOP</w:t>
      </w:r>
      <w:r w:rsidR="00D96752">
        <w:rPr>
          <w:rFonts w:ascii="Arial Narrow" w:hAnsi="Arial Narrow"/>
          <w:sz w:val="20"/>
          <w:szCs w:val="20"/>
        </w:rPr>
        <w:t xml:space="preserve"> =</w:t>
      </w:r>
      <w:r w:rsidR="00D96752" w:rsidRPr="001A4A46">
        <w:rPr>
          <w:rFonts w:ascii="Arial Narrow" w:hAnsi="Arial Narrow"/>
          <w:sz w:val="20"/>
          <w:szCs w:val="20"/>
        </w:rPr>
        <w:t xml:space="preserve"> termination of pregnancy</w:t>
      </w:r>
    </w:p>
    <w:p w14:paraId="510BE2DE" w14:textId="77777777" w:rsidR="005D654C" w:rsidRPr="005D654C" w:rsidRDefault="005D654C" w:rsidP="005D654C">
      <w:pPr>
        <w:spacing w:before="40" w:after="40" w:line="240" w:lineRule="auto"/>
        <w:ind w:right="-57"/>
        <w:rPr>
          <w:rFonts w:ascii="Tahoma" w:hAnsi="Tahoma"/>
        </w:rPr>
      </w:pPr>
      <w:r w:rsidRPr="005D654C">
        <w:rPr>
          <w:rFonts w:ascii="Tahoma" w:hAnsi="Tahoma"/>
        </w:rPr>
        <w:br w:type="page"/>
      </w:r>
    </w:p>
    <w:p w14:paraId="500B34AA" w14:textId="014A1A38" w:rsidR="004726AA" w:rsidRPr="001A4A46" w:rsidRDefault="004726AA">
      <w:pPr>
        <w:pStyle w:val="Heading1"/>
        <w:tabs>
          <w:tab w:val="left" w:pos="2268"/>
        </w:tabs>
      </w:pPr>
      <w:bookmarkStart w:id="541" w:name="_Ref412211481"/>
      <w:bookmarkStart w:id="542" w:name="_Toc418179964"/>
      <w:r w:rsidRPr="001A4A46">
        <w:lastRenderedPageBreak/>
        <w:t xml:space="preserve">Appendix </w:t>
      </w:r>
      <w:fldSimple w:instr=" SEQ Appendix \* ALPHABETIC ">
        <w:r w:rsidR="00BB0E3E">
          <w:rPr>
            <w:noProof/>
          </w:rPr>
          <w:t>D</w:t>
        </w:r>
      </w:fldSimple>
      <w:bookmarkEnd w:id="541"/>
      <w:r w:rsidRPr="001A4A46">
        <w:tab/>
        <w:t xml:space="preserve">Diagnostic </w:t>
      </w:r>
      <w:r w:rsidR="009F7FD5">
        <w:t>A</w:t>
      </w:r>
      <w:r w:rsidRPr="001A4A46">
        <w:t>ccuracy</w:t>
      </w:r>
      <w:r w:rsidR="001A4A46" w:rsidRPr="001A4A46">
        <w:t xml:space="preserve"> (section B.6.</w:t>
      </w:r>
      <w:r w:rsidR="00833716">
        <w:t>i</w:t>
      </w:r>
      <w:r w:rsidR="001A4A46" w:rsidRPr="001A4A46">
        <w:t>)</w:t>
      </w:r>
      <w:bookmarkEnd w:id="542"/>
      <w:r w:rsidRPr="001A4A46">
        <w:t xml:space="preserve"> </w:t>
      </w:r>
    </w:p>
    <w:p w14:paraId="58F04BAD" w14:textId="0E0D641B" w:rsidR="006D7EB9" w:rsidRDefault="006D7EB9" w:rsidP="006D7EB9">
      <w:pPr>
        <w:pStyle w:val="Caption"/>
      </w:pPr>
      <w:bookmarkStart w:id="543" w:name="_Ref412450905"/>
      <w:bookmarkStart w:id="544" w:name="_Toc418179485"/>
      <w:r>
        <w:t xml:space="preserve">Table </w:t>
      </w:r>
      <w:fldSimple w:instr=" SEQ Table \* ARABIC ">
        <w:r w:rsidR="00BB0E3E">
          <w:rPr>
            <w:noProof/>
          </w:rPr>
          <w:t>88</w:t>
        </w:r>
      </w:fldSimple>
      <w:bookmarkEnd w:id="543"/>
      <w:r>
        <w:tab/>
      </w:r>
      <w:r w:rsidRPr="005941EC">
        <w:t xml:space="preserve">Diagnostic accuracy of </w:t>
      </w:r>
      <w:r w:rsidR="00FD37D3" w:rsidRPr="00FD37D3">
        <w:t>CFTR</w:t>
      </w:r>
      <w:r w:rsidRPr="005941EC">
        <w:t xml:space="preserve"> mutation testing compared with DNA sequencing in CF patients</w:t>
      </w:r>
      <w:bookmarkEnd w:id="544"/>
    </w:p>
    <w:tbl>
      <w:tblPr>
        <w:tblStyle w:val="TableGrid24"/>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DNA sequencing in CF patients"/>
      </w:tblPr>
      <w:tblGrid>
        <w:gridCol w:w="1189"/>
        <w:gridCol w:w="1131"/>
        <w:gridCol w:w="1626"/>
        <w:gridCol w:w="2055"/>
        <w:gridCol w:w="1033"/>
        <w:gridCol w:w="955"/>
        <w:gridCol w:w="958"/>
        <w:gridCol w:w="955"/>
        <w:gridCol w:w="958"/>
        <w:gridCol w:w="1321"/>
        <w:gridCol w:w="2207"/>
      </w:tblGrid>
      <w:tr w:rsidR="006D7EB9" w:rsidRPr="006D7EB9" w14:paraId="1C8C189F" w14:textId="77777777" w:rsidTr="00935F84">
        <w:trPr>
          <w:tblHeader/>
        </w:trPr>
        <w:tc>
          <w:tcPr>
            <w:tcW w:w="413" w:type="pct"/>
          </w:tcPr>
          <w:p w14:paraId="6D5A03B3" w14:textId="12DC74EB" w:rsidR="006D7EB9" w:rsidRPr="006D7EB9" w:rsidRDefault="006D7EB9" w:rsidP="004566DC">
            <w:pPr>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Study</w:t>
            </w:r>
            <w:r w:rsidR="00D62676">
              <w:rPr>
                <w:rFonts w:ascii="Arial Narrow" w:eastAsiaTheme="minorHAnsi" w:hAnsi="Arial Narrow" w:cstheme="minorHAnsi"/>
                <w:b/>
                <w:sz w:val="20"/>
                <w:szCs w:val="20"/>
                <w:lang w:eastAsia="en-US"/>
              </w:rPr>
              <w:br/>
            </w:r>
            <w:r w:rsidRPr="006D7EB9">
              <w:rPr>
                <w:rFonts w:ascii="Arial Narrow" w:eastAsiaTheme="minorHAnsi" w:hAnsi="Arial Narrow" w:cstheme="minorHAnsi"/>
                <w:b/>
                <w:sz w:val="20"/>
                <w:szCs w:val="20"/>
                <w:lang w:eastAsia="en-US"/>
              </w:rPr>
              <w:t>Country</w:t>
            </w:r>
          </w:p>
        </w:tc>
        <w:tc>
          <w:tcPr>
            <w:tcW w:w="393" w:type="pct"/>
          </w:tcPr>
          <w:p w14:paraId="314CCFEE" w14:textId="77777777" w:rsidR="006D7EB9" w:rsidRPr="006D7EB9" w:rsidRDefault="006D7EB9" w:rsidP="004566DC">
            <w:pPr>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Evidence level and risk of bias</w:t>
            </w:r>
          </w:p>
        </w:tc>
        <w:tc>
          <w:tcPr>
            <w:tcW w:w="565" w:type="pct"/>
          </w:tcPr>
          <w:p w14:paraId="6AD1B87F" w14:textId="77777777" w:rsidR="006D7EB9" w:rsidRPr="006D7EB9" w:rsidRDefault="006D7EB9" w:rsidP="004566DC">
            <w:pPr>
              <w:tabs>
                <w:tab w:val="left" w:pos="1167"/>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Population</w:t>
            </w:r>
          </w:p>
        </w:tc>
        <w:tc>
          <w:tcPr>
            <w:tcW w:w="714" w:type="pct"/>
          </w:tcPr>
          <w:p w14:paraId="0A9FD494" w14:textId="77777777" w:rsidR="006D7EB9" w:rsidRPr="006D7EB9" w:rsidRDefault="006D7EB9" w:rsidP="004566DC">
            <w:pPr>
              <w:tabs>
                <w:tab w:val="left" w:pos="746"/>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Tests</w:t>
            </w:r>
          </w:p>
        </w:tc>
        <w:tc>
          <w:tcPr>
            <w:tcW w:w="359" w:type="pct"/>
          </w:tcPr>
          <w:p w14:paraId="30AAEFBC" w14:textId="77777777" w:rsidR="006D7EB9" w:rsidRPr="006D7EB9" w:rsidRDefault="006D7EB9" w:rsidP="004566DC">
            <w:pPr>
              <w:spacing w:after="40" w:line="240" w:lineRule="auto"/>
              <w:ind w:left="-57" w:right="-57"/>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Number of mutations detected</w:t>
            </w:r>
          </w:p>
        </w:tc>
        <w:tc>
          <w:tcPr>
            <w:tcW w:w="332" w:type="pct"/>
          </w:tcPr>
          <w:p w14:paraId="28BBBB17" w14:textId="2E7E130C" w:rsidR="006D7EB9" w:rsidRPr="006D7EB9" w:rsidRDefault="006D7EB9" w:rsidP="006D7EB9">
            <w:pPr>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w:t>
            </w:r>
            <w:r w:rsidR="00D62676">
              <w:rPr>
                <w:rFonts w:ascii="Arial Narrow" w:eastAsiaTheme="minorHAnsi" w:hAnsi="Arial Narrow" w:cs="Times New Roman"/>
                <w:b/>
                <w:sz w:val="20"/>
                <w:szCs w:val="20"/>
                <w:lang w:eastAsia="en-US"/>
              </w:rPr>
              <w:t>-</w:t>
            </w:r>
            <w:r w:rsidRPr="006D7EB9">
              <w:rPr>
                <w:rFonts w:ascii="Arial Narrow" w:eastAsiaTheme="minorHAnsi" w:hAnsi="Arial Narrow" w:cs="Times New Roman"/>
                <w:b/>
                <w:sz w:val="20"/>
                <w:szCs w:val="20"/>
                <w:lang w:eastAsia="en-US"/>
              </w:rPr>
              <w:t>positive results</w:t>
            </w:r>
          </w:p>
        </w:tc>
        <w:tc>
          <w:tcPr>
            <w:tcW w:w="333" w:type="pct"/>
          </w:tcPr>
          <w:p w14:paraId="4505393F"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False-positive results</w:t>
            </w:r>
          </w:p>
        </w:tc>
        <w:tc>
          <w:tcPr>
            <w:tcW w:w="332" w:type="pct"/>
          </w:tcPr>
          <w:p w14:paraId="74720232" w14:textId="77777777" w:rsidR="006D7EB9" w:rsidRPr="006D7EB9" w:rsidRDefault="006D7EB9" w:rsidP="006D7EB9">
            <w:pPr>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False-negative results</w:t>
            </w:r>
          </w:p>
        </w:tc>
        <w:tc>
          <w:tcPr>
            <w:tcW w:w="333" w:type="pct"/>
          </w:tcPr>
          <w:p w14:paraId="54CB2FF9" w14:textId="77777777" w:rsidR="006D7EB9" w:rsidRPr="006D7EB9" w:rsidRDefault="006D7EB9" w:rsidP="006D7EB9">
            <w:pPr>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True-negative results</w:t>
            </w:r>
          </w:p>
        </w:tc>
        <w:tc>
          <w:tcPr>
            <w:tcW w:w="459" w:type="pct"/>
          </w:tcPr>
          <w:p w14:paraId="11FC4E62" w14:textId="77777777" w:rsidR="006D7EB9" w:rsidRPr="006D7EB9" w:rsidRDefault="006D7EB9" w:rsidP="006D7EB9">
            <w:pPr>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Cannot be detected by index test</w:t>
            </w:r>
          </w:p>
        </w:tc>
        <w:tc>
          <w:tcPr>
            <w:tcW w:w="767" w:type="pct"/>
          </w:tcPr>
          <w:p w14:paraId="1757C0CC" w14:textId="1EFFBC15" w:rsidR="006D7EB9" w:rsidRPr="006D7EB9" w:rsidRDefault="006D7EB9" w:rsidP="006D7EB9">
            <w:pPr>
              <w:tabs>
                <w:tab w:val="left" w:pos="746"/>
              </w:tabs>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 xml:space="preserve">Accuracy for detectable </w:t>
            </w:r>
            <w:r w:rsidR="00FD37D3" w:rsidRPr="00FD37D3">
              <w:rPr>
                <w:rFonts w:ascii="Arial Narrow" w:eastAsiaTheme="minorHAnsi" w:hAnsi="Arial Narrow" w:cs="Times New Roman"/>
                <w:b/>
                <w:sz w:val="20"/>
                <w:szCs w:val="20"/>
                <w:lang w:eastAsia="en-US"/>
              </w:rPr>
              <w:t>CFTR</w:t>
            </w:r>
            <w:r w:rsidRPr="006D7EB9">
              <w:rPr>
                <w:rFonts w:ascii="Arial Narrow" w:eastAsiaTheme="minorHAnsi" w:hAnsi="Arial Narrow" w:cs="Times New Roman"/>
                <w:b/>
                <w:sz w:val="20"/>
                <w:szCs w:val="20"/>
                <w:lang w:eastAsia="en-US"/>
              </w:rPr>
              <w:t xml:space="preserve"> mutations</w:t>
            </w:r>
            <w:r w:rsidRPr="006D7EB9">
              <w:rPr>
                <w:rFonts w:ascii="Arial Narrow" w:eastAsiaTheme="minorHAnsi" w:hAnsi="Arial Narrow" w:cs="Times New Roman"/>
                <w:b/>
                <w:sz w:val="20"/>
                <w:szCs w:val="20"/>
                <w:lang w:eastAsia="en-US"/>
              </w:rPr>
              <w:br/>
              <w:t xml:space="preserve">(all </w:t>
            </w:r>
            <w:r w:rsidR="00FD37D3" w:rsidRPr="00FD37D3">
              <w:rPr>
                <w:rFonts w:ascii="Arial Narrow" w:eastAsiaTheme="minorHAnsi" w:hAnsi="Arial Narrow" w:cs="Times New Roman"/>
                <w:b/>
                <w:sz w:val="20"/>
                <w:szCs w:val="20"/>
                <w:lang w:eastAsia="en-US"/>
              </w:rPr>
              <w:t>CFTR</w:t>
            </w:r>
            <w:r w:rsidRPr="006D7EB9">
              <w:rPr>
                <w:rFonts w:ascii="Arial Narrow" w:eastAsiaTheme="minorHAnsi" w:hAnsi="Arial Narrow" w:cs="Times New Roman"/>
                <w:b/>
                <w:sz w:val="20"/>
                <w:szCs w:val="20"/>
                <w:lang w:eastAsia="en-US"/>
              </w:rPr>
              <w:t xml:space="preserve"> mutations)</w:t>
            </w:r>
          </w:p>
        </w:tc>
      </w:tr>
      <w:tr w:rsidR="006D7EB9" w:rsidRPr="006D7EB9" w14:paraId="144D04F8" w14:textId="77777777" w:rsidTr="00935F84">
        <w:trPr>
          <w:trHeight w:val="706"/>
        </w:trPr>
        <w:tc>
          <w:tcPr>
            <w:tcW w:w="413" w:type="pct"/>
            <w:tcBorders>
              <w:bottom w:val="single" w:sz="4" w:space="0" w:color="auto"/>
            </w:tcBorders>
          </w:tcPr>
          <w:p w14:paraId="45993C51"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Tomaiuolo, Spina &amp; Castaldo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22ABBDE1"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Italy</w:t>
            </w:r>
          </w:p>
        </w:tc>
        <w:tc>
          <w:tcPr>
            <w:tcW w:w="393" w:type="pct"/>
            <w:tcBorders>
              <w:bottom w:val="single" w:sz="4" w:space="0" w:color="auto"/>
            </w:tcBorders>
          </w:tcPr>
          <w:p w14:paraId="31A01B09"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6639E7E2"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Low risk of bias</w:t>
            </w:r>
          </w:p>
        </w:tc>
        <w:tc>
          <w:tcPr>
            <w:tcW w:w="565" w:type="pct"/>
            <w:tcBorders>
              <w:bottom w:val="single" w:sz="4" w:space="0" w:color="auto"/>
            </w:tcBorders>
          </w:tcPr>
          <w:p w14:paraId="5681AB1B" w14:textId="35AD70C4" w:rsidR="006D7EB9" w:rsidRPr="006D7EB9" w:rsidRDefault="006D7EB9" w:rsidP="004566DC">
            <w:pPr>
              <w:tabs>
                <w:tab w:val="left" w:pos="1167"/>
              </w:tabs>
              <w:spacing w:after="4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N=129</w:t>
            </w:r>
            <w:r w:rsidR="00B86899">
              <w:rPr>
                <w:rFonts w:ascii="Arial Narrow" w:hAnsi="Arial Narrow" w:cs="Times New Roman"/>
                <w:sz w:val="20"/>
                <w:szCs w:val="20"/>
                <w:lang w:eastAsia="en-US"/>
              </w:rPr>
              <w:t xml:space="preserve"> </w:t>
            </w:r>
            <w:r w:rsidRPr="006D7EB9">
              <w:rPr>
                <w:rFonts w:ascii="Arial Narrow" w:hAnsi="Arial Narrow" w:cs="Times New Roman"/>
                <w:sz w:val="20"/>
                <w:szCs w:val="20"/>
                <w:lang w:eastAsia="en-US"/>
              </w:rPr>
              <w:t>chromosomes from 85 DNA samples from CF subjects with known mutations</w:t>
            </w:r>
          </w:p>
        </w:tc>
        <w:tc>
          <w:tcPr>
            <w:tcW w:w="714" w:type="pct"/>
            <w:tcBorders>
              <w:bottom w:val="single" w:sz="4" w:space="0" w:color="auto"/>
            </w:tcBorders>
          </w:tcPr>
          <w:p w14:paraId="478E1B20" w14:textId="77777777" w:rsidR="006D7EB9" w:rsidRPr="006D7EB9" w:rsidRDefault="006D7EB9" w:rsidP="004566DC">
            <w:pPr>
              <w:tabs>
                <w:tab w:val="left" w:pos="746"/>
              </w:tabs>
              <w:spacing w:after="40" w:line="240" w:lineRule="auto"/>
              <w:jc w:val="left"/>
              <w:rPr>
                <w:rFonts w:ascii="Arial Narrow" w:hAnsi="Arial Narrow" w:cs="Times New Roman"/>
                <w:sz w:val="20"/>
                <w:szCs w:val="20"/>
              </w:rPr>
            </w:pPr>
            <w:r w:rsidRPr="006D7EB9">
              <w:rPr>
                <w:rFonts w:ascii="Arial Narrow" w:hAnsi="Arial Narrow" w:cs="Times New Roman"/>
                <w:sz w:val="20"/>
                <w:szCs w:val="20"/>
              </w:rPr>
              <w:t>CF(12) ARMS kit</w:t>
            </w:r>
          </w:p>
          <w:p w14:paraId="31B37F2E"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OLA PCR kit</w:t>
            </w:r>
          </w:p>
          <w:p w14:paraId="4E22D868"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ASOH dot-blot assay</w:t>
            </w:r>
          </w:p>
          <w:p w14:paraId="29D4FFAD" w14:textId="59CBD047" w:rsidR="006D7EB9" w:rsidRPr="006D7EB9" w:rsidRDefault="006D7EB9" w:rsidP="004566DC">
            <w:pPr>
              <w:tabs>
                <w:tab w:val="left" w:pos="746"/>
              </w:tabs>
              <w:spacing w:after="40" w:line="240" w:lineRule="auto"/>
              <w:ind w:left="169" w:hanging="169"/>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INNO-LiPA CF kit</w:t>
            </w:r>
            <w:r w:rsidRPr="006D7EB9">
              <w:rPr>
                <w:rFonts w:ascii="Arial Narrow" w:eastAsiaTheme="minorHAnsi" w:hAnsi="Arial Narrow" w:cs="Times New Roman"/>
                <w:sz w:val="20"/>
                <w:szCs w:val="20"/>
                <w:lang w:eastAsia="en-US"/>
              </w:rPr>
              <w:br/>
              <w:t>(reverse dot</w:t>
            </w:r>
            <w:r w:rsidR="00D62676">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blot)</w:t>
            </w:r>
          </w:p>
        </w:tc>
        <w:tc>
          <w:tcPr>
            <w:tcW w:w="359" w:type="pct"/>
            <w:tcBorders>
              <w:bottom w:val="single" w:sz="4" w:space="0" w:color="auto"/>
            </w:tcBorders>
          </w:tcPr>
          <w:p w14:paraId="6B6146EB"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12</w:t>
            </w:r>
          </w:p>
          <w:p w14:paraId="0DEA929F"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31</w:t>
            </w:r>
          </w:p>
          <w:p w14:paraId="7B078AF1"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13</w:t>
            </w:r>
          </w:p>
          <w:p w14:paraId="6B6A2DB1" w14:textId="0FB89C79"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29 + poly</w:t>
            </w:r>
            <w:r w:rsidR="008C2810">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T</w:t>
            </w:r>
          </w:p>
        </w:tc>
        <w:tc>
          <w:tcPr>
            <w:tcW w:w="332" w:type="pct"/>
            <w:tcBorders>
              <w:bottom w:val="single" w:sz="4" w:space="0" w:color="auto"/>
            </w:tcBorders>
          </w:tcPr>
          <w:p w14:paraId="6367E01A"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92</w:t>
            </w:r>
          </w:p>
          <w:p w14:paraId="230D2894"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106</w:t>
            </w:r>
          </w:p>
          <w:p w14:paraId="4ADA752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123</w:t>
            </w:r>
          </w:p>
          <w:p w14:paraId="39CD4CA2"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105</w:t>
            </w:r>
          </w:p>
        </w:tc>
        <w:tc>
          <w:tcPr>
            <w:tcW w:w="333" w:type="pct"/>
            <w:tcBorders>
              <w:bottom w:val="single" w:sz="4" w:space="0" w:color="auto"/>
            </w:tcBorders>
          </w:tcPr>
          <w:p w14:paraId="1401B92C"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21298A0E"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51A1EFFC"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4C80798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2" w:type="pct"/>
            <w:tcBorders>
              <w:bottom w:val="single" w:sz="4" w:space="0" w:color="auto"/>
            </w:tcBorders>
          </w:tcPr>
          <w:p w14:paraId="77C307D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6 (5%)</w:t>
            </w:r>
          </w:p>
          <w:p w14:paraId="10115845"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0473FE5A"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70F1676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3" w:type="pct"/>
            <w:tcBorders>
              <w:bottom w:val="single" w:sz="4" w:space="0" w:color="auto"/>
            </w:tcBorders>
          </w:tcPr>
          <w:p w14:paraId="7819012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724D550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1BC4127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4C050AC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459" w:type="pct"/>
            <w:tcBorders>
              <w:bottom w:val="single" w:sz="4" w:space="0" w:color="auto"/>
            </w:tcBorders>
          </w:tcPr>
          <w:p w14:paraId="787AC922"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31 (24%)</w:t>
            </w:r>
          </w:p>
          <w:p w14:paraId="19830594"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23 (18%)</w:t>
            </w:r>
          </w:p>
          <w:p w14:paraId="5279CBB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6 (5%)</w:t>
            </w:r>
          </w:p>
          <w:p w14:paraId="25891A3A"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24 (18%)</w:t>
            </w:r>
          </w:p>
        </w:tc>
        <w:tc>
          <w:tcPr>
            <w:tcW w:w="767" w:type="pct"/>
            <w:tcBorders>
              <w:bottom w:val="single" w:sz="4" w:space="0" w:color="auto"/>
            </w:tcBorders>
          </w:tcPr>
          <w:p w14:paraId="17BFE862"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94% (71%)</w:t>
            </w:r>
          </w:p>
          <w:p w14:paraId="3842ABC1"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 (82%)</w:t>
            </w:r>
          </w:p>
          <w:p w14:paraId="70C3CEC5"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 (96%)</w:t>
            </w:r>
          </w:p>
          <w:p w14:paraId="22E05C98"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 (81%)</w:t>
            </w:r>
          </w:p>
        </w:tc>
      </w:tr>
      <w:tr w:rsidR="006D7EB9" w:rsidRPr="006D7EB9" w14:paraId="480B0451" w14:textId="77777777" w:rsidTr="00935F84">
        <w:trPr>
          <w:trHeight w:val="491"/>
        </w:trPr>
        <w:tc>
          <w:tcPr>
            <w:tcW w:w="413" w:type="pct"/>
          </w:tcPr>
          <w:p w14:paraId="69C45816"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Houdayer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1998</w:t>
            </w:r>
            <w:r w:rsidR="00B32459">
              <w:rPr>
                <w:rFonts w:ascii="Arial Narrow" w:eastAsiaTheme="minorHAnsi" w:hAnsi="Arial Narrow" w:cstheme="minorHAnsi"/>
                <w:sz w:val="20"/>
                <w:szCs w:val="20"/>
                <w:lang w:eastAsia="en-US"/>
              </w:rPr>
              <w:t>)</w:t>
            </w:r>
          </w:p>
          <w:p w14:paraId="2C743476"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France</w:t>
            </w:r>
          </w:p>
        </w:tc>
        <w:tc>
          <w:tcPr>
            <w:tcW w:w="393" w:type="pct"/>
          </w:tcPr>
          <w:p w14:paraId="010D5F00"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79022517"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565" w:type="pct"/>
          </w:tcPr>
          <w:p w14:paraId="6255D5FF" w14:textId="7B021772" w:rsidR="006D7EB9" w:rsidRPr="006D7EB9" w:rsidRDefault="006D7EB9" w:rsidP="004566DC">
            <w:pPr>
              <w:tabs>
                <w:tab w:val="left" w:pos="1167"/>
              </w:tabs>
              <w:spacing w:after="40" w:line="240" w:lineRule="auto"/>
              <w:jc w:val="left"/>
              <w:rPr>
                <w:rFonts w:ascii="Arial Narrow" w:eastAsiaTheme="minorHAnsi" w:hAnsi="Arial Narrow" w:cs="Times New Roman"/>
                <w:sz w:val="20"/>
                <w:szCs w:val="20"/>
                <w:lang w:eastAsia="en-US"/>
              </w:rPr>
            </w:pPr>
            <w:r w:rsidRPr="006D7EB9">
              <w:rPr>
                <w:rFonts w:ascii="Arial Narrow" w:hAnsi="Arial Narrow" w:cs="Times New Roman"/>
                <w:sz w:val="20"/>
                <w:szCs w:val="20"/>
                <w:lang w:eastAsia="en-US"/>
              </w:rPr>
              <w:t>N=40</w:t>
            </w:r>
            <w:r w:rsidR="00B86899">
              <w:rPr>
                <w:rFonts w:ascii="Arial Narrow" w:hAnsi="Arial Narrow" w:cs="Times New Roman"/>
                <w:sz w:val="20"/>
                <w:szCs w:val="20"/>
                <w:lang w:eastAsia="en-US"/>
              </w:rPr>
              <w:t xml:space="preserve"> </w:t>
            </w:r>
            <w:r w:rsidRPr="006D7EB9">
              <w:rPr>
                <w:rFonts w:ascii="Arial Narrow" w:hAnsi="Arial Narrow" w:cs="Times New Roman"/>
                <w:sz w:val="20"/>
                <w:szCs w:val="20"/>
                <w:lang w:eastAsia="en-US"/>
              </w:rPr>
              <w:t xml:space="preserve">DNA samples of known </w:t>
            </w:r>
            <w:r w:rsidR="00FD37D3" w:rsidRPr="00FD37D3">
              <w:rPr>
                <w:rFonts w:ascii="Arial Narrow" w:hAnsi="Arial Narrow" w:cs="Times New Roman"/>
                <w:sz w:val="20"/>
                <w:szCs w:val="20"/>
                <w:lang w:eastAsia="en-US"/>
              </w:rPr>
              <w:t>CFTR</w:t>
            </w:r>
            <w:r w:rsidRPr="006D7EB9">
              <w:rPr>
                <w:rFonts w:ascii="Arial Narrow" w:hAnsi="Arial Narrow" w:cs="Times New Roman"/>
                <w:sz w:val="20"/>
                <w:szCs w:val="20"/>
                <w:lang w:eastAsia="en-US"/>
              </w:rPr>
              <w:t xml:space="preserve"> mutations</w:t>
            </w:r>
          </w:p>
        </w:tc>
        <w:tc>
          <w:tcPr>
            <w:tcW w:w="714" w:type="pct"/>
          </w:tcPr>
          <w:p w14:paraId="11FF7992"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CF(12) ARMS kit</w:t>
            </w:r>
          </w:p>
        </w:tc>
        <w:tc>
          <w:tcPr>
            <w:tcW w:w="359" w:type="pct"/>
          </w:tcPr>
          <w:p w14:paraId="10E79907"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12</w:t>
            </w:r>
          </w:p>
        </w:tc>
        <w:tc>
          <w:tcPr>
            <w:tcW w:w="332" w:type="pct"/>
          </w:tcPr>
          <w:p w14:paraId="1FE663D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34</w:t>
            </w:r>
          </w:p>
        </w:tc>
        <w:tc>
          <w:tcPr>
            <w:tcW w:w="333" w:type="pct"/>
          </w:tcPr>
          <w:p w14:paraId="649198E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2" w:type="pct"/>
          </w:tcPr>
          <w:p w14:paraId="40A2E52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 (5%)</w:t>
            </w:r>
          </w:p>
        </w:tc>
        <w:tc>
          <w:tcPr>
            <w:tcW w:w="333" w:type="pct"/>
          </w:tcPr>
          <w:p w14:paraId="443DD4D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459" w:type="pct"/>
          </w:tcPr>
          <w:p w14:paraId="131B4DD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 (10%)</w:t>
            </w:r>
          </w:p>
        </w:tc>
        <w:tc>
          <w:tcPr>
            <w:tcW w:w="767" w:type="pct"/>
          </w:tcPr>
          <w:p w14:paraId="1986161D"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94% (85%)</w:t>
            </w:r>
          </w:p>
        </w:tc>
      </w:tr>
      <w:tr w:rsidR="006D7EB9" w:rsidRPr="006D7EB9" w14:paraId="7A7D52A2" w14:textId="77777777" w:rsidTr="00935F84">
        <w:trPr>
          <w:trHeight w:val="491"/>
        </w:trPr>
        <w:tc>
          <w:tcPr>
            <w:tcW w:w="413" w:type="pct"/>
          </w:tcPr>
          <w:p w14:paraId="69B17097" w14:textId="1A4A6096"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Ravnik-Glava</w:t>
            </w:r>
            <w:r w:rsidR="008316B3">
              <w:rPr>
                <w:rFonts w:ascii="Arial Narrow" w:eastAsiaTheme="minorHAnsi" w:hAnsi="Arial Narrow" w:cstheme="minorHAnsi"/>
                <w:sz w:val="20"/>
                <w:szCs w:val="20"/>
                <w:lang w:eastAsia="en-US"/>
              </w:rPr>
              <w:t>c</w:t>
            </w:r>
            <w:r w:rsidRPr="006D7EB9">
              <w:rPr>
                <w:rFonts w:ascii="Arial Narrow" w:eastAsiaTheme="minorHAnsi" w:hAnsi="Arial Narrow" w:cstheme="minorHAnsi"/>
                <w:sz w:val="20"/>
                <w:szCs w:val="20"/>
                <w:lang w:eastAsia="en-US"/>
              </w:rPr>
              <w:t xml:space="preserve">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1994</w:t>
            </w:r>
            <w:r w:rsidR="00B32459">
              <w:rPr>
                <w:rFonts w:ascii="Arial Narrow" w:eastAsiaTheme="minorHAnsi" w:hAnsi="Arial Narrow" w:cstheme="minorHAnsi"/>
                <w:sz w:val="20"/>
                <w:szCs w:val="20"/>
                <w:lang w:eastAsia="en-US"/>
              </w:rPr>
              <w:t>)</w:t>
            </w:r>
          </w:p>
          <w:p w14:paraId="5739308A" w14:textId="77777777" w:rsidR="006D7EB9" w:rsidRPr="006D7EB9" w:rsidRDefault="006D7EB9" w:rsidP="004566DC">
            <w:pPr>
              <w:spacing w:after="40" w:line="240" w:lineRule="auto"/>
              <w:jc w:val="left"/>
              <w:rPr>
                <w:rFonts w:ascii="Arial Narrow" w:hAnsi="Arial Narrow" w:cstheme="minorHAnsi"/>
                <w:sz w:val="20"/>
                <w:szCs w:val="20"/>
              </w:rPr>
            </w:pPr>
            <w:r w:rsidRPr="006D7EB9">
              <w:rPr>
                <w:rFonts w:ascii="Arial Narrow" w:eastAsiaTheme="minorHAnsi" w:hAnsi="Arial Narrow" w:cstheme="minorHAnsi"/>
                <w:sz w:val="20"/>
                <w:szCs w:val="20"/>
                <w:lang w:eastAsia="en-US"/>
              </w:rPr>
              <w:t>USA</w:t>
            </w:r>
          </w:p>
        </w:tc>
        <w:tc>
          <w:tcPr>
            <w:tcW w:w="393" w:type="pct"/>
          </w:tcPr>
          <w:p w14:paraId="4807F640"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747EC01A"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High risk of bias</w:t>
            </w:r>
          </w:p>
        </w:tc>
        <w:tc>
          <w:tcPr>
            <w:tcW w:w="565" w:type="pct"/>
          </w:tcPr>
          <w:p w14:paraId="3D9C90E5" w14:textId="32680AD2" w:rsidR="006D7EB9" w:rsidRPr="006D7EB9" w:rsidRDefault="006D7EB9" w:rsidP="004566DC">
            <w:pPr>
              <w:tabs>
                <w:tab w:val="left" w:pos="89"/>
              </w:tabs>
              <w:spacing w:after="40" w:line="240" w:lineRule="auto"/>
              <w:jc w:val="left"/>
              <w:rPr>
                <w:rFonts w:ascii="Arial Narrow" w:hAnsi="Arial Narrow" w:cs="Times New Roman"/>
                <w:sz w:val="20"/>
                <w:szCs w:val="20"/>
              </w:rPr>
            </w:pPr>
            <w:r w:rsidRPr="006D7EB9">
              <w:rPr>
                <w:rFonts w:ascii="Arial Narrow" w:hAnsi="Arial Narrow" w:cs="Times New Roman"/>
                <w:sz w:val="20"/>
                <w:szCs w:val="20"/>
              </w:rPr>
              <w:t xml:space="preserve">N=133 </w:t>
            </w:r>
            <w:r w:rsidR="00B86899">
              <w:rPr>
                <w:rFonts w:ascii="Arial Narrow" w:hAnsi="Arial Narrow" w:cs="Times New Roman"/>
                <w:sz w:val="20"/>
                <w:szCs w:val="20"/>
              </w:rPr>
              <w:t xml:space="preserve"> </w:t>
            </w:r>
            <w:r w:rsidRPr="006D7EB9">
              <w:rPr>
                <w:rFonts w:ascii="Arial Narrow" w:hAnsi="Arial Narrow" w:cs="Times New Roman"/>
                <w:sz w:val="20"/>
                <w:szCs w:val="20"/>
              </w:rPr>
              <w:t xml:space="preserve">DNA samples of known </w:t>
            </w:r>
            <w:r w:rsidR="00FD37D3" w:rsidRPr="00FD37D3">
              <w:rPr>
                <w:rFonts w:ascii="Arial Narrow" w:hAnsi="Arial Narrow" w:cs="Times New Roman"/>
                <w:sz w:val="20"/>
                <w:szCs w:val="20"/>
              </w:rPr>
              <w:t>CFTR</w:t>
            </w:r>
            <w:r w:rsidRPr="006D7EB9">
              <w:rPr>
                <w:rFonts w:ascii="Arial Narrow" w:hAnsi="Arial Narrow" w:cs="Times New Roman"/>
                <w:sz w:val="20"/>
                <w:szCs w:val="20"/>
              </w:rPr>
              <w:t xml:space="preserve"> mutations</w:t>
            </w:r>
          </w:p>
        </w:tc>
        <w:tc>
          <w:tcPr>
            <w:tcW w:w="714" w:type="pct"/>
          </w:tcPr>
          <w:p w14:paraId="3A6F66F3" w14:textId="77777777" w:rsidR="006D7EB9" w:rsidRPr="006D7EB9" w:rsidRDefault="006D7EB9" w:rsidP="004566DC">
            <w:pPr>
              <w:tabs>
                <w:tab w:val="left" w:pos="73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SSCP</w:t>
            </w:r>
            <w:r w:rsidRPr="006D7EB9">
              <w:rPr>
                <w:rFonts w:ascii="Arial Narrow" w:eastAsiaTheme="minorHAnsi" w:hAnsi="Arial Narrow" w:cs="Times New Roman"/>
                <w:sz w:val="20"/>
                <w:szCs w:val="20"/>
                <w:lang w:eastAsia="en-US"/>
              </w:rPr>
              <w:tab/>
              <w:t>All mutations</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10 mut</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11 mut</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4 mut</w:t>
            </w:r>
          </w:p>
        </w:tc>
        <w:tc>
          <w:tcPr>
            <w:tcW w:w="359" w:type="pct"/>
          </w:tcPr>
          <w:p w14:paraId="5ECD563C" w14:textId="5C73FA32" w:rsidR="006D7EB9" w:rsidRPr="006D7EB9" w:rsidRDefault="006D7EB9" w:rsidP="004566DC">
            <w:pPr>
              <w:spacing w:after="40" w:line="240" w:lineRule="auto"/>
              <w:ind w:right="-57"/>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All 27 exons and their exon</w:t>
            </w:r>
            <w:r w:rsidR="0081298F">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intron boundaries</w:t>
            </w:r>
          </w:p>
        </w:tc>
        <w:tc>
          <w:tcPr>
            <w:tcW w:w="332" w:type="pct"/>
          </w:tcPr>
          <w:p w14:paraId="0672337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129</w:t>
            </w:r>
            <w:r w:rsidRPr="006D7EB9">
              <w:rPr>
                <w:rFonts w:ascii="Arial Narrow" w:eastAsiaTheme="minorHAnsi" w:hAnsi="Arial Narrow" w:cs="Times New Roman"/>
                <w:sz w:val="20"/>
                <w:szCs w:val="20"/>
                <w:lang w:eastAsia="en-US"/>
              </w:rPr>
              <w:br/>
              <w:t>6</w:t>
            </w:r>
            <w:r w:rsidRPr="006D7EB9">
              <w:rPr>
                <w:rFonts w:ascii="Arial Narrow" w:eastAsiaTheme="minorHAnsi" w:hAnsi="Arial Narrow" w:cs="Times New Roman"/>
                <w:sz w:val="20"/>
                <w:szCs w:val="20"/>
                <w:lang w:eastAsia="en-US"/>
              </w:rPr>
              <w:br/>
              <w:t>8</w:t>
            </w:r>
            <w:r w:rsidRPr="006D7EB9">
              <w:rPr>
                <w:rFonts w:ascii="Arial Narrow" w:eastAsiaTheme="minorHAnsi" w:hAnsi="Arial Narrow" w:cs="Times New Roman"/>
                <w:sz w:val="20"/>
                <w:szCs w:val="20"/>
                <w:lang w:eastAsia="en-US"/>
              </w:rPr>
              <w:br/>
              <w:t>14</w:t>
            </w:r>
          </w:p>
        </w:tc>
        <w:tc>
          <w:tcPr>
            <w:tcW w:w="333" w:type="pct"/>
          </w:tcPr>
          <w:p w14:paraId="662CEC6A"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tc>
        <w:tc>
          <w:tcPr>
            <w:tcW w:w="332" w:type="pct"/>
          </w:tcPr>
          <w:p w14:paraId="6476815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 (3%)</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2</w:t>
            </w:r>
          </w:p>
        </w:tc>
        <w:tc>
          <w:tcPr>
            <w:tcW w:w="333" w:type="pct"/>
          </w:tcPr>
          <w:p w14:paraId="314CB07C"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tc>
        <w:tc>
          <w:tcPr>
            <w:tcW w:w="459" w:type="pct"/>
          </w:tcPr>
          <w:p w14:paraId="661B62A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tc>
        <w:tc>
          <w:tcPr>
            <w:tcW w:w="767" w:type="pct"/>
          </w:tcPr>
          <w:p w14:paraId="43A3B5AC" w14:textId="77777777" w:rsidR="006D7EB9" w:rsidRPr="006D7EB9" w:rsidRDefault="006D7EB9" w:rsidP="004566DC">
            <w:pPr>
              <w:tabs>
                <w:tab w:val="left" w:pos="883"/>
              </w:tabs>
              <w:spacing w:after="40" w:line="240" w:lineRule="auto"/>
              <w:ind w:right="-57"/>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97%</w:t>
            </w:r>
            <w:r w:rsidRPr="006D7EB9">
              <w:rPr>
                <w:rFonts w:ascii="Arial Narrow" w:eastAsiaTheme="minorHAnsi" w:hAnsi="Arial Narrow" w:cs="Times New Roman"/>
                <w:sz w:val="20"/>
                <w:szCs w:val="20"/>
                <w:lang w:eastAsia="en-US"/>
              </w:rPr>
              <w:br/>
              <w:t>Sensitivity = 100%</w:t>
            </w:r>
            <w:r w:rsidRPr="006D7EB9">
              <w:rPr>
                <w:rFonts w:ascii="Arial Narrow" w:eastAsiaTheme="minorHAnsi" w:hAnsi="Arial Narrow" w:cs="Times New Roman"/>
                <w:sz w:val="20"/>
                <w:szCs w:val="20"/>
                <w:lang w:eastAsia="en-US"/>
              </w:rPr>
              <w:br/>
              <w:t>Sensitivity = 100%</w:t>
            </w:r>
            <w:r w:rsidRPr="006D7EB9">
              <w:rPr>
                <w:rFonts w:ascii="Arial Narrow" w:eastAsiaTheme="minorHAnsi" w:hAnsi="Arial Narrow" w:cs="Times New Roman"/>
                <w:sz w:val="20"/>
                <w:szCs w:val="20"/>
                <w:lang w:eastAsia="en-US"/>
              </w:rPr>
              <w:br/>
              <w:t>Sensitivity = 88%</w:t>
            </w:r>
          </w:p>
        </w:tc>
      </w:tr>
      <w:tr w:rsidR="006D7EB9" w:rsidRPr="006D7EB9" w14:paraId="6B25E77C" w14:textId="77777777" w:rsidTr="00935F84">
        <w:trPr>
          <w:cantSplit/>
          <w:trHeight w:val="64"/>
        </w:trPr>
        <w:tc>
          <w:tcPr>
            <w:tcW w:w="413" w:type="pct"/>
          </w:tcPr>
          <w:p w14:paraId="34D8182C" w14:textId="68523D2F"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Ravnik-Glava</w:t>
            </w:r>
            <w:r w:rsidR="008316B3">
              <w:rPr>
                <w:rFonts w:ascii="Arial Narrow" w:eastAsiaTheme="minorHAnsi" w:hAnsi="Arial Narrow" w:cstheme="minorHAnsi"/>
                <w:sz w:val="20"/>
                <w:szCs w:val="20"/>
                <w:lang w:eastAsia="en-US"/>
              </w:rPr>
              <w:t>c</w:t>
            </w:r>
            <w:r w:rsidRPr="006D7EB9">
              <w:rPr>
                <w:rFonts w:ascii="Arial Narrow" w:eastAsiaTheme="minorHAnsi" w:hAnsi="Arial Narrow" w:cstheme="minorHAnsi"/>
                <w:sz w:val="20"/>
                <w:szCs w:val="20"/>
                <w:lang w:eastAsia="en-US"/>
              </w:rPr>
              <w:t xml:space="preserve">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2002</w:t>
            </w:r>
            <w:r w:rsidR="00B32459">
              <w:rPr>
                <w:rFonts w:ascii="Arial Narrow" w:eastAsiaTheme="minorHAnsi" w:hAnsi="Arial Narrow" w:cstheme="minorHAnsi"/>
                <w:sz w:val="20"/>
                <w:szCs w:val="20"/>
                <w:lang w:eastAsia="en-US"/>
              </w:rPr>
              <w:t>)</w:t>
            </w:r>
          </w:p>
          <w:p w14:paraId="61242B9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USA</w:t>
            </w:r>
          </w:p>
        </w:tc>
        <w:tc>
          <w:tcPr>
            <w:tcW w:w="393" w:type="pct"/>
          </w:tcPr>
          <w:p w14:paraId="43AA5238"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782117EA"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High risk of bias</w:t>
            </w:r>
          </w:p>
        </w:tc>
        <w:tc>
          <w:tcPr>
            <w:tcW w:w="565" w:type="pct"/>
          </w:tcPr>
          <w:p w14:paraId="289F6997" w14:textId="360218EE" w:rsidR="006D7EB9" w:rsidRPr="006D7EB9" w:rsidRDefault="006D7EB9" w:rsidP="004566DC">
            <w:pPr>
              <w:tabs>
                <w:tab w:val="left" w:pos="1167"/>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xml:space="preserve">N=73 </w:t>
            </w:r>
            <w:r w:rsidR="00B86899">
              <w:rPr>
                <w:rFonts w:ascii="Arial Narrow" w:eastAsiaTheme="minorHAnsi" w:hAnsi="Arial Narrow" w:cs="Times New Roman"/>
                <w:sz w:val="20"/>
                <w:szCs w:val="20"/>
                <w:lang w:eastAsia="en-US"/>
              </w:rPr>
              <w:t xml:space="preserve"> </w:t>
            </w:r>
            <w:r w:rsidRPr="006D7EB9">
              <w:rPr>
                <w:rFonts w:ascii="Arial Narrow" w:eastAsiaTheme="minorHAnsi" w:hAnsi="Arial Narrow" w:cs="Times New Roman"/>
                <w:sz w:val="20"/>
                <w:szCs w:val="20"/>
                <w:lang w:eastAsia="en-US"/>
              </w:rPr>
              <w:t xml:space="preserve">DNA samples of known </w:t>
            </w:r>
            <w:r w:rsidR="00FD37D3" w:rsidRPr="00FD37D3">
              <w:rPr>
                <w:rFonts w:ascii="Arial Narrow" w:eastAsiaTheme="minorHAnsi" w:hAnsi="Arial Narrow" w:cs="Times New Roman"/>
                <w:sz w:val="20"/>
                <w:szCs w:val="20"/>
                <w:lang w:eastAsia="en-US"/>
              </w:rPr>
              <w:t>CFTR</w:t>
            </w:r>
            <w:r w:rsidRPr="006D7EB9">
              <w:rPr>
                <w:rFonts w:ascii="Arial Narrow" w:eastAsiaTheme="minorHAnsi" w:hAnsi="Arial Narrow" w:cs="Times New Roman"/>
                <w:sz w:val="20"/>
                <w:szCs w:val="20"/>
                <w:lang w:eastAsia="en-US"/>
              </w:rPr>
              <w:t xml:space="preserve"> mutations</w:t>
            </w:r>
          </w:p>
        </w:tc>
        <w:tc>
          <w:tcPr>
            <w:tcW w:w="714" w:type="pct"/>
          </w:tcPr>
          <w:p w14:paraId="06A289D2" w14:textId="77777777" w:rsidR="006D7EB9" w:rsidRPr="006D7EB9" w:rsidRDefault="006D7EB9" w:rsidP="004566DC">
            <w:pPr>
              <w:tabs>
                <w:tab w:val="left" w:pos="73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DHPLC</w:t>
            </w:r>
            <w:r w:rsidRPr="006D7EB9">
              <w:rPr>
                <w:rFonts w:ascii="Arial Narrow" w:eastAsiaTheme="minorHAnsi" w:hAnsi="Arial Narrow" w:cs="Times New Roman"/>
                <w:sz w:val="20"/>
                <w:szCs w:val="20"/>
                <w:lang w:eastAsia="en-US"/>
              </w:rPr>
              <w:tab/>
              <w:t>All mutations</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10 mut</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11 mut</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t>Exon 4 mut</w:t>
            </w:r>
          </w:p>
          <w:p w14:paraId="248DE71A" w14:textId="77777777" w:rsidR="006D7EB9" w:rsidRPr="006D7EB9" w:rsidRDefault="006D7EB9" w:rsidP="004566DC">
            <w:pPr>
              <w:tabs>
                <w:tab w:val="left" w:pos="73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DHPLC at optimal Tm</w:t>
            </w:r>
          </w:p>
        </w:tc>
        <w:tc>
          <w:tcPr>
            <w:tcW w:w="359" w:type="pct"/>
          </w:tcPr>
          <w:p w14:paraId="72E7918E"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10 exons with flanking introns</w:t>
            </w:r>
          </w:p>
        </w:tc>
        <w:tc>
          <w:tcPr>
            <w:tcW w:w="332" w:type="pct"/>
          </w:tcPr>
          <w:p w14:paraId="38C7EEDF"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66</w:t>
            </w:r>
            <w:r w:rsidRPr="006D7EB9">
              <w:rPr>
                <w:rFonts w:ascii="Arial Narrow" w:eastAsiaTheme="minorHAnsi" w:hAnsi="Arial Narrow" w:cs="Times New Roman"/>
                <w:sz w:val="20"/>
                <w:szCs w:val="20"/>
                <w:lang w:eastAsia="en-US"/>
              </w:rPr>
              <w:br/>
              <w:t>4</w:t>
            </w:r>
            <w:r w:rsidRPr="006D7EB9">
              <w:rPr>
                <w:rFonts w:ascii="Arial Narrow" w:eastAsiaTheme="minorHAnsi" w:hAnsi="Arial Narrow" w:cs="Times New Roman"/>
                <w:sz w:val="20"/>
                <w:szCs w:val="20"/>
                <w:lang w:eastAsia="en-US"/>
              </w:rPr>
              <w:br/>
              <w:t>8</w:t>
            </w:r>
            <w:r w:rsidRPr="006D7EB9">
              <w:rPr>
                <w:rFonts w:ascii="Arial Narrow" w:eastAsiaTheme="minorHAnsi" w:hAnsi="Arial Narrow" w:cs="Times New Roman"/>
                <w:sz w:val="20"/>
                <w:szCs w:val="20"/>
                <w:lang w:eastAsia="en-US"/>
              </w:rPr>
              <w:br/>
              <w:t>14</w:t>
            </w:r>
          </w:p>
          <w:p w14:paraId="6923A545"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73</w:t>
            </w:r>
          </w:p>
        </w:tc>
        <w:tc>
          <w:tcPr>
            <w:tcW w:w="333" w:type="pct"/>
          </w:tcPr>
          <w:p w14:paraId="1788341E"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p w14:paraId="5F44138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2" w:type="pct"/>
          </w:tcPr>
          <w:p w14:paraId="51ADF77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7 (10%)</w:t>
            </w:r>
            <w:r w:rsidRPr="006D7EB9">
              <w:rPr>
                <w:rFonts w:ascii="Arial Narrow" w:eastAsiaTheme="minorHAnsi" w:hAnsi="Arial Narrow" w:cs="Times New Roman"/>
                <w:sz w:val="20"/>
                <w:szCs w:val="20"/>
                <w:lang w:eastAsia="en-US"/>
              </w:rPr>
              <w:br/>
              <w:t>1</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p w14:paraId="19FB466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3" w:type="pct"/>
          </w:tcPr>
          <w:p w14:paraId="57C8C3C5"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p w14:paraId="4C0B3B0D"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459" w:type="pct"/>
          </w:tcPr>
          <w:p w14:paraId="65E53D6F"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r w:rsidRPr="006D7EB9">
              <w:rPr>
                <w:rFonts w:ascii="Arial Narrow" w:eastAsiaTheme="minorHAnsi" w:hAnsi="Arial Narrow" w:cs="Times New Roman"/>
                <w:sz w:val="20"/>
                <w:szCs w:val="20"/>
                <w:lang w:eastAsia="en-US"/>
              </w:rPr>
              <w:br/>
              <w:t>0</w:t>
            </w:r>
          </w:p>
          <w:p w14:paraId="2672B1C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767" w:type="pct"/>
          </w:tcPr>
          <w:p w14:paraId="1919F835" w14:textId="77777777" w:rsidR="006D7EB9" w:rsidRPr="006D7EB9" w:rsidRDefault="006D7EB9" w:rsidP="004566DC">
            <w:pPr>
              <w:tabs>
                <w:tab w:val="left" w:pos="883"/>
              </w:tabs>
              <w:spacing w:after="40" w:line="240" w:lineRule="auto"/>
              <w:ind w:right="-57"/>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90%</w:t>
            </w:r>
            <w:r w:rsidRPr="006D7EB9">
              <w:rPr>
                <w:rFonts w:ascii="Arial Narrow" w:eastAsiaTheme="minorHAnsi" w:hAnsi="Arial Narrow" w:cs="Times New Roman"/>
                <w:sz w:val="20"/>
                <w:szCs w:val="20"/>
                <w:lang w:eastAsia="en-US"/>
              </w:rPr>
              <w:br/>
              <w:t>Sensitivity = 80%</w:t>
            </w:r>
            <w:r w:rsidRPr="006D7EB9">
              <w:rPr>
                <w:rFonts w:ascii="Arial Narrow" w:eastAsiaTheme="minorHAnsi" w:hAnsi="Arial Narrow" w:cs="Times New Roman"/>
                <w:sz w:val="20"/>
                <w:szCs w:val="20"/>
                <w:lang w:eastAsia="en-US"/>
              </w:rPr>
              <w:br/>
              <w:t>Sensitivity = 100%</w:t>
            </w:r>
            <w:r w:rsidRPr="006D7EB9">
              <w:rPr>
                <w:rFonts w:ascii="Arial Narrow" w:eastAsiaTheme="minorHAnsi" w:hAnsi="Arial Narrow" w:cs="Times New Roman"/>
                <w:sz w:val="20"/>
                <w:szCs w:val="20"/>
                <w:lang w:eastAsia="en-US"/>
              </w:rPr>
              <w:br/>
              <w:t>Sensitivity = 100%</w:t>
            </w:r>
          </w:p>
          <w:p w14:paraId="1453BA7C" w14:textId="77777777" w:rsidR="006D7EB9" w:rsidRPr="006D7EB9" w:rsidRDefault="006D7EB9" w:rsidP="004566DC">
            <w:pPr>
              <w:tabs>
                <w:tab w:val="left" w:pos="883"/>
              </w:tabs>
              <w:spacing w:after="40" w:line="240" w:lineRule="auto"/>
              <w:ind w:right="-57"/>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w:t>
            </w:r>
          </w:p>
        </w:tc>
      </w:tr>
    </w:tbl>
    <w:p w14:paraId="282E61FB" w14:textId="098328AC" w:rsidR="006D7EB9" w:rsidRPr="006D7EB9" w:rsidRDefault="006D7EB9" w:rsidP="004566DC">
      <w:pPr>
        <w:spacing w:before="40" w:line="240" w:lineRule="auto"/>
        <w:ind w:right="-57"/>
        <w:jc w:val="left"/>
        <w:rPr>
          <w:rFonts w:ascii="Arial Narrow" w:hAnsi="Arial Narrow"/>
          <w:sz w:val="20"/>
          <w:szCs w:val="20"/>
        </w:rPr>
      </w:pPr>
      <w:r w:rsidRPr="006D7EB9">
        <w:rPr>
          <w:rFonts w:ascii="Arial Narrow" w:hAnsi="Arial Narrow"/>
          <w:sz w:val="20"/>
          <w:szCs w:val="20"/>
        </w:rPr>
        <w:t xml:space="preserve">ARMS = amplification refractory mutation system; ASOH = allele-specific oligonucleotide hybridisation; CF = cystic fibrosis; </w:t>
      </w:r>
      <w:r w:rsidR="00FD37D3" w:rsidRPr="00FD37D3">
        <w:rPr>
          <w:rFonts w:ascii="Arial Narrow" w:hAnsi="Arial Narrow"/>
          <w:sz w:val="20"/>
          <w:szCs w:val="20"/>
        </w:rPr>
        <w:t>CFTR</w:t>
      </w:r>
      <w:r w:rsidRPr="006D7EB9">
        <w:rPr>
          <w:rFonts w:ascii="Arial Narrow" w:hAnsi="Arial Narrow"/>
          <w:sz w:val="20"/>
          <w:szCs w:val="20"/>
        </w:rPr>
        <w:t xml:space="preserve"> = cystic fibrosis transmembrane conductance regulator; DHPLC = denaturing high performance liquid chromatography; DNA = deoxyribonucleic acid; OLA = oligonucleotide ligation assay; PCR = polymerase chain reaction; SSCP = single-stranded conformation polymorphism</w:t>
      </w:r>
    </w:p>
    <w:p w14:paraId="16719D3F" w14:textId="77777777" w:rsidR="006D7EB9" w:rsidRDefault="006D7EB9">
      <w:pPr>
        <w:spacing w:after="0" w:line="240" w:lineRule="auto"/>
      </w:pPr>
    </w:p>
    <w:p w14:paraId="1FAA432B" w14:textId="77777777" w:rsidR="006D7EB9" w:rsidRDefault="006D7EB9" w:rsidP="006D7EB9">
      <w:pPr>
        <w:pStyle w:val="Caption"/>
      </w:pPr>
      <w:bookmarkStart w:id="545" w:name="_Ref412450937"/>
      <w:bookmarkStart w:id="546" w:name="_Toc418179486"/>
      <w:r>
        <w:lastRenderedPageBreak/>
        <w:t xml:space="preserve">Table </w:t>
      </w:r>
      <w:fldSimple w:instr=" SEQ Table \* ARABIC ">
        <w:r w:rsidR="00BB0E3E">
          <w:rPr>
            <w:noProof/>
          </w:rPr>
          <w:t>89</w:t>
        </w:r>
      </w:fldSimple>
      <w:bookmarkEnd w:id="545"/>
      <w:r>
        <w:tab/>
      </w:r>
      <w:r w:rsidRPr="00106AA7">
        <w:t>Diagnostic accuracy of DNA sequencing compared with clinical diagnosis in CF patients</w:t>
      </w:r>
      <w:bookmarkEnd w:id="546"/>
    </w:p>
    <w:tbl>
      <w:tblPr>
        <w:tblStyle w:val="TableGrid25"/>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DNA sequencing compared with clinical diagnosis in CF patients"/>
      </w:tblPr>
      <w:tblGrid>
        <w:gridCol w:w="1182"/>
        <w:gridCol w:w="1432"/>
        <w:gridCol w:w="1914"/>
        <w:gridCol w:w="3091"/>
        <w:gridCol w:w="1468"/>
        <w:gridCol w:w="921"/>
        <w:gridCol w:w="921"/>
        <w:gridCol w:w="921"/>
        <w:gridCol w:w="921"/>
        <w:gridCol w:w="1617"/>
      </w:tblGrid>
      <w:tr w:rsidR="006D7EB9" w:rsidRPr="006D7EB9" w14:paraId="383B60AA" w14:textId="77777777" w:rsidTr="00935F84">
        <w:trPr>
          <w:tblHeader/>
        </w:trPr>
        <w:tc>
          <w:tcPr>
            <w:tcW w:w="411" w:type="pct"/>
          </w:tcPr>
          <w:p w14:paraId="595D3213" w14:textId="07BC0988"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Study</w:t>
            </w:r>
            <w:r w:rsidR="00D62676">
              <w:rPr>
                <w:rFonts w:ascii="Arial Narrow" w:eastAsiaTheme="minorHAnsi" w:hAnsi="Arial Narrow" w:cstheme="minorHAnsi"/>
                <w:b/>
                <w:sz w:val="20"/>
                <w:szCs w:val="20"/>
                <w:lang w:eastAsia="en-US"/>
              </w:rPr>
              <w:br/>
            </w:r>
            <w:r w:rsidRPr="006D7EB9">
              <w:rPr>
                <w:rFonts w:ascii="Arial Narrow" w:eastAsiaTheme="minorHAnsi" w:hAnsi="Arial Narrow" w:cstheme="minorHAnsi"/>
                <w:b/>
                <w:sz w:val="20"/>
                <w:szCs w:val="20"/>
                <w:lang w:eastAsia="en-US"/>
              </w:rPr>
              <w:t>Country</w:t>
            </w:r>
          </w:p>
        </w:tc>
        <w:tc>
          <w:tcPr>
            <w:tcW w:w="498" w:type="pct"/>
          </w:tcPr>
          <w:p w14:paraId="6756F16B" w14:textId="77777777"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Evidence level and risk of bias</w:t>
            </w:r>
          </w:p>
        </w:tc>
        <w:tc>
          <w:tcPr>
            <w:tcW w:w="665" w:type="pct"/>
          </w:tcPr>
          <w:p w14:paraId="0D789301" w14:textId="77777777" w:rsidR="006D7EB9" w:rsidRPr="006D7EB9" w:rsidRDefault="006D7EB9"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Population</w:t>
            </w:r>
          </w:p>
        </w:tc>
        <w:tc>
          <w:tcPr>
            <w:tcW w:w="1074" w:type="pct"/>
          </w:tcPr>
          <w:p w14:paraId="65AC4DE0" w14:textId="77777777" w:rsidR="006D7EB9" w:rsidRPr="006D7EB9" w:rsidRDefault="006D7EB9"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Tests</w:t>
            </w:r>
          </w:p>
        </w:tc>
        <w:tc>
          <w:tcPr>
            <w:tcW w:w="510" w:type="pct"/>
          </w:tcPr>
          <w:p w14:paraId="1E347347" w14:textId="77777777" w:rsidR="006D7EB9" w:rsidRPr="006D7EB9" w:rsidRDefault="006D7EB9" w:rsidP="004566DC">
            <w:pPr>
              <w:keepNext/>
              <w:spacing w:after="40" w:line="240" w:lineRule="auto"/>
              <w:ind w:left="-57" w:right="-57"/>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Number of mutations detected</w:t>
            </w:r>
          </w:p>
        </w:tc>
        <w:tc>
          <w:tcPr>
            <w:tcW w:w="320" w:type="pct"/>
          </w:tcPr>
          <w:p w14:paraId="5D3729A8"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True-positive results</w:t>
            </w:r>
          </w:p>
        </w:tc>
        <w:tc>
          <w:tcPr>
            <w:tcW w:w="320" w:type="pct"/>
          </w:tcPr>
          <w:p w14:paraId="2845FB15"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False-positive results</w:t>
            </w:r>
          </w:p>
        </w:tc>
        <w:tc>
          <w:tcPr>
            <w:tcW w:w="320" w:type="pct"/>
          </w:tcPr>
          <w:p w14:paraId="1FBE216F"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False-negative results</w:t>
            </w:r>
          </w:p>
        </w:tc>
        <w:tc>
          <w:tcPr>
            <w:tcW w:w="320" w:type="pct"/>
          </w:tcPr>
          <w:p w14:paraId="5C1559C4"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True-negative results</w:t>
            </w:r>
          </w:p>
        </w:tc>
        <w:tc>
          <w:tcPr>
            <w:tcW w:w="562" w:type="pct"/>
          </w:tcPr>
          <w:p w14:paraId="3A21A81E" w14:textId="77777777" w:rsidR="006D7EB9" w:rsidRPr="006D7EB9" w:rsidRDefault="006D7EB9" w:rsidP="006D7EB9">
            <w:pPr>
              <w:keepNext/>
              <w:tabs>
                <w:tab w:val="left" w:pos="746"/>
              </w:tabs>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Accuracy</w:t>
            </w:r>
          </w:p>
        </w:tc>
      </w:tr>
      <w:tr w:rsidR="006D7EB9" w:rsidRPr="006D7EB9" w14:paraId="4D11690E" w14:textId="77777777" w:rsidTr="00935F84">
        <w:trPr>
          <w:trHeight w:val="230"/>
        </w:trPr>
        <w:tc>
          <w:tcPr>
            <w:tcW w:w="411" w:type="pct"/>
            <w:shd w:val="clear" w:color="auto" w:fill="auto"/>
          </w:tcPr>
          <w:p w14:paraId="58F82476"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Strom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429BA061"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USA</w:t>
            </w:r>
          </w:p>
        </w:tc>
        <w:tc>
          <w:tcPr>
            <w:tcW w:w="498" w:type="pct"/>
            <w:shd w:val="clear" w:color="auto" w:fill="auto"/>
          </w:tcPr>
          <w:p w14:paraId="67647716"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III-1</w:t>
            </w:r>
          </w:p>
          <w:p w14:paraId="14397CA2"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Low risk of bias</w:t>
            </w:r>
          </w:p>
        </w:tc>
        <w:tc>
          <w:tcPr>
            <w:tcW w:w="665" w:type="pct"/>
            <w:shd w:val="clear" w:color="auto" w:fill="auto"/>
          </w:tcPr>
          <w:p w14:paraId="7C6F0D11" w14:textId="53C65EFA" w:rsidR="006D7EB9" w:rsidRPr="006D7EB9" w:rsidRDefault="006D7EB9" w:rsidP="004566DC">
            <w:pPr>
              <w:tabs>
                <w:tab w:val="left" w:pos="89"/>
              </w:tabs>
              <w:spacing w:after="4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N=14</w:t>
            </w:r>
            <w:r w:rsidR="00B86899">
              <w:rPr>
                <w:rFonts w:ascii="Arial Narrow" w:hAnsi="Arial Narrow" w:cs="Times New Roman"/>
                <w:sz w:val="20"/>
                <w:szCs w:val="20"/>
                <w:lang w:eastAsia="en-US"/>
              </w:rPr>
              <w:t xml:space="preserve"> </w:t>
            </w:r>
            <w:r w:rsidRPr="006D7EB9">
              <w:rPr>
                <w:rFonts w:ascii="Arial Narrow" w:hAnsi="Arial Narrow" w:cs="Times New Roman"/>
                <w:sz w:val="20"/>
                <w:szCs w:val="20"/>
                <w:lang w:eastAsia="en-US"/>
              </w:rPr>
              <w:t>chromosomes from 7 confirmed CF patients</w:t>
            </w:r>
          </w:p>
        </w:tc>
        <w:tc>
          <w:tcPr>
            <w:tcW w:w="1074" w:type="pct"/>
          </w:tcPr>
          <w:p w14:paraId="4B554A8C" w14:textId="7C367BFA"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Automated DNA sequence analysis</w:t>
            </w:r>
            <w:r w:rsidR="00D62676">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 xml:space="preserve"> based assay</w:t>
            </w:r>
          </w:p>
        </w:tc>
        <w:tc>
          <w:tcPr>
            <w:tcW w:w="510" w:type="pct"/>
          </w:tcPr>
          <w:p w14:paraId="2219C2FD"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991</w:t>
            </w:r>
          </w:p>
        </w:tc>
        <w:tc>
          <w:tcPr>
            <w:tcW w:w="320" w:type="pct"/>
            <w:shd w:val="clear" w:color="auto" w:fill="auto"/>
          </w:tcPr>
          <w:p w14:paraId="515A2D7D"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13</w:t>
            </w:r>
          </w:p>
        </w:tc>
        <w:tc>
          <w:tcPr>
            <w:tcW w:w="320" w:type="pct"/>
            <w:shd w:val="clear" w:color="auto" w:fill="auto"/>
          </w:tcPr>
          <w:p w14:paraId="0B8FFC7D"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2DD6065A"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 (7%)</w:t>
            </w:r>
          </w:p>
        </w:tc>
        <w:tc>
          <w:tcPr>
            <w:tcW w:w="320" w:type="pct"/>
            <w:shd w:val="clear" w:color="auto" w:fill="auto"/>
          </w:tcPr>
          <w:p w14:paraId="06BE745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53826960" w14:textId="77777777" w:rsidR="006D7EB9" w:rsidRPr="006D7EB9" w:rsidRDefault="006D7EB9" w:rsidP="006D7EB9">
            <w:pPr>
              <w:tabs>
                <w:tab w:val="left" w:pos="746"/>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93%</w:t>
            </w:r>
          </w:p>
        </w:tc>
      </w:tr>
      <w:tr w:rsidR="006D7EB9" w:rsidRPr="006D7EB9" w14:paraId="5FA24FA3" w14:textId="77777777" w:rsidTr="00935F84">
        <w:trPr>
          <w:trHeight w:val="230"/>
        </w:trPr>
        <w:tc>
          <w:tcPr>
            <w:tcW w:w="411" w:type="pct"/>
            <w:shd w:val="clear" w:color="auto" w:fill="auto"/>
          </w:tcPr>
          <w:p w14:paraId="2FF82E7B" w14:textId="77777777" w:rsidR="006D7EB9" w:rsidRPr="006D7EB9" w:rsidRDefault="006D7EB9" w:rsidP="004566DC">
            <w:pPr>
              <w:keepNext/>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Bickmann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2009</w:t>
            </w:r>
            <w:r w:rsidR="00B32459">
              <w:rPr>
                <w:rFonts w:ascii="Arial Narrow" w:eastAsiaTheme="minorHAnsi" w:hAnsi="Arial Narrow" w:cstheme="minorHAnsi"/>
                <w:sz w:val="20"/>
                <w:szCs w:val="20"/>
                <w:lang w:eastAsia="en-US"/>
              </w:rPr>
              <w:t>)</w:t>
            </w:r>
          </w:p>
          <w:p w14:paraId="5F1BE9D7" w14:textId="77777777" w:rsidR="006D7EB9" w:rsidRPr="006D7EB9" w:rsidRDefault="006D7EB9" w:rsidP="004566DC">
            <w:pPr>
              <w:keepNext/>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Germany</w:t>
            </w:r>
          </w:p>
        </w:tc>
        <w:tc>
          <w:tcPr>
            <w:tcW w:w="498" w:type="pct"/>
            <w:shd w:val="clear" w:color="auto" w:fill="auto"/>
          </w:tcPr>
          <w:p w14:paraId="4CE6D00C" w14:textId="77777777" w:rsidR="006D7EB9" w:rsidRPr="006D7EB9" w:rsidRDefault="006D7EB9" w:rsidP="004566DC">
            <w:pPr>
              <w:keepNext/>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4DC82843" w14:textId="77777777" w:rsidR="006D7EB9" w:rsidRPr="006D7EB9" w:rsidRDefault="006D7EB9" w:rsidP="004566DC">
            <w:pPr>
              <w:keepNext/>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Low risk of bias</w:t>
            </w:r>
          </w:p>
        </w:tc>
        <w:tc>
          <w:tcPr>
            <w:tcW w:w="665" w:type="pct"/>
            <w:shd w:val="clear" w:color="auto" w:fill="auto"/>
          </w:tcPr>
          <w:p w14:paraId="12BD6C42" w14:textId="513F19E2" w:rsidR="006D7EB9" w:rsidRPr="006D7EB9" w:rsidRDefault="006D7EB9" w:rsidP="004566DC">
            <w:pPr>
              <w:keepNext/>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imes New Roman"/>
                <w:sz w:val="20"/>
                <w:szCs w:val="20"/>
                <w:lang w:eastAsia="en-US"/>
              </w:rPr>
              <w:t>N=184</w:t>
            </w:r>
            <w:r w:rsidR="00B86899">
              <w:rPr>
                <w:rFonts w:ascii="Arial Narrow" w:eastAsiaTheme="minorHAnsi" w:hAnsi="Arial Narrow" w:cs="Times New Roman"/>
                <w:sz w:val="20"/>
                <w:szCs w:val="20"/>
                <w:lang w:eastAsia="en-US"/>
              </w:rPr>
              <w:t xml:space="preserve"> </w:t>
            </w:r>
            <w:r w:rsidRPr="006D7EB9">
              <w:rPr>
                <w:rFonts w:ascii="Arial Narrow" w:eastAsiaTheme="minorHAnsi" w:hAnsi="Arial Narrow" w:cs="Times New Roman"/>
                <w:sz w:val="20"/>
                <w:szCs w:val="20"/>
                <w:lang w:eastAsia="en-US"/>
              </w:rPr>
              <w:t>chromosomes</w:t>
            </w:r>
            <w:r w:rsidRPr="006D7EB9">
              <w:rPr>
                <w:rFonts w:ascii="Arial Narrow" w:eastAsiaTheme="minorHAnsi" w:hAnsi="Arial Narrow" w:cstheme="minorHAnsi"/>
                <w:sz w:val="20"/>
                <w:szCs w:val="20"/>
                <w:lang w:eastAsia="en-US"/>
              </w:rPr>
              <w:t xml:space="preserve"> from 92 CF patients</w:t>
            </w:r>
          </w:p>
        </w:tc>
        <w:tc>
          <w:tcPr>
            <w:tcW w:w="1074" w:type="pct"/>
          </w:tcPr>
          <w:p w14:paraId="07EED242" w14:textId="77777777" w:rsidR="006D7EB9" w:rsidRPr="006D7EB9" w:rsidRDefault="006D7EB9" w:rsidP="004566DC">
            <w:pPr>
              <w:keepNext/>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Pyrosequencing panel assay</w:t>
            </w:r>
          </w:p>
          <w:p w14:paraId="7004DCE1" w14:textId="77777777" w:rsidR="006D7EB9" w:rsidRPr="006D7EB9" w:rsidRDefault="006D7EB9" w:rsidP="004566DC">
            <w:pPr>
              <w:keepNext/>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Pyrosequencing plus conventional DNA sequencing</w:t>
            </w:r>
          </w:p>
        </w:tc>
        <w:tc>
          <w:tcPr>
            <w:tcW w:w="510" w:type="pct"/>
          </w:tcPr>
          <w:p w14:paraId="059A98B5" w14:textId="77777777" w:rsidR="006D7EB9" w:rsidRPr="006D7EB9" w:rsidRDefault="006D7EB9" w:rsidP="004566DC">
            <w:pPr>
              <w:keepNext/>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46</w:t>
            </w:r>
          </w:p>
          <w:p w14:paraId="16E0F9B3" w14:textId="1CD04636" w:rsidR="006D7EB9" w:rsidRPr="006D7EB9" w:rsidRDefault="006D7EB9" w:rsidP="004566DC">
            <w:pPr>
              <w:keepNext/>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xml:space="preserve">All 27 </w:t>
            </w:r>
            <w:r w:rsidR="00FD37D3" w:rsidRPr="00FD37D3">
              <w:rPr>
                <w:rFonts w:ascii="Arial Narrow" w:eastAsiaTheme="minorHAnsi" w:hAnsi="Arial Narrow" w:cs="Times New Roman"/>
                <w:sz w:val="20"/>
                <w:szCs w:val="20"/>
                <w:lang w:eastAsia="en-US"/>
              </w:rPr>
              <w:t>CFTR</w:t>
            </w:r>
            <w:r w:rsidRPr="006D7EB9">
              <w:rPr>
                <w:rFonts w:ascii="Arial Narrow" w:eastAsiaTheme="minorHAnsi" w:hAnsi="Arial Narrow" w:cs="Times New Roman"/>
                <w:sz w:val="20"/>
                <w:szCs w:val="20"/>
                <w:lang w:eastAsia="en-US"/>
              </w:rPr>
              <w:t xml:space="preserve"> exons including splice sites</w:t>
            </w:r>
          </w:p>
        </w:tc>
        <w:tc>
          <w:tcPr>
            <w:tcW w:w="320" w:type="pct"/>
            <w:shd w:val="clear" w:color="auto" w:fill="auto"/>
          </w:tcPr>
          <w:p w14:paraId="4FD8065E"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158</w:t>
            </w:r>
          </w:p>
          <w:p w14:paraId="2D7922C9"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183</w:t>
            </w:r>
          </w:p>
        </w:tc>
        <w:tc>
          <w:tcPr>
            <w:tcW w:w="320" w:type="pct"/>
            <w:shd w:val="clear" w:color="auto" w:fill="auto"/>
          </w:tcPr>
          <w:p w14:paraId="1B383C4F"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576E5A85"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3F938685"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26 (14%)</w:t>
            </w:r>
          </w:p>
          <w:p w14:paraId="199C6CDE"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 (1%)</w:t>
            </w:r>
          </w:p>
        </w:tc>
        <w:tc>
          <w:tcPr>
            <w:tcW w:w="320" w:type="pct"/>
            <w:shd w:val="clear" w:color="auto" w:fill="auto"/>
          </w:tcPr>
          <w:p w14:paraId="21093E3E"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p w14:paraId="7AA58FD6"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3C8BF13D" w14:textId="77777777" w:rsidR="006D7EB9" w:rsidRPr="006D7EB9" w:rsidRDefault="006D7EB9" w:rsidP="006D7EB9">
            <w:pPr>
              <w:keepNext/>
              <w:tabs>
                <w:tab w:val="left" w:pos="883"/>
              </w:tabs>
              <w:spacing w:after="40" w:line="240" w:lineRule="auto"/>
              <w:ind w:right="-57"/>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86%</w:t>
            </w:r>
          </w:p>
          <w:p w14:paraId="5FB28B99" w14:textId="77777777" w:rsidR="006D7EB9" w:rsidRPr="006D7EB9" w:rsidRDefault="006D7EB9" w:rsidP="006D7EB9">
            <w:pPr>
              <w:keepNext/>
              <w:tabs>
                <w:tab w:val="left" w:pos="883"/>
              </w:tabs>
              <w:spacing w:after="40" w:line="240" w:lineRule="auto"/>
              <w:ind w:right="-57"/>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99.5%</w:t>
            </w:r>
          </w:p>
        </w:tc>
      </w:tr>
      <w:tr w:rsidR="006D7EB9" w:rsidRPr="006D7EB9" w14:paraId="10AFFBD0" w14:textId="77777777" w:rsidTr="00935F84">
        <w:trPr>
          <w:trHeight w:val="230"/>
        </w:trPr>
        <w:tc>
          <w:tcPr>
            <w:tcW w:w="411" w:type="pct"/>
            <w:shd w:val="clear" w:color="auto" w:fill="auto"/>
          </w:tcPr>
          <w:p w14:paraId="70D5FEF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Kanavakis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5CA47439"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Greece</w:t>
            </w:r>
          </w:p>
        </w:tc>
        <w:tc>
          <w:tcPr>
            <w:tcW w:w="498" w:type="pct"/>
            <w:shd w:val="clear" w:color="auto" w:fill="auto"/>
          </w:tcPr>
          <w:p w14:paraId="2C0B84A7"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50ECBB41"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665" w:type="pct"/>
            <w:shd w:val="clear" w:color="auto" w:fill="auto"/>
          </w:tcPr>
          <w:p w14:paraId="24D89C7C" w14:textId="11CD8F51" w:rsidR="006D7EB9" w:rsidRPr="006D7EB9" w:rsidRDefault="006D7EB9" w:rsidP="004566DC">
            <w:pPr>
              <w:tabs>
                <w:tab w:val="left" w:pos="89"/>
              </w:tabs>
              <w:spacing w:after="4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N=874 chromosomes from 437 CF patients</w:t>
            </w:r>
          </w:p>
        </w:tc>
        <w:tc>
          <w:tcPr>
            <w:tcW w:w="1074" w:type="pct"/>
          </w:tcPr>
          <w:p w14:paraId="24F7FBCB" w14:textId="77777777" w:rsidR="006D7EB9" w:rsidRPr="006D7EB9" w:rsidRDefault="006D7EB9" w:rsidP="004566DC">
            <w:pPr>
              <w:tabs>
                <w:tab w:val="left" w:pos="746"/>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DGGE plus DNA sequencing</w:t>
            </w:r>
          </w:p>
        </w:tc>
        <w:tc>
          <w:tcPr>
            <w:tcW w:w="510" w:type="pct"/>
          </w:tcPr>
          <w:p w14:paraId="58835DCE" w14:textId="7CD0DAE0" w:rsidR="006D7EB9" w:rsidRPr="006D7EB9" w:rsidRDefault="006D7EB9" w:rsidP="004566DC">
            <w:pPr>
              <w:spacing w:after="40" w:line="240" w:lineRule="auto"/>
              <w:ind w:right="-57"/>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All 27 exons and their exon</w:t>
            </w:r>
            <w:r w:rsidR="0081298F">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intron boundaries</w:t>
            </w:r>
          </w:p>
        </w:tc>
        <w:tc>
          <w:tcPr>
            <w:tcW w:w="320" w:type="pct"/>
            <w:shd w:val="clear" w:color="auto" w:fill="auto"/>
          </w:tcPr>
          <w:p w14:paraId="42B2977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794</w:t>
            </w:r>
          </w:p>
        </w:tc>
        <w:tc>
          <w:tcPr>
            <w:tcW w:w="320" w:type="pct"/>
            <w:shd w:val="clear" w:color="auto" w:fill="auto"/>
          </w:tcPr>
          <w:p w14:paraId="586A15E2"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78D674E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80 (9%)</w:t>
            </w:r>
          </w:p>
        </w:tc>
        <w:tc>
          <w:tcPr>
            <w:tcW w:w="320" w:type="pct"/>
            <w:shd w:val="clear" w:color="auto" w:fill="auto"/>
          </w:tcPr>
          <w:p w14:paraId="564F16FC"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33319864" w14:textId="77777777" w:rsidR="006D7EB9" w:rsidRPr="006D7EB9" w:rsidRDefault="006D7EB9" w:rsidP="006D7EB9">
            <w:pPr>
              <w:tabs>
                <w:tab w:val="left" w:pos="746"/>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91%</w:t>
            </w:r>
          </w:p>
        </w:tc>
      </w:tr>
      <w:tr w:rsidR="006D7EB9" w:rsidRPr="006D7EB9" w14:paraId="6D41277B" w14:textId="77777777" w:rsidTr="00935F84">
        <w:trPr>
          <w:cantSplit/>
          <w:trHeight w:val="230"/>
        </w:trPr>
        <w:tc>
          <w:tcPr>
            <w:tcW w:w="411" w:type="pct"/>
            <w:shd w:val="clear" w:color="auto" w:fill="auto"/>
          </w:tcPr>
          <w:p w14:paraId="4A5C18FA"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Bonizzato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1995</w:t>
            </w:r>
            <w:r w:rsidR="00B32459">
              <w:rPr>
                <w:rFonts w:ascii="Arial Narrow" w:eastAsiaTheme="minorHAnsi" w:hAnsi="Arial Narrow" w:cstheme="minorHAnsi"/>
                <w:sz w:val="20"/>
                <w:szCs w:val="20"/>
                <w:lang w:eastAsia="en-US"/>
              </w:rPr>
              <w:t>)</w:t>
            </w:r>
          </w:p>
          <w:p w14:paraId="4A37146C"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Gasparini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1993</w:t>
            </w:r>
            <w:r w:rsidR="00B32459">
              <w:rPr>
                <w:rFonts w:ascii="Arial Narrow" w:eastAsiaTheme="minorHAnsi" w:hAnsi="Arial Narrow" w:cstheme="minorHAnsi"/>
                <w:sz w:val="20"/>
                <w:szCs w:val="20"/>
                <w:lang w:eastAsia="en-US"/>
              </w:rPr>
              <w:t>)</w:t>
            </w:r>
          </w:p>
          <w:p w14:paraId="3E1758C3"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Italy</w:t>
            </w:r>
          </w:p>
        </w:tc>
        <w:tc>
          <w:tcPr>
            <w:tcW w:w="498" w:type="pct"/>
            <w:shd w:val="clear" w:color="auto" w:fill="auto"/>
          </w:tcPr>
          <w:p w14:paraId="20B50F67"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5D1C9EBC"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665" w:type="pct"/>
            <w:shd w:val="clear" w:color="auto" w:fill="auto"/>
          </w:tcPr>
          <w:p w14:paraId="2E02749B" w14:textId="15FFC57C"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N=225 chromosomes from 133 CF patients</w:t>
            </w:r>
          </w:p>
        </w:tc>
        <w:tc>
          <w:tcPr>
            <w:tcW w:w="1074" w:type="pct"/>
          </w:tcPr>
          <w:p w14:paraId="2F401DC6" w14:textId="77777777"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RFLP, RNA-SSCP or DGGE and DNA sequencing</w:t>
            </w:r>
          </w:p>
        </w:tc>
        <w:tc>
          <w:tcPr>
            <w:tcW w:w="510" w:type="pct"/>
          </w:tcPr>
          <w:p w14:paraId="49C30900" w14:textId="77777777" w:rsidR="006D7EB9" w:rsidRPr="006D7EB9" w:rsidRDefault="006D7EB9" w:rsidP="004566DC">
            <w:pPr>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99</w:t>
            </w:r>
          </w:p>
        </w:tc>
        <w:tc>
          <w:tcPr>
            <w:tcW w:w="320" w:type="pct"/>
            <w:shd w:val="clear" w:color="auto" w:fill="auto"/>
          </w:tcPr>
          <w:p w14:paraId="5A3D1732"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203</w:t>
            </w:r>
          </w:p>
        </w:tc>
        <w:tc>
          <w:tcPr>
            <w:tcW w:w="320" w:type="pct"/>
            <w:shd w:val="clear" w:color="auto" w:fill="auto"/>
          </w:tcPr>
          <w:p w14:paraId="74AFBCF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14F14DD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22 (10%)</w:t>
            </w:r>
          </w:p>
        </w:tc>
        <w:tc>
          <w:tcPr>
            <w:tcW w:w="320" w:type="pct"/>
            <w:shd w:val="clear" w:color="auto" w:fill="auto"/>
          </w:tcPr>
          <w:p w14:paraId="0843D932"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2DF00D76" w14:textId="77777777" w:rsidR="006D7EB9" w:rsidRPr="006D7EB9" w:rsidRDefault="006D7EB9" w:rsidP="006D7EB9">
            <w:pPr>
              <w:tabs>
                <w:tab w:val="left" w:pos="883"/>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90%</w:t>
            </w:r>
          </w:p>
        </w:tc>
      </w:tr>
    </w:tbl>
    <w:p w14:paraId="77947BB0" w14:textId="7369B32A" w:rsidR="006D7EB9" w:rsidRDefault="006D7EB9" w:rsidP="004566DC">
      <w:pPr>
        <w:spacing w:before="40" w:line="240" w:lineRule="auto"/>
        <w:ind w:right="-57"/>
        <w:jc w:val="left"/>
        <w:rPr>
          <w:rFonts w:ascii="Arial Narrow" w:hAnsi="Arial Narrow"/>
          <w:sz w:val="20"/>
          <w:szCs w:val="20"/>
        </w:rPr>
      </w:pPr>
      <w:r w:rsidRPr="006D7EB9">
        <w:rPr>
          <w:rFonts w:ascii="Arial Narrow" w:hAnsi="Arial Narrow"/>
          <w:sz w:val="20"/>
          <w:szCs w:val="20"/>
        </w:rPr>
        <w:t xml:space="preserve">CF = cystic fibrosis; </w:t>
      </w:r>
      <w:r w:rsidR="00D81A6B" w:rsidRPr="00FD37D3">
        <w:rPr>
          <w:rFonts w:ascii="Arial Narrow" w:hAnsi="Arial Narrow"/>
          <w:sz w:val="20"/>
          <w:szCs w:val="20"/>
        </w:rPr>
        <w:t>CFTR</w:t>
      </w:r>
      <w:r w:rsidR="00D81A6B" w:rsidRPr="006D7EB9">
        <w:rPr>
          <w:rFonts w:ascii="Arial Narrow" w:hAnsi="Arial Narrow"/>
          <w:sz w:val="20"/>
          <w:szCs w:val="20"/>
        </w:rPr>
        <w:t xml:space="preserve"> = cystic fibrosis transmembrane conductance regulator;</w:t>
      </w:r>
      <w:r w:rsidR="00D81A6B">
        <w:rPr>
          <w:rFonts w:ascii="Arial Narrow" w:hAnsi="Arial Narrow"/>
          <w:sz w:val="20"/>
          <w:szCs w:val="20"/>
        </w:rPr>
        <w:t xml:space="preserve"> </w:t>
      </w:r>
      <w:r w:rsidRPr="006D7EB9">
        <w:rPr>
          <w:rFonts w:ascii="Arial Narrow" w:hAnsi="Arial Narrow"/>
          <w:sz w:val="20"/>
          <w:szCs w:val="20"/>
        </w:rPr>
        <w:t>DGGE = denaturing gradient gel electrophoresis; DNA = deoxyribonucleic acid; RFLP = restriction fragment length polymorphism; RNA = ribonucleic acid; SSCP = single-stranded conformation polymorphism</w:t>
      </w:r>
    </w:p>
    <w:p w14:paraId="1659FF42" w14:textId="7D223438" w:rsidR="006D7EB9" w:rsidRDefault="006D7EB9" w:rsidP="006D7EB9">
      <w:pPr>
        <w:pStyle w:val="Caption"/>
      </w:pPr>
      <w:bookmarkStart w:id="547" w:name="_Ref412451421"/>
      <w:bookmarkStart w:id="548" w:name="_Toc418179487"/>
      <w:r>
        <w:t xml:space="preserve">Table </w:t>
      </w:r>
      <w:fldSimple w:instr=" SEQ Table \* ARABIC ">
        <w:r w:rsidR="00BB0E3E">
          <w:rPr>
            <w:noProof/>
          </w:rPr>
          <w:t>90</w:t>
        </w:r>
      </w:fldSimple>
      <w:bookmarkEnd w:id="547"/>
      <w:r>
        <w:tab/>
      </w:r>
      <w:r w:rsidRPr="009E0F10">
        <w:t xml:space="preserve">Diagnostic accuracy of </w:t>
      </w:r>
      <w:r w:rsidR="00FD37D3" w:rsidRPr="00FD37D3">
        <w:t>CFTR</w:t>
      </w:r>
      <w:r w:rsidRPr="009E0F10">
        <w:t xml:space="preserve"> mutation testing compared with clinical diagnosis in CF patients</w:t>
      </w:r>
      <w:bookmarkEnd w:id="548"/>
    </w:p>
    <w:tbl>
      <w:tblPr>
        <w:tblStyle w:val="TableGrid26"/>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clinical diagnosis in CF patients"/>
      </w:tblPr>
      <w:tblGrid>
        <w:gridCol w:w="1184"/>
        <w:gridCol w:w="1284"/>
        <w:gridCol w:w="2060"/>
        <w:gridCol w:w="3091"/>
        <w:gridCol w:w="1468"/>
        <w:gridCol w:w="921"/>
        <w:gridCol w:w="921"/>
        <w:gridCol w:w="921"/>
        <w:gridCol w:w="921"/>
        <w:gridCol w:w="1617"/>
      </w:tblGrid>
      <w:tr w:rsidR="006D7EB9" w:rsidRPr="006D7EB9" w14:paraId="283CDD15" w14:textId="77777777" w:rsidTr="00935F84">
        <w:trPr>
          <w:tblHeader/>
        </w:trPr>
        <w:tc>
          <w:tcPr>
            <w:tcW w:w="411" w:type="pct"/>
          </w:tcPr>
          <w:p w14:paraId="0D473331" w14:textId="390B52C3"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Study</w:t>
            </w:r>
            <w:r w:rsidR="00C02B99">
              <w:rPr>
                <w:rFonts w:ascii="Arial Narrow" w:eastAsiaTheme="minorHAnsi" w:hAnsi="Arial Narrow" w:cstheme="minorHAnsi"/>
                <w:b/>
                <w:sz w:val="20"/>
                <w:szCs w:val="20"/>
                <w:lang w:eastAsia="en-US"/>
              </w:rPr>
              <w:br/>
            </w:r>
            <w:r w:rsidRPr="006D7EB9">
              <w:rPr>
                <w:rFonts w:ascii="Arial Narrow" w:eastAsiaTheme="minorHAnsi" w:hAnsi="Arial Narrow" w:cstheme="minorHAnsi"/>
                <w:b/>
                <w:sz w:val="20"/>
                <w:szCs w:val="20"/>
                <w:lang w:eastAsia="en-US"/>
              </w:rPr>
              <w:t>Country</w:t>
            </w:r>
          </w:p>
        </w:tc>
        <w:tc>
          <w:tcPr>
            <w:tcW w:w="446" w:type="pct"/>
          </w:tcPr>
          <w:p w14:paraId="7F83A634" w14:textId="77777777"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Evidence level and risk of bias</w:t>
            </w:r>
          </w:p>
        </w:tc>
        <w:tc>
          <w:tcPr>
            <w:tcW w:w="716" w:type="pct"/>
          </w:tcPr>
          <w:p w14:paraId="788C1D10" w14:textId="77777777" w:rsidR="006D7EB9" w:rsidRPr="006D7EB9" w:rsidRDefault="006D7EB9"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Population</w:t>
            </w:r>
          </w:p>
        </w:tc>
        <w:tc>
          <w:tcPr>
            <w:tcW w:w="1074" w:type="pct"/>
          </w:tcPr>
          <w:p w14:paraId="3243D88A" w14:textId="77777777" w:rsidR="006D7EB9" w:rsidRPr="006D7EB9" w:rsidRDefault="006D7EB9"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Tests</w:t>
            </w:r>
          </w:p>
        </w:tc>
        <w:tc>
          <w:tcPr>
            <w:tcW w:w="510" w:type="pct"/>
          </w:tcPr>
          <w:p w14:paraId="6FD6E4FF" w14:textId="77777777" w:rsidR="006D7EB9" w:rsidRPr="006D7EB9" w:rsidRDefault="006D7EB9" w:rsidP="006D7EB9">
            <w:pPr>
              <w:keepNext/>
              <w:spacing w:after="40" w:line="240" w:lineRule="auto"/>
              <w:ind w:left="-57" w:right="-57"/>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Number of mutations detected</w:t>
            </w:r>
          </w:p>
        </w:tc>
        <w:tc>
          <w:tcPr>
            <w:tcW w:w="320" w:type="pct"/>
          </w:tcPr>
          <w:p w14:paraId="221BF3B0"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True-positive results</w:t>
            </w:r>
          </w:p>
        </w:tc>
        <w:tc>
          <w:tcPr>
            <w:tcW w:w="320" w:type="pct"/>
          </w:tcPr>
          <w:p w14:paraId="256073E4"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False-positive results</w:t>
            </w:r>
          </w:p>
        </w:tc>
        <w:tc>
          <w:tcPr>
            <w:tcW w:w="320" w:type="pct"/>
          </w:tcPr>
          <w:p w14:paraId="004ABA37"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False-negative results</w:t>
            </w:r>
          </w:p>
        </w:tc>
        <w:tc>
          <w:tcPr>
            <w:tcW w:w="320" w:type="pct"/>
          </w:tcPr>
          <w:p w14:paraId="4DD66EED"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True-negative results</w:t>
            </w:r>
          </w:p>
        </w:tc>
        <w:tc>
          <w:tcPr>
            <w:tcW w:w="562" w:type="pct"/>
          </w:tcPr>
          <w:p w14:paraId="366A549D" w14:textId="77777777" w:rsidR="006D7EB9" w:rsidRPr="006D7EB9" w:rsidRDefault="006D7EB9" w:rsidP="006D7EB9">
            <w:pPr>
              <w:keepNext/>
              <w:tabs>
                <w:tab w:val="left" w:pos="746"/>
              </w:tabs>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Accuracy</w:t>
            </w:r>
          </w:p>
        </w:tc>
      </w:tr>
      <w:tr w:rsidR="006D7EB9" w:rsidRPr="006D7EB9" w14:paraId="2CD1E2F2" w14:textId="77777777" w:rsidTr="00935F84">
        <w:trPr>
          <w:trHeight w:val="230"/>
        </w:trPr>
        <w:tc>
          <w:tcPr>
            <w:tcW w:w="411" w:type="pct"/>
            <w:shd w:val="clear" w:color="auto" w:fill="auto"/>
          </w:tcPr>
          <w:p w14:paraId="41FA447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Bonizzato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1999</w:t>
            </w:r>
            <w:r w:rsidR="00B32459">
              <w:rPr>
                <w:rFonts w:ascii="Arial Narrow" w:eastAsiaTheme="minorHAnsi" w:hAnsi="Arial Narrow" w:cstheme="minorHAnsi"/>
                <w:sz w:val="20"/>
                <w:szCs w:val="20"/>
                <w:lang w:eastAsia="en-US"/>
              </w:rPr>
              <w:t>)</w:t>
            </w:r>
          </w:p>
          <w:p w14:paraId="39229C1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Italy</w:t>
            </w:r>
          </w:p>
        </w:tc>
        <w:tc>
          <w:tcPr>
            <w:tcW w:w="446" w:type="pct"/>
            <w:shd w:val="clear" w:color="auto" w:fill="auto"/>
          </w:tcPr>
          <w:p w14:paraId="7FCC1EE2"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54C9CB32"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Low risk of bias</w:t>
            </w:r>
          </w:p>
        </w:tc>
        <w:tc>
          <w:tcPr>
            <w:tcW w:w="716" w:type="pct"/>
            <w:shd w:val="clear" w:color="auto" w:fill="auto"/>
          </w:tcPr>
          <w:p w14:paraId="5C852A2F" w14:textId="1047DC39"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N=806 chromosomes from 403 CF patients</w:t>
            </w:r>
          </w:p>
        </w:tc>
        <w:tc>
          <w:tcPr>
            <w:tcW w:w="1074" w:type="pct"/>
          </w:tcPr>
          <w:p w14:paraId="7BB031ED" w14:textId="77777777" w:rsidR="006D7EB9" w:rsidRPr="006D7EB9" w:rsidRDefault="006D7EB9" w:rsidP="004566DC">
            <w:pPr>
              <w:keepNext/>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Reverse dot-blot hybridisation</w:t>
            </w:r>
          </w:p>
        </w:tc>
        <w:tc>
          <w:tcPr>
            <w:tcW w:w="510" w:type="pct"/>
          </w:tcPr>
          <w:p w14:paraId="31783DAC"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15</w:t>
            </w:r>
          </w:p>
        </w:tc>
        <w:tc>
          <w:tcPr>
            <w:tcW w:w="320" w:type="pct"/>
            <w:shd w:val="clear" w:color="auto" w:fill="auto"/>
          </w:tcPr>
          <w:p w14:paraId="6CE2AA9A"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661</w:t>
            </w:r>
          </w:p>
        </w:tc>
        <w:tc>
          <w:tcPr>
            <w:tcW w:w="320" w:type="pct"/>
            <w:shd w:val="clear" w:color="auto" w:fill="auto"/>
          </w:tcPr>
          <w:p w14:paraId="4EB7BBD9"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79AE4EDE" w14:textId="77777777" w:rsidR="006D7EB9" w:rsidRPr="006D7EB9" w:rsidRDefault="006D7EB9" w:rsidP="006D7EB9">
            <w:pPr>
              <w:keepNext/>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145 (18%)</w:t>
            </w:r>
          </w:p>
        </w:tc>
        <w:tc>
          <w:tcPr>
            <w:tcW w:w="320" w:type="pct"/>
            <w:shd w:val="clear" w:color="auto" w:fill="auto"/>
          </w:tcPr>
          <w:p w14:paraId="2F148F1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42C22352" w14:textId="77777777" w:rsidR="006D7EB9" w:rsidRPr="006D7EB9" w:rsidRDefault="006D7EB9" w:rsidP="006D7EB9">
            <w:pPr>
              <w:keepNext/>
              <w:tabs>
                <w:tab w:val="left" w:pos="883"/>
              </w:tabs>
              <w:spacing w:after="40" w:line="240" w:lineRule="auto"/>
              <w:ind w:right="-57"/>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82%</w:t>
            </w:r>
          </w:p>
        </w:tc>
      </w:tr>
      <w:tr w:rsidR="006D7EB9" w:rsidRPr="006D7EB9" w14:paraId="257C2E59" w14:textId="77777777" w:rsidTr="00935F84">
        <w:trPr>
          <w:cantSplit/>
          <w:trHeight w:val="230"/>
        </w:trPr>
        <w:tc>
          <w:tcPr>
            <w:tcW w:w="411" w:type="pct"/>
            <w:shd w:val="clear" w:color="auto" w:fill="auto"/>
          </w:tcPr>
          <w:p w14:paraId="0AFC35C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Lay-Son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2011</w:t>
            </w:r>
            <w:r w:rsidR="00B32459">
              <w:rPr>
                <w:rFonts w:ascii="Arial Narrow" w:eastAsiaTheme="minorHAnsi" w:hAnsi="Arial Narrow" w:cstheme="minorHAnsi"/>
                <w:sz w:val="20"/>
                <w:szCs w:val="20"/>
                <w:lang w:eastAsia="en-US"/>
              </w:rPr>
              <w:t>)</w:t>
            </w:r>
          </w:p>
          <w:p w14:paraId="08A8FC27"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Chile</w:t>
            </w:r>
          </w:p>
        </w:tc>
        <w:tc>
          <w:tcPr>
            <w:tcW w:w="446" w:type="pct"/>
            <w:shd w:val="clear" w:color="auto" w:fill="auto"/>
          </w:tcPr>
          <w:p w14:paraId="55DE0F40"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42FBF519"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Low risk of bias</w:t>
            </w:r>
          </w:p>
        </w:tc>
        <w:tc>
          <w:tcPr>
            <w:tcW w:w="716" w:type="pct"/>
            <w:shd w:val="clear" w:color="auto" w:fill="auto"/>
          </w:tcPr>
          <w:p w14:paraId="56F69AAB" w14:textId="2FD836B2" w:rsidR="006D7EB9" w:rsidRPr="006D7EB9" w:rsidRDefault="006D7EB9" w:rsidP="004566DC">
            <w:pPr>
              <w:tabs>
                <w:tab w:val="left" w:pos="744"/>
              </w:tabs>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N=578 chromosomes from 289 patients with CF</w:t>
            </w:r>
          </w:p>
        </w:tc>
        <w:tc>
          <w:tcPr>
            <w:tcW w:w="1074" w:type="pct"/>
          </w:tcPr>
          <w:p w14:paraId="4D98831D" w14:textId="0272CA1A"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xml:space="preserve">OLA assay or INNO-LiPA </w:t>
            </w:r>
            <w:r w:rsidR="00FD37D3" w:rsidRPr="00FD37D3">
              <w:rPr>
                <w:rFonts w:ascii="Arial Narrow" w:eastAsiaTheme="minorHAnsi" w:hAnsi="Arial Narrow" w:cs="Times New Roman"/>
                <w:sz w:val="20"/>
                <w:szCs w:val="20"/>
                <w:lang w:eastAsia="en-US"/>
              </w:rPr>
              <w:t>CFTR</w:t>
            </w:r>
            <w:r w:rsidRPr="006D7EB9">
              <w:rPr>
                <w:rFonts w:ascii="Arial Narrow" w:eastAsiaTheme="minorHAnsi" w:hAnsi="Arial Narrow" w:cs="Times New Roman"/>
                <w:sz w:val="20"/>
                <w:szCs w:val="20"/>
                <w:lang w:eastAsia="en-US"/>
              </w:rPr>
              <w:t>19/</w:t>
            </w:r>
            <w:r w:rsidR="00FD37D3" w:rsidRPr="00FD37D3">
              <w:rPr>
                <w:rFonts w:ascii="Arial Narrow" w:eastAsiaTheme="minorHAnsi" w:hAnsi="Arial Narrow" w:cs="Times New Roman"/>
                <w:sz w:val="20"/>
                <w:szCs w:val="20"/>
                <w:lang w:eastAsia="en-US"/>
              </w:rPr>
              <w:t>CFTR</w:t>
            </w:r>
            <w:r w:rsidRPr="006D7EB9">
              <w:rPr>
                <w:rFonts w:ascii="Arial Narrow" w:eastAsiaTheme="minorHAnsi" w:hAnsi="Arial Narrow" w:cs="Times New Roman"/>
                <w:sz w:val="20"/>
                <w:szCs w:val="20"/>
                <w:lang w:eastAsia="en-US"/>
              </w:rPr>
              <w:t>17+Tn Update reverse dot</w:t>
            </w:r>
            <w:r w:rsidR="00C02B99">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blot hybridisation</w:t>
            </w:r>
          </w:p>
        </w:tc>
        <w:tc>
          <w:tcPr>
            <w:tcW w:w="510" w:type="pct"/>
          </w:tcPr>
          <w:p w14:paraId="6EEAC61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32 or 36</w:t>
            </w:r>
          </w:p>
        </w:tc>
        <w:tc>
          <w:tcPr>
            <w:tcW w:w="320" w:type="pct"/>
            <w:shd w:val="clear" w:color="auto" w:fill="auto"/>
          </w:tcPr>
          <w:p w14:paraId="3FBDBF3D"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338</w:t>
            </w:r>
          </w:p>
        </w:tc>
        <w:tc>
          <w:tcPr>
            <w:tcW w:w="320" w:type="pct"/>
            <w:shd w:val="clear" w:color="auto" w:fill="auto"/>
          </w:tcPr>
          <w:p w14:paraId="6D5E5635"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571E214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240 (42%)</w:t>
            </w:r>
          </w:p>
        </w:tc>
        <w:tc>
          <w:tcPr>
            <w:tcW w:w="320" w:type="pct"/>
            <w:shd w:val="clear" w:color="auto" w:fill="auto"/>
          </w:tcPr>
          <w:p w14:paraId="39F025C5"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4CE5C325" w14:textId="77777777" w:rsidR="006D7EB9" w:rsidRPr="006D7EB9" w:rsidRDefault="006D7EB9" w:rsidP="006D7EB9">
            <w:pPr>
              <w:tabs>
                <w:tab w:val="left" w:pos="883"/>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59%</w:t>
            </w:r>
          </w:p>
        </w:tc>
      </w:tr>
      <w:tr w:rsidR="006D7EB9" w:rsidRPr="006D7EB9" w14:paraId="69D01621" w14:textId="77777777" w:rsidTr="00935F84">
        <w:trPr>
          <w:cantSplit/>
          <w:trHeight w:val="230"/>
        </w:trPr>
        <w:tc>
          <w:tcPr>
            <w:tcW w:w="411" w:type="pct"/>
            <w:shd w:val="clear" w:color="auto" w:fill="auto"/>
          </w:tcPr>
          <w:p w14:paraId="280ABFE2" w14:textId="08BFF0F6"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lastRenderedPageBreak/>
              <w:t xml:space="preserve">Wall, Cai </w:t>
            </w:r>
            <w:r w:rsidR="00BA6D51">
              <w:rPr>
                <w:rFonts w:ascii="Arial Narrow" w:eastAsiaTheme="minorHAnsi" w:hAnsi="Arial Narrow" w:cstheme="minorHAnsi"/>
                <w:sz w:val="20"/>
                <w:szCs w:val="20"/>
                <w:lang w:eastAsia="en-US"/>
              </w:rPr>
              <w:t>&amp;</w:t>
            </w:r>
            <w:r w:rsidR="00BA6D51" w:rsidRPr="006D7EB9">
              <w:rPr>
                <w:rFonts w:ascii="Arial Narrow" w:eastAsiaTheme="minorHAnsi" w:hAnsi="Arial Narrow" w:cstheme="minorHAnsi"/>
                <w:sz w:val="20"/>
                <w:szCs w:val="20"/>
                <w:lang w:eastAsia="en-US"/>
              </w:rPr>
              <w:t xml:space="preserve"> </w:t>
            </w:r>
            <w:r w:rsidRPr="006D7EB9">
              <w:rPr>
                <w:rFonts w:ascii="Arial Narrow" w:eastAsiaTheme="minorHAnsi" w:hAnsi="Arial Narrow" w:cstheme="minorHAnsi"/>
                <w:sz w:val="20"/>
                <w:szCs w:val="20"/>
                <w:lang w:eastAsia="en-US"/>
              </w:rPr>
              <w:t xml:space="preserve">Chehab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1995</w:t>
            </w:r>
            <w:r w:rsidR="00B32459">
              <w:rPr>
                <w:rFonts w:ascii="Arial Narrow" w:eastAsiaTheme="minorHAnsi" w:hAnsi="Arial Narrow" w:cstheme="minorHAnsi"/>
                <w:sz w:val="20"/>
                <w:szCs w:val="20"/>
                <w:lang w:eastAsia="en-US"/>
              </w:rPr>
              <w:t>)</w:t>
            </w:r>
          </w:p>
          <w:p w14:paraId="3F7019BE"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USA</w:t>
            </w:r>
          </w:p>
        </w:tc>
        <w:tc>
          <w:tcPr>
            <w:tcW w:w="446" w:type="pct"/>
            <w:shd w:val="clear" w:color="auto" w:fill="auto"/>
          </w:tcPr>
          <w:p w14:paraId="4A98634B"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532602D8"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716" w:type="pct"/>
            <w:shd w:val="clear" w:color="auto" w:fill="auto"/>
          </w:tcPr>
          <w:p w14:paraId="7448070F" w14:textId="14B72927" w:rsidR="006D7EB9" w:rsidRPr="006D7EB9" w:rsidRDefault="006D7EB9" w:rsidP="004566DC">
            <w:pPr>
              <w:tabs>
                <w:tab w:val="left" w:pos="89"/>
              </w:tabs>
              <w:spacing w:after="40" w:line="240" w:lineRule="auto"/>
              <w:jc w:val="left"/>
              <w:rPr>
                <w:rFonts w:ascii="Arial Narrow" w:hAnsi="Arial Narrow" w:cs="Times New Roman"/>
                <w:sz w:val="20"/>
                <w:szCs w:val="20"/>
                <w:lang w:eastAsia="en-US"/>
              </w:rPr>
            </w:pPr>
            <w:r w:rsidRPr="006D7EB9">
              <w:rPr>
                <w:rFonts w:ascii="Arial Narrow" w:eastAsiaTheme="minorHAnsi" w:hAnsi="Arial Narrow" w:cs="Times New Roman"/>
                <w:sz w:val="20"/>
                <w:szCs w:val="20"/>
                <w:lang w:eastAsia="en-US"/>
              </w:rPr>
              <w:t>N=246 chromosomes from 123 CF patients</w:t>
            </w:r>
          </w:p>
        </w:tc>
        <w:tc>
          <w:tcPr>
            <w:tcW w:w="1074" w:type="pct"/>
          </w:tcPr>
          <w:p w14:paraId="0A43CE8D" w14:textId="77777777"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Reverse dot-blot hybridisation</w:t>
            </w:r>
          </w:p>
        </w:tc>
        <w:tc>
          <w:tcPr>
            <w:tcW w:w="510" w:type="pct"/>
          </w:tcPr>
          <w:p w14:paraId="6657B3B0"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31</w:t>
            </w:r>
          </w:p>
        </w:tc>
        <w:tc>
          <w:tcPr>
            <w:tcW w:w="320" w:type="pct"/>
            <w:shd w:val="clear" w:color="auto" w:fill="auto"/>
          </w:tcPr>
          <w:p w14:paraId="4D95572E"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216</w:t>
            </w:r>
          </w:p>
        </w:tc>
        <w:tc>
          <w:tcPr>
            <w:tcW w:w="320" w:type="pct"/>
            <w:shd w:val="clear" w:color="auto" w:fill="auto"/>
          </w:tcPr>
          <w:p w14:paraId="753E5D4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748E016D"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30 (12%)</w:t>
            </w:r>
          </w:p>
        </w:tc>
        <w:tc>
          <w:tcPr>
            <w:tcW w:w="320" w:type="pct"/>
            <w:shd w:val="clear" w:color="auto" w:fill="auto"/>
          </w:tcPr>
          <w:p w14:paraId="06D9A41E"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6679CD91" w14:textId="77777777" w:rsidR="006D7EB9" w:rsidRPr="006D7EB9" w:rsidRDefault="006D7EB9" w:rsidP="006D7EB9">
            <w:pPr>
              <w:tabs>
                <w:tab w:val="left" w:pos="883"/>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88%</w:t>
            </w:r>
          </w:p>
        </w:tc>
      </w:tr>
      <w:tr w:rsidR="006D7EB9" w:rsidRPr="006D7EB9" w14:paraId="164C5871" w14:textId="77777777" w:rsidTr="00935F84">
        <w:trPr>
          <w:cantSplit/>
          <w:trHeight w:val="230"/>
        </w:trPr>
        <w:tc>
          <w:tcPr>
            <w:tcW w:w="411" w:type="pct"/>
            <w:shd w:val="clear" w:color="auto" w:fill="auto"/>
          </w:tcPr>
          <w:p w14:paraId="6EEDE3C0" w14:textId="2B45F38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Fren</w:t>
            </w:r>
            <w:r w:rsidR="008316B3">
              <w:rPr>
                <w:rFonts w:ascii="Arial Narrow" w:eastAsiaTheme="minorHAnsi" w:hAnsi="Arial Narrow" w:cstheme="minorHAnsi"/>
                <w:sz w:val="20"/>
                <w:szCs w:val="20"/>
                <w:lang w:eastAsia="en-US"/>
              </w:rPr>
              <w:t>t</w:t>
            </w:r>
            <w:r w:rsidRPr="006D7EB9">
              <w:rPr>
                <w:rFonts w:ascii="Arial Narrow" w:eastAsiaTheme="minorHAnsi" w:hAnsi="Arial Narrow" w:cstheme="minorHAnsi"/>
                <w:sz w:val="20"/>
                <w:szCs w:val="20"/>
                <w:lang w:eastAsia="en-US"/>
              </w:rPr>
              <w:t xml:space="preserve">escu </w:t>
            </w:r>
            <w:r w:rsidR="00BA6D51">
              <w:rPr>
                <w:rFonts w:ascii="Arial Narrow" w:eastAsiaTheme="minorHAnsi" w:hAnsi="Arial Narrow" w:cstheme="minorHAnsi"/>
                <w:sz w:val="20"/>
                <w:szCs w:val="20"/>
                <w:lang w:eastAsia="en-US"/>
              </w:rPr>
              <w:t>&amp;</w:t>
            </w:r>
            <w:r w:rsidR="00BA6D51" w:rsidRPr="006D7EB9">
              <w:rPr>
                <w:rFonts w:ascii="Arial Narrow" w:eastAsiaTheme="minorHAnsi" w:hAnsi="Arial Narrow" w:cstheme="minorHAnsi"/>
                <w:sz w:val="20"/>
                <w:szCs w:val="20"/>
                <w:lang w:eastAsia="en-US"/>
              </w:rPr>
              <w:t xml:space="preserve"> </w:t>
            </w:r>
            <w:r w:rsidRPr="006D7EB9">
              <w:rPr>
                <w:rFonts w:ascii="Arial Narrow" w:eastAsiaTheme="minorHAnsi" w:hAnsi="Arial Narrow" w:cstheme="minorHAnsi"/>
                <w:sz w:val="20"/>
                <w:szCs w:val="20"/>
                <w:lang w:eastAsia="en-US"/>
              </w:rPr>
              <w:t>Budi</w:t>
            </w:r>
            <w:r w:rsidR="00C02B99">
              <w:rPr>
                <w:rFonts w:ascii="Arial Narrow" w:eastAsiaTheme="minorHAnsi" w:hAnsi="Arial Narrow" w:cstheme="minorHAnsi"/>
                <w:sz w:val="20"/>
                <w:szCs w:val="20"/>
                <w:lang w:eastAsia="en-US"/>
              </w:rPr>
              <w:t>s</w:t>
            </w:r>
            <w:r w:rsidRPr="006D7EB9">
              <w:rPr>
                <w:rFonts w:ascii="Arial Narrow" w:eastAsiaTheme="minorHAnsi" w:hAnsi="Arial Narrow" w:cstheme="minorHAnsi"/>
                <w:sz w:val="20"/>
                <w:szCs w:val="20"/>
                <w:lang w:eastAsia="en-US"/>
              </w:rPr>
              <w:t xml:space="preserve">an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2009</w:t>
            </w:r>
            <w:r w:rsidR="00B32459">
              <w:rPr>
                <w:rFonts w:ascii="Arial Narrow" w:eastAsiaTheme="minorHAnsi" w:hAnsi="Arial Narrow" w:cstheme="minorHAnsi"/>
                <w:sz w:val="20"/>
                <w:szCs w:val="20"/>
                <w:lang w:eastAsia="en-US"/>
              </w:rPr>
              <w:t>)</w:t>
            </w:r>
          </w:p>
          <w:p w14:paraId="37472EF1"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Romania</w:t>
            </w:r>
          </w:p>
        </w:tc>
        <w:tc>
          <w:tcPr>
            <w:tcW w:w="446" w:type="pct"/>
            <w:shd w:val="clear" w:color="auto" w:fill="auto"/>
          </w:tcPr>
          <w:p w14:paraId="40E0A67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056032E7"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716" w:type="pct"/>
            <w:shd w:val="clear" w:color="auto" w:fill="auto"/>
          </w:tcPr>
          <w:p w14:paraId="568D7673" w14:textId="51B27284"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N=42 chromosomes from 21 patients with CF</w:t>
            </w:r>
          </w:p>
        </w:tc>
        <w:tc>
          <w:tcPr>
            <w:tcW w:w="1074" w:type="pct"/>
          </w:tcPr>
          <w:p w14:paraId="0C05EBE7" w14:textId="77777777"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Multiplex PCR, heteroduplex analysis and RFLP</w:t>
            </w:r>
          </w:p>
        </w:tc>
        <w:tc>
          <w:tcPr>
            <w:tcW w:w="510" w:type="pct"/>
          </w:tcPr>
          <w:p w14:paraId="5A37B364"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18</w:t>
            </w:r>
          </w:p>
        </w:tc>
        <w:tc>
          <w:tcPr>
            <w:tcW w:w="320" w:type="pct"/>
            <w:shd w:val="clear" w:color="auto" w:fill="auto"/>
          </w:tcPr>
          <w:p w14:paraId="25E9DF3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22</w:t>
            </w:r>
          </w:p>
        </w:tc>
        <w:tc>
          <w:tcPr>
            <w:tcW w:w="320" w:type="pct"/>
            <w:shd w:val="clear" w:color="auto" w:fill="auto"/>
          </w:tcPr>
          <w:p w14:paraId="182428CE"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3E3E1DAF"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20 (48%)</w:t>
            </w:r>
          </w:p>
        </w:tc>
        <w:tc>
          <w:tcPr>
            <w:tcW w:w="320" w:type="pct"/>
            <w:shd w:val="clear" w:color="auto" w:fill="auto"/>
          </w:tcPr>
          <w:p w14:paraId="70059AE9"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2214E2C5" w14:textId="77777777" w:rsidR="006D7EB9" w:rsidRPr="006D7EB9" w:rsidRDefault="006D7EB9" w:rsidP="006D7EB9">
            <w:pPr>
              <w:tabs>
                <w:tab w:val="left" w:pos="883"/>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52%</w:t>
            </w:r>
          </w:p>
        </w:tc>
      </w:tr>
      <w:tr w:rsidR="006D7EB9" w:rsidRPr="006D7EB9" w14:paraId="589A22D6" w14:textId="77777777" w:rsidTr="00935F84">
        <w:trPr>
          <w:cantSplit/>
          <w:trHeight w:val="230"/>
        </w:trPr>
        <w:tc>
          <w:tcPr>
            <w:tcW w:w="411" w:type="pct"/>
            <w:shd w:val="clear" w:color="auto" w:fill="auto"/>
          </w:tcPr>
          <w:p w14:paraId="09E9955C" w14:textId="359C548A"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Heim, Sugarman </w:t>
            </w:r>
            <w:r w:rsidR="00BA6D51">
              <w:rPr>
                <w:rFonts w:ascii="Arial Narrow" w:eastAsiaTheme="minorHAnsi" w:hAnsi="Arial Narrow" w:cstheme="minorHAnsi"/>
                <w:sz w:val="20"/>
                <w:szCs w:val="20"/>
                <w:lang w:eastAsia="en-US"/>
              </w:rPr>
              <w:t>&amp;</w:t>
            </w:r>
            <w:r w:rsidR="00BA6D51" w:rsidRPr="006D7EB9">
              <w:rPr>
                <w:rFonts w:ascii="Arial Narrow" w:eastAsiaTheme="minorHAnsi" w:hAnsi="Arial Narrow" w:cstheme="minorHAnsi"/>
                <w:sz w:val="20"/>
                <w:szCs w:val="20"/>
                <w:lang w:eastAsia="en-US"/>
              </w:rPr>
              <w:t xml:space="preserve"> </w:t>
            </w:r>
            <w:r w:rsidRPr="006D7EB9">
              <w:rPr>
                <w:rFonts w:ascii="Arial Narrow" w:eastAsiaTheme="minorHAnsi" w:hAnsi="Arial Narrow" w:cstheme="minorHAnsi"/>
                <w:sz w:val="20"/>
                <w:szCs w:val="20"/>
                <w:lang w:eastAsia="en-US"/>
              </w:rPr>
              <w:t xml:space="preserve">Allitto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2001</w:t>
            </w:r>
            <w:r w:rsidR="00B32459">
              <w:rPr>
                <w:rFonts w:ascii="Arial Narrow" w:eastAsiaTheme="minorHAnsi" w:hAnsi="Arial Narrow" w:cstheme="minorHAnsi"/>
                <w:sz w:val="20"/>
                <w:szCs w:val="20"/>
                <w:lang w:eastAsia="en-US"/>
              </w:rPr>
              <w:t>)</w:t>
            </w:r>
          </w:p>
          <w:p w14:paraId="6113A7A3"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USA</w:t>
            </w:r>
          </w:p>
        </w:tc>
        <w:tc>
          <w:tcPr>
            <w:tcW w:w="446" w:type="pct"/>
            <w:shd w:val="clear" w:color="auto" w:fill="auto"/>
          </w:tcPr>
          <w:p w14:paraId="4A13016A"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562A1A3F" w14:textId="77777777" w:rsidR="006D7EB9" w:rsidRPr="006D7EB9" w:rsidRDefault="006D7EB9" w:rsidP="004566DC">
            <w:pPr>
              <w:spacing w:after="4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High risk of bias</w:t>
            </w:r>
          </w:p>
        </w:tc>
        <w:tc>
          <w:tcPr>
            <w:tcW w:w="716" w:type="pct"/>
            <w:shd w:val="clear" w:color="auto" w:fill="auto"/>
          </w:tcPr>
          <w:p w14:paraId="283DBB74" w14:textId="45E01861" w:rsidR="006D7EB9" w:rsidRPr="006D7EB9" w:rsidRDefault="006D7EB9" w:rsidP="004566DC">
            <w:pPr>
              <w:tabs>
                <w:tab w:val="left" w:pos="89"/>
              </w:tabs>
              <w:spacing w:after="4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N=5,840 chromosomes from 2,920 individuals with CF</w:t>
            </w:r>
          </w:p>
        </w:tc>
        <w:tc>
          <w:tcPr>
            <w:tcW w:w="1074" w:type="pct"/>
          </w:tcPr>
          <w:p w14:paraId="634D1F70" w14:textId="77777777"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ASOH</w:t>
            </w:r>
          </w:p>
        </w:tc>
        <w:tc>
          <w:tcPr>
            <w:tcW w:w="510" w:type="pct"/>
          </w:tcPr>
          <w:p w14:paraId="20BC04C6"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93</w:t>
            </w:r>
          </w:p>
        </w:tc>
        <w:tc>
          <w:tcPr>
            <w:tcW w:w="320" w:type="pct"/>
            <w:shd w:val="clear" w:color="auto" w:fill="auto"/>
          </w:tcPr>
          <w:p w14:paraId="680FE7C9"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4,664</w:t>
            </w:r>
          </w:p>
        </w:tc>
        <w:tc>
          <w:tcPr>
            <w:tcW w:w="320" w:type="pct"/>
            <w:shd w:val="clear" w:color="auto" w:fill="auto"/>
          </w:tcPr>
          <w:p w14:paraId="453BEB4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20" w:type="pct"/>
            <w:shd w:val="clear" w:color="auto" w:fill="auto"/>
          </w:tcPr>
          <w:p w14:paraId="26BDD3C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1,176 (20%)</w:t>
            </w:r>
          </w:p>
        </w:tc>
        <w:tc>
          <w:tcPr>
            <w:tcW w:w="320" w:type="pct"/>
            <w:shd w:val="clear" w:color="auto" w:fill="auto"/>
          </w:tcPr>
          <w:p w14:paraId="5B72D3C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562" w:type="pct"/>
          </w:tcPr>
          <w:p w14:paraId="5F3392F8" w14:textId="77777777" w:rsidR="006D7EB9" w:rsidRPr="006D7EB9" w:rsidRDefault="006D7EB9" w:rsidP="006D7EB9">
            <w:pPr>
              <w:tabs>
                <w:tab w:val="left" w:pos="883"/>
              </w:tabs>
              <w:spacing w:after="40" w:line="240" w:lineRule="auto"/>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80%</w:t>
            </w:r>
          </w:p>
        </w:tc>
      </w:tr>
    </w:tbl>
    <w:p w14:paraId="2C37576A" w14:textId="49640B72" w:rsidR="006D7EB9" w:rsidRDefault="006D7EB9" w:rsidP="004566DC">
      <w:pPr>
        <w:spacing w:before="40" w:line="240" w:lineRule="auto"/>
        <w:ind w:right="-57"/>
        <w:jc w:val="left"/>
        <w:rPr>
          <w:rFonts w:ascii="Arial Narrow" w:hAnsi="Arial Narrow"/>
          <w:sz w:val="20"/>
          <w:szCs w:val="20"/>
        </w:rPr>
      </w:pPr>
      <w:r w:rsidRPr="006D7EB9">
        <w:rPr>
          <w:rFonts w:ascii="Arial Narrow" w:hAnsi="Arial Narrow"/>
          <w:sz w:val="20"/>
          <w:szCs w:val="20"/>
        </w:rPr>
        <w:t xml:space="preserve">ASOH = allele-specific oligonucleotide hybridisation; CF = cystic fibrosis; </w:t>
      </w:r>
      <w:r w:rsidR="00FD37D3" w:rsidRPr="00FD37D3">
        <w:rPr>
          <w:rFonts w:ascii="Arial Narrow" w:hAnsi="Arial Narrow"/>
          <w:sz w:val="20"/>
          <w:szCs w:val="20"/>
        </w:rPr>
        <w:t>CFTR</w:t>
      </w:r>
      <w:r w:rsidRPr="006D7EB9">
        <w:rPr>
          <w:rFonts w:ascii="Arial Narrow" w:hAnsi="Arial Narrow"/>
          <w:sz w:val="20"/>
          <w:szCs w:val="20"/>
        </w:rPr>
        <w:t xml:space="preserve"> = cystic fibrosis transmembrane conductance regulator; OLA = oligonucleotide ligation assay; PCR = polymerase chain reaction; RFLP = restriction fragment length polymorphism</w:t>
      </w:r>
    </w:p>
    <w:p w14:paraId="62215805" w14:textId="0D9353D1" w:rsidR="006D7EB9" w:rsidRDefault="006D7EB9" w:rsidP="006D7EB9">
      <w:pPr>
        <w:pStyle w:val="Caption"/>
      </w:pPr>
      <w:bookmarkStart w:id="549" w:name="_Ref412451511"/>
      <w:bookmarkStart w:id="550" w:name="_Toc418179488"/>
      <w:r>
        <w:t xml:space="preserve">Table </w:t>
      </w:r>
      <w:fldSimple w:instr=" SEQ Table \* ARABIC ">
        <w:r w:rsidR="00BB0E3E">
          <w:rPr>
            <w:noProof/>
          </w:rPr>
          <w:t>91</w:t>
        </w:r>
      </w:fldSimple>
      <w:bookmarkEnd w:id="549"/>
      <w:r>
        <w:tab/>
      </w:r>
      <w:r w:rsidRPr="00A52ECC">
        <w:t xml:space="preserve">Diagnostic accuracy of </w:t>
      </w:r>
      <w:r w:rsidR="00FD37D3" w:rsidRPr="00FD37D3">
        <w:t>CFTR</w:t>
      </w:r>
      <w:r w:rsidRPr="00A52ECC">
        <w:t xml:space="preserve"> mutation testing compared with DNA sequencing in patients with CBVAD</w:t>
      </w:r>
      <w:bookmarkEnd w:id="550"/>
    </w:p>
    <w:tbl>
      <w:tblPr>
        <w:tblStyle w:val="TableGrid27"/>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DNA sequencing in patients with CBVAD"/>
      </w:tblPr>
      <w:tblGrid>
        <w:gridCol w:w="1189"/>
        <w:gridCol w:w="1132"/>
        <w:gridCol w:w="1627"/>
        <w:gridCol w:w="1906"/>
        <w:gridCol w:w="1030"/>
        <w:gridCol w:w="955"/>
        <w:gridCol w:w="955"/>
        <w:gridCol w:w="955"/>
        <w:gridCol w:w="955"/>
        <w:gridCol w:w="1180"/>
        <w:gridCol w:w="2504"/>
      </w:tblGrid>
      <w:tr w:rsidR="006D7EB9" w:rsidRPr="006D7EB9" w14:paraId="2A26D3BA" w14:textId="77777777" w:rsidTr="00935F84">
        <w:trPr>
          <w:tblHeader/>
        </w:trPr>
        <w:tc>
          <w:tcPr>
            <w:tcW w:w="413" w:type="pct"/>
            <w:tcBorders>
              <w:bottom w:val="single" w:sz="4" w:space="0" w:color="auto"/>
            </w:tcBorders>
          </w:tcPr>
          <w:p w14:paraId="485F8FC5" w14:textId="1E180209"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Study</w:t>
            </w:r>
            <w:r w:rsidR="00C02B99">
              <w:rPr>
                <w:rFonts w:ascii="Arial Narrow" w:eastAsiaTheme="minorHAnsi" w:hAnsi="Arial Narrow" w:cstheme="minorHAnsi"/>
                <w:b/>
                <w:sz w:val="20"/>
                <w:szCs w:val="20"/>
                <w:lang w:eastAsia="en-US"/>
              </w:rPr>
              <w:br/>
            </w:r>
            <w:r w:rsidRPr="006D7EB9">
              <w:rPr>
                <w:rFonts w:ascii="Arial Narrow" w:eastAsiaTheme="minorHAnsi" w:hAnsi="Arial Narrow" w:cstheme="minorHAnsi"/>
                <w:b/>
                <w:sz w:val="20"/>
                <w:szCs w:val="20"/>
                <w:lang w:eastAsia="en-US"/>
              </w:rPr>
              <w:t>Country</w:t>
            </w:r>
          </w:p>
        </w:tc>
        <w:tc>
          <w:tcPr>
            <w:tcW w:w="393" w:type="pct"/>
            <w:tcBorders>
              <w:bottom w:val="single" w:sz="4" w:space="0" w:color="auto"/>
            </w:tcBorders>
          </w:tcPr>
          <w:p w14:paraId="151B4A2B" w14:textId="77777777" w:rsidR="006D7EB9" w:rsidRPr="006D7EB9" w:rsidRDefault="006D7EB9" w:rsidP="004566DC">
            <w:pPr>
              <w:keepNext/>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heme="minorHAnsi"/>
                <w:b/>
                <w:sz w:val="20"/>
                <w:szCs w:val="20"/>
                <w:lang w:eastAsia="en-US"/>
              </w:rPr>
              <w:t>Evidence level and risk of bias</w:t>
            </w:r>
          </w:p>
        </w:tc>
        <w:tc>
          <w:tcPr>
            <w:tcW w:w="565" w:type="pct"/>
            <w:tcBorders>
              <w:bottom w:val="single" w:sz="4" w:space="0" w:color="auto"/>
            </w:tcBorders>
          </w:tcPr>
          <w:p w14:paraId="52F8FFAE" w14:textId="77777777" w:rsidR="006D7EB9" w:rsidRPr="006D7EB9" w:rsidRDefault="006D7EB9"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Population</w:t>
            </w:r>
          </w:p>
        </w:tc>
        <w:tc>
          <w:tcPr>
            <w:tcW w:w="662" w:type="pct"/>
            <w:tcBorders>
              <w:bottom w:val="single" w:sz="4" w:space="0" w:color="auto"/>
            </w:tcBorders>
          </w:tcPr>
          <w:p w14:paraId="3575888F" w14:textId="77777777" w:rsidR="006D7EB9" w:rsidRPr="006D7EB9" w:rsidRDefault="006D7EB9" w:rsidP="004566DC">
            <w:pPr>
              <w:keepNext/>
              <w:tabs>
                <w:tab w:val="left" w:pos="315"/>
              </w:tabs>
              <w:spacing w:after="40" w:line="240" w:lineRule="auto"/>
              <w:ind w:right="-57"/>
              <w:jc w:val="left"/>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Tests</w:t>
            </w:r>
          </w:p>
        </w:tc>
        <w:tc>
          <w:tcPr>
            <w:tcW w:w="358" w:type="pct"/>
            <w:tcBorders>
              <w:bottom w:val="single" w:sz="4" w:space="0" w:color="auto"/>
            </w:tcBorders>
          </w:tcPr>
          <w:p w14:paraId="7904A153" w14:textId="77777777" w:rsidR="006D7EB9" w:rsidRPr="006D7EB9" w:rsidRDefault="006D7EB9" w:rsidP="006D7EB9">
            <w:pPr>
              <w:spacing w:after="40" w:line="240" w:lineRule="auto"/>
              <w:ind w:left="-57" w:right="-57"/>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Number of mutations detected</w:t>
            </w:r>
          </w:p>
        </w:tc>
        <w:tc>
          <w:tcPr>
            <w:tcW w:w="332" w:type="pct"/>
            <w:tcBorders>
              <w:bottom w:val="single" w:sz="4" w:space="0" w:color="auto"/>
            </w:tcBorders>
          </w:tcPr>
          <w:p w14:paraId="41ADE304"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True-positive results</w:t>
            </w:r>
          </w:p>
        </w:tc>
        <w:tc>
          <w:tcPr>
            <w:tcW w:w="332" w:type="pct"/>
            <w:tcBorders>
              <w:bottom w:val="single" w:sz="4" w:space="0" w:color="auto"/>
            </w:tcBorders>
          </w:tcPr>
          <w:p w14:paraId="46EADFA7"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False-positive results</w:t>
            </w:r>
          </w:p>
        </w:tc>
        <w:tc>
          <w:tcPr>
            <w:tcW w:w="332" w:type="pct"/>
            <w:tcBorders>
              <w:bottom w:val="single" w:sz="4" w:space="0" w:color="auto"/>
            </w:tcBorders>
          </w:tcPr>
          <w:p w14:paraId="3B92E348"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False-negative results</w:t>
            </w:r>
          </w:p>
        </w:tc>
        <w:tc>
          <w:tcPr>
            <w:tcW w:w="332" w:type="pct"/>
            <w:tcBorders>
              <w:bottom w:val="single" w:sz="4" w:space="0" w:color="auto"/>
            </w:tcBorders>
          </w:tcPr>
          <w:p w14:paraId="0D26244A" w14:textId="77777777" w:rsidR="006D7EB9" w:rsidRPr="006D7EB9" w:rsidRDefault="006D7EB9" w:rsidP="006D7EB9">
            <w:pPr>
              <w:keepNext/>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True-negative results</w:t>
            </w:r>
          </w:p>
        </w:tc>
        <w:tc>
          <w:tcPr>
            <w:tcW w:w="410" w:type="pct"/>
            <w:tcBorders>
              <w:bottom w:val="single" w:sz="4" w:space="0" w:color="auto"/>
            </w:tcBorders>
          </w:tcPr>
          <w:p w14:paraId="0B4AEA47" w14:textId="77777777" w:rsidR="006D7EB9" w:rsidRPr="006D7EB9" w:rsidRDefault="006D7EB9" w:rsidP="006D7EB9">
            <w:pPr>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Cannot be detected by index test</w:t>
            </w:r>
          </w:p>
        </w:tc>
        <w:tc>
          <w:tcPr>
            <w:tcW w:w="870" w:type="pct"/>
            <w:tcBorders>
              <w:bottom w:val="single" w:sz="4" w:space="0" w:color="auto"/>
            </w:tcBorders>
          </w:tcPr>
          <w:p w14:paraId="540A4C88" w14:textId="64A21F9B" w:rsidR="006D7EB9" w:rsidRPr="006D7EB9" w:rsidRDefault="006D7EB9" w:rsidP="006D7EB9">
            <w:pPr>
              <w:tabs>
                <w:tab w:val="left" w:pos="746"/>
              </w:tabs>
              <w:spacing w:after="40" w:line="240" w:lineRule="auto"/>
              <w:jc w:val="center"/>
              <w:rPr>
                <w:rFonts w:ascii="Arial Narrow" w:eastAsiaTheme="minorHAnsi" w:hAnsi="Arial Narrow" w:cs="Times New Roman"/>
                <w:b/>
                <w:sz w:val="20"/>
                <w:szCs w:val="20"/>
                <w:lang w:eastAsia="en-US"/>
              </w:rPr>
            </w:pPr>
            <w:r w:rsidRPr="006D7EB9">
              <w:rPr>
                <w:rFonts w:ascii="Arial Narrow" w:eastAsiaTheme="minorHAnsi" w:hAnsi="Arial Narrow" w:cs="Times New Roman"/>
                <w:b/>
                <w:sz w:val="20"/>
                <w:szCs w:val="20"/>
                <w:lang w:eastAsia="en-US"/>
              </w:rPr>
              <w:t xml:space="preserve">Accuracy for detectable </w:t>
            </w:r>
            <w:r w:rsidR="00FD37D3" w:rsidRPr="00FD37D3">
              <w:rPr>
                <w:rFonts w:ascii="Arial Narrow" w:eastAsiaTheme="minorHAnsi" w:hAnsi="Arial Narrow" w:cs="Times New Roman"/>
                <w:b/>
                <w:sz w:val="20"/>
                <w:szCs w:val="20"/>
                <w:lang w:eastAsia="en-US"/>
              </w:rPr>
              <w:t>CFTR</w:t>
            </w:r>
            <w:r w:rsidRPr="006D7EB9">
              <w:rPr>
                <w:rFonts w:ascii="Arial Narrow" w:eastAsiaTheme="minorHAnsi" w:hAnsi="Arial Narrow" w:cs="Times New Roman"/>
                <w:b/>
                <w:sz w:val="20"/>
                <w:szCs w:val="20"/>
                <w:lang w:eastAsia="en-US"/>
              </w:rPr>
              <w:t xml:space="preserve"> mutations</w:t>
            </w:r>
            <w:r w:rsidRPr="006D7EB9">
              <w:rPr>
                <w:rFonts w:ascii="Arial Narrow" w:eastAsiaTheme="minorHAnsi" w:hAnsi="Arial Narrow" w:cs="Times New Roman"/>
                <w:b/>
                <w:sz w:val="20"/>
                <w:szCs w:val="20"/>
                <w:lang w:eastAsia="en-US"/>
              </w:rPr>
              <w:br/>
              <w:t xml:space="preserve">(all </w:t>
            </w:r>
            <w:r w:rsidR="00FD37D3" w:rsidRPr="00FD37D3">
              <w:rPr>
                <w:rFonts w:ascii="Arial Narrow" w:eastAsiaTheme="minorHAnsi" w:hAnsi="Arial Narrow" w:cs="Times New Roman"/>
                <w:b/>
                <w:sz w:val="20"/>
                <w:szCs w:val="20"/>
                <w:lang w:eastAsia="en-US"/>
              </w:rPr>
              <w:t>CFTR</w:t>
            </w:r>
            <w:r w:rsidRPr="006D7EB9">
              <w:rPr>
                <w:rFonts w:ascii="Arial Narrow" w:eastAsiaTheme="minorHAnsi" w:hAnsi="Arial Narrow" w:cs="Times New Roman"/>
                <w:b/>
                <w:sz w:val="20"/>
                <w:szCs w:val="20"/>
                <w:lang w:eastAsia="en-US"/>
              </w:rPr>
              <w:t xml:space="preserve"> mutations)</w:t>
            </w:r>
          </w:p>
        </w:tc>
      </w:tr>
      <w:tr w:rsidR="006D7EB9" w:rsidRPr="006D7EB9" w14:paraId="2DBD765F" w14:textId="77777777" w:rsidTr="00935F84">
        <w:trPr>
          <w:trHeight w:val="64"/>
        </w:trPr>
        <w:tc>
          <w:tcPr>
            <w:tcW w:w="413" w:type="pct"/>
            <w:tcBorders>
              <w:bottom w:val="nil"/>
            </w:tcBorders>
          </w:tcPr>
          <w:p w14:paraId="2E9543A3" w14:textId="77777777" w:rsidR="006D7EB9" w:rsidRPr="006D7EB9" w:rsidRDefault="006D7EB9" w:rsidP="004566DC">
            <w:pPr>
              <w:spacing w:after="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 xml:space="preserve">Giuliani et al. </w:t>
            </w:r>
            <w:r w:rsidR="00B32459">
              <w:rPr>
                <w:rFonts w:ascii="Arial Narrow" w:eastAsiaTheme="minorHAnsi" w:hAnsi="Arial Narrow" w:cstheme="minorHAnsi"/>
                <w:sz w:val="20"/>
                <w:szCs w:val="20"/>
                <w:lang w:eastAsia="en-US"/>
              </w:rPr>
              <w:t>(</w:t>
            </w:r>
            <w:r w:rsidRPr="006D7EB9">
              <w:rPr>
                <w:rFonts w:ascii="Arial Narrow" w:eastAsiaTheme="minorHAnsi" w:hAnsi="Arial Narrow" w:cstheme="minorHAnsi"/>
                <w:sz w:val="20"/>
                <w:szCs w:val="20"/>
                <w:lang w:eastAsia="en-US"/>
              </w:rPr>
              <w:t>2010</w:t>
            </w:r>
            <w:r w:rsidR="00B32459">
              <w:rPr>
                <w:rFonts w:ascii="Arial Narrow" w:eastAsiaTheme="minorHAnsi" w:hAnsi="Arial Narrow" w:cstheme="minorHAnsi"/>
                <w:sz w:val="20"/>
                <w:szCs w:val="20"/>
                <w:lang w:eastAsia="en-US"/>
              </w:rPr>
              <w:t>)</w:t>
            </w:r>
          </w:p>
          <w:p w14:paraId="2F509F7B" w14:textId="77777777" w:rsidR="006D7EB9" w:rsidRPr="006D7EB9" w:rsidRDefault="006D7EB9" w:rsidP="004566DC">
            <w:pPr>
              <w:spacing w:after="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Italy</w:t>
            </w:r>
          </w:p>
        </w:tc>
        <w:tc>
          <w:tcPr>
            <w:tcW w:w="393" w:type="pct"/>
            <w:tcBorders>
              <w:bottom w:val="nil"/>
            </w:tcBorders>
          </w:tcPr>
          <w:p w14:paraId="4302EE4D" w14:textId="77777777" w:rsidR="006D7EB9" w:rsidRPr="006D7EB9" w:rsidRDefault="006D7EB9" w:rsidP="004566DC">
            <w:pPr>
              <w:spacing w:after="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Level III-2</w:t>
            </w:r>
          </w:p>
          <w:p w14:paraId="627CD7C9" w14:textId="77777777" w:rsidR="006D7EB9" w:rsidRPr="006D7EB9" w:rsidRDefault="006D7EB9" w:rsidP="004566DC">
            <w:pPr>
              <w:spacing w:after="0" w:line="240" w:lineRule="auto"/>
              <w:jc w:val="left"/>
              <w:rPr>
                <w:rFonts w:ascii="Arial Narrow" w:eastAsiaTheme="minorHAnsi" w:hAnsi="Arial Narrow" w:cstheme="minorHAnsi"/>
                <w:sz w:val="20"/>
                <w:szCs w:val="20"/>
                <w:lang w:eastAsia="en-US"/>
              </w:rPr>
            </w:pPr>
            <w:r w:rsidRPr="006D7EB9">
              <w:rPr>
                <w:rFonts w:ascii="Arial Narrow" w:eastAsiaTheme="minorHAnsi" w:hAnsi="Arial Narrow" w:cstheme="minorHAnsi"/>
                <w:sz w:val="20"/>
                <w:szCs w:val="20"/>
                <w:lang w:eastAsia="en-US"/>
              </w:rPr>
              <w:t>Some risk of bias</w:t>
            </w:r>
          </w:p>
        </w:tc>
        <w:tc>
          <w:tcPr>
            <w:tcW w:w="565" w:type="pct"/>
            <w:tcBorders>
              <w:bottom w:val="nil"/>
            </w:tcBorders>
          </w:tcPr>
          <w:p w14:paraId="476CF623" w14:textId="1A12E325" w:rsidR="006D7EB9" w:rsidRPr="006D7EB9" w:rsidRDefault="006D7EB9" w:rsidP="004566DC">
            <w:pPr>
              <w:tabs>
                <w:tab w:val="left" w:pos="89"/>
              </w:tabs>
              <w:spacing w:after="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N=46</w:t>
            </w:r>
            <w:r w:rsidR="00B86899">
              <w:rPr>
                <w:rFonts w:ascii="Arial Narrow" w:hAnsi="Arial Narrow" w:cs="Times New Roman"/>
                <w:sz w:val="20"/>
                <w:szCs w:val="20"/>
                <w:lang w:eastAsia="en-US"/>
              </w:rPr>
              <w:t xml:space="preserve"> </w:t>
            </w:r>
            <w:r w:rsidRPr="006D7EB9">
              <w:rPr>
                <w:rFonts w:ascii="Arial Narrow" w:hAnsi="Arial Narrow" w:cs="Times New Roman"/>
                <w:sz w:val="20"/>
                <w:szCs w:val="20"/>
                <w:lang w:eastAsia="en-US"/>
              </w:rPr>
              <w:t xml:space="preserve">chromosomes from 23 CBAVD </w:t>
            </w:r>
          </w:p>
        </w:tc>
        <w:tc>
          <w:tcPr>
            <w:tcW w:w="662" w:type="pct"/>
            <w:tcBorders>
              <w:bottom w:val="nil"/>
            </w:tcBorders>
          </w:tcPr>
          <w:p w14:paraId="3A2B8730" w14:textId="3AA36503" w:rsidR="006D7EB9" w:rsidRPr="006D7EB9" w:rsidRDefault="006D7EB9" w:rsidP="004566DC">
            <w:pPr>
              <w:tabs>
                <w:tab w:val="left" w:pos="744"/>
              </w:tabs>
              <w:spacing w:after="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xml:space="preserve">INNO-LiPA </w:t>
            </w:r>
            <w:r w:rsidR="00FD37D3" w:rsidRPr="00FD37D3">
              <w:rPr>
                <w:rFonts w:ascii="Arial Narrow" w:eastAsiaTheme="minorHAnsi" w:hAnsi="Arial Narrow" w:cs="Times New Roman"/>
                <w:sz w:val="20"/>
                <w:szCs w:val="20"/>
                <w:lang w:eastAsia="en-US"/>
              </w:rPr>
              <w:t>CFTR</w:t>
            </w:r>
            <w:r w:rsidRPr="006D7EB9">
              <w:rPr>
                <w:rFonts w:ascii="Arial Narrow" w:eastAsiaTheme="minorHAnsi" w:hAnsi="Arial Narrow" w:cs="Times New Roman"/>
                <w:sz w:val="20"/>
                <w:szCs w:val="20"/>
                <w:lang w:eastAsia="en-US"/>
              </w:rPr>
              <w:t xml:space="preserve">19, 17 + Tn and Italian Regional Kit </w:t>
            </w:r>
          </w:p>
        </w:tc>
        <w:tc>
          <w:tcPr>
            <w:tcW w:w="358" w:type="pct"/>
            <w:tcBorders>
              <w:bottom w:val="nil"/>
            </w:tcBorders>
          </w:tcPr>
          <w:p w14:paraId="32EE1A8C" w14:textId="701BB293" w:rsidR="006D7EB9" w:rsidRPr="006D7EB9" w:rsidRDefault="006D7EB9" w:rsidP="006D7EB9">
            <w:pPr>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57 + poly</w:t>
            </w:r>
            <w:r w:rsidR="008C2810">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T</w:t>
            </w:r>
          </w:p>
        </w:tc>
        <w:tc>
          <w:tcPr>
            <w:tcW w:w="332" w:type="pct"/>
            <w:tcBorders>
              <w:bottom w:val="nil"/>
            </w:tcBorders>
          </w:tcPr>
          <w:p w14:paraId="737D4C17" w14:textId="77777777" w:rsidR="006D7EB9" w:rsidRPr="006D7EB9" w:rsidRDefault="006D7EB9" w:rsidP="006D7EB9">
            <w:pPr>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33</w:t>
            </w:r>
          </w:p>
        </w:tc>
        <w:tc>
          <w:tcPr>
            <w:tcW w:w="332" w:type="pct"/>
            <w:tcBorders>
              <w:bottom w:val="nil"/>
            </w:tcBorders>
          </w:tcPr>
          <w:p w14:paraId="28DD0964" w14:textId="77777777" w:rsidR="006D7EB9" w:rsidRPr="006D7EB9" w:rsidRDefault="006D7EB9" w:rsidP="006D7EB9">
            <w:pPr>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2" w:type="pct"/>
            <w:tcBorders>
              <w:bottom w:val="nil"/>
            </w:tcBorders>
          </w:tcPr>
          <w:p w14:paraId="42BDFEB2" w14:textId="77777777" w:rsidR="006D7EB9" w:rsidRPr="006D7EB9" w:rsidRDefault="006D7EB9" w:rsidP="006D7EB9">
            <w:pPr>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 (4%)</w:t>
            </w:r>
          </w:p>
        </w:tc>
        <w:tc>
          <w:tcPr>
            <w:tcW w:w="332" w:type="pct"/>
            <w:tcBorders>
              <w:bottom w:val="nil"/>
            </w:tcBorders>
          </w:tcPr>
          <w:p w14:paraId="0DE0C371" w14:textId="77777777" w:rsidR="006D7EB9" w:rsidRPr="006D7EB9" w:rsidRDefault="006D7EB9" w:rsidP="006D7EB9">
            <w:pPr>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11</w:t>
            </w:r>
          </w:p>
        </w:tc>
        <w:tc>
          <w:tcPr>
            <w:tcW w:w="410" w:type="pct"/>
            <w:tcBorders>
              <w:bottom w:val="nil"/>
            </w:tcBorders>
          </w:tcPr>
          <w:p w14:paraId="02B67230" w14:textId="77777777" w:rsidR="006D7EB9" w:rsidRPr="006D7EB9" w:rsidRDefault="006D7EB9" w:rsidP="006D7EB9">
            <w:pPr>
              <w:tabs>
                <w:tab w:val="left" w:pos="883"/>
              </w:tabs>
              <w:spacing w:after="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2 (4%)</w:t>
            </w:r>
          </w:p>
        </w:tc>
        <w:tc>
          <w:tcPr>
            <w:tcW w:w="870" w:type="pct"/>
            <w:tcBorders>
              <w:bottom w:val="nil"/>
            </w:tcBorders>
          </w:tcPr>
          <w:p w14:paraId="2C474E64" w14:textId="2938122E" w:rsidR="006D7EB9" w:rsidRPr="006D7EB9" w:rsidRDefault="006D7EB9" w:rsidP="004566DC">
            <w:pPr>
              <w:tabs>
                <w:tab w:val="left" w:pos="883"/>
              </w:tabs>
              <w:spacing w:after="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 (89</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100)</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r>
            <w:r w:rsidR="00DF5916">
              <w:rPr>
                <w:rFonts w:ascii="Arial Narrow" w:eastAsiaTheme="minorHAnsi" w:hAnsi="Arial Narrow" w:cs="Times New Roman"/>
                <w:sz w:val="20"/>
                <w:szCs w:val="20"/>
                <w:lang w:eastAsia="en-US"/>
              </w:rPr>
              <w:t xml:space="preserve"> </w:t>
            </w:r>
            <w:r w:rsidRPr="006D7EB9">
              <w:rPr>
                <w:rFonts w:ascii="Arial Narrow" w:eastAsiaTheme="minorHAnsi" w:hAnsi="Arial Narrow" w:cs="Times New Roman"/>
                <w:sz w:val="20"/>
                <w:szCs w:val="20"/>
                <w:lang w:eastAsia="en-US"/>
              </w:rPr>
              <w:t>(94% [81</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99])</w:t>
            </w:r>
          </w:p>
          <w:p w14:paraId="46971996" w14:textId="671E428E" w:rsidR="006D7EB9" w:rsidRPr="006D7EB9" w:rsidRDefault="006D7EB9" w:rsidP="004566DC">
            <w:pPr>
              <w:tabs>
                <w:tab w:val="left" w:pos="743"/>
              </w:tabs>
              <w:spacing w:after="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Specificity = 100% (72</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100)</w:t>
            </w:r>
          </w:p>
        </w:tc>
      </w:tr>
      <w:tr w:rsidR="006D7EB9" w:rsidRPr="006D7EB9" w14:paraId="275C976D" w14:textId="77777777" w:rsidTr="004566DC">
        <w:tc>
          <w:tcPr>
            <w:tcW w:w="413" w:type="pct"/>
            <w:tcBorders>
              <w:top w:val="nil"/>
            </w:tcBorders>
          </w:tcPr>
          <w:p w14:paraId="5872DD0C" w14:textId="77777777" w:rsidR="006D7EB9" w:rsidRPr="006D7EB9" w:rsidRDefault="006D7EB9" w:rsidP="004566DC">
            <w:pPr>
              <w:spacing w:after="40" w:line="240" w:lineRule="auto"/>
              <w:jc w:val="left"/>
              <w:rPr>
                <w:rFonts w:ascii="Arial Narrow" w:eastAsiaTheme="minorHAnsi" w:hAnsi="Arial Narrow" w:cstheme="minorHAnsi"/>
                <w:color w:val="FFFFFF" w:themeColor="background1"/>
                <w:sz w:val="20"/>
                <w:szCs w:val="20"/>
                <w:lang w:eastAsia="en-US"/>
              </w:rPr>
            </w:pPr>
            <w:r w:rsidRPr="006D7EB9">
              <w:rPr>
                <w:rFonts w:ascii="Arial Narrow" w:eastAsiaTheme="minorHAnsi" w:hAnsi="Arial Narrow" w:cstheme="minorHAnsi"/>
                <w:color w:val="FFFFFF" w:themeColor="background1"/>
                <w:sz w:val="20"/>
                <w:szCs w:val="20"/>
                <w:lang w:eastAsia="en-US"/>
              </w:rPr>
              <w:t>Giuliani et al. 2010</w:t>
            </w:r>
          </w:p>
          <w:p w14:paraId="4996FA96" w14:textId="77777777" w:rsidR="006D7EB9" w:rsidRPr="006D7EB9" w:rsidRDefault="006D7EB9" w:rsidP="004566DC">
            <w:pPr>
              <w:spacing w:after="40" w:line="240" w:lineRule="auto"/>
              <w:jc w:val="left"/>
              <w:rPr>
                <w:rFonts w:ascii="Arial Narrow" w:eastAsiaTheme="minorHAnsi" w:hAnsi="Arial Narrow" w:cstheme="minorHAnsi"/>
                <w:color w:val="FFFFFF" w:themeColor="background1"/>
                <w:sz w:val="20"/>
                <w:szCs w:val="20"/>
                <w:lang w:eastAsia="en-US"/>
              </w:rPr>
            </w:pPr>
            <w:r w:rsidRPr="006D7EB9">
              <w:rPr>
                <w:rFonts w:ascii="Arial Narrow" w:eastAsiaTheme="minorHAnsi" w:hAnsi="Arial Narrow" w:cstheme="minorHAnsi"/>
                <w:color w:val="FFFFFF" w:themeColor="background1"/>
                <w:sz w:val="20"/>
                <w:szCs w:val="20"/>
                <w:lang w:eastAsia="en-US"/>
              </w:rPr>
              <w:t>Italy</w:t>
            </w:r>
          </w:p>
        </w:tc>
        <w:tc>
          <w:tcPr>
            <w:tcW w:w="393" w:type="pct"/>
            <w:tcBorders>
              <w:top w:val="nil"/>
            </w:tcBorders>
          </w:tcPr>
          <w:p w14:paraId="4018358B" w14:textId="77777777" w:rsidR="006D7EB9" w:rsidRPr="006D7EB9" w:rsidRDefault="006D7EB9" w:rsidP="004566DC">
            <w:pPr>
              <w:spacing w:after="40" w:line="240" w:lineRule="auto"/>
              <w:jc w:val="left"/>
              <w:rPr>
                <w:rFonts w:ascii="Arial Narrow" w:eastAsiaTheme="minorHAnsi" w:hAnsi="Arial Narrow" w:cstheme="minorHAnsi"/>
                <w:color w:val="FFFFFF" w:themeColor="background1"/>
                <w:sz w:val="20"/>
                <w:szCs w:val="20"/>
                <w:lang w:eastAsia="en-US"/>
              </w:rPr>
            </w:pPr>
            <w:r w:rsidRPr="006D7EB9">
              <w:rPr>
                <w:rFonts w:ascii="Arial Narrow" w:eastAsiaTheme="minorHAnsi" w:hAnsi="Arial Narrow" w:cstheme="minorHAnsi"/>
                <w:color w:val="FFFFFF" w:themeColor="background1"/>
                <w:sz w:val="20"/>
                <w:szCs w:val="20"/>
                <w:lang w:eastAsia="en-US"/>
              </w:rPr>
              <w:t>Level III-2</w:t>
            </w:r>
          </w:p>
          <w:p w14:paraId="7BCAE24B" w14:textId="77777777" w:rsidR="006D7EB9" w:rsidRPr="006D7EB9" w:rsidRDefault="006D7EB9" w:rsidP="004566DC">
            <w:pPr>
              <w:spacing w:after="40" w:line="240" w:lineRule="auto"/>
              <w:jc w:val="left"/>
              <w:rPr>
                <w:rFonts w:ascii="Arial Narrow" w:eastAsiaTheme="minorHAnsi" w:hAnsi="Arial Narrow" w:cstheme="minorHAnsi"/>
                <w:color w:val="FFFFFF" w:themeColor="background1"/>
                <w:sz w:val="20"/>
                <w:szCs w:val="20"/>
                <w:lang w:eastAsia="en-US"/>
              </w:rPr>
            </w:pPr>
            <w:r w:rsidRPr="006D7EB9">
              <w:rPr>
                <w:rFonts w:ascii="Arial Narrow" w:eastAsiaTheme="minorHAnsi" w:hAnsi="Arial Narrow" w:cstheme="minorHAnsi"/>
                <w:color w:val="FFFFFF" w:themeColor="background1"/>
                <w:sz w:val="20"/>
                <w:szCs w:val="20"/>
                <w:lang w:eastAsia="en-US"/>
              </w:rPr>
              <w:t>Some risk of bias</w:t>
            </w:r>
          </w:p>
        </w:tc>
        <w:tc>
          <w:tcPr>
            <w:tcW w:w="565" w:type="pct"/>
            <w:tcBorders>
              <w:top w:val="nil"/>
            </w:tcBorders>
          </w:tcPr>
          <w:p w14:paraId="31585E6B" w14:textId="77777777" w:rsidR="006D7EB9" w:rsidRPr="006D7EB9" w:rsidRDefault="006D7EB9" w:rsidP="004566DC">
            <w:pPr>
              <w:tabs>
                <w:tab w:val="left" w:pos="89"/>
              </w:tabs>
              <w:spacing w:after="40" w:line="240" w:lineRule="auto"/>
              <w:jc w:val="left"/>
              <w:rPr>
                <w:rFonts w:ascii="Arial Narrow" w:hAnsi="Arial Narrow" w:cs="Times New Roman"/>
                <w:sz w:val="20"/>
                <w:szCs w:val="20"/>
                <w:lang w:eastAsia="en-US"/>
              </w:rPr>
            </w:pPr>
            <w:r w:rsidRPr="006D7EB9">
              <w:rPr>
                <w:rFonts w:ascii="Arial Narrow" w:hAnsi="Arial Narrow" w:cs="Times New Roman"/>
                <w:sz w:val="20"/>
                <w:szCs w:val="20"/>
                <w:lang w:eastAsia="en-US"/>
              </w:rPr>
              <w:t>patients</w:t>
            </w:r>
          </w:p>
        </w:tc>
        <w:tc>
          <w:tcPr>
            <w:tcW w:w="662" w:type="pct"/>
            <w:tcBorders>
              <w:top w:val="nil"/>
            </w:tcBorders>
          </w:tcPr>
          <w:p w14:paraId="262AFC6C" w14:textId="77777777" w:rsidR="006D7EB9" w:rsidRPr="006D7EB9" w:rsidRDefault="006D7EB9" w:rsidP="004566DC">
            <w:pPr>
              <w:tabs>
                <w:tab w:val="left" w:pos="744"/>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(reverse dot-blot hybridisation)</w:t>
            </w:r>
          </w:p>
        </w:tc>
        <w:tc>
          <w:tcPr>
            <w:tcW w:w="358" w:type="pct"/>
            <w:tcBorders>
              <w:top w:val="nil"/>
            </w:tcBorders>
          </w:tcPr>
          <w:p w14:paraId="5A2294FF" w14:textId="77777777" w:rsidR="006D7EB9" w:rsidRPr="006D7EB9" w:rsidRDefault="006D7EB9" w:rsidP="006D7EB9">
            <w:pPr>
              <w:spacing w:after="40" w:line="240" w:lineRule="auto"/>
              <w:jc w:val="center"/>
              <w:rPr>
                <w:rFonts w:ascii="Arial Narrow" w:eastAsiaTheme="minorHAnsi" w:hAnsi="Arial Narrow" w:cs="Times New Roman"/>
                <w:color w:val="FFFFFF" w:themeColor="background1"/>
                <w:sz w:val="20"/>
                <w:szCs w:val="20"/>
                <w:lang w:eastAsia="en-US"/>
              </w:rPr>
            </w:pPr>
            <w:r w:rsidRPr="006D7EB9">
              <w:rPr>
                <w:rFonts w:ascii="Arial Narrow" w:eastAsiaTheme="minorHAnsi" w:hAnsi="Arial Narrow" w:cs="Times New Roman"/>
                <w:color w:val="FFFFFF" w:themeColor="background1"/>
                <w:sz w:val="20"/>
                <w:szCs w:val="20"/>
                <w:lang w:eastAsia="en-US"/>
              </w:rPr>
              <w:t>57 + polyT</w:t>
            </w:r>
          </w:p>
        </w:tc>
        <w:tc>
          <w:tcPr>
            <w:tcW w:w="332" w:type="pct"/>
            <w:tcBorders>
              <w:top w:val="nil"/>
            </w:tcBorders>
          </w:tcPr>
          <w:p w14:paraId="7BBAEBB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MPLA</w:t>
            </w:r>
          </w:p>
          <w:p w14:paraId="4CF135E7"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33</w:t>
            </w:r>
          </w:p>
        </w:tc>
        <w:tc>
          <w:tcPr>
            <w:tcW w:w="332" w:type="pct"/>
            <w:tcBorders>
              <w:top w:val="nil"/>
            </w:tcBorders>
          </w:tcPr>
          <w:p w14:paraId="5CADACC4"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MPLA</w:t>
            </w:r>
          </w:p>
          <w:p w14:paraId="0DC9D0D8"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0</w:t>
            </w:r>
          </w:p>
        </w:tc>
        <w:tc>
          <w:tcPr>
            <w:tcW w:w="332" w:type="pct"/>
            <w:tcBorders>
              <w:top w:val="nil"/>
            </w:tcBorders>
          </w:tcPr>
          <w:p w14:paraId="125DA8B1"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MPLA</w:t>
            </w:r>
          </w:p>
          <w:p w14:paraId="2E1D46F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 (9%)</w:t>
            </w:r>
          </w:p>
        </w:tc>
        <w:tc>
          <w:tcPr>
            <w:tcW w:w="332" w:type="pct"/>
            <w:tcBorders>
              <w:top w:val="nil"/>
            </w:tcBorders>
          </w:tcPr>
          <w:p w14:paraId="3437980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MPLA</w:t>
            </w:r>
          </w:p>
          <w:p w14:paraId="53D0A793"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9</w:t>
            </w:r>
          </w:p>
        </w:tc>
        <w:tc>
          <w:tcPr>
            <w:tcW w:w="410" w:type="pct"/>
            <w:tcBorders>
              <w:top w:val="nil"/>
            </w:tcBorders>
          </w:tcPr>
          <w:p w14:paraId="06B99A7B" w14:textId="77777777" w:rsidR="006D7EB9" w:rsidRPr="006D7EB9" w:rsidRDefault="006D7EB9" w:rsidP="006D7EB9">
            <w:pPr>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 MPLA</w:t>
            </w:r>
          </w:p>
          <w:p w14:paraId="19681FA0" w14:textId="77777777" w:rsidR="006D7EB9" w:rsidRPr="006D7EB9" w:rsidRDefault="006D7EB9" w:rsidP="006D7EB9">
            <w:pPr>
              <w:tabs>
                <w:tab w:val="left" w:pos="883"/>
              </w:tabs>
              <w:spacing w:after="40" w:line="240" w:lineRule="auto"/>
              <w:jc w:val="center"/>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4 (9%)</w:t>
            </w:r>
          </w:p>
        </w:tc>
        <w:tc>
          <w:tcPr>
            <w:tcW w:w="870" w:type="pct"/>
            <w:tcBorders>
              <w:top w:val="nil"/>
            </w:tcBorders>
          </w:tcPr>
          <w:p w14:paraId="4A9206C7" w14:textId="62D0BE22" w:rsidR="006D7EB9" w:rsidRPr="006D7EB9" w:rsidRDefault="006D7EB9" w:rsidP="004566DC">
            <w:pPr>
              <w:tabs>
                <w:tab w:val="left" w:pos="88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Sensitivity = 100% (89</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100)</w:t>
            </w:r>
            <w:r w:rsidRPr="006D7EB9">
              <w:rPr>
                <w:rFonts w:ascii="Arial Narrow" w:eastAsiaTheme="minorHAnsi" w:hAnsi="Arial Narrow" w:cs="Times New Roman"/>
                <w:sz w:val="20"/>
                <w:szCs w:val="20"/>
                <w:lang w:eastAsia="en-US"/>
              </w:rPr>
              <w:br/>
            </w:r>
            <w:r w:rsidRPr="006D7EB9">
              <w:rPr>
                <w:rFonts w:ascii="Arial Narrow" w:eastAsiaTheme="minorHAnsi" w:hAnsi="Arial Narrow" w:cs="Times New Roman"/>
                <w:sz w:val="20"/>
                <w:szCs w:val="20"/>
                <w:lang w:eastAsia="en-US"/>
              </w:rPr>
              <w:tab/>
            </w:r>
            <w:r w:rsidR="00DF5916">
              <w:rPr>
                <w:rFonts w:ascii="Arial Narrow" w:eastAsiaTheme="minorHAnsi" w:hAnsi="Arial Narrow" w:cs="Times New Roman"/>
                <w:sz w:val="20"/>
                <w:szCs w:val="20"/>
                <w:lang w:eastAsia="en-US"/>
              </w:rPr>
              <w:t xml:space="preserve"> </w:t>
            </w:r>
            <w:r w:rsidRPr="006D7EB9">
              <w:rPr>
                <w:rFonts w:ascii="Arial Narrow" w:eastAsiaTheme="minorHAnsi" w:hAnsi="Arial Narrow" w:cs="Times New Roman"/>
                <w:sz w:val="20"/>
                <w:szCs w:val="20"/>
                <w:lang w:eastAsia="en-US"/>
              </w:rPr>
              <w:t>(89% [75</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97])</w:t>
            </w:r>
          </w:p>
          <w:p w14:paraId="5F1AEF56" w14:textId="7D1AF74A" w:rsidR="006D7EB9" w:rsidRPr="006D7EB9" w:rsidRDefault="006D7EB9" w:rsidP="004566DC">
            <w:pPr>
              <w:tabs>
                <w:tab w:val="left" w:pos="743"/>
              </w:tabs>
              <w:spacing w:after="40" w:line="240" w:lineRule="auto"/>
              <w:jc w:val="left"/>
              <w:rPr>
                <w:rFonts w:ascii="Arial Narrow" w:eastAsiaTheme="minorHAnsi" w:hAnsi="Arial Narrow" w:cs="Times New Roman"/>
                <w:sz w:val="20"/>
                <w:szCs w:val="20"/>
                <w:lang w:eastAsia="en-US"/>
              </w:rPr>
            </w:pPr>
            <w:r w:rsidRPr="006D7EB9">
              <w:rPr>
                <w:rFonts w:ascii="Arial Narrow" w:eastAsiaTheme="minorHAnsi" w:hAnsi="Arial Narrow" w:cs="Times New Roman"/>
                <w:sz w:val="20"/>
                <w:szCs w:val="20"/>
                <w:lang w:eastAsia="en-US"/>
              </w:rPr>
              <w:t>Specificity = 100% (66</w:t>
            </w:r>
            <w:r w:rsidR="00027D71">
              <w:rPr>
                <w:rFonts w:ascii="Arial Narrow" w:eastAsiaTheme="minorHAnsi" w:hAnsi="Arial Narrow" w:cs="Times New Roman"/>
                <w:sz w:val="20"/>
                <w:szCs w:val="20"/>
                <w:lang w:eastAsia="en-US"/>
              </w:rPr>
              <w:t>–</w:t>
            </w:r>
            <w:r w:rsidRPr="006D7EB9">
              <w:rPr>
                <w:rFonts w:ascii="Arial Narrow" w:eastAsiaTheme="minorHAnsi" w:hAnsi="Arial Narrow" w:cs="Times New Roman"/>
                <w:sz w:val="20"/>
                <w:szCs w:val="20"/>
                <w:lang w:eastAsia="en-US"/>
              </w:rPr>
              <w:t>100)</w:t>
            </w:r>
          </w:p>
        </w:tc>
      </w:tr>
    </w:tbl>
    <w:p w14:paraId="2629FAA1" w14:textId="0E699A21" w:rsidR="006D7EB9" w:rsidRPr="006D7EB9" w:rsidRDefault="006D7EB9" w:rsidP="004566DC">
      <w:pPr>
        <w:spacing w:before="40" w:line="240" w:lineRule="auto"/>
        <w:ind w:right="-57"/>
        <w:jc w:val="left"/>
        <w:rPr>
          <w:rFonts w:ascii="Arial Narrow" w:hAnsi="Arial Narrow"/>
          <w:sz w:val="20"/>
          <w:szCs w:val="20"/>
        </w:rPr>
      </w:pPr>
      <w:r w:rsidRPr="006D7EB9">
        <w:rPr>
          <w:rFonts w:ascii="Arial Narrow" w:hAnsi="Arial Narrow"/>
          <w:sz w:val="20"/>
          <w:szCs w:val="20"/>
        </w:rPr>
        <w:t xml:space="preserve">CBAVD = congenital bilateral absence of the vas deferens; </w:t>
      </w:r>
      <w:r w:rsidR="00FD37D3" w:rsidRPr="00FD37D3">
        <w:rPr>
          <w:rFonts w:ascii="Arial Narrow" w:hAnsi="Arial Narrow"/>
          <w:sz w:val="20"/>
          <w:szCs w:val="20"/>
        </w:rPr>
        <w:t>CFTR</w:t>
      </w:r>
      <w:r w:rsidRPr="006D7EB9">
        <w:rPr>
          <w:rFonts w:ascii="Arial Narrow" w:hAnsi="Arial Narrow"/>
          <w:sz w:val="20"/>
          <w:szCs w:val="20"/>
        </w:rPr>
        <w:t xml:space="preserve"> = cystic fibrosis transmembrane conductance regulator;</w:t>
      </w:r>
      <w:r w:rsidR="00D81A6B" w:rsidRPr="006D7EB9">
        <w:rPr>
          <w:rFonts w:ascii="Arial Narrow" w:hAnsi="Arial Narrow"/>
          <w:sz w:val="20"/>
          <w:szCs w:val="20"/>
        </w:rPr>
        <w:t xml:space="preserve"> DNA = deoxyribonucleic acid;</w:t>
      </w:r>
      <w:r w:rsidR="00D81A6B">
        <w:rPr>
          <w:rFonts w:ascii="Arial Narrow" w:hAnsi="Arial Narrow"/>
          <w:sz w:val="20"/>
          <w:szCs w:val="20"/>
        </w:rPr>
        <w:t xml:space="preserve"> </w:t>
      </w:r>
      <w:r w:rsidR="00C02B99" w:rsidRPr="00C02B99">
        <w:rPr>
          <w:rFonts w:ascii="Arial Narrow" w:hAnsi="Arial Narrow"/>
          <w:sz w:val="20"/>
          <w:szCs w:val="20"/>
        </w:rPr>
        <w:t>MPLA = multiplex ligation-dependent probe amplification</w:t>
      </w:r>
    </w:p>
    <w:p w14:paraId="3380B7A6" w14:textId="77777777" w:rsidR="002503BE" w:rsidRDefault="002503BE" w:rsidP="002503BE">
      <w:pPr>
        <w:pStyle w:val="Caption"/>
      </w:pPr>
      <w:bookmarkStart w:id="551" w:name="_Ref412451543"/>
      <w:bookmarkStart w:id="552" w:name="_Toc418179489"/>
      <w:r>
        <w:lastRenderedPageBreak/>
        <w:t xml:space="preserve">Table </w:t>
      </w:r>
      <w:fldSimple w:instr=" SEQ Table \* ARABIC ">
        <w:r w:rsidR="00BB0E3E">
          <w:rPr>
            <w:noProof/>
          </w:rPr>
          <w:t>92</w:t>
        </w:r>
      </w:fldSimple>
      <w:bookmarkEnd w:id="551"/>
      <w:r>
        <w:tab/>
      </w:r>
      <w:r w:rsidRPr="0034439A">
        <w:t>Diagnostic accuracy of DNA sequencing compared with clinical diagnosis in patients with CBVAD</w:t>
      </w:r>
      <w:bookmarkEnd w:id="552"/>
    </w:p>
    <w:tbl>
      <w:tblPr>
        <w:tblStyle w:val="TableGrid29"/>
        <w:tblW w:w="4685" w:type="pct"/>
        <w:tblLayout w:type="fixed"/>
        <w:tblLook w:val="04A0" w:firstRow="1" w:lastRow="0" w:firstColumn="1" w:lastColumn="0" w:noHBand="0" w:noVBand="1"/>
        <w:tblCaption w:val="Diagnostic accuracy of in-house NAAT compared with AFB microscopy and culture in mixed specimens"/>
        <w:tblDescription w:val="Diagnostic accuracy of DNA sequencing compared with clinical diagnosis in patients with CBVAD"/>
      </w:tblPr>
      <w:tblGrid>
        <w:gridCol w:w="1186"/>
        <w:gridCol w:w="1131"/>
        <w:gridCol w:w="1623"/>
        <w:gridCol w:w="2210"/>
        <w:gridCol w:w="1027"/>
        <w:gridCol w:w="921"/>
        <w:gridCol w:w="918"/>
        <w:gridCol w:w="918"/>
        <w:gridCol w:w="918"/>
        <w:gridCol w:w="1620"/>
        <w:gridCol w:w="1913"/>
      </w:tblGrid>
      <w:tr w:rsidR="002503BE" w:rsidRPr="002503BE" w14:paraId="3CEDE41A" w14:textId="77777777" w:rsidTr="006F73C4">
        <w:trPr>
          <w:tblHeader/>
        </w:trPr>
        <w:tc>
          <w:tcPr>
            <w:tcW w:w="412" w:type="pct"/>
          </w:tcPr>
          <w:p w14:paraId="0F90D502" w14:textId="044A8D4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Study</w:t>
            </w:r>
            <w:r w:rsidR="005F766F">
              <w:rPr>
                <w:rFonts w:ascii="Arial Narrow" w:eastAsiaTheme="minorHAnsi" w:hAnsi="Arial Narrow" w:cstheme="minorHAnsi"/>
                <w:b/>
                <w:sz w:val="20"/>
                <w:szCs w:val="20"/>
                <w:lang w:eastAsia="en-US"/>
              </w:rPr>
              <w:br/>
            </w:r>
            <w:r w:rsidRPr="002503BE">
              <w:rPr>
                <w:rFonts w:ascii="Arial Narrow" w:eastAsiaTheme="minorHAnsi" w:hAnsi="Arial Narrow" w:cstheme="minorHAnsi"/>
                <w:b/>
                <w:sz w:val="20"/>
                <w:szCs w:val="20"/>
                <w:lang w:eastAsia="en-US"/>
              </w:rPr>
              <w:t>Country</w:t>
            </w:r>
          </w:p>
        </w:tc>
        <w:tc>
          <w:tcPr>
            <w:tcW w:w="393" w:type="pct"/>
          </w:tcPr>
          <w:p w14:paraId="4248615A"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Evidence level and risk of bias</w:t>
            </w:r>
          </w:p>
        </w:tc>
        <w:tc>
          <w:tcPr>
            <w:tcW w:w="564" w:type="pct"/>
          </w:tcPr>
          <w:p w14:paraId="6DCB994D" w14:textId="77777777" w:rsidR="002503BE" w:rsidRPr="002503BE" w:rsidRDefault="002503BE"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Population</w:t>
            </w:r>
          </w:p>
        </w:tc>
        <w:tc>
          <w:tcPr>
            <w:tcW w:w="768" w:type="pct"/>
          </w:tcPr>
          <w:p w14:paraId="36C5167C" w14:textId="77777777" w:rsidR="002503BE" w:rsidRPr="002503BE" w:rsidRDefault="002503BE" w:rsidP="004566DC">
            <w:pPr>
              <w:keepNext/>
              <w:tabs>
                <w:tab w:val="left" w:pos="315"/>
              </w:tabs>
              <w:spacing w:after="40" w:line="240" w:lineRule="auto"/>
              <w:ind w:right="-57"/>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Tests</w:t>
            </w:r>
          </w:p>
        </w:tc>
        <w:tc>
          <w:tcPr>
            <w:tcW w:w="357" w:type="pct"/>
          </w:tcPr>
          <w:p w14:paraId="41FC6219" w14:textId="77777777" w:rsidR="002503BE" w:rsidRPr="002503BE" w:rsidRDefault="002503BE" w:rsidP="004566DC">
            <w:pPr>
              <w:spacing w:after="40" w:line="240" w:lineRule="auto"/>
              <w:ind w:left="-57" w:right="-57"/>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Number of mutations detected</w:t>
            </w:r>
          </w:p>
        </w:tc>
        <w:tc>
          <w:tcPr>
            <w:tcW w:w="320" w:type="pct"/>
          </w:tcPr>
          <w:p w14:paraId="0A4C24C3"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True-positive results</w:t>
            </w:r>
          </w:p>
        </w:tc>
        <w:tc>
          <w:tcPr>
            <w:tcW w:w="319" w:type="pct"/>
          </w:tcPr>
          <w:p w14:paraId="262B11DA"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False-positive results</w:t>
            </w:r>
          </w:p>
        </w:tc>
        <w:tc>
          <w:tcPr>
            <w:tcW w:w="319" w:type="pct"/>
          </w:tcPr>
          <w:p w14:paraId="5D5896D5"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False-negative results</w:t>
            </w:r>
          </w:p>
        </w:tc>
        <w:tc>
          <w:tcPr>
            <w:tcW w:w="319" w:type="pct"/>
          </w:tcPr>
          <w:p w14:paraId="2A9F63E3"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True-negative results</w:t>
            </w:r>
          </w:p>
        </w:tc>
        <w:tc>
          <w:tcPr>
            <w:tcW w:w="563" w:type="pct"/>
          </w:tcPr>
          <w:p w14:paraId="3FC7D4A1" w14:textId="77777777" w:rsidR="002503BE" w:rsidRPr="002503BE" w:rsidRDefault="002503BE" w:rsidP="002503BE">
            <w:pPr>
              <w:keepNext/>
              <w:tabs>
                <w:tab w:val="left" w:pos="746"/>
              </w:tabs>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Accuracy</w:t>
            </w:r>
          </w:p>
        </w:tc>
        <w:tc>
          <w:tcPr>
            <w:tcW w:w="665" w:type="pct"/>
          </w:tcPr>
          <w:p w14:paraId="7035042B"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Additional information</w:t>
            </w:r>
          </w:p>
        </w:tc>
      </w:tr>
      <w:tr w:rsidR="002503BE" w:rsidRPr="002503BE" w14:paraId="63333E82" w14:textId="77777777" w:rsidTr="006F73C4">
        <w:trPr>
          <w:cantSplit/>
          <w:trHeight w:val="111"/>
        </w:trPr>
        <w:tc>
          <w:tcPr>
            <w:tcW w:w="412" w:type="pct"/>
            <w:shd w:val="clear" w:color="auto" w:fill="auto"/>
          </w:tcPr>
          <w:p w14:paraId="0D54844D"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Danziger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2004</w:t>
            </w:r>
            <w:r w:rsidR="00B32459">
              <w:rPr>
                <w:rFonts w:ascii="Arial Narrow" w:eastAsiaTheme="minorHAnsi" w:hAnsi="Arial Narrow" w:cstheme="minorHAnsi"/>
                <w:sz w:val="20"/>
                <w:szCs w:val="20"/>
                <w:lang w:eastAsia="en-US"/>
              </w:rPr>
              <w:t>)</w:t>
            </w:r>
          </w:p>
          <w:p w14:paraId="7E64430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3" w:type="pct"/>
            <w:shd w:val="clear" w:color="auto" w:fill="auto"/>
          </w:tcPr>
          <w:p w14:paraId="676D5C0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69717B8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4" w:type="pct"/>
            <w:shd w:val="clear" w:color="auto" w:fill="auto"/>
          </w:tcPr>
          <w:p w14:paraId="419D8A5E" w14:textId="3B1A937E" w:rsidR="002503BE" w:rsidRPr="002503BE" w:rsidRDefault="002503BE" w:rsidP="004566DC">
            <w:pPr>
              <w:tabs>
                <w:tab w:val="left" w:pos="89"/>
              </w:tabs>
              <w:spacing w:after="40" w:line="240" w:lineRule="auto"/>
              <w:jc w:val="left"/>
              <w:rPr>
                <w:rFonts w:ascii="Arial Narrow" w:hAnsi="Arial Narrow" w:cs="Times New Roman"/>
                <w:sz w:val="20"/>
                <w:szCs w:val="20"/>
              </w:rPr>
            </w:pPr>
            <w:r w:rsidRPr="002503BE">
              <w:rPr>
                <w:rFonts w:ascii="Arial Narrow" w:hAnsi="Arial Narrow" w:cs="Times New Roman"/>
                <w:sz w:val="20"/>
                <w:szCs w:val="20"/>
                <w:lang w:eastAsia="en-US"/>
              </w:rPr>
              <w:t>N=16 male patients with CAVD (13 with CBAVD)</w:t>
            </w:r>
          </w:p>
        </w:tc>
        <w:tc>
          <w:tcPr>
            <w:tcW w:w="768" w:type="pct"/>
          </w:tcPr>
          <w:p w14:paraId="53D21030" w14:textId="279883DF" w:rsidR="002503BE" w:rsidRPr="002503BE" w:rsidRDefault="002503BE" w:rsidP="004566DC">
            <w:pPr>
              <w:tabs>
                <w:tab w:val="left" w:pos="315"/>
                <w:tab w:val="left" w:pos="883"/>
              </w:tabs>
              <w:spacing w:after="40" w:line="240" w:lineRule="auto"/>
              <w:ind w:right="-57"/>
              <w:jc w:val="left"/>
              <w:rPr>
                <w:rFonts w:ascii="Arial Narrow" w:hAnsi="Arial Narrow" w:cs="Times New Roman"/>
                <w:sz w:val="20"/>
                <w:szCs w:val="20"/>
              </w:rPr>
            </w:pPr>
            <w:r w:rsidRPr="002503BE">
              <w:rPr>
                <w:rFonts w:ascii="Arial Narrow" w:hAnsi="Arial Narrow" w:cs="Times New Roman"/>
                <w:sz w:val="20"/>
                <w:szCs w:val="20"/>
              </w:rPr>
              <w:t>mTTGE and DNA sequencing</w:t>
            </w:r>
            <w:r w:rsidR="00A13094">
              <w:rPr>
                <w:rFonts w:ascii="Arial Narrow" w:hAnsi="Arial Narrow" w:cs="Times New Roman"/>
                <w:sz w:val="20"/>
                <w:szCs w:val="20"/>
              </w:rPr>
              <w:t>:</w:t>
            </w:r>
          </w:p>
          <w:p w14:paraId="3CC3EBB0" w14:textId="77777777" w:rsidR="002503BE" w:rsidRPr="002503BE" w:rsidRDefault="002503BE" w:rsidP="004566DC">
            <w:pPr>
              <w:tabs>
                <w:tab w:val="left" w:pos="315"/>
              </w:tabs>
              <w:spacing w:after="40" w:line="240" w:lineRule="auto"/>
              <w:ind w:right="-57"/>
              <w:jc w:val="left"/>
              <w:rPr>
                <w:rFonts w:ascii="Arial Narrow" w:hAnsi="Arial Narrow" w:cs="Times New Roman"/>
                <w:sz w:val="20"/>
                <w:szCs w:val="20"/>
              </w:rPr>
            </w:pPr>
            <w:r w:rsidRPr="002503BE">
              <w:rPr>
                <w:rFonts w:ascii="Arial Narrow" w:hAnsi="Arial Narrow" w:cs="Times New Roman"/>
                <w:sz w:val="20"/>
                <w:szCs w:val="20"/>
              </w:rPr>
              <w:tab/>
              <w:t>N=16 patients</w:t>
            </w:r>
          </w:p>
          <w:p w14:paraId="43358824"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hAnsi="Arial Narrow" w:cs="Times New Roman"/>
                <w:sz w:val="20"/>
                <w:szCs w:val="20"/>
              </w:rPr>
              <w:tab/>
              <w:t>N=32 chromosomes</w:t>
            </w:r>
          </w:p>
        </w:tc>
        <w:tc>
          <w:tcPr>
            <w:tcW w:w="357" w:type="pct"/>
          </w:tcPr>
          <w:p w14:paraId="77B4B8AC" w14:textId="0599132E" w:rsidR="002503BE" w:rsidRPr="002503BE" w:rsidRDefault="00027D71" w:rsidP="004566DC">
            <w:pPr>
              <w:spacing w:after="40" w:line="240" w:lineRule="auto"/>
              <w:jc w:val="left"/>
              <w:rPr>
                <w:rFonts w:ascii="Arial Narrow" w:eastAsiaTheme="minorHAnsi" w:hAnsi="Arial Narrow" w:cs="Times New Roman"/>
                <w:sz w:val="20"/>
                <w:szCs w:val="20"/>
                <w:lang w:eastAsia="en-US"/>
              </w:rPr>
            </w:pPr>
            <w:r>
              <w:rPr>
                <w:rFonts w:ascii="Arial Narrow" w:eastAsiaTheme="minorHAnsi" w:hAnsi="Arial Narrow" w:cs="Times New Roman"/>
                <w:sz w:val="20"/>
                <w:szCs w:val="20"/>
                <w:lang w:eastAsia="en-US"/>
              </w:rPr>
              <w:t>F</w:t>
            </w:r>
            <w:r w:rsidR="002503BE" w:rsidRPr="002503BE">
              <w:rPr>
                <w:rFonts w:ascii="Arial Narrow" w:eastAsiaTheme="minorHAnsi" w:hAnsi="Arial Narrow" w:cs="Times New Roman"/>
                <w:sz w:val="20"/>
                <w:szCs w:val="20"/>
                <w:lang w:eastAsia="en-US"/>
              </w:rPr>
              <w:t xml:space="preserve">ull mutation scan of the </w:t>
            </w:r>
            <w:r w:rsidR="00A21FD9" w:rsidRPr="00A21FD9">
              <w:rPr>
                <w:rFonts w:ascii="Arial Narrow" w:eastAsiaTheme="minorHAnsi" w:hAnsi="Arial Narrow" w:cs="Times New Roman"/>
                <w:i/>
                <w:sz w:val="20"/>
                <w:szCs w:val="20"/>
                <w:lang w:eastAsia="en-US"/>
              </w:rPr>
              <w:t>CFTR</w:t>
            </w:r>
            <w:r w:rsidR="002503BE" w:rsidRPr="002503BE">
              <w:rPr>
                <w:rFonts w:ascii="Arial Narrow" w:eastAsiaTheme="minorHAnsi" w:hAnsi="Arial Narrow" w:cs="Times New Roman"/>
                <w:sz w:val="20"/>
                <w:szCs w:val="20"/>
                <w:lang w:eastAsia="en-US"/>
              </w:rPr>
              <w:t xml:space="preserve"> gene</w:t>
            </w:r>
          </w:p>
        </w:tc>
        <w:tc>
          <w:tcPr>
            <w:tcW w:w="320" w:type="pct"/>
            <w:shd w:val="clear" w:color="auto" w:fill="auto"/>
          </w:tcPr>
          <w:p w14:paraId="6B1D986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696C228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12</w:t>
            </w:r>
          </w:p>
          <w:p w14:paraId="7476363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15</w:t>
            </w:r>
          </w:p>
        </w:tc>
        <w:tc>
          <w:tcPr>
            <w:tcW w:w="319" w:type="pct"/>
            <w:shd w:val="clear" w:color="auto" w:fill="auto"/>
          </w:tcPr>
          <w:p w14:paraId="7609CDC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7127BBA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C56113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shd w:val="clear" w:color="auto" w:fill="auto"/>
          </w:tcPr>
          <w:p w14:paraId="2CDE487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668EB18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4 (25%)</w:t>
            </w:r>
          </w:p>
          <w:p w14:paraId="0B3D800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17 (53%)</w:t>
            </w:r>
          </w:p>
        </w:tc>
        <w:tc>
          <w:tcPr>
            <w:tcW w:w="319" w:type="pct"/>
            <w:shd w:val="clear" w:color="auto" w:fill="auto"/>
          </w:tcPr>
          <w:p w14:paraId="516478C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167A895E"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75F4A68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Pr>
          <w:p w14:paraId="45A5588B"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73429BB1"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75%</w:t>
            </w:r>
          </w:p>
          <w:p w14:paraId="5D5BD547"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47%</w:t>
            </w:r>
          </w:p>
        </w:tc>
        <w:tc>
          <w:tcPr>
            <w:tcW w:w="665" w:type="pct"/>
            <w:shd w:val="clear" w:color="auto" w:fill="auto"/>
          </w:tcPr>
          <w:p w14:paraId="2711E7ED"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mutations were heterozygous.</w:t>
            </w:r>
          </w:p>
          <w:p w14:paraId="74FB2E7C"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 variants of unknown significance were identified.</w:t>
            </w:r>
          </w:p>
        </w:tc>
      </w:tr>
      <w:tr w:rsidR="002503BE" w:rsidRPr="002503BE" w14:paraId="026D1A1D" w14:textId="77777777" w:rsidTr="006F73C4">
        <w:trPr>
          <w:trHeight w:val="491"/>
        </w:trPr>
        <w:tc>
          <w:tcPr>
            <w:tcW w:w="412" w:type="pct"/>
          </w:tcPr>
          <w:p w14:paraId="3FF1FDF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Gallati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2009</w:t>
            </w:r>
            <w:r w:rsidR="00B32459">
              <w:rPr>
                <w:rFonts w:ascii="Arial Narrow" w:eastAsiaTheme="minorHAnsi" w:hAnsi="Arial Narrow" w:cstheme="minorHAnsi"/>
                <w:sz w:val="20"/>
                <w:szCs w:val="20"/>
                <w:lang w:eastAsia="en-US"/>
              </w:rPr>
              <w:t>)</w:t>
            </w:r>
          </w:p>
          <w:p w14:paraId="41A97095"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Switzerland</w:t>
            </w:r>
          </w:p>
        </w:tc>
        <w:tc>
          <w:tcPr>
            <w:tcW w:w="393" w:type="pct"/>
          </w:tcPr>
          <w:p w14:paraId="1C50DB46"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64F8C96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564" w:type="pct"/>
          </w:tcPr>
          <w:p w14:paraId="37540888" w14:textId="5C818D59"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 25 azoospermic men diagnosed with CAVD</w:t>
            </w:r>
          </w:p>
        </w:tc>
        <w:tc>
          <w:tcPr>
            <w:tcW w:w="768" w:type="pct"/>
          </w:tcPr>
          <w:p w14:paraId="2DD80A25" w14:textId="2107D748"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SSCP and DNA sequencing</w:t>
            </w:r>
            <w:r w:rsidR="00A13094">
              <w:rPr>
                <w:rFonts w:ascii="Arial Narrow" w:eastAsiaTheme="minorHAnsi" w:hAnsi="Arial Narrow" w:cs="Times New Roman"/>
                <w:sz w:val="20"/>
                <w:szCs w:val="20"/>
                <w:lang w:eastAsia="en-US"/>
              </w:rPr>
              <w:t>:</w:t>
            </w:r>
          </w:p>
          <w:p w14:paraId="540A04E2"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25 patients</w:t>
            </w:r>
          </w:p>
          <w:p w14:paraId="1F6A2AF8"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N=50 chromosomes</w:t>
            </w:r>
          </w:p>
        </w:tc>
        <w:tc>
          <w:tcPr>
            <w:tcW w:w="357" w:type="pct"/>
          </w:tcPr>
          <w:p w14:paraId="46FF2FE7" w14:textId="71186DAA" w:rsidR="002503BE" w:rsidRPr="002503BE" w:rsidRDefault="002503BE" w:rsidP="004566DC">
            <w:pPr>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27 exons and their exon</w:t>
            </w:r>
            <w:r w:rsidR="0081298F">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intron boundaries</w:t>
            </w:r>
          </w:p>
        </w:tc>
        <w:tc>
          <w:tcPr>
            <w:tcW w:w="320" w:type="pct"/>
          </w:tcPr>
          <w:p w14:paraId="46DD998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E574CA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17</w:t>
            </w:r>
          </w:p>
          <w:p w14:paraId="362535A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32</w:t>
            </w:r>
          </w:p>
        </w:tc>
        <w:tc>
          <w:tcPr>
            <w:tcW w:w="319" w:type="pct"/>
          </w:tcPr>
          <w:p w14:paraId="4C88395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210C60C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72E95F2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Pr>
          <w:p w14:paraId="7DF5139E"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DFE7F5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8 (32%)</w:t>
            </w:r>
          </w:p>
          <w:p w14:paraId="67674E6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18 (36%)</w:t>
            </w:r>
          </w:p>
        </w:tc>
        <w:tc>
          <w:tcPr>
            <w:tcW w:w="319" w:type="pct"/>
          </w:tcPr>
          <w:p w14:paraId="013852B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68C9E2E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2412F9D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Pr>
          <w:p w14:paraId="070748FC"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D878E8A"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68%</w:t>
            </w:r>
          </w:p>
          <w:p w14:paraId="1474174E"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64%</w:t>
            </w:r>
          </w:p>
        </w:tc>
        <w:tc>
          <w:tcPr>
            <w:tcW w:w="665" w:type="pct"/>
          </w:tcPr>
          <w:p w14:paraId="44AED6A4" w14:textId="513406E5"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Two mutations were identified in 15 (60%) patients</w:t>
            </w:r>
            <w:r w:rsidRPr="002503BE">
              <w:rPr>
                <w:rFonts w:ascii="Arial Narrow" w:hAnsi="Arial Narrow" w:cs="Times New Roman"/>
                <w:sz w:val="20"/>
                <w:szCs w:val="20"/>
              </w:rPr>
              <w:t xml:space="preserve"> and </w:t>
            </w:r>
            <w:r w:rsidR="005D63BD">
              <w:rPr>
                <w:rFonts w:ascii="Arial Narrow" w:eastAsiaTheme="minorHAnsi" w:hAnsi="Arial Narrow" w:cs="Times New Roman"/>
                <w:sz w:val="20"/>
                <w:szCs w:val="20"/>
                <w:lang w:eastAsia="en-US"/>
              </w:rPr>
              <w:t>1</w:t>
            </w:r>
            <w:r w:rsidR="005D63BD"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2 (8%)</w:t>
            </w:r>
            <w:r w:rsidR="00A13094">
              <w:rPr>
                <w:rFonts w:ascii="Arial Narrow" w:eastAsiaTheme="minorHAnsi" w:hAnsi="Arial Narrow" w:cs="Times New Roman"/>
                <w:sz w:val="20"/>
                <w:szCs w:val="20"/>
                <w:lang w:eastAsia="en-US"/>
              </w:rPr>
              <w:t xml:space="preserve"> patients</w:t>
            </w:r>
            <w:r w:rsidRPr="002503BE">
              <w:rPr>
                <w:rFonts w:ascii="Arial Narrow" w:eastAsiaTheme="minorHAnsi" w:hAnsi="Arial Narrow" w:cs="Times New Roman"/>
                <w:sz w:val="20"/>
                <w:szCs w:val="20"/>
                <w:lang w:eastAsia="en-US"/>
              </w:rPr>
              <w:t>.</w:t>
            </w:r>
          </w:p>
        </w:tc>
      </w:tr>
      <w:tr w:rsidR="002503BE" w:rsidRPr="002503BE" w14:paraId="09D52099" w14:textId="77777777" w:rsidTr="006F73C4">
        <w:trPr>
          <w:cantSplit/>
          <w:trHeight w:val="64"/>
        </w:trPr>
        <w:tc>
          <w:tcPr>
            <w:tcW w:w="412" w:type="pct"/>
          </w:tcPr>
          <w:p w14:paraId="2E8F776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Giuliani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2010</w:t>
            </w:r>
            <w:r w:rsidR="00B32459">
              <w:rPr>
                <w:rFonts w:ascii="Arial Narrow" w:eastAsiaTheme="minorHAnsi" w:hAnsi="Arial Narrow" w:cstheme="minorHAnsi"/>
                <w:sz w:val="20"/>
                <w:szCs w:val="20"/>
                <w:lang w:eastAsia="en-US"/>
              </w:rPr>
              <w:t>)</w:t>
            </w:r>
          </w:p>
          <w:p w14:paraId="50E51625"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Italy</w:t>
            </w:r>
          </w:p>
        </w:tc>
        <w:tc>
          <w:tcPr>
            <w:tcW w:w="393" w:type="pct"/>
          </w:tcPr>
          <w:p w14:paraId="7F8F64D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3B1CF01D"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564" w:type="pct"/>
          </w:tcPr>
          <w:p w14:paraId="6034582F" w14:textId="53F96DDC"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N=23 CBAVD patients</w:t>
            </w:r>
          </w:p>
        </w:tc>
        <w:tc>
          <w:tcPr>
            <w:tcW w:w="768" w:type="pct"/>
          </w:tcPr>
          <w:p w14:paraId="5327E022" w14:textId="44DAB3C2"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Reverse dot-blot, DHPLC and DNA sequencing</w:t>
            </w:r>
            <w:r w:rsidR="00A13094">
              <w:rPr>
                <w:rFonts w:ascii="Arial Narrow" w:eastAsiaTheme="minorHAnsi" w:hAnsi="Arial Narrow" w:cs="Times New Roman"/>
                <w:sz w:val="20"/>
                <w:szCs w:val="20"/>
                <w:lang w:eastAsia="en-US"/>
              </w:rPr>
              <w:t>:</w:t>
            </w:r>
          </w:p>
          <w:p w14:paraId="3BCE691F"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23 patients</w:t>
            </w:r>
          </w:p>
          <w:p w14:paraId="78A38BE5"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N=46 chromosomes</w:t>
            </w:r>
          </w:p>
        </w:tc>
        <w:tc>
          <w:tcPr>
            <w:tcW w:w="357" w:type="pct"/>
          </w:tcPr>
          <w:p w14:paraId="353AD4E4" w14:textId="15EB94DB" w:rsidR="002503BE" w:rsidRPr="002503BE" w:rsidRDefault="00A21FD9" w:rsidP="004566DC">
            <w:pPr>
              <w:spacing w:after="40" w:line="240" w:lineRule="auto"/>
              <w:jc w:val="left"/>
              <w:rPr>
                <w:rFonts w:ascii="Arial Narrow" w:eastAsiaTheme="minorHAnsi" w:hAnsi="Arial Narrow" w:cs="Times New Roman"/>
                <w:sz w:val="20"/>
                <w:szCs w:val="20"/>
                <w:lang w:eastAsia="en-US"/>
              </w:rPr>
            </w:pPr>
            <w:r w:rsidRPr="00A21FD9">
              <w:rPr>
                <w:rFonts w:ascii="Arial Narrow" w:eastAsiaTheme="minorHAnsi" w:hAnsi="Arial Narrow" w:cs="Times New Roman"/>
                <w:i/>
                <w:sz w:val="20"/>
                <w:szCs w:val="20"/>
                <w:lang w:eastAsia="en-US"/>
              </w:rPr>
              <w:t>CFTR</w:t>
            </w:r>
            <w:r w:rsidR="002503BE" w:rsidRPr="002503BE">
              <w:rPr>
                <w:rFonts w:ascii="Arial Narrow" w:eastAsiaTheme="minorHAnsi" w:hAnsi="Arial Narrow" w:cs="Times New Roman"/>
                <w:sz w:val="20"/>
                <w:szCs w:val="20"/>
                <w:lang w:eastAsia="en-US"/>
              </w:rPr>
              <w:t xml:space="preserve"> coding region</w:t>
            </w:r>
          </w:p>
        </w:tc>
        <w:tc>
          <w:tcPr>
            <w:tcW w:w="320" w:type="pct"/>
          </w:tcPr>
          <w:p w14:paraId="2D05FCAE"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59BB6E7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23</w:t>
            </w:r>
          </w:p>
          <w:p w14:paraId="068A6BA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35</w:t>
            </w:r>
          </w:p>
        </w:tc>
        <w:tc>
          <w:tcPr>
            <w:tcW w:w="319" w:type="pct"/>
          </w:tcPr>
          <w:p w14:paraId="074FDE8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1E17944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99FBE4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Pr>
          <w:p w14:paraId="5053B83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6CF94BD"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 (0%)</w:t>
            </w:r>
          </w:p>
          <w:p w14:paraId="5489E05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11 (24%)</w:t>
            </w:r>
          </w:p>
        </w:tc>
        <w:tc>
          <w:tcPr>
            <w:tcW w:w="319" w:type="pct"/>
          </w:tcPr>
          <w:p w14:paraId="486F4C1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70C788FD"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31DF424E"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Pr>
          <w:p w14:paraId="5CFF6F7E"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4E6527B6" w14:textId="77777777" w:rsidR="002503BE" w:rsidRPr="002503BE" w:rsidRDefault="002503BE" w:rsidP="002503BE">
            <w:pPr>
              <w:tabs>
                <w:tab w:val="left" w:pos="883"/>
              </w:tabs>
              <w:spacing w:after="40" w:line="240" w:lineRule="auto"/>
              <w:ind w:right="-57"/>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w:t>
            </w:r>
          </w:p>
          <w:p w14:paraId="19B16363"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76%</w:t>
            </w:r>
          </w:p>
        </w:tc>
        <w:tc>
          <w:tcPr>
            <w:tcW w:w="665" w:type="pct"/>
          </w:tcPr>
          <w:p w14:paraId="453E8084" w14:textId="22F875A1"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12 (52%) patients and </w:t>
            </w:r>
            <w:r w:rsidR="005D63BD">
              <w:rPr>
                <w:rFonts w:ascii="Arial Narrow" w:eastAsiaTheme="minorHAnsi" w:hAnsi="Arial Narrow" w:cs="Times New Roman"/>
                <w:sz w:val="20"/>
                <w:szCs w:val="20"/>
                <w:lang w:eastAsia="en-US"/>
              </w:rPr>
              <w:t>1</w:t>
            </w:r>
            <w:r w:rsidR="005D63BD"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11 (48%)</w:t>
            </w:r>
            <w:r w:rsidR="00A13094">
              <w:rPr>
                <w:rFonts w:ascii="Arial Narrow" w:eastAsiaTheme="minorHAnsi" w:hAnsi="Arial Narrow" w:cs="Times New Roman"/>
                <w:sz w:val="20"/>
                <w:szCs w:val="20"/>
                <w:lang w:eastAsia="en-US"/>
              </w:rPr>
              <w:t xml:space="preserve"> patients</w:t>
            </w:r>
            <w:r w:rsidRPr="002503BE">
              <w:rPr>
                <w:rFonts w:ascii="Arial Narrow" w:eastAsiaTheme="minorHAnsi" w:hAnsi="Arial Narrow" w:cs="Times New Roman"/>
                <w:sz w:val="20"/>
                <w:szCs w:val="20"/>
                <w:lang w:eastAsia="en-US"/>
              </w:rPr>
              <w:t>.</w:t>
            </w:r>
          </w:p>
        </w:tc>
      </w:tr>
      <w:tr w:rsidR="002503BE" w:rsidRPr="002503BE" w14:paraId="26666A47" w14:textId="77777777" w:rsidTr="006F73C4">
        <w:trPr>
          <w:trHeight w:val="64"/>
        </w:trPr>
        <w:tc>
          <w:tcPr>
            <w:tcW w:w="412" w:type="pct"/>
          </w:tcPr>
          <w:p w14:paraId="50503C7D"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Bareil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2007</w:t>
            </w:r>
            <w:r w:rsidR="00B32459">
              <w:rPr>
                <w:rFonts w:ascii="Arial Narrow" w:eastAsiaTheme="minorHAnsi" w:hAnsi="Arial Narrow" w:cstheme="minorHAnsi"/>
                <w:sz w:val="20"/>
                <w:szCs w:val="20"/>
                <w:lang w:eastAsia="en-US"/>
              </w:rPr>
              <w:t>)</w:t>
            </w:r>
          </w:p>
          <w:p w14:paraId="312D560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France</w:t>
            </w:r>
          </w:p>
        </w:tc>
        <w:tc>
          <w:tcPr>
            <w:tcW w:w="393" w:type="pct"/>
          </w:tcPr>
          <w:p w14:paraId="3349795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24C01C8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564" w:type="pct"/>
          </w:tcPr>
          <w:p w14:paraId="7913236F" w14:textId="30C559C3"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N=182 samples from men with a clinical diagnosis of CBAVD</w:t>
            </w:r>
          </w:p>
        </w:tc>
        <w:tc>
          <w:tcPr>
            <w:tcW w:w="768" w:type="pct"/>
          </w:tcPr>
          <w:p w14:paraId="6E434299"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DGGE or DHPLC and DNA sequencing</w:t>
            </w:r>
          </w:p>
          <w:p w14:paraId="255EC95E"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182 patients</w:t>
            </w:r>
          </w:p>
          <w:p w14:paraId="405FD046"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N=364 chromosomes</w:t>
            </w:r>
          </w:p>
        </w:tc>
        <w:tc>
          <w:tcPr>
            <w:tcW w:w="357" w:type="pct"/>
          </w:tcPr>
          <w:p w14:paraId="36C5DEF4" w14:textId="1E115121" w:rsidR="002503BE" w:rsidRPr="002503BE" w:rsidRDefault="002503BE" w:rsidP="004566DC">
            <w:pPr>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27 exons and their exon</w:t>
            </w:r>
            <w:r w:rsidR="0081298F">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intron boundaries</w:t>
            </w:r>
          </w:p>
        </w:tc>
        <w:tc>
          <w:tcPr>
            <w:tcW w:w="320" w:type="pct"/>
          </w:tcPr>
          <w:p w14:paraId="6007021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7E8293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168</w:t>
            </w:r>
          </w:p>
          <w:p w14:paraId="7080E17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320</w:t>
            </w:r>
          </w:p>
        </w:tc>
        <w:tc>
          <w:tcPr>
            <w:tcW w:w="319" w:type="pct"/>
          </w:tcPr>
          <w:p w14:paraId="1B557F1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9F8B94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5E85CD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Pr>
          <w:p w14:paraId="0E3E769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D58CB4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14 (8%)</w:t>
            </w:r>
          </w:p>
          <w:p w14:paraId="227A909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44 (12%)</w:t>
            </w:r>
          </w:p>
        </w:tc>
        <w:tc>
          <w:tcPr>
            <w:tcW w:w="319" w:type="pct"/>
          </w:tcPr>
          <w:p w14:paraId="530A0D7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43B30D1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470AA93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Pr>
          <w:p w14:paraId="7F0A65BD"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4CEDFDCB"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92%</w:t>
            </w:r>
          </w:p>
          <w:p w14:paraId="612E3195"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88%</w:t>
            </w:r>
          </w:p>
        </w:tc>
        <w:tc>
          <w:tcPr>
            <w:tcW w:w="665" w:type="pct"/>
          </w:tcPr>
          <w:p w14:paraId="4430FCFE" w14:textId="196216D0"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Two mutations were identified in 152 (84%) patients</w:t>
            </w:r>
            <w:r w:rsidRPr="002503BE">
              <w:rPr>
                <w:rFonts w:ascii="Arial Narrow" w:hAnsi="Arial Narrow" w:cs="Times New Roman"/>
                <w:sz w:val="20"/>
                <w:szCs w:val="20"/>
              </w:rPr>
              <w:t xml:space="preserve"> and </w:t>
            </w:r>
            <w:r w:rsidR="005D63BD">
              <w:rPr>
                <w:rFonts w:ascii="Arial Narrow" w:eastAsiaTheme="minorHAnsi" w:hAnsi="Arial Narrow" w:cs="Times New Roman"/>
                <w:sz w:val="20"/>
                <w:szCs w:val="20"/>
                <w:lang w:eastAsia="en-US"/>
              </w:rPr>
              <w:t>1</w:t>
            </w:r>
            <w:r w:rsidR="005D63BD"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16 (9%)</w:t>
            </w:r>
            <w:r w:rsidR="00A13094">
              <w:rPr>
                <w:rFonts w:ascii="Arial Narrow" w:eastAsiaTheme="minorHAnsi" w:hAnsi="Arial Narrow" w:cs="Times New Roman"/>
                <w:sz w:val="20"/>
                <w:szCs w:val="20"/>
                <w:lang w:eastAsia="en-US"/>
              </w:rPr>
              <w:t xml:space="preserve"> patients</w:t>
            </w:r>
            <w:r w:rsidRPr="002503BE">
              <w:rPr>
                <w:rFonts w:ascii="Arial Narrow" w:eastAsiaTheme="minorHAnsi" w:hAnsi="Arial Narrow" w:cs="Times New Roman"/>
                <w:sz w:val="20"/>
                <w:szCs w:val="20"/>
                <w:lang w:eastAsia="en-US"/>
              </w:rPr>
              <w:t>.</w:t>
            </w:r>
          </w:p>
        </w:tc>
      </w:tr>
      <w:tr w:rsidR="002503BE" w:rsidRPr="002503BE" w14:paraId="6A1399F1" w14:textId="77777777" w:rsidTr="006F73C4">
        <w:trPr>
          <w:cantSplit/>
          <w:trHeight w:val="64"/>
        </w:trPr>
        <w:tc>
          <w:tcPr>
            <w:tcW w:w="412" w:type="pct"/>
          </w:tcPr>
          <w:p w14:paraId="4207DCA4" w14:textId="6311E966"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Bernardino, Lima </w:t>
            </w:r>
            <w:r w:rsidR="00027D71">
              <w:rPr>
                <w:rFonts w:ascii="Arial Narrow" w:eastAsiaTheme="minorHAnsi" w:hAnsi="Arial Narrow" w:cstheme="minorHAnsi"/>
                <w:sz w:val="20"/>
                <w:szCs w:val="20"/>
                <w:lang w:eastAsia="en-US"/>
              </w:rPr>
              <w:t>&amp;</w:t>
            </w:r>
            <w:r w:rsidR="00027D71" w:rsidRPr="002503BE">
              <w:rPr>
                <w:rFonts w:ascii="Arial Narrow" w:eastAsiaTheme="minorHAnsi" w:hAnsi="Arial Narrow" w:cstheme="minorHAnsi"/>
                <w:sz w:val="20"/>
                <w:szCs w:val="20"/>
                <w:lang w:eastAsia="en-US"/>
              </w:rPr>
              <w:t xml:space="preserve"> </w:t>
            </w:r>
            <w:r w:rsidRPr="002503BE">
              <w:rPr>
                <w:rFonts w:ascii="Arial Narrow" w:eastAsiaTheme="minorHAnsi" w:hAnsi="Arial Narrow" w:cstheme="minorHAnsi"/>
                <w:sz w:val="20"/>
                <w:szCs w:val="20"/>
                <w:lang w:eastAsia="en-US"/>
              </w:rPr>
              <w:t xml:space="preserve">Zatz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42A857E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Brazil</w:t>
            </w:r>
          </w:p>
        </w:tc>
        <w:tc>
          <w:tcPr>
            <w:tcW w:w="393" w:type="pct"/>
          </w:tcPr>
          <w:p w14:paraId="4F41B221"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265B7B1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564" w:type="pct"/>
          </w:tcPr>
          <w:p w14:paraId="1E8D4EA3" w14:textId="4133E4F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N=17 patients with CBAVD</w:t>
            </w:r>
          </w:p>
        </w:tc>
        <w:tc>
          <w:tcPr>
            <w:tcW w:w="768" w:type="pct"/>
          </w:tcPr>
          <w:p w14:paraId="2E0E88AD" w14:textId="152EE1B6"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SSCP</w:t>
            </w:r>
            <w:r w:rsidRPr="002503BE">
              <w:rPr>
                <w:rFonts w:ascii="Arial Narrow" w:hAnsi="Arial Narrow" w:cs="Times New Roman"/>
                <w:sz w:val="20"/>
                <w:szCs w:val="20"/>
              </w:rPr>
              <w:t xml:space="preserve"> </w:t>
            </w:r>
            <w:r w:rsidRPr="002503BE">
              <w:rPr>
                <w:rFonts w:ascii="Arial Narrow" w:eastAsiaTheme="minorHAnsi" w:hAnsi="Arial Narrow" w:cs="Times New Roman"/>
                <w:sz w:val="20"/>
                <w:szCs w:val="20"/>
                <w:lang w:eastAsia="en-US"/>
              </w:rPr>
              <w:t>and DNA sequencing</w:t>
            </w:r>
            <w:r w:rsidR="00A13094">
              <w:rPr>
                <w:rFonts w:ascii="Arial Narrow" w:eastAsiaTheme="minorHAnsi" w:hAnsi="Arial Narrow" w:cs="Times New Roman"/>
                <w:sz w:val="20"/>
                <w:szCs w:val="20"/>
                <w:lang w:eastAsia="en-US"/>
              </w:rPr>
              <w:t>:</w:t>
            </w:r>
          </w:p>
          <w:p w14:paraId="7E9E16EE"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17 patients</w:t>
            </w:r>
          </w:p>
          <w:p w14:paraId="11E2B09C"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N=34 chromosomes</w:t>
            </w:r>
          </w:p>
        </w:tc>
        <w:tc>
          <w:tcPr>
            <w:tcW w:w="357" w:type="pct"/>
          </w:tcPr>
          <w:p w14:paraId="409E05CC" w14:textId="7EE3BBAE" w:rsidR="002503BE" w:rsidRPr="002503BE" w:rsidRDefault="002503BE" w:rsidP="004566DC">
            <w:pPr>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27 exons and their exon</w:t>
            </w:r>
            <w:r w:rsidR="0081298F">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intron boundaries</w:t>
            </w:r>
          </w:p>
        </w:tc>
        <w:tc>
          <w:tcPr>
            <w:tcW w:w="320" w:type="pct"/>
          </w:tcPr>
          <w:p w14:paraId="095134A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B5CF64F"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10</w:t>
            </w:r>
          </w:p>
          <w:p w14:paraId="0861E4CF"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19</w:t>
            </w:r>
          </w:p>
        </w:tc>
        <w:tc>
          <w:tcPr>
            <w:tcW w:w="319" w:type="pct"/>
          </w:tcPr>
          <w:p w14:paraId="2E937DD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6B4F742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6226D35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Pr>
          <w:p w14:paraId="06871AE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8200FC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7 (41%)</w:t>
            </w:r>
          </w:p>
          <w:p w14:paraId="5108E79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15 (44%)</w:t>
            </w:r>
          </w:p>
        </w:tc>
        <w:tc>
          <w:tcPr>
            <w:tcW w:w="319" w:type="pct"/>
          </w:tcPr>
          <w:p w14:paraId="5DA906C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875333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339BC2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Pr>
          <w:p w14:paraId="58F4572C"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30C10A81"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59%</w:t>
            </w:r>
          </w:p>
          <w:p w14:paraId="78BCC755" w14:textId="77777777" w:rsidR="002503BE" w:rsidRPr="002503BE" w:rsidRDefault="002503BE" w:rsidP="002503BE">
            <w:pPr>
              <w:tabs>
                <w:tab w:val="left" w:pos="883"/>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56%</w:t>
            </w:r>
          </w:p>
        </w:tc>
        <w:tc>
          <w:tcPr>
            <w:tcW w:w="665" w:type="pct"/>
          </w:tcPr>
          <w:p w14:paraId="7D380B3A" w14:textId="01A40E42"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Two mutations were identified in 9 (53%) patients</w:t>
            </w:r>
            <w:r w:rsidRPr="002503BE">
              <w:rPr>
                <w:rFonts w:ascii="Arial Narrow" w:hAnsi="Arial Narrow" w:cs="Times New Roman"/>
                <w:sz w:val="20"/>
                <w:szCs w:val="20"/>
              </w:rPr>
              <w:t xml:space="preserve"> and </w:t>
            </w:r>
            <w:r w:rsidR="005D63BD">
              <w:rPr>
                <w:rFonts w:ascii="Arial Narrow" w:eastAsiaTheme="minorHAnsi" w:hAnsi="Arial Narrow" w:cs="Times New Roman"/>
                <w:sz w:val="20"/>
                <w:szCs w:val="20"/>
                <w:lang w:eastAsia="en-US"/>
              </w:rPr>
              <w:t>1</w:t>
            </w:r>
            <w:r w:rsidR="005D63BD"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1 (6%)</w:t>
            </w:r>
            <w:r w:rsidR="00A13094">
              <w:rPr>
                <w:rFonts w:ascii="Arial Narrow" w:eastAsiaTheme="minorHAnsi" w:hAnsi="Arial Narrow" w:cs="Times New Roman"/>
                <w:sz w:val="20"/>
                <w:szCs w:val="20"/>
                <w:lang w:eastAsia="en-US"/>
              </w:rPr>
              <w:t xml:space="preserve"> patient</w:t>
            </w:r>
            <w:r w:rsidRPr="002503BE">
              <w:rPr>
                <w:rFonts w:ascii="Arial Narrow" w:eastAsiaTheme="minorHAnsi" w:hAnsi="Arial Narrow" w:cs="Times New Roman"/>
                <w:sz w:val="20"/>
                <w:szCs w:val="20"/>
                <w:lang w:eastAsia="en-US"/>
              </w:rPr>
              <w:t>.</w:t>
            </w:r>
          </w:p>
        </w:tc>
      </w:tr>
    </w:tbl>
    <w:p w14:paraId="0D05A5B8" w14:textId="23F0EEB3" w:rsidR="002503BE" w:rsidRPr="002503BE" w:rsidRDefault="002503BE" w:rsidP="004566DC">
      <w:pPr>
        <w:spacing w:before="40" w:line="240" w:lineRule="auto"/>
        <w:ind w:right="-57"/>
        <w:jc w:val="left"/>
        <w:rPr>
          <w:rFonts w:ascii="Arial Narrow" w:hAnsi="Arial Narrow"/>
          <w:sz w:val="20"/>
          <w:szCs w:val="20"/>
        </w:rPr>
      </w:pPr>
      <w:r w:rsidRPr="002503BE">
        <w:rPr>
          <w:rFonts w:ascii="Arial Narrow" w:hAnsi="Arial Narrow"/>
          <w:sz w:val="20"/>
          <w:szCs w:val="20"/>
        </w:rPr>
        <w:t xml:space="preserve">CAVD = congenital absence of the vas deferens; CBAVD = congenital bilateral absence of the vas deferens; </w:t>
      </w:r>
      <w:r w:rsidR="00D81A6B" w:rsidRPr="00FD37D3">
        <w:rPr>
          <w:rFonts w:ascii="Arial Narrow" w:hAnsi="Arial Narrow"/>
          <w:sz w:val="20"/>
          <w:szCs w:val="20"/>
        </w:rPr>
        <w:t>CFTR</w:t>
      </w:r>
      <w:r w:rsidR="00D81A6B" w:rsidRPr="006D7EB9">
        <w:rPr>
          <w:rFonts w:ascii="Arial Narrow" w:hAnsi="Arial Narrow"/>
          <w:sz w:val="20"/>
          <w:szCs w:val="20"/>
        </w:rPr>
        <w:t xml:space="preserve"> = cystic fibrosis transmembrane conductance regulator;</w:t>
      </w:r>
      <w:r w:rsidR="00D81A6B">
        <w:rPr>
          <w:rFonts w:ascii="Arial Narrow" w:hAnsi="Arial Narrow"/>
          <w:sz w:val="20"/>
          <w:szCs w:val="20"/>
        </w:rPr>
        <w:t xml:space="preserve"> </w:t>
      </w:r>
      <w:r w:rsidRPr="002503BE">
        <w:rPr>
          <w:rFonts w:ascii="Arial Narrow" w:hAnsi="Arial Narrow"/>
          <w:sz w:val="20"/>
          <w:szCs w:val="20"/>
        </w:rPr>
        <w:t>DGGE = denaturing gradient gel electrophoresis; DHPLC = denaturing high</w:t>
      </w:r>
      <w:r w:rsidR="00A13094">
        <w:rPr>
          <w:rFonts w:ascii="Arial Narrow" w:hAnsi="Arial Narrow"/>
          <w:sz w:val="20"/>
          <w:szCs w:val="20"/>
        </w:rPr>
        <w:t>-</w:t>
      </w:r>
      <w:r w:rsidRPr="002503BE">
        <w:rPr>
          <w:rFonts w:ascii="Arial Narrow" w:hAnsi="Arial Narrow"/>
          <w:sz w:val="20"/>
          <w:szCs w:val="20"/>
        </w:rPr>
        <w:t>performance liquid chromatography; DNA = deoxyribonucleic acid; mTTGE = modified temporal temperature gradient electrophoresis; SSCP = single-stranded conformation polymorphism</w:t>
      </w:r>
    </w:p>
    <w:p w14:paraId="2CB33E4A" w14:textId="09BA6210" w:rsidR="002503BE" w:rsidRDefault="002503BE" w:rsidP="002503BE">
      <w:pPr>
        <w:pStyle w:val="Caption"/>
      </w:pPr>
      <w:bookmarkStart w:id="553" w:name="_Ref412451949"/>
      <w:bookmarkStart w:id="554" w:name="_Toc418179490"/>
      <w:r>
        <w:lastRenderedPageBreak/>
        <w:t xml:space="preserve">Table </w:t>
      </w:r>
      <w:fldSimple w:instr=" SEQ Table \* ARABIC ">
        <w:r w:rsidR="00BB0E3E">
          <w:rPr>
            <w:noProof/>
          </w:rPr>
          <w:t>93</w:t>
        </w:r>
      </w:fldSimple>
      <w:bookmarkEnd w:id="553"/>
      <w:r>
        <w:tab/>
      </w:r>
      <w:r w:rsidRPr="00531B00">
        <w:t xml:space="preserve">Diagnostic accuracy of </w:t>
      </w:r>
      <w:r w:rsidR="00FD37D3" w:rsidRPr="00FD37D3">
        <w:t>CFTR</w:t>
      </w:r>
      <w:r w:rsidRPr="00531B00">
        <w:t xml:space="preserve"> mutation testing compared with clinical diagnosis in patients with CBVAD</w:t>
      </w:r>
      <w:bookmarkEnd w:id="554"/>
    </w:p>
    <w:tbl>
      <w:tblPr>
        <w:tblStyle w:val="TableGrid29"/>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clinical diagnosis in patients with CBVAD"/>
      </w:tblPr>
      <w:tblGrid>
        <w:gridCol w:w="1188"/>
        <w:gridCol w:w="1131"/>
        <w:gridCol w:w="1629"/>
        <w:gridCol w:w="2213"/>
        <w:gridCol w:w="1027"/>
        <w:gridCol w:w="921"/>
        <w:gridCol w:w="918"/>
        <w:gridCol w:w="918"/>
        <w:gridCol w:w="918"/>
        <w:gridCol w:w="1620"/>
        <w:gridCol w:w="1905"/>
      </w:tblGrid>
      <w:tr w:rsidR="002503BE" w:rsidRPr="002503BE" w14:paraId="4F924864" w14:textId="77777777" w:rsidTr="006F73C4">
        <w:trPr>
          <w:tblHeader/>
        </w:trPr>
        <w:tc>
          <w:tcPr>
            <w:tcW w:w="413" w:type="pct"/>
            <w:tcBorders>
              <w:bottom w:val="single" w:sz="4" w:space="0" w:color="auto"/>
            </w:tcBorders>
          </w:tcPr>
          <w:p w14:paraId="2E24FE17" w14:textId="6D020D19"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Study</w:t>
            </w:r>
            <w:r w:rsidR="0031557A">
              <w:rPr>
                <w:rFonts w:ascii="Arial Narrow" w:eastAsiaTheme="minorHAnsi" w:hAnsi="Arial Narrow" w:cstheme="minorHAnsi"/>
                <w:b/>
                <w:sz w:val="20"/>
                <w:szCs w:val="20"/>
                <w:lang w:eastAsia="en-US"/>
              </w:rPr>
              <w:br/>
            </w:r>
            <w:r w:rsidRPr="002503BE">
              <w:rPr>
                <w:rFonts w:ascii="Arial Narrow" w:eastAsiaTheme="minorHAnsi" w:hAnsi="Arial Narrow" w:cstheme="minorHAnsi"/>
                <w:b/>
                <w:sz w:val="20"/>
                <w:szCs w:val="20"/>
                <w:lang w:eastAsia="en-US"/>
              </w:rPr>
              <w:t>Country</w:t>
            </w:r>
          </w:p>
        </w:tc>
        <w:tc>
          <w:tcPr>
            <w:tcW w:w="393" w:type="pct"/>
            <w:tcBorders>
              <w:bottom w:val="single" w:sz="4" w:space="0" w:color="auto"/>
            </w:tcBorders>
          </w:tcPr>
          <w:p w14:paraId="5C348335"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Evidence level and risk of bias</w:t>
            </w:r>
          </w:p>
        </w:tc>
        <w:tc>
          <w:tcPr>
            <w:tcW w:w="566" w:type="pct"/>
            <w:tcBorders>
              <w:bottom w:val="single" w:sz="4" w:space="0" w:color="auto"/>
            </w:tcBorders>
          </w:tcPr>
          <w:p w14:paraId="659A73B3" w14:textId="77777777" w:rsidR="002503BE" w:rsidRPr="002503BE" w:rsidRDefault="002503BE"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Population</w:t>
            </w:r>
          </w:p>
        </w:tc>
        <w:tc>
          <w:tcPr>
            <w:tcW w:w="769" w:type="pct"/>
            <w:tcBorders>
              <w:bottom w:val="single" w:sz="4" w:space="0" w:color="auto"/>
            </w:tcBorders>
          </w:tcPr>
          <w:p w14:paraId="715585FF" w14:textId="77777777" w:rsidR="002503BE" w:rsidRPr="002503BE" w:rsidRDefault="002503BE" w:rsidP="004566DC">
            <w:pPr>
              <w:keepNext/>
              <w:tabs>
                <w:tab w:val="left" w:pos="315"/>
              </w:tabs>
              <w:spacing w:after="40" w:line="240" w:lineRule="auto"/>
              <w:ind w:right="-57"/>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Tests</w:t>
            </w:r>
          </w:p>
        </w:tc>
        <w:tc>
          <w:tcPr>
            <w:tcW w:w="357" w:type="pct"/>
            <w:tcBorders>
              <w:bottom w:val="single" w:sz="4" w:space="0" w:color="auto"/>
            </w:tcBorders>
          </w:tcPr>
          <w:p w14:paraId="79027E05" w14:textId="77777777" w:rsidR="002503BE" w:rsidRPr="002503BE" w:rsidRDefault="002503BE" w:rsidP="002503BE">
            <w:pPr>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Number of mutations detected</w:t>
            </w:r>
          </w:p>
        </w:tc>
        <w:tc>
          <w:tcPr>
            <w:tcW w:w="320" w:type="pct"/>
            <w:tcBorders>
              <w:bottom w:val="single" w:sz="4" w:space="0" w:color="auto"/>
            </w:tcBorders>
          </w:tcPr>
          <w:p w14:paraId="6FA985B7"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True-positive results</w:t>
            </w:r>
          </w:p>
        </w:tc>
        <w:tc>
          <w:tcPr>
            <w:tcW w:w="319" w:type="pct"/>
            <w:tcBorders>
              <w:bottom w:val="single" w:sz="4" w:space="0" w:color="auto"/>
            </w:tcBorders>
          </w:tcPr>
          <w:p w14:paraId="557BC014"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False-positive results</w:t>
            </w:r>
          </w:p>
        </w:tc>
        <w:tc>
          <w:tcPr>
            <w:tcW w:w="319" w:type="pct"/>
            <w:tcBorders>
              <w:bottom w:val="single" w:sz="4" w:space="0" w:color="auto"/>
            </w:tcBorders>
          </w:tcPr>
          <w:p w14:paraId="0784B030"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False-negative results</w:t>
            </w:r>
          </w:p>
        </w:tc>
        <w:tc>
          <w:tcPr>
            <w:tcW w:w="319" w:type="pct"/>
            <w:tcBorders>
              <w:bottom w:val="single" w:sz="4" w:space="0" w:color="auto"/>
            </w:tcBorders>
          </w:tcPr>
          <w:p w14:paraId="0867CAA7"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True-negative results</w:t>
            </w:r>
          </w:p>
        </w:tc>
        <w:tc>
          <w:tcPr>
            <w:tcW w:w="563" w:type="pct"/>
            <w:tcBorders>
              <w:bottom w:val="single" w:sz="4" w:space="0" w:color="auto"/>
            </w:tcBorders>
          </w:tcPr>
          <w:p w14:paraId="10D61867" w14:textId="77777777" w:rsidR="002503BE" w:rsidRPr="002503BE" w:rsidRDefault="002503BE"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Accuracy</w:t>
            </w:r>
          </w:p>
        </w:tc>
        <w:tc>
          <w:tcPr>
            <w:tcW w:w="662" w:type="pct"/>
            <w:tcBorders>
              <w:bottom w:val="single" w:sz="4" w:space="0" w:color="auto"/>
            </w:tcBorders>
          </w:tcPr>
          <w:p w14:paraId="0072CF95"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Additional information</w:t>
            </w:r>
          </w:p>
        </w:tc>
      </w:tr>
      <w:tr w:rsidR="002503BE" w:rsidRPr="002503BE" w14:paraId="36FA3718" w14:textId="77777777" w:rsidTr="006F73C4">
        <w:trPr>
          <w:cantSplit/>
          <w:trHeight w:val="111"/>
        </w:trPr>
        <w:tc>
          <w:tcPr>
            <w:tcW w:w="413" w:type="pct"/>
            <w:tcBorders>
              <w:bottom w:val="nil"/>
            </w:tcBorders>
            <w:shd w:val="clear" w:color="auto" w:fill="auto"/>
          </w:tcPr>
          <w:p w14:paraId="39F00630"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Wang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2002</w:t>
            </w:r>
            <w:r w:rsidR="00B32459">
              <w:rPr>
                <w:rFonts w:ascii="Arial Narrow" w:eastAsiaTheme="minorHAnsi" w:hAnsi="Arial Narrow" w:cstheme="minorHAnsi"/>
                <w:sz w:val="20"/>
                <w:szCs w:val="20"/>
                <w:lang w:eastAsia="en-US"/>
              </w:rPr>
              <w:t>)</w:t>
            </w:r>
          </w:p>
          <w:p w14:paraId="482A26E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3" w:type="pct"/>
            <w:tcBorders>
              <w:bottom w:val="nil"/>
            </w:tcBorders>
            <w:shd w:val="clear" w:color="auto" w:fill="auto"/>
          </w:tcPr>
          <w:p w14:paraId="1423EA2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40DA9968"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6" w:type="pct"/>
            <w:tcBorders>
              <w:bottom w:val="nil"/>
            </w:tcBorders>
            <w:shd w:val="clear" w:color="auto" w:fill="auto"/>
          </w:tcPr>
          <w:p w14:paraId="1D3C1050"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N=92 patients with CBAVD</w:t>
            </w:r>
          </w:p>
        </w:tc>
        <w:tc>
          <w:tcPr>
            <w:tcW w:w="769" w:type="pct"/>
            <w:tcBorders>
              <w:bottom w:val="nil"/>
            </w:tcBorders>
          </w:tcPr>
          <w:p w14:paraId="244A8543" w14:textId="5488FB36" w:rsidR="002503BE" w:rsidRPr="002503BE" w:rsidRDefault="002503BE" w:rsidP="004566DC">
            <w:pPr>
              <w:tabs>
                <w:tab w:val="left" w:pos="315"/>
              </w:tabs>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Restriction enzyme analysis</w:t>
            </w:r>
            <w:r w:rsidR="0031557A">
              <w:rPr>
                <w:rFonts w:ascii="Arial Narrow" w:hAnsi="Arial Narrow" w:cs="Times New Roman"/>
                <w:sz w:val="20"/>
                <w:szCs w:val="20"/>
              </w:rPr>
              <w:t>:</w:t>
            </w:r>
          </w:p>
          <w:p w14:paraId="59E717A8"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92 patients</w:t>
            </w:r>
          </w:p>
          <w:p w14:paraId="11836A57" w14:textId="77777777" w:rsidR="002503BE" w:rsidRPr="002503BE" w:rsidRDefault="002503BE" w:rsidP="004566DC">
            <w:pPr>
              <w:tabs>
                <w:tab w:val="left" w:pos="315"/>
              </w:tabs>
              <w:spacing w:after="40" w:line="240" w:lineRule="auto"/>
              <w:jc w:val="left"/>
              <w:rPr>
                <w:rFonts w:ascii="Arial Narrow" w:hAnsi="Arial Narrow" w:cs="Times New Roman"/>
                <w:sz w:val="20"/>
                <w:szCs w:val="20"/>
              </w:rPr>
            </w:pPr>
            <w:r w:rsidRPr="002503BE">
              <w:rPr>
                <w:rFonts w:ascii="Arial Narrow" w:eastAsiaTheme="minorHAnsi" w:hAnsi="Arial Narrow" w:cs="Times New Roman"/>
                <w:sz w:val="20"/>
                <w:szCs w:val="20"/>
                <w:lang w:eastAsia="en-US"/>
              </w:rPr>
              <w:tab/>
              <w:t>N=184 chromosomes</w:t>
            </w:r>
          </w:p>
        </w:tc>
        <w:tc>
          <w:tcPr>
            <w:tcW w:w="357" w:type="pct"/>
            <w:tcBorders>
              <w:bottom w:val="nil"/>
            </w:tcBorders>
          </w:tcPr>
          <w:p w14:paraId="79934B11" w14:textId="32CDD660"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25 + poly</w:t>
            </w:r>
            <w:r w:rsidR="008C2810">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T</w:t>
            </w:r>
            <w:r w:rsidRPr="002503BE">
              <w:rPr>
                <w:rFonts w:ascii="Arial Narrow" w:eastAsiaTheme="minorHAnsi" w:hAnsi="Arial Narrow" w:cs="Times New Roman"/>
                <w:sz w:val="20"/>
                <w:szCs w:val="20"/>
                <w:lang w:eastAsia="en-US"/>
              </w:rPr>
              <w:br/>
            </w:r>
          </w:p>
          <w:p w14:paraId="22B3C59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p>
          <w:p w14:paraId="65B0C40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p>
        </w:tc>
        <w:tc>
          <w:tcPr>
            <w:tcW w:w="320" w:type="pct"/>
            <w:tcBorders>
              <w:bottom w:val="nil"/>
            </w:tcBorders>
            <w:shd w:val="clear" w:color="auto" w:fill="auto"/>
          </w:tcPr>
          <w:p w14:paraId="495CBF3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61FB0A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59</w:t>
            </w:r>
            <w:r w:rsidRPr="002503BE">
              <w:rPr>
                <w:rFonts w:ascii="Arial Narrow" w:eastAsiaTheme="minorHAnsi" w:hAnsi="Arial Narrow" w:cs="Times New Roman"/>
                <w:sz w:val="20"/>
                <w:szCs w:val="20"/>
                <w:lang w:eastAsia="en-US"/>
              </w:rPr>
              <w:br/>
              <w:t>85</w:t>
            </w:r>
          </w:p>
        </w:tc>
        <w:tc>
          <w:tcPr>
            <w:tcW w:w="319" w:type="pct"/>
            <w:tcBorders>
              <w:bottom w:val="nil"/>
            </w:tcBorders>
            <w:shd w:val="clear" w:color="auto" w:fill="auto"/>
          </w:tcPr>
          <w:p w14:paraId="08C938E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2A9808C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25946EA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Borders>
              <w:bottom w:val="nil"/>
            </w:tcBorders>
            <w:shd w:val="clear" w:color="auto" w:fill="auto"/>
          </w:tcPr>
          <w:p w14:paraId="4A65489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2A9EBFD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33 (36%)</w:t>
            </w:r>
            <w:r w:rsidRPr="002503BE">
              <w:rPr>
                <w:rFonts w:ascii="Arial Narrow" w:eastAsiaTheme="minorHAnsi" w:hAnsi="Arial Narrow" w:cs="Times New Roman"/>
                <w:sz w:val="20"/>
                <w:szCs w:val="20"/>
                <w:lang w:eastAsia="en-US"/>
              </w:rPr>
              <w:br/>
              <w:t>99 (54%)</w:t>
            </w:r>
          </w:p>
        </w:tc>
        <w:tc>
          <w:tcPr>
            <w:tcW w:w="319" w:type="pct"/>
            <w:tcBorders>
              <w:bottom w:val="nil"/>
            </w:tcBorders>
            <w:shd w:val="clear" w:color="auto" w:fill="auto"/>
          </w:tcPr>
          <w:p w14:paraId="2732860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584C9C1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E0D57F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Borders>
              <w:bottom w:val="nil"/>
            </w:tcBorders>
          </w:tcPr>
          <w:p w14:paraId="30F4028F"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1C12F667"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64%</w:t>
            </w:r>
            <w:r w:rsidRPr="002503BE">
              <w:rPr>
                <w:rFonts w:ascii="Arial Narrow" w:eastAsiaTheme="minorHAnsi" w:hAnsi="Arial Narrow" w:cs="Times New Roman"/>
                <w:sz w:val="20"/>
                <w:szCs w:val="20"/>
                <w:lang w:eastAsia="en-US"/>
              </w:rPr>
              <w:br/>
              <w:t>Sensitivity = 46%</w:t>
            </w:r>
          </w:p>
        </w:tc>
        <w:tc>
          <w:tcPr>
            <w:tcW w:w="662" w:type="pct"/>
            <w:tcBorders>
              <w:bottom w:val="nil"/>
            </w:tcBorders>
            <w:shd w:val="clear" w:color="auto" w:fill="auto"/>
          </w:tcPr>
          <w:p w14:paraId="1E8387B7" w14:textId="02BD65E5"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26 (28%) patients and </w:t>
            </w:r>
            <w:r w:rsidR="00183EE5">
              <w:rPr>
                <w:rFonts w:ascii="Arial Narrow" w:eastAsiaTheme="minorHAnsi" w:hAnsi="Arial Narrow" w:cs="Times New Roman"/>
                <w:sz w:val="20"/>
                <w:szCs w:val="20"/>
                <w:lang w:eastAsia="en-US"/>
              </w:rPr>
              <w:t>1</w:t>
            </w:r>
            <w:r w:rsidR="00183EE5"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33 (36%)</w:t>
            </w:r>
            <w:r w:rsidR="0031557A">
              <w:rPr>
                <w:rFonts w:ascii="Arial Narrow" w:eastAsiaTheme="minorHAnsi" w:hAnsi="Arial Narrow" w:cs="Times New Roman"/>
                <w:sz w:val="20"/>
                <w:szCs w:val="20"/>
                <w:lang w:eastAsia="en-US"/>
              </w:rPr>
              <w:t xml:space="preserve"> </w:t>
            </w:r>
            <w:r w:rsidR="0031557A" w:rsidRPr="002503BE">
              <w:rPr>
                <w:rFonts w:ascii="Arial Narrow" w:eastAsiaTheme="minorHAnsi" w:hAnsi="Arial Narrow" w:cs="Times New Roman"/>
                <w:sz w:val="20"/>
                <w:szCs w:val="20"/>
                <w:lang w:eastAsia="en-US"/>
              </w:rPr>
              <w:t>patients</w:t>
            </w:r>
            <w:r w:rsidRPr="002503BE">
              <w:rPr>
                <w:rFonts w:ascii="Arial Narrow" w:eastAsiaTheme="minorHAnsi" w:hAnsi="Arial Narrow" w:cs="Times New Roman"/>
                <w:sz w:val="20"/>
                <w:szCs w:val="20"/>
                <w:lang w:eastAsia="en-US"/>
              </w:rPr>
              <w:t>.</w:t>
            </w:r>
          </w:p>
        </w:tc>
      </w:tr>
      <w:tr w:rsidR="002503BE" w:rsidRPr="002503BE" w14:paraId="073BD810" w14:textId="77777777" w:rsidTr="006F73C4">
        <w:trPr>
          <w:cantSplit/>
          <w:trHeight w:val="111"/>
        </w:trPr>
        <w:tc>
          <w:tcPr>
            <w:tcW w:w="413" w:type="pct"/>
            <w:tcBorders>
              <w:top w:val="nil"/>
            </w:tcBorders>
            <w:shd w:val="clear" w:color="auto" w:fill="auto"/>
          </w:tcPr>
          <w:p w14:paraId="382075BA"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Wang et al. 2002</w:t>
            </w:r>
          </w:p>
          <w:p w14:paraId="50512A86"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USA</w:t>
            </w:r>
          </w:p>
        </w:tc>
        <w:tc>
          <w:tcPr>
            <w:tcW w:w="393" w:type="pct"/>
            <w:tcBorders>
              <w:top w:val="nil"/>
            </w:tcBorders>
            <w:shd w:val="clear" w:color="auto" w:fill="auto"/>
          </w:tcPr>
          <w:p w14:paraId="54D93B3C"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Level III-2</w:t>
            </w:r>
          </w:p>
          <w:p w14:paraId="2CC23D7F"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Low risk of bias</w:t>
            </w:r>
          </w:p>
        </w:tc>
        <w:tc>
          <w:tcPr>
            <w:tcW w:w="566" w:type="pct"/>
            <w:tcBorders>
              <w:top w:val="nil"/>
            </w:tcBorders>
            <w:shd w:val="clear" w:color="auto" w:fill="auto"/>
          </w:tcPr>
          <w:p w14:paraId="32BDFCAA" w14:textId="77777777" w:rsidR="002503BE" w:rsidRPr="002503BE" w:rsidRDefault="002503BE" w:rsidP="004566DC">
            <w:pPr>
              <w:tabs>
                <w:tab w:val="left" w:pos="89"/>
              </w:tabs>
              <w:spacing w:after="40" w:line="240" w:lineRule="auto"/>
              <w:jc w:val="left"/>
              <w:rPr>
                <w:rFonts w:ascii="Arial Narrow" w:hAnsi="Arial Narrow" w:cs="Times New Roman"/>
                <w:color w:val="FFFFFF" w:themeColor="background1"/>
                <w:sz w:val="20"/>
                <w:szCs w:val="20"/>
                <w:lang w:eastAsia="en-US"/>
              </w:rPr>
            </w:pPr>
            <w:r w:rsidRPr="002503BE">
              <w:rPr>
                <w:rFonts w:ascii="Arial Narrow" w:hAnsi="Arial Narrow" w:cs="Times New Roman"/>
                <w:color w:val="FFFFFF" w:themeColor="background1"/>
                <w:sz w:val="20"/>
                <w:szCs w:val="20"/>
                <w:lang w:eastAsia="en-US"/>
              </w:rPr>
              <w:t>N=92 patients with CBAVD</w:t>
            </w:r>
          </w:p>
        </w:tc>
        <w:tc>
          <w:tcPr>
            <w:tcW w:w="769" w:type="pct"/>
            <w:tcBorders>
              <w:top w:val="nil"/>
            </w:tcBorders>
          </w:tcPr>
          <w:p w14:paraId="3D92E332" w14:textId="261A2A0D" w:rsidR="002503BE" w:rsidRPr="002503BE" w:rsidRDefault="002503BE" w:rsidP="004566DC">
            <w:pPr>
              <w:tabs>
                <w:tab w:val="left" w:pos="315"/>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Multiplex PCR plus mass spectrometry</w:t>
            </w:r>
            <w:r w:rsidR="0031557A">
              <w:rPr>
                <w:rFonts w:ascii="Arial Narrow" w:eastAsiaTheme="minorHAnsi" w:hAnsi="Arial Narrow" w:cs="Times New Roman"/>
                <w:sz w:val="20"/>
                <w:szCs w:val="20"/>
                <w:lang w:eastAsia="en-US"/>
              </w:rPr>
              <w:t>:</w:t>
            </w:r>
          </w:p>
          <w:p w14:paraId="4722BC0C" w14:textId="77777777" w:rsidR="002503BE" w:rsidRPr="002503BE" w:rsidRDefault="002503BE" w:rsidP="004566DC">
            <w:pPr>
              <w:tabs>
                <w:tab w:val="left" w:pos="315"/>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92 patients</w:t>
            </w:r>
          </w:p>
          <w:p w14:paraId="1A94EBC2" w14:textId="77777777" w:rsidR="002503BE" w:rsidRPr="002503BE" w:rsidRDefault="002503BE" w:rsidP="004566DC">
            <w:pPr>
              <w:tabs>
                <w:tab w:val="left" w:pos="315"/>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N=184 chromosomes</w:t>
            </w:r>
          </w:p>
        </w:tc>
        <w:tc>
          <w:tcPr>
            <w:tcW w:w="357" w:type="pct"/>
            <w:tcBorders>
              <w:top w:val="nil"/>
            </w:tcBorders>
          </w:tcPr>
          <w:p w14:paraId="5E252B5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100</w:t>
            </w:r>
          </w:p>
        </w:tc>
        <w:tc>
          <w:tcPr>
            <w:tcW w:w="320" w:type="pct"/>
            <w:tcBorders>
              <w:top w:val="nil"/>
            </w:tcBorders>
            <w:shd w:val="clear" w:color="auto" w:fill="auto"/>
          </w:tcPr>
          <w:p w14:paraId="52FBCB5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20B3DD2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62</w:t>
            </w:r>
          </w:p>
          <w:p w14:paraId="2F38359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95</w:t>
            </w:r>
          </w:p>
        </w:tc>
        <w:tc>
          <w:tcPr>
            <w:tcW w:w="319" w:type="pct"/>
            <w:tcBorders>
              <w:top w:val="nil"/>
            </w:tcBorders>
            <w:shd w:val="clear" w:color="auto" w:fill="auto"/>
          </w:tcPr>
          <w:p w14:paraId="1A6D284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68AE91F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C21B135"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tcBorders>
              <w:top w:val="nil"/>
            </w:tcBorders>
            <w:shd w:val="clear" w:color="auto" w:fill="auto"/>
          </w:tcPr>
          <w:p w14:paraId="0397EBE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76412EB1"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30 (33%)</w:t>
            </w:r>
          </w:p>
          <w:p w14:paraId="3DA9243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89 (48%)</w:t>
            </w:r>
          </w:p>
        </w:tc>
        <w:tc>
          <w:tcPr>
            <w:tcW w:w="319" w:type="pct"/>
            <w:tcBorders>
              <w:top w:val="nil"/>
            </w:tcBorders>
            <w:shd w:val="clear" w:color="auto" w:fill="auto"/>
          </w:tcPr>
          <w:p w14:paraId="1CDF9C8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49842674"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6DC41A5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tcBorders>
              <w:top w:val="nil"/>
            </w:tcBorders>
          </w:tcPr>
          <w:p w14:paraId="173257AA"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p>
          <w:p w14:paraId="0159DE1E"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67%</w:t>
            </w:r>
            <w:r w:rsidRPr="002503BE">
              <w:rPr>
                <w:rFonts w:ascii="Arial Narrow" w:eastAsiaTheme="minorHAnsi" w:hAnsi="Arial Narrow" w:cs="Times New Roman"/>
                <w:sz w:val="20"/>
                <w:szCs w:val="20"/>
                <w:lang w:eastAsia="en-US"/>
              </w:rPr>
              <w:br/>
              <w:t>Sensitivity = 52%</w:t>
            </w:r>
          </w:p>
        </w:tc>
        <w:tc>
          <w:tcPr>
            <w:tcW w:w="662" w:type="pct"/>
            <w:tcBorders>
              <w:top w:val="nil"/>
            </w:tcBorders>
            <w:shd w:val="clear" w:color="auto" w:fill="auto"/>
          </w:tcPr>
          <w:p w14:paraId="6FAAD1B4" w14:textId="36FAA9FB"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33 (36%) patients and </w:t>
            </w:r>
            <w:r w:rsidR="00183EE5">
              <w:rPr>
                <w:rFonts w:ascii="Arial Narrow" w:eastAsiaTheme="minorHAnsi" w:hAnsi="Arial Narrow" w:cs="Times New Roman"/>
                <w:sz w:val="20"/>
                <w:szCs w:val="20"/>
                <w:lang w:eastAsia="en-US"/>
              </w:rPr>
              <w:t>1</w:t>
            </w:r>
            <w:r w:rsidR="00183EE5"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29 (32%)</w:t>
            </w:r>
            <w:r w:rsidR="0031557A">
              <w:rPr>
                <w:rFonts w:ascii="Arial Narrow" w:eastAsiaTheme="minorHAnsi" w:hAnsi="Arial Narrow" w:cs="Times New Roman"/>
                <w:sz w:val="20"/>
                <w:szCs w:val="20"/>
                <w:lang w:eastAsia="en-US"/>
              </w:rPr>
              <w:t xml:space="preserve"> </w:t>
            </w:r>
            <w:r w:rsidR="0031557A" w:rsidRPr="002503BE">
              <w:rPr>
                <w:rFonts w:ascii="Arial Narrow" w:eastAsiaTheme="minorHAnsi" w:hAnsi="Arial Narrow" w:cs="Times New Roman"/>
                <w:sz w:val="20"/>
                <w:szCs w:val="20"/>
                <w:lang w:eastAsia="en-US"/>
              </w:rPr>
              <w:t>patients</w:t>
            </w:r>
            <w:r w:rsidRPr="002503BE">
              <w:rPr>
                <w:rFonts w:ascii="Arial Narrow" w:eastAsiaTheme="minorHAnsi" w:hAnsi="Arial Narrow" w:cs="Times New Roman"/>
                <w:sz w:val="20"/>
                <w:szCs w:val="20"/>
                <w:lang w:eastAsia="en-US"/>
              </w:rPr>
              <w:t>.</w:t>
            </w:r>
          </w:p>
        </w:tc>
      </w:tr>
      <w:tr w:rsidR="002503BE" w:rsidRPr="002503BE" w14:paraId="0B9A546D" w14:textId="77777777" w:rsidTr="000C5D58">
        <w:trPr>
          <w:cantSplit/>
          <w:trHeight w:val="111"/>
        </w:trPr>
        <w:tc>
          <w:tcPr>
            <w:tcW w:w="413" w:type="pct"/>
            <w:shd w:val="clear" w:color="auto" w:fill="auto"/>
          </w:tcPr>
          <w:p w14:paraId="1DDC8B9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Donat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1997</w:t>
            </w:r>
            <w:r w:rsidR="00B32459">
              <w:rPr>
                <w:rFonts w:ascii="Arial Narrow" w:eastAsiaTheme="minorHAnsi" w:hAnsi="Arial Narrow" w:cstheme="minorHAnsi"/>
                <w:sz w:val="20"/>
                <w:szCs w:val="20"/>
                <w:lang w:eastAsia="en-US"/>
              </w:rPr>
              <w:t>)</w:t>
            </w:r>
          </w:p>
          <w:p w14:paraId="30E41F62" w14:textId="77777777" w:rsidR="002503BE" w:rsidRPr="002503BE" w:rsidRDefault="002503BE" w:rsidP="004566DC">
            <w:pPr>
              <w:spacing w:after="40" w:line="240" w:lineRule="auto"/>
              <w:jc w:val="left"/>
              <w:rPr>
                <w:rFonts w:ascii="Arial Narrow" w:eastAsiaTheme="minorHAnsi" w:hAnsi="Arial Narrow" w:cstheme="minorHAnsi"/>
                <w:sz w:val="20"/>
                <w:szCs w:val="20"/>
                <w:highlight w:val="yellow"/>
                <w:lang w:eastAsia="en-US"/>
              </w:rPr>
            </w:pPr>
            <w:r w:rsidRPr="002503BE">
              <w:rPr>
                <w:rFonts w:ascii="Arial Narrow" w:eastAsiaTheme="minorHAnsi" w:hAnsi="Arial Narrow" w:cstheme="minorHAnsi"/>
                <w:sz w:val="20"/>
                <w:szCs w:val="20"/>
                <w:lang w:eastAsia="en-US"/>
              </w:rPr>
              <w:t>UK</w:t>
            </w:r>
          </w:p>
        </w:tc>
        <w:tc>
          <w:tcPr>
            <w:tcW w:w="393" w:type="pct"/>
            <w:shd w:val="clear" w:color="auto" w:fill="auto"/>
          </w:tcPr>
          <w:p w14:paraId="3A94D24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7A5412A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6" w:type="pct"/>
            <w:shd w:val="clear" w:color="auto" w:fill="auto"/>
          </w:tcPr>
          <w:p w14:paraId="065BC212"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N=30 patients with CBAVD</w:t>
            </w:r>
          </w:p>
        </w:tc>
        <w:tc>
          <w:tcPr>
            <w:tcW w:w="769" w:type="pct"/>
          </w:tcPr>
          <w:p w14:paraId="0930F1B4" w14:textId="54CBE99F"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Multiplex PCR with restriction enzyme analysis</w:t>
            </w:r>
            <w:r w:rsidR="0031557A">
              <w:rPr>
                <w:rFonts w:ascii="Arial Narrow" w:eastAsiaTheme="minorHAnsi" w:hAnsi="Arial Narrow" w:cs="Times New Roman"/>
                <w:sz w:val="20"/>
                <w:szCs w:val="20"/>
                <w:lang w:eastAsia="en-US"/>
              </w:rPr>
              <w:t>:</w:t>
            </w:r>
          </w:p>
          <w:p w14:paraId="35B52C9B"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30 patients</w:t>
            </w:r>
          </w:p>
          <w:p w14:paraId="027D0237"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N=60 chromosomes</w:t>
            </w:r>
          </w:p>
        </w:tc>
        <w:tc>
          <w:tcPr>
            <w:tcW w:w="357" w:type="pct"/>
          </w:tcPr>
          <w:p w14:paraId="10CAAB89"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14</w:t>
            </w:r>
          </w:p>
        </w:tc>
        <w:tc>
          <w:tcPr>
            <w:tcW w:w="320" w:type="pct"/>
            <w:shd w:val="clear" w:color="auto" w:fill="auto"/>
            <w:vAlign w:val="bottom"/>
          </w:tcPr>
          <w:p w14:paraId="4A23590C"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491C0DA1"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21</w:t>
            </w:r>
          </w:p>
          <w:p w14:paraId="5443C562"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27</w:t>
            </w:r>
          </w:p>
        </w:tc>
        <w:tc>
          <w:tcPr>
            <w:tcW w:w="319" w:type="pct"/>
            <w:shd w:val="clear" w:color="auto" w:fill="auto"/>
            <w:vAlign w:val="bottom"/>
          </w:tcPr>
          <w:p w14:paraId="46F83005"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3A570D7A"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38ACDD1C"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shd w:val="clear" w:color="auto" w:fill="auto"/>
            <w:vAlign w:val="bottom"/>
          </w:tcPr>
          <w:p w14:paraId="5AAB4234"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7717A638"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9 (30%)</w:t>
            </w:r>
          </w:p>
          <w:p w14:paraId="6150B0AC"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33 (55%)</w:t>
            </w:r>
          </w:p>
        </w:tc>
        <w:tc>
          <w:tcPr>
            <w:tcW w:w="319" w:type="pct"/>
            <w:shd w:val="clear" w:color="auto" w:fill="auto"/>
            <w:vAlign w:val="bottom"/>
          </w:tcPr>
          <w:p w14:paraId="6F9699E9"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7F9B8144"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BBB1733"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vAlign w:val="bottom"/>
          </w:tcPr>
          <w:p w14:paraId="2375BEFE" w14:textId="77777777" w:rsidR="002503BE" w:rsidRPr="002503BE" w:rsidRDefault="002503BE" w:rsidP="000C5D58">
            <w:pPr>
              <w:tabs>
                <w:tab w:val="left" w:pos="883"/>
              </w:tabs>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772CEA57" w14:textId="77777777" w:rsidR="002503BE" w:rsidRPr="002503BE" w:rsidRDefault="002503BE" w:rsidP="000C5D58">
            <w:pPr>
              <w:tabs>
                <w:tab w:val="left" w:pos="883"/>
              </w:tabs>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70%</w:t>
            </w:r>
          </w:p>
          <w:p w14:paraId="1127042B" w14:textId="77777777" w:rsidR="002503BE" w:rsidRPr="002503BE" w:rsidRDefault="002503BE" w:rsidP="000C5D58">
            <w:pPr>
              <w:tabs>
                <w:tab w:val="left" w:pos="883"/>
              </w:tabs>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45%</w:t>
            </w:r>
          </w:p>
        </w:tc>
        <w:tc>
          <w:tcPr>
            <w:tcW w:w="662" w:type="pct"/>
            <w:shd w:val="clear" w:color="auto" w:fill="auto"/>
          </w:tcPr>
          <w:p w14:paraId="20D7A324" w14:textId="4957C6F8"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6 (20%) patients and </w:t>
            </w:r>
            <w:r w:rsidR="00183EE5">
              <w:rPr>
                <w:rFonts w:ascii="Arial Narrow" w:eastAsiaTheme="minorHAnsi" w:hAnsi="Arial Narrow" w:cs="Times New Roman"/>
                <w:sz w:val="20"/>
                <w:szCs w:val="20"/>
                <w:lang w:eastAsia="en-US"/>
              </w:rPr>
              <w:t>1</w:t>
            </w:r>
            <w:r w:rsidR="00183EE5"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15 (50%)</w:t>
            </w:r>
            <w:r w:rsidR="0031557A">
              <w:rPr>
                <w:rFonts w:ascii="Arial Narrow" w:eastAsiaTheme="minorHAnsi" w:hAnsi="Arial Narrow" w:cs="Times New Roman"/>
                <w:sz w:val="20"/>
                <w:szCs w:val="20"/>
                <w:lang w:eastAsia="en-US"/>
              </w:rPr>
              <w:t xml:space="preserve"> </w:t>
            </w:r>
            <w:r w:rsidR="0031557A" w:rsidRPr="002503BE">
              <w:rPr>
                <w:rFonts w:ascii="Arial Narrow" w:eastAsiaTheme="minorHAnsi" w:hAnsi="Arial Narrow" w:cs="Times New Roman"/>
                <w:sz w:val="20"/>
                <w:szCs w:val="20"/>
                <w:lang w:eastAsia="en-US"/>
              </w:rPr>
              <w:t>patients</w:t>
            </w:r>
            <w:r w:rsidRPr="002503BE">
              <w:rPr>
                <w:rFonts w:ascii="Arial Narrow" w:eastAsiaTheme="minorHAnsi" w:hAnsi="Arial Narrow" w:cs="Times New Roman"/>
                <w:sz w:val="20"/>
                <w:szCs w:val="20"/>
                <w:lang w:eastAsia="en-US"/>
              </w:rPr>
              <w:t>.</w:t>
            </w:r>
          </w:p>
        </w:tc>
      </w:tr>
      <w:tr w:rsidR="002503BE" w:rsidRPr="002503BE" w14:paraId="5353522A" w14:textId="77777777" w:rsidTr="000C5D58">
        <w:trPr>
          <w:cantSplit/>
          <w:trHeight w:val="491"/>
        </w:trPr>
        <w:tc>
          <w:tcPr>
            <w:tcW w:w="413" w:type="pct"/>
          </w:tcPr>
          <w:p w14:paraId="3AA5A3D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Durieu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1995</w:t>
            </w:r>
            <w:r w:rsidR="00B32459">
              <w:rPr>
                <w:rFonts w:ascii="Arial Narrow" w:eastAsiaTheme="minorHAnsi" w:hAnsi="Arial Narrow" w:cstheme="minorHAnsi"/>
                <w:sz w:val="20"/>
                <w:szCs w:val="20"/>
                <w:lang w:eastAsia="en-US"/>
              </w:rPr>
              <w:t>)</w:t>
            </w:r>
          </w:p>
          <w:p w14:paraId="7F8BBC41" w14:textId="77777777" w:rsidR="002503BE" w:rsidRPr="002503BE" w:rsidRDefault="002503BE" w:rsidP="004566DC">
            <w:pPr>
              <w:spacing w:after="40" w:line="240" w:lineRule="auto"/>
              <w:jc w:val="left"/>
              <w:rPr>
                <w:rFonts w:ascii="Arial Narrow" w:eastAsiaTheme="minorHAnsi" w:hAnsi="Arial Narrow" w:cstheme="minorHAnsi"/>
                <w:sz w:val="20"/>
                <w:szCs w:val="20"/>
                <w:highlight w:val="yellow"/>
                <w:lang w:eastAsia="en-US"/>
              </w:rPr>
            </w:pPr>
            <w:r w:rsidRPr="002503BE">
              <w:rPr>
                <w:rFonts w:ascii="Arial Narrow" w:eastAsiaTheme="minorHAnsi" w:hAnsi="Arial Narrow" w:cstheme="minorHAnsi"/>
                <w:sz w:val="20"/>
                <w:szCs w:val="20"/>
                <w:lang w:eastAsia="en-US"/>
              </w:rPr>
              <w:t>France</w:t>
            </w:r>
          </w:p>
        </w:tc>
        <w:tc>
          <w:tcPr>
            <w:tcW w:w="393" w:type="pct"/>
          </w:tcPr>
          <w:p w14:paraId="2EC2168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66E812A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6" w:type="pct"/>
          </w:tcPr>
          <w:p w14:paraId="7021C041"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N=14 CBAVD patients</w:t>
            </w:r>
          </w:p>
        </w:tc>
        <w:tc>
          <w:tcPr>
            <w:tcW w:w="769" w:type="pct"/>
          </w:tcPr>
          <w:p w14:paraId="59D9610B" w14:textId="2DCE5BBE"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PCR amplification with restriction enzyme or heteroduplex analysis</w:t>
            </w:r>
            <w:r w:rsidR="0031557A">
              <w:rPr>
                <w:rFonts w:ascii="Arial Narrow" w:eastAsiaTheme="minorHAnsi" w:hAnsi="Arial Narrow" w:cs="Times New Roman"/>
                <w:sz w:val="20"/>
                <w:szCs w:val="20"/>
                <w:lang w:eastAsia="en-US"/>
              </w:rPr>
              <w:t>:</w:t>
            </w:r>
          </w:p>
          <w:p w14:paraId="036CBE56"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 14 patients</w:t>
            </w:r>
          </w:p>
          <w:p w14:paraId="7DCEACD3"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N=28 chromosomes</w:t>
            </w:r>
          </w:p>
        </w:tc>
        <w:tc>
          <w:tcPr>
            <w:tcW w:w="357" w:type="pct"/>
          </w:tcPr>
          <w:p w14:paraId="7CC914B5" w14:textId="77777777" w:rsidR="002503BE" w:rsidRPr="002503BE" w:rsidRDefault="002503BE" w:rsidP="002503BE">
            <w:pPr>
              <w:spacing w:after="40" w:line="240" w:lineRule="auto"/>
              <w:ind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22</w:t>
            </w:r>
          </w:p>
        </w:tc>
        <w:tc>
          <w:tcPr>
            <w:tcW w:w="320" w:type="pct"/>
            <w:vAlign w:val="bottom"/>
          </w:tcPr>
          <w:p w14:paraId="492C5FE9"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466846BC"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10</w:t>
            </w:r>
          </w:p>
          <w:p w14:paraId="296E7304"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16</w:t>
            </w:r>
          </w:p>
        </w:tc>
        <w:tc>
          <w:tcPr>
            <w:tcW w:w="319" w:type="pct"/>
            <w:vAlign w:val="bottom"/>
          </w:tcPr>
          <w:p w14:paraId="0D3F1654"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48485EFF"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B71253F"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vAlign w:val="bottom"/>
          </w:tcPr>
          <w:p w14:paraId="5EAE95BC"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6AB341CF"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4 (29%)</w:t>
            </w:r>
          </w:p>
          <w:p w14:paraId="79F08D58"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12 (43%)</w:t>
            </w:r>
          </w:p>
        </w:tc>
        <w:tc>
          <w:tcPr>
            <w:tcW w:w="319" w:type="pct"/>
            <w:vAlign w:val="bottom"/>
          </w:tcPr>
          <w:p w14:paraId="1C6B5F6F"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br/>
            </w:r>
            <w:r w:rsidRPr="002503BE">
              <w:rPr>
                <w:rFonts w:ascii="Arial Narrow" w:eastAsiaTheme="minorHAnsi" w:hAnsi="Arial Narrow" w:cs="Times New Roman"/>
                <w:sz w:val="20"/>
                <w:szCs w:val="20"/>
                <w:lang w:eastAsia="en-US"/>
              </w:rPr>
              <w:br/>
            </w:r>
          </w:p>
          <w:p w14:paraId="5E38DF8B"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46E4B681"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563" w:type="pct"/>
            <w:vAlign w:val="bottom"/>
          </w:tcPr>
          <w:p w14:paraId="0C74D1DB" w14:textId="77777777" w:rsidR="002503BE" w:rsidRPr="002503BE" w:rsidRDefault="002503BE" w:rsidP="000C5D58">
            <w:pPr>
              <w:tabs>
                <w:tab w:val="left" w:pos="883"/>
              </w:tabs>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71%</w:t>
            </w:r>
          </w:p>
          <w:p w14:paraId="78A38044" w14:textId="77777777" w:rsidR="002503BE" w:rsidRPr="002503BE" w:rsidRDefault="002503BE" w:rsidP="000C5D58">
            <w:pPr>
              <w:tabs>
                <w:tab w:val="left" w:pos="883"/>
              </w:tabs>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57%</w:t>
            </w:r>
          </w:p>
        </w:tc>
        <w:tc>
          <w:tcPr>
            <w:tcW w:w="662" w:type="pct"/>
          </w:tcPr>
          <w:p w14:paraId="337CBC5F" w14:textId="4778FF32"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3 (21%) patients and </w:t>
            </w:r>
            <w:r w:rsidR="00183EE5">
              <w:rPr>
                <w:rFonts w:ascii="Arial Narrow" w:eastAsiaTheme="minorHAnsi" w:hAnsi="Arial Narrow" w:cs="Times New Roman"/>
                <w:sz w:val="20"/>
                <w:szCs w:val="20"/>
                <w:lang w:eastAsia="en-US"/>
              </w:rPr>
              <w:t>1</w:t>
            </w:r>
            <w:r w:rsidR="00183EE5"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7 (50%)</w:t>
            </w:r>
            <w:r w:rsidR="0031557A">
              <w:rPr>
                <w:rFonts w:ascii="Arial Narrow" w:eastAsiaTheme="minorHAnsi" w:hAnsi="Arial Narrow" w:cs="Times New Roman"/>
                <w:sz w:val="20"/>
                <w:szCs w:val="20"/>
                <w:lang w:eastAsia="en-US"/>
              </w:rPr>
              <w:t xml:space="preserve"> </w:t>
            </w:r>
            <w:r w:rsidR="0031557A" w:rsidRPr="002503BE">
              <w:rPr>
                <w:rFonts w:ascii="Arial Narrow" w:eastAsiaTheme="minorHAnsi" w:hAnsi="Arial Narrow" w:cs="Times New Roman"/>
                <w:sz w:val="20"/>
                <w:szCs w:val="20"/>
                <w:lang w:eastAsia="en-US"/>
              </w:rPr>
              <w:t>patients</w:t>
            </w:r>
            <w:r w:rsidRPr="002503BE">
              <w:rPr>
                <w:rFonts w:ascii="Arial Narrow" w:eastAsiaTheme="minorHAnsi" w:hAnsi="Arial Narrow" w:cs="Times New Roman"/>
                <w:sz w:val="20"/>
                <w:szCs w:val="20"/>
                <w:lang w:eastAsia="en-US"/>
              </w:rPr>
              <w:t>.</w:t>
            </w:r>
          </w:p>
        </w:tc>
      </w:tr>
      <w:tr w:rsidR="002503BE" w:rsidRPr="002503BE" w14:paraId="543C71C5" w14:textId="77777777" w:rsidTr="000C5D58">
        <w:trPr>
          <w:cantSplit/>
          <w:trHeight w:val="491"/>
        </w:trPr>
        <w:tc>
          <w:tcPr>
            <w:tcW w:w="413" w:type="pct"/>
          </w:tcPr>
          <w:p w14:paraId="3E84044D"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Giuliani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2010</w:t>
            </w:r>
            <w:r w:rsidR="00B32459">
              <w:rPr>
                <w:rFonts w:ascii="Arial Narrow" w:eastAsiaTheme="minorHAnsi" w:hAnsi="Arial Narrow" w:cstheme="minorHAnsi"/>
                <w:sz w:val="20"/>
                <w:szCs w:val="20"/>
                <w:lang w:eastAsia="en-US"/>
              </w:rPr>
              <w:t>)</w:t>
            </w:r>
          </w:p>
          <w:p w14:paraId="69A5DF2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Italy</w:t>
            </w:r>
          </w:p>
        </w:tc>
        <w:tc>
          <w:tcPr>
            <w:tcW w:w="393" w:type="pct"/>
          </w:tcPr>
          <w:p w14:paraId="1B6ECB90"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0484187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566" w:type="pct"/>
          </w:tcPr>
          <w:p w14:paraId="5AABA688"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N=23 CBAVD patients</w:t>
            </w:r>
          </w:p>
        </w:tc>
        <w:tc>
          <w:tcPr>
            <w:tcW w:w="769" w:type="pct"/>
          </w:tcPr>
          <w:p w14:paraId="0620A1AD" w14:textId="0EFD792B"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INNO-LiPA </w:t>
            </w:r>
            <w:r w:rsidR="00FD37D3" w:rsidRPr="00FD37D3">
              <w:rPr>
                <w:rFonts w:ascii="Arial Narrow" w:eastAsiaTheme="minorHAnsi" w:hAnsi="Arial Narrow" w:cs="Times New Roman"/>
                <w:sz w:val="20"/>
                <w:szCs w:val="20"/>
                <w:lang w:eastAsia="en-US"/>
              </w:rPr>
              <w:t>CFTR</w:t>
            </w:r>
            <w:r w:rsidRPr="002503BE">
              <w:rPr>
                <w:rFonts w:ascii="Arial Narrow" w:eastAsiaTheme="minorHAnsi" w:hAnsi="Arial Narrow" w:cs="Times New Roman"/>
                <w:sz w:val="20"/>
                <w:szCs w:val="20"/>
                <w:lang w:eastAsia="en-US"/>
              </w:rPr>
              <w:t>19, 17 + Tn and Italian Regional Kits (reverse dot-blot hybridisation)</w:t>
            </w:r>
          </w:p>
          <w:p w14:paraId="2CE71D66"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N=23 patients</w:t>
            </w:r>
          </w:p>
          <w:p w14:paraId="395FAAB2" w14:textId="77777777" w:rsidR="002503BE" w:rsidRPr="002503BE" w:rsidRDefault="002503BE" w:rsidP="004566DC">
            <w:pPr>
              <w:tabs>
                <w:tab w:val="left" w:pos="307"/>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b/>
              <w:t>N=46 chromosomes</w:t>
            </w:r>
          </w:p>
        </w:tc>
        <w:tc>
          <w:tcPr>
            <w:tcW w:w="357" w:type="pct"/>
          </w:tcPr>
          <w:p w14:paraId="262443EF" w14:textId="0CEB4D66"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57 + poly</w:t>
            </w:r>
            <w:r w:rsidR="008C2810">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T</w:t>
            </w:r>
          </w:p>
        </w:tc>
        <w:tc>
          <w:tcPr>
            <w:tcW w:w="320" w:type="pct"/>
            <w:vAlign w:val="bottom"/>
          </w:tcPr>
          <w:p w14:paraId="68507BD4"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23</w:t>
            </w:r>
          </w:p>
          <w:p w14:paraId="72AB51C0"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33</w:t>
            </w:r>
          </w:p>
        </w:tc>
        <w:tc>
          <w:tcPr>
            <w:tcW w:w="319" w:type="pct"/>
            <w:vAlign w:val="bottom"/>
          </w:tcPr>
          <w:p w14:paraId="035FE32B"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19" w:type="pct"/>
            <w:vAlign w:val="bottom"/>
          </w:tcPr>
          <w:p w14:paraId="1458144B"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20F4968"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13</w:t>
            </w:r>
          </w:p>
        </w:tc>
        <w:tc>
          <w:tcPr>
            <w:tcW w:w="319" w:type="pct"/>
            <w:vAlign w:val="bottom"/>
          </w:tcPr>
          <w:p w14:paraId="406B4341" w14:textId="77777777" w:rsidR="002503BE" w:rsidRPr="002503BE" w:rsidRDefault="002503BE" w:rsidP="000C5D58">
            <w:pPr>
              <w:spacing w:after="40" w:line="240" w:lineRule="auto"/>
              <w:jc w:val="center"/>
              <w:rPr>
                <w:rFonts w:ascii="Arial Narrow" w:eastAsiaTheme="minorHAnsi" w:hAnsi="Arial Narrow" w:cs="Times New Roman"/>
                <w:sz w:val="20"/>
                <w:szCs w:val="20"/>
                <w:lang w:eastAsia="en-US"/>
              </w:rPr>
            </w:pPr>
          </w:p>
        </w:tc>
        <w:tc>
          <w:tcPr>
            <w:tcW w:w="563" w:type="pct"/>
            <w:vAlign w:val="bottom"/>
          </w:tcPr>
          <w:p w14:paraId="0B6C2C59" w14:textId="77777777" w:rsidR="002503BE" w:rsidRPr="002503BE" w:rsidRDefault="002503BE" w:rsidP="000C5D58">
            <w:pPr>
              <w:tabs>
                <w:tab w:val="left" w:pos="883"/>
              </w:tabs>
              <w:spacing w:after="40" w:line="240" w:lineRule="auto"/>
              <w:ind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w:t>
            </w:r>
          </w:p>
          <w:p w14:paraId="4FEDF938" w14:textId="77777777" w:rsidR="002503BE" w:rsidRPr="002503BE" w:rsidRDefault="002503BE" w:rsidP="000C5D58">
            <w:pPr>
              <w:tabs>
                <w:tab w:val="left" w:pos="883"/>
              </w:tabs>
              <w:spacing w:after="40" w:line="240" w:lineRule="auto"/>
              <w:ind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72%</w:t>
            </w:r>
          </w:p>
        </w:tc>
        <w:tc>
          <w:tcPr>
            <w:tcW w:w="662" w:type="pct"/>
          </w:tcPr>
          <w:p w14:paraId="777EBD98" w14:textId="07E2F89C"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Two mutations were identified in 10 (43%) patients and </w:t>
            </w:r>
            <w:r w:rsidR="00183EE5">
              <w:rPr>
                <w:rFonts w:ascii="Arial Narrow" w:eastAsiaTheme="minorHAnsi" w:hAnsi="Arial Narrow" w:cs="Times New Roman"/>
                <w:sz w:val="20"/>
                <w:szCs w:val="20"/>
                <w:lang w:eastAsia="en-US"/>
              </w:rPr>
              <w:t>1</w:t>
            </w:r>
            <w:r w:rsidR="00183EE5"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mutation in 13 (57%)</w:t>
            </w:r>
            <w:r w:rsidR="0031557A">
              <w:rPr>
                <w:rFonts w:ascii="Arial Narrow" w:eastAsiaTheme="minorHAnsi" w:hAnsi="Arial Narrow" w:cs="Times New Roman"/>
                <w:sz w:val="20"/>
                <w:szCs w:val="20"/>
                <w:lang w:eastAsia="en-US"/>
              </w:rPr>
              <w:t xml:space="preserve"> </w:t>
            </w:r>
            <w:r w:rsidR="0031557A" w:rsidRPr="002503BE">
              <w:rPr>
                <w:rFonts w:ascii="Arial Narrow" w:eastAsiaTheme="minorHAnsi" w:hAnsi="Arial Narrow" w:cs="Times New Roman"/>
                <w:sz w:val="20"/>
                <w:szCs w:val="20"/>
                <w:lang w:eastAsia="en-US"/>
              </w:rPr>
              <w:t>patients</w:t>
            </w:r>
            <w:r w:rsidRPr="002503BE">
              <w:rPr>
                <w:rFonts w:ascii="Arial Narrow" w:eastAsiaTheme="minorHAnsi" w:hAnsi="Arial Narrow" w:cs="Times New Roman"/>
                <w:sz w:val="20"/>
                <w:szCs w:val="20"/>
                <w:lang w:eastAsia="en-US"/>
              </w:rPr>
              <w:t>.</w:t>
            </w:r>
          </w:p>
        </w:tc>
      </w:tr>
    </w:tbl>
    <w:p w14:paraId="2DE56EA8" w14:textId="29682B2D" w:rsidR="002503BE" w:rsidRPr="002503BE" w:rsidRDefault="002503BE" w:rsidP="002503BE">
      <w:pPr>
        <w:spacing w:before="40" w:line="240" w:lineRule="auto"/>
        <w:ind w:right="-57"/>
        <w:rPr>
          <w:rFonts w:ascii="Arial Narrow" w:hAnsi="Arial Narrow"/>
          <w:sz w:val="20"/>
          <w:szCs w:val="20"/>
        </w:rPr>
      </w:pPr>
      <w:r w:rsidRPr="002503BE">
        <w:rPr>
          <w:rFonts w:ascii="Arial Narrow" w:hAnsi="Arial Narrow"/>
          <w:sz w:val="20"/>
          <w:szCs w:val="20"/>
        </w:rPr>
        <w:t xml:space="preserve">CBAVD = congenital bilateral absence of the vas deferens; </w:t>
      </w:r>
      <w:r w:rsidR="00D81A6B" w:rsidRPr="00FD37D3">
        <w:rPr>
          <w:rFonts w:ascii="Arial Narrow" w:hAnsi="Arial Narrow"/>
          <w:sz w:val="20"/>
          <w:szCs w:val="20"/>
        </w:rPr>
        <w:t>CFTR</w:t>
      </w:r>
      <w:r w:rsidR="00D81A6B" w:rsidRPr="006D7EB9">
        <w:rPr>
          <w:rFonts w:ascii="Arial Narrow" w:hAnsi="Arial Narrow"/>
          <w:sz w:val="20"/>
          <w:szCs w:val="20"/>
        </w:rPr>
        <w:t xml:space="preserve"> = cystic fibrosis transmembrane conductance regulator;</w:t>
      </w:r>
      <w:r w:rsidR="00D81A6B">
        <w:rPr>
          <w:rFonts w:ascii="Arial Narrow" w:hAnsi="Arial Narrow"/>
          <w:sz w:val="20"/>
          <w:szCs w:val="20"/>
        </w:rPr>
        <w:t xml:space="preserve"> </w:t>
      </w:r>
      <w:r w:rsidRPr="002503BE">
        <w:rPr>
          <w:rFonts w:ascii="Arial Narrow" w:hAnsi="Arial Narrow"/>
          <w:sz w:val="20"/>
          <w:szCs w:val="20"/>
        </w:rPr>
        <w:t>PCR = polymerase chain reaction</w:t>
      </w:r>
    </w:p>
    <w:p w14:paraId="55D2DF93" w14:textId="74FBF859" w:rsidR="002503BE" w:rsidRDefault="002503BE" w:rsidP="002503BE">
      <w:pPr>
        <w:pStyle w:val="Caption"/>
      </w:pPr>
      <w:bookmarkStart w:id="555" w:name="_Ref412452027"/>
      <w:bookmarkStart w:id="556" w:name="_Toc418179491"/>
      <w:r>
        <w:lastRenderedPageBreak/>
        <w:t xml:space="preserve">Table </w:t>
      </w:r>
      <w:fldSimple w:instr=" SEQ Table \* ARABIC ">
        <w:r w:rsidR="00BB0E3E">
          <w:rPr>
            <w:noProof/>
          </w:rPr>
          <w:t>94</w:t>
        </w:r>
      </w:fldSimple>
      <w:bookmarkEnd w:id="555"/>
      <w:r>
        <w:tab/>
      </w:r>
      <w:r w:rsidRPr="00F822E7">
        <w:t xml:space="preserve">Diagnostic accuracy of </w:t>
      </w:r>
      <w:r w:rsidR="00FD37D3" w:rsidRPr="00FD37D3">
        <w:t>CFTR</w:t>
      </w:r>
      <w:r w:rsidRPr="00F822E7">
        <w:t xml:space="preserve"> mutation testing compared with DNA sequencing in </w:t>
      </w:r>
      <w:r w:rsidR="00FD37D3" w:rsidRPr="00FD37D3">
        <w:t>CFTR</w:t>
      </w:r>
      <w:r w:rsidRPr="00F822E7">
        <w:t xml:space="preserve"> mutation carriers</w:t>
      </w:r>
      <w:bookmarkEnd w:id="556"/>
    </w:p>
    <w:tbl>
      <w:tblPr>
        <w:tblStyle w:val="TableGrid29"/>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DNA sequencing in CFTR mutation carriers"/>
      </w:tblPr>
      <w:tblGrid>
        <w:gridCol w:w="1192"/>
        <w:gridCol w:w="1131"/>
        <w:gridCol w:w="1626"/>
        <w:gridCol w:w="2055"/>
        <w:gridCol w:w="1033"/>
        <w:gridCol w:w="955"/>
        <w:gridCol w:w="955"/>
        <w:gridCol w:w="955"/>
        <w:gridCol w:w="955"/>
        <w:gridCol w:w="1324"/>
        <w:gridCol w:w="2207"/>
      </w:tblGrid>
      <w:tr w:rsidR="002503BE" w:rsidRPr="002503BE" w14:paraId="70187356" w14:textId="77777777" w:rsidTr="006F73C4">
        <w:trPr>
          <w:tblHeader/>
        </w:trPr>
        <w:tc>
          <w:tcPr>
            <w:tcW w:w="414" w:type="pct"/>
          </w:tcPr>
          <w:p w14:paraId="1502FFB8" w14:textId="1C4D2129" w:rsidR="002503BE" w:rsidRPr="002503BE" w:rsidRDefault="002503BE" w:rsidP="004566DC">
            <w:pPr>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Study</w:t>
            </w:r>
            <w:r w:rsidR="0031557A">
              <w:rPr>
                <w:rFonts w:ascii="Arial Narrow" w:eastAsiaTheme="minorHAnsi" w:hAnsi="Arial Narrow" w:cstheme="minorHAnsi"/>
                <w:b/>
                <w:sz w:val="20"/>
                <w:szCs w:val="20"/>
                <w:lang w:eastAsia="en-US"/>
              </w:rPr>
              <w:br/>
            </w:r>
            <w:r w:rsidRPr="002503BE">
              <w:rPr>
                <w:rFonts w:ascii="Arial Narrow" w:eastAsiaTheme="minorHAnsi" w:hAnsi="Arial Narrow" w:cstheme="minorHAnsi"/>
                <w:b/>
                <w:sz w:val="20"/>
                <w:szCs w:val="20"/>
                <w:lang w:eastAsia="en-US"/>
              </w:rPr>
              <w:t>Country</w:t>
            </w:r>
          </w:p>
        </w:tc>
        <w:tc>
          <w:tcPr>
            <w:tcW w:w="393" w:type="pct"/>
          </w:tcPr>
          <w:p w14:paraId="2F18E4AD" w14:textId="77777777" w:rsidR="002503BE" w:rsidRPr="002503BE" w:rsidRDefault="002503BE" w:rsidP="004566DC">
            <w:pPr>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Evidence level and risk of bias</w:t>
            </w:r>
          </w:p>
        </w:tc>
        <w:tc>
          <w:tcPr>
            <w:tcW w:w="565" w:type="pct"/>
          </w:tcPr>
          <w:p w14:paraId="6909887A" w14:textId="77777777" w:rsidR="002503BE" w:rsidRPr="002503BE" w:rsidRDefault="002503BE" w:rsidP="004566DC">
            <w:pPr>
              <w:tabs>
                <w:tab w:val="left" w:pos="1167"/>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Population</w:t>
            </w:r>
          </w:p>
        </w:tc>
        <w:tc>
          <w:tcPr>
            <w:tcW w:w="714" w:type="pct"/>
          </w:tcPr>
          <w:p w14:paraId="2DC5A309" w14:textId="77777777" w:rsidR="002503BE" w:rsidRPr="002503BE" w:rsidRDefault="002503BE" w:rsidP="004566DC">
            <w:pPr>
              <w:tabs>
                <w:tab w:val="left" w:pos="746"/>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Tests</w:t>
            </w:r>
          </w:p>
        </w:tc>
        <w:tc>
          <w:tcPr>
            <w:tcW w:w="359" w:type="pct"/>
          </w:tcPr>
          <w:p w14:paraId="120C6DA2" w14:textId="77777777" w:rsidR="002503BE" w:rsidRPr="002503BE" w:rsidRDefault="002503BE" w:rsidP="002503BE">
            <w:pPr>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Number of mutations detected</w:t>
            </w:r>
          </w:p>
        </w:tc>
        <w:tc>
          <w:tcPr>
            <w:tcW w:w="332" w:type="pct"/>
          </w:tcPr>
          <w:p w14:paraId="01D69FC5" w14:textId="77777777" w:rsidR="002503BE" w:rsidRPr="002503BE" w:rsidRDefault="002503BE" w:rsidP="002503BE">
            <w:pPr>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True-positive results</w:t>
            </w:r>
          </w:p>
        </w:tc>
        <w:tc>
          <w:tcPr>
            <w:tcW w:w="332" w:type="pct"/>
          </w:tcPr>
          <w:p w14:paraId="21BBF9B9"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False-positive results</w:t>
            </w:r>
          </w:p>
        </w:tc>
        <w:tc>
          <w:tcPr>
            <w:tcW w:w="332" w:type="pct"/>
          </w:tcPr>
          <w:p w14:paraId="4367E7AE" w14:textId="77777777" w:rsidR="002503BE" w:rsidRPr="002503BE" w:rsidRDefault="002503BE" w:rsidP="002503BE">
            <w:pPr>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False-negative results</w:t>
            </w:r>
          </w:p>
        </w:tc>
        <w:tc>
          <w:tcPr>
            <w:tcW w:w="332" w:type="pct"/>
          </w:tcPr>
          <w:p w14:paraId="042FD4E8" w14:textId="77777777"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True-negative results</w:t>
            </w:r>
          </w:p>
        </w:tc>
        <w:tc>
          <w:tcPr>
            <w:tcW w:w="460" w:type="pct"/>
          </w:tcPr>
          <w:p w14:paraId="3A0781D4" w14:textId="77777777" w:rsidR="002503BE" w:rsidRPr="002503BE" w:rsidRDefault="002503BE" w:rsidP="002503BE">
            <w:pPr>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Cannot be detected by index test</w:t>
            </w:r>
          </w:p>
        </w:tc>
        <w:tc>
          <w:tcPr>
            <w:tcW w:w="767" w:type="pct"/>
          </w:tcPr>
          <w:p w14:paraId="4D0C68AC" w14:textId="55D18392" w:rsidR="002503BE" w:rsidRPr="002503BE" w:rsidRDefault="002503BE" w:rsidP="002503BE">
            <w:pPr>
              <w:tabs>
                <w:tab w:val="left" w:pos="746"/>
              </w:tabs>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 xml:space="preserve">Accuracy for detectable </w:t>
            </w:r>
            <w:r w:rsidR="00FD37D3" w:rsidRPr="00FD37D3">
              <w:rPr>
                <w:rFonts w:ascii="Arial Narrow" w:eastAsiaTheme="minorHAnsi" w:hAnsi="Arial Narrow" w:cs="Times New Roman"/>
                <w:b/>
                <w:sz w:val="20"/>
                <w:szCs w:val="20"/>
                <w:lang w:eastAsia="en-US"/>
              </w:rPr>
              <w:t>CFTR</w:t>
            </w:r>
            <w:r w:rsidRPr="002503BE">
              <w:rPr>
                <w:rFonts w:ascii="Arial Narrow" w:eastAsiaTheme="minorHAnsi" w:hAnsi="Arial Narrow" w:cs="Times New Roman"/>
                <w:b/>
                <w:sz w:val="20"/>
                <w:szCs w:val="20"/>
                <w:lang w:eastAsia="en-US"/>
              </w:rPr>
              <w:t xml:space="preserve"> mutations</w:t>
            </w:r>
            <w:r w:rsidRPr="002503BE">
              <w:rPr>
                <w:rFonts w:ascii="Arial Narrow" w:eastAsiaTheme="minorHAnsi" w:hAnsi="Arial Narrow" w:cs="Times New Roman"/>
                <w:b/>
                <w:sz w:val="20"/>
                <w:szCs w:val="20"/>
                <w:lang w:eastAsia="en-US"/>
              </w:rPr>
              <w:br/>
              <w:t xml:space="preserve">(all </w:t>
            </w:r>
            <w:r w:rsidR="00FD37D3" w:rsidRPr="00FD37D3">
              <w:rPr>
                <w:rFonts w:ascii="Arial Narrow" w:eastAsiaTheme="minorHAnsi" w:hAnsi="Arial Narrow" w:cs="Times New Roman"/>
                <w:b/>
                <w:sz w:val="20"/>
                <w:szCs w:val="20"/>
                <w:lang w:eastAsia="en-US"/>
              </w:rPr>
              <w:t>CFTR</w:t>
            </w:r>
            <w:r w:rsidRPr="002503BE">
              <w:rPr>
                <w:rFonts w:ascii="Arial Narrow" w:eastAsiaTheme="minorHAnsi" w:hAnsi="Arial Narrow" w:cs="Times New Roman"/>
                <w:b/>
                <w:sz w:val="20"/>
                <w:szCs w:val="20"/>
                <w:lang w:eastAsia="en-US"/>
              </w:rPr>
              <w:t xml:space="preserve"> mutations)</w:t>
            </w:r>
          </w:p>
        </w:tc>
      </w:tr>
      <w:tr w:rsidR="002503BE" w:rsidRPr="002503BE" w14:paraId="7BBE5691" w14:textId="77777777" w:rsidTr="006F73C4">
        <w:trPr>
          <w:trHeight w:val="706"/>
        </w:trPr>
        <w:tc>
          <w:tcPr>
            <w:tcW w:w="414" w:type="pct"/>
            <w:tcBorders>
              <w:bottom w:val="single" w:sz="4" w:space="0" w:color="auto"/>
            </w:tcBorders>
          </w:tcPr>
          <w:p w14:paraId="750D96C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Tomaiuolo, Spina &amp; Castaldo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255F8B0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Italy</w:t>
            </w:r>
          </w:p>
        </w:tc>
        <w:tc>
          <w:tcPr>
            <w:tcW w:w="393" w:type="pct"/>
            <w:tcBorders>
              <w:bottom w:val="single" w:sz="4" w:space="0" w:color="auto"/>
            </w:tcBorders>
          </w:tcPr>
          <w:p w14:paraId="5D660AF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2EBFD47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5" w:type="pct"/>
            <w:tcBorders>
              <w:bottom w:val="single" w:sz="4" w:space="0" w:color="auto"/>
            </w:tcBorders>
          </w:tcPr>
          <w:p w14:paraId="1046A330" w14:textId="55FDE421" w:rsidR="002503BE" w:rsidRPr="002503BE" w:rsidRDefault="002503BE" w:rsidP="004566DC">
            <w:pPr>
              <w:tabs>
                <w:tab w:val="left" w:pos="1167"/>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N=25</w:t>
            </w:r>
            <w:r w:rsidR="005F6FA5">
              <w:rPr>
                <w:rFonts w:ascii="Arial Narrow" w:hAnsi="Arial Narrow" w:cs="Times New Roman"/>
                <w:sz w:val="20"/>
                <w:szCs w:val="20"/>
                <w:lang w:eastAsia="en-US"/>
              </w:rPr>
              <w:t xml:space="preserve"> </w:t>
            </w:r>
            <w:r w:rsidRPr="002503BE">
              <w:rPr>
                <w:rFonts w:ascii="Arial Narrow" w:hAnsi="Arial Narrow" w:cs="Times New Roman"/>
                <w:sz w:val="20"/>
                <w:szCs w:val="20"/>
                <w:lang w:eastAsia="en-US"/>
              </w:rPr>
              <w:t>DNA samples from CF carriers bearing a known mutation</w:t>
            </w:r>
          </w:p>
        </w:tc>
        <w:tc>
          <w:tcPr>
            <w:tcW w:w="714" w:type="pct"/>
            <w:tcBorders>
              <w:bottom w:val="single" w:sz="4" w:space="0" w:color="auto"/>
            </w:tcBorders>
          </w:tcPr>
          <w:p w14:paraId="00EF26A2" w14:textId="77777777" w:rsidR="002503BE" w:rsidRPr="002503BE" w:rsidRDefault="002503BE" w:rsidP="004566DC">
            <w:pPr>
              <w:tabs>
                <w:tab w:val="left" w:pos="746"/>
              </w:tabs>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CF(12) ARMS kit</w:t>
            </w:r>
          </w:p>
          <w:p w14:paraId="71A9BF2F" w14:textId="77777777" w:rsidR="002503BE" w:rsidRPr="002503BE" w:rsidRDefault="002503BE" w:rsidP="004566DC">
            <w:pPr>
              <w:tabs>
                <w:tab w:val="left" w:pos="746"/>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OLA PCR kit </w:t>
            </w:r>
          </w:p>
          <w:p w14:paraId="18185FF8" w14:textId="77777777" w:rsidR="002503BE" w:rsidRPr="002503BE" w:rsidRDefault="002503BE" w:rsidP="004566DC">
            <w:pPr>
              <w:tabs>
                <w:tab w:val="left" w:pos="746"/>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ASOH dot-blot assay</w:t>
            </w:r>
          </w:p>
          <w:p w14:paraId="7A266FB4" w14:textId="0825B5B6" w:rsidR="002503BE" w:rsidRPr="002503BE" w:rsidRDefault="002503BE" w:rsidP="004566DC">
            <w:pPr>
              <w:tabs>
                <w:tab w:val="left" w:pos="746"/>
              </w:tabs>
              <w:spacing w:after="40" w:line="240" w:lineRule="auto"/>
              <w:ind w:left="308" w:hanging="308"/>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INNO-LiPA CF kit</w:t>
            </w:r>
            <w:r w:rsidRPr="002503BE">
              <w:rPr>
                <w:rFonts w:ascii="Arial Narrow" w:eastAsiaTheme="minorHAnsi" w:hAnsi="Arial Narrow" w:cs="Times New Roman"/>
                <w:sz w:val="20"/>
                <w:szCs w:val="20"/>
                <w:lang w:eastAsia="en-US"/>
              </w:rPr>
              <w:br/>
              <w:t>(reverse dot</w:t>
            </w:r>
            <w:r w:rsidR="00027D71">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blot)</w:t>
            </w:r>
          </w:p>
        </w:tc>
        <w:tc>
          <w:tcPr>
            <w:tcW w:w="359" w:type="pct"/>
            <w:tcBorders>
              <w:bottom w:val="single" w:sz="4" w:space="0" w:color="auto"/>
            </w:tcBorders>
          </w:tcPr>
          <w:p w14:paraId="2F983897"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12</w:t>
            </w:r>
          </w:p>
          <w:p w14:paraId="7DBFB76B"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31</w:t>
            </w:r>
          </w:p>
          <w:p w14:paraId="3EEC7769"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13</w:t>
            </w:r>
          </w:p>
          <w:p w14:paraId="10ADD495" w14:textId="52311386"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29 + poly</w:t>
            </w:r>
            <w:r w:rsidR="008C2810">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T</w:t>
            </w:r>
          </w:p>
        </w:tc>
        <w:tc>
          <w:tcPr>
            <w:tcW w:w="332" w:type="pct"/>
            <w:tcBorders>
              <w:bottom w:val="single" w:sz="4" w:space="0" w:color="auto"/>
            </w:tcBorders>
          </w:tcPr>
          <w:p w14:paraId="77C11F02"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22</w:t>
            </w:r>
          </w:p>
          <w:p w14:paraId="46CF897C"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24</w:t>
            </w:r>
          </w:p>
          <w:p w14:paraId="22DA3A55"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24</w:t>
            </w:r>
          </w:p>
          <w:p w14:paraId="28FC9204"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22</w:t>
            </w:r>
          </w:p>
        </w:tc>
        <w:tc>
          <w:tcPr>
            <w:tcW w:w="332" w:type="pct"/>
            <w:tcBorders>
              <w:bottom w:val="single" w:sz="4" w:space="0" w:color="auto"/>
            </w:tcBorders>
          </w:tcPr>
          <w:p w14:paraId="7C7A73B3"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0B5887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4F4159E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922EBD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32" w:type="pct"/>
            <w:tcBorders>
              <w:bottom w:val="single" w:sz="4" w:space="0" w:color="auto"/>
            </w:tcBorders>
          </w:tcPr>
          <w:p w14:paraId="6BBEF5F1"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17EE0009"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208418E3"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06BB781D"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332" w:type="pct"/>
            <w:tcBorders>
              <w:bottom w:val="single" w:sz="4" w:space="0" w:color="auto"/>
            </w:tcBorders>
          </w:tcPr>
          <w:p w14:paraId="60FB942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2E6E742E"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5E6BD968"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p w14:paraId="6A805CAC"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w:t>
            </w:r>
          </w:p>
        </w:tc>
        <w:tc>
          <w:tcPr>
            <w:tcW w:w="460" w:type="pct"/>
            <w:tcBorders>
              <w:bottom w:val="single" w:sz="4" w:space="0" w:color="auto"/>
            </w:tcBorders>
          </w:tcPr>
          <w:p w14:paraId="59700FEB"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 (12%)</w:t>
            </w:r>
          </w:p>
          <w:p w14:paraId="3B1F979E"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 (4%)</w:t>
            </w:r>
          </w:p>
          <w:p w14:paraId="46085BCB"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 (4%)</w:t>
            </w:r>
          </w:p>
          <w:p w14:paraId="49B65AF4" w14:textId="77777777" w:rsidR="002503BE" w:rsidRPr="002503BE" w:rsidRDefault="002503BE" w:rsidP="002503BE">
            <w:pPr>
              <w:spacing w:after="40" w:line="240" w:lineRule="auto"/>
              <w:ind w:left="-57" w:right="-57"/>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 (12%)</w:t>
            </w:r>
          </w:p>
        </w:tc>
        <w:tc>
          <w:tcPr>
            <w:tcW w:w="767" w:type="pct"/>
            <w:tcBorders>
              <w:bottom w:val="single" w:sz="4" w:space="0" w:color="auto"/>
            </w:tcBorders>
          </w:tcPr>
          <w:p w14:paraId="73CC252B" w14:textId="77777777" w:rsidR="002503BE" w:rsidRPr="002503BE" w:rsidRDefault="002503BE" w:rsidP="002503BE">
            <w:pPr>
              <w:tabs>
                <w:tab w:val="left" w:pos="746"/>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 (88%)</w:t>
            </w:r>
          </w:p>
          <w:p w14:paraId="79BADD5A" w14:textId="77777777" w:rsidR="002503BE" w:rsidRPr="002503BE" w:rsidRDefault="002503BE" w:rsidP="002503BE">
            <w:pPr>
              <w:tabs>
                <w:tab w:val="left" w:pos="746"/>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 (96%)</w:t>
            </w:r>
          </w:p>
          <w:p w14:paraId="10CAB3EB" w14:textId="77777777" w:rsidR="002503BE" w:rsidRPr="002503BE" w:rsidRDefault="002503BE" w:rsidP="002503BE">
            <w:pPr>
              <w:tabs>
                <w:tab w:val="left" w:pos="746"/>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 (96%)</w:t>
            </w:r>
          </w:p>
          <w:p w14:paraId="4B64F957" w14:textId="77777777" w:rsidR="002503BE" w:rsidRPr="002503BE" w:rsidRDefault="002503BE" w:rsidP="002503BE">
            <w:pPr>
              <w:tabs>
                <w:tab w:val="left" w:pos="746"/>
              </w:tabs>
              <w:spacing w:after="40" w:line="240" w:lineRule="auto"/>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 (88%)</w:t>
            </w:r>
          </w:p>
        </w:tc>
      </w:tr>
    </w:tbl>
    <w:p w14:paraId="500C0252" w14:textId="528E75F3" w:rsidR="002503BE" w:rsidRDefault="002503BE" w:rsidP="004566DC">
      <w:pPr>
        <w:spacing w:before="40" w:line="240" w:lineRule="auto"/>
        <w:ind w:right="-57"/>
        <w:jc w:val="left"/>
        <w:rPr>
          <w:rFonts w:ascii="Arial Narrow" w:hAnsi="Arial Narrow"/>
          <w:sz w:val="20"/>
          <w:szCs w:val="20"/>
        </w:rPr>
      </w:pPr>
      <w:r w:rsidRPr="002503BE">
        <w:rPr>
          <w:rFonts w:ascii="Arial Narrow" w:hAnsi="Arial Narrow"/>
          <w:sz w:val="20"/>
          <w:szCs w:val="20"/>
        </w:rPr>
        <w:t xml:space="preserve">ARMS = amplification refractory mutation system; ASOH = allele-specific oligonucleotide hybridisation; CF = cystic fibrosis; </w:t>
      </w:r>
      <w:r w:rsidR="00FD37D3" w:rsidRPr="00FD37D3">
        <w:rPr>
          <w:rFonts w:ascii="Arial Narrow" w:hAnsi="Arial Narrow"/>
          <w:sz w:val="20"/>
          <w:szCs w:val="20"/>
        </w:rPr>
        <w:t>CFTR</w:t>
      </w:r>
      <w:r w:rsidRPr="002503BE">
        <w:rPr>
          <w:rFonts w:ascii="Arial Narrow" w:hAnsi="Arial Narrow"/>
          <w:sz w:val="20"/>
          <w:szCs w:val="20"/>
        </w:rPr>
        <w:t xml:space="preserve"> = cystic fibrosis transmembrane conductance regulator; DNA = deoxyribonucleic acid; OLA = oligonucleotide ligation assay; PCR = polymerase chain reaction</w:t>
      </w:r>
    </w:p>
    <w:p w14:paraId="77C1D130" w14:textId="69E13EF2" w:rsidR="00A8151D" w:rsidRDefault="00A8151D" w:rsidP="00A8151D">
      <w:pPr>
        <w:pStyle w:val="Caption"/>
      </w:pPr>
      <w:bookmarkStart w:id="557" w:name="_Ref412452133"/>
      <w:bookmarkStart w:id="558" w:name="_Toc418179492"/>
      <w:r>
        <w:t xml:space="preserve">Table </w:t>
      </w:r>
      <w:fldSimple w:instr=" SEQ Table \* ARABIC ">
        <w:r w:rsidR="00BB0E3E">
          <w:rPr>
            <w:noProof/>
          </w:rPr>
          <w:t>95</w:t>
        </w:r>
      </w:fldSimple>
      <w:bookmarkEnd w:id="557"/>
      <w:r>
        <w:tab/>
      </w:r>
      <w:r w:rsidRPr="00201A20">
        <w:t xml:space="preserve">Diagnostic accuracy of </w:t>
      </w:r>
      <w:r w:rsidR="00FD37D3" w:rsidRPr="00FD37D3">
        <w:t>CFTR</w:t>
      </w:r>
      <w:r w:rsidRPr="00201A20">
        <w:t xml:space="preserve"> mutation testing compared with clinical diagnosis in fetuses</w:t>
      </w:r>
      <w:bookmarkEnd w:id="558"/>
    </w:p>
    <w:tbl>
      <w:tblPr>
        <w:tblStyle w:val="TableGrid29"/>
        <w:tblW w:w="4686" w:type="pct"/>
        <w:tblLayout w:type="fixed"/>
        <w:tblLook w:val="04A0" w:firstRow="1" w:lastRow="0" w:firstColumn="1" w:lastColumn="0" w:noHBand="0" w:noVBand="1"/>
        <w:tblCaption w:val="Diagnostic accuracy of in-house NAAT compared with AFB microscopy and culture in mixed specimens"/>
        <w:tblDescription w:val="Diagnostic accuracy of CFTR mutation testing compared with clinical diagnosis in fetuses"/>
      </w:tblPr>
      <w:tblGrid>
        <w:gridCol w:w="1189"/>
        <w:gridCol w:w="1135"/>
        <w:gridCol w:w="1624"/>
        <w:gridCol w:w="2208"/>
        <w:gridCol w:w="1025"/>
        <w:gridCol w:w="1227"/>
        <w:gridCol w:w="1227"/>
        <w:gridCol w:w="1226"/>
        <w:gridCol w:w="2057"/>
        <w:gridCol w:w="1470"/>
      </w:tblGrid>
      <w:tr w:rsidR="002503BE" w:rsidRPr="002503BE" w14:paraId="24FF2286" w14:textId="77777777" w:rsidTr="006F73C4">
        <w:trPr>
          <w:tblHeader/>
        </w:trPr>
        <w:tc>
          <w:tcPr>
            <w:tcW w:w="413" w:type="pct"/>
            <w:tcBorders>
              <w:bottom w:val="single" w:sz="4" w:space="0" w:color="auto"/>
            </w:tcBorders>
          </w:tcPr>
          <w:p w14:paraId="7C21C36E" w14:textId="3E4FBE86"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Study</w:t>
            </w:r>
            <w:r w:rsidR="0031557A">
              <w:rPr>
                <w:rFonts w:ascii="Arial Narrow" w:eastAsiaTheme="minorHAnsi" w:hAnsi="Arial Narrow" w:cstheme="minorHAnsi"/>
                <w:b/>
                <w:sz w:val="20"/>
                <w:szCs w:val="20"/>
                <w:lang w:eastAsia="en-US"/>
              </w:rPr>
              <w:br/>
            </w:r>
            <w:r w:rsidRPr="002503BE">
              <w:rPr>
                <w:rFonts w:ascii="Arial Narrow" w:eastAsiaTheme="minorHAnsi" w:hAnsi="Arial Narrow" w:cstheme="minorHAnsi"/>
                <w:b/>
                <w:sz w:val="20"/>
                <w:szCs w:val="20"/>
                <w:lang w:eastAsia="en-US"/>
              </w:rPr>
              <w:t>Country</w:t>
            </w:r>
          </w:p>
        </w:tc>
        <w:tc>
          <w:tcPr>
            <w:tcW w:w="394" w:type="pct"/>
            <w:tcBorders>
              <w:bottom w:val="single" w:sz="4" w:space="0" w:color="auto"/>
            </w:tcBorders>
          </w:tcPr>
          <w:p w14:paraId="36535616"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Evidence level and risk of bias</w:t>
            </w:r>
          </w:p>
        </w:tc>
        <w:tc>
          <w:tcPr>
            <w:tcW w:w="564" w:type="pct"/>
            <w:tcBorders>
              <w:bottom w:val="single" w:sz="4" w:space="0" w:color="auto"/>
            </w:tcBorders>
          </w:tcPr>
          <w:p w14:paraId="361A5F09" w14:textId="77777777" w:rsidR="002503BE" w:rsidRPr="002503BE" w:rsidRDefault="002503BE" w:rsidP="004566DC">
            <w:pPr>
              <w:keepNext/>
              <w:tabs>
                <w:tab w:val="left" w:pos="1167"/>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Population</w:t>
            </w:r>
          </w:p>
        </w:tc>
        <w:tc>
          <w:tcPr>
            <w:tcW w:w="767" w:type="pct"/>
            <w:tcBorders>
              <w:bottom w:val="single" w:sz="4" w:space="0" w:color="auto"/>
            </w:tcBorders>
          </w:tcPr>
          <w:p w14:paraId="2CBCBC54" w14:textId="77777777" w:rsidR="002503BE" w:rsidRPr="002503BE" w:rsidRDefault="002503BE" w:rsidP="004566DC">
            <w:pPr>
              <w:keepNext/>
              <w:tabs>
                <w:tab w:val="left" w:pos="315"/>
              </w:tabs>
              <w:spacing w:after="40" w:line="240" w:lineRule="auto"/>
              <w:ind w:right="-57"/>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Tests</w:t>
            </w:r>
          </w:p>
        </w:tc>
        <w:tc>
          <w:tcPr>
            <w:tcW w:w="356" w:type="pct"/>
            <w:tcBorders>
              <w:bottom w:val="single" w:sz="4" w:space="0" w:color="auto"/>
            </w:tcBorders>
          </w:tcPr>
          <w:p w14:paraId="5F91B71C" w14:textId="77777777" w:rsidR="002503BE" w:rsidRPr="002503BE" w:rsidRDefault="002503BE" w:rsidP="004566DC">
            <w:pPr>
              <w:spacing w:after="40" w:line="240" w:lineRule="auto"/>
              <w:ind w:left="-57" w:right="-57"/>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Number of mutations detected</w:t>
            </w:r>
          </w:p>
        </w:tc>
        <w:tc>
          <w:tcPr>
            <w:tcW w:w="426" w:type="pct"/>
            <w:tcBorders>
              <w:bottom w:val="single" w:sz="4" w:space="0" w:color="auto"/>
            </w:tcBorders>
          </w:tcPr>
          <w:p w14:paraId="742A89C8" w14:textId="77777777" w:rsidR="002503BE" w:rsidRPr="002503BE" w:rsidRDefault="002503BE" w:rsidP="002503BE">
            <w:pPr>
              <w:keepNext/>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Fetus homozygous (has CF)</w:t>
            </w:r>
          </w:p>
        </w:tc>
        <w:tc>
          <w:tcPr>
            <w:tcW w:w="426" w:type="pct"/>
            <w:tcBorders>
              <w:bottom w:val="single" w:sz="4" w:space="0" w:color="auto"/>
            </w:tcBorders>
          </w:tcPr>
          <w:p w14:paraId="1EF4AAFB" w14:textId="77777777" w:rsidR="002503BE" w:rsidRPr="002503BE" w:rsidRDefault="002503BE" w:rsidP="002503BE">
            <w:pPr>
              <w:keepNext/>
              <w:spacing w:after="40" w:line="240" w:lineRule="auto"/>
              <w:ind w:left="-57" w:right="-57"/>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Fetus heterozygous (carrier)</w:t>
            </w:r>
          </w:p>
        </w:tc>
        <w:tc>
          <w:tcPr>
            <w:tcW w:w="426" w:type="pct"/>
            <w:tcBorders>
              <w:bottom w:val="single" w:sz="4" w:space="0" w:color="auto"/>
            </w:tcBorders>
          </w:tcPr>
          <w:p w14:paraId="2B501343" w14:textId="0138A6C1" w:rsidR="002503BE" w:rsidRPr="002503BE" w:rsidRDefault="002503BE" w:rsidP="002503BE">
            <w:pPr>
              <w:keepNext/>
              <w:spacing w:after="40" w:line="240" w:lineRule="auto"/>
              <w:jc w:val="center"/>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 xml:space="preserve">Fetus has no </w:t>
            </w:r>
            <w:r w:rsidR="00FD37D3" w:rsidRPr="00FD37D3">
              <w:rPr>
                <w:rFonts w:ascii="Arial Narrow" w:eastAsiaTheme="minorHAnsi" w:hAnsi="Arial Narrow" w:cs="Times New Roman"/>
                <w:b/>
                <w:sz w:val="20"/>
                <w:szCs w:val="20"/>
                <w:lang w:eastAsia="en-US"/>
              </w:rPr>
              <w:t>CFTR</w:t>
            </w:r>
            <w:r w:rsidRPr="002503BE">
              <w:rPr>
                <w:rFonts w:ascii="Arial Narrow" w:eastAsiaTheme="minorHAnsi" w:hAnsi="Arial Narrow" w:cs="Times New Roman"/>
                <w:b/>
                <w:sz w:val="20"/>
                <w:szCs w:val="20"/>
                <w:lang w:eastAsia="en-US"/>
              </w:rPr>
              <w:t xml:space="preserve"> mutations</w:t>
            </w:r>
          </w:p>
        </w:tc>
        <w:tc>
          <w:tcPr>
            <w:tcW w:w="715" w:type="pct"/>
            <w:tcBorders>
              <w:bottom w:val="single" w:sz="4" w:space="0" w:color="auto"/>
            </w:tcBorders>
          </w:tcPr>
          <w:p w14:paraId="39FFAE08" w14:textId="77777777" w:rsidR="002503BE" w:rsidRPr="002503BE" w:rsidRDefault="002503BE"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Outcomes</w:t>
            </w:r>
          </w:p>
        </w:tc>
        <w:tc>
          <w:tcPr>
            <w:tcW w:w="511" w:type="pct"/>
            <w:tcBorders>
              <w:bottom w:val="single" w:sz="4" w:space="0" w:color="auto"/>
            </w:tcBorders>
          </w:tcPr>
          <w:p w14:paraId="20C447B1"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Reference standard gaps</w:t>
            </w:r>
          </w:p>
        </w:tc>
      </w:tr>
      <w:tr w:rsidR="002503BE" w:rsidRPr="002503BE" w14:paraId="74BE8FAC" w14:textId="77777777" w:rsidTr="006F73C4">
        <w:trPr>
          <w:cantSplit/>
          <w:trHeight w:val="111"/>
        </w:trPr>
        <w:tc>
          <w:tcPr>
            <w:tcW w:w="413" w:type="pct"/>
            <w:tcBorders>
              <w:bottom w:val="nil"/>
            </w:tcBorders>
            <w:shd w:val="clear" w:color="auto" w:fill="auto"/>
          </w:tcPr>
          <w:p w14:paraId="6ADC449F"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Kanavakis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2003</w:t>
            </w:r>
            <w:r w:rsidR="00B32459">
              <w:rPr>
                <w:rFonts w:ascii="Arial Narrow" w:eastAsiaTheme="minorHAnsi" w:hAnsi="Arial Narrow" w:cstheme="minorHAnsi"/>
                <w:sz w:val="20"/>
                <w:szCs w:val="20"/>
                <w:lang w:eastAsia="en-US"/>
              </w:rPr>
              <w:t>)</w:t>
            </w:r>
          </w:p>
          <w:p w14:paraId="1F416EB7"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Greece</w:t>
            </w:r>
          </w:p>
        </w:tc>
        <w:tc>
          <w:tcPr>
            <w:tcW w:w="394" w:type="pct"/>
            <w:tcBorders>
              <w:bottom w:val="nil"/>
            </w:tcBorders>
            <w:shd w:val="clear" w:color="auto" w:fill="auto"/>
          </w:tcPr>
          <w:p w14:paraId="2C412C23"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5B470365"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4" w:type="pct"/>
            <w:tcBorders>
              <w:bottom w:val="nil"/>
            </w:tcBorders>
            <w:shd w:val="clear" w:color="auto" w:fill="auto"/>
          </w:tcPr>
          <w:p w14:paraId="4E5A1ADF" w14:textId="77777777" w:rsidR="002503BE" w:rsidRPr="002503BE" w:rsidRDefault="002503BE" w:rsidP="004566DC">
            <w:pPr>
              <w:keepNext/>
              <w:tabs>
                <w:tab w:val="left" w:pos="89"/>
              </w:tabs>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N=115 fetus samples from carrier parents</w:t>
            </w:r>
          </w:p>
        </w:tc>
        <w:tc>
          <w:tcPr>
            <w:tcW w:w="767" w:type="pct"/>
            <w:tcBorders>
              <w:bottom w:val="nil"/>
            </w:tcBorders>
          </w:tcPr>
          <w:p w14:paraId="71C5CD67" w14:textId="77777777" w:rsidR="002503BE" w:rsidRPr="002503BE" w:rsidRDefault="002503BE" w:rsidP="004566DC">
            <w:pPr>
              <w:keepNext/>
              <w:tabs>
                <w:tab w:val="left" w:pos="746"/>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DGGE and PCR–mediated site-directed mutagenesis</w:t>
            </w:r>
          </w:p>
        </w:tc>
        <w:tc>
          <w:tcPr>
            <w:tcW w:w="356" w:type="pct"/>
            <w:tcBorders>
              <w:bottom w:val="nil"/>
            </w:tcBorders>
          </w:tcPr>
          <w:p w14:paraId="4C65D3F1" w14:textId="77777777" w:rsidR="002503BE" w:rsidRPr="002503BE" w:rsidRDefault="002503BE" w:rsidP="004566DC">
            <w:pPr>
              <w:keepNext/>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Specific mutation detection</w:t>
            </w:r>
          </w:p>
        </w:tc>
        <w:tc>
          <w:tcPr>
            <w:tcW w:w="426" w:type="pct"/>
            <w:tcBorders>
              <w:bottom w:val="nil"/>
            </w:tcBorders>
            <w:shd w:val="clear" w:color="auto" w:fill="auto"/>
          </w:tcPr>
          <w:p w14:paraId="79809133" w14:textId="77777777" w:rsidR="002503BE" w:rsidRPr="002503BE" w:rsidRDefault="002503BE" w:rsidP="002503BE">
            <w:pPr>
              <w:keepNext/>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22 (19%)</w:t>
            </w:r>
          </w:p>
        </w:tc>
        <w:tc>
          <w:tcPr>
            <w:tcW w:w="426" w:type="pct"/>
            <w:tcBorders>
              <w:bottom w:val="nil"/>
            </w:tcBorders>
            <w:shd w:val="clear" w:color="auto" w:fill="auto"/>
          </w:tcPr>
          <w:p w14:paraId="544F4AC3" w14:textId="77777777" w:rsidR="002503BE" w:rsidRPr="002503BE" w:rsidRDefault="002503BE" w:rsidP="002503BE">
            <w:pPr>
              <w:keepNext/>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59 (51%)</w:t>
            </w:r>
          </w:p>
        </w:tc>
        <w:tc>
          <w:tcPr>
            <w:tcW w:w="426" w:type="pct"/>
            <w:tcBorders>
              <w:bottom w:val="nil"/>
            </w:tcBorders>
            <w:shd w:val="clear" w:color="auto" w:fill="auto"/>
          </w:tcPr>
          <w:p w14:paraId="00F3F0C9" w14:textId="77777777" w:rsidR="002503BE" w:rsidRPr="002503BE" w:rsidRDefault="002503BE" w:rsidP="002503BE">
            <w:pPr>
              <w:keepNext/>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34 (30%)</w:t>
            </w:r>
          </w:p>
        </w:tc>
        <w:tc>
          <w:tcPr>
            <w:tcW w:w="715" w:type="pct"/>
            <w:tcBorders>
              <w:bottom w:val="nil"/>
            </w:tcBorders>
          </w:tcPr>
          <w:p w14:paraId="29690F9C" w14:textId="77777777" w:rsidR="002503BE" w:rsidRPr="002503BE" w:rsidRDefault="002503BE" w:rsidP="004566DC">
            <w:pPr>
              <w:keepNext/>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 false negatives</w:t>
            </w:r>
          </w:p>
          <w:p w14:paraId="3E889D2E" w14:textId="77777777" w:rsidR="002503BE" w:rsidRPr="002503BE" w:rsidRDefault="002503BE" w:rsidP="004566DC">
            <w:pPr>
              <w:keepNext/>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w:t>
            </w:r>
          </w:p>
        </w:tc>
        <w:tc>
          <w:tcPr>
            <w:tcW w:w="511" w:type="pct"/>
            <w:tcBorders>
              <w:bottom w:val="nil"/>
            </w:tcBorders>
            <w:shd w:val="clear" w:color="auto" w:fill="auto"/>
          </w:tcPr>
          <w:p w14:paraId="1A02B3F5" w14:textId="144CECF4" w:rsidR="002503BE" w:rsidRPr="002503BE" w:rsidRDefault="002503BE" w:rsidP="004566DC">
            <w:pPr>
              <w:keepNext/>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Fate of fetuses diagnosed with CF unknown</w:t>
            </w:r>
          </w:p>
        </w:tc>
      </w:tr>
      <w:tr w:rsidR="002503BE" w:rsidRPr="002503BE" w14:paraId="26B6C77E" w14:textId="77777777" w:rsidTr="006F73C4">
        <w:trPr>
          <w:trHeight w:val="491"/>
        </w:trPr>
        <w:tc>
          <w:tcPr>
            <w:tcW w:w="413" w:type="pct"/>
            <w:tcBorders>
              <w:top w:val="nil"/>
            </w:tcBorders>
          </w:tcPr>
          <w:p w14:paraId="4D9AB93D"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Kanavakis et al. 2003</w:t>
            </w:r>
          </w:p>
          <w:p w14:paraId="43C12776"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Greece</w:t>
            </w:r>
          </w:p>
        </w:tc>
        <w:tc>
          <w:tcPr>
            <w:tcW w:w="394" w:type="pct"/>
            <w:tcBorders>
              <w:top w:val="nil"/>
            </w:tcBorders>
          </w:tcPr>
          <w:p w14:paraId="6413AC96"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Level III-2:</w:t>
            </w:r>
          </w:p>
          <w:p w14:paraId="61D0E4B6"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Low risk of bias</w:t>
            </w:r>
          </w:p>
        </w:tc>
        <w:tc>
          <w:tcPr>
            <w:tcW w:w="564" w:type="pct"/>
            <w:tcBorders>
              <w:top w:val="nil"/>
            </w:tcBorders>
          </w:tcPr>
          <w:p w14:paraId="25E2FB60"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N=49 fetus samples for FEB detected by ultrasound</w:t>
            </w:r>
          </w:p>
        </w:tc>
        <w:tc>
          <w:tcPr>
            <w:tcW w:w="767" w:type="pct"/>
            <w:tcBorders>
              <w:top w:val="nil"/>
            </w:tcBorders>
          </w:tcPr>
          <w:p w14:paraId="0FD262E0"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DGGE and DNA sequencing</w:t>
            </w:r>
          </w:p>
        </w:tc>
        <w:tc>
          <w:tcPr>
            <w:tcW w:w="356" w:type="pct"/>
            <w:tcBorders>
              <w:top w:val="nil"/>
            </w:tcBorders>
          </w:tcPr>
          <w:p w14:paraId="1527EC6A" w14:textId="662B110C" w:rsidR="002503BE" w:rsidRPr="002503BE" w:rsidRDefault="002503BE" w:rsidP="004566DC">
            <w:pPr>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27 exons and their exon</w:t>
            </w:r>
            <w:r w:rsidR="00E51E9B">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intron boundaries</w:t>
            </w:r>
          </w:p>
        </w:tc>
        <w:tc>
          <w:tcPr>
            <w:tcW w:w="426" w:type="pct"/>
            <w:tcBorders>
              <w:top w:val="nil"/>
            </w:tcBorders>
          </w:tcPr>
          <w:p w14:paraId="37A56B7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0 (0%)</w:t>
            </w:r>
          </w:p>
        </w:tc>
        <w:tc>
          <w:tcPr>
            <w:tcW w:w="426" w:type="pct"/>
            <w:tcBorders>
              <w:top w:val="nil"/>
            </w:tcBorders>
          </w:tcPr>
          <w:p w14:paraId="6018563F"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3 (6%)</w:t>
            </w:r>
          </w:p>
        </w:tc>
        <w:tc>
          <w:tcPr>
            <w:tcW w:w="426" w:type="pct"/>
            <w:tcBorders>
              <w:top w:val="nil"/>
            </w:tcBorders>
          </w:tcPr>
          <w:p w14:paraId="20B19A90"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46 (94%)</w:t>
            </w:r>
          </w:p>
        </w:tc>
        <w:tc>
          <w:tcPr>
            <w:tcW w:w="715" w:type="pct"/>
            <w:tcBorders>
              <w:top w:val="nil"/>
            </w:tcBorders>
          </w:tcPr>
          <w:p w14:paraId="58833A76" w14:textId="4BB84046"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None were diagnosed with CF</w:t>
            </w:r>
            <w:r w:rsidR="0031557A">
              <w:rPr>
                <w:rFonts w:ascii="Arial Narrow" w:eastAsiaTheme="minorHAnsi" w:hAnsi="Arial Narrow" w:cs="Times New Roman"/>
                <w:sz w:val="20"/>
                <w:szCs w:val="20"/>
                <w:lang w:eastAsia="en-US"/>
              </w:rPr>
              <w:t>.</w:t>
            </w:r>
          </w:p>
        </w:tc>
        <w:tc>
          <w:tcPr>
            <w:tcW w:w="511" w:type="pct"/>
            <w:tcBorders>
              <w:top w:val="nil"/>
            </w:tcBorders>
            <w:shd w:val="clear" w:color="auto" w:fill="auto"/>
          </w:tcPr>
          <w:p w14:paraId="3D66AAE4" w14:textId="76868E93"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 clinical outcomes reported</w:t>
            </w:r>
          </w:p>
        </w:tc>
      </w:tr>
      <w:tr w:rsidR="002503BE" w:rsidRPr="002503BE" w14:paraId="6CA3C4C3" w14:textId="77777777" w:rsidTr="006F73C4">
        <w:trPr>
          <w:cantSplit/>
          <w:trHeight w:val="64"/>
        </w:trPr>
        <w:tc>
          <w:tcPr>
            <w:tcW w:w="413" w:type="pct"/>
          </w:tcPr>
          <w:p w14:paraId="4D0FFE5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Collazo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2014</w:t>
            </w:r>
            <w:r w:rsidR="00B32459">
              <w:rPr>
                <w:rFonts w:ascii="Arial Narrow" w:eastAsiaTheme="minorHAnsi" w:hAnsi="Arial Narrow" w:cstheme="minorHAnsi"/>
                <w:sz w:val="20"/>
                <w:szCs w:val="20"/>
                <w:lang w:eastAsia="en-US"/>
              </w:rPr>
              <w:t>)</w:t>
            </w:r>
          </w:p>
          <w:p w14:paraId="799E54E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Cuba</w:t>
            </w:r>
          </w:p>
        </w:tc>
        <w:tc>
          <w:tcPr>
            <w:tcW w:w="394" w:type="pct"/>
          </w:tcPr>
          <w:p w14:paraId="4A2D272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41448E70"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564" w:type="pct"/>
          </w:tcPr>
          <w:p w14:paraId="7E19352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Arial Narrow"/>
                <w:sz w:val="20"/>
                <w:szCs w:val="20"/>
                <w:lang w:eastAsia="en-US"/>
              </w:rPr>
              <w:t xml:space="preserve">N=72/108 fetus samples from </w:t>
            </w:r>
            <w:r w:rsidRPr="002503BE">
              <w:rPr>
                <w:rFonts w:ascii="Arial Narrow" w:eastAsiaTheme="minorHAnsi" w:hAnsi="Arial Narrow" w:cstheme="minorHAnsi"/>
                <w:sz w:val="20"/>
                <w:szCs w:val="20"/>
                <w:lang w:eastAsia="en-US"/>
              </w:rPr>
              <w:t>couples with some risk of having a child affected by CF</w:t>
            </w:r>
          </w:p>
        </w:tc>
        <w:tc>
          <w:tcPr>
            <w:tcW w:w="767" w:type="pct"/>
          </w:tcPr>
          <w:p w14:paraId="28190A89"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ARMS and PCR-based restriction enzyme analysis</w:t>
            </w:r>
          </w:p>
        </w:tc>
        <w:tc>
          <w:tcPr>
            <w:tcW w:w="356" w:type="pct"/>
          </w:tcPr>
          <w:p w14:paraId="63B5FCDD" w14:textId="77777777" w:rsidR="002503BE" w:rsidRPr="002503BE" w:rsidRDefault="002503BE" w:rsidP="004566DC">
            <w:pPr>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6</w:t>
            </w:r>
          </w:p>
        </w:tc>
        <w:tc>
          <w:tcPr>
            <w:tcW w:w="426" w:type="pct"/>
          </w:tcPr>
          <w:p w14:paraId="57B294FB"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16 (22%)</w:t>
            </w:r>
          </w:p>
        </w:tc>
        <w:tc>
          <w:tcPr>
            <w:tcW w:w="426" w:type="pct"/>
          </w:tcPr>
          <w:p w14:paraId="790A5432"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27 (38%)</w:t>
            </w:r>
          </w:p>
        </w:tc>
        <w:tc>
          <w:tcPr>
            <w:tcW w:w="426" w:type="pct"/>
          </w:tcPr>
          <w:p w14:paraId="1C4CFB6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20 (28%)</w:t>
            </w:r>
          </w:p>
        </w:tc>
        <w:tc>
          <w:tcPr>
            <w:tcW w:w="715" w:type="pct"/>
          </w:tcPr>
          <w:p w14:paraId="50554DFF"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Conclusive diagnosis was possible in 72/108 cases:</w:t>
            </w:r>
          </w:p>
          <w:p w14:paraId="739E1696"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9 (12%) were either carrier or normal</w:t>
            </w:r>
          </w:p>
          <w:p w14:paraId="12D5685D"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 false negatives</w:t>
            </w:r>
          </w:p>
          <w:p w14:paraId="2011729B"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Sensitivity = 100%</w:t>
            </w:r>
          </w:p>
        </w:tc>
        <w:tc>
          <w:tcPr>
            <w:tcW w:w="511" w:type="pct"/>
          </w:tcPr>
          <w:p w14:paraId="58666E56" w14:textId="1D39F358"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Fate of fetuses diagnosed with CF unknown</w:t>
            </w:r>
          </w:p>
        </w:tc>
      </w:tr>
      <w:tr w:rsidR="002503BE" w:rsidRPr="002503BE" w14:paraId="3C951F21" w14:textId="77777777" w:rsidTr="006F73C4">
        <w:trPr>
          <w:trHeight w:val="64"/>
        </w:trPr>
        <w:tc>
          <w:tcPr>
            <w:tcW w:w="413" w:type="pct"/>
          </w:tcPr>
          <w:p w14:paraId="61C05FC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Castaldo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2000</w:t>
            </w:r>
            <w:r w:rsidR="00B32459">
              <w:rPr>
                <w:rFonts w:ascii="Arial Narrow" w:eastAsiaTheme="minorHAnsi" w:hAnsi="Arial Narrow" w:cstheme="minorHAnsi"/>
                <w:sz w:val="20"/>
                <w:szCs w:val="20"/>
                <w:lang w:eastAsia="en-US"/>
              </w:rPr>
              <w:t>)</w:t>
            </w:r>
          </w:p>
          <w:p w14:paraId="2C2747B6"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lastRenderedPageBreak/>
              <w:t>Italy</w:t>
            </w:r>
          </w:p>
        </w:tc>
        <w:tc>
          <w:tcPr>
            <w:tcW w:w="394" w:type="pct"/>
          </w:tcPr>
          <w:p w14:paraId="79F6D29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lastRenderedPageBreak/>
              <w:t>Level IV</w:t>
            </w:r>
          </w:p>
          <w:p w14:paraId="0CFA54B6"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Low risk of </w:t>
            </w:r>
            <w:r w:rsidRPr="002503BE">
              <w:rPr>
                <w:rFonts w:ascii="Arial Narrow" w:eastAsiaTheme="minorHAnsi" w:hAnsi="Arial Narrow" w:cstheme="minorHAnsi"/>
                <w:sz w:val="20"/>
                <w:szCs w:val="20"/>
                <w:lang w:eastAsia="en-US"/>
              </w:rPr>
              <w:lastRenderedPageBreak/>
              <w:t>bias</w:t>
            </w:r>
          </w:p>
        </w:tc>
        <w:tc>
          <w:tcPr>
            <w:tcW w:w="564" w:type="pct"/>
          </w:tcPr>
          <w:p w14:paraId="7A9079D8" w14:textId="57347A03" w:rsidR="002503BE" w:rsidRPr="002503BE" w:rsidRDefault="002503BE" w:rsidP="004566DC">
            <w:pPr>
              <w:spacing w:after="40" w:line="240" w:lineRule="auto"/>
              <w:jc w:val="left"/>
              <w:rPr>
                <w:rFonts w:ascii="Arial Narrow" w:eastAsiaTheme="minorHAnsi" w:hAnsi="Arial Narrow" w:cs="Arial Narrow"/>
                <w:sz w:val="20"/>
                <w:szCs w:val="20"/>
                <w:lang w:eastAsia="en-US"/>
              </w:rPr>
            </w:pPr>
            <w:r w:rsidRPr="002503BE">
              <w:rPr>
                <w:rFonts w:ascii="Arial Narrow" w:eastAsiaTheme="minorHAnsi" w:hAnsi="Arial Narrow" w:cs="Arial Narrow"/>
                <w:sz w:val="20"/>
                <w:szCs w:val="20"/>
                <w:lang w:eastAsia="en-US"/>
              </w:rPr>
              <w:lastRenderedPageBreak/>
              <w:t>N=33 fetus samples from 32 high</w:t>
            </w:r>
            <w:r w:rsidR="0031557A">
              <w:rPr>
                <w:rFonts w:ascii="Arial Narrow" w:eastAsiaTheme="minorHAnsi" w:hAnsi="Arial Narrow" w:cs="Arial Narrow"/>
                <w:sz w:val="20"/>
                <w:szCs w:val="20"/>
                <w:lang w:eastAsia="en-US"/>
              </w:rPr>
              <w:t>-</w:t>
            </w:r>
            <w:r w:rsidRPr="002503BE">
              <w:rPr>
                <w:rFonts w:ascii="Arial Narrow" w:eastAsiaTheme="minorHAnsi" w:hAnsi="Arial Narrow" w:cs="Arial Narrow"/>
                <w:sz w:val="20"/>
                <w:szCs w:val="20"/>
                <w:lang w:eastAsia="en-US"/>
              </w:rPr>
              <w:t xml:space="preserve">risk couples </w:t>
            </w:r>
            <w:r w:rsidRPr="002503BE">
              <w:rPr>
                <w:rFonts w:ascii="Arial Narrow" w:eastAsiaTheme="minorHAnsi" w:hAnsi="Arial Narrow" w:cs="Arial Narrow"/>
                <w:sz w:val="20"/>
                <w:szCs w:val="20"/>
                <w:lang w:eastAsia="en-US"/>
              </w:rPr>
              <w:lastRenderedPageBreak/>
              <w:t>(</w:t>
            </w:r>
            <w:r w:rsidR="007A46FA">
              <w:rPr>
                <w:rFonts w:ascii="Arial Narrow" w:eastAsiaTheme="minorHAnsi" w:hAnsi="Arial Narrow" w:cs="Arial Narrow"/>
                <w:sz w:val="20"/>
                <w:szCs w:val="20"/>
                <w:lang w:eastAsia="en-US"/>
              </w:rPr>
              <w:t>1</w:t>
            </w:r>
            <w:r w:rsidR="007A46FA" w:rsidRPr="002503BE">
              <w:rPr>
                <w:rFonts w:ascii="Arial Narrow" w:eastAsiaTheme="minorHAnsi" w:hAnsi="Arial Narrow" w:cs="Arial Narrow"/>
                <w:sz w:val="20"/>
                <w:szCs w:val="20"/>
                <w:lang w:eastAsia="en-US"/>
              </w:rPr>
              <w:t xml:space="preserve"> </w:t>
            </w:r>
            <w:r w:rsidRPr="002503BE">
              <w:rPr>
                <w:rFonts w:ascii="Arial Narrow" w:eastAsiaTheme="minorHAnsi" w:hAnsi="Arial Narrow" w:cs="Arial Narrow"/>
                <w:sz w:val="20"/>
                <w:szCs w:val="20"/>
                <w:lang w:eastAsia="en-US"/>
              </w:rPr>
              <w:t>dizygotic twin pregnancy)</w:t>
            </w:r>
          </w:p>
        </w:tc>
        <w:tc>
          <w:tcPr>
            <w:tcW w:w="767" w:type="pct"/>
          </w:tcPr>
          <w:p w14:paraId="139F485C" w14:textId="77777777" w:rsidR="002503BE" w:rsidRPr="002503BE" w:rsidRDefault="002503BE" w:rsidP="004566DC">
            <w:pPr>
              <w:tabs>
                <w:tab w:val="left" w:pos="315"/>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lastRenderedPageBreak/>
              <w:t>ASOH and STR genotyping</w:t>
            </w:r>
          </w:p>
        </w:tc>
        <w:tc>
          <w:tcPr>
            <w:tcW w:w="356" w:type="pct"/>
          </w:tcPr>
          <w:p w14:paraId="60A7B2AF" w14:textId="77777777" w:rsidR="002503BE" w:rsidRPr="002503BE" w:rsidRDefault="002503BE" w:rsidP="004566DC">
            <w:pPr>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13 mutations and STRs</w:t>
            </w:r>
          </w:p>
        </w:tc>
        <w:tc>
          <w:tcPr>
            <w:tcW w:w="426" w:type="pct"/>
          </w:tcPr>
          <w:p w14:paraId="1C7EC56F"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7 (21%)</w:t>
            </w:r>
          </w:p>
        </w:tc>
        <w:tc>
          <w:tcPr>
            <w:tcW w:w="426" w:type="pct"/>
          </w:tcPr>
          <w:p w14:paraId="4668EF5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18 (55%)</w:t>
            </w:r>
          </w:p>
        </w:tc>
        <w:tc>
          <w:tcPr>
            <w:tcW w:w="426" w:type="pct"/>
          </w:tcPr>
          <w:p w14:paraId="42B2C967"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8 (24%)</w:t>
            </w:r>
          </w:p>
        </w:tc>
        <w:tc>
          <w:tcPr>
            <w:tcW w:w="715" w:type="pct"/>
          </w:tcPr>
          <w:p w14:paraId="5FE5445D" w14:textId="231892BE"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All 7 CF fetuses were aborted</w:t>
            </w:r>
            <w:r w:rsidR="0031557A">
              <w:rPr>
                <w:rFonts w:ascii="Arial Narrow" w:eastAsiaTheme="minorHAnsi" w:hAnsi="Arial Narrow" w:cs="Times New Roman"/>
                <w:sz w:val="20"/>
                <w:szCs w:val="20"/>
                <w:lang w:eastAsia="en-US"/>
              </w:rPr>
              <w:t>.</w:t>
            </w:r>
          </w:p>
        </w:tc>
        <w:tc>
          <w:tcPr>
            <w:tcW w:w="511" w:type="pct"/>
          </w:tcPr>
          <w:p w14:paraId="797C9CB7"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No clinical outcomes for carrier and </w:t>
            </w:r>
            <w:r w:rsidRPr="002503BE">
              <w:rPr>
                <w:rFonts w:ascii="Arial Narrow" w:eastAsiaTheme="minorHAnsi" w:hAnsi="Arial Narrow" w:cs="Times New Roman"/>
                <w:sz w:val="20"/>
                <w:szCs w:val="20"/>
                <w:lang w:eastAsia="en-US"/>
              </w:rPr>
              <w:lastRenderedPageBreak/>
              <w:t>normal fetuses reported</w:t>
            </w:r>
          </w:p>
        </w:tc>
      </w:tr>
      <w:tr w:rsidR="002503BE" w:rsidRPr="002503BE" w14:paraId="638BC70C" w14:textId="77777777" w:rsidTr="006F73C4">
        <w:trPr>
          <w:trHeight w:val="64"/>
        </w:trPr>
        <w:tc>
          <w:tcPr>
            <w:tcW w:w="413" w:type="pct"/>
          </w:tcPr>
          <w:p w14:paraId="3FD7F83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lastRenderedPageBreak/>
              <w:t xml:space="preserve">Saker et al. </w:t>
            </w:r>
            <w:r w:rsidR="00B32459">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2006</w:t>
            </w:r>
            <w:r w:rsidR="00B32459">
              <w:rPr>
                <w:rFonts w:ascii="Arial Narrow" w:eastAsiaTheme="minorHAnsi" w:hAnsi="Arial Narrow" w:cstheme="minorHAnsi"/>
                <w:sz w:val="20"/>
                <w:szCs w:val="20"/>
                <w:lang w:eastAsia="en-US"/>
              </w:rPr>
              <w:t>)</w:t>
            </w:r>
          </w:p>
          <w:p w14:paraId="5B5993B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France</w:t>
            </w:r>
          </w:p>
        </w:tc>
        <w:tc>
          <w:tcPr>
            <w:tcW w:w="394" w:type="pct"/>
          </w:tcPr>
          <w:p w14:paraId="1685CA5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IV</w:t>
            </w:r>
          </w:p>
          <w:p w14:paraId="25B0888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564" w:type="pct"/>
          </w:tcPr>
          <w:p w14:paraId="0071A458"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N=12 fetus samples from carrier couples</w:t>
            </w:r>
          </w:p>
        </w:tc>
        <w:tc>
          <w:tcPr>
            <w:tcW w:w="767" w:type="pct"/>
          </w:tcPr>
          <w:p w14:paraId="22BA7187" w14:textId="77777777" w:rsidR="002503BE" w:rsidRPr="002503BE" w:rsidRDefault="002503BE" w:rsidP="004566DC">
            <w:pPr>
              <w:tabs>
                <w:tab w:val="left" w:pos="315"/>
              </w:tabs>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PCR and STR genotyping</w:t>
            </w:r>
          </w:p>
        </w:tc>
        <w:tc>
          <w:tcPr>
            <w:tcW w:w="356" w:type="pct"/>
          </w:tcPr>
          <w:p w14:paraId="65A20C4D" w14:textId="77777777" w:rsidR="002503BE" w:rsidRPr="002503BE" w:rsidRDefault="002503BE" w:rsidP="004566DC">
            <w:pPr>
              <w:spacing w:after="40" w:line="240" w:lineRule="auto"/>
              <w:ind w:right="-57"/>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F508del and STRs</w:t>
            </w:r>
          </w:p>
        </w:tc>
        <w:tc>
          <w:tcPr>
            <w:tcW w:w="426" w:type="pct"/>
          </w:tcPr>
          <w:p w14:paraId="14BEDD8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1 (8%)</w:t>
            </w:r>
          </w:p>
        </w:tc>
        <w:tc>
          <w:tcPr>
            <w:tcW w:w="426" w:type="pct"/>
          </w:tcPr>
          <w:p w14:paraId="79451CEA"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7 (58%)</w:t>
            </w:r>
          </w:p>
        </w:tc>
        <w:tc>
          <w:tcPr>
            <w:tcW w:w="426" w:type="pct"/>
          </w:tcPr>
          <w:p w14:paraId="6B7348E6" w14:textId="77777777" w:rsidR="002503BE" w:rsidRPr="002503BE" w:rsidRDefault="002503BE" w:rsidP="002503BE">
            <w:pPr>
              <w:spacing w:after="40" w:line="240" w:lineRule="auto"/>
              <w:jc w:val="center"/>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4 (33%)</w:t>
            </w:r>
          </w:p>
        </w:tc>
        <w:tc>
          <w:tcPr>
            <w:tcW w:w="715" w:type="pct"/>
          </w:tcPr>
          <w:p w14:paraId="40C07E30" w14:textId="77777777" w:rsidR="002503BE" w:rsidRPr="002503BE" w:rsidRDefault="002503BE" w:rsidP="004566DC">
            <w:pPr>
              <w:tabs>
                <w:tab w:val="left" w:pos="88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Unknown</w:t>
            </w:r>
          </w:p>
        </w:tc>
        <w:tc>
          <w:tcPr>
            <w:tcW w:w="511" w:type="pct"/>
          </w:tcPr>
          <w:p w14:paraId="33B5E12A"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 clinical outcomes reported</w:t>
            </w:r>
          </w:p>
        </w:tc>
      </w:tr>
    </w:tbl>
    <w:p w14:paraId="045FF972" w14:textId="13399A96" w:rsidR="002503BE" w:rsidRDefault="002503BE" w:rsidP="004566DC">
      <w:pPr>
        <w:spacing w:before="40" w:line="240" w:lineRule="auto"/>
        <w:ind w:right="-57"/>
        <w:jc w:val="left"/>
        <w:rPr>
          <w:rFonts w:ascii="Arial Narrow" w:hAnsi="Arial Narrow"/>
          <w:sz w:val="20"/>
          <w:szCs w:val="20"/>
        </w:rPr>
      </w:pPr>
      <w:r w:rsidRPr="002503BE">
        <w:rPr>
          <w:rFonts w:ascii="Arial Narrow" w:hAnsi="Arial Narrow"/>
          <w:sz w:val="20"/>
          <w:szCs w:val="20"/>
        </w:rPr>
        <w:t xml:space="preserve">ARMS = amplification refractory mutation system; ASOH = allele-specific oligonucleotide hybridisation; CF = cystic fibrosis; </w:t>
      </w:r>
      <w:r w:rsidR="0031557A" w:rsidRPr="00FD37D3">
        <w:rPr>
          <w:rFonts w:ascii="Arial Narrow" w:hAnsi="Arial Narrow"/>
          <w:sz w:val="20"/>
          <w:szCs w:val="20"/>
        </w:rPr>
        <w:t>CFTR</w:t>
      </w:r>
      <w:r w:rsidR="0031557A" w:rsidRPr="002503BE">
        <w:rPr>
          <w:rFonts w:ascii="Arial Narrow" w:hAnsi="Arial Narrow"/>
          <w:sz w:val="20"/>
          <w:szCs w:val="20"/>
        </w:rPr>
        <w:t xml:space="preserve"> = cystic fibrosis transmembrane conductance regulator;</w:t>
      </w:r>
      <w:r w:rsidR="0031557A">
        <w:rPr>
          <w:rFonts w:ascii="Arial Narrow" w:hAnsi="Arial Narrow"/>
          <w:sz w:val="20"/>
          <w:szCs w:val="20"/>
        </w:rPr>
        <w:t xml:space="preserve"> </w:t>
      </w:r>
      <w:r w:rsidRPr="002503BE">
        <w:rPr>
          <w:rFonts w:ascii="Arial Narrow" w:hAnsi="Arial Narrow"/>
          <w:sz w:val="20"/>
          <w:szCs w:val="20"/>
        </w:rPr>
        <w:t>DGGE = denaturing gradient gel electrophoresis; DNA = deoxyribonucleic acid; FEB = fetal echogenic bowel; PCR = polymerase chain reaction; STR = short tandem repeats</w:t>
      </w:r>
    </w:p>
    <w:p w14:paraId="70F134F8" w14:textId="7561EF9C" w:rsidR="00A8151D" w:rsidRDefault="00A8151D" w:rsidP="00A8151D">
      <w:pPr>
        <w:pStyle w:val="Caption"/>
      </w:pPr>
      <w:bookmarkStart w:id="559" w:name="_Toc418179493"/>
      <w:r>
        <w:t xml:space="preserve">Table </w:t>
      </w:r>
      <w:fldSimple w:instr=" SEQ Table \* ARABIC ">
        <w:r w:rsidR="00BB0E3E">
          <w:rPr>
            <w:noProof/>
          </w:rPr>
          <w:t>96</w:t>
        </w:r>
      </w:fldSimple>
      <w:r>
        <w:tab/>
      </w:r>
      <w:r w:rsidR="00FD37D3" w:rsidRPr="00FD37D3">
        <w:t>CFTR</w:t>
      </w:r>
      <w:r w:rsidRPr="00D04158">
        <w:t xml:space="preserve"> mutation test limitations, mutation identification errors and failure rates</w:t>
      </w:r>
      <w:bookmarkEnd w:id="559"/>
    </w:p>
    <w:tbl>
      <w:tblPr>
        <w:tblStyle w:val="TableGrid29"/>
        <w:tblW w:w="4837" w:type="pct"/>
        <w:tblLayout w:type="fixed"/>
        <w:tblLook w:val="04A0" w:firstRow="1" w:lastRow="0" w:firstColumn="1" w:lastColumn="0" w:noHBand="0" w:noVBand="1"/>
        <w:tblCaption w:val="Diagnostic accuracy of in-house NAAT compared with AFB microscopy and culture in mixed specimens"/>
        <w:tblDescription w:val="CFTR mutation test limitations, mutation identification errors and failure rates"/>
      </w:tblPr>
      <w:tblGrid>
        <w:gridCol w:w="1143"/>
        <w:gridCol w:w="1179"/>
        <w:gridCol w:w="1916"/>
        <w:gridCol w:w="2249"/>
        <w:gridCol w:w="3119"/>
        <w:gridCol w:w="2409"/>
        <w:gridCol w:w="2837"/>
      </w:tblGrid>
      <w:tr w:rsidR="00A8151D" w:rsidRPr="002503BE" w14:paraId="4BD3907D" w14:textId="77777777" w:rsidTr="00A8151D">
        <w:trPr>
          <w:tblHeader/>
        </w:trPr>
        <w:tc>
          <w:tcPr>
            <w:tcW w:w="385" w:type="pct"/>
            <w:tcBorders>
              <w:bottom w:val="single" w:sz="4" w:space="0" w:color="auto"/>
            </w:tcBorders>
          </w:tcPr>
          <w:p w14:paraId="7C503FF9" w14:textId="23EC29A3"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Study</w:t>
            </w:r>
            <w:r w:rsidR="0031557A">
              <w:rPr>
                <w:rFonts w:ascii="Arial Narrow" w:eastAsiaTheme="minorHAnsi" w:hAnsi="Arial Narrow" w:cstheme="minorHAnsi"/>
                <w:b/>
                <w:sz w:val="20"/>
                <w:szCs w:val="20"/>
                <w:lang w:eastAsia="en-US"/>
              </w:rPr>
              <w:br/>
            </w:r>
            <w:r w:rsidRPr="002503BE">
              <w:rPr>
                <w:rFonts w:ascii="Arial Narrow" w:eastAsiaTheme="minorHAnsi" w:hAnsi="Arial Narrow" w:cstheme="minorHAnsi"/>
                <w:b/>
                <w:sz w:val="20"/>
                <w:szCs w:val="20"/>
                <w:lang w:eastAsia="en-US"/>
              </w:rPr>
              <w:t>Country</w:t>
            </w:r>
          </w:p>
        </w:tc>
        <w:tc>
          <w:tcPr>
            <w:tcW w:w="397" w:type="pct"/>
            <w:tcBorders>
              <w:bottom w:val="single" w:sz="4" w:space="0" w:color="auto"/>
            </w:tcBorders>
          </w:tcPr>
          <w:p w14:paraId="2DB328DF"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heme="minorHAnsi"/>
                <w:b/>
                <w:sz w:val="20"/>
                <w:szCs w:val="20"/>
                <w:lang w:eastAsia="en-US"/>
              </w:rPr>
              <w:t>Evidence level and risk of bias</w:t>
            </w:r>
          </w:p>
        </w:tc>
        <w:tc>
          <w:tcPr>
            <w:tcW w:w="645" w:type="pct"/>
            <w:tcBorders>
              <w:bottom w:val="single" w:sz="4" w:space="0" w:color="auto"/>
            </w:tcBorders>
          </w:tcPr>
          <w:p w14:paraId="4D33BEC4" w14:textId="77777777" w:rsidR="002503BE" w:rsidRPr="002503BE" w:rsidRDefault="002503BE"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Population</w:t>
            </w:r>
          </w:p>
        </w:tc>
        <w:tc>
          <w:tcPr>
            <w:tcW w:w="757" w:type="pct"/>
            <w:tcBorders>
              <w:bottom w:val="single" w:sz="4" w:space="0" w:color="auto"/>
            </w:tcBorders>
          </w:tcPr>
          <w:p w14:paraId="552A312E" w14:textId="77777777" w:rsidR="002503BE" w:rsidRPr="002503BE" w:rsidRDefault="002503BE" w:rsidP="004566DC">
            <w:pPr>
              <w:keepNext/>
              <w:tabs>
                <w:tab w:val="left" w:pos="746"/>
              </w:tabs>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Test(s)</w:t>
            </w:r>
          </w:p>
        </w:tc>
        <w:tc>
          <w:tcPr>
            <w:tcW w:w="1050" w:type="pct"/>
            <w:tcBorders>
              <w:bottom w:val="single" w:sz="4" w:space="0" w:color="auto"/>
            </w:tcBorders>
          </w:tcPr>
          <w:p w14:paraId="4EAD9298"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Test limitations and resolutions</w:t>
            </w:r>
          </w:p>
        </w:tc>
        <w:tc>
          <w:tcPr>
            <w:tcW w:w="811" w:type="pct"/>
            <w:tcBorders>
              <w:bottom w:val="single" w:sz="4" w:space="0" w:color="auto"/>
            </w:tcBorders>
          </w:tcPr>
          <w:p w14:paraId="73DDA5BC"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Mutation identification errors</w:t>
            </w:r>
          </w:p>
        </w:tc>
        <w:tc>
          <w:tcPr>
            <w:tcW w:w="955" w:type="pct"/>
            <w:tcBorders>
              <w:bottom w:val="single" w:sz="4" w:space="0" w:color="auto"/>
            </w:tcBorders>
          </w:tcPr>
          <w:p w14:paraId="192C194E" w14:textId="77777777" w:rsidR="002503BE" w:rsidRPr="002503BE" w:rsidRDefault="002503BE" w:rsidP="004566DC">
            <w:pPr>
              <w:keepNext/>
              <w:spacing w:after="40" w:line="240" w:lineRule="auto"/>
              <w:jc w:val="left"/>
              <w:rPr>
                <w:rFonts w:ascii="Arial Narrow" w:eastAsiaTheme="minorHAnsi" w:hAnsi="Arial Narrow" w:cs="Times New Roman"/>
                <w:b/>
                <w:sz w:val="20"/>
                <w:szCs w:val="20"/>
                <w:lang w:eastAsia="en-US"/>
              </w:rPr>
            </w:pPr>
            <w:r w:rsidRPr="002503BE">
              <w:rPr>
                <w:rFonts w:ascii="Arial Narrow" w:eastAsiaTheme="minorHAnsi" w:hAnsi="Arial Narrow" w:cs="Times New Roman"/>
                <w:b/>
                <w:sz w:val="20"/>
                <w:szCs w:val="20"/>
                <w:lang w:eastAsia="en-US"/>
              </w:rPr>
              <w:t>Failure rate</w:t>
            </w:r>
          </w:p>
        </w:tc>
      </w:tr>
      <w:tr w:rsidR="00A8151D" w:rsidRPr="002503BE" w14:paraId="495568FF" w14:textId="77777777" w:rsidTr="00A8151D">
        <w:trPr>
          <w:cantSplit/>
          <w:trHeight w:val="111"/>
        </w:trPr>
        <w:tc>
          <w:tcPr>
            <w:tcW w:w="385" w:type="pct"/>
            <w:tcBorders>
              <w:bottom w:val="nil"/>
            </w:tcBorders>
            <w:shd w:val="clear" w:color="auto" w:fill="auto"/>
          </w:tcPr>
          <w:p w14:paraId="0E5AEC5F"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Tomaiuolo, Spina &amp; Castaldo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2003</w:t>
            </w:r>
            <w:r w:rsidR="008E2E92">
              <w:rPr>
                <w:rFonts w:ascii="Arial Narrow" w:eastAsiaTheme="minorHAnsi" w:hAnsi="Arial Narrow" w:cstheme="minorHAnsi"/>
                <w:sz w:val="20"/>
                <w:szCs w:val="20"/>
                <w:lang w:eastAsia="en-US"/>
              </w:rPr>
              <w:t>)</w:t>
            </w:r>
          </w:p>
          <w:p w14:paraId="512AADA3"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Italy</w:t>
            </w:r>
          </w:p>
        </w:tc>
        <w:tc>
          <w:tcPr>
            <w:tcW w:w="397" w:type="pct"/>
            <w:tcBorders>
              <w:bottom w:val="nil"/>
            </w:tcBorders>
          </w:tcPr>
          <w:p w14:paraId="6D5417BC"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4E1F791D" w14:textId="77777777" w:rsidR="002503BE" w:rsidRPr="002503BE" w:rsidRDefault="002503BE" w:rsidP="004566DC">
            <w:pPr>
              <w:keepNext/>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645" w:type="pct"/>
            <w:tcBorders>
              <w:bottom w:val="nil"/>
            </w:tcBorders>
          </w:tcPr>
          <w:p w14:paraId="28762414" w14:textId="77777777" w:rsidR="002503BE" w:rsidRPr="002503BE" w:rsidRDefault="002503BE" w:rsidP="004566DC">
            <w:pPr>
              <w:keepNext/>
              <w:tabs>
                <w:tab w:val="left" w:pos="1167"/>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N=129 chromosomes from 85 DNA samples from CF subjects with known mutations</w:t>
            </w:r>
          </w:p>
        </w:tc>
        <w:tc>
          <w:tcPr>
            <w:tcW w:w="757" w:type="pct"/>
            <w:tcBorders>
              <w:bottom w:val="nil"/>
            </w:tcBorders>
          </w:tcPr>
          <w:p w14:paraId="5752E53C" w14:textId="77777777" w:rsidR="002503BE" w:rsidRPr="002503BE" w:rsidRDefault="002503BE" w:rsidP="004566DC">
            <w:pPr>
              <w:keepNext/>
              <w:tabs>
                <w:tab w:val="left" w:pos="746"/>
              </w:tabs>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CF(12) ARMS kit</w:t>
            </w:r>
          </w:p>
        </w:tc>
        <w:tc>
          <w:tcPr>
            <w:tcW w:w="1050" w:type="pct"/>
            <w:tcBorders>
              <w:bottom w:val="nil"/>
            </w:tcBorders>
            <w:shd w:val="clear" w:color="auto" w:fill="auto"/>
          </w:tcPr>
          <w:p w14:paraId="22312410" w14:textId="77777777" w:rsidR="002503BE" w:rsidRPr="002503BE" w:rsidRDefault="002503BE" w:rsidP="004566DC">
            <w:pPr>
              <w:keepNext/>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ARMS technology cannot distinguish between heterozygous and homozygous point mutations.</w:t>
            </w:r>
          </w:p>
        </w:tc>
        <w:tc>
          <w:tcPr>
            <w:tcW w:w="811" w:type="pct"/>
            <w:tcBorders>
              <w:bottom w:val="nil"/>
            </w:tcBorders>
          </w:tcPr>
          <w:p w14:paraId="5241378D" w14:textId="77777777" w:rsidR="002503BE" w:rsidRPr="002503BE" w:rsidRDefault="002503BE" w:rsidP="004566DC">
            <w:pPr>
              <w:keepNext/>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5 samples with homozygous point mutations were correctly identified but the CF(12) ARMS assay could not distinguish between the heterozygous and homozygous state.</w:t>
            </w:r>
          </w:p>
        </w:tc>
        <w:tc>
          <w:tcPr>
            <w:tcW w:w="955" w:type="pct"/>
            <w:tcBorders>
              <w:bottom w:val="nil"/>
            </w:tcBorders>
          </w:tcPr>
          <w:p w14:paraId="2AFD0FD7" w14:textId="77777777" w:rsidR="002503BE" w:rsidRPr="002503BE" w:rsidRDefault="002503BE" w:rsidP="004566DC">
            <w:pPr>
              <w:keepNext/>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Not reported</w:t>
            </w:r>
          </w:p>
        </w:tc>
      </w:tr>
      <w:tr w:rsidR="00A8151D" w:rsidRPr="002503BE" w14:paraId="59F8C2C5" w14:textId="77777777" w:rsidTr="00A8151D">
        <w:trPr>
          <w:cantSplit/>
          <w:trHeight w:val="111"/>
        </w:trPr>
        <w:tc>
          <w:tcPr>
            <w:tcW w:w="385" w:type="pct"/>
            <w:tcBorders>
              <w:bottom w:val="nil"/>
            </w:tcBorders>
            <w:shd w:val="clear" w:color="auto" w:fill="auto"/>
          </w:tcPr>
          <w:p w14:paraId="6CA9D9D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Strom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2003</w:t>
            </w:r>
            <w:r w:rsidR="008E2E92">
              <w:rPr>
                <w:rFonts w:ascii="Arial Narrow" w:eastAsiaTheme="minorHAnsi" w:hAnsi="Arial Narrow" w:cstheme="minorHAnsi"/>
                <w:sz w:val="20"/>
                <w:szCs w:val="20"/>
                <w:lang w:eastAsia="en-US"/>
              </w:rPr>
              <w:t>)</w:t>
            </w:r>
          </w:p>
          <w:p w14:paraId="4B164FA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7" w:type="pct"/>
            <w:tcBorders>
              <w:bottom w:val="nil"/>
            </w:tcBorders>
          </w:tcPr>
          <w:p w14:paraId="31FB08B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068969A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Low risk of bias</w:t>
            </w:r>
          </w:p>
        </w:tc>
        <w:tc>
          <w:tcPr>
            <w:tcW w:w="645" w:type="pct"/>
            <w:tcBorders>
              <w:bottom w:val="nil"/>
            </w:tcBorders>
          </w:tcPr>
          <w:p w14:paraId="60A644F1"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N=7 confirmed CF patients with positive sweat tests</w:t>
            </w:r>
          </w:p>
          <w:p w14:paraId="65AFAA44" w14:textId="36060E15"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4 </w:t>
            </w:r>
            <w:r w:rsidR="0031557A">
              <w:rPr>
                <w:rFonts w:ascii="Arial Narrow" w:hAnsi="Arial Narrow" w:cs="Times New Roman"/>
                <w:sz w:val="20"/>
                <w:szCs w:val="20"/>
              </w:rPr>
              <w:t xml:space="preserve">patients </w:t>
            </w:r>
            <w:r w:rsidRPr="002503BE">
              <w:rPr>
                <w:rFonts w:ascii="Arial Narrow" w:hAnsi="Arial Narrow" w:cs="Times New Roman"/>
                <w:sz w:val="20"/>
                <w:szCs w:val="20"/>
              </w:rPr>
              <w:t xml:space="preserve">had </w:t>
            </w:r>
            <w:r w:rsidR="007A46FA">
              <w:rPr>
                <w:rFonts w:ascii="Arial Narrow" w:hAnsi="Arial Narrow" w:cs="Times New Roman"/>
                <w:sz w:val="20"/>
                <w:szCs w:val="20"/>
              </w:rPr>
              <w:t>1</w:t>
            </w:r>
            <w:r w:rsidR="007A46FA" w:rsidRPr="002503BE">
              <w:rPr>
                <w:rFonts w:ascii="Arial Narrow" w:hAnsi="Arial Narrow" w:cs="Times New Roman"/>
                <w:sz w:val="20"/>
                <w:szCs w:val="20"/>
              </w:rPr>
              <w:t xml:space="preserve"> </w:t>
            </w:r>
            <w:r w:rsidRPr="002503BE">
              <w:rPr>
                <w:rFonts w:ascii="Arial Narrow" w:hAnsi="Arial Narrow" w:cs="Times New Roman"/>
                <w:sz w:val="20"/>
                <w:szCs w:val="20"/>
              </w:rPr>
              <w:t>CF mutation and 3 had no mutations identified by either the ACMG or extended panel screening.</w:t>
            </w:r>
          </w:p>
        </w:tc>
        <w:tc>
          <w:tcPr>
            <w:tcW w:w="757" w:type="pct"/>
            <w:tcBorders>
              <w:bottom w:val="nil"/>
            </w:tcBorders>
          </w:tcPr>
          <w:p w14:paraId="1F23CEF1" w14:textId="7C706ADD"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DNA sequencing reactions </w:t>
            </w:r>
            <w:r w:rsidR="007A46FA">
              <w:rPr>
                <w:rFonts w:ascii="Arial Narrow" w:hAnsi="Arial Narrow" w:cs="Times New Roman"/>
                <w:sz w:val="20"/>
                <w:szCs w:val="20"/>
              </w:rPr>
              <w:t xml:space="preserve">were </w:t>
            </w:r>
            <w:r w:rsidRPr="002503BE">
              <w:rPr>
                <w:rFonts w:ascii="Arial Narrow" w:hAnsi="Arial Narrow" w:cs="Times New Roman"/>
                <w:sz w:val="20"/>
                <w:szCs w:val="20"/>
              </w:rPr>
              <w:t>performed with an ABI Prism Big Dye™ Terminator v3.0 cycle sequencing reaction kit according to the manufacturer’s protocol</w:t>
            </w:r>
            <w:r w:rsidR="007A46FA">
              <w:rPr>
                <w:rFonts w:ascii="Arial Narrow" w:hAnsi="Arial Narrow" w:cs="Times New Roman"/>
                <w:sz w:val="20"/>
                <w:szCs w:val="20"/>
              </w:rPr>
              <w:t>.</w:t>
            </w:r>
          </w:p>
        </w:tc>
        <w:tc>
          <w:tcPr>
            <w:tcW w:w="1050" w:type="pct"/>
            <w:tcBorders>
              <w:bottom w:val="nil"/>
            </w:tcBorders>
            <w:shd w:val="clear" w:color="auto" w:fill="auto"/>
          </w:tcPr>
          <w:p w14:paraId="3BC6BE08" w14:textId="24F43411"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This sequencing assay detects 991 of the 1</w:t>
            </w:r>
            <w:r w:rsidR="0031557A">
              <w:rPr>
                <w:rFonts w:ascii="Arial Narrow" w:hAnsi="Arial Narrow" w:cs="Times New Roman"/>
                <w:sz w:val="20"/>
                <w:szCs w:val="20"/>
              </w:rPr>
              <w:t>,</w:t>
            </w:r>
            <w:r w:rsidRPr="002503BE">
              <w:rPr>
                <w:rFonts w:ascii="Arial Narrow" w:hAnsi="Arial Narrow" w:cs="Times New Roman"/>
                <w:sz w:val="20"/>
                <w:szCs w:val="20"/>
              </w:rPr>
              <w:t>004 (98.7%) described mutations as of August 2002.</w:t>
            </w:r>
          </w:p>
          <w:p w14:paraId="52750183" w14:textId="21571A7E"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All but </w:t>
            </w:r>
            <w:r w:rsidR="007A46FA">
              <w:rPr>
                <w:rFonts w:ascii="Arial Narrow" w:hAnsi="Arial Narrow" w:cs="Times New Roman"/>
                <w:sz w:val="20"/>
                <w:szCs w:val="20"/>
              </w:rPr>
              <w:t>2</w:t>
            </w:r>
            <w:r w:rsidR="007A46FA" w:rsidRPr="002503BE">
              <w:rPr>
                <w:rFonts w:ascii="Arial Narrow" w:hAnsi="Arial Narrow" w:cs="Times New Roman"/>
                <w:sz w:val="20"/>
                <w:szCs w:val="20"/>
              </w:rPr>
              <w:t xml:space="preserve"> </w:t>
            </w:r>
            <w:r w:rsidRPr="002503BE">
              <w:rPr>
                <w:rFonts w:ascii="Arial Narrow" w:hAnsi="Arial Narrow" w:cs="Times New Roman"/>
                <w:sz w:val="20"/>
                <w:szCs w:val="20"/>
              </w:rPr>
              <w:t xml:space="preserve">of these mutations involve large deletions of </w:t>
            </w:r>
            <w:r w:rsidR="00FD37D3" w:rsidRPr="00FD37D3">
              <w:rPr>
                <w:rFonts w:ascii="Arial Narrow" w:hAnsi="Arial Narrow" w:cs="Times New Roman"/>
                <w:sz w:val="20"/>
                <w:szCs w:val="20"/>
              </w:rPr>
              <w:t>CFTR</w:t>
            </w:r>
            <w:r w:rsidRPr="002503BE">
              <w:rPr>
                <w:rFonts w:ascii="Arial Narrow" w:hAnsi="Arial Narrow" w:cs="Times New Roman"/>
                <w:sz w:val="20"/>
                <w:szCs w:val="20"/>
              </w:rPr>
              <w:t xml:space="preserve"> and would not be detectable by any sequencing assay.</w:t>
            </w:r>
          </w:p>
        </w:tc>
        <w:tc>
          <w:tcPr>
            <w:tcW w:w="811" w:type="pct"/>
            <w:tcBorders>
              <w:bottom w:val="nil"/>
            </w:tcBorders>
          </w:tcPr>
          <w:p w14:paraId="6DC7D8CD"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None reported</w:t>
            </w:r>
          </w:p>
        </w:tc>
        <w:tc>
          <w:tcPr>
            <w:tcW w:w="955" w:type="pct"/>
            <w:tcBorders>
              <w:bottom w:val="nil"/>
            </w:tcBorders>
          </w:tcPr>
          <w:p w14:paraId="26D524FD"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Not reported</w:t>
            </w:r>
          </w:p>
        </w:tc>
      </w:tr>
      <w:tr w:rsidR="00A8151D" w:rsidRPr="002503BE" w14:paraId="7255AEDD" w14:textId="77777777" w:rsidTr="00A8151D">
        <w:trPr>
          <w:cantSplit/>
          <w:trHeight w:val="491"/>
        </w:trPr>
        <w:tc>
          <w:tcPr>
            <w:tcW w:w="385" w:type="pct"/>
            <w:tcBorders>
              <w:top w:val="nil"/>
              <w:bottom w:val="single" w:sz="4" w:space="0" w:color="auto"/>
            </w:tcBorders>
          </w:tcPr>
          <w:p w14:paraId="3754D6A2"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lastRenderedPageBreak/>
              <w:t>Strom et al. 2003</w:t>
            </w:r>
          </w:p>
          <w:p w14:paraId="4CBAE13D"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USA</w:t>
            </w:r>
          </w:p>
        </w:tc>
        <w:tc>
          <w:tcPr>
            <w:tcW w:w="397" w:type="pct"/>
            <w:tcBorders>
              <w:top w:val="nil"/>
              <w:bottom w:val="single" w:sz="4" w:space="0" w:color="auto"/>
            </w:tcBorders>
          </w:tcPr>
          <w:p w14:paraId="385FB994"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Level III-2</w:t>
            </w:r>
          </w:p>
          <w:p w14:paraId="4B5F2321"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Low risk of bias</w:t>
            </w:r>
          </w:p>
        </w:tc>
        <w:tc>
          <w:tcPr>
            <w:tcW w:w="645" w:type="pct"/>
            <w:tcBorders>
              <w:top w:val="nil"/>
              <w:bottom w:val="single" w:sz="4" w:space="0" w:color="auto"/>
            </w:tcBorders>
          </w:tcPr>
          <w:p w14:paraId="1BD383F4" w14:textId="25A0059A"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Carrier screening program: n</w:t>
            </w:r>
            <w:r w:rsidR="007A46FA">
              <w:rPr>
                <w:rFonts w:ascii="Arial Narrow" w:hAnsi="Arial Narrow" w:cs="Times New Roman"/>
                <w:sz w:val="20"/>
                <w:szCs w:val="20"/>
                <w:lang w:eastAsia="en-US"/>
              </w:rPr>
              <w:t>umber</w:t>
            </w:r>
            <w:r w:rsidRPr="002503BE">
              <w:rPr>
                <w:rFonts w:ascii="Arial Narrow" w:hAnsi="Arial Narrow" w:cs="Times New Roman"/>
                <w:sz w:val="20"/>
                <w:szCs w:val="20"/>
                <w:lang w:eastAsia="en-US"/>
              </w:rPr>
              <w:t xml:space="preserve"> of patients screened not reported</w:t>
            </w:r>
          </w:p>
        </w:tc>
        <w:tc>
          <w:tcPr>
            <w:tcW w:w="757" w:type="pct"/>
            <w:tcBorders>
              <w:top w:val="nil"/>
              <w:bottom w:val="single" w:sz="4" w:space="0" w:color="auto"/>
            </w:tcBorders>
          </w:tcPr>
          <w:p w14:paraId="1C79EEC0"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CF testing for the ACMG panel using the Roche CF Gold Linear Array strips</w:t>
            </w:r>
          </w:p>
        </w:tc>
        <w:tc>
          <w:tcPr>
            <w:tcW w:w="1050" w:type="pct"/>
            <w:tcBorders>
              <w:top w:val="nil"/>
              <w:bottom w:val="single" w:sz="4" w:space="0" w:color="auto"/>
            </w:tcBorders>
          </w:tcPr>
          <w:p w14:paraId="0CC8FDB1"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Irregularities such as unusually weak lines or missing lines can be present on the strip assay, and these ambiguities can be resolved by sequencing the appropriate amplicon.</w:t>
            </w:r>
          </w:p>
        </w:tc>
        <w:tc>
          <w:tcPr>
            <w:tcW w:w="811" w:type="pct"/>
            <w:tcBorders>
              <w:top w:val="nil"/>
              <w:bottom w:val="single" w:sz="4" w:space="0" w:color="auto"/>
            </w:tcBorders>
          </w:tcPr>
          <w:p w14:paraId="15B91CC9"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None reported</w:t>
            </w:r>
          </w:p>
        </w:tc>
        <w:tc>
          <w:tcPr>
            <w:tcW w:w="955" w:type="pct"/>
            <w:tcBorders>
              <w:top w:val="nil"/>
              <w:bottom w:val="single" w:sz="4" w:space="0" w:color="auto"/>
            </w:tcBorders>
          </w:tcPr>
          <w:p w14:paraId="7992084F"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There were 9 instances of ambiguous results (approximately 1 per 10,000 assays)</w:t>
            </w:r>
          </w:p>
        </w:tc>
      </w:tr>
      <w:tr w:rsidR="00A8151D" w:rsidRPr="002503BE" w14:paraId="77978B10" w14:textId="77777777" w:rsidTr="00A8151D">
        <w:trPr>
          <w:cantSplit/>
          <w:trHeight w:val="491"/>
        </w:trPr>
        <w:tc>
          <w:tcPr>
            <w:tcW w:w="385" w:type="pct"/>
            <w:tcBorders>
              <w:top w:val="single" w:sz="4" w:space="0" w:color="auto"/>
              <w:bottom w:val="single" w:sz="4" w:space="0" w:color="auto"/>
            </w:tcBorders>
          </w:tcPr>
          <w:p w14:paraId="5C22515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Giuliani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2010</w:t>
            </w:r>
            <w:r w:rsidR="008E2E92">
              <w:rPr>
                <w:rFonts w:ascii="Arial Narrow" w:eastAsiaTheme="minorHAnsi" w:hAnsi="Arial Narrow" w:cstheme="minorHAnsi"/>
                <w:sz w:val="20"/>
                <w:szCs w:val="20"/>
                <w:lang w:eastAsia="en-US"/>
              </w:rPr>
              <w:t>)</w:t>
            </w:r>
          </w:p>
          <w:p w14:paraId="2B975697"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Italy</w:t>
            </w:r>
          </w:p>
        </w:tc>
        <w:tc>
          <w:tcPr>
            <w:tcW w:w="397" w:type="pct"/>
            <w:tcBorders>
              <w:top w:val="single" w:sz="4" w:space="0" w:color="auto"/>
              <w:bottom w:val="single" w:sz="4" w:space="0" w:color="auto"/>
            </w:tcBorders>
          </w:tcPr>
          <w:p w14:paraId="67E1AC7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57A2CB6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645" w:type="pct"/>
            <w:tcBorders>
              <w:top w:val="single" w:sz="4" w:space="0" w:color="auto"/>
              <w:bottom w:val="single" w:sz="4" w:space="0" w:color="auto"/>
            </w:tcBorders>
          </w:tcPr>
          <w:p w14:paraId="1B628E75"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N=23 CBAVD patients</w:t>
            </w:r>
          </w:p>
        </w:tc>
        <w:tc>
          <w:tcPr>
            <w:tcW w:w="757" w:type="pct"/>
            <w:tcBorders>
              <w:top w:val="single" w:sz="4" w:space="0" w:color="auto"/>
              <w:bottom w:val="single" w:sz="4" w:space="0" w:color="auto"/>
            </w:tcBorders>
          </w:tcPr>
          <w:p w14:paraId="2EFFD607" w14:textId="6831E79E"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MLPA to detect deletions and/or duplications of the </w:t>
            </w:r>
            <w:r w:rsidR="00A21FD9" w:rsidRPr="00A21FD9">
              <w:rPr>
                <w:rFonts w:ascii="Arial Narrow" w:hAnsi="Arial Narrow" w:cs="Times New Roman"/>
                <w:i/>
                <w:sz w:val="20"/>
                <w:szCs w:val="20"/>
              </w:rPr>
              <w:t>CFTR</w:t>
            </w:r>
            <w:r w:rsidRPr="002503BE">
              <w:rPr>
                <w:rFonts w:ascii="Arial Narrow" w:hAnsi="Arial Narrow" w:cs="Times New Roman"/>
                <w:sz w:val="20"/>
                <w:szCs w:val="20"/>
              </w:rPr>
              <w:t xml:space="preserve"> gene </w:t>
            </w:r>
          </w:p>
          <w:p w14:paraId="27C294E0" w14:textId="0703B6C5"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DHPLC with abnormal results </w:t>
            </w:r>
            <w:r w:rsidR="007A46FA">
              <w:rPr>
                <w:rFonts w:ascii="Arial Narrow" w:hAnsi="Arial Narrow" w:cs="Times New Roman"/>
                <w:sz w:val="20"/>
                <w:szCs w:val="20"/>
              </w:rPr>
              <w:t xml:space="preserve">were </w:t>
            </w:r>
            <w:r w:rsidRPr="002503BE">
              <w:rPr>
                <w:rFonts w:ascii="Arial Narrow" w:hAnsi="Arial Narrow" w:cs="Times New Roman"/>
                <w:sz w:val="20"/>
                <w:szCs w:val="20"/>
              </w:rPr>
              <w:t xml:space="preserve">analysed by direct DNA sequencing to detect point mutations of the </w:t>
            </w:r>
            <w:r w:rsidR="00A21FD9" w:rsidRPr="00A21FD9">
              <w:rPr>
                <w:rFonts w:ascii="Arial Narrow" w:hAnsi="Arial Narrow" w:cs="Times New Roman"/>
                <w:i/>
                <w:sz w:val="20"/>
                <w:szCs w:val="20"/>
              </w:rPr>
              <w:t>CFTR</w:t>
            </w:r>
            <w:r w:rsidRPr="002503BE">
              <w:rPr>
                <w:rFonts w:ascii="Arial Narrow" w:hAnsi="Arial Narrow" w:cs="Times New Roman"/>
                <w:sz w:val="20"/>
                <w:szCs w:val="20"/>
              </w:rPr>
              <w:t xml:space="preserve"> gene</w:t>
            </w:r>
            <w:r w:rsidR="007A46FA">
              <w:rPr>
                <w:rFonts w:ascii="Arial Narrow" w:hAnsi="Arial Narrow" w:cs="Times New Roman"/>
                <w:sz w:val="20"/>
                <w:szCs w:val="20"/>
              </w:rPr>
              <w:t>.</w:t>
            </w:r>
          </w:p>
        </w:tc>
        <w:tc>
          <w:tcPr>
            <w:tcW w:w="1050" w:type="pct"/>
            <w:tcBorders>
              <w:top w:val="single" w:sz="4" w:space="0" w:color="auto"/>
              <w:bottom w:val="single" w:sz="4" w:space="0" w:color="auto"/>
            </w:tcBorders>
          </w:tcPr>
          <w:p w14:paraId="6ED6100B" w14:textId="64CAAC8F"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Large deletions involving the </w:t>
            </w:r>
            <w:r w:rsidR="00A21FD9" w:rsidRPr="00A21FD9">
              <w:rPr>
                <w:rFonts w:ascii="Arial Narrow" w:hAnsi="Arial Narrow" w:cs="Times New Roman"/>
                <w:i/>
                <w:sz w:val="20"/>
                <w:szCs w:val="20"/>
              </w:rPr>
              <w:t>CFTR</w:t>
            </w:r>
            <w:r w:rsidRPr="002503BE">
              <w:rPr>
                <w:rFonts w:ascii="Arial Narrow" w:hAnsi="Arial Narrow" w:cs="Times New Roman"/>
                <w:sz w:val="20"/>
                <w:szCs w:val="20"/>
              </w:rPr>
              <w:t xml:space="preserve"> gene are not detectable by any sequencing assay.</w:t>
            </w:r>
          </w:p>
        </w:tc>
        <w:tc>
          <w:tcPr>
            <w:tcW w:w="811" w:type="pct"/>
            <w:tcBorders>
              <w:top w:val="single" w:sz="4" w:space="0" w:color="auto"/>
              <w:bottom w:val="single" w:sz="4" w:space="0" w:color="auto"/>
            </w:tcBorders>
          </w:tcPr>
          <w:p w14:paraId="25325874" w14:textId="34876488"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MLPA detected </w:t>
            </w:r>
            <w:r w:rsidR="007A46FA">
              <w:rPr>
                <w:rFonts w:ascii="Arial Narrow" w:eastAsiaTheme="minorHAnsi" w:hAnsi="Arial Narrow" w:cs="Times New Roman"/>
                <w:sz w:val="20"/>
                <w:szCs w:val="20"/>
                <w:lang w:eastAsia="en-US"/>
              </w:rPr>
              <w:t>2</w:t>
            </w:r>
            <w:r w:rsidR="00DF5916">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deletion mutations in 2 CBAVD patients that could not be detected with DHPLC plus sequencing.</w:t>
            </w:r>
          </w:p>
        </w:tc>
        <w:tc>
          <w:tcPr>
            <w:tcW w:w="955" w:type="pct"/>
            <w:tcBorders>
              <w:top w:val="single" w:sz="4" w:space="0" w:color="auto"/>
              <w:bottom w:val="single" w:sz="4" w:space="0" w:color="auto"/>
            </w:tcBorders>
          </w:tcPr>
          <w:p w14:paraId="177827B2"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Not reported</w:t>
            </w:r>
          </w:p>
        </w:tc>
      </w:tr>
      <w:tr w:rsidR="00A8151D" w:rsidRPr="002503BE" w14:paraId="38FC0374" w14:textId="77777777" w:rsidTr="00A8151D">
        <w:trPr>
          <w:cantSplit/>
          <w:trHeight w:val="491"/>
        </w:trPr>
        <w:tc>
          <w:tcPr>
            <w:tcW w:w="385" w:type="pct"/>
            <w:tcBorders>
              <w:top w:val="single" w:sz="4" w:space="0" w:color="auto"/>
              <w:bottom w:val="single" w:sz="4" w:space="0" w:color="auto"/>
            </w:tcBorders>
          </w:tcPr>
          <w:p w14:paraId="0BBED5E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Houdayer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1998</w:t>
            </w:r>
            <w:r w:rsidR="008E2E92">
              <w:rPr>
                <w:rFonts w:ascii="Arial Narrow" w:eastAsiaTheme="minorHAnsi" w:hAnsi="Arial Narrow" w:cstheme="minorHAnsi"/>
                <w:sz w:val="20"/>
                <w:szCs w:val="20"/>
                <w:lang w:eastAsia="en-US"/>
              </w:rPr>
              <w:t>)</w:t>
            </w:r>
          </w:p>
          <w:p w14:paraId="331FF65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France</w:t>
            </w:r>
          </w:p>
        </w:tc>
        <w:tc>
          <w:tcPr>
            <w:tcW w:w="397" w:type="pct"/>
            <w:tcBorders>
              <w:top w:val="single" w:sz="4" w:space="0" w:color="auto"/>
              <w:bottom w:val="single" w:sz="4" w:space="0" w:color="auto"/>
            </w:tcBorders>
          </w:tcPr>
          <w:p w14:paraId="6C39A2F8"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7A2DF59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Some risk of bias</w:t>
            </w:r>
          </w:p>
        </w:tc>
        <w:tc>
          <w:tcPr>
            <w:tcW w:w="645" w:type="pct"/>
            <w:tcBorders>
              <w:top w:val="single" w:sz="4" w:space="0" w:color="auto"/>
              <w:bottom w:val="single" w:sz="4" w:space="0" w:color="auto"/>
            </w:tcBorders>
          </w:tcPr>
          <w:p w14:paraId="503442B4" w14:textId="4E4AE97A" w:rsidR="002503BE" w:rsidRPr="002503BE" w:rsidRDefault="002503BE" w:rsidP="004566DC">
            <w:pPr>
              <w:tabs>
                <w:tab w:val="left" w:pos="1167"/>
              </w:tabs>
              <w:spacing w:after="40" w:line="240" w:lineRule="auto"/>
              <w:jc w:val="left"/>
              <w:rPr>
                <w:rFonts w:ascii="Arial Narrow" w:eastAsiaTheme="minorHAnsi" w:hAnsi="Arial Narrow" w:cs="Times New Roman"/>
                <w:sz w:val="20"/>
                <w:szCs w:val="20"/>
                <w:lang w:eastAsia="en-US"/>
              </w:rPr>
            </w:pPr>
            <w:r w:rsidRPr="002503BE">
              <w:rPr>
                <w:rFonts w:ascii="Arial Narrow" w:hAnsi="Arial Narrow" w:cs="Times New Roman"/>
                <w:sz w:val="20"/>
                <w:szCs w:val="20"/>
                <w:lang w:eastAsia="en-US"/>
              </w:rPr>
              <w:t xml:space="preserve">N=40 DNA samples of known </w:t>
            </w:r>
            <w:r w:rsidR="00FD37D3" w:rsidRPr="00FD37D3">
              <w:rPr>
                <w:rFonts w:ascii="Arial Narrow" w:hAnsi="Arial Narrow" w:cs="Times New Roman"/>
                <w:sz w:val="20"/>
                <w:szCs w:val="20"/>
                <w:lang w:eastAsia="en-US"/>
              </w:rPr>
              <w:t>CFTR</w:t>
            </w:r>
            <w:r w:rsidRPr="002503BE">
              <w:rPr>
                <w:rFonts w:ascii="Arial Narrow" w:hAnsi="Arial Narrow" w:cs="Times New Roman"/>
                <w:sz w:val="20"/>
                <w:szCs w:val="20"/>
                <w:lang w:eastAsia="en-US"/>
              </w:rPr>
              <w:t xml:space="preserve"> mutations</w:t>
            </w:r>
          </w:p>
        </w:tc>
        <w:tc>
          <w:tcPr>
            <w:tcW w:w="757" w:type="pct"/>
            <w:tcBorders>
              <w:top w:val="single" w:sz="4" w:space="0" w:color="auto"/>
              <w:bottom w:val="single" w:sz="4" w:space="0" w:color="auto"/>
            </w:tcBorders>
          </w:tcPr>
          <w:p w14:paraId="7FEFD5EB" w14:textId="77777777" w:rsidR="002503BE" w:rsidRPr="002503BE" w:rsidRDefault="002503BE" w:rsidP="004566DC">
            <w:pPr>
              <w:tabs>
                <w:tab w:val="left" w:pos="746"/>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CF(12) ARMS kit</w:t>
            </w:r>
          </w:p>
        </w:tc>
        <w:tc>
          <w:tcPr>
            <w:tcW w:w="1050" w:type="pct"/>
            <w:tcBorders>
              <w:top w:val="single" w:sz="4" w:space="0" w:color="auto"/>
              <w:bottom w:val="single" w:sz="4" w:space="0" w:color="auto"/>
            </w:tcBorders>
          </w:tcPr>
          <w:p w14:paraId="2EEE931B" w14:textId="77777777" w:rsidR="002503BE" w:rsidRPr="002503BE" w:rsidRDefault="002503BE" w:rsidP="004566DC">
            <w:pPr>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ARMS technology cannot distinguish between heterozygous and homozygous point mutations.</w:t>
            </w:r>
          </w:p>
        </w:tc>
        <w:tc>
          <w:tcPr>
            <w:tcW w:w="811" w:type="pct"/>
            <w:tcBorders>
              <w:top w:val="single" w:sz="4" w:space="0" w:color="auto"/>
              <w:bottom w:val="single" w:sz="4" w:space="0" w:color="auto"/>
            </w:tcBorders>
          </w:tcPr>
          <w:p w14:paraId="118E3AAB" w14:textId="5E7BC284"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2/40 patients with homozygous mutations were not identified as homozygous</w:t>
            </w:r>
            <w:r w:rsidR="0031557A">
              <w:rPr>
                <w:rFonts w:ascii="Arial Narrow" w:eastAsiaTheme="minorHAnsi" w:hAnsi="Arial Narrow" w:cs="Times New Roman"/>
                <w:sz w:val="20"/>
                <w:szCs w:val="20"/>
                <w:lang w:eastAsia="en-US"/>
              </w:rPr>
              <w:t>.</w:t>
            </w:r>
          </w:p>
        </w:tc>
        <w:tc>
          <w:tcPr>
            <w:tcW w:w="955" w:type="pct"/>
            <w:tcBorders>
              <w:top w:val="single" w:sz="4" w:space="0" w:color="auto"/>
              <w:bottom w:val="single" w:sz="4" w:space="0" w:color="auto"/>
            </w:tcBorders>
          </w:tcPr>
          <w:p w14:paraId="186D6D04"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Not reported</w:t>
            </w:r>
          </w:p>
        </w:tc>
      </w:tr>
      <w:tr w:rsidR="00A8151D" w:rsidRPr="002503BE" w14:paraId="6C855721" w14:textId="77777777" w:rsidTr="00A8151D">
        <w:trPr>
          <w:cantSplit/>
          <w:trHeight w:val="491"/>
        </w:trPr>
        <w:tc>
          <w:tcPr>
            <w:tcW w:w="385" w:type="pct"/>
            <w:tcBorders>
              <w:top w:val="single" w:sz="4" w:space="0" w:color="auto"/>
              <w:bottom w:val="single" w:sz="4" w:space="0" w:color="auto"/>
            </w:tcBorders>
          </w:tcPr>
          <w:p w14:paraId="371D3A2E" w14:textId="49287B64"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Ravnik-Glava</w:t>
            </w:r>
            <w:r w:rsidR="008316B3">
              <w:rPr>
                <w:rFonts w:ascii="Arial Narrow" w:eastAsiaTheme="minorHAnsi" w:hAnsi="Arial Narrow" w:cstheme="minorHAnsi"/>
                <w:sz w:val="20"/>
                <w:szCs w:val="20"/>
                <w:lang w:eastAsia="en-US"/>
              </w:rPr>
              <w:t>c</w:t>
            </w:r>
            <w:r w:rsidRPr="002503BE">
              <w:rPr>
                <w:rFonts w:ascii="Arial Narrow" w:eastAsiaTheme="minorHAnsi" w:hAnsi="Arial Narrow" w:cstheme="minorHAnsi"/>
                <w:sz w:val="20"/>
                <w:szCs w:val="20"/>
                <w:lang w:eastAsia="en-US"/>
              </w:rPr>
              <w:t xml:space="preserve">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1994</w:t>
            </w:r>
            <w:r w:rsidR="008E2E92">
              <w:rPr>
                <w:rFonts w:ascii="Arial Narrow" w:eastAsiaTheme="minorHAnsi" w:hAnsi="Arial Narrow" w:cstheme="minorHAnsi"/>
                <w:sz w:val="20"/>
                <w:szCs w:val="20"/>
                <w:lang w:eastAsia="en-US"/>
              </w:rPr>
              <w:t>)</w:t>
            </w:r>
          </w:p>
          <w:p w14:paraId="774DC3A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7" w:type="pct"/>
            <w:tcBorders>
              <w:top w:val="single" w:sz="4" w:space="0" w:color="auto"/>
              <w:bottom w:val="single" w:sz="4" w:space="0" w:color="auto"/>
            </w:tcBorders>
          </w:tcPr>
          <w:p w14:paraId="7D581923"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37C93F8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Borders>
              <w:top w:val="single" w:sz="4" w:space="0" w:color="auto"/>
              <w:bottom w:val="single" w:sz="4" w:space="0" w:color="auto"/>
            </w:tcBorders>
          </w:tcPr>
          <w:p w14:paraId="3E97534B" w14:textId="2AEBCD01"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 xml:space="preserve">N=133 DNA samples of known </w:t>
            </w:r>
            <w:r w:rsidR="00FD37D3" w:rsidRPr="00FD37D3">
              <w:rPr>
                <w:rFonts w:ascii="Arial Narrow" w:hAnsi="Arial Narrow" w:cs="Times New Roman"/>
                <w:sz w:val="20"/>
                <w:szCs w:val="20"/>
                <w:lang w:eastAsia="en-US"/>
              </w:rPr>
              <w:t>CFTR</w:t>
            </w:r>
            <w:r w:rsidRPr="002503BE">
              <w:rPr>
                <w:rFonts w:ascii="Arial Narrow" w:hAnsi="Arial Narrow" w:cs="Times New Roman"/>
                <w:sz w:val="20"/>
                <w:szCs w:val="20"/>
                <w:lang w:eastAsia="en-US"/>
              </w:rPr>
              <w:t xml:space="preserve"> mutations </w:t>
            </w:r>
          </w:p>
        </w:tc>
        <w:tc>
          <w:tcPr>
            <w:tcW w:w="757" w:type="pct"/>
            <w:tcBorders>
              <w:top w:val="single" w:sz="4" w:space="0" w:color="auto"/>
              <w:bottom w:val="single" w:sz="4" w:space="0" w:color="auto"/>
            </w:tcBorders>
          </w:tcPr>
          <w:p w14:paraId="4E634CFF"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SSCP analysis of PCR products</w:t>
            </w:r>
          </w:p>
        </w:tc>
        <w:tc>
          <w:tcPr>
            <w:tcW w:w="1050" w:type="pct"/>
            <w:tcBorders>
              <w:top w:val="single" w:sz="4" w:space="0" w:color="auto"/>
              <w:bottom w:val="single" w:sz="4" w:space="0" w:color="auto"/>
            </w:tcBorders>
          </w:tcPr>
          <w:p w14:paraId="528DA9ED" w14:textId="311277D5"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The mobility shift of single strands is dependent on electrophoretic conditions such as temperature, ionic strength, composition of the gel, addition of glycerol.</w:t>
            </w:r>
          </w:p>
          <w:p w14:paraId="1FBCDA64"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eastAsiaTheme="minorHAnsi" w:hAnsi="Arial Narrow" w:cs="Times New Roman"/>
                <w:sz w:val="20"/>
                <w:szCs w:val="20"/>
                <w:lang w:eastAsia="en-US"/>
              </w:rPr>
              <w:t>The sensitivity of SSCP varied greatly with the conditions and between exons.</w:t>
            </w:r>
          </w:p>
        </w:tc>
        <w:tc>
          <w:tcPr>
            <w:tcW w:w="811" w:type="pct"/>
            <w:tcBorders>
              <w:top w:val="single" w:sz="4" w:space="0" w:color="auto"/>
              <w:bottom w:val="single" w:sz="4" w:space="0" w:color="auto"/>
            </w:tcBorders>
          </w:tcPr>
          <w:p w14:paraId="121C4318" w14:textId="3EF4A959"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There was no optimal condition suitable for all exons. However, using a 10% gel with 1.3% cross-linking in the presence of glycerol had a sensitivity of 100% for most exons and 80</w:t>
            </w:r>
            <w:r w:rsidR="00027D71">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98% for exons 4, 7 and 13.</w:t>
            </w:r>
          </w:p>
        </w:tc>
        <w:tc>
          <w:tcPr>
            <w:tcW w:w="955" w:type="pct"/>
            <w:tcBorders>
              <w:top w:val="single" w:sz="4" w:space="0" w:color="auto"/>
              <w:bottom w:val="single" w:sz="4" w:space="0" w:color="auto"/>
            </w:tcBorders>
          </w:tcPr>
          <w:p w14:paraId="614699C0"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Not reported</w:t>
            </w:r>
          </w:p>
        </w:tc>
      </w:tr>
      <w:tr w:rsidR="00A8151D" w:rsidRPr="002503BE" w14:paraId="2AAD5F67" w14:textId="77777777" w:rsidTr="00A8151D">
        <w:trPr>
          <w:cantSplit/>
          <w:trHeight w:val="491"/>
        </w:trPr>
        <w:tc>
          <w:tcPr>
            <w:tcW w:w="385" w:type="pct"/>
            <w:tcBorders>
              <w:top w:val="single" w:sz="4" w:space="0" w:color="auto"/>
              <w:bottom w:val="single" w:sz="4" w:space="0" w:color="auto"/>
            </w:tcBorders>
          </w:tcPr>
          <w:p w14:paraId="526C7AE8" w14:textId="4B11941F"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Ravnik-Glava</w:t>
            </w:r>
            <w:r w:rsidR="008316B3">
              <w:rPr>
                <w:rFonts w:ascii="Arial Narrow" w:eastAsiaTheme="minorHAnsi" w:hAnsi="Arial Narrow" w:cstheme="minorHAnsi"/>
                <w:sz w:val="20"/>
                <w:szCs w:val="20"/>
                <w:lang w:eastAsia="en-US"/>
              </w:rPr>
              <w:t>c</w:t>
            </w:r>
            <w:r w:rsidRPr="002503BE">
              <w:rPr>
                <w:rFonts w:ascii="Arial Narrow" w:eastAsiaTheme="minorHAnsi" w:hAnsi="Arial Narrow" w:cstheme="minorHAnsi"/>
                <w:sz w:val="20"/>
                <w:szCs w:val="20"/>
                <w:lang w:eastAsia="en-US"/>
              </w:rPr>
              <w:t xml:space="preserve">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2002</w:t>
            </w:r>
            <w:r w:rsidR="008E2E92">
              <w:rPr>
                <w:rFonts w:ascii="Arial Narrow" w:eastAsiaTheme="minorHAnsi" w:hAnsi="Arial Narrow" w:cstheme="minorHAnsi"/>
                <w:sz w:val="20"/>
                <w:szCs w:val="20"/>
                <w:lang w:eastAsia="en-US"/>
              </w:rPr>
              <w:t>)</w:t>
            </w:r>
          </w:p>
          <w:p w14:paraId="26B4021B"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7" w:type="pct"/>
            <w:tcBorders>
              <w:top w:val="single" w:sz="4" w:space="0" w:color="auto"/>
              <w:bottom w:val="single" w:sz="4" w:space="0" w:color="auto"/>
            </w:tcBorders>
          </w:tcPr>
          <w:p w14:paraId="62C187E5"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III-2</w:t>
            </w:r>
          </w:p>
          <w:p w14:paraId="35873DF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Borders>
              <w:top w:val="single" w:sz="4" w:space="0" w:color="auto"/>
              <w:bottom w:val="single" w:sz="4" w:space="0" w:color="auto"/>
            </w:tcBorders>
          </w:tcPr>
          <w:p w14:paraId="206154DF" w14:textId="3324777B" w:rsidR="002503BE" w:rsidRPr="002503BE" w:rsidRDefault="002503BE" w:rsidP="004566DC">
            <w:pPr>
              <w:tabs>
                <w:tab w:val="left" w:pos="1167"/>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N=73 DNA samples of known </w:t>
            </w:r>
            <w:r w:rsidR="00FD37D3" w:rsidRPr="00FD37D3">
              <w:rPr>
                <w:rFonts w:ascii="Arial Narrow" w:eastAsiaTheme="minorHAnsi" w:hAnsi="Arial Narrow" w:cs="Times New Roman"/>
                <w:sz w:val="20"/>
                <w:szCs w:val="20"/>
                <w:lang w:eastAsia="en-US"/>
              </w:rPr>
              <w:t>CFTR</w:t>
            </w:r>
            <w:r w:rsidRPr="002503BE">
              <w:rPr>
                <w:rFonts w:ascii="Arial Narrow" w:eastAsiaTheme="minorHAnsi" w:hAnsi="Arial Narrow" w:cs="Times New Roman"/>
                <w:sz w:val="20"/>
                <w:szCs w:val="20"/>
                <w:lang w:eastAsia="en-US"/>
              </w:rPr>
              <w:t xml:space="preserve"> mutations</w:t>
            </w:r>
          </w:p>
        </w:tc>
        <w:tc>
          <w:tcPr>
            <w:tcW w:w="757" w:type="pct"/>
            <w:tcBorders>
              <w:top w:val="single" w:sz="4" w:space="0" w:color="auto"/>
              <w:bottom w:val="single" w:sz="4" w:space="0" w:color="auto"/>
            </w:tcBorders>
          </w:tcPr>
          <w:p w14:paraId="5101B991" w14:textId="77777777"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DHPLC</w:t>
            </w:r>
            <w:r w:rsidRPr="002503BE">
              <w:rPr>
                <w:rFonts w:ascii="Arial Narrow" w:hAnsi="Arial Narrow" w:cs="Times New Roman"/>
                <w:sz w:val="20"/>
                <w:szCs w:val="20"/>
              </w:rPr>
              <w:t xml:space="preserve"> </w:t>
            </w:r>
            <w:r w:rsidRPr="002503BE">
              <w:rPr>
                <w:rFonts w:ascii="Arial Narrow" w:eastAsiaTheme="minorHAnsi" w:hAnsi="Arial Narrow" w:cs="Times New Roman"/>
                <w:sz w:val="20"/>
                <w:szCs w:val="20"/>
                <w:lang w:eastAsia="en-US"/>
              </w:rPr>
              <w:t>using Stanford MELT software</w:t>
            </w:r>
          </w:p>
        </w:tc>
        <w:tc>
          <w:tcPr>
            <w:tcW w:w="1050" w:type="pct"/>
            <w:tcBorders>
              <w:top w:val="single" w:sz="4" w:space="0" w:color="auto"/>
              <w:bottom w:val="single" w:sz="4" w:space="0" w:color="auto"/>
            </w:tcBorders>
          </w:tcPr>
          <w:p w14:paraId="4A38BF40" w14:textId="61BE5DF3"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An increase of the denaturation temperature by 1</w:t>
            </w:r>
            <w:r w:rsidR="00027D71">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2</w:t>
            </w:r>
            <w:r w:rsidR="0031557A">
              <w:rPr>
                <w:rFonts w:ascii="Arial Narrow" w:eastAsiaTheme="minorHAnsi" w:hAnsi="Arial Narrow" w:cs="Times New Roman"/>
                <w:sz w:val="20"/>
                <w:szCs w:val="20"/>
                <w:lang w:eastAsia="en-US"/>
              </w:rPr>
              <w:t> </w:t>
            </w:r>
            <w:r w:rsidRPr="002503BE">
              <w:rPr>
                <w:rFonts w:ascii="Arial Narrow" w:eastAsiaTheme="minorHAnsi" w:hAnsi="Arial Narrow" w:cs="Times New Roman"/>
                <w:sz w:val="20"/>
                <w:szCs w:val="20"/>
                <w:lang w:eastAsia="en-US"/>
              </w:rPr>
              <w:t>degrees above that recommended by the MELT program improved the resolution of mutation detection to 100%</w:t>
            </w:r>
            <w:r w:rsidR="0031557A">
              <w:rPr>
                <w:rFonts w:ascii="Arial Narrow" w:eastAsiaTheme="minorHAnsi" w:hAnsi="Arial Narrow" w:cs="Times New Roman"/>
                <w:sz w:val="20"/>
                <w:szCs w:val="20"/>
                <w:lang w:eastAsia="en-US"/>
              </w:rPr>
              <w:t>.</w:t>
            </w:r>
          </w:p>
        </w:tc>
        <w:tc>
          <w:tcPr>
            <w:tcW w:w="811" w:type="pct"/>
            <w:tcBorders>
              <w:top w:val="single" w:sz="4" w:space="0" w:color="auto"/>
              <w:bottom w:val="single" w:sz="4" w:space="0" w:color="auto"/>
            </w:tcBorders>
          </w:tcPr>
          <w:p w14:paraId="7E0DD057"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7/73 (9.6%) mutations not detected at the recommended denaturation temperature</w:t>
            </w:r>
          </w:p>
        </w:tc>
        <w:tc>
          <w:tcPr>
            <w:tcW w:w="955" w:type="pct"/>
            <w:tcBorders>
              <w:top w:val="single" w:sz="4" w:space="0" w:color="auto"/>
              <w:bottom w:val="single" w:sz="4" w:space="0" w:color="auto"/>
            </w:tcBorders>
          </w:tcPr>
          <w:p w14:paraId="72FE8E7E"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Not reported</w:t>
            </w:r>
          </w:p>
        </w:tc>
      </w:tr>
      <w:tr w:rsidR="00A8151D" w:rsidRPr="002503BE" w14:paraId="03894466" w14:textId="77777777" w:rsidTr="00A8151D">
        <w:trPr>
          <w:cantSplit/>
          <w:trHeight w:val="491"/>
        </w:trPr>
        <w:tc>
          <w:tcPr>
            <w:tcW w:w="385" w:type="pct"/>
            <w:tcBorders>
              <w:top w:val="single" w:sz="4" w:space="0" w:color="auto"/>
              <w:bottom w:val="nil"/>
            </w:tcBorders>
          </w:tcPr>
          <w:p w14:paraId="5831ADF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lastRenderedPageBreak/>
              <w:t xml:space="preserve">Strom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2004</w:t>
            </w:r>
            <w:r w:rsidR="008E2E92">
              <w:rPr>
                <w:rFonts w:ascii="Arial Narrow" w:eastAsiaTheme="minorHAnsi" w:hAnsi="Arial Narrow" w:cstheme="minorHAnsi"/>
                <w:sz w:val="20"/>
                <w:szCs w:val="20"/>
                <w:lang w:eastAsia="en-US"/>
              </w:rPr>
              <w:t>)</w:t>
            </w:r>
          </w:p>
          <w:p w14:paraId="04EC85E6"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7" w:type="pct"/>
            <w:tcBorders>
              <w:top w:val="single" w:sz="4" w:space="0" w:color="auto"/>
              <w:bottom w:val="nil"/>
            </w:tcBorders>
          </w:tcPr>
          <w:p w14:paraId="00D98AD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IV</w:t>
            </w:r>
          </w:p>
          <w:p w14:paraId="34B136F9"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Borders>
              <w:top w:val="single" w:sz="4" w:space="0" w:color="auto"/>
              <w:bottom w:val="nil"/>
            </w:tcBorders>
          </w:tcPr>
          <w:p w14:paraId="0D96BD83" w14:textId="5F2722B2"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w:t>
            </w:r>
            <w:r w:rsidR="0031557A">
              <w:rPr>
                <w:rFonts w:ascii="Arial Narrow" w:hAnsi="Arial Narrow" w:cs="Times New Roman"/>
                <w:sz w:val="20"/>
                <w:szCs w:val="20"/>
                <w:lang w:eastAsia="en-US"/>
              </w:rPr>
              <w:t>,</w:t>
            </w:r>
            <w:r w:rsidRPr="002503BE">
              <w:rPr>
                <w:rFonts w:ascii="Arial Narrow" w:hAnsi="Arial Narrow" w:cs="Times New Roman"/>
                <w:sz w:val="20"/>
                <w:szCs w:val="20"/>
                <w:lang w:eastAsia="en-US"/>
              </w:rPr>
              <w:t>092 patient samples previously tested with the CF Gold line probe assay chosen at random</w:t>
            </w:r>
          </w:p>
          <w:p w14:paraId="6AF0FB67" w14:textId="5FFADDC5"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hAnsi="Arial Narrow" w:cs="Times New Roman"/>
                <w:sz w:val="20"/>
                <w:szCs w:val="20"/>
                <w:lang w:eastAsia="en-US"/>
              </w:rPr>
              <w:t>N=1</w:t>
            </w:r>
            <w:r w:rsidR="0031557A">
              <w:rPr>
                <w:rFonts w:ascii="Arial Narrow" w:hAnsi="Arial Narrow" w:cs="Times New Roman"/>
                <w:sz w:val="20"/>
                <w:szCs w:val="20"/>
                <w:lang w:eastAsia="en-US"/>
              </w:rPr>
              <w:t>,</w:t>
            </w:r>
            <w:r w:rsidRPr="002503BE">
              <w:rPr>
                <w:rFonts w:ascii="Arial Narrow" w:hAnsi="Arial Narrow" w:cs="Times New Roman"/>
                <w:sz w:val="20"/>
                <w:szCs w:val="20"/>
                <w:lang w:eastAsia="en-US"/>
              </w:rPr>
              <w:t>076 patient samples previously tested with the Applera CF OLA, Ver. 3.0, platform</w:t>
            </w:r>
          </w:p>
        </w:tc>
        <w:tc>
          <w:tcPr>
            <w:tcW w:w="757" w:type="pct"/>
            <w:tcBorders>
              <w:top w:val="single" w:sz="4" w:space="0" w:color="auto"/>
              <w:bottom w:val="nil"/>
            </w:tcBorders>
          </w:tcPr>
          <w:p w14:paraId="39E99870" w14:textId="4EC61FF0"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CF Portrait</w:t>
            </w:r>
            <w:r w:rsidRPr="002503BE">
              <w:rPr>
                <w:rFonts w:ascii="Arial Narrow" w:eastAsiaTheme="minorHAnsi" w:hAnsi="Arial Narrow" w:cs="Times New Roman"/>
                <w:sz w:val="20"/>
                <w:szCs w:val="20"/>
                <w:vertAlign w:val="superscript"/>
                <w:lang w:eastAsia="en-US"/>
              </w:rPr>
              <w:t>TM</w:t>
            </w:r>
            <w:r w:rsidRPr="002503BE">
              <w:rPr>
                <w:rFonts w:ascii="Arial Narrow" w:eastAsiaTheme="minorHAnsi" w:hAnsi="Arial Narrow" w:cs="Times New Roman"/>
                <w:sz w:val="20"/>
                <w:szCs w:val="20"/>
                <w:lang w:eastAsia="en-US"/>
              </w:rPr>
              <w:t xml:space="preserve"> system multiplex PCR followed by </w:t>
            </w:r>
            <w:r w:rsidR="0031557A">
              <w:rPr>
                <w:rFonts w:ascii="Arial Narrow" w:eastAsiaTheme="minorHAnsi" w:hAnsi="Arial Narrow" w:cs="Times New Roman"/>
                <w:sz w:val="20"/>
                <w:szCs w:val="20"/>
                <w:lang w:eastAsia="en-US"/>
              </w:rPr>
              <w:t xml:space="preserve">a </w:t>
            </w:r>
            <w:r w:rsidRPr="002503BE">
              <w:rPr>
                <w:rFonts w:ascii="Arial Narrow" w:eastAsiaTheme="minorHAnsi" w:hAnsi="Arial Narrow" w:cs="Times New Roman"/>
                <w:sz w:val="20"/>
                <w:szCs w:val="20"/>
                <w:lang w:eastAsia="en-US"/>
              </w:rPr>
              <w:t>completely automated process of hybridi</w:t>
            </w:r>
            <w:r w:rsidR="0031557A">
              <w:rPr>
                <w:rFonts w:ascii="Arial Narrow" w:eastAsiaTheme="minorHAnsi" w:hAnsi="Arial Narrow" w:cs="Times New Roman"/>
                <w:sz w:val="20"/>
                <w:szCs w:val="20"/>
                <w:lang w:eastAsia="en-US"/>
              </w:rPr>
              <w:t>s</w:t>
            </w:r>
            <w:r w:rsidRPr="002503BE">
              <w:rPr>
                <w:rFonts w:ascii="Arial Narrow" w:eastAsiaTheme="minorHAnsi" w:hAnsi="Arial Narrow" w:cs="Times New Roman"/>
                <w:sz w:val="20"/>
                <w:szCs w:val="20"/>
                <w:lang w:eastAsia="en-US"/>
              </w:rPr>
              <w:t>ation and detection</w:t>
            </w:r>
          </w:p>
        </w:tc>
        <w:tc>
          <w:tcPr>
            <w:tcW w:w="1050" w:type="pct"/>
            <w:tcBorders>
              <w:top w:val="single" w:sz="4" w:space="0" w:color="auto"/>
              <w:bottom w:val="nil"/>
            </w:tcBorders>
          </w:tcPr>
          <w:p w14:paraId="5189E637"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Compound mutations within the same codon or on nearby codons can affect the performance of other probes detecting nearby sequence regions.</w:t>
            </w:r>
          </w:p>
          <w:p w14:paraId="3251AA8B"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For example, expected visual spot patterns were missing one or more wild-type probe spots with a compound heterozygote (I506V/F508del) and a homozygous mutation F508del/F508del in exon 10.</w:t>
            </w:r>
          </w:p>
        </w:tc>
        <w:tc>
          <w:tcPr>
            <w:tcW w:w="811" w:type="pct"/>
            <w:tcBorders>
              <w:top w:val="single" w:sz="4" w:space="0" w:color="auto"/>
              <w:bottom w:val="nil"/>
            </w:tcBorders>
          </w:tcPr>
          <w:p w14:paraId="020852D1" w14:textId="7D324054"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 xml:space="preserve">There </w:t>
            </w:r>
            <w:r w:rsidR="0031557A">
              <w:rPr>
                <w:rFonts w:ascii="Arial Narrow" w:eastAsiaTheme="minorHAnsi" w:hAnsi="Arial Narrow" w:cs="Times New Roman"/>
                <w:sz w:val="20"/>
                <w:szCs w:val="20"/>
                <w:lang w:eastAsia="en-US"/>
              </w:rPr>
              <w:t>was</w:t>
            </w:r>
            <w:r w:rsidR="0031557A"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 xml:space="preserve">no discordance when compared </w:t>
            </w:r>
            <w:r w:rsidR="0031557A">
              <w:rPr>
                <w:rFonts w:ascii="Arial Narrow" w:eastAsiaTheme="minorHAnsi" w:hAnsi="Arial Narrow" w:cs="Times New Roman"/>
                <w:sz w:val="20"/>
                <w:szCs w:val="20"/>
                <w:lang w:eastAsia="en-US"/>
              </w:rPr>
              <w:t>with</w:t>
            </w:r>
            <w:r w:rsidR="0031557A" w:rsidRPr="002503BE">
              <w:rPr>
                <w:rFonts w:ascii="Arial Narrow" w:eastAsiaTheme="minorHAnsi" w:hAnsi="Arial Narrow" w:cs="Times New Roman"/>
                <w:sz w:val="20"/>
                <w:szCs w:val="20"/>
                <w:lang w:eastAsia="en-US"/>
              </w:rPr>
              <w:t xml:space="preserve"> </w:t>
            </w:r>
            <w:r w:rsidRPr="002503BE">
              <w:rPr>
                <w:rFonts w:ascii="Arial Narrow" w:eastAsiaTheme="minorHAnsi" w:hAnsi="Arial Narrow" w:cs="Times New Roman"/>
                <w:sz w:val="20"/>
                <w:szCs w:val="20"/>
                <w:lang w:eastAsia="en-US"/>
              </w:rPr>
              <w:t>the Roche CF Gold line probe strips</w:t>
            </w:r>
            <w:r w:rsidR="0031557A">
              <w:rPr>
                <w:rFonts w:ascii="Arial Narrow" w:eastAsiaTheme="minorHAnsi" w:hAnsi="Arial Narrow" w:cs="Times New Roman"/>
                <w:sz w:val="20"/>
                <w:szCs w:val="20"/>
                <w:lang w:eastAsia="en-US"/>
              </w:rPr>
              <w:t>.</w:t>
            </w:r>
          </w:p>
        </w:tc>
        <w:tc>
          <w:tcPr>
            <w:tcW w:w="955" w:type="pct"/>
            <w:tcBorders>
              <w:top w:val="single" w:sz="4" w:space="0" w:color="auto"/>
              <w:bottom w:val="nil"/>
            </w:tcBorders>
          </w:tcPr>
          <w:p w14:paraId="145DD7DF"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9%</w:t>
            </w:r>
          </w:p>
          <w:p w14:paraId="6F2F457A"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authors reported that this was higher than expected and was most likely a product of DNA quality and not assay sensitivity. The DNA samples were not fresh, and the chips were observed to have gross failure consistent with PCR failure.</w:t>
            </w:r>
          </w:p>
        </w:tc>
      </w:tr>
      <w:tr w:rsidR="00A8151D" w:rsidRPr="002503BE" w14:paraId="620E6A2B" w14:textId="77777777" w:rsidTr="00A8151D">
        <w:trPr>
          <w:cantSplit/>
          <w:trHeight w:val="64"/>
        </w:trPr>
        <w:tc>
          <w:tcPr>
            <w:tcW w:w="385" w:type="pct"/>
            <w:tcBorders>
              <w:top w:val="nil"/>
              <w:bottom w:val="nil"/>
            </w:tcBorders>
          </w:tcPr>
          <w:p w14:paraId="44119FE5" w14:textId="77777777" w:rsidR="002503BE" w:rsidRPr="002503BE" w:rsidRDefault="002503BE" w:rsidP="004566DC">
            <w:pPr>
              <w:spacing w:after="40" w:line="240" w:lineRule="auto"/>
              <w:jc w:val="left"/>
              <w:rPr>
                <w:rFonts w:ascii="Arial Narrow" w:hAnsi="Arial Narrow" w:cs="Times New Roman"/>
                <w:color w:val="FFFFFF" w:themeColor="background1"/>
                <w:sz w:val="20"/>
                <w:szCs w:val="20"/>
              </w:rPr>
            </w:pPr>
            <w:r w:rsidRPr="002503BE">
              <w:rPr>
                <w:rFonts w:ascii="Arial Narrow" w:eastAsiaTheme="minorHAnsi" w:hAnsi="Arial Narrow" w:cstheme="minorHAnsi"/>
                <w:color w:val="FFFFFF" w:themeColor="background1"/>
                <w:sz w:val="20"/>
                <w:szCs w:val="20"/>
                <w:lang w:eastAsia="en-US"/>
              </w:rPr>
              <w:t xml:space="preserve">Strom et al. </w:t>
            </w:r>
          </w:p>
        </w:tc>
        <w:tc>
          <w:tcPr>
            <w:tcW w:w="397" w:type="pct"/>
            <w:tcBorders>
              <w:top w:val="nil"/>
              <w:bottom w:val="nil"/>
            </w:tcBorders>
          </w:tcPr>
          <w:p w14:paraId="732FFFC9"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w:t>
            </w:r>
          </w:p>
        </w:tc>
        <w:tc>
          <w:tcPr>
            <w:tcW w:w="645" w:type="pct"/>
            <w:tcBorders>
              <w:top w:val="nil"/>
              <w:bottom w:val="nil"/>
            </w:tcBorders>
          </w:tcPr>
          <w:p w14:paraId="1374BBEE" w14:textId="1EE2BF3A"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N=1</w:t>
            </w:r>
            <w:r w:rsidR="0031557A">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092 patient samples</w:t>
            </w:r>
          </w:p>
        </w:tc>
        <w:tc>
          <w:tcPr>
            <w:tcW w:w="757" w:type="pct"/>
            <w:tcBorders>
              <w:top w:val="nil"/>
              <w:bottom w:val="nil"/>
            </w:tcBorders>
          </w:tcPr>
          <w:p w14:paraId="005A6152" w14:textId="77777777"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Roche CF Gold line probe strips</w:t>
            </w:r>
          </w:p>
        </w:tc>
        <w:tc>
          <w:tcPr>
            <w:tcW w:w="1050" w:type="pct"/>
            <w:tcBorders>
              <w:top w:val="nil"/>
              <w:bottom w:val="nil"/>
            </w:tcBorders>
          </w:tcPr>
          <w:p w14:paraId="265441AF" w14:textId="77777777" w:rsidR="002503BE" w:rsidRPr="002503BE" w:rsidRDefault="002503BE" w:rsidP="004566DC">
            <w:pPr>
              <w:tabs>
                <w:tab w:val="left" w:pos="743"/>
              </w:tabs>
              <w:spacing w:after="40" w:line="240" w:lineRule="auto"/>
              <w:jc w:val="left"/>
              <w:rPr>
                <w:rFonts w:ascii="Arial Narrow" w:eastAsiaTheme="minorHAnsi" w:hAnsi="Arial Narrow" w:cs="Times New Roman"/>
                <w:color w:val="FFFFFF" w:themeColor="background1"/>
                <w:sz w:val="20"/>
                <w:szCs w:val="20"/>
                <w:lang w:eastAsia="en-US"/>
              </w:rPr>
            </w:pPr>
            <w:r w:rsidRPr="002503BE">
              <w:rPr>
                <w:rFonts w:ascii="Arial Narrow" w:eastAsiaTheme="minorHAnsi" w:hAnsi="Arial Narrow" w:cs="Times New Roman"/>
                <w:color w:val="FFFFFF" w:themeColor="background1"/>
                <w:sz w:val="20"/>
                <w:szCs w:val="20"/>
                <w:lang w:eastAsia="en-US"/>
              </w:rPr>
              <w:t>-</w:t>
            </w:r>
          </w:p>
        </w:tc>
        <w:tc>
          <w:tcPr>
            <w:tcW w:w="811" w:type="pct"/>
            <w:tcBorders>
              <w:top w:val="nil"/>
              <w:bottom w:val="nil"/>
            </w:tcBorders>
          </w:tcPr>
          <w:p w14:paraId="0968A794"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 errors reported</w:t>
            </w:r>
          </w:p>
        </w:tc>
        <w:tc>
          <w:tcPr>
            <w:tcW w:w="955" w:type="pct"/>
            <w:tcBorders>
              <w:top w:val="nil"/>
              <w:bottom w:val="nil"/>
            </w:tcBorders>
          </w:tcPr>
          <w:p w14:paraId="0EF181D4"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5%</w:t>
            </w:r>
          </w:p>
        </w:tc>
      </w:tr>
      <w:tr w:rsidR="00A8151D" w:rsidRPr="002503BE" w14:paraId="702698DD" w14:textId="77777777" w:rsidTr="00A8151D">
        <w:trPr>
          <w:trHeight w:val="64"/>
        </w:trPr>
        <w:tc>
          <w:tcPr>
            <w:tcW w:w="385" w:type="pct"/>
            <w:tcBorders>
              <w:top w:val="nil"/>
            </w:tcBorders>
          </w:tcPr>
          <w:p w14:paraId="5E0BF0C0" w14:textId="77777777" w:rsidR="002503BE" w:rsidRPr="002503BE" w:rsidRDefault="002503BE" w:rsidP="004566DC">
            <w:pPr>
              <w:spacing w:after="40" w:line="240" w:lineRule="auto"/>
              <w:jc w:val="left"/>
              <w:rPr>
                <w:rFonts w:ascii="Arial Narrow" w:hAnsi="Arial Narrow" w:cs="Times New Roman"/>
                <w:color w:val="FFFFFF" w:themeColor="background1"/>
                <w:sz w:val="20"/>
                <w:szCs w:val="20"/>
              </w:rPr>
            </w:pPr>
            <w:r w:rsidRPr="002503BE">
              <w:rPr>
                <w:rFonts w:ascii="Arial Narrow" w:eastAsiaTheme="minorHAnsi" w:hAnsi="Arial Narrow" w:cstheme="minorHAnsi"/>
                <w:color w:val="FFFFFF" w:themeColor="background1"/>
                <w:sz w:val="20"/>
                <w:szCs w:val="20"/>
                <w:lang w:eastAsia="en-US"/>
              </w:rPr>
              <w:t xml:space="preserve">Strom et al. </w:t>
            </w:r>
          </w:p>
        </w:tc>
        <w:tc>
          <w:tcPr>
            <w:tcW w:w="397" w:type="pct"/>
            <w:tcBorders>
              <w:top w:val="nil"/>
            </w:tcBorders>
          </w:tcPr>
          <w:p w14:paraId="0B1FDCA1" w14:textId="77777777" w:rsidR="002503BE" w:rsidRPr="002503BE" w:rsidRDefault="002503BE" w:rsidP="004566DC">
            <w:pPr>
              <w:spacing w:after="40" w:line="240" w:lineRule="auto"/>
              <w:jc w:val="left"/>
              <w:rPr>
                <w:rFonts w:ascii="Arial Narrow" w:eastAsiaTheme="minorHAnsi" w:hAnsi="Arial Narrow" w:cstheme="minorHAnsi"/>
                <w:color w:val="FFFFFF" w:themeColor="background1"/>
                <w:sz w:val="20"/>
                <w:szCs w:val="20"/>
                <w:lang w:eastAsia="en-US"/>
              </w:rPr>
            </w:pPr>
            <w:r w:rsidRPr="002503BE">
              <w:rPr>
                <w:rFonts w:ascii="Arial Narrow" w:eastAsiaTheme="minorHAnsi" w:hAnsi="Arial Narrow" w:cstheme="minorHAnsi"/>
                <w:color w:val="FFFFFF" w:themeColor="background1"/>
                <w:sz w:val="20"/>
                <w:szCs w:val="20"/>
                <w:lang w:eastAsia="en-US"/>
              </w:rPr>
              <w:t>-</w:t>
            </w:r>
          </w:p>
        </w:tc>
        <w:tc>
          <w:tcPr>
            <w:tcW w:w="645" w:type="pct"/>
            <w:tcBorders>
              <w:top w:val="nil"/>
            </w:tcBorders>
          </w:tcPr>
          <w:p w14:paraId="605FCF06" w14:textId="7BCED4F4"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N=1</w:t>
            </w:r>
            <w:r w:rsidR="0031557A">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076 patient samples</w:t>
            </w:r>
          </w:p>
        </w:tc>
        <w:tc>
          <w:tcPr>
            <w:tcW w:w="757" w:type="pct"/>
            <w:tcBorders>
              <w:top w:val="nil"/>
            </w:tcBorders>
          </w:tcPr>
          <w:p w14:paraId="5695FE68" w14:textId="77777777"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Applera CF OLA, Ver 3.0 assay</w:t>
            </w:r>
          </w:p>
        </w:tc>
        <w:tc>
          <w:tcPr>
            <w:tcW w:w="1050" w:type="pct"/>
            <w:tcBorders>
              <w:top w:val="nil"/>
            </w:tcBorders>
          </w:tcPr>
          <w:p w14:paraId="534DC4D4" w14:textId="77777777" w:rsidR="002503BE" w:rsidRPr="002503BE" w:rsidRDefault="002503BE" w:rsidP="004566DC">
            <w:pPr>
              <w:tabs>
                <w:tab w:val="left" w:pos="743"/>
              </w:tabs>
              <w:spacing w:after="40" w:line="240" w:lineRule="auto"/>
              <w:jc w:val="left"/>
              <w:rPr>
                <w:rFonts w:ascii="Arial Narrow" w:eastAsiaTheme="minorHAnsi" w:hAnsi="Arial Narrow" w:cs="Times New Roman"/>
                <w:color w:val="FFFFFF" w:themeColor="background1"/>
                <w:sz w:val="20"/>
                <w:szCs w:val="20"/>
                <w:lang w:eastAsia="en-US"/>
              </w:rPr>
            </w:pPr>
            <w:r w:rsidRPr="002503BE">
              <w:rPr>
                <w:rFonts w:ascii="Arial Narrow" w:eastAsiaTheme="minorHAnsi" w:hAnsi="Arial Narrow" w:cs="Times New Roman"/>
                <w:color w:val="FFFFFF" w:themeColor="background1"/>
                <w:sz w:val="20"/>
                <w:szCs w:val="20"/>
                <w:lang w:eastAsia="en-US"/>
              </w:rPr>
              <w:t>-</w:t>
            </w:r>
          </w:p>
        </w:tc>
        <w:tc>
          <w:tcPr>
            <w:tcW w:w="811" w:type="pct"/>
            <w:tcBorders>
              <w:top w:val="nil"/>
            </w:tcBorders>
          </w:tcPr>
          <w:p w14:paraId="6984EC2E" w14:textId="48CCA062"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7/1</w:t>
            </w:r>
            <w:r w:rsidR="0031557A">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076 (0.7%) miscalls of the IVS-8 5T/7T/9T polymorphism</w:t>
            </w:r>
          </w:p>
        </w:tc>
        <w:tc>
          <w:tcPr>
            <w:tcW w:w="955" w:type="pct"/>
            <w:tcBorders>
              <w:top w:val="nil"/>
            </w:tcBorders>
          </w:tcPr>
          <w:p w14:paraId="2B658185"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5%</w:t>
            </w:r>
          </w:p>
        </w:tc>
      </w:tr>
      <w:tr w:rsidR="00A8151D" w:rsidRPr="002503BE" w14:paraId="6532987F" w14:textId="77777777" w:rsidTr="00A8151D">
        <w:trPr>
          <w:cantSplit/>
          <w:trHeight w:val="64"/>
        </w:trPr>
        <w:tc>
          <w:tcPr>
            <w:tcW w:w="385" w:type="pct"/>
          </w:tcPr>
          <w:p w14:paraId="13C3566A"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Edelmann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2004</w:t>
            </w:r>
            <w:r w:rsidR="008E2E92">
              <w:rPr>
                <w:rFonts w:ascii="Arial Narrow" w:eastAsiaTheme="minorHAnsi" w:hAnsi="Arial Narrow" w:cstheme="minorHAnsi"/>
                <w:sz w:val="20"/>
                <w:szCs w:val="20"/>
                <w:lang w:eastAsia="en-US"/>
              </w:rPr>
              <w:t>)</w:t>
            </w:r>
          </w:p>
          <w:p w14:paraId="47D6EB5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USA</w:t>
            </w:r>
          </w:p>
        </w:tc>
        <w:tc>
          <w:tcPr>
            <w:tcW w:w="397" w:type="pct"/>
          </w:tcPr>
          <w:p w14:paraId="1B1013D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IV</w:t>
            </w:r>
          </w:p>
          <w:p w14:paraId="52D7179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Pr>
          <w:p w14:paraId="20B1FECA" w14:textId="2B7EE8D9"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N=507 patients</w:t>
            </w:r>
            <w:r w:rsidR="007A46FA">
              <w:rPr>
                <w:rFonts w:ascii="Arial Narrow" w:hAnsi="Arial Narrow" w:cs="Times New Roman"/>
                <w:sz w:val="20"/>
                <w:szCs w:val="20"/>
                <w:lang w:eastAsia="en-US"/>
              </w:rPr>
              <w:t>’</w:t>
            </w:r>
            <w:r w:rsidRPr="002503BE">
              <w:rPr>
                <w:rFonts w:ascii="Arial Narrow" w:hAnsi="Arial Narrow" w:cs="Times New Roman"/>
                <w:sz w:val="20"/>
                <w:szCs w:val="20"/>
                <w:lang w:eastAsia="en-US"/>
              </w:rPr>
              <w:t xml:space="preserve"> samples referred for CF screening and 12 proficiency samples</w:t>
            </w:r>
          </w:p>
        </w:tc>
        <w:tc>
          <w:tcPr>
            <w:tcW w:w="757" w:type="pct"/>
          </w:tcPr>
          <w:p w14:paraId="67883E8F"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eMAP BeadChip assay</w:t>
            </w:r>
          </w:p>
          <w:p w14:paraId="70D4D01C"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 xml:space="preserve">Multiplex PCR followed by ASOH </w:t>
            </w:r>
          </w:p>
        </w:tc>
        <w:tc>
          <w:tcPr>
            <w:tcW w:w="1050" w:type="pct"/>
          </w:tcPr>
          <w:p w14:paraId="2F40AC0C"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eMAP assay failure was scored as the inability to produce a result for at least one mutation on the BeadChip.</w:t>
            </w:r>
          </w:p>
          <w:p w14:paraId="5F151529"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PCR failure rate primarily reflects the quality of the DNA samples.</w:t>
            </w:r>
          </w:p>
        </w:tc>
        <w:tc>
          <w:tcPr>
            <w:tcW w:w="811" w:type="pct"/>
          </w:tcPr>
          <w:p w14:paraId="46D9A6B4" w14:textId="6D31A04C"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There was no discordance between the ASOH method and the eMAP BeadChip assay</w:t>
            </w:r>
            <w:r w:rsidR="0031557A">
              <w:rPr>
                <w:rFonts w:ascii="Arial Narrow" w:hAnsi="Arial Narrow" w:cs="Times New Roman"/>
                <w:sz w:val="20"/>
                <w:szCs w:val="20"/>
              </w:rPr>
              <w:t>.</w:t>
            </w:r>
          </w:p>
        </w:tc>
        <w:tc>
          <w:tcPr>
            <w:tcW w:w="955" w:type="pct"/>
          </w:tcPr>
          <w:p w14:paraId="26DD14F1"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9/519 (1.7%)</w:t>
            </w:r>
          </w:p>
          <w:p w14:paraId="0A793B52" w14:textId="23477B5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PCR failure rate for eMAP</w:t>
            </w:r>
            <w:r w:rsidRPr="002503BE">
              <w:rPr>
                <w:rFonts w:ascii="Arial Narrow" w:hAnsi="Arial Narrow" w:cs="Times New Roman"/>
                <w:sz w:val="20"/>
                <w:szCs w:val="20"/>
              </w:rPr>
              <w:t xml:space="preserve"> BeadChip assay</w:t>
            </w:r>
            <w:r w:rsidRPr="002503BE">
              <w:rPr>
                <w:rFonts w:ascii="Arial Narrow" w:eastAsiaTheme="minorHAnsi" w:hAnsi="Arial Narrow" w:cs="Times New Roman"/>
                <w:sz w:val="20"/>
                <w:szCs w:val="20"/>
                <w:lang w:eastAsia="en-US"/>
              </w:rPr>
              <w:t xml:space="preserve"> = 3.5%</w:t>
            </w:r>
            <w:r w:rsidR="007A46FA">
              <w:rPr>
                <w:rFonts w:ascii="Arial Narrow" w:eastAsiaTheme="minorHAnsi" w:hAnsi="Arial Narrow" w:cs="Times New Roman"/>
                <w:sz w:val="20"/>
                <w:szCs w:val="20"/>
                <w:lang w:eastAsia="en-US"/>
              </w:rPr>
              <w:t>.</w:t>
            </w:r>
          </w:p>
          <w:p w14:paraId="67E55D21" w14:textId="3EB79121"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failure rate for multiplex PCR and ASOH = 6%</w:t>
            </w:r>
            <w:r w:rsidR="007A46FA">
              <w:rPr>
                <w:rFonts w:ascii="Arial Narrow" w:eastAsiaTheme="minorHAnsi" w:hAnsi="Arial Narrow" w:cs="Times New Roman"/>
                <w:sz w:val="20"/>
                <w:szCs w:val="20"/>
                <w:lang w:eastAsia="en-US"/>
              </w:rPr>
              <w:t>.</w:t>
            </w:r>
          </w:p>
        </w:tc>
      </w:tr>
      <w:tr w:rsidR="00A8151D" w:rsidRPr="002503BE" w14:paraId="4770723F" w14:textId="77777777" w:rsidTr="00A8151D">
        <w:trPr>
          <w:cantSplit/>
          <w:trHeight w:val="64"/>
        </w:trPr>
        <w:tc>
          <w:tcPr>
            <w:tcW w:w="385" w:type="pct"/>
          </w:tcPr>
          <w:p w14:paraId="61113459" w14:textId="0BDAD0BA"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Axton </w:t>
            </w:r>
            <w:r w:rsidR="00027D71">
              <w:rPr>
                <w:rFonts w:ascii="Arial Narrow" w:eastAsiaTheme="minorHAnsi" w:hAnsi="Arial Narrow" w:cstheme="minorHAnsi"/>
                <w:sz w:val="20"/>
                <w:szCs w:val="20"/>
                <w:lang w:eastAsia="en-US"/>
              </w:rPr>
              <w:t>&amp;</w:t>
            </w:r>
            <w:r w:rsidR="00027D71" w:rsidRPr="002503BE">
              <w:rPr>
                <w:rFonts w:ascii="Arial Narrow" w:eastAsiaTheme="minorHAnsi" w:hAnsi="Arial Narrow" w:cstheme="minorHAnsi"/>
                <w:sz w:val="20"/>
                <w:szCs w:val="20"/>
                <w:lang w:eastAsia="en-US"/>
              </w:rPr>
              <w:t xml:space="preserve"> </w:t>
            </w:r>
            <w:r w:rsidRPr="002503BE">
              <w:rPr>
                <w:rFonts w:ascii="Arial Narrow" w:eastAsiaTheme="minorHAnsi" w:hAnsi="Arial Narrow" w:cstheme="minorHAnsi"/>
                <w:sz w:val="20"/>
                <w:szCs w:val="20"/>
                <w:lang w:eastAsia="en-US"/>
              </w:rPr>
              <w:t xml:space="preserve">Brock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1995</w:t>
            </w:r>
            <w:r w:rsidR="008E2E92">
              <w:rPr>
                <w:rFonts w:ascii="Arial Narrow" w:eastAsiaTheme="minorHAnsi" w:hAnsi="Arial Narrow" w:cstheme="minorHAnsi"/>
                <w:sz w:val="20"/>
                <w:szCs w:val="20"/>
                <w:lang w:eastAsia="en-US"/>
              </w:rPr>
              <w:t>)</w:t>
            </w:r>
          </w:p>
          <w:p w14:paraId="6C122FF8"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UK</w:t>
            </w:r>
          </w:p>
        </w:tc>
        <w:tc>
          <w:tcPr>
            <w:tcW w:w="397" w:type="pct"/>
          </w:tcPr>
          <w:p w14:paraId="10C71DAE"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IV</w:t>
            </w:r>
          </w:p>
          <w:p w14:paraId="41CA54EF"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Pr>
          <w:p w14:paraId="0A291B8F" w14:textId="77777777"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lang w:eastAsia="en-US"/>
              </w:rPr>
              <w:t>N=193 mouthwash samples from CF patients</w:t>
            </w:r>
          </w:p>
        </w:tc>
        <w:tc>
          <w:tcPr>
            <w:tcW w:w="757" w:type="pct"/>
          </w:tcPr>
          <w:p w14:paraId="66130268" w14:textId="64862CEF" w:rsidR="002503BE" w:rsidRPr="002503BE" w:rsidRDefault="002503BE" w:rsidP="004566DC">
            <w:pPr>
              <w:tabs>
                <w:tab w:val="left" w:pos="89"/>
              </w:tabs>
              <w:spacing w:after="40" w:line="240" w:lineRule="auto"/>
              <w:jc w:val="left"/>
              <w:rPr>
                <w:rFonts w:ascii="Arial Narrow" w:hAnsi="Arial Narrow" w:cs="Times New Roman"/>
                <w:sz w:val="20"/>
                <w:szCs w:val="20"/>
                <w:lang w:eastAsia="en-US"/>
              </w:rPr>
            </w:pPr>
            <w:r w:rsidRPr="002503BE">
              <w:rPr>
                <w:rFonts w:ascii="Arial Narrow" w:hAnsi="Arial Narrow" w:cs="Times New Roman"/>
                <w:sz w:val="20"/>
                <w:szCs w:val="20"/>
              </w:rPr>
              <w:t xml:space="preserve">Restriction generation PCR </w:t>
            </w:r>
          </w:p>
        </w:tc>
        <w:tc>
          <w:tcPr>
            <w:tcW w:w="1050" w:type="pct"/>
          </w:tcPr>
          <w:p w14:paraId="0250383C"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5/8 samples that failed amplified partially yielding products in some exons and required only partial retesting.</w:t>
            </w:r>
          </w:p>
        </w:tc>
        <w:tc>
          <w:tcPr>
            <w:tcW w:w="811" w:type="pct"/>
          </w:tcPr>
          <w:p w14:paraId="5A8A1137" w14:textId="77777777" w:rsidR="002503BE" w:rsidRPr="002503BE" w:rsidRDefault="002503BE" w:rsidP="004566DC">
            <w:pPr>
              <w:spacing w:after="40" w:line="240" w:lineRule="auto"/>
              <w:jc w:val="left"/>
              <w:rPr>
                <w:rFonts w:ascii="Arial Narrow" w:hAnsi="Arial Narrow" w:cs="Times New Roman"/>
                <w:sz w:val="20"/>
                <w:szCs w:val="20"/>
              </w:rPr>
            </w:pPr>
            <w:r w:rsidRPr="002503BE">
              <w:rPr>
                <w:rFonts w:ascii="Arial Narrow" w:hAnsi="Arial Narrow" w:cs="Times New Roman"/>
                <w:sz w:val="20"/>
                <w:szCs w:val="20"/>
              </w:rPr>
              <w:t>None reported</w:t>
            </w:r>
          </w:p>
        </w:tc>
        <w:tc>
          <w:tcPr>
            <w:tcW w:w="955" w:type="pct"/>
          </w:tcPr>
          <w:p w14:paraId="7DC34664"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8/193 (4%)</w:t>
            </w:r>
          </w:p>
        </w:tc>
      </w:tr>
      <w:tr w:rsidR="00A8151D" w:rsidRPr="002503BE" w14:paraId="583A67C6" w14:textId="77777777" w:rsidTr="00A8151D">
        <w:trPr>
          <w:trHeight w:val="64"/>
        </w:trPr>
        <w:tc>
          <w:tcPr>
            <w:tcW w:w="385" w:type="pct"/>
          </w:tcPr>
          <w:p w14:paraId="3FDBC7E8"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 xml:space="preserve">Nagy et al. </w:t>
            </w:r>
            <w:r w:rsidR="008E2E92">
              <w:rPr>
                <w:rFonts w:ascii="Arial Narrow" w:eastAsiaTheme="minorHAnsi" w:hAnsi="Arial Narrow" w:cstheme="minorHAnsi"/>
                <w:sz w:val="20"/>
                <w:szCs w:val="20"/>
                <w:lang w:eastAsia="en-US"/>
              </w:rPr>
              <w:t>(</w:t>
            </w:r>
            <w:r w:rsidRPr="002503BE">
              <w:rPr>
                <w:rFonts w:ascii="Arial Narrow" w:eastAsiaTheme="minorHAnsi" w:hAnsi="Arial Narrow" w:cstheme="minorHAnsi"/>
                <w:sz w:val="20"/>
                <w:szCs w:val="20"/>
                <w:lang w:eastAsia="en-US"/>
              </w:rPr>
              <w:t>2007</w:t>
            </w:r>
            <w:r w:rsidR="008E2E92">
              <w:rPr>
                <w:rFonts w:ascii="Arial Narrow" w:eastAsiaTheme="minorHAnsi" w:hAnsi="Arial Narrow" w:cstheme="minorHAnsi"/>
                <w:sz w:val="20"/>
                <w:szCs w:val="20"/>
                <w:lang w:eastAsia="en-US"/>
              </w:rPr>
              <w:t>)</w:t>
            </w:r>
          </w:p>
          <w:p w14:paraId="6D90F422"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Hungary</w:t>
            </w:r>
          </w:p>
        </w:tc>
        <w:tc>
          <w:tcPr>
            <w:tcW w:w="397" w:type="pct"/>
          </w:tcPr>
          <w:p w14:paraId="6CF2A8EC" w14:textId="77777777" w:rsidR="002503BE" w:rsidRPr="002503BE" w:rsidRDefault="002503BE" w:rsidP="004566DC">
            <w:pPr>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Level IV</w:t>
            </w:r>
          </w:p>
          <w:p w14:paraId="34474738" w14:textId="77777777"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heme="minorHAnsi"/>
                <w:sz w:val="20"/>
                <w:szCs w:val="20"/>
                <w:lang w:eastAsia="en-US"/>
              </w:rPr>
              <w:t>High risk of bias</w:t>
            </w:r>
          </w:p>
        </w:tc>
        <w:tc>
          <w:tcPr>
            <w:tcW w:w="645" w:type="pct"/>
          </w:tcPr>
          <w:p w14:paraId="2D83EEF6" w14:textId="77777777" w:rsidR="002503BE" w:rsidRPr="002503BE" w:rsidRDefault="002503BE" w:rsidP="004566DC">
            <w:pPr>
              <w:tabs>
                <w:tab w:val="left" w:pos="744"/>
              </w:tabs>
              <w:spacing w:after="40" w:line="240" w:lineRule="auto"/>
              <w:jc w:val="left"/>
              <w:rPr>
                <w:rFonts w:ascii="Arial Narrow" w:eastAsiaTheme="minorHAnsi" w:hAnsi="Arial Narrow" w:cstheme="minorHAnsi"/>
                <w:sz w:val="20"/>
                <w:szCs w:val="20"/>
                <w:lang w:eastAsia="en-US"/>
              </w:rPr>
            </w:pPr>
            <w:r w:rsidRPr="002503BE">
              <w:rPr>
                <w:rFonts w:ascii="Arial Narrow" w:eastAsiaTheme="minorHAnsi" w:hAnsi="Arial Narrow" w:cstheme="minorHAnsi"/>
                <w:sz w:val="20"/>
                <w:szCs w:val="20"/>
                <w:lang w:eastAsia="en-US"/>
              </w:rPr>
              <w:t>N=116 DNA samples</w:t>
            </w:r>
          </w:p>
        </w:tc>
        <w:tc>
          <w:tcPr>
            <w:tcW w:w="757" w:type="pct"/>
          </w:tcPr>
          <w:p w14:paraId="39730F03" w14:textId="77777777"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qPCR</w:t>
            </w:r>
            <w:r w:rsidRPr="002503BE">
              <w:rPr>
                <w:rFonts w:ascii="Arial Narrow" w:hAnsi="Arial Narrow" w:cs="Times New Roman"/>
                <w:sz w:val="20"/>
                <w:szCs w:val="20"/>
              </w:rPr>
              <w:t xml:space="preserve"> and m</w:t>
            </w:r>
            <w:r w:rsidRPr="002503BE">
              <w:rPr>
                <w:rFonts w:ascii="Arial Narrow" w:eastAsiaTheme="minorHAnsi" w:hAnsi="Arial Narrow" w:cs="Times New Roman"/>
                <w:sz w:val="20"/>
                <w:szCs w:val="20"/>
                <w:lang w:eastAsia="en-US"/>
              </w:rPr>
              <w:t>elting curve analysis</w:t>
            </w:r>
          </w:p>
          <w:p w14:paraId="0E13B00C" w14:textId="094886DE" w:rsidR="002503BE" w:rsidRPr="002503BE" w:rsidRDefault="002503BE" w:rsidP="004566DC">
            <w:pPr>
              <w:tabs>
                <w:tab w:val="left" w:pos="744"/>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heme="minorHAnsi"/>
                <w:sz w:val="20"/>
                <w:szCs w:val="20"/>
                <w:lang w:eastAsia="en-US"/>
              </w:rPr>
              <w:t xml:space="preserve">Fluorescent PCR and DNA </w:t>
            </w:r>
            <w:r w:rsidR="00DF4EAA">
              <w:rPr>
                <w:rFonts w:ascii="Arial Narrow" w:eastAsiaTheme="minorHAnsi" w:hAnsi="Arial Narrow" w:cstheme="minorHAnsi"/>
                <w:sz w:val="20"/>
                <w:szCs w:val="20"/>
                <w:lang w:eastAsia="en-US"/>
              </w:rPr>
              <w:t>f</w:t>
            </w:r>
            <w:r w:rsidRPr="002503BE">
              <w:rPr>
                <w:rFonts w:ascii="Arial Narrow" w:eastAsiaTheme="minorHAnsi" w:hAnsi="Arial Narrow" w:cstheme="minorHAnsi"/>
                <w:sz w:val="20"/>
                <w:szCs w:val="20"/>
                <w:lang w:eastAsia="en-US"/>
              </w:rPr>
              <w:t xml:space="preserve">ragment </w:t>
            </w:r>
            <w:r w:rsidR="00DF4EAA">
              <w:rPr>
                <w:rFonts w:ascii="Arial Narrow" w:eastAsiaTheme="minorHAnsi" w:hAnsi="Arial Narrow" w:cstheme="minorHAnsi"/>
                <w:sz w:val="20"/>
                <w:szCs w:val="20"/>
                <w:lang w:eastAsia="en-US"/>
              </w:rPr>
              <w:t>a</w:t>
            </w:r>
            <w:r w:rsidRPr="002503BE">
              <w:rPr>
                <w:rFonts w:ascii="Arial Narrow" w:eastAsiaTheme="minorHAnsi" w:hAnsi="Arial Narrow" w:cstheme="minorHAnsi"/>
                <w:sz w:val="20"/>
                <w:szCs w:val="20"/>
                <w:lang w:eastAsia="en-US"/>
              </w:rPr>
              <w:t>nalysis</w:t>
            </w:r>
            <w:r w:rsidRPr="002503BE">
              <w:rPr>
                <w:rFonts w:ascii="Arial Narrow" w:eastAsiaTheme="minorHAnsi" w:hAnsi="Arial Narrow" w:cs="Times New Roman"/>
                <w:sz w:val="20"/>
                <w:szCs w:val="20"/>
                <w:lang w:eastAsia="en-US"/>
              </w:rPr>
              <w:t xml:space="preserve"> </w:t>
            </w:r>
          </w:p>
        </w:tc>
        <w:tc>
          <w:tcPr>
            <w:tcW w:w="1050" w:type="pct"/>
          </w:tcPr>
          <w:p w14:paraId="24557A8D" w14:textId="2229B6C4"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The F508Cdel mutation is caused by the deletion of a T and it seems that the fluorescent-PCR system does not recogni</w:t>
            </w:r>
            <w:r w:rsidR="00DF4EAA">
              <w:rPr>
                <w:rFonts w:ascii="Arial Narrow" w:eastAsiaTheme="minorHAnsi" w:hAnsi="Arial Narrow" w:cs="Times New Roman"/>
                <w:sz w:val="20"/>
                <w:szCs w:val="20"/>
                <w:lang w:eastAsia="en-US"/>
              </w:rPr>
              <w:t>s</w:t>
            </w:r>
            <w:r w:rsidRPr="002503BE">
              <w:rPr>
                <w:rFonts w:ascii="Arial Narrow" w:eastAsiaTheme="minorHAnsi" w:hAnsi="Arial Narrow" w:cs="Times New Roman"/>
                <w:sz w:val="20"/>
                <w:szCs w:val="20"/>
                <w:lang w:eastAsia="en-US"/>
              </w:rPr>
              <w:t>e this one</w:t>
            </w:r>
            <w:r w:rsidR="007A46FA">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base</w:t>
            </w:r>
            <w:r w:rsidR="007A46FA">
              <w:rPr>
                <w:rFonts w:ascii="Arial Narrow" w:eastAsiaTheme="minorHAnsi" w:hAnsi="Arial Narrow" w:cs="Times New Roman"/>
                <w:sz w:val="20"/>
                <w:szCs w:val="20"/>
                <w:lang w:eastAsia="en-US"/>
              </w:rPr>
              <w:t>-</w:t>
            </w:r>
            <w:r w:rsidRPr="002503BE">
              <w:rPr>
                <w:rFonts w:ascii="Arial Narrow" w:eastAsiaTheme="minorHAnsi" w:hAnsi="Arial Narrow" w:cs="Times New Roman"/>
                <w:sz w:val="20"/>
                <w:szCs w:val="20"/>
                <w:lang w:eastAsia="en-US"/>
              </w:rPr>
              <w:t>pair difference.</w:t>
            </w:r>
          </w:p>
        </w:tc>
        <w:tc>
          <w:tcPr>
            <w:tcW w:w="811" w:type="pct"/>
          </w:tcPr>
          <w:p w14:paraId="7E4B43EB"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Two F508Cdel samples were detected correctly by qPCR, but were reported as normal by fluorescent-PCR.</w:t>
            </w:r>
          </w:p>
        </w:tc>
        <w:tc>
          <w:tcPr>
            <w:tcW w:w="955" w:type="pct"/>
          </w:tcPr>
          <w:p w14:paraId="28798044" w14:textId="77777777" w:rsidR="002503BE" w:rsidRPr="002503BE" w:rsidRDefault="002503BE" w:rsidP="004566DC">
            <w:pPr>
              <w:tabs>
                <w:tab w:val="left" w:pos="743"/>
              </w:tabs>
              <w:spacing w:after="40" w:line="240" w:lineRule="auto"/>
              <w:jc w:val="left"/>
              <w:rPr>
                <w:rFonts w:ascii="Arial Narrow" w:eastAsiaTheme="minorHAnsi" w:hAnsi="Arial Narrow" w:cs="Times New Roman"/>
                <w:sz w:val="20"/>
                <w:szCs w:val="20"/>
                <w:lang w:eastAsia="en-US"/>
              </w:rPr>
            </w:pPr>
            <w:r w:rsidRPr="002503BE">
              <w:rPr>
                <w:rFonts w:ascii="Arial Narrow" w:eastAsiaTheme="minorHAnsi" w:hAnsi="Arial Narrow" w:cs="Times New Roman"/>
                <w:sz w:val="20"/>
                <w:szCs w:val="20"/>
                <w:lang w:eastAsia="en-US"/>
              </w:rPr>
              <w:t>Not reported</w:t>
            </w:r>
          </w:p>
        </w:tc>
      </w:tr>
    </w:tbl>
    <w:p w14:paraId="53AC042D" w14:textId="23D6EB3E" w:rsidR="002503BE" w:rsidRPr="002503BE" w:rsidRDefault="002503BE" w:rsidP="004566DC">
      <w:pPr>
        <w:spacing w:before="40" w:after="40" w:line="240" w:lineRule="auto"/>
        <w:ind w:right="-57"/>
        <w:jc w:val="left"/>
        <w:rPr>
          <w:rFonts w:ascii="Arial Narrow" w:hAnsi="Arial Narrow"/>
          <w:sz w:val="20"/>
          <w:szCs w:val="20"/>
        </w:rPr>
      </w:pPr>
      <w:r w:rsidRPr="002503BE">
        <w:rPr>
          <w:rFonts w:ascii="Arial Narrow" w:hAnsi="Arial Narrow"/>
          <w:sz w:val="20"/>
          <w:szCs w:val="20"/>
        </w:rPr>
        <w:t xml:space="preserve">ACMG = American College of Medical Genetics; ARMS = amplification refractory mutation system; ASOH = allele-specific oligonucleotide hybridisation; CBAVD = congenital bilateral absence of the vas deferens; CF = cystic fibrosis; </w:t>
      </w:r>
      <w:r w:rsidR="00FD37D3" w:rsidRPr="00FD37D3">
        <w:rPr>
          <w:rFonts w:ascii="Arial Narrow" w:hAnsi="Arial Narrow"/>
          <w:sz w:val="20"/>
          <w:szCs w:val="20"/>
        </w:rPr>
        <w:t>CFTR</w:t>
      </w:r>
      <w:r w:rsidRPr="002503BE">
        <w:rPr>
          <w:rFonts w:ascii="Arial Narrow" w:hAnsi="Arial Narrow"/>
          <w:sz w:val="20"/>
          <w:szCs w:val="20"/>
        </w:rPr>
        <w:t xml:space="preserve"> = cystic fibrosis transmembrane conductance regulator; DHPLC = denaturing high performance liquid chromatography; DNA = deoxyribonucleic acid; eMAP = elongation mediated multiplexed analysis of polymorphisms; MLPA = multiple ligation-dependent probe amplification; OLA = oligonucleotide ligation assay; PCR = polymerase chain reaction; qPCR = quantitative real-time PCR; SSCP = single-stranded conformation polymorphism</w:t>
      </w:r>
    </w:p>
    <w:p w14:paraId="092905BF" w14:textId="77777777" w:rsidR="00347EC2" w:rsidRPr="00183E4D" w:rsidRDefault="00347EC2" w:rsidP="004566DC">
      <w:pPr>
        <w:pStyle w:val="Heading1"/>
        <w:jc w:val="left"/>
        <w:sectPr w:rsidR="00347EC2" w:rsidRPr="00183E4D" w:rsidSect="000D04B6">
          <w:headerReference w:type="even" r:id="rId101"/>
          <w:headerReference w:type="default" r:id="rId102"/>
          <w:footerReference w:type="default" r:id="rId103"/>
          <w:headerReference w:type="first" r:id="rId104"/>
          <w:pgSz w:w="16838" w:h="11906" w:orient="landscape"/>
          <w:pgMar w:top="1440" w:right="851" w:bottom="1440" w:left="851" w:header="720" w:footer="720" w:gutter="0"/>
          <w:paperSrc w:first="7" w:other="7"/>
          <w:cols w:space="720"/>
        </w:sectPr>
      </w:pPr>
    </w:p>
    <w:p w14:paraId="05CE2A3C" w14:textId="7D083CC0" w:rsidR="00A8151D" w:rsidRPr="001A4A46" w:rsidRDefault="00A8151D" w:rsidP="00022486">
      <w:pPr>
        <w:pStyle w:val="Heading1"/>
        <w:tabs>
          <w:tab w:val="left" w:pos="2268"/>
        </w:tabs>
        <w:spacing w:after="120" w:line="240" w:lineRule="auto"/>
        <w:ind w:left="2268" w:hanging="2268"/>
      </w:pPr>
      <w:bookmarkStart w:id="560" w:name="_Ref412106201"/>
      <w:bookmarkStart w:id="561" w:name="_Toc418179965"/>
      <w:bookmarkStart w:id="562" w:name="_Ref364237293"/>
      <w:bookmarkStart w:id="563" w:name="_Ref363131580"/>
      <w:bookmarkStart w:id="564" w:name="_Toc379118102"/>
      <w:bookmarkStart w:id="565" w:name="_Toc381796506"/>
      <w:r w:rsidRPr="001A4A46">
        <w:lastRenderedPageBreak/>
        <w:t xml:space="preserve">Appendix </w:t>
      </w:r>
      <w:fldSimple w:instr=" SEQ Appendix \* ALPHABETIC ">
        <w:r w:rsidR="00BB0E3E">
          <w:rPr>
            <w:noProof/>
          </w:rPr>
          <w:t>E</w:t>
        </w:r>
      </w:fldSimple>
      <w:bookmarkEnd w:id="560"/>
      <w:r w:rsidRPr="001A4A46">
        <w:tab/>
        <w:t xml:space="preserve">Impact of </w:t>
      </w:r>
      <w:r w:rsidR="009F7FD5">
        <w:t>C</w:t>
      </w:r>
      <w:r w:rsidRPr="001A4A46">
        <w:t xml:space="preserve">hange in </w:t>
      </w:r>
      <w:r w:rsidR="009F7FD5">
        <w:t>M</w:t>
      </w:r>
      <w:r w:rsidRPr="001A4A46">
        <w:t>anagement (section B.</w:t>
      </w:r>
      <w:r w:rsidR="00833716">
        <w:t>8.1</w:t>
      </w:r>
      <w:r w:rsidRPr="001A4A46">
        <w:t>)</w:t>
      </w:r>
      <w:bookmarkEnd w:id="561"/>
    </w:p>
    <w:p w14:paraId="5136FBF7" w14:textId="77777777" w:rsidR="000B77E2" w:rsidRDefault="000B77E2" w:rsidP="000B77E2">
      <w:pPr>
        <w:pStyle w:val="Caption"/>
      </w:pPr>
      <w:bookmarkStart w:id="566" w:name="_Toc418179494"/>
      <w:r>
        <w:t xml:space="preserve">Table </w:t>
      </w:r>
      <w:fldSimple w:instr=" SEQ Table \* ARABIC ">
        <w:r w:rsidR="00BB0E3E">
          <w:rPr>
            <w:noProof/>
          </w:rPr>
          <w:t>97</w:t>
        </w:r>
      </w:fldSimple>
      <w:r>
        <w:t xml:space="preserve"> </w:t>
      </w:r>
      <w:r w:rsidR="00E74E2C">
        <w:tab/>
      </w:r>
      <w:r>
        <w:t>Psychological impact of TOP due to fetal abnormalities</w:t>
      </w:r>
      <w:bookmarkEnd w:id="566"/>
    </w:p>
    <w:tbl>
      <w:tblPr>
        <w:tblStyle w:val="TableGrid"/>
        <w:tblW w:w="0" w:type="auto"/>
        <w:tblLook w:val="04A0" w:firstRow="1" w:lastRow="0" w:firstColumn="1" w:lastColumn="0" w:noHBand="0" w:noVBand="1"/>
        <w:tblCaption w:val="Psychological impact of TOP due to fetal abnormalities"/>
        <w:tblDescription w:val="Psychological impact of TOP due to fetal abnormalities"/>
      </w:tblPr>
      <w:tblGrid>
        <w:gridCol w:w="1526"/>
        <w:gridCol w:w="1559"/>
        <w:gridCol w:w="1843"/>
        <w:gridCol w:w="4314"/>
      </w:tblGrid>
      <w:tr w:rsidR="00A8151D" w14:paraId="55CCFCF5" w14:textId="77777777" w:rsidTr="006F73C4">
        <w:trPr>
          <w:tblHeader/>
        </w:trPr>
        <w:tc>
          <w:tcPr>
            <w:tcW w:w="1526" w:type="dxa"/>
          </w:tcPr>
          <w:p w14:paraId="456D071A" w14:textId="77777777" w:rsidR="00A8151D" w:rsidRDefault="00A8151D" w:rsidP="004566DC">
            <w:pPr>
              <w:pStyle w:val="Caption"/>
              <w:ind w:left="0"/>
              <w:jc w:val="left"/>
            </w:pPr>
            <w:r>
              <w:t>Study</w:t>
            </w:r>
          </w:p>
        </w:tc>
        <w:tc>
          <w:tcPr>
            <w:tcW w:w="1559" w:type="dxa"/>
          </w:tcPr>
          <w:p w14:paraId="02B63828" w14:textId="77777777" w:rsidR="00A8151D" w:rsidRDefault="00A8151D" w:rsidP="004566DC">
            <w:pPr>
              <w:pStyle w:val="Caption"/>
              <w:ind w:left="0"/>
              <w:jc w:val="left"/>
            </w:pPr>
            <w:r>
              <w:t>Study type</w:t>
            </w:r>
          </w:p>
        </w:tc>
        <w:tc>
          <w:tcPr>
            <w:tcW w:w="1843" w:type="dxa"/>
          </w:tcPr>
          <w:p w14:paraId="2395037E" w14:textId="77777777" w:rsidR="00A8151D" w:rsidRDefault="00A8151D" w:rsidP="004566DC">
            <w:pPr>
              <w:pStyle w:val="Caption"/>
              <w:ind w:left="0"/>
              <w:jc w:val="left"/>
            </w:pPr>
            <w:r>
              <w:t>Population</w:t>
            </w:r>
          </w:p>
        </w:tc>
        <w:tc>
          <w:tcPr>
            <w:tcW w:w="4314" w:type="dxa"/>
          </w:tcPr>
          <w:p w14:paraId="26B3ABA7" w14:textId="77777777" w:rsidR="00A8151D" w:rsidRDefault="00A8151D" w:rsidP="004566DC">
            <w:pPr>
              <w:pStyle w:val="Caption"/>
              <w:ind w:left="0"/>
              <w:jc w:val="left"/>
            </w:pPr>
            <w:r>
              <w:t>Results</w:t>
            </w:r>
          </w:p>
        </w:tc>
      </w:tr>
      <w:tr w:rsidR="00A8151D" w14:paraId="7450FC21" w14:textId="77777777" w:rsidTr="006F73C4">
        <w:tc>
          <w:tcPr>
            <w:tcW w:w="1526" w:type="dxa"/>
          </w:tcPr>
          <w:p w14:paraId="3411344C" w14:textId="77777777" w:rsidR="00A8151D" w:rsidRDefault="00A8151D" w:rsidP="004566DC">
            <w:pPr>
              <w:pStyle w:val="Tabletext1"/>
              <w:ind w:left="0"/>
              <w:jc w:val="left"/>
            </w:pPr>
            <w:r>
              <w:t>Davies et al. (2005)</w:t>
            </w:r>
            <w:r w:rsidR="00B32459">
              <w:t xml:space="preserve"> </w:t>
            </w:r>
          </w:p>
        </w:tc>
        <w:tc>
          <w:tcPr>
            <w:tcW w:w="1559" w:type="dxa"/>
          </w:tcPr>
          <w:p w14:paraId="131013AA" w14:textId="77777777" w:rsidR="00A8151D" w:rsidRDefault="00A8151D" w:rsidP="004566DC">
            <w:pPr>
              <w:pStyle w:val="Tabletext1"/>
              <w:ind w:left="0"/>
              <w:jc w:val="left"/>
            </w:pPr>
            <w:r>
              <w:t>Cohort study (non-comparative)</w:t>
            </w:r>
          </w:p>
        </w:tc>
        <w:tc>
          <w:tcPr>
            <w:tcW w:w="1843" w:type="dxa"/>
          </w:tcPr>
          <w:p w14:paraId="6ACF223E" w14:textId="50C61113" w:rsidR="00A8151D" w:rsidRDefault="00A8151D" w:rsidP="004566DC">
            <w:pPr>
              <w:pStyle w:val="Tabletext1"/>
              <w:ind w:left="0"/>
              <w:jc w:val="left"/>
            </w:pPr>
            <w:r>
              <w:t>30 women: 14 with first</w:t>
            </w:r>
            <w:r w:rsidR="00406AD3">
              <w:t>-</w:t>
            </w:r>
            <w:r>
              <w:t>trimester TOP, 16 with second</w:t>
            </w:r>
            <w:r w:rsidR="00406AD3">
              <w:t>-</w:t>
            </w:r>
            <w:r>
              <w:t>trimester TOP. Follow-up at 6</w:t>
            </w:r>
            <w:r w:rsidR="00406AD3">
              <w:t> </w:t>
            </w:r>
            <w:r>
              <w:t>months was n=26 and follow</w:t>
            </w:r>
            <w:r w:rsidR="00406AD3">
              <w:t>-</w:t>
            </w:r>
            <w:r>
              <w:t>up at 12</w:t>
            </w:r>
            <w:r w:rsidR="00406AD3">
              <w:t> </w:t>
            </w:r>
            <w:r>
              <w:t xml:space="preserve">months was n=22. </w:t>
            </w:r>
          </w:p>
        </w:tc>
        <w:tc>
          <w:tcPr>
            <w:tcW w:w="4314" w:type="dxa"/>
          </w:tcPr>
          <w:p w14:paraId="27619B49" w14:textId="456B7A6D" w:rsidR="00A8151D" w:rsidRDefault="00A8151D" w:rsidP="004566DC">
            <w:pPr>
              <w:pStyle w:val="Tabletext1"/>
              <w:ind w:left="0"/>
              <w:jc w:val="left"/>
            </w:pPr>
            <w:r>
              <w:t>Post</w:t>
            </w:r>
            <w:r w:rsidR="00406AD3">
              <w:t>-</w:t>
            </w:r>
            <w:r>
              <w:t xml:space="preserve">traumatic stress disorder (score &gt;18 on Impact of Event </w:t>
            </w:r>
            <w:r w:rsidR="00406AD3">
              <w:t>S</w:t>
            </w:r>
            <w:r>
              <w:t>cale):</w:t>
            </w:r>
          </w:p>
          <w:p w14:paraId="668F159C" w14:textId="77777777" w:rsidR="00A8151D" w:rsidRDefault="00A8151D" w:rsidP="004566DC">
            <w:pPr>
              <w:pStyle w:val="Tabletext1"/>
              <w:numPr>
                <w:ilvl w:val="0"/>
                <w:numId w:val="12"/>
              </w:numPr>
              <w:ind w:left="0"/>
              <w:jc w:val="left"/>
            </w:pPr>
            <w:r>
              <w:t>6 weeks after TOP: 67%, mean 27 (SD: 14.6)</w:t>
            </w:r>
          </w:p>
          <w:p w14:paraId="1A3CF690" w14:textId="77777777" w:rsidR="00A8151D" w:rsidRDefault="00A8151D" w:rsidP="004566DC">
            <w:pPr>
              <w:pStyle w:val="Tabletext1"/>
              <w:numPr>
                <w:ilvl w:val="0"/>
                <w:numId w:val="12"/>
              </w:numPr>
              <w:ind w:left="0"/>
              <w:jc w:val="left"/>
            </w:pPr>
            <w:r>
              <w:t>6 months after TOP: 50%, mean 23 (SD: 18.7)</w:t>
            </w:r>
          </w:p>
          <w:p w14:paraId="2FCBB394" w14:textId="77777777" w:rsidR="00A8151D" w:rsidRDefault="00A8151D" w:rsidP="004566DC">
            <w:pPr>
              <w:pStyle w:val="Tabletext1"/>
              <w:numPr>
                <w:ilvl w:val="0"/>
                <w:numId w:val="12"/>
              </w:numPr>
              <w:ind w:left="0"/>
              <w:jc w:val="left"/>
            </w:pPr>
            <w:r>
              <w:t>12 months after TOP: 41%, mean 21 (SD: 18.9)</w:t>
            </w:r>
          </w:p>
          <w:p w14:paraId="34B4F042" w14:textId="47447539" w:rsidR="00A8151D" w:rsidRDefault="00A8151D" w:rsidP="004566DC">
            <w:pPr>
              <w:pStyle w:val="Tabletext1"/>
              <w:ind w:left="0"/>
              <w:jc w:val="left"/>
            </w:pPr>
            <w:r>
              <w:t>Emotional distress (score &gt;4 on the general health questionnaire)</w:t>
            </w:r>
          </w:p>
          <w:p w14:paraId="1C71F65C" w14:textId="77777777" w:rsidR="00A8151D" w:rsidRDefault="00A8151D" w:rsidP="004566DC">
            <w:pPr>
              <w:pStyle w:val="Tabletext1"/>
              <w:numPr>
                <w:ilvl w:val="0"/>
                <w:numId w:val="12"/>
              </w:numPr>
              <w:ind w:left="0"/>
              <w:jc w:val="left"/>
            </w:pPr>
            <w:r>
              <w:t>6 weeks after TOP: 53%</w:t>
            </w:r>
          </w:p>
          <w:p w14:paraId="5B04EDDA" w14:textId="77777777" w:rsidR="00A8151D" w:rsidRDefault="00A8151D" w:rsidP="004566DC">
            <w:pPr>
              <w:pStyle w:val="Tabletext1"/>
              <w:numPr>
                <w:ilvl w:val="0"/>
                <w:numId w:val="12"/>
              </w:numPr>
              <w:ind w:left="0"/>
              <w:jc w:val="left"/>
            </w:pPr>
            <w:r>
              <w:t>6 months after TOP: 46%</w:t>
            </w:r>
          </w:p>
          <w:p w14:paraId="6725BA81" w14:textId="77777777" w:rsidR="00A8151D" w:rsidRDefault="00A8151D" w:rsidP="004566DC">
            <w:pPr>
              <w:pStyle w:val="Tabletext1"/>
              <w:numPr>
                <w:ilvl w:val="0"/>
                <w:numId w:val="12"/>
              </w:numPr>
              <w:ind w:left="0"/>
              <w:jc w:val="left"/>
            </w:pPr>
            <w:r>
              <w:t>12 months after TOP: 43%</w:t>
            </w:r>
          </w:p>
          <w:p w14:paraId="2D70DFCD" w14:textId="2851EC71" w:rsidR="00A8151D" w:rsidRDefault="00A8151D" w:rsidP="004566DC">
            <w:pPr>
              <w:pStyle w:val="Tabletext1"/>
              <w:ind w:left="0"/>
              <w:jc w:val="left"/>
            </w:pPr>
            <w:r>
              <w:t>Grief (score &gt;90 on Perinatal Grief Scale)</w:t>
            </w:r>
          </w:p>
          <w:p w14:paraId="5E467564" w14:textId="77777777" w:rsidR="00A8151D" w:rsidRDefault="00A8151D" w:rsidP="004566DC">
            <w:pPr>
              <w:pStyle w:val="Tabletext1"/>
              <w:numPr>
                <w:ilvl w:val="0"/>
                <w:numId w:val="12"/>
              </w:numPr>
              <w:ind w:left="0"/>
              <w:jc w:val="left"/>
            </w:pPr>
            <w:r>
              <w:t>6 weeks after TOP: 47%</w:t>
            </w:r>
          </w:p>
          <w:p w14:paraId="501266D4" w14:textId="77777777" w:rsidR="00A8151D" w:rsidRDefault="00A8151D" w:rsidP="004566DC">
            <w:pPr>
              <w:pStyle w:val="Tabletext1"/>
              <w:numPr>
                <w:ilvl w:val="0"/>
                <w:numId w:val="12"/>
              </w:numPr>
              <w:ind w:left="0"/>
              <w:jc w:val="left"/>
            </w:pPr>
            <w:r>
              <w:t>6 months after TOP: 31%</w:t>
            </w:r>
          </w:p>
          <w:p w14:paraId="6CFFA343" w14:textId="77777777" w:rsidR="00A8151D" w:rsidRDefault="00A8151D" w:rsidP="004566DC">
            <w:pPr>
              <w:pStyle w:val="Tabletext1"/>
              <w:numPr>
                <w:ilvl w:val="0"/>
                <w:numId w:val="12"/>
              </w:numPr>
              <w:ind w:left="0"/>
              <w:jc w:val="left"/>
            </w:pPr>
            <w:r>
              <w:t>12 months after TOP: 27%</w:t>
            </w:r>
          </w:p>
          <w:p w14:paraId="26272FC9" w14:textId="69E871A2" w:rsidR="00A8151D" w:rsidRDefault="00A8151D" w:rsidP="004566DC">
            <w:pPr>
              <w:pStyle w:val="Tabletext1"/>
              <w:ind w:left="0"/>
              <w:jc w:val="left"/>
            </w:pPr>
            <w:r>
              <w:t>Depression (score &gt;9 on Beck Depression Inventory)</w:t>
            </w:r>
          </w:p>
          <w:p w14:paraId="486101F8" w14:textId="77777777" w:rsidR="00A8151D" w:rsidRDefault="00A8151D" w:rsidP="004566DC">
            <w:pPr>
              <w:pStyle w:val="Tabletext1"/>
              <w:numPr>
                <w:ilvl w:val="0"/>
                <w:numId w:val="12"/>
              </w:numPr>
              <w:ind w:left="0"/>
              <w:jc w:val="left"/>
            </w:pPr>
            <w:r>
              <w:t>6 weeks after TOP: 30%</w:t>
            </w:r>
          </w:p>
          <w:p w14:paraId="4C9559AA" w14:textId="77777777" w:rsidR="00A8151D" w:rsidRDefault="00A8151D" w:rsidP="004566DC">
            <w:pPr>
              <w:pStyle w:val="Tabletext1"/>
              <w:numPr>
                <w:ilvl w:val="0"/>
                <w:numId w:val="12"/>
              </w:numPr>
              <w:ind w:left="0"/>
              <w:jc w:val="left"/>
            </w:pPr>
            <w:r>
              <w:t>6 months after TOP: 36%</w:t>
            </w:r>
          </w:p>
          <w:p w14:paraId="189DAF0B" w14:textId="77777777" w:rsidR="00A8151D" w:rsidRDefault="00A8151D" w:rsidP="004566DC">
            <w:pPr>
              <w:pStyle w:val="Tabletext1"/>
              <w:numPr>
                <w:ilvl w:val="0"/>
                <w:numId w:val="12"/>
              </w:numPr>
              <w:ind w:left="0"/>
              <w:jc w:val="left"/>
            </w:pPr>
            <w:r>
              <w:t>12 months after TOP: 32%</w:t>
            </w:r>
          </w:p>
        </w:tc>
      </w:tr>
      <w:tr w:rsidR="00A8151D" w14:paraId="529D53D4" w14:textId="77777777" w:rsidTr="006F73C4">
        <w:tc>
          <w:tcPr>
            <w:tcW w:w="1526" w:type="dxa"/>
          </w:tcPr>
          <w:p w14:paraId="61E57499" w14:textId="155C31BD" w:rsidR="00A8151D" w:rsidRDefault="00A8151D" w:rsidP="004566DC">
            <w:pPr>
              <w:pStyle w:val="Tabletext1"/>
              <w:ind w:left="0"/>
              <w:jc w:val="left"/>
            </w:pPr>
            <w:r>
              <w:t xml:space="preserve">Geerinck-Vercammen </w:t>
            </w:r>
            <w:r w:rsidR="00406AD3">
              <w:t xml:space="preserve">&amp; </w:t>
            </w:r>
            <w:r>
              <w:t>Kanhai (2003)</w:t>
            </w:r>
          </w:p>
        </w:tc>
        <w:tc>
          <w:tcPr>
            <w:tcW w:w="1559" w:type="dxa"/>
          </w:tcPr>
          <w:p w14:paraId="3AB7001A" w14:textId="0CECE9FE" w:rsidR="00A8151D" w:rsidRDefault="00A8151D" w:rsidP="004566DC">
            <w:pPr>
              <w:pStyle w:val="Tabletext1"/>
              <w:ind w:left="0"/>
              <w:jc w:val="left"/>
            </w:pPr>
            <w:r>
              <w:t xml:space="preserve">Prospective </w:t>
            </w:r>
            <w:r w:rsidR="00027D71">
              <w:t>s</w:t>
            </w:r>
            <w:r>
              <w:t>emi-structured interviews (before and after TOP)</w:t>
            </w:r>
          </w:p>
        </w:tc>
        <w:tc>
          <w:tcPr>
            <w:tcW w:w="1843" w:type="dxa"/>
          </w:tcPr>
          <w:p w14:paraId="198BBC37" w14:textId="77D96FF0" w:rsidR="00A8151D" w:rsidRDefault="00A8151D" w:rsidP="004566DC">
            <w:pPr>
              <w:pStyle w:val="Tabletext1"/>
              <w:ind w:left="0"/>
              <w:jc w:val="left"/>
            </w:pPr>
            <w:r>
              <w:t>89 couples who underwent TOP for fetal abnormality</w:t>
            </w:r>
            <w:r w:rsidR="00406AD3">
              <w:t>;</w:t>
            </w:r>
            <w:r>
              <w:t xml:space="preserve"> 86 participated in at least one interview. </w:t>
            </w:r>
          </w:p>
        </w:tc>
        <w:tc>
          <w:tcPr>
            <w:tcW w:w="4314" w:type="dxa"/>
          </w:tcPr>
          <w:p w14:paraId="20C04A7F" w14:textId="77777777" w:rsidR="00A8151D" w:rsidRDefault="00A8151D" w:rsidP="004566DC">
            <w:pPr>
              <w:pStyle w:val="Tabletext1"/>
              <w:ind w:left="0"/>
              <w:jc w:val="left"/>
            </w:pPr>
            <w:r>
              <w:t>Grief at 6 weeks after TOP:</w:t>
            </w:r>
          </w:p>
          <w:p w14:paraId="0BF6ACAD" w14:textId="77777777" w:rsidR="00A8151D" w:rsidRDefault="00A8151D" w:rsidP="004566DC">
            <w:pPr>
              <w:pStyle w:val="Tabletext1"/>
              <w:numPr>
                <w:ilvl w:val="0"/>
                <w:numId w:val="12"/>
              </w:numPr>
              <w:ind w:left="0"/>
              <w:jc w:val="left"/>
            </w:pPr>
            <w:r>
              <w:t>Dominating: 27 (36%) women, 5 (8%) men</w:t>
            </w:r>
          </w:p>
          <w:p w14:paraId="114B27B7" w14:textId="77777777" w:rsidR="00A8151D" w:rsidRDefault="00A8151D" w:rsidP="004566DC">
            <w:pPr>
              <w:pStyle w:val="Tabletext1"/>
              <w:numPr>
                <w:ilvl w:val="0"/>
                <w:numId w:val="12"/>
              </w:numPr>
              <w:ind w:left="0"/>
              <w:jc w:val="left"/>
            </w:pPr>
            <w:r>
              <w:t xml:space="preserve">Regular moments: 33 (43%) women, 21 (33%) men </w:t>
            </w:r>
          </w:p>
          <w:p w14:paraId="0B3F5A2C" w14:textId="77777777" w:rsidR="00A8151D" w:rsidRDefault="00A8151D" w:rsidP="004566DC">
            <w:pPr>
              <w:pStyle w:val="Tabletext1"/>
              <w:numPr>
                <w:ilvl w:val="0"/>
                <w:numId w:val="12"/>
              </w:numPr>
              <w:ind w:left="0"/>
              <w:jc w:val="left"/>
            </w:pPr>
            <w:r>
              <w:t>Few moments: 16 (31%) women, 5 (11%) men</w:t>
            </w:r>
          </w:p>
          <w:p w14:paraId="1872F06D" w14:textId="77777777" w:rsidR="00A8151D" w:rsidRDefault="00A8151D" w:rsidP="004566DC">
            <w:pPr>
              <w:pStyle w:val="Tabletext1"/>
              <w:ind w:left="0"/>
              <w:jc w:val="left"/>
            </w:pPr>
            <w:r>
              <w:t>Grief at 6 months after TOP:</w:t>
            </w:r>
          </w:p>
          <w:p w14:paraId="0C7E400C" w14:textId="77777777" w:rsidR="00A8151D" w:rsidRDefault="00A8151D" w:rsidP="004566DC">
            <w:pPr>
              <w:pStyle w:val="Tabletext1"/>
              <w:numPr>
                <w:ilvl w:val="0"/>
                <w:numId w:val="12"/>
              </w:numPr>
              <w:ind w:left="0"/>
              <w:jc w:val="left"/>
            </w:pPr>
            <w:r>
              <w:t>Dominating: 8 (13%) women, 1 (2%) men</w:t>
            </w:r>
          </w:p>
          <w:p w14:paraId="626BB38C" w14:textId="77777777" w:rsidR="00A8151D" w:rsidRDefault="00A8151D" w:rsidP="004566DC">
            <w:pPr>
              <w:pStyle w:val="Tabletext1"/>
              <w:numPr>
                <w:ilvl w:val="0"/>
                <w:numId w:val="12"/>
              </w:numPr>
              <w:ind w:left="0"/>
              <w:jc w:val="left"/>
            </w:pPr>
            <w:r>
              <w:t>Regular moments: 12 (20%) women, 5 (11%) men</w:t>
            </w:r>
          </w:p>
          <w:p w14:paraId="58D3DB9F" w14:textId="77777777" w:rsidR="00A8151D" w:rsidRDefault="00A8151D" w:rsidP="004566DC">
            <w:pPr>
              <w:pStyle w:val="Tabletext1"/>
              <w:numPr>
                <w:ilvl w:val="0"/>
                <w:numId w:val="12"/>
              </w:numPr>
              <w:ind w:left="0"/>
              <w:jc w:val="left"/>
            </w:pPr>
            <w:r>
              <w:t>Few moments: 35 (58%) women, 25 (53%) men</w:t>
            </w:r>
          </w:p>
        </w:tc>
      </w:tr>
      <w:tr w:rsidR="00A8151D" w14:paraId="2173E75E" w14:textId="77777777" w:rsidTr="006F73C4">
        <w:tc>
          <w:tcPr>
            <w:tcW w:w="1526" w:type="dxa"/>
          </w:tcPr>
          <w:p w14:paraId="78A5C986" w14:textId="77777777" w:rsidR="00A8151D" w:rsidRDefault="00A8151D" w:rsidP="004566DC">
            <w:pPr>
              <w:pStyle w:val="Tabletext1"/>
              <w:ind w:left="0"/>
              <w:jc w:val="left"/>
            </w:pPr>
            <w:r>
              <w:t>Iles et al. (1993)</w:t>
            </w:r>
          </w:p>
        </w:tc>
        <w:tc>
          <w:tcPr>
            <w:tcW w:w="1559" w:type="dxa"/>
          </w:tcPr>
          <w:p w14:paraId="0B310DE6" w14:textId="664BB6BD" w:rsidR="00A8151D" w:rsidRDefault="00A8151D" w:rsidP="004566DC">
            <w:pPr>
              <w:pStyle w:val="Tabletext1"/>
              <w:ind w:left="0"/>
              <w:jc w:val="left"/>
            </w:pPr>
            <w:r>
              <w:t>Prospective semi-structured interviews (4</w:t>
            </w:r>
            <w:r w:rsidR="00DC649E">
              <w:t>–</w:t>
            </w:r>
            <w:r>
              <w:t>6</w:t>
            </w:r>
            <w:r w:rsidR="00DC649E">
              <w:t> </w:t>
            </w:r>
            <w:r>
              <w:t>weeks, 6</w:t>
            </w:r>
            <w:r w:rsidR="00DC649E">
              <w:t> </w:t>
            </w:r>
            <w:r>
              <w:t>months and 13</w:t>
            </w:r>
            <w:r w:rsidR="00DC649E">
              <w:t> </w:t>
            </w:r>
            <w:r>
              <w:t>months after TOP)</w:t>
            </w:r>
          </w:p>
        </w:tc>
        <w:tc>
          <w:tcPr>
            <w:tcW w:w="1843" w:type="dxa"/>
          </w:tcPr>
          <w:p w14:paraId="73EED98A" w14:textId="129AB526" w:rsidR="00A8151D" w:rsidRDefault="00A8151D" w:rsidP="004566DC">
            <w:pPr>
              <w:pStyle w:val="Tabletext1"/>
              <w:ind w:left="0"/>
              <w:jc w:val="left"/>
            </w:pPr>
            <w:r>
              <w:t>71 women who underwent mid-trimester TOP</w:t>
            </w:r>
            <w:r w:rsidR="00406AD3">
              <w:t>;</w:t>
            </w:r>
            <w:r>
              <w:t xml:space="preserve"> 61 women were interviewed all </w:t>
            </w:r>
            <w:r w:rsidR="00406AD3">
              <w:t xml:space="preserve">three </w:t>
            </w:r>
            <w:r>
              <w:t>times</w:t>
            </w:r>
          </w:p>
        </w:tc>
        <w:tc>
          <w:tcPr>
            <w:tcW w:w="4314" w:type="dxa"/>
          </w:tcPr>
          <w:p w14:paraId="2D1C6AAF" w14:textId="1AC79B46" w:rsidR="00A8151D" w:rsidRDefault="00A8151D" w:rsidP="004566DC">
            <w:pPr>
              <w:pStyle w:val="Tabletext1"/>
              <w:ind w:left="0"/>
              <w:jc w:val="left"/>
            </w:pPr>
            <w:r>
              <w:t>Physical grief (choking, sighing, blurred vision etc</w:t>
            </w:r>
            <w:r w:rsidR="00027D71">
              <w:t>.</w:t>
            </w:r>
            <w:r>
              <w:t>)</w:t>
            </w:r>
            <w:r w:rsidR="00DC649E">
              <w:t>:</w:t>
            </w:r>
          </w:p>
          <w:p w14:paraId="3635969D" w14:textId="54242BAD" w:rsidR="00A8151D" w:rsidRDefault="00A8151D" w:rsidP="004566DC">
            <w:pPr>
              <w:pStyle w:val="Tabletext1"/>
              <w:numPr>
                <w:ilvl w:val="0"/>
                <w:numId w:val="12"/>
              </w:numPr>
              <w:ind w:left="0"/>
              <w:jc w:val="left"/>
            </w:pPr>
            <w:r>
              <w:t>4</w:t>
            </w:r>
            <w:r w:rsidR="00DC649E">
              <w:t>–</w:t>
            </w:r>
            <w:r>
              <w:t>6 weeks after TOP: 55/71 (78%)</w:t>
            </w:r>
          </w:p>
          <w:p w14:paraId="40DFD31C" w14:textId="77777777" w:rsidR="00A8151D" w:rsidRDefault="00A8151D" w:rsidP="004566DC">
            <w:pPr>
              <w:pStyle w:val="Tabletext1"/>
              <w:numPr>
                <w:ilvl w:val="0"/>
                <w:numId w:val="12"/>
              </w:numPr>
              <w:ind w:left="0"/>
              <w:jc w:val="left"/>
            </w:pPr>
            <w:r>
              <w:t>6 months after TOP: 29/65 (45%)</w:t>
            </w:r>
          </w:p>
          <w:p w14:paraId="65B2BD59" w14:textId="77777777" w:rsidR="00A8151D" w:rsidRDefault="00A8151D" w:rsidP="004566DC">
            <w:pPr>
              <w:pStyle w:val="Tabletext1"/>
              <w:numPr>
                <w:ilvl w:val="0"/>
                <w:numId w:val="12"/>
              </w:numPr>
              <w:ind w:left="0"/>
              <w:jc w:val="left"/>
            </w:pPr>
            <w:r>
              <w:t>13 months after TOP: 19/61 (31%)</w:t>
            </w:r>
          </w:p>
          <w:p w14:paraId="1516F9EB" w14:textId="6AB7A71E" w:rsidR="00A8151D" w:rsidRDefault="00A8151D" w:rsidP="004566DC">
            <w:pPr>
              <w:pStyle w:val="Tabletext1"/>
              <w:ind w:left="0"/>
              <w:jc w:val="left"/>
            </w:pPr>
            <w:r>
              <w:t>Numbness</w:t>
            </w:r>
            <w:r w:rsidR="00DC649E">
              <w:t>:</w:t>
            </w:r>
          </w:p>
          <w:p w14:paraId="2D7E6624" w14:textId="0AAC6085" w:rsidR="00A8151D" w:rsidRDefault="00A8151D" w:rsidP="004566DC">
            <w:pPr>
              <w:pStyle w:val="Tabletext1"/>
              <w:numPr>
                <w:ilvl w:val="0"/>
                <w:numId w:val="12"/>
              </w:numPr>
              <w:ind w:left="0"/>
              <w:jc w:val="left"/>
            </w:pPr>
            <w:r>
              <w:t>4</w:t>
            </w:r>
            <w:r w:rsidR="00DC649E">
              <w:t>–</w:t>
            </w:r>
            <w:r>
              <w:t>6 weeks after TOP: 45/71 (63%)</w:t>
            </w:r>
          </w:p>
          <w:p w14:paraId="65214EA3" w14:textId="11FF8B89" w:rsidR="00A8151D" w:rsidRDefault="00A8151D" w:rsidP="004566DC">
            <w:pPr>
              <w:pStyle w:val="Tabletext1"/>
              <w:numPr>
                <w:ilvl w:val="0"/>
                <w:numId w:val="12"/>
              </w:numPr>
              <w:ind w:left="0"/>
              <w:jc w:val="left"/>
            </w:pPr>
            <w:r>
              <w:t xml:space="preserve">6 months after TOP: </w:t>
            </w:r>
            <w:r w:rsidR="00406AD3">
              <w:t>–</w:t>
            </w:r>
          </w:p>
          <w:p w14:paraId="49D2C211" w14:textId="1398C99C" w:rsidR="00A8151D" w:rsidRDefault="00A8151D" w:rsidP="004566DC">
            <w:pPr>
              <w:pStyle w:val="Tabletext1"/>
              <w:numPr>
                <w:ilvl w:val="0"/>
                <w:numId w:val="12"/>
              </w:numPr>
              <w:ind w:left="0"/>
              <w:jc w:val="left"/>
            </w:pPr>
            <w:r>
              <w:t xml:space="preserve">13 months after TOP: </w:t>
            </w:r>
            <w:r w:rsidR="00406AD3">
              <w:t>–</w:t>
            </w:r>
          </w:p>
          <w:p w14:paraId="356BF3DF" w14:textId="229324A2" w:rsidR="00A8151D" w:rsidRDefault="00A8151D" w:rsidP="004566DC">
            <w:pPr>
              <w:pStyle w:val="Tabletext1"/>
              <w:ind w:left="0"/>
              <w:jc w:val="left"/>
            </w:pPr>
            <w:r>
              <w:t>Anger</w:t>
            </w:r>
            <w:r w:rsidR="00DC649E">
              <w:t>:</w:t>
            </w:r>
          </w:p>
          <w:p w14:paraId="097788DB" w14:textId="677B1A0B" w:rsidR="00A8151D" w:rsidRDefault="00A8151D" w:rsidP="004566DC">
            <w:pPr>
              <w:pStyle w:val="Tabletext1"/>
              <w:numPr>
                <w:ilvl w:val="0"/>
                <w:numId w:val="12"/>
              </w:numPr>
              <w:ind w:left="0"/>
              <w:jc w:val="left"/>
            </w:pPr>
            <w:r>
              <w:t>4</w:t>
            </w:r>
            <w:r w:rsidR="00DC649E">
              <w:t>–</w:t>
            </w:r>
            <w:r>
              <w:t>6 weeks after TOP: 41/71 (58%)</w:t>
            </w:r>
          </w:p>
          <w:p w14:paraId="49CA010A" w14:textId="77777777" w:rsidR="00A8151D" w:rsidRDefault="00A8151D" w:rsidP="004566DC">
            <w:pPr>
              <w:pStyle w:val="Tabletext1"/>
              <w:numPr>
                <w:ilvl w:val="0"/>
                <w:numId w:val="12"/>
              </w:numPr>
              <w:ind w:left="0"/>
              <w:jc w:val="left"/>
            </w:pPr>
            <w:r>
              <w:t>6 months after TOP: 27/65 (42%)</w:t>
            </w:r>
          </w:p>
          <w:p w14:paraId="6596C169" w14:textId="77777777" w:rsidR="00A8151D" w:rsidRDefault="00A8151D" w:rsidP="004566DC">
            <w:pPr>
              <w:pStyle w:val="Tabletext1"/>
              <w:numPr>
                <w:ilvl w:val="0"/>
                <w:numId w:val="12"/>
              </w:numPr>
              <w:ind w:left="0"/>
              <w:jc w:val="left"/>
            </w:pPr>
            <w:r>
              <w:t>13 months after TOP: 19/61 (31%)</w:t>
            </w:r>
          </w:p>
          <w:p w14:paraId="6386BEBF" w14:textId="01F12290" w:rsidR="00A8151D" w:rsidRDefault="00A8151D" w:rsidP="004566DC">
            <w:pPr>
              <w:pStyle w:val="Tabletext1"/>
              <w:ind w:left="0"/>
              <w:jc w:val="left"/>
            </w:pPr>
            <w:r>
              <w:t>Guilt</w:t>
            </w:r>
            <w:r w:rsidR="00DC649E">
              <w:t>:</w:t>
            </w:r>
          </w:p>
          <w:p w14:paraId="43508AEA" w14:textId="78A316EC" w:rsidR="00A8151D" w:rsidRDefault="00A8151D" w:rsidP="004566DC">
            <w:pPr>
              <w:pStyle w:val="Tabletext1"/>
              <w:numPr>
                <w:ilvl w:val="0"/>
                <w:numId w:val="12"/>
              </w:numPr>
              <w:ind w:left="0"/>
              <w:jc w:val="left"/>
            </w:pPr>
            <w:r>
              <w:t>4</w:t>
            </w:r>
            <w:r w:rsidR="00DC649E">
              <w:t>–</w:t>
            </w:r>
            <w:r>
              <w:t>6 weeks after TOP: 34/71 (48%)</w:t>
            </w:r>
          </w:p>
          <w:p w14:paraId="03EE1192" w14:textId="77777777" w:rsidR="00A8151D" w:rsidRDefault="00A8151D" w:rsidP="004566DC">
            <w:pPr>
              <w:pStyle w:val="Tabletext1"/>
              <w:numPr>
                <w:ilvl w:val="0"/>
                <w:numId w:val="12"/>
              </w:numPr>
              <w:ind w:left="0"/>
              <w:jc w:val="left"/>
            </w:pPr>
            <w:r>
              <w:t>6 months after TOP: 8/65 (12%)</w:t>
            </w:r>
          </w:p>
          <w:p w14:paraId="5F24CA5B" w14:textId="77777777" w:rsidR="00A8151D" w:rsidRDefault="00A8151D" w:rsidP="004566DC">
            <w:pPr>
              <w:pStyle w:val="Tabletext1"/>
              <w:numPr>
                <w:ilvl w:val="0"/>
                <w:numId w:val="12"/>
              </w:numPr>
              <w:ind w:left="0"/>
              <w:jc w:val="left"/>
            </w:pPr>
            <w:r>
              <w:t>13 months after TOP: 19/61 (31%)</w:t>
            </w:r>
          </w:p>
        </w:tc>
      </w:tr>
      <w:tr w:rsidR="00A8151D" w14:paraId="2EF4471B" w14:textId="77777777" w:rsidTr="006F73C4">
        <w:tc>
          <w:tcPr>
            <w:tcW w:w="1526" w:type="dxa"/>
          </w:tcPr>
          <w:p w14:paraId="767FC09C" w14:textId="77777777" w:rsidR="00A8151D" w:rsidRDefault="00A8151D" w:rsidP="004566DC">
            <w:pPr>
              <w:pStyle w:val="Tabletext1"/>
              <w:ind w:left="0"/>
              <w:jc w:val="left"/>
            </w:pPr>
            <w:r>
              <w:lastRenderedPageBreak/>
              <w:t>Kersting et al. (2005)</w:t>
            </w:r>
          </w:p>
        </w:tc>
        <w:tc>
          <w:tcPr>
            <w:tcW w:w="1559" w:type="dxa"/>
          </w:tcPr>
          <w:p w14:paraId="1E0D1B1B" w14:textId="77777777" w:rsidR="00A8151D" w:rsidRDefault="00A8151D" w:rsidP="004566DC">
            <w:pPr>
              <w:pStyle w:val="Tabletext1"/>
              <w:ind w:left="0"/>
              <w:jc w:val="left"/>
            </w:pPr>
            <w:r>
              <w:t xml:space="preserve">Cross-sectional study </w:t>
            </w:r>
          </w:p>
        </w:tc>
        <w:tc>
          <w:tcPr>
            <w:tcW w:w="1843" w:type="dxa"/>
          </w:tcPr>
          <w:p w14:paraId="77D5AD27" w14:textId="21AFB1F4" w:rsidR="00A8151D" w:rsidRDefault="00A8151D" w:rsidP="004566DC">
            <w:pPr>
              <w:pStyle w:val="Tabletext1"/>
              <w:ind w:left="0"/>
              <w:jc w:val="left"/>
            </w:pPr>
            <w:r>
              <w:t>83 women who underwent TOP 2</w:t>
            </w:r>
            <w:r w:rsidR="00DC649E">
              <w:t>–</w:t>
            </w:r>
            <w:r>
              <w:t>7</w:t>
            </w:r>
            <w:r w:rsidR="00DC649E">
              <w:t> </w:t>
            </w:r>
            <w:r>
              <w:t>years ago and 60 women 14</w:t>
            </w:r>
            <w:r w:rsidR="00DC649E">
              <w:t> </w:t>
            </w:r>
            <w:r>
              <w:t>days after TOP</w:t>
            </w:r>
          </w:p>
        </w:tc>
        <w:tc>
          <w:tcPr>
            <w:tcW w:w="4314" w:type="dxa"/>
          </w:tcPr>
          <w:p w14:paraId="5B60A2E8" w14:textId="5CAF61F6" w:rsidR="00A8151D" w:rsidRDefault="00A8151D" w:rsidP="004566DC">
            <w:pPr>
              <w:pStyle w:val="Tabletext1"/>
              <w:ind w:left="0"/>
              <w:jc w:val="left"/>
            </w:pPr>
            <w:r>
              <w:t>Post</w:t>
            </w:r>
            <w:r w:rsidR="00DC649E">
              <w:t>-</w:t>
            </w:r>
            <w:r>
              <w:t xml:space="preserve">traumatic stress disorder (Impact of </w:t>
            </w:r>
            <w:r w:rsidR="00406AD3">
              <w:t>E</w:t>
            </w:r>
            <w:r>
              <w:t xml:space="preserve">vent </w:t>
            </w:r>
            <w:r w:rsidR="00406AD3">
              <w:t>S</w:t>
            </w:r>
            <w:r>
              <w:t>cale</w:t>
            </w:r>
            <w:r w:rsidR="00406AD3">
              <w:t>–R</w:t>
            </w:r>
            <w:r>
              <w:t>evised score)</w:t>
            </w:r>
          </w:p>
          <w:p w14:paraId="2556944C" w14:textId="087A6B48" w:rsidR="00A8151D" w:rsidRDefault="00A8151D" w:rsidP="004566DC">
            <w:pPr>
              <w:pStyle w:val="Tabletext1"/>
              <w:numPr>
                <w:ilvl w:val="0"/>
                <w:numId w:val="12"/>
              </w:numPr>
              <w:ind w:left="0"/>
              <w:jc w:val="left"/>
            </w:pPr>
            <w:r>
              <w:t>14 days after TOP (n=60): mean 44.03 (SD 19.17</w:t>
            </w:r>
            <w:r w:rsidR="00DC649E">
              <w:t>)</w:t>
            </w:r>
          </w:p>
          <w:p w14:paraId="0583DE50" w14:textId="4F4DF04F" w:rsidR="00A8151D" w:rsidRDefault="00A8151D" w:rsidP="004566DC">
            <w:pPr>
              <w:pStyle w:val="Tabletext1"/>
              <w:numPr>
                <w:ilvl w:val="0"/>
                <w:numId w:val="12"/>
              </w:numPr>
              <w:ind w:left="0"/>
              <w:jc w:val="left"/>
            </w:pPr>
            <w:r>
              <w:t>2</w:t>
            </w:r>
            <w:r w:rsidR="00DC649E">
              <w:t>–</w:t>
            </w:r>
            <w:r>
              <w:t>7 years after TOP (n=83): mean 41.78 (SD 24.46)</w:t>
            </w:r>
          </w:p>
        </w:tc>
      </w:tr>
      <w:tr w:rsidR="00A8151D" w14:paraId="37AFD9FC" w14:textId="77777777" w:rsidTr="006F73C4">
        <w:tc>
          <w:tcPr>
            <w:tcW w:w="1526" w:type="dxa"/>
          </w:tcPr>
          <w:p w14:paraId="6C589872" w14:textId="77777777" w:rsidR="00A8151D" w:rsidRDefault="00A8151D" w:rsidP="004566DC">
            <w:pPr>
              <w:pStyle w:val="Tabletext1"/>
              <w:ind w:left="0"/>
              <w:jc w:val="left"/>
            </w:pPr>
            <w:r>
              <w:t>Kersting et al. (2009)</w:t>
            </w:r>
          </w:p>
        </w:tc>
        <w:tc>
          <w:tcPr>
            <w:tcW w:w="1559" w:type="dxa"/>
          </w:tcPr>
          <w:p w14:paraId="1DDD2BC0" w14:textId="77777777" w:rsidR="00A8151D" w:rsidRDefault="00A8151D" w:rsidP="004566DC">
            <w:pPr>
              <w:pStyle w:val="Tabletext1"/>
              <w:ind w:left="0"/>
              <w:jc w:val="left"/>
            </w:pPr>
            <w:r>
              <w:t>Prospective longitudinal study</w:t>
            </w:r>
          </w:p>
        </w:tc>
        <w:tc>
          <w:tcPr>
            <w:tcW w:w="1843" w:type="dxa"/>
          </w:tcPr>
          <w:p w14:paraId="48E4329A" w14:textId="7C08EDA6" w:rsidR="00A8151D" w:rsidRDefault="00A8151D" w:rsidP="004566DC">
            <w:pPr>
              <w:pStyle w:val="Tabletext1"/>
              <w:ind w:left="0"/>
              <w:jc w:val="left"/>
            </w:pPr>
            <w:r>
              <w:t>62 women who underwent TOP</w:t>
            </w:r>
            <w:r w:rsidR="00406AD3">
              <w:t>;</w:t>
            </w:r>
            <w:r>
              <w:t xml:space="preserve"> interviews and questionnaires were completed by 36 (58%)</w:t>
            </w:r>
          </w:p>
        </w:tc>
        <w:tc>
          <w:tcPr>
            <w:tcW w:w="4314" w:type="dxa"/>
          </w:tcPr>
          <w:p w14:paraId="75760D37" w14:textId="77777777" w:rsidR="00A8151D" w:rsidRDefault="00A8151D" w:rsidP="004566DC">
            <w:pPr>
              <w:pStyle w:val="Tabletext1"/>
              <w:ind w:left="0"/>
              <w:jc w:val="left"/>
            </w:pPr>
            <w:r>
              <w:t>Psychiatric diagnoses according to Structured Clinical Interview for DSM-IV:</w:t>
            </w:r>
          </w:p>
          <w:p w14:paraId="4CE5FDED" w14:textId="77777777" w:rsidR="00A8151D" w:rsidRDefault="00A8151D" w:rsidP="004566DC">
            <w:pPr>
              <w:pStyle w:val="Tabletext1"/>
              <w:numPr>
                <w:ilvl w:val="0"/>
                <w:numId w:val="12"/>
              </w:numPr>
              <w:ind w:left="0"/>
              <w:jc w:val="left"/>
            </w:pPr>
            <w:r>
              <w:t xml:space="preserve">14 days after TOP: 25% </w:t>
            </w:r>
          </w:p>
          <w:p w14:paraId="2E4B4C2F" w14:textId="77777777" w:rsidR="00A8151D" w:rsidRDefault="00A8151D" w:rsidP="004566DC">
            <w:pPr>
              <w:pStyle w:val="Tabletext1"/>
              <w:numPr>
                <w:ilvl w:val="0"/>
                <w:numId w:val="12"/>
              </w:numPr>
              <w:ind w:left="0"/>
              <w:jc w:val="left"/>
            </w:pPr>
            <w:r>
              <w:t>6 months after TOP: 25%</w:t>
            </w:r>
          </w:p>
          <w:p w14:paraId="19B66DCF" w14:textId="77777777" w:rsidR="00A8151D" w:rsidRDefault="00A8151D" w:rsidP="004566DC">
            <w:pPr>
              <w:pStyle w:val="Tabletext1"/>
              <w:numPr>
                <w:ilvl w:val="0"/>
                <w:numId w:val="12"/>
              </w:numPr>
              <w:ind w:left="0"/>
              <w:jc w:val="left"/>
            </w:pPr>
            <w:r>
              <w:t>14 months after TOP: 16.7%</w:t>
            </w:r>
          </w:p>
          <w:p w14:paraId="069F63A9" w14:textId="3267A8B3" w:rsidR="00A8151D" w:rsidRDefault="00A8151D" w:rsidP="004566DC">
            <w:pPr>
              <w:pStyle w:val="Tabletext1"/>
              <w:ind w:left="0"/>
              <w:jc w:val="left"/>
            </w:pPr>
            <w:r>
              <w:t>Post</w:t>
            </w:r>
            <w:r w:rsidR="005A50ED">
              <w:t>-</w:t>
            </w:r>
            <w:r>
              <w:t xml:space="preserve">traumatic stress disorder (Impact of </w:t>
            </w:r>
            <w:r w:rsidR="00406AD3">
              <w:t>E</w:t>
            </w:r>
            <w:r>
              <w:t xml:space="preserve">vent </w:t>
            </w:r>
            <w:r w:rsidR="00406AD3">
              <w:t>S</w:t>
            </w:r>
            <w:r>
              <w:t>cale</w:t>
            </w:r>
            <w:r w:rsidR="00406AD3">
              <w:t>–R</w:t>
            </w:r>
            <w:r>
              <w:t>evised score &gt;19) n=36</w:t>
            </w:r>
          </w:p>
          <w:p w14:paraId="2BBF0C7C" w14:textId="4DBFA37C" w:rsidR="00A8151D" w:rsidRDefault="00A8151D" w:rsidP="004566DC">
            <w:pPr>
              <w:pStyle w:val="Tabletext1"/>
              <w:numPr>
                <w:ilvl w:val="0"/>
                <w:numId w:val="12"/>
              </w:numPr>
              <w:ind w:left="0"/>
              <w:jc w:val="left"/>
            </w:pPr>
            <w:r>
              <w:t>14 days after TOP: mean 45.0</w:t>
            </w:r>
            <w:r w:rsidR="00DF5916">
              <w:t xml:space="preserve"> </w:t>
            </w:r>
            <w:r>
              <w:t>(SD 17.54)</w:t>
            </w:r>
          </w:p>
          <w:p w14:paraId="5B4EAC77" w14:textId="77777777" w:rsidR="00A8151D" w:rsidRDefault="00A8151D" w:rsidP="004566DC">
            <w:pPr>
              <w:pStyle w:val="Tabletext1"/>
              <w:numPr>
                <w:ilvl w:val="0"/>
                <w:numId w:val="12"/>
              </w:numPr>
              <w:ind w:left="0"/>
              <w:jc w:val="left"/>
            </w:pPr>
            <w:r>
              <w:t>6 months after TOP: mean 35.3 (SD 21.53)</w:t>
            </w:r>
          </w:p>
          <w:p w14:paraId="743B2CA4" w14:textId="77777777" w:rsidR="00A8151D" w:rsidRDefault="00A8151D" w:rsidP="004566DC">
            <w:pPr>
              <w:pStyle w:val="Tabletext1"/>
              <w:numPr>
                <w:ilvl w:val="0"/>
                <w:numId w:val="12"/>
              </w:numPr>
              <w:ind w:left="0"/>
              <w:jc w:val="left"/>
            </w:pPr>
            <w:r>
              <w:t>14 months after TOP: mean 30.9 (21.35)</w:t>
            </w:r>
          </w:p>
          <w:p w14:paraId="1D2C807F" w14:textId="4BEF9853" w:rsidR="00A8151D" w:rsidRDefault="00A8151D" w:rsidP="004566DC">
            <w:pPr>
              <w:pStyle w:val="Tabletext1"/>
              <w:ind w:left="0"/>
              <w:jc w:val="left"/>
            </w:pPr>
            <w:r>
              <w:t>Depression (Beck Depression Inventory score) n=36</w:t>
            </w:r>
          </w:p>
          <w:p w14:paraId="4F4A57C9" w14:textId="77777777" w:rsidR="00A8151D" w:rsidRDefault="00A8151D" w:rsidP="004566DC">
            <w:pPr>
              <w:pStyle w:val="Tabletext1"/>
              <w:numPr>
                <w:ilvl w:val="0"/>
                <w:numId w:val="12"/>
              </w:numPr>
              <w:ind w:left="0"/>
              <w:jc w:val="left"/>
            </w:pPr>
            <w:r>
              <w:t>14 days after TOP: mean 12.3 (SD 7.54)</w:t>
            </w:r>
          </w:p>
          <w:p w14:paraId="72169714" w14:textId="77777777" w:rsidR="00A8151D" w:rsidRDefault="00A8151D" w:rsidP="004566DC">
            <w:pPr>
              <w:pStyle w:val="Tabletext1"/>
              <w:numPr>
                <w:ilvl w:val="0"/>
                <w:numId w:val="12"/>
              </w:numPr>
              <w:ind w:left="0"/>
              <w:jc w:val="left"/>
            </w:pPr>
            <w:r>
              <w:t>6 months after TOP: mean 7.7 (SD 8.11)</w:t>
            </w:r>
          </w:p>
          <w:p w14:paraId="67AECB08" w14:textId="77777777" w:rsidR="00A8151D" w:rsidRDefault="00A8151D" w:rsidP="004566DC">
            <w:pPr>
              <w:pStyle w:val="Tabletext1"/>
              <w:numPr>
                <w:ilvl w:val="0"/>
                <w:numId w:val="12"/>
              </w:numPr>
              <w:ind w:left="0"/>
              <w:jc w:val="left"/>
            </w:pPr>
            <w:r>
              <w:t>14 months after TOP: mean 7.6 (SD 6.45)</w:t>
            </w:r>
          </w:p>
        </w:tc>
      </w:tr>
      <w:tr w:rsidR="00A8151D" w14:paraId="3E989EBB" w14:textId="77777777" w:rsidTr="006F73C4">
        <w:tc>
          <w:tcPr>
            <w:tcW w:w="1526" w:type="dxa"/>
          </w:tcPr>
          <w:p w14:paraId="704A577C" w14:textId="57BA3A84" w:rsidR="00A8151D" w:rsidRPr="00897F39" w:rsidRDefault="00A8151D" w:rsidP="004566DC">
            <w:pPr>
              <w:pStyle w:val="Tabletext1"/>
              <w:ind w:left="0"/>
              <w:jc w:val="left"/>
              <w:rPr>
                <w:vertAlign w:val="superscript"/>
              </w:rPr>
            </w:pPr>
            <w:r>
              <w:t>Korenromp et al. (2005)</w:t>
            </w:r>
            <w:r w:rsidR="003A4D19">
              <w:t xml:space="preserve"> </w:t>
            </w:r>
            <w:r>
              <w:rPr>
                <w:vertAlign w:val="superscript"/>
              </w:rPr>
              <w:t>a</w:t>
            </w:r>
          </w:p>
        </w:tc>
        <w:tc>
          <w:tcPr>
            <w:tcW w:w="1559" w:type="dxa"/>
          </w:tcPr>
          <w:p w14:paraId="6F0B2010" w14:textId="77777777" w:rsidR="00A8151D" w:rsidRDefault="00A8151D" w:rsidP="004566DC">
            <w:pPr>
              <w:pStyle w:val="Tabletext1"/>
              <w:ind w:left="0"/>
              <w:jc w:val="left"/>
            </w:pPr>
            <w:r>
              <w:t>Cross-sectional retrospective study</w:t>
            </w:r>
          </w:p>
        </w:tc>
        <w:tc>
          <w:tcPr>
            <w:tcW w:w="1843" w:type="dxa"/>
          </w:tcPr>
          <w:p w14:paraId="18D9F4EF" w14:textId="50E0CC3C" w:rsidR="00A8151D" w:rsidRDefault="00A8151D" w:rsidP="004566DC">
            <w:pPr>
              <w:pStyle w:val="Tabletext1"/>
              <w:ind w:left="0"/>
              <w:jc w:val="left"/>
            </w:pPr>
            <w:r>
              <w:t>254 women who underwent TOP 2</w:t>
            </w:r>
            <w:r w:rsidR="00DC649E">
              <w:t>–</w:t>
            </w:r>
            <w:r>
              <w:t>7</w:t>
            </w:r>
            <w:r w:rsidR="00DC649E">
              <w:t> </w:t>
            </w:r>
            <w:r>
              <w:t>years ago (mean 4.1</w:t>
            </w:r>
            <w:r w:rsidR="00DC649E">
              <w:t> </w:t>
            </w:r>
            <w:r>
              <w:t>years, SD 1.3)</w:t>
            </w:r>
            <w:r w:rsidR="00406AD3">
              <w:t>;</w:t>
            </w:r>
            <w:r>
              <w:t xml:space="preserve"> only 196 women completed the set of questionnaires (77%)</w:t>
            </w:r>
          </w:p>
        </w:tc>
        <w:tc>
          <w:tcPr>
            <w:tcW w:w="4314" w:type="dxa"/>
          </w:tcPr>
          <w:p w14:paraId="7C9636AF" w14:textId="5B07EE17" w:rsidR="00A8151D" w:rsidRDefault="00A8151D" w:rsidP="004566DC">
            <w:pPr>
              <w:pStyle w:val="Tabletext1"/>
              <w:ind w:left="0"/>
              <w:jc w:val="left"/>
            </w:pPr>
            <w:r>
              <w:t>Grief (Inventory of Traumatic Grief score &gt;90)</w:t>
            </w:r>
          </w:p>
          <w:p w14:paraId="29BCCAD1" w14:textId="77777777" w:rsidR="00A8151D" w:rsidRDefault="00A8151D" w:rsidP="004566DC">
            <w:pPr>
              <w:pStyle w:val="Tabletext1"/>
              <w:numPr>
                <w:ilvl w:val="0"/>
                <w:numId w:val="13"/>
              </w:numPr>
              <w:ind w:left="0"/>
              <w:jc w:val="left"/>
            </w:pPr>
            <w:r>
              <w:t>2.6% (n=5)</w:t>
            </w:r>
          </w:p>
          <w:p w14:paraId="4ABD757D" w14:textId="08DEDFD6" w:rsidR="00A8151D" w:rsidRDefault="00A8151D" w:rsidP="004566DC">
            <w:pPr>
              <w:pStyle w:val="Tabletext1"/>
              <w:ind w:left="0"/>
              <w:jc w:val="left"/>
            </w:pPr>
            <w:r>
              <w:t>Post</w:t>
            </w:r>
            <w:r w:rsidR="00406AD3">
              <w:t>-</w:t>
            </w:r>
            <w:r>
              <w:t xml:space="preserve">traumatic stress disorder (Impact of </w:t>
            </w:r>
            <w:r w:rsidR="00406AD3">
              <w:t>E</w:t>
            </w:r>
            <w:r>
              <w:t xml:space="preserve">vent </w:t>
            </w:r>
            <w:r w:rsidR="00406AD3">
              <w:t>S</w:t>
            </w:r>
            <w:r>
              <w:t>cale</w:t>
            </w:r>
            <w:r w:rsidR="00406AD3">
              <w:t>–R</w:t>
            </w:r>
            <w:r>
              <w:t>evised score &gt;39)</w:t>
            </w:r>
          </w:p>
          <w:p w14:paraId="615113C6" w14:textId="77777777" w:rsidR="00A8151D" w:rsidRDefault="00A8151D" w:rsidP="004566DC">
            <w:pPr>
              <w:pStyle w:val="Tabletext1"/>
              <w:numPr>
                <w:ilvl w:val="0"/>
                <w:numId w:val="13"/>
              </w:numPr>
              <w:ind w:left="0"/>
              <w:jc w:val="left"/>
            </w:pPr>
            <w:r>
              <w:t>17.3% (n=33), unrelated to elapsed time since TOP</w:t>
            </w:r>
          </w:p>
          <w:p w14:paraId="7E708B30" w14:textId="7960F828" w:rsidR="00A8151D" w:rsidRDefault="00A8151D" w:rsidP="004566DC">
            <w:pPr>
              <w:pStyle w:val="Tabletext1"/>
              <w:ind w:left="0"/>
              <w:jc w:val="left"/>
            </w:pPr>
            <w:r>
              <w:t>Patients who underwent TOP before 14</w:t>
            </w:r>
            <w:r w:rsidR="00DC649E">
              <w:t> </w:t>
            </w:r>
            <w:r>
              <w:t>weeks of gestation had significantly lower scores for grief (mean 40.0; SD 10.8, n=44) and post</w:t>
            </w:r>
            <w:r w:rsidR="00406AD3">
              <w:t>-</w:t>
            </w:r>
            <w:r>
              <w:t>traumatic stress (mean 14.1; SD 14.5, n=44) then women who underwent TOP after 14</w:t>
            </w:r>
            <w:r w:rsidR="00DC649E">
              <w:t> </w:t>
            </w:r>
            <w:r>
              <w:t>weeks</w:t>
            </w:r>
            <w:r w:rsidR="00DC649E">
              <w:t xml:space="preserve"> of</w:t>
            </w:r>
            <w:r>
              <w:t xml:space="preserve"> gestation </w:t>
            </w:r>
            <w:r w:rsidR="001B30D6">
              <w:t>(</w:t>
            </w:r>
            <w:r>
              <w:t>mean 46.9; SD 17.4; n=150, p=0.014 and mean 21.5; SD 20.3; n=148, p=0.026</w:t>
            </w:r>
            <w:r w:rsidR="00DC649E">
              <w:t>,</w:t>
            </w:r>
            <w:r>
              <w:t xml:space="preserve"> respectively</w:t>
            </w:r>
            <w:r w:rsidR="001B30D6">
              <w:t>)</w:t>
            </w:r>
            <w:r>
              <w:t>.</w:t>
            </w:r>
          </w:p>
        </w:tc>
      </w:tr>
      <w:tr w:rsidR="00A8151D" w:rsidRPr="00D80C51" w14:paraId="0779BB37" w14:textId="77777777" w:rsidTr="006F73C4">
        <w:tc>
          <w:tcPr>
            <w:tcW w:w="1526" w:type="dxa"/>
          </w:tcPr>
          <w:p w14:paraId="000E542A" w14:textId="1E63BEE2" w:rsidR="00A8151D" w:rsidRPr="00897F39" w:rsidRDefault="00A8151D" w:rsidP="004566DC">
            <w:pPr>
              <w:pStyle w:val="Tabletext1"/>
              <w:ind w:left="0"/>
              <w:jc w:val="left"/>
              <w:rPr>
                <w:vertAlign w:val="superscript"/>
              </w:rPr>
            </w:pPr>
            <w:r>
              <w:t>Korenromp et al. (2005)</w:t>
            </w:r>
            <w:r w:rsidR="003A4D19">
              <w:t xml:space="preserve"> </w:t>
            </w:r>
            <w:r>
              <w:rPr>
                <w:vertAlign w:val="superscript"/>
              </w:rPr>
              <w:t>b</w:t>
            </w:r>
          </w:p>
        </w:tc>
        <w:tc>
          <w:tcPr>
            <w:tcW w:w="1559" w:type="dxa"/>
          </w:tcPr>
          <w:p w14:paraId="40BF75C5" w14:textId="77777777" w:rsidR="00A8151D" w:rsidRDefault="00A8151D" w:rsidP="004566DC">
            <w:pPr>
              <w:pStyle w:val="Tabletext1"/>
              <w:ind w:left="0"/>
              <w:jc w:val="left"/>
            </w:pPr>
            <w:r>
              <w:t>Cross-sectional retrospective study</w:t>
            </w:r>
          </w:p>
        </w:tc>
        <w:tc>
          <w:tcPr>
            <w:tcW w:w="1843" w:type="dxa"/>
          </w:tcPr>
          <w:p w14:paraId="0C15EE59" w14:textId="2F0C5B53" w:rsidR="00A8151D" w:rsidRPr="00897F39" w:rsidRDefault="00A8151D" w:rsidP="004566DC">
            <w:pPr>
              <w:pStyle w:val="Tabletext1"/>
              <w:ind w:left="0"/>
              <w:jc w:val="left"/>
            </w:pPr>
            <w:r>
              <w:t>151 couples who underwent TOP 2</w:t>
            </w:r>
            <w:r w:rsidR="00DC649E">
              <w:t>–</w:t>
            </w:r>
            <w:r>
              <w:t>7</w:t>
            </w:r>
            <w:r w:rsidR="00DC649E">
              <w:t> </w:t>
            </w:r>
            <w:r>
              <w:t>years ago (same women as Korenromp et al. (2005)</w:t>
            </w:r>
            <w:r w:rsidR="003A4D19">
              <w:t xml:space="preserve"> </w:t>
            </w:r>
            <w:r>
              <w:rPr>
                <w:vertAlign w:val="superscript"/>
              </w:rPr>
              <w:t>a</w:t>
            </w:r>
            <w:r>
              <w:t>)</w:t>
            </w:r>
          </w:p>
        </w:tc>
        <w:tc>
          <w:tcPr>
            <w:tcW w:w="4314" w:type="dxa"/>
          </w:tcPr>
          <w:p w14:paraId="40657D09" w14:textId="081843F1" w:rsidR="00A8151D" w:rsidRDefault="00A8151D" w:rsidP="004566DC">
            <w:pPr>
              <w:pStyle w:val="Tabletext1"/>
              <w:ind w:left="0"/>
              <w:jc w:val="left"/>
            </w:pPr>
            <w:r>
              <w:t>Grief (Inventory of Traumatic Grief</w:t>
            </w:r>
            <w:r w:rsidR="003A4D19">
              <w:t>)</w:t>
            </w:r>
            <w:r>
              <w:t>, mean score</w:t>
            </w:r>
          </w:p>
          <w:p w14:paraId="107A9EA9" w14:textId="77777777" w:rsidR="00A8151D" w:rsidRDefault="00A8151D" w:rsidP="004566DC">
            <w:pPr>
              <w:pStyle w:val="Tabletext1"/>
              <w:numPr>
                <w:ilvl w:val="0"/>
                <w:numId w:val="13"/>
              </w:numPr>
              <w:ind w:left="0"/>
              <w:jc w:val="left"/>
            </w:pPr>
            <w:r>
              <w:t>Men: 38.6 (SD 11.4)</w:t>
            </w:r>
          </w:p>
          <w:p w14:paraId="4B256B72" w14:textId="77777777" w:rsidR="00A8151D" w:rsidRDefault="00A8151D" w:rsidP="004566DC">
            <w:pPr>
              <w:pStyle w:val="Tabletext1"/>
              <w:numPr>
                <w:ilvl w:val="0"/>
                <w:numId w:val="13"/>
              </w:numPr>
              <w:ind w:left="0"/>
              <w:jc w:val="left"/>
            </w:pPr>
            <w:r>
              <w:t>Women: 44.1 (SD 16.2)</w:t>
            </w:r>
          </w:p>
          <w:p w14:paraId="7597DB23" w14:textId="3FA84F50" w:rsidR="00A8151D" w:rsidRDefault="00A8151D" w:rsidP="004566DC">
            <w:pPr>
              <w:pStyle w:val="Tabletext1"/>
              <w:ind w:left="0"/>
              <w:jc w:val="left"/>
            </w:pPr>
            <w:r>
              <w:t>Post</w:t>
            </w:r>
            <w:r w:rsidR="00DC649E">
              <w:t>-</w:t>
            </w:r>
            <w:r>
              <w:t xml:space="preserve">traumatic stress disorder (Impact of </w:t>
            </w:r>
            <w:r w:rsidR="001B30D6">
              <w:t>E</w:t>
            </w:r>
            <w:r>
              <w:t xml:space="preserve">vent </w:t>
            </w:r>
            <w:r w:rsidR="001B30D6">
              <w:t>S</w:t>
            </w:r>
            <w:r>
              <w:t>cale</w:t>
            </w:r>
            <w:r w:rsidR="001B30D6">
              <w:t>–R</w:t>
            </w:r>
            <w:r>
              <w:t>evised</w:t>
            </w:r>
            <w:r w:rsidR="003A4D19">
              <w:t>)</w:t>
            </w:r>
            <w:r>
              <w:t>, mean score</w:t>
            </w:r>
          </w:p>
          <w:p w14:paraId="5DBECF0A" w14:textId="77777777" w:rsidR="00A8151D" w:rsidRDefault="00A8151D" w:rsidP="004566DC">
            <w:pPr>
              <w:pStyle w:val="Tabletext1"/>
              <w:numPr>
                <w:ilvl w:val="0"/>
                <w:numId w:val="13"/>
              </w:numPr>
              <w:ind w:left="0"/>
              <w:jc w:val="left"/>
            </w:pPr>
            <w:r>
              <w:t>Men: 12.8 (SD 16.6)</w:t>
            </w:r>
          </w:p>
          <w:p w14:paraId="7C19A040" w14:textId="77777777" w:rsidR="00A8151D" w:rsidRDefault="00A8151D" w:rsidP="004566DC">
            <w:pPr>
              <w:pStyle w:val="Tabletext1"/>
              <w:numPr>
                <w:ilvl w:val="0"/>
                <w:numId w:val="13"/>
              </w:numPr>
              <w:ind w:left="0"/>
              <w:jc w:val="left"/>
            </w:pPr>
            <w:r>
              <w:t>Women: 18.1 (SD 18.0)</w:t>
            </w:r>
          </w:p>
          <w:p w14:paraId="7E25AD7C" w14:textId="3AA777CB" w:rsidR="00A8151D" w:rsidRDefault="00A8151D" w:rsidP="004566DC">
            <w:pPr>
              <w:pStyle w:val="Tabletext1"/>
              <w:ind w:left="0"/>
              <w:jc w:val="left"/>
            </w:pPr>
            <w:r>
              <w:t>Anxiety (Symptom Checklist-90 anxiety score (women &gt;26 and men &gt;21), mean score</w:t>
            </w:r>
          </w:p>
          <w:p w14:paraId="067D602B" w14:textId="77777777" w:rsidR="00A8151D" w:rsidRDefault="00A8151D" w:rsidP="004566DC">
            <w:pPr>
              <w:pStyle w:val="Tabletext1"/>
              <w:numPr>
                <w:ilvl w:val="0"/>
                <w:numId w:val="13"/>
              </w:numPr>
              <w:ind w:left="0"/>
              <w:jc w:val="left"/>
            </w:pPr>
            <w:r>
              <w:t>Men: 12.1 (SD 4.5)</w:t>
            </w:r>
          </w:p>
          <w:p w14:paraId="12DEF750" w14:textId="77777777" w:rsidR="00A8151D" w:rsidRDefault="00A8151D" w:rsidP="004566DC">
            <w:pPr>
              <w:pStyle w:val="Tabletext1"/>
              <w:numPr>
                <w:ilvl w:val="0"/>
                <w:numId w:val="13"/>
              </w:numPr>
              <w:ind w:left="0"/>
              <w:jc w:val="left"/>
            </w:pPr>
            <w:r>
              <w:t>Women: 14.0 (SD 6.0)</w:t>
            </w:r>
          </w:p>
          <w:p w14:paraId="0EC2798E" w14:textId="45AB74E5" w:rsidR="00A8151D" w:rsidRDefault="00A8151D" w:rsidP="004566DC">
            <w:pPr>
              <w:pStyle w:val="Tabletext1"/>
              <w:ind w:left="0"/>
              <w:jc w:val="left"/>
            </w:pPr>
            <w:r>
              <w:t>Depression (Symptom Checklist-90 depression score (women &gt;41 and men &gt;33), mean score</w:t>
            </w:r>
          </w:p>
          <w:p w14:paraId="55BDE69F" w14:textId="77777777" w:rsidR="00A8151D" w:rsidRDefault="00A8151D" w:rsidP="004566DC">
            <w:pPr>
              <w:pStyle w:val="Tabletext1"/>
              <w:numPr>
                <w:ilvl w:val="0"/>
                <w:numId w:val="13"/>
              </w:numPr>
              <w:ind w:left="0"/>
              <w:jc w:val="left"/>
            </w:pPr>
            <w:r>
              <w:t>Men: 20.8 (SD 7.5)</w:t>
            </w:r>
          </w:p>
          <w:p w14:paraId="714537C7" w14:textId="77777777" w:rsidR="00A8151D" w:rsidRPr="00D80C51" w:rsidRDefault="00A8151D" w:rsidP="004566DC">
            <w:pPr>
              <w:pStyle w:val="Tabletext1"/>
              <w:numPr>
                <w:ilvl w:val="0"/>
                <w:numId w:val="13"/>
              </w:numPr>
              <w:ind w:left="0"/>
              <w:jc w:val="left"/>
            </w:pPr>
            <w:r>
              <w:t>Women: 26.0 (SD 11.0)</w:t>
            </w:r>
          </w:p>
        </w:tc>
      </w:tr>
      <w:tr w:rsidR="00A8151D" w14:paraId="45DB55F1" w14:textId="77777777" w:rsidTr="006F73C4">
        <w:tc>
          <w:tcPr>
            <w:tcW w:w="1526" w:type="dxa"/>
          </w:tcPr>
          <w:p w14:paraId="640FF270" w14:textId="77777777" w:rsidR="00A8151D" w:rsidRDefault="00A8151D" w:rsidP="004566DC">
            <w:pPr>
              <w:pStyle w:val="Tabletext1"/>
              <w:ind w:left="0"/>
              <w:jc w:val="left"/>
            </w:pPr>
            <w:r>
              <w:t>Korenromp et al. (2007)</w:t>
            </w:r>
          </w:p>
        </w:tc>
        <w:tc>
          <w:tcPr>
            <w:tcW w:w="1559" w:type="dxa"/>
          </w:tcPr>
          <w:p w14:paraId="52D49B23" w14:textId="77777777" w:rsidR="00A8151D" w:rsidRDefault="00A8151D" w:rsidP="004566DC">
            <w:pPr>
              <w:pStyle w:val="Tabletext1"/>
              <w:ind w:left="0"/>
              <w:jc w:val="left"/>
            </w:pPr>
            <w:r>
              <w:t>Prospective cohort study</w:t>
            </w:r>
          </w:p>
        </w:tc>
        <w:tc>
          <w:tcPr>
            <w:tcW w:w="1843" w:type="dxa"/>
          </w:tcPr>
          <w:p w14:paraId="41506F7F" w14:textId="36F7978A" w:rsidR="00A8151D" w:rsidRDefault="00A8151D" w:rsidP="004566DC">
            <w:pPr>
              <w:pStyle w:val="Tabletext1"/>
              <w:ind w:left="0"/>
              <w:jc w:val="left"/>
            </w:pPr>
            <w:r>
              <w:t xml:space="preserve">217 women </w:t>
            </w:r>
            <w:r w:rsidR="001B30D6">
              <w:t xml:space="preserve">at </w:t>
            </w:r>
            <w:r>
              <w:t>4</w:t>
            </w:r>
            <w:r w:rsidR="00DC649E">
              <w:t> </w:t>
            </w:r>
            <w:r>
              <w:t>months after TOP and their partners ( all men, n=169)</w:t>
            </w:r>
          </w:p>
        </w:tc>
        <w:tc>
          <w:tcPr>
            <w:tcW w:w="4314" w:type="dxa"/>
          </w:tcPr>
          <w:p w14:paraId="45D2368D" w14:textId="537D5D0D" w:rsidR="00A8151D" w:rsidRDefault="00A8151D" w:rsidP="004566DC">
            <w:pPr>
              <w:pStyle w:val="Tabletext1"/>
              <w:ind w:left="0"/>
              <w:jc w:val="left"/>
            </w:pPr>
            <w:r>
              <w:t>Grief (Inventory of Complicated Grief, cut-off level = 90</w:t>
            </w:r>
            <w:r w:rsidR="003A4D19">
              <w:t>)</w:t>
            </w:r>
            <w:r>
              <w:t>, mean score</w:t>
            </w:r>
          </w:p>
          <w:p w14:paraId="2C8389C7" w14:textId="77777777" w:rsidR="00A8151D" w:rsidRDefault="00A8151D" w:rsidP="004566DC">
            <w:pPr>
              <w:pStyle w:val="Tabletext1"/>
              <w:numPr>
                <w:ilvl w:val="0"/>
                <w:numId w:val="13"/>
              </w:numPr>
              <w:ind w:left="0"/>
              <w:jc w:val="left"/>
            </w:pPr>
            <w:r>
              <w:t>Women: 59.0 (SD 20.4)</w:t>
            </w:r>
          </w:p>
          <w:p w14:paraId="4D4966DE" w14:textId="77777777" w:rsidR="00A8151D" w:rsidRDefault="00A8151D" w:rsidP="004566DC">
            <w:pPr>
              <w:pStyle w:val="Tabletext1"/>
              <w:numPr>
                <w:ilvl w:val="0"/>
                <w:numId w:val="13"/>
              </w:numPr>
              <w:ind w:left="0"/>
              <w:jc w:val="left"/>
            </w:pPr>
            <w:r>
              <w:t>Men: 47.8 (SD 16.6)</w:t>
            </w:r>
          </w:p>
          <w:p w14:paraId="13FC28BE" w14:textId="6481D4D5" w:rsidR="00A8151D" w:rsidRDefault="00A8151D" w:rsidP="004566DC">
            <w:pPr>
              <w:pStyle w:val="Tabletext1"/>
              <w:ind w:left="0"/>
              <w:jc w:val="left"/>
            </w:pPr>
            <w:r>
              <w:t>Post</w:t>
            </w:r>
            <w:r w:rsidR="001B30D6">
              <w:t>-</w:t>
            </w:r>
            <w:r>
              <w:t xml:space="preserve">traumatic stress disorder (Impact of </w:t>
            </w:r>
            <w:r w:rsidR="009E5A74">
              <w:t>E</w:t>
            </w:r>
            <w:r>
              <w:t xml:space="preserve">vent </w:t>
            </w:r>
            <w:r w:rsidR="009E5A74">
              <w:t>S</w:t>
            </w:r>
            <w:r>
              <w:t xml:space="preserve">cale, </w:t>
            </w:r>
            <w:r>
              <w:lastRenderedPageBreak/>
              <w:t>cut-off level = 26</w:t>
            </w:r>
            <w:r w:rsidR="003A4D19">
              <w:t>)</w:t>
            </w:r>
            <w:r>
              <w:t>, mean score</w:t>
            </w:r>
          </w:p>
          <w:p w14:paraId="4BB3CF8C" w14:textId="77777777" w:rsidR="00A8151D" w:rsidRDefault="00A8151D" w:rsidP="004566DC">
            <w:pPr>
              <w:pStyle w:val="Tabletext1"/>
              <w:numPr>
                <w:ilvl w:val="0"/>
                <w:numId w:val="13"/>
              </w:numPr>
              <w:ind w:left="0"/>
              <w:jc w:val="left"/>
            </w:pPr>
            <w:r>
              <w:t>Women: 25.1 (SD 15.2)</w:t>
            </w:r>
          </w:p>
          <w:p w14:paraId="4C2E157C" w14:textId="77777777" w:rsidR="00A8151D" w:rsidRDefault="00A8151D" w:rsidP="004566DC">
            <w:pPr>
              <w:pStyle w:val="Tabletext1"/>
              <w:numPr>
                <w:ilvl w:val="0"/>
                <w:numId w:val="13"/>
              </w:numPr>
              <w:ind w:left="0"/>
              <w:jc w:val="left"/>
            </w:pPr>
            <w:r>
              <w:t>Men: 16.9 (SD 12.6)</w:t>
            </w:r>
          </w:p>
          <w:p w14:paraId="1EFB17E8" w14:textId="0F71B65D" w:rsidR="00A8151D" w:rsidRDefault="00A8151D" w:rsidP="004566DC">
            <w:pPr>
              <w:pStyle w:val="Tabletext1"/>
              <w:ind w:left="0"/>
              <w:jc w:val="left"/>
            </w:pPr>
            <w:r>
              <w:t xml:space="preserve">General psychological malfunctioning (Symptom </w:t>
            </w:r>
            <w:r w:rsidR="009E5A74">
              <w:t>C</w:t>
            </w:r>
            <w:r>
              <w:t>hecklist-90, cut-off level = 204 for women and 170 for men</w:t>
            </w:r>
            <w:r w:rsidR="003A4D19">
              <w:t>)</w:t>
            </w:r>
            <w:r>
              <w:t>, mean score</w:t>
            </w:r>
          </w:p>
          <w:p w14:paraId="21D0DB4D" w14:textId="77777777" w:rsidR="00A8151D" w:rsidRDefault="00A8151D" w:rsidP="004566DC">
            <w:pPr>
              <w:pStyle w:val="Tabletext1"/>
              <w:numPr>
                <w:ilvl w:val="0"/>
                <w:numId w:val="13"/>
              </w:numPr>
              <w:ind w:left="0"/>
              <w:jc w:val="left"/>
            </w:pPr>
            <w:r>
              <w:t>Women: 145.6 (SD 53.1)</w:t>
            </w:r>
          </w:p>
          <w:p w14:paraId="6479DF67" w14:textId="77777777" w:rsidR="00A8151D" w:rsidRDefault="00A8151D" w:rsidP="004566DC">
            <w:pPr>
              <w:pStyle w:val="Tabletext1"/>
              <w:numPr>
                <w:ilvl w:val="0"/>
                <w:numId w:val="13"/>
              </w:numPr>
              <w:ind w:left="0"/>
              <w:jc w:val="left"/>
            </w:pPr>
            <w:r>
              <w:t>Men: 121.5 (SD 36.6)</w:t>
            </w:r>
          </w:p>
          <w:p w14:paraId="327C68BB" w14:textId="464E30FE" w:rsidR="00A8151D" w:rsidRDefault="00A8151D" w:rsidP="004566DC">
            <w:pPr>
              <w:pStyle w:val="Tabletext1"/>
              <w:ind w:left="0"/>
              <w:jc w:val="left"/>
            </w:pPr>
            <w:r>
              <w:t>Post</w:t>
            </w:r>
            <w:r w:rsidR="00DC649E">
              <w:t>-</w:t>
            </w:r>
            <w:r>
              <w:t>partum depression (Edinburgh Postnatal Depression Scale, cut-off level = 12</w:t>
            </w:r>
            <w:r w:rsidR="003A4D19">
              <w:t>)</w:t>
            </w:r>
            <w:r>
              <w:t>, mean score</w:t>
            </w:r>
          </w:p>
          <w:p w14:paraId="69CAA081" w14:textId="77777777" w:rsidR="00A8151D" w:rsidRDefault="00A8151D" w:rsidP="004566DC">
            <w:pPr>
              <w:pStyle w:val="Tabletext1"/>
              <w:numPr>
                <w:ilvl w:val="0"/>
                <w:numId w:val="13"/>
              </w:numPr>
              <w:ind w:left="0"/>
              <w:jc w:val="left"/>
            </w:pPr>
            <w:r>
              <w:t>Women: 8.4 (SD 5.6)</w:t>
            </w:r>
          </w:p>
          <w:p w14:paraId="1D7C5526" w14:textId="77777777" w:rsidR="00A8151D" w:rsidRDefault="00A8151D" w:rsidP="004566DC">
            <w:pPr>
              <w:pStyle w:val="Tabletext1"/>
              <w:numPr>
                <w:ilvl w:val="0"/>
                <w:numId w:val="13"/>
              </w:numPr>
              <w:ind w:left="0"/>
              <w:jc w:val="left"/>
            </w:pPr>
            <w:r>
              <w:t>Men: 5.5 (SD 5.2)</w:t>
            </w:r>
          </w:p>
        </w:tc>
      </w:tr>
      <w:tr w:rsidR="00A8151D" w14:paraId="2061B033" w14:textId="77777777" w:rsidTr="006F73C4">
        <w:tc>
          <w:tcPr>
            <w:tcW w:w="1526" w:type="dxa"/>
          </w:tcPr>
          <w:p w14:paraId="0A7CCECD" w14:textId="77777777" w:rsidR="00A8151D" w:rsidRDefault="00A8151D" w:rsidP="004566DC">
            <w:pPr>
              <w:pStyle w:val="Tabletext1"/>
              <w:ind w:left="0"/>
              <w:jc w:val="left"/>
            </w:pPr>
            <w:r>
              <w:lastRenderedPageBreak/>
              <w:t>Korenromp et al. (2009)</w:t>
            </w:r>
          </w:p>
        </w:tc>
        <w:tc>
          <w:tcPr>
            <w:tcW w:w="1559" w:type="dxa"/>
          </w:tcPr>
          <w:p w14:paraId="7116568D" w14:textId="77777777" w:rsidR="00A8151D" w:rsidRDefault="00A8151D" w:rsidP="004566DC">
            <w:pPr>
              <w:pStyle w:val="Tabletext1"/>
              <w:ind w:left="0"/>
              <w:jc w:val="left"/>
            </w:pPr>
            <w:r>
              <w:t>Prospective cohort study</w:t>
            </w:r>
          </w:p>
        </w:tc>
        <w:tc>
          <w:tcPr>
            <w:tcW w:w="1843" w:type="dxa"/>
          </w:tcPr>
          <w:p w14:paraId="01035564" w14:textId="43E09636" w:rsidR="00A8151D" w:rsidRDefault="00A8151D" w:rsidP="004566DC">
            <w:pPr>
              <w:pStyle w:val="Tabletext1"/>
              <w:ind w:left="0"/>
              <w:jc w:val="left"/>
            </w:pPr>
            <w:r>
              <w:t>300 women were initially included (</w:t>
            </w:r>
            <w:r w:rsidR="009E5A74">
              <w:t xml:space="preserve">at </w:t>
            </w:r>
            <w:r>
              <w:t>4</w:t>
            </w:r>
            <w:r w:rsidR="00DC649E">
              <w:t> </w:t>
            </w:r>
            <w:r>
              <w:t>months after TOP)</w:t>
            </w:r>
            <w:r w:rsidR="009E5A74">
              <w:t>;</w:t>
            </w:r>
            <w:r>
              <w:t xml:space="preserve"> 217 of them were also included in Korenromp et al. (2007) and 147 </w:t>
            </w:r>
            <w:r w:rsidR="009E5A74">
              <w:t xml:space="preserve">of them </w:t>
            </w:r>
            <w:r>
              <w:t>completed the study (</w:t>
            </w:r>
            <w:r w:rsidR="009E5A74">
              <w:t xml:space="preserve">i.e. </w:t>
            </w:r>
            <w:r>
              <w:t>filled in questionnaires at 4</w:t>
            </w:r>
            <w:r w:rsidR="00DC649E">
              <w:t> </w:t>
            </w:r>
            <w:r>
              <w:t>months, 8</w:t>
            </w:r>
            <w:r w:rsidR="00DC649E">
              <w:t> </w:t>
            </w:r>
            <w:r>
              <w:t>months and 16</w:t>
            </w:r>
            <w:r w:rsidR="00DC649E">
              <w:t> </w:t>
            </w:r>
            <w:r>
              <w:t xml:space="preserve">months) </w:t>
            </w:r>
          </w:p>
        </w:tc>
        <w:tc>
          <w:tcPr>
            <w:tcW w:w="4314" w:type="dxa"/>
          </w:tcPr>
          <w:p w14:paraId="77EF7BAC" w14:textId="77777777" w:rsidR="00A8151D" w:rsidRDefault="00A8151D" w:rsidP="004566DC">
            <w:pPr>
              <w:pStyle w:val="Tabletext1"/>
              <w:ind w:left="0"/>
              <w:jc w:val="left"/>
            </w:pPr>
            <w:r>
              <w:t>Grief (Inventory of Complicated Grief, cut-off level = 90), mean score (SD), % above cut-off level</w:t>
            </w:r>
          </w:p>
          <w:p w14:paraId="396864FB" w14:textId="77777777" w:rsidR="00A8151D" w:rsidRDefault="00A8151D" w:rsidP="004566DC">
            <w:pPr>
              <w:pStyle w:val="Tabletext1"/>
              <w:numPr>
                <w:ilvl w:val="0"/>
                <w:numId w:val="13"/>
              </w:numPr>
              <w:ind w:left="0"/>
              <w:jc w:val="left"/>
            </w:pPr>
            <w:r>
              <w:t>4 months after TOP: 58.8 (19.6) 8.8%</w:t>
            </w:r>
          </w:p>
          <w:p w14:paraId="74F6BAFC" w14:textId="77777777" w:rsidR="00A8151D" w:rsidRDefault="00A8151D" w:rsidP="004566DC">
            <w:pPr>
              <w:pStyle w:val="Tabletext1"/>
              <w:numPr>
                <w:ilvl w:val="0"/>
                <w:numId w:val="13"/>
              </w:numPr>
              <w:ind w:left="0"/>
              <w:jc w:val="left"/>
            </w:pPr>
            <w:r>
              <w:t>8 months after TOP: 54.0 (18.2) 4.8%</w:t>
            </w:r>
          </w:p>
          <w:p w14:paraId="38705287" w14:textId="77777777" w:rsidR="00A8151D" w:rsidRDefault="00A8151D" w:rsidP="004566DC">
            <w:pPr>
              <w:pStyle w:val="Tabletext1"/>
              <w:numPr>
                <w:ilvl w:val="0"/>
                <w:numId w:val="13"/>
              </w:numPr>
              <w:ind w:left="0"/>
              <w:jc w:val="left"/>
            </w:pPr>
            <w:r>
              <w:t>16 months after TOP: 50.1 (16.5) 2.1%</w:t>
            </w:r>
          </w:p>
          <w:p w14:paraId="481ADDFC" w14:textId="0F1869C3" w:rsidR="00A8151D" w:rsidRDefault="00A8151D" w:rsidP="004566DC">
            <w:pPr>
              <w:pStyle w:val="Tabletext1"/>
              <w:ind w:left="0"/>
              <w:jc w:val="left"/>
            </w:pPr>
            <w:r>
              <w:t>Post</w:t>
            </w:r>
            <w:r w:rsidR="009E5A74">
              <w:t>-</w:t>
            </w:r>
            <w:r>
              <w:t xml:space="preserve">traumatic stress disorder (Impact of </w:t>
            </w:r>
            <w:r w:rsidR="009E5A74">
              <w:t>E</w:t>
            </w:r>
            <w:r>
              <w:t xml:space="preserve">vent </w:t>
            </w:r>
            <w:r w:rsidR="009E5A74">
              <w:t>S</w:t>
            </w:r>
            <w:r>
              <w:t>cale, cut-off level = 26), mean score (SD), % above cut-off</w:t>
            </w:r>
          </w:p>
          <w:p w14:paraId="49C2D753" w14:textId="77777777" w:rsidR="00A8151D" w:rsidRDefault="00A8151D" w:rsidP="004566DC">
            <w:pPr>
              <w:pStyle w:val="Tabletext1"/>
              <w:numPr>
                <w:ilvl w:val="0"/>
                <w:numId w:val="13"/>
              </w:numPr>
              <w:ind w:left="0"/>
              <w:jc w:val="left"/>
            </w:pPr>
            <w:r>
              <w:t>4 months after TOP: 25.2 (12.2) 45.8%</w:t>
            </w:r>
          </w:p>
          <w:p w14:paraId="52CB6FA1" w14:textId="77777777" w:rsidR="00A8151D" w:rsidRDefault="00A8151D" w:rsidP="004566DC">
            <w:pPr>
              <w:pStyle w:val="Tabletext1"/>
              <w:numPr>
                <w:ilvl w:val="0"/>
                <w:numId w:val="13"/>
              </w:numPr>
              <w:ind w:left="0"/>
              <w:jc w:val="left"/>
            </w:pPr>
            <w:r>
              <w:t>8 months after TOP: 21.4 (15.1) 36.7%</w:t>
            </w:r>
          </w:p>
          <w:p w14:paraId="61866394" w14:textId="77777777" w:rsidR="00A8151D" w:rsidRDefault="00A8151D" w:rsidP="004566DC">
            <w:pPr>
              <w:pStyle w:val="Tabletext1"/>
              <w:numPr>
                <w:ilvl w:val="0"/>
                <w:numId w:val="13"/>
              </w:numPr>
              <w:ind w:left="0"/>
              <w:jc w:val="left"/>
            </w:pPr>
            <w:r>
              <w:t>16 months after TOP: 15.5 (12.4) 20.5%</w:t>
            </w:r>
          </w:p>
          <w:p w14:paraId="7BA71AC6" w14:textId="369E06E7" w:rsidR="00A8151D" w:rsidRDefault="00A8151D" w:rsidP="004566DC">
            <w:pPr>
              <w:pStyle w:val="Tabletext1"/>
              <w:ind w:left="0"/>
              <w:jc w:val="left"/>
            </w:pPr>
            <w:r>
              <w:t xml:space="preserve">Psychological malfunctioning (Symptom </w:t>
            </w:r>
            <w:r w:rsidR="009E5A74">
              <w:t>C</w:t>
            </w:r>
            <w:r>
              <w:t>hecklist-90, cut-off level = 204), mean score (SD), % above cut-off</w:t>
            </w:r>
          </w:p>
          <w:p w14:paraId="54BB215A" w14:textId="77777777" w:rsidR="00A8151D" w:rsidRDefault="00A8151D" w:rsidP="004566DC">
            <w:pPr>
              <w:pStyle w:val="Tabletext1"/>
              <w:numPr>
                <w:ilvl w:val="0"/>
                <w:numId w:val="14"/>
              </w:numPr>
              <w:ind w:left="0"/>
              <w:jc w:val="left"/>
            </w:pPr>
            <w:r>
              <w:t>4 months after TOP: 144 (50) 12.2%</w:t>
            </w:r>
          </w:p>
          <w:p w14:paraId="29FB6A9D" w14:textId="77777777" w:rsidR="00A8151D" w:rsidRDefault="00A8151D" w:rsidP="004566DC">
            <w:pPr>
              <w:pStyle w:val="Tabletext1"/>
              <w:numPr>
                <w:ilvl w:val="0"/>
                <w:numId w:val="13"/>
              </w:numPr>
              <w:ind w:left="0"/>
              <w:jc w:val="left"/>
            </w:pPr>
            <w:r>
              <w:t>8 months after TOP: 128 (39) 7.5%</w:t>
            </w:r>
          </w:p>
          <w:p w14:paraId="2D35D89C" w14:textId="77777777" w:rsidR="00A8151D" w:rsidRDefault="00A8151D" w:rsidP="004566DC">
            <w:pPr>
              <w:pStyle w:val="Tabletext1"/>
              <w:numPr>
                <w:ilvl w:val="0"/>
                <w:numId w:val="13"/>
              </w:numPr>
              <w:ind w:left="0"/>
              <w:jc w:val="left"/>
            </w:pPr>
            <w:r>
              <w:t>16 months after TOP:121 (33) 4.8%</w:t>
            </w:r>
          </w:p>
          <w:p w14:paraId="05C3AEC5" w14:textId="77777777" w:rsidR="00A8151D" w:rsidRDefault="00A8151D" w:rsidP="004566DC">
            <w:pPr>
              <w:pStyle w:val="Tabletext1"/>
              <w:ind w:left="0"/>
              <w:jc w:val="left"/>
            </w:pPr>
            <w:r>
              <w:t>Depression (Edinburgh Postnatal Depression Scale, cut-off level =12), mean score (SD), % above cut-off</w:t>
            </w:r>
          </w:p>
          <w:p w14:paraId="3F1463BA" w14:textId="77777777" w:rsidR="00A8151D" w:rsidRDefault="00A8151D" w:rsidP="004566DC">
            <w:pPr>
              <w:pStyle w:val="Tabletext1"/>
              <w:numPr>
                <w:ilvl w:val="0"/>
                <w:numId w:val="13"/>
              </w:numPr>
              <w:ind w:left="0"/>
              <w:jc w:val="left"/>
            </w:pPr>
            <w:r>
              <w:t>4 months after TOP: 8.2 (5.7) 27.9%</w:t>
            </w:r>
          </w:p>
          <w:p w14:paraId="0C42BE33" w14:textId="77777777" w:rsidR="00A8151D" w:rsidRDefault="00A8151D" w:rsidP="004566DC">
            <w:pPr>
              <w:pStyle w:val="Tabletext1"/>
              <w:numPr>
                <w:ilvl w:val="0"/>
                <w:numId w:val="13"/>
              </w:numPr>
              <w:ind w:left="0"/>
              <w:jc w:val="left"/>
            </w:pPr>
            <w:r>
              <w:t>8 months after TOP: 6.9 (4.9) 19.7%</w:t>
            </w:r>
          </w:p>
          <w:p w14:paraId="77876604" w14:textId="77777777" w:rsidR="00A8151D" w:rsidRDefault="00A8151D" w:rsidP="004566DC">
            <w:pPr>
              <w:pStyle w:val="Tabletext1"/>
              <w:numPr>
                <w:ilvl w:val="0"/>
                <w:numId w:val="13"/>
              </w:numPr>
              <w:ind w:left="0"/>
              <w:jc w:val="left"/>
            </w:pPr>
            <w:r>
              <w:t>16 months after TOP: 5.3 (4.4) 13.1%</w:t>
            </w:r>
          </w:p>
        </w:tc>
      </w:tr>
      <w:tr w:rsidR="00A8151D" w14:paraId="700AA7C1" w14:textId="77777777" w:rsidTr="006F73C4">
        <w:tc>
          <w:tcPr>
            <w:tcW w:w="1526" w:type="dxa"/>
          </w:tcPr>
          <w:p w14:paraId="5EB15B09" w14:textId="77777777" w:rsidR="00A8151D" w:rsidRDefault="00A8151D" w:rsidP="004566DC">
            <w:pPr>
              <w:pStyle w:val="Tabletext1"/>
              <w:ind w:left="0"/>
              <w:jc w:val="left"/>
            </w:pPr>
            <w:r>
              <w:t>Salvesen et al. (1997)</w:t>
            </w:r>
          </w:p>
        </w:tc>
        <w:tc>
          <w:tcPr>
            <w:tcW w:w="1559" w:type="dxa"/>
          </w:tcPr>
          <w:p w14:paraId="54FE3F2F" w14:textId="77777777" w:rsidR="00A8151D" w:rsidRDefault="00A8151D" w:rsidP="004566DC">
            <w:pPr>
              <w:pStyle w:val="Tabletext1"/>
              <w:ind w:left="0"/>
              <w:jc w:val="left"/>
            </w:pPr>
            <w:r>
              <w:t>Prospective cohort study</w:t>
            </w:r>
          </w:p>
        </w:tc>
        <w:tc>
          <w:tcPr>
            <w:tcW w:w="1843" w:type="dxa"/>
          </w:tcPr>
          <w:p w14:paraId="38CAE2E3" w14:textId="677B9412" w:rsidR="00A8151D" w:rsidRDefault="00A8151D" w:rsidP="004566DC">
            <w:pPr>
              <w:pStyle w:val="Tabletext1"/>
              <w:ind w:left="0"/>
              <w:jc w:val="left"/>
            </w:pPr>
            <w:r>
              <w:t>24 women who underwent TOP before 24</w:t>
            </w:r>
            <w:r w:rsidR="007317A6">
              <w:t> </w:t>
            </w:r>
            <w:r>
              <w:t>weeks of preg</w:t>
            </w:r>
            <w:r w:rsidR="00625F23">
              <w:t>n</w:t>
            </w:r>
            <w:r>
              <w:t>ancy</w:t>
            </w:r>
          </w:p>
        </w:tc>
        <w:tc>
          <w:tcPr>
            <w:tcW w:w="4314" w:type="dxa"/>
          </w:tcPr>
          <w:p w14:paraId="5A6EFF1F" w14:textId="2C1E4E00" w:rsidR="00A8151D" w:rsidRDefault="00A8151D" w:rsidP="004566DC">
            <w:pPr>
              <w:pStyle w:val="Tabletext1"/>
              <w:ind w:left="0"/>
              <w:jc w:val="left"/>
            </w:pPr>
            <w:r>
              <w:t>Intrusive distress: Impact of Event Scale (0</w:t>
            </w:r>
            <w:r w:rsidR="00596046">
              <w:t>–</w:t>
            </w:r>
            <w:r>
              <w:t>8 low, 9</w:t>
            </w:r>
            <w:r w:rsidR="00596046">
              <w:t>–</w:t>
            </w:r>
            <w:r>
              <w:t>19 medium, &gt;20 severe)</w:t>
            </w:r>
          </w:p>
          <w:p w14:paraId="6F3E2E3D" w14:textId="77777777" w:rsidR="00A8151D" w:rsidRDefault="00A8151D" w:rsidP="004566DC">
            <w:pPr>
              <w:pStyle w:val="Tabletext1"/>
              <w:numPr>
                <w:ilvl w:val="0"/>
                <w:numId w:val="13"/>
              </w:numPr>
              <w:ind w:left="0"/>
              <w:jc w:val="left"/>
            </w:pPr>
            <w:r>
              <w:t>Acute phase: low 4%, medium 48%, severe 48%</w:t>
            </w:r>
          </w:p>
          <w:p w14:paraId="3F80BC2B" w14:textId="21A3188A" w:rsidR="00A8151D" w:rsidRDefault="00A8151D" w:rsidP="004566DC">
            <w:pPr>
              <w:pStyle w:val="Tabletext1"/>
              <w:numPr>
                <w:ilvl w:val="0"/>
                <w:numId w:val="13"/>
              </w:numPr>
              <w:ind w:left="0"/>
              <w:jc w:val="left"/>
            </w:pPr>
            <w:r>
              <w:t>7 weeks after TOP: low 26%, medium 48%, severe 26%</w:t>
            </w:r>
          </w:p>
          <w:p w14:paraId="48BF8793" w14:textId="77777777" w:rsidR="00A8151D" w:rsidRDefault="00A8151D" w:rsidP="004566DC">
            <w:pPr>
              <w:pStyle w:val="Tabletext1"/>
              <w:numPr>
                <w:ilvl w:val="0"/>
                <w:numId w:val="13"/>
              </w:numPr>
              <w:ind w:left="0"/>
              <w:jc w:val="left"/>
            </w:pPr>
            <w:r>
              <w:t>5 months after TOP: low 13%, medium 54%, severe 33%</w:t>
            </w:r>
          </w:p>
          <w:p w14:paraId="76C0F6F4" w14:textId="77777777" w:rsidR="00A8151D" w:rsidRDefault="00A8151D" w:rsidP="004566DC">
            <w:pPr>
              <w:pStyle w:val="Tabletext1"/>
              <w:numPr>
                <w:ilvl w:val="0"/>
                <w:numId w:val="13"/>
              </w:numPr>
              <w:ind w:left="0"/>
              <w:jc w:val="left"/>
            </w:pPr>
            <w:r>
              <w:t>1 year after TOP: 44%, medium 37%, severe 19%</w:t>
            </w:r>
          </w:p>
          <w:p w14:paraId="63CEE5B3" w14:textId="262533B0" w:rsidR="00A8151D" w:rsidRDefault="00A8151D" w:rsidP="004566DC">
            <w:pPr>
              <w:pStyle w:val="Tabletext1"/>
              <w:ind w:left="0"/>
              <w:jc w:val="left"/>
            </w:pPr>
            <w:r>
              <w:t>Avoidance response: Impact of Event Scale (0</w:t>
            </w:r>
            <w:r w:rsidR="00596046">
              <w:t>–</w:t>
            </w:r>
            <w:r>
              <w:t>8 low, 9</w:t>
            </w:r>
            <w:r w:rsidR="00596046">
              <w:t>–</w:t>
            </w:r>
            <w:r>
              <w:t>19 medium, &gt;20 severe)</w:t>
            </w:r>
          </w:p>
          <w:p w14:paraId="134EF5FF" w14:textId="77777777" w:rsidR="00A8151D" w:rsidRDefault="00A8151D" w:rsidP="004566DC">
            <w:pPr>
              <w:pStyle w:val="Tabletext1"/>
              <w:numPr>
                <w:ilvl w:val="0"/>
                <w:numId w:val="13"/>
              </w:numPr>
              <w:ind w:left="0"/>
              <w:jc w:val="left"/>
            </w:pPr>
            <w:r>
              <w:t xml:space="preserve">Acute phase: low 74%, medium 11%, high 15% </w:t>
            </w:r>
          </w:p>
          <w:p w14:paraId="573FF5AD" w14:textId="77777777" w:rsidR="00A8151D" w:rsidRDefault="00A8151D" w:rsidP="004566DC">
            <w:pPr>
              <w:pStyle w:val="Tabletext1"/>
              <w:numPr>
                <w:ilvl w:val="0"/>
                <w:numId w:val="13"/>
              </w:numPr>
              <w:ind w:left="0"/>
              <w:jc w:val="left"/>
            </w:pPr>
            <w:r>
              <w:t>7 weeks after TOP: low 80%, medium 20%, high 0%</w:t>
            </w:r>
          </w:p>
          <w:p w14:paraId="4BC0D6F9" w14:textId="77777777" w:rsidR="00A8151D" w:rsidRDefault="00A8151D" w:rsidP="004566DC">
            <w:pPr>
              <w:pStyle w:val="Tabletext1"/>
              <w:numPr>
                <w:ilvl w:val="0"/>
                <w:numId w:val="13"/>
              </w:numPr>
              <w:ind w:left="0"/>
              <w:jc w:val="left"/>
            </w:pPr>
            <w:r>
              <w:t>5 months after TOP: low 87%, medium 13%, high 0%</w:t>
            </w:r>
          </w:p>
          <w:p w14:paraId="4003E23A" w14:textId="77777777" w:rsidR="00A8151D" w:rsidRDefault="00A8151D" w:rsidP="004566DC">
            <w:pPr>
              <w:pStyle w:val="Tabletext1"/>
              <w:numPr>
                <w:ilvl w:val="0"/>
                <w:numId w:val="13"/>
              </w:numPr>
              <w:ind w:left="0"/>
              <w:jc w:val="left"/>
            </w:pPr>
            <w:r>
              <w:t xml:space="preserve">1 year after TOP: low 80%, medium 20%, high 0% </w:t>
            </w:r>
          </w:p>
        </w:tc>
      </w:tr>
      <w:tr w:rsidR="00A8151D" w14:paraId="3365639D" w14:textId="77777777" w:rsidTr="006F73C4">
        <w:tc>
          <w:tcPr>
            <w:tcW w:w="1526" w:type="dxa"/>
          </w:tcPr>
          <w:p w14:paraId="63D28B66" w14:textId="5510F51A" w:rsidR="00A8151D" w:rsidRDefault="00B32459" w:rsidP="004566DC">
            <w:pPr>
              <w:pStyle w:val="Tabletext1"/>
              <w:ind w:left="0"/>
              <w:jc w:val="left"/>
            </w:pPr>
            <w:r>
              <w:t>Zeanah et al.</w:t>
            </w:r>
            <w:r w:rsidR="00A8151D">
              <w:t xml:space="preserve"> </w:t>
            </w:r>
            <w:r>
              <w:fldChar w:fldCharType="begin"/>
            </w:r>
            <w:r w:rsidR="009A054F">
              <w:instrText xml:space="preserve"> ADDIN EN.CITE &lt;EndNote&gt;&lt;Cite ExcludeAuth="1"&gt;&lt;Author&gt;Zeanah&lt;/Author&gt;&lt;Year&gt;1993&lt;/Year&gt;&lt;RecNum&gt;1100&lt;/RecNum&gt;&lt;IDText&gt;270-5&lt;/IDText&gt;&lt;DisplayText&gt;(1993)&lt;/DisplayText&gt;&lt;record&gt;&lt;rec-number&gt;1100&lt;/rec-number&gt;&lt;foreign-keys&gt;&lt;key app="EN" db-id="parffa0acae2voep5w3vv9rypas2tr522eef" timestamp="1430369676"&gt;1100&lt;/key&gt;&lt;/foreign-keys&gt;&lt;ref-type name="Journal Article"&gt;17&lt;/ref-type&gt;&lt;contributors&gt;&lt;authors&gt;&lt;author&gt;Zeanah, C. H.&lt;/author&gt;&lt;author&gt;Dailey, J. V.&lt;/author&gt;&lt;author&gt;Rosenblatt, M. J.&lt;/author&gt;&lt;author&gt;Saller, D. N., Jr.&lt;/author&gt;&lt;/authors&gt;&lt;/contributors&gt;&lt;auth-address&gt;Department of Psychiatry, Women &amp;amp; Infants Hospital, Providence, Rhode Island.&lt;/auth-address&gt;&lt;titles&gt;&lt;title&gt;Do women grieve after terminating pregnancies because of fetal anomalies? A controlled investigation&lt;/title&gt;&lt;secondary-title&gt;Obstet Gynecol&lt;/secondary-title&gt;&lt;alt-title&gt;Obstetrics and gynecology&lt;/alt-title&gt;&lt;/titles&gt;&lt;periodical&gt;&lt;full-title&gt;Obstet Gynecol&lt;/full-title&gt;&lt;abbr-1&gt;Obstetrics and gynecology&lt;/abbr-1&gt;&lt;/periodical&gt;&lt;alt-periodical&gt;&lt;full-title&gt;Obstetrics and gynecology&lt;/full-title&gt;&lt;/alt-periodical&gt;&lt;pages&gt;270-5&lt;/pages&gt;&lt;volume&gt;82&lt;/volume&gt;&lt;number&gt;2&lt;/number&gt;&lt;keywords&gt;&lt;keyword&gt;Abortion, Eugenic/methods/*psychology&lt;/keyword&gt;&lt;keyword&gt;Adaptation, Psychological&lt;/keyword&gt;&lt;keyword&gt;Adult&lt;/keyword&gt;&lt;keyword&gt;Case-Control Studies&lt;/keyword&gt;&lt;keyword&gt;Congenital Abnormalities/*psychology&lt;/keyword&gt;&lt;keyword&gt;Depression/etiology&lt;/keyword&gt;&lt;keyword&gt;Dinoprostone&lt;/keyword&gt;&lt;keyword&gt;Female&lt;/keyword&gt;&lt;keyword&gt;Fetal Death&lt;/keyword&gt;&lt;keyword&gt;*Grief&lt;/keyword&gt;&lt;keyword&gt;Humans&lt;/keyword&gt;&lt;keyword&gt;Interview, Psychological&lt;/keyword&gt;&lt;keyword&gt;Male&lt;/keyword&gt;&lt;keyword&gt;Maternal Age&lt;/keyword&gt;&lt;keyword&gt;Pregnancy&lt;/keyword&gt;&lt;keyword&gt;Psychiatric Status Rating Scales&lt;/keyword&gt;&lt;/keywords&gt;&lt;dates&gt;&lt;year&gt;1993&lt;/year&gt;&lt;pub-dates&gt;&lt;date&gt;Aug&lt;/date&gt;&lt;/pub-dates&gt;&lt;/dates&gt;&lt;isbn&gt;0029-7844 (Print)&amp;#xD;0029-7844 (Linking)&lt;/isbn&gt;&lt;accession-num&gt;8336876&lt;/accession-num&gt;&lt;urls&gt;&lt;related-urls&gt;&lt;url&gt;http://www.ncbi.nlm.nih.gov/pubmed/8336876&lt;/url&gt;&lt;/related-urls&gt;&lt;/urls&gt;&lt;/record&gt;&lt;/Cite&gt;&lt;/EndNote&gt;</w:instrText>
            </w:r>
            <w:r>
              <w:fldChar w:fldCharType="separate"/>
            </w:r>
            <w:r>
              <w:rPr>
                <w:noProof/>
              </w:rPr>
              <w:t>(</w:t>
            </w:r>
            <w:hyperlink w:anchor="_ENREF_135" w:tooltip="Zeanah, 1993 #1100" w:history="1">
              <w:r w:rsidR="00B46ABF">
                <w:rPr>
                  <w:noProof/>
                </w:rPr>
                <w:t>1993</w:t>
              </w:r>
            </w:hyperlink>
            <w:r>
              <w:rPr>
                <w:noProof/>
              </w:rPr>
              <w:t>)</w:t>
            </w:r>
            <w:r>
              <w:fldChar w:fldCharType="end"/>
            </w:r>
          </w:p>
        </w:tc>
        <w:tc>
          <w:tcPr>
            <w:tcW w:w="1559" w:type="dxa"/>
          </w:tcPr>
          <w:p w14:paraId="1F3AC4AA" w14:textId="7C3CB3BC" w:rsidR="00A8151D" w:rsidRDefault="00A8151D" w:rsidP="004566DC">
            <w:pPr>
              <w:pStyle w:val="Tabletext1"/>
              <w:ind w:left="0"/>
              <w:jc w:val="left"/>
            </w:pPr>
            <w:r>
              <w:t>Retrospective case series</w:t>
            </w:r>
          </w:p>
        </w:tc>
        <w:tc>
          <w:tcPr>
            <w:tcW w:w="1843" w:type="dxa"/>
          </w:tcPr>
          <w:p w14:paraId="2C9763DC" w14:textId="7F77DB24" w:rsidR="00A8151D" w:rsidRDefault="00A8151D" w:rsidP="004566DC">
            <w:pPr>
              <w:pStyle w:val="Tabletext1"/>
              <w:ind w:left="0"/>
              <w:jc w:val="left"/>
            </w:pPr>
            <w:r>
              <w:t xml:space="preserve">23 women </w:t>
            </w:r>
            <w:r w:rsidR="007317A6">
              <w:t xml:space="preserve">at </w:t>
            </w:r>
            <w:r>
              <w:t>2</w:t>
            </w:r>
            <w:r w:rsidR="007317A6">
              <w:t> </w:t>
            </w:r>
            <w:r>
              <w:t>months after TOP</w:t>
            </w:r>
          </w:p>
        </w:tc>
        <w:tc>
          <w:tcPr>
            <w:tcW w:w="4314" w:type="dxa"/>
          </w:tcPr>
          <w:p w14:paraId="46DEA7F1" w14:textId="0841DE1D" w:rsidR="00A8151D" w:rsidRDefault="00A8151D" w:rsidP="004566DC">
            <w:pPr>
              <w:pStyle w:val="Tabletext1"/>
              <w:ind w:left="0"/>
              <w:jc w:val="left"/>
            </w:pPr>
            <w:r>
              <w:t>Grief (</w:t>
            </w:r>
            <w:r w:rsidR="00975314">
              <w:t>P</w:t>
            </w:r>
            <w:r>
              <w:t xml:space="preserve">erinatal </w:t>
            </w:r>
            <w:r w:rsidR="00975314">
              <w:t>G</w:t>
            </w:r>
            <w:r>
              <w:t xml:space="preserve">rief </w:t>
            </w:r>
            <w:r w:rsidR="00975314">
              <w:t>S</w:t>
            </w:r>
            <w:r>
              <w:t>cale, score 1</w:t>
            </w:r>
            <w:r w:rsidR="00596046">
              <w:t>–</w:t>
            </w:r>
            <w:r>
              <w:t>5, higher score means more</w:t>
            </w:r>
            <w:r w:rsidR="00512FB9">
              <w:t>-</w:t>
            </w:r>
            <w:r>
              <w:t>intense symptom), mean (SD)</w:t>
            </w:r>
          </w:p>
          <w:p w14:paraId="66DDAB28" w14:textId="77777777" w:rsidR="00A8151D" w:rsidRDefault="00A8151D" w:rsidP="004566DC">
            <w:pPr>
              <w:pStyle w:val="Tabletext1"/>
              <w:numPr>
                <w:ilvl w:val="0"/>
                <w:numId w:val="13"/>
              </w:numPr>
              <w:ind w:left="0"/>
              <w:jc w:val="left"/>
            </w:pPr>
            <w:r>
              <w:t>3.29 (0.83)</w:t>
            </w:r>
          </w:p>
          <w:p w14:paraId="60FBF8DE" w14:textId="7AC27B5C" w:rsidR="00A8151D" w:rsidRDefault="00A8151D" w:rsidP="004566DC">
            <w:pPr>
              <w:pStyle w:val="Tabletext1"/>
              <w:ind w:left="0"/>
              <w:jc w:val="left"/>
            </w:pPr>
            <w:r>
              <w:t>Difficulty coping (</w:t>
            </w:r>
            <w:r w:rsidR="00512FB9">
              <w:t>P</w:t>
            </w:r>
            <w:r>
              <w:t xml:space="preserve">erinatal </w:t>
            </w:r>
            <w:r w:rsidR="00512FB9">
              <w:t>G</w:t>
            </w:r>
            <w:r>
              <w:t xml:space="preserve">rief </w:t>
            </w:r>
            <w:r w:rsidR="00512FB9">
              <w:t>S</w:t>
            </w:r>
            <w:r>
              <w:t>cale</w:t>
            </w:r>
            <w:r w:rsidR="00512FB9">
              <w:t>,</w:t>
            </w:r>
            <w:r>
              <w:t xml:space="preserve"> score 1</w:t>
            </w:r>
            <w:r w:rsidR="00596046">
              <w:t>–</w:t>
            </w:r>
            <w:r>
              <w:t>5, higher score means more</w:t>
            </w:r>
            <w:r w:rsidR="00512FB9">
              <w:t>-</w:t>
            </w:r>
            <w:r w:rsidR="00DB2262">
              <w:t>i</w:t>
            </w:r>
            <w:r>
              <w:t>ntense symptom), mean (SD)</w:t>
            </w:r>
          </w:p>
          <w:p w14:paraId="3D874699" w14:textId="77777777" w:rsidR="00A8151D" w:rsidRDefault="00A8151D" w:rsidP="004566DC">
            <w:pPr>
              <w:pStyle w:val="Tabletext1"/>
              <w:numPr>
                <w:ilvl w:val="0"/>
                <w:numId w:val="13"/>
              </w:numPr>
              <w:ind w:left="0"/>
              <w:jc w:val="left"/>
            </w:pPr>
            <w:r>
              <w:lastRenderedPageBreak/>
              <w:t>2.39 (0.97)</w:t>
            </w:r>
          </w:p>
          <w:p w14:paraId="09AC2F48" w14:textId="783E54D1" w:rsidR="00A8151D" w:rsidRDefault="00A8151D" w:rsidP="004566DC">
            <w:pPr>
              <w:pStyle w:val="Tabletext1"/>
              <w:ind w:left="0"/>
              <w:jc w:val="left"/>
            </w:pPr>
            <w:r>
              <w:t>Despair (</w:t>
            </w:r>
            <w:r w:rsidR="00512FB9">
              <w:t>P</w:t>
            </w:r>
            <w:r>
              <w:t xml:space="preserve">erinatal </w:t>
            </w:r>
            <w:r w:rsidR="00512FB9">
              <w:t>G</w:t>
            </w:r>
            <w:r>
              <w:t xml:space="preserve">rief </w:t>
            </w:r>
            <w:r w:rsidR="00512FB9">
              <w:t>S</w:t>
            </w:r>
            <w:r>
              <w:t>cale</w:t>
            </w:r>
            <w:r w:rsidR="00512FB9">
              <w:t>,</w:t>
            </w:r>
            <w:r>
              <w:t xml:space="preserve"> score 1</w:t>
            </w:r>
            <w:r w:rsidR="00596046">
              <w:t>–</w:t>
            </w:r>
            <w:r>
              <w:t>5, higher score means more intense symptom), mean (SD)</w:t>
            </w:r>
          </w:p>
          <w:p w14:paraId="2D9E8C83" w14:textId="77777777" w:rsidR="00A8151D" w:rsidRDefault="00A8151D" w:rsidP="004566DC">
            <w:pPr>
              <w:pStyle w:val="Tabletext1"/>
              <w:numPr>
                <w:ilvl w:val="0"/>
                <w:numId w:val="13"/>
              </w:numPr>
              <w:ind w:left="0"/>
              <w:jc w:val="left"/>
            </w:pPr>
            <w:r>
              <w:t>1.98 (0.58)</w:t>
            </w:r>
          </w:p>
          <w:p w14:paraId="36814FA3" w14:textId="5A2FF16A" w:rsidR="00A8151D" w:rsidRDefault="00A8151D" w:rsidP="004566DC">
            <w:pPr>
              <w:pStyle w:val="Tabletext1"/>
              <w:ind w:left="0"/>
              <w:jc w:val="left"/>
            </w:pPr>
            <w:r>
              <w:t>Depression (Beck Depression Inventory, 1</w:t>
            </w:r>
            <w:r w:rsidR="00596046">
              <w:t>–</w:t>
            </w:r>
            <w:r>
              <w:t>10 = none to minimal depression, 11</w:t>
            </w:r>
            <w:r w:rsidR="00596046">
              <w:t>–</w:t>
            </w:r>
            <w:r>
              <w:t>18 = mild to moderate, 19</w:t>
            </w:r>
            <w:r w:rsidR="00596046">
              <w:t>–</w:t>
            </w:r>
            <w:r>
              <w:t>29 = severe), mean (SD)</w:t>
            </w:r>
          </w:p>
          <w:p w14:paraId="19D8F616" w14:textId="77777777" w:rsidR="00A8151D" w:rsidRDefault="00A8151D" w:rsidP="004566DC">
            <w:pPr>
              <w:pStyle w:val="Tabletext1"/>
              <w:numPr>
                <w:ilvl w:val="0"/>
                <w:numId w:val="13"/>
              </w:numPr>
              <w:ind w:left="0"/>
              <w:jc w:val="left"/>
            </w:pPr>
            <w:r>
              <w:t>10.8 (7.5)</w:t>
            </w:r>
          </w:p>
        </w:tc>
      </w:tr>
    </w:tbl>
    <w:p w14:paraId="53AB4BA9" w14:textId="52A79238" w:rsidR="00A8151D" w:rsidRPr="004566DC" w:rsidRDefault="003E65D4" w:rsidP="00A8151D">
      <w:pPr>
        <w:rPr>
          <w:rFonts w:ascii="Arial Narrow" w:hAnsi="Arial Narrow"/>
          <w:sz w:val="18"/>
          <w:szCs w:val="18"/>
        </w:rPr>
      </w:pPr>
      <w:r w:rsidRPr="004566DC">
        <w:rPr>
          <w:rFonts w:ascii="Arial Narrow" w:hAnsi="Arial Narrow"/>
          <w:sz w:val="18"/>
          <w:szCs w:val="18"/>
        </w:rPr>
        <w:lastRenderedPageBreak/>
        <w:t>SD = standard deviation; TOP = termination of pregnancy</w:t>
      </w:r>
    </w:p>
    <w:p w14:paraId="6D827320" w14:textId="77777777" w:rsidR="00A8151D" w:rsidRDefault="00A8151D">
      <w:pPr>
        <w:spacing w:after="0" w:line="240" w:lineRule="auto"/>
        <w:rPr>
          <w:b/>
          <w:smallCaps/>
          <w:sz w:val="44"/>
        </w:rPr>
      </w:pPr>
      <w:r>
        <w:br w:type="page"/>
      </w:r>
    </w:p>
    <w:p w14:paraId="40877F92" w14:textId="77777777" w:rsidR="007A7960" w:rsidRPr="001A4A46" w:rsidRDefault="00193B87">
      <w:pPr>
        <w:pStyle w:val="Heading1"/>
        <w:tabs>
          <w:tab w:val="left" w:pos="2268"/>
        </w:tabs>
      </w:pPr>
      <w:bookmarkStart w:id="567" w:name="_Toc418179966"/>
      <w:r w:rsidRPr="001A4A46">
        <w:lastRenderedPageBreak/>
        <w:t xml:space="preserve">Appendix </w:t>
      </w:r>
      <w:fldSimple w:instr=" SEQ Appendix \* ALPHABETIC ">
        <w:r w:rsidR="00BB0E3E">
          <w:rPr>
            <w:noProof/>
          </w:rPr>
          <w:t>F</w:t>
        </w:r>
      </w:fldSimple>
      <w:bookmarkEnd w:id="562"/>
      <w:r w:rsidR="00A40011" w:rsidRPr="001A4A46">
        <w:tab/>
      </w:r>
      <w:bookmarkEnd w:id="538"/>
      <w:bookmarkEnd w:id="563"/>
      <w:bookmarkEnd w:id="564"/>
      <w:bookmarkEnd w:id="565"/>
      <w:r w:rsidR="00591A6D" w:rsidRPr="001A4A46">
        <w:t xml:space="preserve">Excluded </w:t>
      </w:r>
      <w:r w:rsidR="0077418B" w:rsidRPr="001A4A46">
        <w:t>Studies</w:t>
      </w:r>
      <w:bookmarkEnd w:id="567"/>
    </w:p>
    <w:p w14:paraId="2935E213" w14:textId="225005F4" w:rsidR="008E7C05" w:rsidRDefault="008E7C05" w:rsidP="006F73C4">
      <w:pPr>
        <w:pStyle w:val="Heading2"/>
        <w:rPr>
          <w:rFonts w:eastAsiaTheme="minorHAnsi"/>
          <w:lang w:eastAsia="en-US"/>
        </w:rPr>
      </w:pPr>
      <w:bookmarkStart w:id="568" w:name="_Toc418179967"/>
      <w:bookmarkEnd w:id="539"/>
      <w:r>
        <w:rPr>
          <w:rFonts w:eastAsiaTheme="minorHAnsi"/>
          <w:lang w:eastAsia="en-US"/>
        </w:rPr>
        <w:t>Incorrect population/sample</w:t>
      </w:r>
      <w:bookmarkEnd w:id="568"/>
    </w:p>
    <w:p w14:paraId="132ECB2C" w14:textId="730138B5" w:rsidR="008E7C05" w:rsidRPr="004566DC" w:rsidRDefault="008E7C05" w:rsidP="008E7C05">
      <w:pPr>
        <w:pStyle w:val="EndNoteBibliography"/>
        <w:rPr>
          <w:rFonts w:asciiTheme="minorHAnsi" w:hAnsiTheme="minorHAnsi"/>
        </w:rPr>
      </w:pPr>
      <w:r w:rsidRPr="004566DC">
        <w:rPr>
          <w:rFonts w:asciiTheme="minorHAnsi" w:hAnsiTheme="minorHAnsi"/>
        </w:rPr>
        <w:t xml:space="preserve">Abou Tayoun, AN, Tunkey, CD, Pugh, TJ, Ross, T, Shah, M, Lee, CC, Harkins, TT, Wells, WA, Tafe, LJ, Amos, CI &amp; Tsongalis, GJ 2013, 'A comprehensive assay for </w:t>
      </w:r>
      <w:r w:rsidR="00FD37D3" w:rsidRPr="004566DC">
        <w:rPr>
          <w:rFonts w:asciiTheme="minorHAnsi" w:hAnsiTheme="minorHAnsi"/>
        </w:rPr>
        <w:t>CFTR</w:t>
      </w:r>
      <w:r w:rsidRPr="004566DC">
        <w:rPr>
          <w:rFonts w:asciiTheme="minorHAnsi" w:hAnsiTheme="minorHAnsi"/>
        </w:rPr>
        <w:t xml:space="preserve"> mutational analysis using next-generation sequencing', </w:t>
      </w:r>
      <w:r w:rsidRPr="004566DC">
        <w:rPr>
          <w:rFonts w:asciiTheme="minorHAnsi" w:hAnsiTheme="minorHAnsi"/>
          <w:i/>
        </w:rPr>
        <w:t>Clinical Chemistry</w:t>
      </w:r>
      <w:r w:rsidRPr="004566DC">
        <w:rPr>
          <w:rFonts w:asciiTheme="minorHAnsi" w:hAnsiTheme="minorHAnsi"/>
        </w:rPr>
        <w:t>, vol. 59, no. 10, pp. 1481</w:t>
      </w:r>
      <w:r w:rsidR="003E0001">
        <w:rPr>
          <w:rFonts w:asciiTheme="minorHAnsi" w:hAnsiTheme="minorHAnsi"/>
        </w:rPr>
        <w:t>–</w:t>
      </w:r>
      <w:r w:rsidRPr="004566DC">
        <w:rPr>
          <w:rFonts w:asciiTheme="minorHAnsi" w:hAnsiTheme="minorHAnsi"/>
        </w:rPr>
        <w:t>1488.</w:t>
      </w:r>
    </w:p>
    <w:p w14:paraId="5EB6E459" w14:textId="46041CA4" w:rsidR="008E7C05" w:rsidRPr="004566DC" w:rsidRDefault="008E7C05" w:rsidP="008E7C05">
      <w:pPr>
        <w:pStyle w:val="EndNoteBibliography"/>
        <w:rPr>
          <w:rFonts w:asciiTheme="minorHAnsi" w:hAnsiTheme="minorHAnsi"/>
        </w:rPr>
      </w:pPr>
      <w:r w:rsidRPr="004566DC">
        <w:rPr>
          <w:rFonts w:asciiTheme="minorHAnsi" w:hAnsiTheme="minorHAnsi"/>
        </w:rPr>
        <w:t xml:space="preserve">Bizzoco, D, Mesoraca, A, Cima, A, Sarti, M, Di Giacomo, G, Scerra, G, Barone, MA, Di Natale, M, Gabrielli, I, Tamburino, C, Scargiali, C, Ernandez, C, D'Aleo, MP, Todini, M, Pompili, R, Mobili, L, Mangiafico, L, Carcioppolo, O, Coco, C, Cignini, P, D'Emidio, L, Girgenti, A, Brizzi, C, Cavaliere, A &amp; Giorlandino, C 2008, 'Prenatal screening of </w:t>
      </w:r>
      <w:r w:rsidR="003E0001">
        <w:rPr>
          <w:rFonts w:asciiTheme="minorHAnsi" w:hAnsiTheme="minorHAnsi"/>
        </w:rPr>
        <w:t>c</w:t>
      </w:r>
      <w:r w:rsidRPr="004566DC">
        <w:rPr>
          <w:rFonts w:asciiTheme="minorHAnsi" w:hAnsiTheme="minorHAnsi"/>
        </w:rPr>
        <w:t xml:space="preserve">ystic </w:t>
      </w:r>
      <w:r w:rsidR="003E0001">
        <w:rPr>
          <w:rFonts w:asciiTheme="minorHAnsi" w:hAnsiTheme="minorHAnsi"/>
        </w:rPr>
        <w:t>f</w:t>
      </w:r>
      <w:r w:rsidRPr="004566DC">
        <w:rPr>
          <w:rFonts w:asciiTheme="minorHAnsi" w:hAnsiTheme="minorHAnsi"/>
        </w:rPr>
        <w:t xml:space="preserve">ibrosis: a single centre experience', </w:t>
      </w:r>
      <w:r w:rsidRPr="004566DC">
        <w:rPr>
          <w:rFonts w:asciiTheme="minorHAnsi" w:hAnsiTheme="minorHAnsi"/>
          <w:i/>
        </w:rPr>
        <w:t>J</w:t>
      </w:r>
      <w:r w:rsidR="003E0001">
        <w:rPr>
          <w:rFonts w:asciiTheme="minorHAnsi" w:hAnsiTheme="minorHAnsi"/>
          <w:i/>
        </w:rPr>
        <w:t>ournal of</w:t>
      </w:r>
      <w:r w:rsidRPr="004566DC">
        <w:rPr>
          <w:rFonts w:asciiTheme="minorHAnsi" w:hAnsiTheme="minorHAnsi"/>
          <w:i/>
        </w:rPr>
        <w:t xml:space="preserve"> Prenat</w:t>
      </w:r>
      <w:r w:rsidR="003E0001">
        <w:rPr>
          <w:rFonts w:asciiTheme="minorHAnsi" w:hAnsiTheme="minorHAnsi"/>
          <w:i/>
        </w:rPr>
        <w:t>al</w:t>
      </w:r>
      <w:r w:rsidRPr="004566DC">
        <w:rPr>
          <w:rFonts w:asciiTheme="minorHAnsi" w:hAnsiTheme="minorHAnsi"/>
          <w:i/>
        </w:rPr>
        <w:t xml:space="preserve"> Med</w:t>
      </w:r>
      <w:r w:rsidR="003E0001">
        <w:rPr>
          <w:rFonts w:asciiTheme="minorHAnsi" w:hAnsiTheme="minorHAnsi"/>
          <w:i/>
        </w:rPr>
        <w:t>icine</w:t>
      </w:r>
      <w:r w:rsidRPr="004566DC">
        <w:rPr>
          <w:rFonts w:asciiTheme="minorHAnsi" w:hAnsiTheme="minorHAnsi"/>
        </w:rPr>
        <w:t>, vol. 2, no. 1, pp. 6</w:t>
      </w:r>
      <w:r w:rsidR="003E0001">
        <w:rPr>
          <w:rFonts w:asciiTheme="minorHAnsi" w:hAnsiTheme="minorHAnsi"/>
        </w:rPr>
        <w:t>–</w:t>
      </w:r>
      <w:r w:rsidRPr="004566DC">
        <w:rPr>
          <w:rFonts w:asciiTheme="minorHAnsi" w:hAnsiTheme="minorHAnsi"/>
        </w:rPr>
        <w:t>10.</w:t>
      </w:r>
    </w:p>
    <w:p w14:paraId="59783D11" w14:textId="6E3093DD" w:rsidR="008E7C05" w:rsidRPr="004566DC" w:rsidRDefault="008E7C05" w:rsidP="008E7C05">
      <w:pPr>
        <w:pStyle w:val="EndNoteBibliography"/>
        <w:rPr>
          <w:rFonts w:asciiTheme="minorHAnsi" w:hAnsiTheme="minorHAnsi"/>
        </w:rPr>
      </w:pPr>
      <w:r w:rsidRPr="004566DC">
        <w:rPr>
          <w:rFonts w:asciiTheme="minorHAnsi" w:hAnsiTheme="minorHAnsi"/>
        </w:rPr>
        <w:t xml:space="preserve">Bradley, LA, Johnson, DA, Chaparro, CA, Robertson, NH &amp; Ferrie, RM 1998, 'A multiplex ARMS test for 10 cystic fibrosis (CF) mutations: </w:t>
      </w:r>
      <w:r w:rsidR="003E0001">
        <w:rPr>
          <w:rFonts w:asciiTheme="minorHAnsi" w:hAnsiTheme="minorHAnsi"/>
        </w:rPr>
        <w:t>e</w:t>
      </w:r>
      <w:r w:rsidRPr="004566DC">
        <w:rPr>
          <w:rFonts w:asciiTheme="minorHAnsi" w:hAnsiTheme="minorHAnsi"/>
        </w:rPr>
        <w:t xml:space="preserve">valuation in a prenatal CF screening program', </w:t>
      </w:r>
      <w:r w:rsidRPr="004566DC">
        <w:rPr>
          <w:rFonts w:asciiTheme="minorHAnsi" w:hAnsiTheme="minorHAnsi"/>
          <w:i/>
        </w:rPr>
        <w:t>Genetic Testing</w:t>
      </w:r>
      <w:r w:rsidRPr="004566DC">
        <w:rPr>
          <w:rFonts w:asciiTheme="minorHAnsi" w:hAnsiTheme="minorHAnsi"/>
        </w:rPr>
        <w:t>, vol. 2, no. 4, pp. 337</w:t>
      </w:r>
      <w:r w:rsidR="003E0001">
        <w:rPr>
          <w:rFonts w:asciiTheme="minorHAnsi" w:hAnsiTheme="minorHAnsi"/>
        </w:rPr>
        <w:t>–</w:t>
      </w:r>
      <w:r w:rsidRPr="004566DC">
        <w:rPr>
          <w:rFonts w:asciiTheme="minorHAnsi" w:hAnsiTheme="minorHAnsi"/>
        </w:rPr>
        <w:t>341.</w:t>
      </w:r>
    </w:p>
    <w:p w14:paraId="3FC1A38F" w14:textId="58A5857C" w:rsidR="008E7C05" w:rsidRPr="004566DC" w:rsidRDefault="008E7C05" w:rsidP="008E7C05">
      <w:pPr>
        <w:pStyle w:val="EndNoteBibliography"/>
        <w:rPr>
          <w:rFonts w:asciiTheme="minorHAnsi" w:hAnsiTheme="minorHAnsi"/>
        </w:rPr>
      </w:pPr>
      <w:r w:rsidRPr="004566DC">
        <w:rPr>
          <w:rFonts w:asciiTheme="minorHAnsi" w:hAnsiTheme="minorHAnsi"/>
        </w:rPr>
        <w:t xml:space="preserve">Brambati, B, Anelli, MC &amp; Tului, L 1996, 'Prenatal cystic fibrosis screening in a low-risk population undergoing chorionic villus sampling for fetal karyotyping', </w:t>
      </w:r>
      <w:r w:rsidRPr="004566DC">
        <w:rPr>
          <w:rFonts w:asciiTheme="minorHAnsi" w:hAnsiTheme="minorHAnsi"/>
          <w:i/>
        </w:rPr>
        <w:t>Clinical Genetics</w:t>
      </w:r>
      <w:r w:rsidRPr="004566DC">
        <w:rPr>
          <w:rFonts w:asciiTheme="minorHAnsi" w:hAnsiTheme="minorHAnsi"/>
        </w:rPr>
        <w:t>, vol. 50, no. 1, pp. 23</w:t>
      </w:r>
      <w:r w:rsidR="003E0001">
        <w:rPr>
          <w:rFonts w:asciiTheme="minorHAnsi" w:hAnsiTheme="minorHAnsi"/>
        </w:rPr>
        <w:t>–</w:t>
      </w:r>
      <w:r w:rsidRPr="004566DC">
        <w:rPr>
          <w:rFonts w:asciiTheme="minorHAnsi" w:hAnsiTheme="minorHAnsi"/>
        </w:rPr>
        <w:t>27.</w:t>
      </w:r>
    </w:p>
    <w:p w14:paraId="2BA8FE2A" w14:textId="60FEDE28" w:rsidR="008E7C05" w:rsidRPr="004566DC" w:rsidRDefault="008E7C05" w:rsidP="008E7C05">
      <w:pPr>
        <w:pStyle w:val="EndNoteBibliography"/>
        <w:rPr>
          <w:rFonts w:asciiTheme="minorHAnsi" w:hAnsiTheme="minorHAnsi"/>
        </w:rPr>
      </w:pPr>
      <w:r w:rsidRPr="004566DC">
        <w:rPr>
          <w:rFonts w:asciiTheme="minorHAnsi" w:hAnsiTheme="minorHAnsi"/>
        </w:rPr>
        <w:t xml:space="preserve">Brock, DJH 1996, 'Prenatal screening for cystic fibrosis: 5 years' experience reviewed', </w:t>
      </w:r>
      <w:r w:rsidRPr="004566DC">
        <w:rPr>
          <w:rFonts w:asciiTheme="minorHAnsi" w:hAnsiTheme="minorHAnsi"/>
          <w:i/>
        </w:rPr>
        <w:t>Lancet</w:t>
      </w:r>
      <w:r w:rsidRPr="004566DC">
        <w:rPr>
          <w:rFonts w:asciiTheme="minorHAnsi" w:hAnsiTheme="minorHAnsi"/>
        </w:rPr>
        <w:t>, vol. 347, no. 8995, pp. 148</w:t>
      </w:r>
      <w:r w:rsidR="003E0001">
        <w:rPr>
          <w:rFonts w:asciiTheme="minorHAnsi" w:hAnsiTheme="minorHAnsi"/>
        </w:rPr>
        <w:t>–</w:t>
      </w:r>
      <w:r w:rsidRPr="004566DC">
        <w:rPr>
          <w:rFonts w:asciiTheme="minorHAnsi" w:hAnsiTheme="minorHAnsi"/>
        </w:rPr>
        <w:t>150.</w:t>
      </w:r>
    </w:p>
    <w:p w14:paraId="52C768A4" w14:textId="31FFE8EF" w:rsidR="008E7C05" w:rsidRPr="004566DC" w:rsidRDefault="008E7C05" w:rsidP="008E7C05">
      <w:pPr>
        <w:pStyle w:val="EndNoteBibliography"/>
        <w:rPr>
          <w:rFonts w:asciiTheme="minorHAnsi" w:hAnsiTheme="minorHAnsi"/>
        </w:rPr>
      </w:pPr>
      <w:r w:rsidRPr="004566DC">
        <w:rPr>
          <w:rFonts w:asciiTheme="minorHAnsi" w:hAnsiTheme="minorHAnsi"/>
        </w:rPr>
        <w:t xml:space="preserve">Castellani, C, Picci, L, Tamanini, A, Girardi, P, Rizzotti, P &amp; Assael, BM 2009, 'Association between carrier screening and incidence of cystic fibrosis', </w:t>
      </w:r>
      <w:r w:rsidRPr="004566DC">
        <w:rPr>
          <w:rFonts w:asciiTheme="minorHAnsi" w:hAnsiTheme="minorHAnsi"/>
          <w:i/>
        </w:rPr>
        <w:t>Journal of the American Medical Association</w:t>
      </w:r>
      <w:r w:rsidRPr="004566DC">
        <w:rPr>
          <w:rFonts w:asciiTheme="minorHAnsi" w:hAnsiTheme="minorHAnsi"/>
        </w:rPr>
        <w:t>, vol. 302, no. 23, pp. 2573</w:t>
      </w:r>
      <w:r w:rsidR="003E0001">
        <w:rPr>
          <w:rFonts w:asciiTheme="minorHAnsi" w:hAnsiTheme="minorHAnsi"/>
        </w:rPr>
        <w:t>–</w:t>
      </w:r>
      <w:r w:rsidRPr="004566DC">
        <w:rPr>
          <w:rFonts w:asciiTheme="minorHAnsi" w:hAnsiTheme="minorHAnsi"/>
        </w:rPr>
        <w:t>2579.</w:t>
      </w:r>
    </w:p>
    <w:p w14:paraId="53A3C265" w14:textId="7B372D18" w:rsidR="008E7C05" w:rsidRPr="004566DC" w:rsidRDefault="008E7C05" w:rsidP="008E7C05">
      <w:pPr>
        <w:pStyle w:val="EndNoteBibliography"/>
        <w:rPr>
          <w:rFonts w:asciiTheme="minorHAnsi" w:hAnsiTheme="minorHAnsi"/>
        </w:rPr>
      </w:pPr>
      <w:r w:rsidRPr="004566DC">
        <w:rPr>
          <w:rFonts w:asciiTheme="minorHAnsi" w:hAnsiTheme="minorHAnsi"/>
        </w:rPr>
        <w:t xml:space="preserve">Chehab, FF &amp; Wall, J 1992, 'Detection of multiple cystic fibrosis mutations by reverse dot blot hybridization: </w:t>
      </w:r>
      <w:r w:rsidR="00497488">
        <w:rPr>
          <w:rFonts w:asciiTheme="minorHAnsi" w:hAnsiTheme="minorHAnsi"/>
        </w:rPr>
        <w:t>a</w:t>
      </w:r>
      <w:r w:rsidRPr="004566DC">
        <w:rPr>
          <w:rFonts w:asciiTheme="minorHAnsi" w:hAnsiTheme="minorHAnsi"/>
        </w:rPr>
        <w:t xml:space="preserve"> technology for carrier screening', </w:t>
      </w:r>
      <w:r w:rsidRPr="004566DC">
        <w:rPr>
          <w:rFonts w:asciiTheme="minorHAnsi" w:hAnsiTheme="minorHAnsi"/>
          <w:i/>
        </w:rPr>
        <w:t>Human Genetics</w:t>
      </w:r>
      <w:r w:rsidRPr="004566DC">
        <w:rPr>
          <w:rFonts w:asciiTheme="minorHAnsi" w:hAnsiTheme="minorHAnsi"/>
        </w:rPr>
        <w:t>, vol. 89, no. 2, pp. 163</w:t>
      </w:r>
      <w:r w:rsidR="00B321E9">
        <w:rPr>
          <w:rFonts w:asciiTheme="minorHAnsi" w:hAnsiTheme="minorHAnsi"/>
        </w:rPr>
        <w:t>–</w:t>
      </w:r>
      <w:r w:rsidRPr="004566DC">
        <w:rPr>
          <w:rFonts w:asciiTheme="minorHAnsi" w:hAnsiTheme="minorHAnsi"/>
        </w:rPr>
        <w:t>168.</w:t>
      </w:r>
    </w:p>
    <w:p w14:paraId="6F6C43F1" w14:textId="0EC9E45D" w:rsidR="008E7C05" w:rsidRPr="004566DC" w:rsidRDefault="008E7C05" w:rsidP="008E7C05">
      <w:pPr>
        <w:pStyle w:val="EndNoteBibliography"/>
        <w:rPr>
          <w:rFonts w:asciiTheme="minorHAnsi" w:hAnsiTheme="minorHAnsi"/>
        </w:rPr>
      </w:pPr>
      <w:r w:rsidRPr="004566DC">
        <w:rPr>
          <w:rFonts w:asciiTheme="minorHAnsi" w:hAnsiTheme="minorHAnsi"/>
        </w:rPr>
        <w:t xml:space="preserve">Chong, B, Ritchie, A, Pantaleo, S, Chow, M, Ong, B, Massie, J, Petrou, V, Amor, D &amp; Du Sart, D 2010, 'Population-based carrier screening for cystic fibrosis in victoria: </w:t>
      </w:r>
      <w:r w:rsidR="00B321E9">
        <w:rPr>
          <w:rFonts w:asciiTheme="minorHAnsi" w:hAnsiTheme="minorHAnsi"/>
        </w:rPr>
        <w:t>t</w:t>
      </w:r>
      <w:r w:rsidRPr="004566DC">
        <w:rPr>
          <w:rFonts w:asciiTheme="minorHAnsi" w:hAnsiTheme="minorHAnsi"/>
        </w:rPr>
        <w:t>he first three years</w:t>
      </w:r>
      <w:r w:rsidR="00497488">
        <w:rPr>
          <w:rFonts w:asciiTheme="minorHAnsi" w:hAnsiTheme="minorHAnsi"/>
        </w:rPr>
        <w:t>’</w:t>
      </w:r>
      <w:r w:rsidRPr="004566DC">
        <w:rPr>
          <w:rFonts w:asciiTheme="minorHAnsi" w:hAnsiTheme="minorHAnsi"/>
        </w:rPr>
        <w:t xml:space="preserve"> experience', </w:t>
      </w:r>
      <w:r w:rsidRPr="004566DC">
        <w:rPr>
          <w:rFonts w:asciiTheme="minorHAnsi" w:hAnsiTheme="minorHAnsi"/>
          <w:i/>
        </w:rPr>
        <w:t>Twin Research and Human Genetics</w:t>
      </w:r>
      <w:r w:rsidRPr="004566DC">
        <w:rPr>
          <w:rFonts w:asciiTheme="minorHAnsi" w:hAnsiTheme="minorHAnsi"/>
        </w:rPr>
        <w:t>, vol. 13, no. 6, p. 633.</w:t>
      </w:r>
    </w:p>
    <w:p w14:paraId="29E4232C" w14:textId="724A73D0" w:rsidR="008E7C05" w:rsidRPr="004566DC" w:rsidRDefault="008E7C05" w:rsidP="008E7C05">
      <w:pPr>
        <w:pStyle w:val="EndNoteBibliography"/>
        <w:rPr>
          <w:rFonts w:asciiTheme="minorHAnsi" w:hAnsiTheme="minorHAnsi"/>
        </w:rPr>
      </w:pPr>
      <w:r w:rsidRPr="004566DC">
        <w:rPr>
          <w:rFonts w:asciiTheme="minorHAnsi" w:hAnsiTheme="minorHAnsi"/>
        </w:rPr>
        <w:t xml:space="preserve">Christie, LM, Ingrey, AJ, Turner, GM, Proos, AL &amp; Watts, GE 2009, 'Outcomes of a cystic fibrosis carrier testing clinic for couples', </w:t>
      </w:r>
      <w:r w:rsidRPr="004566DC">
        <w:rPr>
          <w:rFonts w:asciiTheme="minorHAnsi" w:hAnsiTheme="minorHAnsi"/>
          <w:i/>
        </w:rPr>
        <w:t>Medical Journal of Australia</w:t>
      </w:r>
      <w:r w:rsidRPr="004566DC">
        <w:rPr>
          <w:rFonts w:asciiTheme="minorHAnsi" w:hAnsiTheme="minorHAnsi"/>
        </w:rPr>
        <w:t>, vol. 191, no. 9, pp. 499</w:t>
      </w:r>
      <w:r w:rsidR="00B321E9">
        <w:rPr>
          <w:rFonts w:asciiTheme="minorHAnsi" w:hAnsiTheme="minorHAnsi"/>
        </w:rPr>
        <w:t>–</w:t>
      </w:r>
      <w:r w:rsidRPr="004566DC">
        <w:rPr>
          <w:rFonts w:asciiTheme="minorHAnsi" w:hAnsiTheme="minorHAnsi"/>
        </w:rPr>
        <w:t>501.</w:t>
      </w:r>
    </w:p>
    <w:p w14:paraId="42BC9B0A" w14:textId="2D49DCF6" w:rsidR="008E7C05" w:rsidRPr="004566DC" w:rsidRDefault="008E7C05" w:rsidP="008E7C05">
      <w:pPr>
        <w:pStyle w:val="EndNoteBibliography"/>
        <w:rPr>
          <w:rFonts w:asciiTheme="minorHAnsi" w:hAnsiTheme="minorHAnsi"/>
        </w:rPr>
      </w:pPr>
      <w:r w:rsidRPr="004566DC">
        <w:rPr>
          <w:rFonts w:asciiTheme="minorHAnsi" w:hAnsiTheme="minorHAnsi"/>
        </w:rPr>
        <w:t xml:space="preserve">Cuckle, H, Quirke, P, Sehmi, I, Lewis, F, Murray, J, Cross, D, Cuckle, P &amp; Ozols, B 1996, 'Antenatal screening for cystic fibrosis', </w:t>
      </w:r>
      <w:r w:rsidRPr="004566DC">
        <w:rPr>
          <w:rFonts w:asciiTheme="minorHAnsi" w:hAnsiTheme="minorHAnsi"/>
          <w:i/>
        </w:rPr>
        <w:t>British Journal of Obstetrics and Gynaecology</w:t>
      </w:r>
      <w:r w:rsidRPr="004566DC">
        <w:rPr>
          <w:rFonts w:asciiTheme="minorHAnsi" w:hAnsiTheme="minorHAnsi"/>
        </w:rPr>
        <w:t>, vol. 103, no. 8, pp. 795</w:t>
      </w:r>
      <w:r w:rsidR="00B321E9">
        <w:rPr>
          <w:rFonts w:asciiTheme="minorHAnsi" w:hAnsiTheme="minorHAnsi"/>
        </w:rPr>
        <w:t>–</w:t>
      </w:r>
      <w:r w:rsidRPr="004566DC">
        <w:rPr>
          <w:rFonts w:asciiTheme="minorHAnsi" w:hAnsiTheme="minorHAnsi"/>
        </w:rPr>
        <w:t>799.</w:t>
      </w:r>
    </w:p>
    <w:p w14:paraId="5B774B76" w14:textId="05AEA083" w:rsidR="008E7C05" w:rsidRPr="004566DC" w:rsidRDefault="008E7C05" w:rsidP="008E7C05">
      <w:pPr>
        <w:pStyle w:val="EndNoteBibliography"/>
        <w:rPr>
          <w:rFonts w:asciiTheme="minorHAnsi" w:hAnsiTheme="minorHAnsi"/>
        </w:rPr>
      </w:pPr>
      <w:r w:rsidRPr="004566DC">
        <w:rPr>
          <w:rFonts w:asciiTheme="minorHAnsi" w:hAnsiTheme="minorHAnsi"/>
        </w:rPr>
        <w:t>De Vries, HG, Collée, JM, Van Veldhuizen, MHR, Achterhof, L, Sibinga, CTS, Scheffer, H, Buys, CHCM &amp; Ten Kate, LP 1996, 'Validation of the determination of ΔF508 mutations of the cystic fibrosis gene in over 11</w:t>
      </w:r>
      <w:r w:rsidR="00B321E9">
        <w:rPr>
          <w:rFonts w:asciiTheme="minorHAnsi" w:hAnsiTheme="minorHAnsi"/>
        </w:rPr>
        <w:t>,</w:t>
      </w:r>
      <w:r w:rsidRPr="004566DC">
        <w:rPr>
          <w:rFonts w:asciiTheme="minorHAnsi" w:hAnsiTheme="minorHAnsi"/>
        </w:rPr>
        <w:t xml:space="preserve">000 mouthwashes', </w:t>
      </w:r>
      <w:r w:rsidRPr="004566DC">
        <w:rPr>
          <w:rFonts w:asciiTheme="minorHAnsi" w:hAnsiTheme="minorHAnsi"/>
          <w:i/>
        </w:rPr>
        <w:t>Human Genetics</w:t>
      </w:r>
      <w:r w:rsidRPr="004566DC">
        <w:rPr>
          <w:rFonts w:asciiTheme="minorHAnsi" w:hAnsiTheme="minorHAnsi"/>
        </w:rPr>
        <w:t>, vol. 97, no. 3, pp. 334</w:t>
      </w:r>
      <w:r w:rsidR="00B321E9">
        <w:rPr>
          <w:rFonts w:asciiTheme="minorHAnsi" w:hAnsiTheme="minorHAnsi"/>
        </w:rPr>
        <w:t>–</w:t>
      </w:r>
      <w:r w:rsidRPr="004566DC">
        <w:rPr>
          <w:rFonts w:asciiTheme="minorHAnsi" w:hAnsiTheme="minorHAnsi"/>
        </w:rPr>
        <w:t>336.</w:t>
      </w:r>
    </w:p>
    <w:p w14:paraId="58B1374F" w14:textId="0614EE6D" w:rsidR="008E7C05" w:rsidRPr="004566DC" w:rsidRDefault="008E7C05" w:rsidP="008E7C05">
      <w:pPr>
        <w:pStyle w:val="EndNoteBibliography"/>
        <w:rPr>
          <w:rFonts w:asciiTheme="minorHAnsi" w:hAnsiTheme="minorHAnsi"/>
        </w:rPr>
      </w:pPr>
      <w:r w:rsidRPr="004566DC">
        <w:rPr>
          <w:rFonts w:asciiTheme="minorHAnsi" w:hAnsiTheme="minorHAnsi"/>
        </w:rPr>
        <w:t xml:space="preserve">Dequeker, E &amp; Cassiman, JJ 1998, 'Evaluation of </w:t>
      </w:r>
      <w:r w:rsidR="00A21FD9" w:rsidRPr="004566DC">
        <w:rPr>
          <w:rFonts w:asciiTheme="minorHAnsi" w:hAnsiTheme="minorHAnsi"/>
          <w:i/>
        </w:rPr>
        <w:t>CFTR</w:t>
      </w:r>
      <w:r w:rsidRPr="004566DC">
        <w:rPr>
          <w:rFonts w:asciiTheme="minorHAnsi" w:hAnsiTheme="minorHAnsi"/>
        </w:rPr>
        <w:t xml:space="preserve"> gene mutation testing methods in 136 diagnostic laboratories: </w:t>
      </w:r>
      <w:r w:rsidR="00B321E9">
        <w:rPr>
          <w:rFonts w:asciiTheme="minorHAnsi" w:hAnsiTheme="minorHAnsi"/>
        </w:rPr>
        <w:t>r</w:t>
      </w:r>
      <w:r w:rsidRPr="004566DC">
        <w:rPr>
          <w:rFonts w:asciiTheme="minorHAnsi" w:hAnsiTheme="minorHAnsi"/>
        </w:rPr>
        <w:t xml:space="preserve">eport of a large European external quality assessment', </w:t>
      </w:r>
      <w:r w:rsidRPr="004566DC">
        <w:rPr>
          <w:rFonts w:asciiTheme="minorHAnsi" w:hAnsiTheme="minorHAnsi"/>
          <w:i/>
        </w:rPr>
        <w:t>European Journal of Human Genetics</w:t>
      </w:r>
      <w:r w:rsidRPr="004566DC">
        <w:rPr>
          <w:rFonts w:asciiTheme="minorHAnsi" w:hAnsiTheme="minorHAnsi"/>
        </w:rPr>
        <w:t>, vol. 6, no. 2, pp. 165</w:t>
      </w:r>
      <w:r w:rsidR="00B321E9">
        <w:rPr>
          <w:rFonts w:asciiTheme="minorHAnsi" w:hAnsiTheme="minorHAnsi"/>
        </w:rPr>
        <w:t>–</w:t>
      </w:r>
      <w:r w:rsidRPr="004566DC">
        <w:rPr>
          <w:rFonts w:asciiTheme="minorHAnsi" w:hAnsiTheme="minorHAnsi"/>
        </w:rPr>
        <w:t>175.</w:t>
      </w:r>
    </w:p>
    <w:p w14:paraId="1FE17455" w14:textId="6C0B8C55" w:rsidR="008E7C05" w:rsidRPr="004566DC" w:rsidRDefault="008E7C05" w:rsidP="008E7C05">
      <w:pPr>
        <w:pStyle w:val="EndNoteBibliography"/>
        <w:rPr>
          <w:rFonts w:asciiTheme="minorHAnsi" w:hAnsiTheme="minorHAnsi"/>
        </w:rPr>
      </w:pPr>
      <w:r w:rsidRPr="004566DC">
        <w:rPr>
          <w:rFonts w:asciiTheme="minorHAnsi" w:hAnsiTheme="minorHAnsi"/>
        </w:rPr>
        <w:lastRenderedPageBreak/>
        <w:t xml:space="preserve">Doherty, RA, Palomaki, GE, Kloza, EM, Erickson, JL &amp; Haddow, JE 1996, 'Couple-based prenatal screening for cystic fibrosis in primary care settings', </w:t>
      </w:r>
      <w:r w:rsidRPr="004566DC">
        <w:rPr>
          <w:rFonts w:asciiTheme="minorHAnsi" w:hAnsiTheme="minorHAnsi"/>
          <w:i/>
        </w:rPr>
        <w:t>Prenatal Diagnosis</w:t>
      </w:r>
      <w:r w:rsidRPr="004566DC">
        <w:rPr>
          <w:rFonts w:asciiTheme="minorHAnsi" w:hAnsiTheme="minorHAnsi"/>
        </w:rPr>
        <w:t>, vol. 16, no. 5, pp. 397</w:t>
      </w:r>
      <w:r w:rsidR="00B321E9">
        <w:rPr>
          <w:rFonts w:asciiTheme="minorHAnsi" w:hAnsiTheme="minorHAnsi"/>
        </w:rPr>
        <w:t>–</w:t>
      </w:r>
      <w:r w:rsidRPr="004566DC">
        <w:rPr>
          <w:rFonts w:asciiTheme="minorHAnsi" w:hAnsiTheme="minorHAnsi"/>
        </w:rPr>
        <w:t>404.</w:t>
      </w:r>
    </w:p>
    <w:p w14:paraId="4246C5B8" w14:textId="121396B0" w:rsidR="008E7C05" w:rsidRPr="004566DC" w:rsidRDefault="008E7C05" w:rsidP="008E7C05">
      <w:pPr>
        <w:pStyle w:val="EndNoteBibliography"/>
        <w:rPr>
          <w:rFonts w:asciiTheme="minorHAnsi" w:hAnsiTheme="minorHAnsi"/>
        </w:rPr>
      </w:pPr>
      <w:r w:rsidRPr="004566DC">
        <w:rPr>
          <w:rFonts w:asciiTheme="minorHAnsi" w:hAnsiTheme="minorHAnsi"/>
        </w:rPr>
        <w:t>Field, PD &amp; Martin, NJ 2011, '</w:t>
      </w:r>
      <w:r w:rsidR="00FD37D3" w:rsidRPr="004566DC">
        <w:rPr>
          <w:rFonts w:asciiTheme="minorHAnsi" w:hAnsiTheme="minorHAnsi"/>
        </w:rPr>
        <w:t>CFTR</w:t>
      </w:r>
      <w:r w:rsidRPr="004566DC">
        <w:rPr>
          <w:rFonts w:asciiTheme="minorHAnsi" w:hAnsiTheme="minorHAnsi"/>
        </w:rPr>
        <w:t xml:space="preserve"> mutation screening in an assisted reproductive clinic', </w:t>
      </w:r>
      <w:r w:rsidRPr="004566DC">
        <w:rPr>
          <w:rFonts w:asciiTheme="minorHAnsi" w:hAnsiTheme="minorHAnsi"/>
          <w:i/>
        </w:rPr>
        <w:t>Australian and New Zealand Journal of Obstetrics and Gynaecology</w:t>
      </w:r>
      <w:r w:rsidRPr="004566DC">
        <w:rPr>
          <w:rFonts w:asciiTheme="minorHAnsi" w:hAnsiTheme="minorHAnsi"/>
        </w:rPr>
        <w:t>, vol. 51, no. 6, pp. 536</w:t>
      </w:r>
      <w:r w:rsidR="00B321E9">
        <w:rPr>
          <w:rFonts w:asciiTheme="minorHAnsi" w:hAnsiTheme="minorHAnsi"/>
        </w:rPr>
        <w:t>–</w:t>
      </w:r>
      <w:r w:rsidRPr="004566DC">
        <w:rPr>
          <w:rFonts w:asciiTheme="minorHAnsi" w:hAnsiTheme="minorHAnsi"/>
        </w:rPr>
        <w:t>539.</w:t>
      </w:r>
    </w:p>
    <w:p w14:paraId="3E02472F" w14:textId="14889084" w:rsidR="008E7C05" w:rsidRPr="004566DC" w:rsidRDefault="008E7C05" w:rsidP="008E7C05">
      <w:pPr>
        <w:pStyle w:val="EndNoteBibliography"/>
        <w:rPr>
          <w:rFonts w:asciiTheme="minorHAnsi" w:hAnsiTheme="minorHAnsi"/>
        </w:rPr>
      </w:pPr>
      <w:r w:rsidRPr="004566DC">
        <w:rPr>
          <w:rFonts w:asciiTheme="minorHAnsi" w:hAnsiTheme="minorHAnsi"/>
        </w:rPr>
        <w:t xml:space="preserve">Grody, WW, Dunkel-Schetter, C, Tatsugawa, ZH, Fox, MA, Fang, CY, Cantor, RM, Novak, JM, Bass, HN &amp; Crandall, BF 1997, 'PCR-based screening for cystic fibrosis carrier mutations in an ethnically diverse pregnant population', </w:t>
      </w:r>
      <w:r w:rsidRPr="004566DC">
        <w:rPr>
          <w:rFonts w:asciiTheme="minorHAnsi" w:hAnsiTheme="minorHAnsi"/>
          <w:i/>
        </w:rPr>
        <w:t>American Journal of Human Genetics</w:t>
      </w:r>
      <w:r w:rsidRPr="004566DC">
        <w:rPr>
          <w:rFonts w:asciiTheme="minorHAnsi" w:hAnsiTheme="minorHAnsi"/>
        </w:rPr>
        <w:t>, vol. 60, no. 4, pp. 935</w:t>
      </w:r>
      <w:r w:rsidR="00B321E9">
        <w:rPr>
          <w:rFonts w:asciiTheme="minorHAnsi" w:hAnsiTheme="minorHAnsi"/>
        </w:rPr>
        <w:t>–</w:t>
      </w:r>
      <w:r w:rsidRPr="004566DC">
        <w:rPr>
          <w:rFonts w:asciiTheme="minorHAnsi" w:hAnsiTheme="minorHAnsi"/>
        </w:rPr>
        <w:t>947.</w:t>
      </w:r>
    </w:p>
    <w:p w14:paraId="3D428C7F" w14:textId="561CE2BB" w:rsidR="008E7C05" w:rsidRPr="004566DC" w:rsidRDefault="008E7C05" w:rsidP="008E7C05">
      <w:pPr>
        <w:pStyle w:val="EndNoteBibliography"/>
        <w:rPr>
          <w:rFonts w:asciiTheme="minorHAnsi" w:hAnsiTheme="minorHAnsi"/>
        </w:rPr>
      </w:pPr>
      <w:r w:rsidRPr="004566DC">
        <w:rPr>
          <w:rFonts w:asciiTheme="minorHAnsi" w:hAnsiTheme="minorHAnsi"/>
        </w:rPr>
        <w:t xml:space="preserve">Harris, H, Scotcher, D, Hartley, N, Wallace, A, Craufurd, D &amp; Harris, R 1993, 'Cystic fibrosis carrier testing in early pregnancy by general practitioners', </w:t>
      </w:r>
      <w:r w:rsidRPr="004566DC">
        <w:rPr>
          <w:rFonts w:asciiTheme="minorHAnsi" w:hAnsiTheme="minorHAnsi"/>
          <w:i/>
        </w:rPr>
        <w:t>British Medical Journal</w:t>
      </w:r>
      <w:r w:rsidRPr="004566DC">
        <w:rPr>
          <w:rFonts w:asciiTheme="minorHAnsi" w:hAnsiTheme="minorHAnsi"/>
        </w:rPr>
        <w:t>, vol. 306, no. 6892, pp. 1580</w:t>
      </w:r>
      <w:r w:rsidR="00B321E9">
        <w:rPr>
          <w:rFonts w:asciiTheme="minorHAnsi" w:hAnsiTheme="minorHAnsi"/>
        </w:rPr>
        <w:t>–</w:t>
      </w:r>
      <w:r w:rsidRPr="004566DC">
        <w:rPr>
          <w:rFonts w:asciiTheme="minorHAnsi" w:hAnsiTheme="minorHAnsi"/>
        </w:rPr>
        <w:t>1583.</w:t>
      </w:r>
    </w:p>
    <w:p w14:paraId="61DF9970" w14:textId="2D33046A" w:rsidR="008E7C05" w:rsidRPr="004566DC" w:rsidRDefault="008E7C05" w:rsidP="008E7C05">
      <w:pPr>
        <w:pStyle w:val="EndNoteBibliography"/>
        <w:rPr>
          <w:rFonts w:asciiTheme="minorHAnsi" w:hAnsiTheme="minorHAnsi"/>
        </w:rPr>
      </w:pPr>
      <w:r w:rsidRPr="004566DC">
        <w:rPr>
          <w:rFonts w:asciiTheme="minorHAnsi" w:hAnsiTheme="minorHAnsi"/>
        </w:rPr>
        <w:t xml:space="preserve">Johnson, MA, Yoshitomi, MJ &amp; Sue Richards, C 2007, 'A comparative study of five technologically diverse </w:t>
      </w:r>
      <w:r w:rsidR="00FD37D3" w:rsidRPr="004566DC">
        <w:rPr>
          <w:rFonts w:asciiTheme="minorHAnsi" w:hAnsiTheme="minorHAnsi"/>
        </w:rPr>
        <w:t>CFTR</w:t>
      </w:r>
      <w:r w:rsidRPr="004566DC">
        <w:rPr>
          <w:rFonts w:asciiTheme="minorHAnsi" w:hAnsiTheme="minorHAnsi"/>
        </w:rPr>
        <w:t xml:space="preserve"> testing platforms', </w:t>
      </w:r>
      <w:r w:rsidRPr="004566DC">
        <w:rPr>
          <w:rFonts w:asciiTheme="minorHAnsi" w:hAnsiTheme="minorHAnsi"/>
          <w:i/>
        </w:rPr>
        <w:t>Journal of Molecular Diagnostics</w:t>
      </w:r>
      <w:r w:rsidRPr="004566DC">
        <w:rPr>
          <w:rFonts w:asciiTheme="minorHAnsi" w:hAnsiTheme="minorHAnsi"/>
        </w:rPr>
        <w:t>, vol. 9, no. 3, pp. 401</w:t>
      </w:r>
      <w:r w:rsidR="00497488">
        <w:rPr>
          <w:rFonts w:asciiTheme="minorHAnsi" w:hAnsiTheme="minorHAnsi"/>
        </w:rPr>
        <w:t>–</w:t>
      </w:r>
      <w:r w:rsidRPr="004566DC">
        <w:rPr>
          <w:rFonts w:asciiTheme="minorHAnsi" w:hAnsiTheme="minorHAnsi"/>
        </w:rPr>
        <w:t>407.</w:t>
      </w:r>
    </w:p>
    <w:p w14:paraId="6E808732" w14:textId="193D203D" w:rsidR="008E7C05" w:rsidRPr="004566DC" w:rsidRDefault="008E7C05" w:rsidP="008E7C05">
      <w:pPr>
        <w:pStyle w:val="EndNoteBibliography"/>
        <w:rPr>
          <w:rFonts w:asciiTheme="minorHAnsi" w:hAnsiTheme="minorHAnsi"/>
        </w:rPr>
      </w:pPr>
      <w:r w:rsidRPr="004566DC">
        <w:rPr>
          <w:rFonts w:asciiTheme="minorHAnsi" w:hAnsiTheme="minorHAnsi"/>
        </w:rPr>
        <w:t xml:space="preserve">Jung, U, Urner, U, Grade, K &amp; Coutelle, C 1994, 'Acceptability of carrier screening for cystic fibrosis during pregnancy in a German population', </w:t>
      </w:r>
      <w:r w:rsidRPr="004566DC">
        <w:rPr>
          <w:rFonts w:asciiTheme="minorHAnsi" w:hAnsiTheme="minorHAnsi"/>
          <w:i/>
        </w:rPr>
        <w:t>Human Genetics</w:t>
      </w:r>
      <w:r w:rsidRPr="004566DC">
        <w:rPr>
          <w:rFonts w:asciiTheme="minorHAnsi" w:hAnsiTheme="minorHAnsi"/>
        </w:rPr>
        <w:t>, vol. 94, no. 1, pp. 19</w:t>
      </w:r>
      <w:r w:rsidR="00DC09EA">
        <w:rPr>
          <w:rFonts w:asciiTheme="minorHAnsi" w:hAnsiTheme="minorHAnsi"/>
        </w:rPr>
        <w:t>–</w:t>
      </w:r>
      <w:r w:rsidRPr="004566DC">
        <w:rPr>
          <w:rFonts w:asciiTheme="minorHAnsi" w:hAnsiTheme="minorHAnsi"/>
        </w:rPr>
        <w:t>24.</w:t>
      </w:r>
    </w:p>
    <w:p w14:paraId="594C0A1F" w14:textId="590A93CF" w:rsidR="008E7C05" w:rsidRPr="004566DC" w:rsidRDefault="008E7C05" w:rsidP="008E7C05">
      <w:pPr>
        <w:pStyle w:val="EndNoteBibliography"/>
        <w:rPr>
          <w:rFonts w:asciiTheme="minorHAnsi" w:hAnsiTheme="minorHAnsi"/>
        </w:rPr>
      </w:pPr>
      <w:r w:rsidRPr="004566DC">
        <w:rPr>
          <w:rFonts w:asciiTheme="minorHAnsi" w:hAnsiTheme="minorHAnsi"/>
        </w:rPr>
        <w:t xml:space="preserve">Kamory, E, Csokay, B &amp; Hollo, Z 2004, 'Rapid detection of cystic fibrosis transmembrane conductance regulator gene IVS8 5T variant by real-time PCR', </w:t>
      </w:r>
      <w:r w:rsidRPr="004566DC">
        <w:rPr>
          <w:rFonts w:asciiTheme="minorHAnsi" w:hAnsiTheme="minorHAnsi"/>
          <w:i/>
        </w:rPr>
        <w:t>Clinical Chemistry</w:t>
      </w:r>
      <w:r w:rsidRPr="004566DC">
        <w:rPr>
          <w:rFonts w:asciiTheme="minorHAnsi" w:hAnsiTheme="minorHAnsi"/>
        </w:rPr>
        <w:t>, vol. 50, no. 10, pp. 1837</w:t>
      </w:r>
      <w:r w:rsidR="00DC09EA">
        <w:rPr>
          <w:rFonts w:asciiTheme="minorHAnsi" w:hAnsiTheme="minorHAnsi"/>
        </w:rPr>
        <w:t>–</w:t>
      </w:r>
      <w:r w:rsidRPr="004566DC">
        <w:rPr>
          <w:rFonts w:asciiTheme="minorHAnsi" w:hAnsiTheme="minorHAnsi"/>
        </w:rPr>
        <w:t>1839.</w:t>
      </w:r>
    </w:p>
    <w:p w14:paraId="41EDF680" w14:textId="626859BE" w:rsidR="008E7C05" w:rsidRPr="004566DC" w:rsidRDefault="008E7C05" w:rsidP="008E7C05">
      <w:pPr>
        <w:pStyle w:val="EndNoteBibliography"/>
        <w:rPr>
          <w:rFonts w:asciiTheme="minorHAnsi" w:hAnsiTheme="minorHAnsi"/>
        </w:rPr>
      </w:pPr>
      <w:r w:rsidRPr="004566DC">
        <w:rPr>
          <w:rFonts w:asciiTheme="minorHAnsi" w:hAnsiTheme="minorHAnsi"/>
        </w:rPr>
        <w:t xml:space="preserve">Livingstone, J, Axton, RA, Gilfillan, A, Mennie, M, Compton, M, Liston, WA, Calder, AA, Gordon, AJ &amp; Brock, DJH 1994, 'Antenatal screening for cystic fibrosis: </w:t>
      </w:r>
      <w:r w:rsidR="00DC09EA">
        <w:rPr>
          <w:rFonts w:asciiTheme="minorHAnsi" w:hAnsiTheme="minorHAnsi"/>
        </w:rPr>
        <w:t>a</w:t>
      </w:r>
      <w:r w:rsidRPr="004566DC">
        <w:rPr>
          <w:rFonts w:asciiTheme="minorHAnsi" w:hAnsiTheme="minorHAnsi"/>
        </w:rPr>
        <w:t xml:space="preserve"> trial of the couple model', </w:t>
      </w:r>
      <w:r w:rsidRPr="004566DC">
        <w:rPr>
          <w:rFonts w:asciiTheme="minorHAnsi" w:hAnsiTheme="minorHAnsi"/>
          <w:i/>
        </w:rPr>
        <w:t>British Medical Journal</w:t>
      </w:r>
      <w:r w:rsidRPr="004566DC">
        <w:rPr>
          <w:rFonts w:asciiTheme="minorHAnsi" w:hAnsiTheme="minorHAnsi"/>
        </w:rPr>
        <w:t>, vol. 308, no. 6942, pp. 1459</w:t>
      </w:r>
      <w:r w:rsidR="00DC09EA">
        <w:rPr>
          <w:rFonts w:asciiTheme="minorHAnsi" w:hAnsiTheme="minorHAnsi"/>
        </w:rPr>
        <w:t>–</w:t>
      </w:r>
      <w:r w:rsidRPr="004566DC">
        <w:rPr>
          <w:rFonts w:asciiTheme="minorHAnsi" w:hAnsiTheme="minorHAnsi"/>
        </w:rPr>
        <w:t>1462.</w:t>
      </w:r>
    </w:p>
    <w:p w14:paraId="359CEF8B" w14:textId="3136613E" w:rsidR="008E7C05" w:rsidRPr="004566DC" w:rsidRDefault="008E7C05" w:rsidP="008E7C05">
      <w:pPr>
        <w:pStyle w:val="EndNoteBibliography"/>
        <w:rPr>
          <w:rFonts w:asciiTheme="minorHAnsi" w:hAnsiTheme="minorHAnsi"/>
        </w:rPr>
      </w:pPr>
      <w:r w:rsidRPr="004566DC">
        <w:rPr>
          <w:rFonts w:asciiTheme="minorHAnsi" w:hAnsiTheme="minorHAnsi"/>
        </w:rPr>
        <w:t xml:space="preserve">Massie, J, Petrou, V, Forbes, R, Curnow, L, Ioannou, L, Dusart, D, Bankier, A &amp; Delatycki, M 2009, 'Population-based carrier screening for cystic fibrosis in Victoria: </w:t>
      </w:r>
      <w:r w:rsidR="00DC09EA">
        <w:rPr>
          <w:rFonts w:asciiTheme="minorHAnsi" w:hAnsiTheme="minorHAnsi"/>
        </w:rPr>
        <w:t>t</w:t>
      </w:r>
      <w:r w:rsidRPr="004566DC">
        <w:rPr>
          <w:rFonts w:asciiTheme="minorHAnsi" w:hAnsiTheme="minorHAnsi"/>
        </w:rPr>
        <w:t>he first three years</w:t>
      </w:r>
      <w:r w:rsidR="00497488">
        <w:rPr>
          <w:rFonts w:asciiTheme="minorHAnsi" w:hAnsiTheme="minorHAnsi"/>
        </w:rPr>
        <w:t>’</w:t>
      </w:r>
      <w:r w:rsidRPr="004566DC">
        <w:rPr>
          <w:rFonts w:asciiTheme="minorHAnsi" w:hAnsiTheme="minorHAnsi"/>
        </w:rPr>
        <w:t xml:space="preserve"> experience: </w:t>
      </w:r>
      <w:r w:rsidR="00DC09EA">
        <w:rPr>
          <w:rFonts w:asciiTheme="minorHAnsi" w:hAnsiTheme="minorHAnsi"/>
        </w:rPr>
        <w:t>o</w:t>
      </w:r>
      <w:r w:rsidRPr="004566DC">
        <w:rPr>
          <w:rFonts w:asciiTheme="minorHAnsi" w:hAnsiTheme="minorHAnsi"/>
        </w:rPr>
        <w:t xml:space="preserve">riginal </w:t>
      </w:r>
      <w:r w:rsidR="00DC09EA">
        <w:rPr>
          <w:rFonts w:asciiTheme="minorHAnsi" w:hAnsiTheme="minorHAnsi"/>
        </w:rPr>
        <w:t>a</w:t>
      </w:r>
      <w:r w:rsidRPr="004566DC">
        <w:rPr>
          <w:rFonts w:asciiTheme="minorHAnsi" w:hAnsiTheme="minorHAnsi"/>
        </w:rPr>
        <w:t xml:space="preserve">rticle', </w:t>
      </w:r>
      <w:r w:rsidRPr="004566DC">
        <w:rPr>
          <w:rFonts w:asciiTheme="minorHAnsi" w:hAnsiTheme="minorHAnsi"/>
          <w:i/>
        </w:rPr>
        <w:t>Australian and New Zealand Journal of Obstetrics and Gynaecology</w:t>
      </w:r>
      <w:r w:rsidRPr="004566DC">
        <w:rPr>
          <w:rFonts w:asciiTheme="minorHAnsi" w:hAnsiTheme="minorHAnsi"/>
        </w:rPr>
        <w:t>, vol. 49, no. 5, pp. 484</w:t>
      </w:r>
      <w:r w:rsidR="00DC09EA">
        <w:rPr>
          <w:rFonts w:asciiTheme="minorHAnsi" w:hAnsiTheme="minorHAnsi"/>
        </w:rPr>
        <w:t>–</w:t>
      </w:r>
      <w:r w:rsidRPr="004566DC">
        <w:rPr>
          <w:rFonts w:asciiTheme="minorHAnsi" w:hAnsiTheme="minorHAnsi"/>
        </w:rPr>
        <w:t>489.</w:t>
      </w:r>
    </w:p>
    <w:p w14:paraId="39988BA7" w14:textId="0E3D45DE" w:rsidR="008E7C05" w:rsidRPr="004566DC" w:rsidRDefault="008E7C05" w:rsidP="008E7C05">
      <w:pPr>
        <w:pStyle w:val="EndNoteBibliography"/>
        <w:rPr>
          <w:rFonts w:asciiTheme="minorHAnsi" w:hAnsiTheme="minorHAnsi"/>
        </w:rPr>
      </w:pPr>
      <w:r w:rsidRPr="004566DC">
        <w:rPr>
          <w:rFonts w:asciiTheme="minorHAnsi" w:hAnsiTheme="minorHAnsi"/>
        </w:rPr>
        <w:t xml:space="preserve">Mennie, ME, Gilfillan, A, Compton, M, Curtis, L, Liston, WA, Pullen, I, Whyte, DA &amp; Brock, DJH 1992, 'Prenatal screening for cystic fibrosis', </w:t>
      </w:r>
      <w:r w:rsidRPr="004566DC">
        <w:rPr>
          <w:rFonts w:asciiTheme="minorHAnsi" w:hAnsiTheme="minorHAnsi"/>
          <w:i/>
        </w:rPr>
        <w:t>Lancet</w:t>
      </w:r>
      <w:r w:rsidRPr="004566DC">
        <w:rPr>
          <w:rFonts w:asciiTheme="minorHAnsi" w:hAnsiTheme="minorHAnsi"/>
        </w:rPr>
        <w:t>, vol. 340, no. 8813, pp. 214</w:t>
      </w:r>
      <w:r w:rsidR="00DC09EA">
        <w:rPr>
          <w:rFonts w:asciiTheme="minorHAnsi" w:hAnsiTheme="minorHAnsi"/>
        </w:rPr>
        <w:t>–</w:t>
      </w:r>
      <w:r w:rsidRPr="004566DC">
        <w:rPr>
          <w:rFonts w:asciiTheme="minorHAnsi" w:hAnsiTheme="minorHAnsi"/>
        </w:rPr>
        <w:t>216.</w:t>
      </w:r>
    </w:p>
    <w:p w14:paraId="1FE099EE" w14:textId="3358DA05" w:rsidR="008E7C05" w:rsidRPr="004566DC" w:rsidRDefault="008E7C05" w:rsidP="008E7C05">
      <w:pPr>
        <w:pStyle w:val="EndNoteBibliography"/>
        <w:rPr>
          <w:rFonts w:asciiTheme="minorHAnsi" w:hAnsiTheme="minorHAnsi"/>
        </w:rPr>
      </w:pPr>
      <w:r w:rsidRPr="004566DC">
        <w:rPr>
          <w:rFonts w:asciiTheme="minorHAnsi" w:hAnsiTheme="minorHAnsi"/>
        </w:rPr>
        <w:t xml:space="preserve">Miedzybrodzka, ZH, Yin, Z, Kelly, KF &amp; Haites, NE 1994, 'Evaluation of laboratory methods for cystic fibrosis carrier screening: </w:t>
      </w:r>
      <w:r w:rsidR="00DC09EA">
        <w:rPr>
          <w:rFonts w:asciiTheme="minorHAnsi" w:hAnsiTheme="minorHAnsi"/>
        </w:rPr>
        <w:t>r</w:t>
      </w:r>
      <w:r w:rsidRPr="004566DC">
        <w:rPr>
          <w:rFonts w:asciiTheme="minorHAnsi" w:hAnsiTheme="minorHAnsi"/>
        </w:rPr>
        <w:t xml:space="preserve">eliability, sensitivity, specificity, and costs', </w:t>
      </w:r>
      <w:r w:rsidRPr="004566DC">
        <w:rPr>
          <w:rFonts w:asciiTheme="minorHAnsi" w:hAnsiTheme="minorHAnsi"/>
          <w:i/>
        </w:rPr>
        <w:t>Journal of Medical Genetics</w:t>
      </w:r>
      <w:r w:rsidRPr="004566DC">
        <w:rPr>
          <w:rFonts w:asciiTheme="minorHAnsi" w:hAnsiTheme="minorHAnsi"/>
        </w:rPr>
        <w:t>, vol. 31, no. 7, pp. 545</w:t>
      </w:r>
      <w:r w:rsidR="00DC09EA">
        <w:rPr>
          <w:rFonts w:asciiTheme="minorHAnsi" w:hAnsiTheme="minorHAnsi"/>
        </w:rPr>
        <w:t>–</w:t>
      </w:r>
      <w:r w:rsidRPr="004566DC">
        <w:rPr>
          <w:rFonts w:asciiTheme="minorHAnsi" w:hAnsiTheme="minorHAnsi"/>
        </w:rPr>
        <w:t>550.</w:t>
      </w:r>
    </w:p>
    <w:p w14:paraId="2E0AD73E" w14:textId="1F4B7971" w:rsidR="008E7C05" w:rsidRPr="004566DC" w:rsidRDefault="008E7C05" w:rsidP="008E7C05">
      <w:pPr>
        <w:pStyle w:val="EndNoteBibliography"/>
        <w:rPr>
          <w:rFonts w:asciiTheme="minorHAnsi" w:hAnsiTheme="minorHAnsi"/>
        </w:rPr>
      </w:pPr>
      <w:r w:rsidRPr="004566DC">
        <w:rPr>
          <w:rFonts w:asciiTheme="minorHAnsi" w:hAnsiTheme="minorHAnsi"/>
        </w:rPr>
        <w:t xml:space="preserve">Nagy, B, Toth-Pal, E, Papp, C, Ban, Z &amp; Papp, Z 1999, 'Prenatal detection of the Delta </w:t>
      </w:r>
      <w:r w:rsidR="007B04F1">
        <w:rPr>
          <w:rFonts w:asciiTheme="minorHAnsi" w:hAnsiTheme="minorHAnsi"/>
        </w:rPr>
        <w:t>F</w:t>
      </w:r>
      <w:r w:rsidRPr="004566DC">
        <w:rPr>
          <w:rFonts w:asciiTheme="minorHAnsi" w:hAnsiTheme="minorHAnsi"/>
        </w:rPr>
        <w:t xml:space="preserve">508 mutation using fluorescent PCR and comparison of the results with conventional PCR', </w:t>
      </w:r>
      <w:r w:rsidRPr="004566DC">
        <w:rPr>
          <w:rFonts w:asciiTheme="minorHAnsi" w:hAnsiTheme="minorHAnsi"/>
          <w:i/>
        </w:rPr>
        <w:t>Pediatric Pathology &amp; Molecular Medicine</w:t>
      </w:r>
      <w:r w:rsidRPr="004566DC">
        <w:rPr>
          <w:rFonts w:asciiTheme="minorHAnsi" w:hAnsiTheme="minorHAnsi"/>
        </w:rPr>
        <w:t>, vol. 18, no. 3, pp. 213</w:t>
      </w:r>
      <w:r w:rsidR="00DC09EA">
        <w:rPr>
          <w:rFonts w:asciiTheme="minorHAnsi" w:hAnsiTheme="minorHAnsi"/>
        </w:rPr>
        <w:t>–</w:t>
      </w:r>
      <w:r w:rsidRPr="004566DC">
        <w:rPr>
          <w:rFonts w:asciiTheme="minorHAnsi" w:hAnsiTheme="minorHAnsi"/>
        </w:rPr>
        <w:t>219.</w:t>
      </w:r>
    </w:p>
    <w:p w14:paraId="48AAE7C3" w14:textId="2D7EA1A5" w:rsidR="008E7C05" w:rsidRPr="004566DC" w:rsidRDefault="008E7C05" w:rsidP="008E7C05">
      <w:pPr>
        <w:pStyle w:val="EndNoteBibliography"/>
        <w:rPr>
          <w:rFonts w:asciiTheme="minorHAnsi" w:hAnsiTheme="minorHAnsi"/>
        </w:rPr>
      </w:pPr>
      <w:r w:rsidRPr="004566DC">
        <w:rPr>
          <w:rFonts w:asciiTheme="minorHAnsi" w:hAnsiTheme="minorHAnsi"/>
        </w:rPr>
        <w:t xml:space="preserve">Nasis, O, Thompson, S, Hong, T, Sherwood, M, Radcliffe, S, Jackson, L &amp; Otevrel, T 2004, 'Improvement in sensitivity of allele-specific PCR facilitates reliable noninvasive prenatal detection of cystic fibrosis', </w:t>
      </w:r>
      <w:r w:rsidRPr="004566DC">
        <w:rPr>
          <w:rFonts w:asciiTheme="minorHAnsi" w:hAnsiTheme="minorHAnsi"/>
          <w:i/>
        </w:rPr>
        <w:t>Clinical Chemistry</w:t>
      </w:r>
      <w:r w:rsidRPr="004566DC">
        <w:rPr>
          <w:rFonts w:asciiTheme="minorHAnsi" w:hAnsiTheme="minorHAnsi"/>
        </w:rPr>
        <w:t>, vol. 50, no. 4, pp. 694</w:t>
      </w:r>
      <w:r w:rsidR="00DC09EA">
        <w:rPr>
          <w:rFonts w:asciiTheme="minorHAnsi" w:hAnsiTheme="minorHAnsi"/>
        </w:rPr>
        <w:t>–</w:t>
      </w:r>
      <w:r w:rsidRPr="004566DC">
        <w:rPr>
          <w:rFonts w:asciiTheme="minorHAnsi" w:hAnsiTheme="minorHAnsi"/>
        </w:rPr>
        <w:t>701.</w:t>
      </w:r>
    </w:p>
    <w:p w14:paraId="4DA778EE" w14:textId="5BF3081C" w:rsidR="008E7C05" w:rsidRPr="004566DC" w:rsidRDefault="008E7C05" w:rsidP="008E7C05">
      <w:pPr>
        <w:pStyle w:val="EndNoteBibliography"/>
        <w:rPr>
          <w:rFonts w:asciiTheme="minorHAnsi" w:hAnsiTheme="minorHAnsi"/>
        </w:rPr>
      </w:pPr>
      <w:r w:rsidRPr="004566DC">
        <w:rPr>
          <w:rFonts w:asciiTheme="minorHAnsi" w:hAnsiTheme="minorHAnsi"/>
        </w:rPr>
        <w:t xml:space="preserve">Palomaki, GE, Bradley, LA, Richards, CS &amp; Haddow, JE 2003, 'Analytic validity of cystic fibrosis testing: </w:t>
      </w:r>
      <w:r w:rsidR="00DC09EA">
        <w:rPr>
          <w:rFonts w:asciiTheme="minorHAnsi" w:hAnsiTheme="minorHAnsi"/>
        </w:rPr>
        <w:t>a</w:t>
      </w:r>
      <w:r w:rsidRPr="004566DC">
        <w:rPr>
          <w:rFonts w:asciiTheme="minorHAnsi" w:hAnsiTheme="minorHAnsi"/>
        </w:rPr>
        <w:t xml:space="preserve"> preliminary estimate', </w:t>
      </w:r>
      <w:r w:rsidRPr="004566DC">
        <w:rPr>
          <w:rFonts w:asciiTheme="minorHAnsi" w:hAnsiTheme="minorHAnsi"/>
          <w:i/>
        </w:rPr>
        <w:t>Genetics in Medicine</w:t>
      </w:r>
      <w:r w:rsidRPr="004566DC">
        <w:rPr>
          <w:rFonts w:asciiTheme="minorHAnsi" w:hAnsiTheme="minorHAnsi"/>
        </w:rPr>
        <w:t>, vol. 5, no. 1, pp. 15</w:t>
      </w:r>
      <w:r w:rsidR="00DC09EA">
        <w:rPr>
          <w:rFonts w:asciiTheme="minorHAnsi" w:hAnsiTheme="minorHAnsi"/>
        </w:rPr>
        <w:t>–</w:t>
      </w:r>
      <w:r w:rsidRPr="004566DC">
        <w:rPr>
          <w:rFonts w:asciiTheme="minorHAnsi" w:hAnsiTheme="minorHAnsi"/>
        </w:rPr>
        <w:t>20.</w:t>
      </w:r>
    </w:p>
    <w:p w14:paraId="56C3E0D8" w14:textId="2D61D948" w:rsidR="008E7C05" w:rsidRPr="004566DC" w:rsidRDefault="008E7C05" w:rsidP="008E7C05">
      <w:pPr>
        <w:pStyle w:val="EndNoteBibliography"/>
        <w:rPr>
          <w:rFonts w:asciiTheme="minorHAnsi" w:hAnsiTheme="minorHAnsi"/>
        </w:rPr>
      </w:pPr>
      <w:r w:rsidRPr="004566DC">
        <w:rPr>
          <w:rFonts w:asciiTheme="minorHAnsi" w:hAnsiTheme="minorHAnsi"/>
        </w:rPr>
        <w:t xml:space="preserve">Raskin, S, Phillips </w:t>
      </w:r>
      <w:r w:rsidR="00DC09EA">
        <w:rPr>
          <w:rFonts w:asciiTheme="minorHAnsi" w:hAnsiTheme="minorHAnsi"/>
        </w:rPr>
        <w:t>III</w:t>
      </w:r>
      <w:r w:rsidRPr="004566DC">
        <w:rPr>
          <w:rFonts w:asciiTheme="minorHAnsi" w:hAnsiTheme="minorHAnsi"/>
        </w:rPr>
        <w:t xml:space="preserve">, JA, Kaplan, G, McClure, M &amp; Vnencak-Jones, C 1992, 'Cystic fibrosis genotyping by direct PCR analysis of Guthrie blood spots', </w:t>
      </w:r>
      <w:r w:rsidRPr="004566DC">
        <w:rPr>
          <w:rFonts w:asciiTheme="minorHAnsi" w:hAnsiTheme="minorHAnsi"/>
          <w:i/>
        </w:rPr>
        <w:t xml:space="preserve">PCR </w:t>
      </w:r>
      <w:r w:rsidR="00DC09EA">
        <w:rPr>
          <w:rFonts w:asciiTheme="minorHAnsi" w:hAnsiTheme="minorHAnsi"/>
          <w:i/>
        </w:rPr>
        <w:t>M</w:t>
      </w:r>
      <w:r w:rsidRPr="004566DC">
        <w:rPr>
          <w:rFonts w:asciiTheme="minorHAnsi" w:hAnsiTheme="minorHAnsi"/>
          <w:i/>
        </w:rPr>
        <w:t xml:space="preserve">ethods and </w:t>
      </w:r>
      <w:r w:rsidR="00DC09EA">
        <w:rPr>
          <w:rFonts w:asciiTheme="minorHAnsi" w:hAnsiTheme="minorHAnsi"/>
          <w:i/>
        </w:rPr>
        <w:t>A</w:t>
      </w:r>
      <w:r w:rsidRPr="004566DC">
        <w:rPr>
          <w:rFonts w:asciiTheme="minorHAnsi" w:hAnsiTheme="minorHAnsi"/>
          <w:i/>
        </w:rPr>
        <w:t>pplications</w:t>
      </w:r>
      <w:r w:rsidRPr="004566DC">
        <w:rPr>
          <w:rFonts w:asciiTheme="minorHAnsi" w:hAnsiTheme="minorHAnsi"/>
        </w:rPr>
        <w:t>, vol. 2, no. 2, pp. 154</w:t>
      </w:r>
      <w:r w:rsidR="00DC09EA">
        <w:rPr>
          <w:rFonts w:asciiTheme="minorHAnsi" w:hAnsiTheme="minorHAnsi"/>
        </w:rPr>
        <w:t>–</w:t>
      </w:r>
      <w:r w:rsidRPr="004566DC">
        <w:rPr>
          <w:rFonts w:asciiTheme="minorHAnsi" w:hAnsiTheme="minorHAnsi"/>
        </w:rPr>
        <w:t>156.</w:t>
      </w:r>
    </w:p>
    <w:p w14:paraId="1161EDF0" w14:textId="1DD9751A" w:rsidR="008E7C05" w:rsidRPr="004566DC" w:rsidRDefault="008E7C05" w:rsidP="008E7C05">
      <w:pPr>
        <w:pStyle w:val="EndNoteBibliography"/>
        <w:rPr>
          <w:rFonts w:asciiTheme="minorHAnsi" w:hAnsiTheme="minorHAnsi"/>
        </w:rPr>
      </w:pPr>
      <w:r w:rsidRPr="004566DC">
        <w:rPr>
          <w:rFonts w:asciiTheme="minorHAnsi" w:hAnsiTheme="minorHAnsi"/>
        </w:rPr>
        <w:lastRenderedPageBreak/>
        <w:t xml:space="preserve">Rohlfs, EM, Zhou, Z, Heim, RA, Nagan, N, Rosenblum, LS, Flynn, K, Scholl, T, Akmaev, VR, Sirko-Osadsa, DA, Allitto, BA &amp; Sugarman, EA 2011, 'Cystic fibrosis carrier testing in an ethnically diverse US population', </w:t>
      </w:r>
      <w:r w:rsidRPr="004566DC">
        <w:rPr>
          <w:rFonts w:asciiTheme="minorHAnsi" w:hAnsiTheme="minorHAnsi"/>
          <w:i/>
        </w:rPr>
        <w:t>Clinical Chemistry</w:t>
      </w:r>
      <w:r w:rsidRPr="004566DC">
        <w:rPr>
          <w:rFonts w:asciiTheme="minorHAnsi" w:hAnsiTheme="minorHAnsi"/>
        </w:rPr>
        <w:t>, vol. 57, no. 6, pp. 841</w:t>
      </w:r>
      <w:r w:rsidR="007B04F1">
        <w:rPr>
          <w:rFonts w:asciiTheme="minorHAnsi" w:hAnsiTheme="minorHAnsi"/>
        </w:rPr>
        <w:t>–</w:t>
      </w:r>
      <w:r w:rsidRPr="004566DC">
        <w:rPr>
          <w:rFonts w:asciiTheme="minorHAnsi" w:hAnsiTheme="minorHAnsi"/>
        </w:rPr>
        <w:t>848.</w:t>
      </w:r>
    </w:p>
    <w:p w14:paraId="7A761C38" w14:textId="3A6E2709" w:rsidR="008E7C05" w:rsidRPr="004566DC" w:rsidRDefault="008E7C05" w:rsidP="008E7C05">
      <w:pPr>
        <w:pStyle w:val="EndNoteBibliography"/>
        <w:rPr>
          <w:rFonts w:asciiTheme="minorHAnsi" w:hAnsiTheme="minorHAnsi"/>
        </w:rPr>
      </w:pPr>
      <w:r w:rsidRPr="004566DC">
        <w:rPr>
          <w:rFonts w:asciiTheme="minorHAnsi" w:hAnsiTheme="minorHAnsi"/>
        </w:rPr>
        <w:t xml:space="preserve">Super, M, Schwarz, MJ, Malone, G, Roberts, T, Haworth, A &amp; Dermody, G 1994, 'Active cascade testing for carriers of cystic fibrosis gene', </w:t>
      </w:r>
      <w:r w:rsidRPr="004566DC">
        <w:rPr>
          <w:rFonts w:asciiTheme="minorHAnsi" w:hAnsiTheme="minorHAnsi"/>
          <w:i/>
        </w:rPr>
        <w:t>British Medical Journal</w:t>
      </w:r>
      <w:r w:rsidRPr="004566DC">
        <w:rPr>
          <w:rFonts w:asciiTheme="minorHAnsi" w:hAnsiTheme="minorHAnsi"/>
        </w:rPr>
        <w:t>, vol. 308, no. 6942, pp. 1462</w:t>
      </w:r>
      <w:r w:rsidR="007B04F1">
        <w:rPr>
          <w:rFonts w:asciiTheme="minorHAnsi" w:hAnsiTheme="minorHAnsi"/>
        </w:rPr>
        <w:t>–</w:t>
      </w:r>
      <w:r w:rsidRPr="004566DC">
        <w:rPr>
          <w:rFonts w:asciiTheme="minorHAnsi" w:hAnsiTheme="minorHAnsi"/>
        </w:rPr>
        <w:t>1468.</w:t>
      </w:r>
    </w:p>
    <w:p w14:paraId="5B35A778" w14:textId="2EDC4DC7" w:rsidR="008E7C05" w:rsidRPr="004566DC" w:rsidRDefault="008E7C05" w:rsidP="008E7C05">
      <w:pPr>
        <w:pStyle w:val="EndNoteBibliography"/>
        <w:rPr>
          <w:rFonts w:asciiTheme="minorHAnsi" w:hAnsiTheme="minorHAnsi"/>
        </w:rPr>
      </w:pPr>
      <w:r w:rsidRPr="004566DC">
        <w:rPr>
          <w:rFonts w:asciiTheme="minorHAnsi" w:hAnsiTheme="minorHAnsi"/>
        </w:rPr>
        <w:t xml:space="preserve">Witt, DR, Schaefer, C, Hallam, P, Wi, S, Blumberg, B, Fishbach, A, Holtzman, J, Kornfeld, S, Lee, R, Nemzer, L &amp; Palmer, R 1996, 'Cystic fibrosis heterozygote screening in 5,161 pregnant women', </w:t>
      </w:r>
      <w:r w:rsidRPr="004566DC">
        <w:rPr>
          <w:rFonts w:asciiTheme="minorHAnsi" w:hAnsiTheme="minorHAnsi"/>
          <w:i/>
        </w:rPr>
        <w:t>American Journal of Human Genetics</w:t>
      </w:r>
      <w:r w:rsidRPr="004566DC">
        <w:rPr>
          <w:rFonts w:asciiTheme="minorHAnsi" w:hAnsiTheme="minorHAnsi"/>
        </w:rPr>
        <w:t>, vol. 58, no. 4, pp. 823</w:t>
      </w:r>
      <w:r w:rsidR="007B04F1">
        <w:rPr>
          <w:rFonts w:asciiTheme="minorHAnsi" w:hAnsiTheme="minorHAnsi"/>
        </w:rPr>
        <w:t>–</w:t>
      </w:r>
      <w:r w:rsidRPr="004566DC">
        <w:rPr>
          <w:rFonts w:asciiTheme="minorHAnsi" w:hAnsiTheme="minorHAnsi"/>
        </w:rPr>
        <w:t>835.</w:t>
      </w:r>
    </w:p>
    <w:p w14:paraId="5C768731" w14:textId="54A08609" w:rsidR="008E7C05" w:rsidRPr="004566DC" w:rsidRDefault="008E7C05" w:rsidP="008E7C05">
      <w:pPr>
        <w:pStyle w:val="EndNoteBibliography"/>
        <w:rPr>
          <w:rFonts w:asciiTheme="minorHAnsi" w:hAnsiTheme="minorHAnsi"/>
        </w:rPr>
      </w:pPr>
      <w:r w:rsidRPr="004566DC">
        <w:rPr>
          <w:rFonts w:asciiTheme="minorHAnsi" w:hAnsiTheme="minorHAnsi"/>
        </w:rPr>
        <w:t xml:space="preserve">Zvereff, VV, Faruki, H, Edwards, M &amp; Friedman, KJ 2014, 'Cystic fibrosis carrier screening in a North American population', </w:t>
      </w:r>
      <w:r w:rsidRPr="004566DC">
        <w:rPr>
          <w:rFonts w:asciiTheme="minorHAnsi" w:hAnsiTheme="minorHAnsi"/>
          <w:i/>
        </w:rPr>
        <w:t>Genetics in Medicine</w:t>
      </w:r>
      <w:r w:rsidRPr="004566DC">
        <w:rPr>
          <w:rFonts w:asciiTheme="minorHAnsi" w:hAnsiTheme="minorHAnsi"/>
        </w:rPr>
        <w:t>, vol. 16, no. 7, pp. 539</w:t>
      </w:r>
      <w:r w:rsidR="007B04F1">
        <w:rPr>
          <w:rFonts w:asciiTheme="minorHAnsi" w:hAnsiTheme="minorHAnsi"/>
        </w:rPr>
        <w:t>–</w:t>
      </w:r>
      <w:r w:rsidRPr="004566DC">
        <w:rPr>
          <w:rFonts w:asciiTheme="minorHAnsi" w:hAnsiTheme="minorHAnsi"/>
        </w:rPr>
        <w:t>546.</w:t>
      </w:r>
    </w:p>
    <w:p w14:paraId="4A2D4A34" w14:textId="77777777" w:rsidR="001F1A9D" w:rsidRPr="004566DC" w:rsidRDefault="001F1A9D" w:rsidP="001F1A9D">
      <w:pPr>
        <w:pStyle w:val="Heading2"/>
        <w:rPr>
          <w:rFonts w:asciiTheme="minorHAnsi" w:eastAsiaTheme="minorHAnsi" w:hAnsiTheme="minorHAnsi"/>
          <w:lang w:eastAsia="en-US"/>
        </w:rPr>
      </w:pPr>
      <w:bookmarkStart w:id="569" w:name="_Toc418179968"/>
      <w:r w:rsidRPr="004566DC">
        <w:rPr>
          <w:rFonts w:asciiTheme="minorHAnsi" w:eastAsiaTheme="minorHAnsi" w:hAnsiTheme="minorHAnsi"/>
          <w:lang w:eastAsia="en-US"/>
        </w:rPr>
        <w:t>Incorrect intervention</w:t>
      </w:r>
      <w:bookmarkEnd w:id="569"/>
    </w:p>
    <w:p w14:paraId="468479D8" w14:textId="2D42F0B2" w:rsidR="001F1A9D" w:rsidRPr="004566DC" w:rsidRDefault="001F1A9D" w:rsidP="001F1A9D">
      <w:pPr>
        <w:pStyle w:val="EndNoteBibliography"/>
        <w:rPr>
          <w:rFonts w:asciiTheme="minorHAnsi" w:hAnsiTheme="minorHAnsi"/>
        </w:rPr>
      </w:pPr>
      <w:r w:rsidRPr="004566DC">
        <w:rPr>
          <w:rFonts w:asciiTheme="minorHAnsi" w:hAnsiTheme="minorHAnsi"/>
        </w:rPr>
        <w:t xml:space="preserve">Baranov, VS, Gorbunova, VN, Ivaschenko, TE, Shwed, NY, Osinovskaya, NS, Kascheeva, TK, Lebedev, VM, Mikhailov, AV, Vakharlovsky, VG &amp; Kuznetzova, TV 1992, 'Five years' experience of prenatal diagnosis of cystic fibrosis in the former U.S.S.R', </w:t>
      </w:r>
      <w:r w:rsidRPr="004566DC">
        <w:rPr>
          <w:rFonts w:asciiTheme="minorHAnsi" w:hAnsiTheme="minorHAnsi"/>
          <w:i/>
        </w:rPr>
        <w:t>Prenatal Diagnosis</w:t>
      </w:r>
      <w:r w:rsidRPr="004566DC">
        <w:rPr>
          <w:rFonts w:asciiTheme="minorHAnsi" w:hAnsiTheme="minorHAnsi"/>
        </w:rPr>
        <w:t>, vol. 12, no. 7, pp. 575</w:t>
      </w:r>
      <w:r w:rsidR="007B04F1">
        <w:rPr>
          <w:rFonts w:asciiTheme="minorHAnsi" w:hAnsiTheme="minorHAnsi"/>
        </w:rPr>
        <w:t>–</w:t>
      </w:r>
      <w:r w:rsidRPr="004566DC">
        <w:rPr>
          <w:rFonts w:asciiTheme="minorHAnsi" w:hAnsiTheme="minorHAnsi"/>
        </w:rPr>
        <w:t>586.</w:t>
      </w:r>
    </w:p>
    <w:p w14:paraId="20903F82" w14:textId="7C18A5F1" w:rsidR="001F1A9D" w:rsidRPr="004566DC" w:rsidRDefault="001F1A9D" w:rsidP="001F1A9D">
      <w:pPr>
        <w:pStyle w:val="EndNoteBibliography"/>
        <w:rPr>
          <w:rFonts w:asciiTheme="minorHAnsi" w:hAnsiTheme="minorHAnsi"/>
        </w:rPr>
      </w:pPr>
      <w:r w:rsidRPr="004566DC">
        <w:rPr>
          <w:rFonts w:asciiTheme="minorHAnsi" w:hAnsiTheme="minorHAnsi"/>
        </w:rPr>
        <w:t xml:space="preserve">Boue, J, Muller, F, Simon-Bouy, B, Faure, C &amp; Boue, A 1991, 'Consequences of prenatal diagnosis of cystic fibrosis on the reproductive attitudes of parents of affected children', </w:t>
      </w:r>
      <w:r w:rsidRPr="004566DC">
        <w:rPr>
          <w:rFonts w:asciiTheme="minorHAnsi" w:hAnsiTheme="minorHAnsi"/>
          <w:i/>
        </w:rPr>
        <w:t>Prenatal Diagnosis</w:t>
      </w:r>
      <w:r w:rsidRPr="004566DC">
        <w:rPr>
          <w:rFonts w:asciiTheme="minorHAnsi" w:hAnsiTheme="minorHAnsi"/>
        </w:rPr>
        <w:t>, vol. 11, no. 4, pp. 209</w:t>
      </w:r>
      <w:r w:rsidR="007B04F1">
        <w:rPr>
          <w:rFonts w:asciiTheme="minorHAnsi" w:hAnsiTheme="minorHAnsi"/>
        </w:rPr>
        <w:t>–</w:t>
      </w:r>
      <w:r w:rsidRPr="004566DC">
        <w:rPr>
          <w:rFonts w:asciiTheme="minorHAnsi" w:hAnsiTheme="minorHAnsi"/>
        </w:rPr>
        <w:t>214.</w:t>
      </w:r>
    </w:p>
    <w:p w14:paraId="4D8AD6E6" w14:textId="58A3011D" w:rsidR="001F1A9D" w:rsidRPr="004566DC" w:rsidRDefault="001F1A9D" w:rsidP="001F1A9D">
      <w:pPr>
        <w:pStyle w:val="EndNoteBibliography"/>
        <w:rPr>
          <w:rFonts w:asciiTheme="minorHAnsi" w:hAnsiTheme="minorHAnsi"/>
        </w:rPr>
      </w:pPr>
      <w:r w:rsidRPr="004566DC">
        <w:rPr>
          <w:rFonts w:asciiTheme="minorHAnsi" w:hAnsiTheme="minorHAnsi"/>
        </w:rPr>
        <w:t xml:space="preserve">Bustamante-Aragones, A, Gallego-Merlo, J, Trujillo-Tiebas, MJ, de Alba, MR, Gonzalez-Gonzalez, C, Glover, G, Diego-Alvarez, D, Ayuso, C &amp; Ramos, C 2008, 'New strategy for the prenatal detection/exclusion of paternal cystic fibrosis mutations in maternal plasma', </w:t>
      </w:r>
      <w:r w:rsidRPr="004566DC">
        <w:rPr>
          <w:rFonts w:asciiTheme="minorHAnsi" w:hAnsiTheme="minorHAnsi"/>
          <w:i/>
        </w:rPr>
        <w:t>Journal of Cystic Fibrosis</w:t>
      </w:r>
      <w:r w:rsidRPr="004566DC">
        <w:rPr>
          <w:rFonts w:asciiTheme="minorHAnsi" w:hAnsiTheme="minorHAnsi"/>
        </w:rPr>
        <w:t>, vol. 7, no. 6, pp. 505</w:t>
      </w:r>
      <w:r w:rsidR="007B04F1">
        <w:rPr>
          <w:rFonts w:asciiTheme="minorHAnsi" w:hAnsiTheme="minorHAnsi"/>
        </w:rPr>
        <w:t>–</w:t>
      </w:r>
      <w:r w:rsidRPr="004566DC">
        <w:rPr>
          <w:rFonts w:asciiTheme="minorHAnsi" w:hAnsiTheme="minorHAnsi"/>
        </w:rPr>
        <w:t>510.</w:t>
      </w:r>
    </w:p>
    <w:p w14:paraId="0D7205F2" w14:textId="006EAB67" w:rsidR="001F1A9D" w:rsidRPr="004566DC" w:rsidRDefault="001F1A9D" w:rsidP="001F1A9D">
      <w:pPr>
        <w:pStyle w:val="EndNoteBibliography"/>
        <w:rPr>
          <w:rFonts w:asciiTheme="minorHAnsi" w:hAnsiTheme="minorHAnsi"/>
        </w:rPr>
      </w:pPr>
      <w:r w:rsidRPr="004566DC">
        <w:rPr>
          <w:rFonts w:asciiTheme="minorHAnsi" w:hAnsiTheme="minorHAnsi"/>
        </w:rPr>
        <w:t xml:space="preserve">Ch'ang, LY, Tang, K, Schell, M, Ringelberg, C, Matteson, KJ, Allman, SL &amp; Chen, CH 1995, 'Detection of delta F508 mutation of the cystic fibrosis gene by matrix-assisted laser desorption/ionization mass spectrometry', </w:t>
      </w:r>
      <w:r w:rsidRPr="004566DC">
        <w:rPr>
          <w:rFonts w:asciiTheme="minorHAnsi" w:hAnsiTheme="minorHAnsi"/>
          <w:i/>
        </w:rPr>
        <w:t>Rapid Commun</w:t>
      </w:r>
      <w:r w:rsidR="006D57A9">
        <w:rPr>
          <w:rFonts w:asciiTheme="minorHAnsi" w:hAnsiTheme="minorHAnsi"/>
          <w:i/>
        </w:rPr>
        <w:t>ications in</w:t>
      </w:r>
      <w:r w:rsidRPr="004566DC">
        <w:rPr>
          <w:rFonts w:asciiTheme="minorHAnsi" w:hAnsiTheme="minorHAnsi"/>
          <w:i/>
        </w:rPr>
        <w:t xml:space="preserve"> Mass Spectrom</w:t>
      </w:r>
      <w:r w:rsidR="006D57A9">
        <w:rPr>
          <w:rFonts w:asciiTheme="minorHAnsi" w:hAnsiTheme="minorHAnsi"/>
          <w:i/>
        </w:rPr>
        <w:t>etry</w:t>
      </w:r>
      <w:r w:rsidRPr="004566DC">
        <w:rPr>
          <w:rFonts w:asciiTheme="minorHAnsi" w:hAnsiTheme="minorHAnsi"/>
        </w:rPr>
        <w:t>, vol. 9, no. 9, pp. 772</w:t>
      </w:r>
      <w:r w:rsidR="007B04F1">
        <w:rPr>
          <w:rFonts w:asciiTheme="minorHAnsi" w:hAnsiTheme="minorHAnsi"/>
        </w:rPr>
        <w:t>–</w:t>
      </w:r>
      <w:r w:rsidRPr="004566DC">
        <w:rPr>
          <w:rFonts w:asciiTheme="minorHAnsi" w:hAnsiTheme="minorHAnsi"/>
        </w:rPr>
        <w:t>774.</w:t>
      </w:r>
    </w:p>
    <w:p w14:paraId="36A9E2CE" w14:textId="671AE326" w:rsidR="001F1A9D" w:rsidRPr="004566DC" w:rsidRDefault="001F1A9D" w:rsidP="001F1A9D">
      <w:pPr>
        <w:pStyle w:val="EndNoteBibliography"/>
        <w:rPr>
          <w:rFonts w:asciiTheme="minorHAnsi" w:hAnsiTheme="minorHAnsi"/>
        </w:rPr>
      </w:pPr>
      <w:r w:rsidRPr="004566DC">
        <w:rPr>
          <w:rFonts w:asciiTheme="minorHAnsi" w:hAnsiTheme="minorHAnsi"/>
        </w:rPr>
        <w:t xml:space="preserve">Glasscoe, C, Lancaster, GA, Smyth, RL &amp; Hill, J 2007, 'Parental </w:t>
      </w:r>
      <w:r w:rsidR="00667D80">
        <w:rPr>
          <w:rFonts w:asciiTheme="minorHAnsi" w:hAnsiTheme="minorHAnsi"/>
        </w:rPr>
        <w:t>d</w:t>
      </w:r>
      <w:r w:rsidRPr="004566DC">
        <w:rPr>
          <w:rFonts w:asciiTheme="minorHAnsi" w:hAnsiTheme="minorHAnsi"/>
        </w:rPr>
        <w:t xml:space="preserve">epression </w:t>
      </w:r>
      <w:r w:rsidR="00667D80">
        <w:rPr>
          <w:rFonts w:asciiTheme="minorHAnsi" w:hAnsiTheme="minorHAnsi"/>
        </w:rPr>
        <w:t>f</w:t>
      </w:r>
      <w:r w:rsidRPr="004566DC">
        <w:rPr>
          <w:rFonts w:asciiTheme="minorHAnsi" w:hAnsiTheme="minorHAnsi"/>
        </w:rPr>
        <w:t xml:space="preserve">ollowing the </w:t>
      </w:r>
      <w:r w:rsidR="00667D80">
        <w:rPr>
          <w:rFonts w:asciiTheme="minorHAnsi" w:hAnsiTheme="minorHAnsi"/>
        </w:rPr>
        <w:t>e</w:t>
      </w:r>
      <w:r w:rsidRPr="004566DC">
        <w:rPr>
          <w:rFonts w:asciiTheme="minorHAnsi" w:hAnsiTheme="minorHAnsi"/>
        </w:rPr>
        <w:t xml:space="preserve">arly </w:t>
      </w:r>
      <w:r w:rsidR="00667D80">
        <w:rPr>
          <w:rFonts w:asciiTheme="minorHAnsi" w:hAnsiTheme="minorHAnsi"/>
        </w:rPr>
        <w:t>d</w:t>
      </w:r>
      <w:r w:rsidRPr="004566DC">
        <w:rPr>
          <w:rFonts w:asciiTheme="minorHAnsi" w:hAnsiTheme="minorHAnsi"/>
        </w:rPr>
        <w:t xml:space="preserve">iagnosis of </w:t>
      </w:r>
      <w:r w:rsidR="00667D80">
        <w:rPr>
          <w:rFonts w:asciiTheme="minorHAnsi" w:hAnsiTheme="minorHAnsi"/>
        </w:rPr>
        <w:t>c</w:t>
      </w:r>
      <w:r w:rsidRPr="004566DC">
        <w:rPr>
          <w:rFonts w:asciiTheme="minorHAnsi" w:hAnsiTheme="minorHAnsi"/>
        </w:rPr>
        <w:t xml:space="preserve">ystic </w:t>
      </w:r>
      <w:r w:rsidR="00667D80">
        <w:rPr>
          <w:rFonts w:asciiTheme="minorHAnsi" w:hAnsiTheme="minorHAnsi"/>
        </w:rPr>
        <w:t>f</w:t>
      </w:r>
      <w:r w:rsidRPr="004566DC">
        <w:rPr>
          <w:rFonts w:asciiTheme="minorHAnsi" w:hAnsiTheme="minorHAnsi"/>
        </w:rPr>
        <w:t xml:space="preserve">ibrosis: </w:t>
      </w:r>
      <w:r w:rsidR="00667D80">
        <w:rPr>
          <w:rFonts w:asciiTheme="minorHAnsi" w:hAnsiTheme="minorHAnsi"/>
        </w:rPr>
        <w:t>a</w:t>
      </w:r>
      <w:r w:rsidRPr="004566DC">
        <w:rPr>
          <w:rFonts w:asciiTheme="minorHAnsi" w:hAnsiTheme="minorHAnsi"/>
        </w:rPr>
        <w:t xml:space="preserve"> </w:t>
      </w:r>
      <w:r w:rsidR="00667D80">
        <w:rPr>
          <w:rFonts w:asciiTheme="minorHAnsi" w:hAnsiTheme="minorHAnsi"/>
        </w:rPr>
        <w:t>m</w:t>
      </w:r>
      <w:r w:rsidRPr="004566DC">
        <w:rPr>
          <w:rFonts w:asciiTheme="minorHAnsi" w:hAnsiTheme="minorHAnsi"/>
        </w:rPr>
        <w:t xml:space="preserve">atched, </w:t>
      </w:r>
      <w:r w:rsidR="00667D80">
        <w:rPr>
          <w:rFonts w:asciiTheme="minorHAnsi" w:hAnsiTheme="minorHAnsi"/>
        </w:rPr>
        <w:t>p</w:t>
      </w:r>
      <w:r w:rsidRPr="004566DC">
        <w:rPr>
          <w:rFonts w:asciiTheme="minorHAnsi" w:hAnsiTheme="minorHAnsi"/>
        </w:rPr>
        <w:t xml:space="preserve">rospective </w:t>
      </w:r>
      <w:r w:rsidR="00667D80">
        <w:rPr>
          <w:rFonts w:asciiTheme="minorHAnsi" w:hAnsiTheme="minorHAnsi"/>
        </w:rPr>
        <w:t>s</w:t>
      </w:r>
      <w:r w:rsidRPr="004566DC">
        <w:rPr>
          <w:rFonts w:asciiTheme="minorHAnsi" w:hAnsiTheme="minorHAnsi"/>
        </w:rPr>
        <w:t xml:space="preserve">tudy', </w:t>
      </w:r>
      <w:r w:rsidRPr="004566DC">
        <w:rPr>
          <w:rFonts w:asciiTheme="minorHAnsi" w:hAnsiTheme="minorHAnsi"/>
          <w:i/>
        </w:rPr>
        <w:t>Journal of Pediatrics</w:t>
      </w:r>
      <w:r w:rsidRPr="004566DC">
        <w:rPr>
          <w:rFonts w:asciiTheme="minorHAnsi" w:hAnsiTheme="minorHAnsi"/>
        </w:rPr>
        <w:t>, vol. 150, no. 2, pp. 185</w:t>
      </w:r>
      <w:r w:rsidR="00667D80">
        <w:rPr>
          <w:rFonts w:asciiTheme="minorHAnsi" w:hAnsiTheme="minorHAnsi"/>
        </w:rPr>
        <w:t>–</w:t>
      </w:r>
      <w:r w:rsidRPr="004566DC">
        <w:rPr>
          <w:rFonts w:asciiTheme="minorHAnsi" w:hAnsiTheme="minorHAnsi"/>
        </w:rPr>
        <w:t>191.</w:t>
      </w:r>
    </w:p>
    <w:p w14:paraId="6A6A417A" w14:textId="23DB45C8" w:rsidR="001F1A9D" w:rsidRPr="004566DC" w:rsidRDefault="001F1A9D" w:rsidP="001F1A9D">
      <w:pPr>
        <w:pStyle w:val="EndNoteBibliography"/>
        <w:rPr>
          <w:rFonts w:asciiTheme="minorHAnsi" w:hAnsiTheme="minorHAnsi"/>
        </w:rPr>
      </w:pPr>
      <w:r w:rsidRPr="004566DC">
        <w:rPr>
          <w:rFonts w:asciiTheme="minorHAnsi" w:hAnsiTheme="minorHAnsi"/>
        </w:rPr>
        <w:t xml:space="preserve">Holloway, S &amp; Brock, DJ 1994, 'Cascade testing for the identification of carriers of cystic fibrosis', </w:t>
      </w:r>
      <w:r w:rsidRPr="004566DC">
        <w:rPr>
          <w:rFonts w:asciiTheme="minorHAnsi" w:hAnsiTheme="minorHAnsi"/>
          <w:i/>
        </w:rPr>
        <w:t xml:space="preserve">Journal of </w:t>
      </w:r>
      <w:r w:rsidR="00712513">
        <w:rPr>
          <w:rFonts w:asciiTheme="minorHAnsi" w:hAnsiTheme="minorHAnsi"/>
          <w:i/>
        </w:rPr>
        <w:t>M</w:t>
      </w:r>
      <w:r w:rsidRPr="004566DC">
        <w:rPr>
          <w:rFonts w:asciiTheme="minorHAnsi" w:hAnsiTheme="minorHAnsi"/>
          <w:i/>
        </w:rPr>
        <w:t xml:space="preserve">edical </w:t>
      </w:r>
      <w:r w:rsidR="00712513">
        <w:rPr>
          <w:rFonts w:asciiTheme="minorHAnsi" w:hAnsiTheme="minorHAnsi"/>
          <w:i/>
        </w:rPr>
        <w:t>S</w:t>
      </w:r>
      <w:r w:rsidRPr="004566DC">
        <w:rPr>
          <w:rFonts w:asciiTheme="minorHAnsi" w:hAnsiTheme="minorHAnsi"/>
          <w:i/>
        </w:rPr>
        <w:t>creening</w:t>
      </w:r>
      <w:r w:rsidRPr="004566DC">
        <w:rPr>
          <w:rFonts w:asciiTheme="minorHAnsi" w:hAnsiTheme="minorHAnsi"/>
        </w:rPr>
        <w:t>, vol. 1, no. 3, pp. 159</w:t>
      </w:r>
      <w:r w:rsidR="00712513">
        <w:rPr>
          <w:rFonts w:asciiTheme="minorHAnsi" w:hAnsiTheme="minorHAnsi"/>
        </w:rPr>
        <w:t>–</w:t>
      </w:r>
      <w:r w:rsidRPr="004566DC">
        <w:rPr>
          <w:rFonts w:asciiTheme="minorHAnsi" w:hAnsiTheme="minorHAnsi"/>
        </w:rPr>
        <w:t>164.</w:t>
      </w:r>
    </w:p>
    <w:p w14:paraId="16FD09D9" w14:textId="08EFA358" w:rsidR="001F1A9D" w:rsidRPr="004566DC" w:rsidRDefault="001F1A9D" w:rsidP="001F1A9D">
      <w:pPr>
        <w:pStyle w:val="EndNoteBibliography"/>
        <w:rPr>
          <w:rFonts w:asciiTheme="minorHAnsi" w:hAnsiTheme="minorHAnsi"/>
        </w:rPr>
      </w:pPr>
      <w:r w:rsidRPr="004566DC">
        <w:rPr>
          <w:rFonts w:asciiTheme="minorHAnsi" w:hAnsiTheme="minorHAnsi"/>
        </w:rPr>
        <w:t xml:space="preserve">Lissens, W, Vercammen, M, Foulon, W, De Catte, L, Dab, I, Malfroot, A, Bonduelle, M &amp; Liebaers, I 1989, 'Prenatal diagnosis of cystic fibrosis using closely linked DNA probes', </w:t>
      </w:r>
      <w:r w:rsidRPr="004566DC">
        <w:rPr>
          <w:rFonts w:asciiTheme="minorHAnsi" w:hAnsiTheme="minorHAnsi"/>
          <w:i/>
        </w:rPr>
        <w:t xml:space="preserve">Journal of </w:t>
      </w:r>
      <w:r w:rsidR="00712513">
        <w:rPr>
          <w:rFonts w:asciiTheme="minorHAnsi" w:hAnsiTheme="minorHAnsi"/>
          <w:i/>
        </w:rPr>
        <w:t>I</w:t>
      </w:r>
      <w:r w:rsidRPr="004566DC">
        <w:rPr>
          <w:rFonts w:asciiTheme="minorHAnsi" w:hAnsiTheme="minorHAnsi"/>
          <w:i/>
        </w:rPr>
        <w:t xml:space="preserve">nherited </w:t>
      </w:r>
      <w:r w:rsidR="00712513">
        <w:rPr>
          <w:rFonts w:asciiTheme="minorHAnsi" w:hAnsiTheme="minorHAnsi"/>
          <w:i/>
        </w:rPr>
        <w:t>M</w:t>
      </w:r>
      <w:r w:rsidRPr="004566DC">
        <w:rPr>
          <w:rFonts w:asciiTheme="minorHAnsi" w:hAnsiTheme="minorHAnsi"/>
          <w:i/>
        </w:rPr>
        <w:t xml:space="preserve">etabolic </w:t>
      </w:r>
      <w:r w:rsidR="00712513">
        <w:rPr>
          <w:rFonts w:asciiTheme="minorHAnsi" w:hAnsiTheme="minorHAnsi"/>
          <w:i/>
        </w:rPr>
        <w:t>D</w:t>
      </w:r>
      <w:r w:rsidRPr="004566DC">
        <w:rPr>
          <w:rFonts w:asciiTheme="minorHAnsi" w:hAnsiTheme="minorHAnsi"/>
          <w:i/>
        </w:rPr>
        <w:t>isease</w:t>
      </w:r>
      <w:r w:rsidRPr="004566DC">
        <w:rPr>
          <w:rFonts w:asciiTheme="minorHAnsi" w:hAnsiTheme="minorHAnsi"/>
        </w:rPr>
        <w:t>, vol. 12</w:t>
      </w:r>
      <w:r w:rsidR="006D57A9">
        <w:rPr>
          <w:rFonts w:asciiTheme="minorHAnsi" w:hAnsiTheme="minorHAnsi"/>
        </w:rPr>
        <w:t>,</w:t>
      </w:r>
      <w:r w:rsidRPr="004566DC">
        <w:rPr>
          <w:rFonts w:asciiTheme="minorHAnsi" w:hAnsiTheme="minorHAnsi"/>
        </w:rPr>
        <w:t xml:space="preserve"> </w:t>
      </w:r>
      <w:r w:rsidR="006D57A9">
        <w:rPr>
          <w:rFonts w:asciiTheme="minorHAnsi" w:hAnsiTheme="minorHAnsi"/>
        </w:rPr>
        <w:t>s</w:t>
      </w:r>
      <w:r w:rsidRPr="004566DC">
        <w:rPr>
          <w:rFonts w:asciiTheme="minorHAnsi" w:hAnsiTheme="minorHAnsi"/>
        </w:rPr>
        <w:t>uppl</w:t>
      </w:r>
      <w:r w:rsidR="00712513">
        <w:rPr>
          <w:rFonts w:asciiTheme="minorHAnsi" w:hAnsiTheme="minorHAnsi"/>
        </w:rPr>
        <w:t>.</w:t>
      </w:r>
      <w:r w:rsidRPr="004566DC">
        <w:rPr>
          <w:rFonts w:asciiTheme="minorHAnsi" w:hAnsiTheme="minorHAnsi"/>
        </w:rPr>
        <w:t xml:space="preserve"> 2, pp. 308</w:t>
      </w:r>
      <w:r w:rsidR="00712513">
        <w:rPr>
          <w:rFonts w:asciiTheme="minorHAnsi" w:hAnsiTheme="minorHAnsi"/>
        </w:rPr>
        <w:t>–</w:t>
      </w:r>
      <w:r w:rsidRPr="004566DC">
        <w:rPr>
          <w:rFonts w:asciiTheme="minorHAnsi" w:hAnsiTheme="minorHAnsi"/>
        </w:rPr>
        <w:t>310.</w:t>
      </w:r>
    </w:p>
    <w:p w14:paraId="46299A39" w14:textId="6C5A21DC" w:rsidR="001F1A9D" w:rsidRPr="004566DC" w:rsidRDefault="001F1A9D" w:rsidP="001F1A9D">
      <w:pPr>
        <w:pStyle w:val="EndNoteBibliography"/>
        <w:rPr>
          <w:rFonts w:asciiTheme="minorHAnsi" w:hAnsiTheme="minorHAnsi"/>
        </w:rPr>
      </w:pPr>
      <w:r w:rsidRPr="004566DC">
        <w:rPr>
          <w:rFonts w:asciiTheme="minorHAnsi" w:hAnsiTheme="minorHAnsi"/>
        </w:rPr>
        <w:t xml:space="preserve">Marteau, TM &amp; Lerman, C 2001, 'Genetic risk and behavioural change', </w:t>
      </w:r>
      <w:r w:rsidRPr="004566DC">
        <w:rPr>
          <w:rFonts w:asciiTheme="minorHAnsi" w:hAnsiTheme="minorHAnsi"/>
          <w:i/>
        </w:rPr>
        <w:t>British Medical Journal</w:t>
      </w:r>
      <w:r w:rsidRPr="004566DC">
        <w:rPr>
          <w:rFonts w:asciiTheme="minorHAnsi" w:hAnsiTheme="minorHAnsi"/>
        </w:rPr>
        <w:t>, vol. 322, no. 7293, pp. 1056</w:t>
      </w:r>
      <w:r w:rsidR="005835E5">
        <w:rPr>
          <w:rFonts w:asciiTheme="minorHAnsi" w:hAnsiTheme="minorHAnsi"/>
        </w:rPr>
        <w:t>–</w:t>
      </w:r>
      <w:r w:rsidRPr="004566DC">
        <w:rPr>
          <w:rFonts w:asciiTheme="minorHAnsi" w:hAnsiTheme="minorHAnsi"/>
        </w:rPr>
        <w:t>1059.</w:t>
      </w:r>
    </w:p>
    <w:p w14:paraId="50B97A70" w14:textId="58D1EC48" w:rsidR="001F1A9D" w:rsidRPr="004566DC" w:rsidRDefault="001F1A9D" w:rsidP="001F1A9D">
      <w:pPr>
        <w:pStyle w:val="EndNoteBibliography"/>
        <w:rPr>
          <w:rFonts w:asciiTheme="minorHAnsi" w:hAnsiTheme="minorHAnsi"/>
        </w:rPr>
      </w:pPr>
      <w:r w:rsidRPr="004566DC">
        <w:rPr>
          <w:rFonts w:asciiTheme="minorHAnsi" w:hAnsiTheme="minorHAnsi"/>
        </w:rPr>
        <w:t xml:space="preserve">Richards, B, Skoletsky, J, Shuber, AP, Balfour, R, Stern, RC, Dorkin, HL, Parad, RB, Witt, D &amp; Klinger, KW 1993, 'Multiplex PCR amplification from the </w:t>
      </w:r>
      <w:r w:rsidR="00A21FD9" w:rsidRPr="004566DC">
        <w:rPr>
          <w:rFonts w:asciiTheme="minorHAnsi" w:hAnsiTheme="minorHAnsi"/>
          <w:i/>
        </w:rPr>
        <w:t>CFTR</w:t>
      </w:r>
      <w:r w:rsidRPr="004566DC">
        <w:rPr>
          <w:rFonts w:asciiTheme="minorHAnsi" w:hAnsiTheme="minorHAnsi"/>
        </w:rPr>
        <w:t xml:space="preserve"> gene using DNA prepared from buccal brushes/swabs', </w:t>
      </w:r>
      <w:r w:rsidRPr="004566DC">
        <w:rPr>
          <w:rFonts w:asciiTheme="minorHAnsi" w:hAnsiTheme="minorHAnsi"/>
          <w:i/>
        </w:rPr>
        <w:t>Human Molecular Genetics</w:t>
      </w:r>
      <w:r w:rsidRPr="004566DC">
        <w:rPr>
          <w:rFonts w:asciiTheme="minorHAnsi" w:hAnsiTheme="minorHAnsi"/>
        </w:rPr>
        <w:t>, vol. 2, no. 2, pp. 159</w:t>
      </w:r>
      <w:r w:rsidR="005835E5">
        <w:rPr>
          <w:rFonts w:asciiTheme="minorHAnsi" w:hAnsiTheme="minorHAnsi"/>
        </w:rPr>
        <w:t>–</w:t>
      </w:r>
      <w:r w:rsidRPr="004566DC">
        <w:rPr>
          <w:rFonts w:asciiTheme="minorHAnsi" w:hAnsiTheme="minorHAnsi"/>
        </w:rPr>
        <w:t>163.</w:t>
      </w:r>
    </w:p>
    <w:p w14:paraId="32CBC365" w14:textId="08626DA3" w:rsidR="001F1A9D" w:rsidRPr="004566DC" w:rsidRDefault="001F1A9D" w:rsidP="001F1A9D">
      <w:pPr>
        <w:pStyle w:val="EndNoteBibliography"/>
        <w:rPr>
          <w:rFonts w:asciiTheme="minorHAnsi" w:hAnsiTheme="minorHAnsi"/>
        </w:rPr>
      </w:pPr>
      <w:r w:rsidRPr="004566DC">
        <w:rPr>
          <w:rFonts w:asciiTheme="minorHAnsi" w:hAnsiTheme="minorHAnsi"/>
        </w:rPr>
        <w:t xml:space="preserve">Saha, E, Mullins, EWS, Paramasivam, G, Kumar, S &amp; Lakasing, L 2012, 'Perinatal outcomes of fetal echogenic bowel', </w:t>
      </w:r>
      <w:r w:rsidRPr="004566DC">
        <w:rPr>
          <w:rFonts w:asciiTheme="minorHAnsi" w:hAnsiTheme="minorHAnsi"/>
          <w:i/>
        </w:rPr>
        <w:t>Prenatal Diagnosis</w:t>
      </w:r>
      <w:r w:rsidRPr="004566DC">
        <w:rPr>
          <w:rFonts w:asciiTheme="minorHAnsi" w:hAnsiTheme="minorHAnsi"/>
        </w:rPr>
        <w:t>, vol. 32, no. 8, pp. 758</w:t>
      </w:r>
      <w:r w:rsidR="005835E5">
        <w:rPr>
          <w:rFonts w:asciiTheme="minorHAnsi" w:hAnsiTheme="minorHAnsi"/>
        </w:rPr>
        <w:t>–</w:t>
      </w:r>
      <w:r w:rsidRPr="004566DC">
        <w:rPr>
          <w:rFonts w:asciiTheme="minorHAnsi" w:hAnsiTheme="minorHAnsi"/>
        </w:rPr>
        <w:t>764.</w:t>
      </w:r>
    </w:p>
    <w:p w14:paraId="69399EFE" w14:textId="4314B3C5"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Seia, M, Cozzi, G, Sereni, L, Ferrari, M, Cremonesi, L, Covone, AE, Fenu, L, Ronchetto, P, Devoto, M &amp; Romeo, G 1991, 'DNA technology for prenatal diagnosis of cystic fibrosis in Italy', </w:t>
      </w:r>
      <w:r w:rsidRPr="004566DC">
        <w:rPr>
          <w:rFonts w:asciiTheme="minorHAnsi" w:hAnsiTheme="minorHAnsi"/>
          <w:i/>
        </w:rPr>
        <w:t>Advances in Experimental Medicine and Biology</w:t>
      </w:r>
      <w:r w:rsidRPr="004566DC">
        <w:rPr>
          <w:rFonts w:asciiTheme="minorHAnsi" w:hAnsiTheme="minorHAnsi"/>
        </w:rPr>
        <w:t>, vol. 290, pp. 399</w:t>
      </w:r>
      <w:r w:rsidR="005835E5">
        <w:rPr>
          <w:rFonts w:asciiTheme="minorHAnsi" w:hAnsiTheme="minorHAnsi"/>
        </w:rPr>
        <w:t>–</w:t>
      </w:r>
      <w:r w:rsidRPr="004566DC">
        <w:rPr>
          <w:rFonts w:asciiTheme="minorHAnsi" w:hAnsiTheme="minorHAnsi"/>
        </w:rPr>
        <w:t>402.</w:t>
      </w:r>
    </w:p>
    <w:p w14:paraId="1596B58E" w14:textId="4686587C" w:rsidR="001F1A9D" w:rsidRPr="004566DC" w:rsidRDefault="001F1A9D" w:rsidP="001F1A9D">
      <w:pPr>
        <w:pStyle w:val="EndNoteBibliography"/>
        <w:rPr>
          <w:rFonts w:asciiTheme="minorHAnsi" w:hAnsiTheme="minorHAnsi"/>
        </w:rPr>
      </w:pPr>
      <w:r w:rsidRPr="004566DC">
        <w:rPr>
          <w:rFonts w:asciiTheme="minorHAnsi" w:hAnsiTheme="minorHAnsi"/>
        </w:rPr>
        <w:t xml:space="preserve">Török, O, Tóth, Z, Szabó, M &amp; Papp, Z 1990, 'Ultrasound diagnosis and screening of fetal cystic fibrosis', </w:t>
      </w:r>
      <w:r w:rsidRPr="004566DC">
        <w:rPr>
          <w:rFonts w:asciiTheme="minorHAnsi" w:hAnsiTheme="minorHAnsi"/>
          <w:i/>
        </w:rPr>
        <w:t>Acta Universitatis Carolinae Medica</w:t>
      </w:r>
      <w:r w:rsidRPr="004566DC">
        <w:rPr>
          <w:rFonts w:asciiTheme="minorHAnsi" w:hAnsiTheme="minorHAnsi"/>
        </w:rPr>
        <w:t>, vol. 36, no. 1</w:t>
      </w:r>
      <w:r w:rsidR="005835E5">
        <w:rPr>
          <w:rFonts w:asciiTheme="minorHAnsi" w:hAnsiTheme="minorHAnsi"/>
        </w:rPr>
        <w:t>–</w:t>
      </w:r>
      <w:r w:rsidRPr="004566DC">
        <w:rPr>
          <w:rFonts w:asciiTheme="minorHAnsi" w:hAnsiTheme="minorHAnsi"/>
        </w:rPr>
        <w:t>4, pp. 139</w:t>
      </w:r>
      <w:r w:rsidR="005835E5">
        <w:rPr>
          <w:rFonts w:asciiTheme="minorHAnsi" w:hAnsiTheme="minorHAnsi"/>
        </w:rPr>
        <w:t>–</w:t>
      </w:r>
      <w:r w:rsidRPr="004566DC">
        <w:rPr>
          <w:rFonts w:asciiTheme="minorHAnsi" w:hAnsiTheme="minorHAnsi"/>
        </w:rPr>
        <w:t>141.</w:t>
      </w:r>
    </w:p>
    <w:p w14:paraId="4450BB77" w14:textId="2AFD640A" w:rsidR="001F1A9D" w:rsidRPr="004566DC" w:rsidRDefault="001F1A9D" w:rsidP="001F1A9D">
      <w:pPr>
        <w:pStyle w:val="EndNoteBibliography"/>
        <w:rPr>
          <w:rFonts w:asciiTheme="minorHAnsi" w:hAnsiTheme="minorHAnsi"/>
        </w:rPr>
      </w:pPr>
      <w:r w:rsidRPr="004566DC">
        <w:rPr>
          <w:rFonts w:asciiTheme="minorHAnsi" w:hAnsiTheme="minorHAnsi"/>
        </w:rPr>
        <w:t xml:space="preserve">Vavrova, V, Tomasova, H &amp; Macek, M 1989, 'Results of second trimester prenatal diagnosis of cystic fibrosis in risk families', </w:t>
      </w:r>
      <w:r w:rsidRPr="004566DC">
        <w:rPr>
          <w:rFonts w:asciiTheme="minorHAnsi" w:hAnsiTheme="minorHAnsi"/>
          <w:i/>
        </w:rPr>
        <w:t>Czechoslovak Medicine</w:t>
      </w:r>
      <w:r w:rsidRPr="004566DC">
        <w:rPr>
          <w:rFonts w:asciiTheme="minorHAnsi" w:hAnsiTheme="minorHAnsi"/>
        </w:rPr>
        <w:t>, vol. 12, no. 2, pp. 96</w:t>
      </w:r>
      <w:r w:rsidR="005835E5">
        <w:rPr>
          <w:rFonts w:asciiTheme="minorHAnsi" w:hAnsiTheme="minorHAnsi"/>
        </w:rPr>
        <w:t>–</w:t>
      </w:r>
      <w:r w:rsidRPr="004566DC">
        <w:rPr>
          <w:rFonts w:asciiTheme="minorHAnsi" w:hAnsiTheme="minorHAnsi"/>
        </w:rPr>
        <w:t>100.</w:t>
      </w:r>
    </w:p>
    <w:p w14:paraId="4783D47C" w14:textId="55F3A90D" w:rsidR="001F1A9D" w:rsidRPr="004566DC" w:rsidRDefault="001F1A9D" w:rsidP="001F1A9D">
      <w:pPr>
        <w:pStyle w:val="EndNoteBibliography"/>
        <w:rPr>
          <w:rFonts w:asciiTheme="minorHAnsi" w:hAnsiTheme="minorHAnsi"/>
        </w:rPr>
      </w:pPr>
      <w:r w:rsidRPr="004566DC">
        <w:rPr>
          <w:rFonts w:asciiTheme="minorHAnsi" w:hAnsiTheme="minorHAnsi"/>
        </w:rPr>
        <w:t xml:space="preserve">Wertz, DC, Rosenfield, JM, Janes, SR &amp; Erbe, RW 1991, 'Attitudes toward abortion among parents of children with cystic fibrosis', </w:t>
      </w:r>
      <w:r w:rsidRPr="004566DC">
        <w:rPr>
          <w:rFonts w:asciiTheme="minorHAnsi" w:hAnsiTheme="minorHAnsi"/>
          <w:i/>
        </w:rPr>
        <w:t>American Journal of Public Health</w:t>
      </w:r>
      <w:r w:rsidRPr="004566DC">
        <w:rPr>
          <w:rFonts w:asciiTheme="minorHAnsi" w:hAnsiTheme="minorHAnsi"/>
        </w:rPr>
        <w:t>, vol. 81, no. 8, pp. 992</w:t>
      </w:r>
      <w:r w:rsidR="005835E5">
        <w:rPr>
          <w:rFonts w:asciiTheme="minorHAnsi" w:hAnsiTheme="minorHAnsi"/>
        </w:rPr>
        <w:t>–</w:t>
      </w:r>
      <w:r w:rsidRPr="004566DC">
        <w:rPr>
          <w:rFonts w:asciiTheme="minorHAnsi" w:hAnsiTheme="minorHAnsi"/>
        </w:rPr>
        <w:t>996.</w:t>
      </w:r>
    </w:p>
    <w:p w14:paraId="277B70A4" w14:textId="77777777" w:rsidR="001F1A9D" w:rsidRPr="004566DC" w:rsidRDefault="001F1A9D" w:rsidP="001F1A9D">
      <w:pPr>
        <w:pStyle w:val="Heading2"/>
        <w:rPr>
          <w:rFonts w:asciiTheme="minorHAnsi" w:eastAsiaTheme="minorHAnsi" w:hAnsiTheme="minorHAnsi"/>
          <w:lang w:eastAsia="en-US"/>
        </w:rPr>
      </w:pPr>
      <w:bookmarkStart w:id="570" w:name="_Toc418179969"/>
      <w:r w:rsidRPr="004566DC">
        <w:rPr>
          <w:rFonts w:asciiTheme="minorHAnsi" w:eastAsiaTheme="minorHAnsi" w:hAnsiTheme="minorHAnsi"/>
          <w:lang w:eastAsia="en-US"/>
        </w:rPr>
        <w:t>Incorrect or no outcomes</w:t>
      </w:r>
      <w:bookmarkEnd w:id="570"/>
    </w:p>
    <w:p w14:paraId="459D0404" w14:textId="7FA93441" w:rsidR="001F1A9D" w:rsidRPr="004566DC" w:rsidRDefault="001F1A9D" w:rsidP="001F1A9D">
      <w:pPr>
        <w:pStyle w:val="EndNoteBibliography"/>
        <w:rPr>
          <w:rFonts w:asciiTheme="minorHAnsi" w:hAnsiTheme="minorHAnsi"/>
        </w:rPr>
      </w:pPr>
      <w:r w:rsidRPr="004566DC">
        <w:rPr>
          <w:rFonts w:asciiTheme="minorHAnsi" w:hAnsiTheme="minorHAnsi"/>
        </w:rPr>
        <w:t xml:space="preserve">Amato, F, Bellia, C, Cardillo, G, Castaldo, G, Ciaccio, M, Elce, A, Lembo, F &amp; Tomaiuolo, R 2012, 'Extensive molecular analysis of patients bearing </w:t>
      </w:r>
      <w:r w:rsidR="00FD37D3" w:rsidRPr="004566DC">
        <w:rPr>
          <w:rFonts w:asciiTheme="minorHAnsi" w:hAnsiTheme="minorHAnsi"/>
        </w:rPr>
        <w:t>CFTR</w:t>
      </w:r>
      <w:r w:rsidRPr="004566DC">
        <w:rPr>
          <w:rFonts w:asciiTheme="minorHAnsi" w:hAnsiTheme="minorHAnsi"/>
        </w:rPr>
        <w:t xml:space="preserve">-related disorders', </w:t>
      </w:r>
      <w:r w:rsidRPr="004566DC">
        <w:rPr>
          <w:rFonts w:asciiTheme="minorHAnsi" w:hAnsiTheme="minorHAnsi"/>
          <w:i/>
        </w:rPr>
        <w:t>Journal of Molecular Diagnostics</w:t>
      </w:r>
      <w:r w:rsidRPr="004566DC">
        <w:rPr>
          <w:rFonts w:asciiTheme="minorHAnsi" w:hAnsiTheme="minorHAnsi"/>
        </w:rPr>
        <w:t>, vol. 14, no. 1, pp. 81</w:t>
      </w:r>
      <w:r w:rsidR="005835E5">
        <w:rPr>
          <w:rFonts w:asciiTheme="minorHAnsi" w:hAnsiTheme="minorHAnsi"/>
        </w:rPr>
        <w:t>–</w:t>
      </w:r>
      <w:r w:rsidRPr="004566DC">
        <w:rPr>
          <w:rFonts w:asciiTheme="minorHAnsi" w:hAnsiTheme="minorHAnsi"/>
        </w:rPr>
        <w:t>89.</w:t>
      </w:r>
    </w:p>
    <w:p w14:paraId="7F7F6BF2" w14:textId="5504FE8B" w:rsidR="001F1A9D" w:rsidRPr="004566DC" w:rsidRDefault="001F1A9D" w:rsidP="001F1A9D">
      <w:pPr>
        <w:pStyle w:val="EndNoteBibliography"/>
        <w:rPr>
          <w:rFonts w:asciiTheme="minorHAnsi" w:hAnsiTheme="minorHAnsi"/>
        </w:rPr>
      </w:pPr>
      <w:r w:rsidRPr="004566DC">
        <w:rPr>
          <w:rFonts w:asciiTheme="minorHAnsi" w:hAnsiTheme="minorHAnsi"/>
        </w:rPr>
        <w:t>Ashavaid, TF, Dherai, AJ, Kondkar, AA, Raghavan, R, Udani, SV, Udwadia, ZF &amp; Desai, D 2003, 'Molecular diagnosis of cystic fibrosis in Indian patients</w:t>
      </w:r>
      <w:r w:rsidR="005835E5">
        <w:rPr>
          <w:rFonts w:asciiTheme="minorHAnsi" w:hAnsiTheme="minorHAnsi"/>
        </w:rPr>
        <w:t>:</w:t>
      </w:r>
      <w:r w:rsidRPr="004566DC">
        <w:rPr>
          <w:rFonts w:asciiTheme="minorHAnsi" w:hAnsiTheme="minorHAnsi"/>
        </w:rPr>
        <w:t xml:space="preserve"> </w:t>
      </w:r>
      <w:r w:rsidR="005835E5">
        <w:rPr>
          <w:rFonts w:asciiTheme="minorHAnsi" w:hAnsiTheme="minorHAnsi"/>
        </w:rPr>
        <w:t>a</w:t>
      </w:r>
      <w:r w:rsidRPr="004566DC">
        <w:rPr>
          <w:rFonts w:asciiTheme="minorHAnsi" w:hAnsiTheme="minorHAnsi"/>
        </w:rPr>
        <w:t xml:space="preserve"> preliminary report', </w:t>
      </w:r>
      <w:r w:rsidRPr="004566DC">
        <w:rPr>
          <w:rFonts w:asciiTheme="minorHAnsi" w:hAnsiTheme="minorHAnsi"/>
          <w:i/>
        </w:rPr>
        <w:t>Journal of Association of Physicians of India</w:t>
      </w:r>
      <w:r w:rsidRPr="004566DC">
        <w:rPr>
          <w:rFonts w:asciiTheme="minorHAnsi" w:hAnsiTheme="minorHAnsi"/>
        </w:rPr>
        <w:t>, vol. 51, pp. 345</w:t>
      </w:r>
      <w:r w:rsidR="005835E5">
        <w:rPr>
          <w:rFonts w:asciiTheme="minorHAnsi" w:hAnsiTheme="minorHAnsi"/>
        </w:rPr>
        <w:t>–</w:t>
      </w:r>
      <w:r w:rsidRPr="004566DC">
        <w:rPr>
          <w:rFonts w:asciiTheme="minorHAnsi" w:hAnsiTheme="minorHAnsi"/>
        </w:rPr>
        <w:t>348.</w:t>
      </w:r>
    </w:p>
    <w:p w14:paraId="50522E0A" w14:textId="3BA5FFF3" w:rsidR="001F1A9D" w:rsidRPr="004566DC" w:rsidRDefault="001F1A9D" w:rsidP="001F1A9D">
      <w:pPr>
        <w:pStyle w:val="EndNoteBibliography"/>
        <w:rPr>
          <w:rFonts w:asciiTheme="minorHAnsi" w:hAnsiTheme="minorHAnsi"/>
        </w:rPr>
      </w:pPr>
      <w:r w:rsidRPr="004566DC">
        <w:rPr>
          <w:rFonts w:asciiTheme="minorHAnsi" w:hAnsiTheme="minorHAnsi"/>
        </w:rPr>
        <w:t xml:space="preserve">Berlin, BM, Norton, ME, Sugarman, EA, Tsipis, JE &amp; Allitto, BA 1999, 'Cystic fibrosis and chromosome abnormalities associated with echogenic fetal bowel', </w:t>
      </w:r>
      <w:r w:rsidRPr="004566DC">
        <w:rPr>
          <w:rFonts w:asciiTheme="minorHAnsi" w:hAnsiTheme="minorHAnsi"/>
          <w:i/>
        </w:rPr>
        <w:t>Obstetrics and Gynecology</w:t>
      </w:r>
      <w:r w:rsidRPr="004566DC">
        <w:rPr>
          <w:rFonts w:asciiTheme="minorHAnsi" w:hAnsiTheme="minorHAnsi"/>
        </w:rPr>
        <w:t>, vol. 94, no. 1, pp. 135</w:t>
      </w:r>
      <w:r w:rsidR="005835E5">
        <w:rPr>
          <w:rFonts w:asciiTheme="minorHAnsi" w:hAnsiTheme="minorHAnsi"/>
        </w:rPr>
        <w:t>–</w:t>
      </w:r>
      <w:r w:rsidRPr="004566DC">
        <w:rPr>
          <w:rFonts w:asciiTheme="minorHAnsi" w:hAnsiTheme="minorHAnsi"/>
        </w:rPr>
        <w:t>138.</w:t>
      </w:r>
    </w:p>
    <w:p w14:paraId="1E74CD3A" w14:textId="6A58E4DE" w:rsidR="001F1A9D" w:rsidRPr="004566DC" w:rsidRDefault="001F1A9D" w:rsidP="001F1A9D">
      <w:pPr>
        <w:pStyle w:val="EndNoteBibliography"/>
        <w:rPr>
          <w:rFonts w:asciiTheme="minorHAnsi" w:hAnsiTheme="minorHAnsi"/>
        </w:rPr>
      </w:pPr>
      <w:r w:rsidRPr="004566DC">
        <w:rPr>
          <w:rFonts w:asciiTheme="minorHAnsi" w:hAnsiTheme="minorHAnsi"/>
        </w:rPr>
        <w:t xml:space="preserve">Bertuzzo, CS &amp; Pinto Jr, W 2006, 'Molecular screening of </w:t>
      </w:r>
      <w:r w:rsidR="00A21FD9" w:rsidRPr="004566DC">
        <w:rPr>
          <w:rFonts w:asciiTheme="minorHAnsi" w:hAnsiTheme="minorHAnsi"/>
          <w:i/>
        </w:rPr>
        <w:t>CFTR</w:t>
      </w:r>
      <w:r w:rsidRPr="004566DC">
        <w:rPr>
          <w:rFonts w:asciiTheme="minorHAnsi" w:hAnsiTheme="minorHAnsi"/>
        </w:rPr>
        <w:t xml:space="preserve"> gene in Brazilian men with bilateral agenesis of the vas deferens', </w:t>
      </w:r>
      <w:r w:rsidRPr="004566DC">
        <w:rPr>
          <w:rFonts w:asciiTheme="minorHAnsi" w:hAnsiTheme="minorHAnsi"/>
          <w:i/>
        </w:rPr>
        <w:t>Human Fertility</w:t>
      </w:r>
      <w:r w:rsidRPr="004566DC">
        <w:rPr>
          <w:rFonts w:asciiTheme="minorHAnsi" w:hAnsiTheme="minorHAnsi"/>
        </w:rPr>
        <w:t>, vol. 9, no. 1, pp. 53</w:t>
      </w:r>
      <w:r w:rsidR="005835E5">
        <w:rPr>
          <w:rFonts w:asciiTheme="minorHAnsi" w:hAnsiTheme="minorHAnsi"/>
        </w:rPr>
        <w:t>–</w:t>
      </w:r>
      <w:r w:rsidRPr="004566DC">
        <w:rPr>
          <w:rFonts w:asciiTheme="minorHAnsi" w:hAnsiTheme="minorHAnsi"/>
        </w:rPr>
        <w:t>56.</w:t>
      </w:r>
    </w:p>
    <w:p w14:paraId="397EF67E" w14:textId="6F50FF73" w:rsidR="001F1A9D" w:rsidRPr="004566DC" w:rsidRDefault="001F1A9D" w:rsidP="001F1A9D">
      <w:pPr>
        <w:pStyle w:val="EndNoteBibliography"/>
        <w:rPr>
          <w:rFonts w:asciiTheme="minorHAnsi" w:hAnsiTheme="minorHAnsi"/>
        </w:rPr>
      </w:pPr>
      <w:r w:rsidRPr="004566DC">
        <w:rPr>
          <w:rFonts w:asciiTheme="minorHAnsi" w:hAnsiTheme="minorHAnsi"/>
        </w:rPr>
        <w:t xml:space="preserve">Bombieri, C, Benetazzo, M, Saccomani, A, Belpinati, F, Gilè, LS, Luisetti, M &amp; Pignatti, PF 1998, 'Complete mutational screening of the </w:t>
      </w:r>
      <w:r w:rsidR="00A21FD9" w:rsidRPr="004566DC">
        <w:rPr>
          <w:rFonts w:asciiTheme="minorHAnsi" w:hAnsiTheme="minorHAnsi"/>
          <w:i/>
        </w:rPr>
        <w:t>CFTR</w:t>
      </w:r>
      <w:r w:rsidRPr="004566DC">
        <w:rPr>
          <w:rFonts w:asciiTheme="minorHAnsi" w:hAnsiTheme="minorHAnsi"/>
        </w:rPr>
        <w:t xml:space="preserve"> gene in 120 patients with pulmonary disease', </w:t>
      </w:r>
      <w:r w:rsidRPr="004566DC">
        <w:rPr>
          <w:rFonts w:asciiTheme="minorHAnsi" w:hAnsiTheme="minorHAnsi"/>
          <w:i/>
        </w:rPr>
        <w:t>Human Genetics</w:t>
      </w:r>
      <w:r w:rsidRPr="004566DC">
        <w:rPr>
          <w:rFonts w:asciiTheme="minorHAnsi" w:hAnsiTheme="minorHAnsi"/>
        </w:rPr>
        <w:t>, vol. 103, no. 6, pp. 718</w:t>
      </w:r>
      <w:r w:rsidR="005835E5">
        <w:rPr>
          <w:rFonts w:asciiTheme="minorHAnsi" w:hAnsiTheme="minorHAnsi"/>
        </w:rPr>
        <w:t>–</w:t>
      </w:r>
      <w:r w:rsidRPr="004566DC">
        <w:rPr>
          <w:rFonts w:asciiTheme="minorHAnsi" w:hAnsiTheme="minorHAnsi"/>
        </w:rPr>
        <w:t>722.</w:t>
      </w:r>
    </w:p>
    <w:p w14:paraId="16EB3701" w14:textId="33CFB2FE" w:rsidR="001F1A9D" w:rsidRPr="004566DC" w:rsidRDefault="001F1A9D" w:rsidP="001F1A9D">
      <w:pPr>
        <w:pStyle w:val="EndNoteBibliography"/>
        <w:rPr>
          <w:rFonts w:asciiTheme="minorHAnsi" w:hAnsiTheme="minorHAnsi"/>
        </w:rPr>
      </w:pPr>
      <w:r w:rsidRPr="004566DC">
        <w:rPr>
          <w:rFonts w:asciiTheme="minorHAnsi" w:hAnsiTheme="minorHAnsi"/>
        </w:rPr>
        <w:t xml:space="preserve">Bonyadi, M, Omrani, O, Rafeey, M &amp; Bilan, N 2011, 'Spectrum of </w:t>
      </w:r>
      <w:r w:rsidR="00A21FD9" w:rsidRPr="004566DC">
        <w:rPr>
          <w:rFonts w:asciiTheme="minorHAnsi" w:hAnsiTheme="minorHAnsi"/>
          <w:i/>
        </w:rPr>
        <w:t>CFTR</w:t>
      </w:r>
      <w:r w:rsidRPr="004566DC">
        <w:rPr>
          <w:rFonts w:asciiTheme="minorHAnsi" w:hAnsiTheme="minorHAnsi"/>
        </w:rPr>
        <w:t xml:space="preserve"> gene mutations in Iranian Azeri Turkish patients with cystic fibrosis', </w:t>
      </w:r>
      <w:r w:rsidRPr="004566DC">
        <w:rPr>
          <w:rFonts w:asciiTheme="minorHAnsi" w:hAnsiTheme="minorHAnsi"/>
          <w:i/>
        </w:rPr>
        <w:t>Genet</w:t>
      </w:r>
      <w:r w:rsidR="005835E5">
        <w:rPr>
          <w:rFonts w:asciiTheme="minorHAnsi" w:hAnsiTheme="minorHAnsi"/>
          <w:i/>
        </w:rPr>
        <w:t>ic</w:t>
      </w:r>
      <w:r w:rsidRPr="004566DC">
        <w:rPr>
          <w:rFonts w:asciiTheme="minorHAnsi" w:hAnsiTheme="minorHAnsi"/>
          <w:i/>
        </w:rPr>
        <w:t xml:space="preserve"> Test</w:t>
      </w:r>
      <w:r w:rsidR="005835E5">
        <w:rPr>
          <w:rFonts w:asciiTheme="minorHAnsi" w:hAnsiTheme="minorHAnsi"/>
          <w:i/>
        </w:rPr>
        <w:t>ing and</w:t>
      </w:r>
      <w:r w:rsidRPr="004566DC">
        <w:rPr>
          <w:rFonts w:asciiTheme="minorHAnsi" w:hAnsiTheme="minorHAnsi"/>
          <w:i/>
        </w:rPr>
        <w:t xml:space="preserve"> Mol</w:t>
      </w:r>
      <w:r w:rsidR="005835E5">
        <w:rPr>
          <w:rFonts w:asciiTheme="minorHAnsi" w:hAnsiTheme="minorHAnsi"/>
          <w:i/>
        </w:rPr>
        <w:t>ecular</w:t>
      </w:r>
      <w:r w:rsidRPr="004566DC">
        <w:rPr>
          <w:rFonts w:asciiTheme="minorHAnsi" w:hAnsiTheme="minorHAnsi"/>
          <w:i/>
        </w:rPr>
        <w:t xml:space="preserve"> Biomarkers</w:t>
      </w:r>
      <w:r w:rsidRPr="004566DC">
        <w:rPr>
          <w:rFonts w:asciiTheme="minorHAnsi" w:hAnsiTheme="minorHAnsi"/>
        </w:rPr>
        <w:t>, vol. 15, no. 1</w:t>
      </w:r>
      <w:r w:rsidR="005835E5">
        <w:rPr>
          <w:rFonts w:asciiTheme="minorHAnsi" w:hAnsiTheme="minorHAnsi"/>
        </w:rPr>
        <w:t>–</w:t>
      </w:r>
      <w:r w:rsidRPr="004566DC">
        <w:rPr>
          <w:rFonts w:asciiTheme="minorHAnsi" w:hAnsiTheme="minorHAnsi"/>
        </w:rPr>
        <w:t>2, pp. 89</w:t>
      </w:r>
      <w:r w:rsidR="005835E5">
        <w:rPr>
          <w:rFonts w:asciiTheme="minorHAnsi" w:hAnsiTheme="minorHAnsi"/>
        </w:rPr>
        <w:t>–</w:t>
      </w:r>
      <w:r w:rsidRPr="004566DC">
        <w:rPr>
          <w:rFonts w:asciiTheme="minorHAnsi" w:hAnsiTheme="minorHAnsi"/>
        </w:rPr>
        <w:t>92.</w:t>
      </w:r>
    </w:p>
    <w:p w14:paraId="08709599" w14:textId="1EDDC838" w:rsidR="001F1A9D" w:rsidRPr="004566DC" w:rsidRDefault="001F1A9D" w:rsidP="001F1A9D">
      <w:pPr>
        <w:pStyle w:val="EndNoteBibliography"/>
        <w:rPr>
          <w:rFonts w:asciiTheme="minorHAnsi" w:hAnsiTheme="minorHAnsi"/>
        </w:rPr>
      </w:pPr>
      <w:r w:rsidRPr="004566DC">
        <w:rPr>
          <w:rFonts w:asciiTheme="minorHAnsi" w:hAnsiTheme="minorHAnsi"/>
        </w:rPr>
        <w:t xml:space="preserve">Bozon, D, Maire, I, Vialle, A, Mandon, G, Guibaud, P &amp; Gilly, R 1989, 'Prenatal diagnosis of cystic fibrosis: experience of two complementary methods', </w:t>
      </w:r>
      <w:r w:rsidRPr="004566DC">
        <w:rPr>
          <w:rFonts w:asciiTheme="minorHAnsi" w:hAnsiTheme="minorHAnsi"/>
          <w:i/>
        </w:rPr>
        <w:t xml:space="preserve">Journal of </w:t>
      </w:r>
      <w:r w:rsidR="005835E5">
        <w:rPr>
          <w:rFonts w:asciiTheme="minorHAnsi" w:hAnsiTheme="minorHAnsi"/>
          <w:i/>
        </w:rPr>
        <w:t>I</w:t>
      </w:r>
      <w:r w:rsidRPr="004566DC">
        <w:rPr>
          <w:rFonts w:asciiTheme="minorHAnsi" w:hAnsiTheme="minorHAnsi"/>
          <w:i/>
        </w:rPr>
        <w:t xml:space="preserve">nherited </w:t>
      </w:r>
      <w:r w:rsidR="005835E5">
        <w:rPr>
          <w:rFonts w:asciiTheme="minorHAnsi" w:hAnsiTheme="minorHAnsi"/>
          <w:i/>
        </w:rPr>
        <w:t>M</w:t>
      </w:r>
      <w:r w:rsidRPr="004566DC">
        <w:rPr>
          <w:rFonts w:asciiTheme="minorHAnsi" w:hAnsiTheme="minorHAnsi"/>
          <w:i/>
        </w:rPr>
        <w:t xml:space="preserve">etabolic </w:t>
      </w:r>
      <w:r w:rsidR="005835E5">
        <w:rPr>
          <w:rFonts w:asciiTheme="minorHAnsi" w:hAnsiTheme="minorHAnsi"/>
          <w:i/>
        </w:rPr>
        <w:t>D</w:t>
      </w:r>
      <w:r w:rsidRPr="004566DC">
        <w:rPr>
          <w:rFonts w:asciiTheme="minorHAnsi" w:hAnsiTheme="minorHAnsi"/>
          <w:i/>
        </w:rPr>
        <w:t>isease</w:t>
      </w:r>
      <w:r w:rsidRPr="004566DC">
        <w:rPr>
          <w:rFonts w:asciiTheme="minorHAnsi" w:hAnsiTheme="minorHAnsi"/>
        </w:rPr>
        <w:t>, vol. 12</w:t>
      </w:r>
      <w:r w:rsidR="005835E5">
        <w:rPr>
          <w:rFonts w:asciiTheme="minorHAnsi" w:hAnsiTheme="minorHAnsi"/>
        </w:rPr>
        <w:t>,</w:t>
      </w:r>
      <w:r w:rsidRPr="004566DC">
        <w:rPr>
          <w:rFonts w:asciiTheme="minorHAnsi" w:hAnsiTheme="minorHAnsi"/>
        </w:rPr>
        <w:t xml:space="preserve"> </w:t>
      </w:r>
      <w:r w:rsidR="006D57A9">
        <w:rPr>
          <w:rFonts w:asciiTheme="minorHAnsi" w:hAnsiTheme="minorHAnsi"/>
        </w:rPr>
        <w:t>s</w:t>
      </w:r>
      <w:r w:rsidRPr="004566DC">
        <w:rPr>
          <w:rFonts w:asciiTheme="minorHAnsi" w:hAnsiTheme="minorHAnsi"/>
        </w:rPr>
        <w:t>uppl</w:t>
      </w:r>
      <w:r w:rsidR="005835E5">
        <w:rPr>
          <w:rFonts w:asciiTheme="minorHAnsi" w:hAnsiTheme="minorHAnsi"/>
        </w:rPr>
        <w:t>.</w:t>
      </w:r>
      <w:r w:rsidRPr="004566DC">
        <w:rPr>
          <w:rFonts w:asciiTheme="minorHAnsi" w:hAnsiTheme="minorHAnsi"/>
        </w:rPr>
        <w:t xml:space="preserve"> 2, pp. 305</w:t>
      </w:r>
      <w:r w:rsidR="005835E5">
        <w:rPr>
          <w:rFonts w:asciiTheme="minorHAnsi" w:hAnsiTheme="minorHAnsi"/>
        </w:rPr>
        <w:t>–</w:t>
      </w:r>
      <w:r w:rsidRPr="004566DC">
        <w:rPr>
          <w:rFonts w:asciiTheme="minorHAnsi" w:hAnsiTheme="minorHAnsi"/>
        </w:rPr>
        <w:t>307.</w:t>
      </w:r>
    </w:p>
    <w:p w14:paraId="29B9F1B8" w14:textId="464B72F7" w:rsidR="001F1A9D" w:rsidRPr="004566DC" w:rsidRDefault="001F1A9D" w:rsidP="001F1A9D">
      <w:pPr>
        <w:pStyle w:val="EndNoteBibliography"/>
        <w:rPr>
          <w:rFonts w:asciiTheme="minorHAnsi" w:hAnsiTheme="minorHAnsi"/>
        </w:rPr>
      </w:pPr>
      <w:r w:rsidRPr="004566DC">
        <w:rPr>
          <w:rFonts w:asciiTheme="minorHAnsi" w:hAnsiTheme="minorHAnsi"/>
        </w:rPr>
        <w:t xml:space="preserve">Cheadle, JP, Goodchild, MC &amp; Meredith, AL 1993, 'Direct sequencing of the complete </w:t>
      </w:r>
      <w:r w:rsidR="00A21FD9" w:rsidRPr="004566DC">
        <w:rPr>
          <w:rFonts w:asciiTheme="minorHAnsi" w:hAnsiTheme="minorHAnsi"/>
          <w:i/>
        </w:rPr>
        <w:t>CFTR</w:t>
      </w:r>
      <w:r w:rsidRPr="004566DC">
        <w:rPr>
          <w:rFonts w:asciiTheme="minorHAnsi" w:hAnsiTheme="minorHAnsi"/>
        </w:rPr>
        <w:t xml:space="preserve"> gene: </w:t>
      </w:r>
      <w:r w:rsidR="003F76BD">
        <w:rPr>
          <w:rFonts w:asciiTheme="minorHAnsi" w:hAnsiTheme="minorHAnsi"/>
        </w:rPr>
        <w:t>t</w:t>
      </w:r>
      <w:r w:rsidRPr="004566DC">
        <w:rPr>
          <w:rFonts w:asciiTheme="minorHAnsi" w:hAnsiTheme="minorHAnsi"/>
        </w:rPr>
        <w:t xml:space="preserve">he molecular characterisation of 99.5% of CF chromosomes in Wales', </w:t>
      </w:r>
      <w:r w:rsidRPr="004566DC">
        <w:rPr>
          <w:rFonts w:asciiTheme="minorHAnsi" w:hAnsiTheme="minorHAnsi"/>
          <w:i/>
        </w:rPr>
        <w:t>Human Molecular Genetics</w:t>
      </w:r>
      <w:r w:rsidRPr="004566DC">
        <w:rPr>
          <w:rFonts w:asciiTheme="minorHAnsi" w:hAnsiTheme="minorHAnsi"/>
        </w:rPr>
        <w:t>, vol. 2, no. 10, pp. 1551</w:t>
      </w:r>
      <w:r w:rsidR="003F76BD">
        <w:rPr>
          <w:rFonts w:asciiTheme="minorHAnsi" w:hAnsiTheme="minorHAnsi"/>
        </w:rPr>
        <w:t>–</w:t>
      </w:r>
      <w:r w:rsidRPr="004566DC">
        <w:rPr>
          <w:rFonts w:asciiTheme="minorHAnsi" w:hAnsiTheme="minorHAnsi"/>
        </w:rPr>
        <w:t>1556.</w:t>
      </w:r>
    </w:p>
    <w:p w14:paraId="4EB8C38D" w14:textId="57BC0375" w:rsidR="001F1A9D" w:rsidRPr="004566DC" w:rsidRDefault="001F1A9D" w:rsidP="001F1A9D">
      <w:pPr>
        <w:pStyle w:val="EndNoteBibliography"/>
        <w:rPr>
          <w:rFonts w:asciiTheme="minorHAnsi" w:hAnsiTheme="minorHAnsi"/>
        </w:rPr>
      </w:pPr>
      <w:r w:rsidRPr="004566DC">
        <w:rPr>
          <w:rFonts w:asciiTheme="minorHAnsi" w:hAnsiTheme="minorHAnsi"/>
        </w:rPr>
        <w:t xml:space="preserve">Chiba-Falek, O, Nissim-Rafinia, M, Argaman, Z, Genem, A, Moran, I, Kerem, E &amp; Kerem, B 1998, 'Screening of </w:t>
      </w:r>
      <w:r w:rsidR="00FD37D3" w:rsidRPr="004566DC">
        <w:rPr>
          <w:rFonts w:asciiTheme="minorHAnsi" w:hAnsiTheme="minorHAnsi"/>
        </w:rPr>
        <w:t>CFTR</w:t>
      </w:r>
      <w:r w:rsidRPr="004566DC">
        <w:rPr>
          <w:rFonts w:asciiTheme="minorHAnsi" w:hAnsiTheme="minorHAnsi"/>
        </w:rPr>
        <w:t xml:space="preserve"> mutations in an isolated population: </w:t>
      </w:r>
      <w:r w:rsidR="003F76BD">
        <w:rPr>
          <w:rFonts w:asciiTheme="minorHAnsi" w:hAnsiTheme="minorHAnsi"/>
        </w:rPr>
        <w:t>i</w:t>
      </w:r>
      <w:r w:rsidRPr="004566DC">
        <w:rPr>
          <w:rFonts w:asciiTheme="minorHAnsi" w:hAnsiTheme="minorHAnsi"/>
        </w:rPr>
        <w:t xml:space="preserve">dentification of carriers and patients', </w:t>
      </w:r>
      <w:r w:rsidRPr="004566DC">
        <w:rPr>
          <w:rFonts w:asciiTheme="minorHAnsi" w:hAnsiTheme="minorHAnsi"/>
          <w:i/>
        </w:rPr>
        <w:t>European Journal of Human Genetics</w:t>
      </w:r>
      <w:r w:rsidRPr="004566DC">
        <w:rPr>
          <w:rFonts w:asciiTheme="minorHAnsi" w:hAnsiTheme="minorHAnsi"/>
        </w:rPr>
        <w:t>, vol. 6, no. 2, pp. 181</w:t>
      </w:r>
      <w:r w:rsidR="003F76BD">
        <w:rPr>
          <w:rFonts w:asciiTheme="minorHAnsi" w:hAnsiTheme="minorHAnsi"/>
        </w:rPr>
        <w:t>–</w:t>
      </w:r>
      <w:r w:rsidRPr="004566DC">
        <w:rPr>
          <w:rFonts w:asciiTheme="minorHAnsi" w:hAnsiTheme="minorHAnsi"/>
        </w:rPr>
        <w:t>184.</w:t>
      </w:r>
    </w:p>
    <w:p w14:paraId="37804CAA" w14:textId="62DD804F" w:rsidR="001F1A9D" w:rsidRPr="004566DC" w:rsidRDefault="001F1A9D" w:rsidP="001F1A9D">
      <w:pPr>
        <w:pStyle w:val="EndNoteBibliography"/>
        <w:rPr>
          <w:rFonts w:asciiTheme="minorHAnsi" w:hAnsiTheme="minorHAnsi"/>
        </w:rPr>
      </w:pPr>
      <w:r w:rsidRPr="004566DC">
        <w:rPr>
          <w:rFonts w:asciiTheme="minorHAnsi" w:hAnsiTheme="minorHAnsi"/>
        </w:rPr>
        <w:t xml:space="preserve">Chillon, M, Casals, T, Mercier, B, Bassas, L, Lissens, W, Silber, S, Romey, MC, Ruiz-Romero, J, Verlingue, C, Claustres, M, Nunes, V, Ferec, C &amp; Estivill, X 1995, 'Mutations in the cystic fibrosis gene in patients with congenital absence of the vas deferens', </w:t>
      </w:r>
      <w:r w:rsidRPr="004566DC">
        <w:rPr>
          <w:rFonts w:asciiTheme="minorHAnsi" w:hAnsiTheme="minorHAnsi"/>
          <w:i/>
        </w:rPr>
        <w:t>New England Journal of Medicine</w:t>
      </w:r>
      <w:r w:rsidRPr="004566DC">
        <w:rPr>
          <w:rFonts w:asciiTheme="minorHAnsi" w:hAnsiTheme="minorHAnsi"/>
        </w:rPr>
        <w:t>, vol. 332, no. 22, pp. 1475</w:t>
      </w:r>
      <w:r w:rsidR="003F76BD">
        <w:rPr>
          <w:rFonts w:asciiTheme="minorHAnsi" w:hAnsiTheme="minorHAnsi"/>
        </w:rPr>
        <w:t>–</w:t>
      </w:r>
      <w:r w:rsidRPr="004566DC">
        <w:rPr>
          <w:rFonts w:asciiTheme="minorHAnsi" w:hAnsiTheme="minorHAnsi"/>
        </w:rPr>
        <w:t>1480.</w:t>
      </w:r>
    </w:p>
    <w:p w14:paraId="2676468F" w14:textId="66904A9C"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Claustres, M, Desgeorges, M, Kjellberg, P, Bellet, H, Demaille, J &amp; Ramsay, M 1990, 'Cystic fibrosis typing with DNA probes and screening for ΔF508 deletion in families from Southern France', </w:t>
      </w:r>
      <w:r w:rsidRPr="004566DC">
        <w:rPr>
          <w:rFonts w:asciiTheme="minorHAnsi" w:hAnsiTheme="minorHAnsi"/>
          <w:i/>
        </w:rPr>
        <w:t>Human Genetics</w:t>
      </w:r>
      <w:r w:rsidRPr="004566DC">
        <w:rPr>
          <w:rFonts w:asciiTheme="minorHAnsi" w:hAnsiTheme="minorHAnsi"/>
        </w:rPr>
        <w:t>, vol. 85, no. 4, pp. 398</w:t>
      </w:r>
      <w:r w:rsidR="003F76BD">
        <w:rPr>
          <w:rFonts w:asciiTheme="minorHAnsi" w:hAnsiTheme="minorHAnsi"/>
        </w:rPr>
        <w:t>–</w:t>
      </w:r>
      <w:r w:rsidRPr="004566DC">
        <w:rPr>
          <w:rFonts w:asciiTheme="minorHAnsi" w:hAnsiTheme="minorHAnsi"/>
        </w:rPr>
        <w:t>399.</w:t>
      </w:r>
    </w:p>
    <w:p w14:paraId="4ADC41C1" w14:textId="218E7D2E" w:rsidR="001F1A9D" w:rsidRPr="004566DC" w:rsidRDefault="001F1A9D" w:rsidP="001F1A9D">
      <w:pPr>
        <w:pStyle w:val="EndNoteBibliography"/>
        <w:rPr>
          <w:rFonts w:asciiTheme="minorHAnsi" w:hAnsiTheme="minorHAnsi"/>
        </w:rPr>
      </w:pPr>
      <w:r w:rsidRPr="004566DC">
        <w:rPr>
          <w:rFonts w:asciiTheme="minorHAnsi" w:hAnsiTheme="minorHAnsi"/>
        </w:rPr>
        <w:t xml:space="preserve">Claustres, M, Guittard, C, Bozon, D, Chevalier, F, Verlingue, C, Ferec, C, Girodon, E, Cazeneuve, C, Bienvenu, T, Lalau, G, Dumur, V, Feldmann, D, Bieth, E, Blayau, M, Clavel, C, Creveaux, I, Malinge, MC, Monnier, N, Malzac, P, Mittre, H, Chomel, JC, Bonnefont, JP, Iron, A, Chery, M &amp; Georges, MD 2000, 'Spectrum </w:t>
      </w:r>
      <w:r w:rsidR="00FD37D3" w:rsidRPr="004566DC">
        <w:rPr>
          <w:rFonts w:asciiTheme="minorHAnsi" w:hAnsiTheme="minorHAnsi"/>
        </w:rPr>
        <w:t>CFTR</w:t>
      </w:r>
      <w:r w:rsidRPr="004566DC">
        <w:rPr>
          <w:rFonts w:asciiTheme="minorHAnsi" w:hAnsiTheme="minorHAnsi"/>
        </w:rPr>
        <w:t xml:space="preserve"> mutations in cystic fibrosis and in congenital absence of the vas deferens in France', </w:t>
      </w:r>
      <w:r w:rsidRPr="004566DC">
        <w:rPr>
          <w:rFonts w:asciiTheme="minorHAnsi" w:hAnsiTheme="minorHAnsi"/>
          <w:i/>
        </w:rPr>
        <w:t>Human Mutation</w:t>
      </w:r>
      <w:r w:rsidRPr="004566DC">
        <w:rPr>
          <w:rFonts w:asciiTheme="minorHAnsi" w:hAnsiTheme="minorHAnsi"/>
        </w:rPr>
        <w:t>, vol. 16, no. 2, pp. 143</w:t>
      </w:r>
      <w:r w:rsidR="003F76BD">
        <w:rPr>
          <w:rFonts w:asciiTheme="minorHAnsi" w:hAnsiTheme="minorHAnsi"/>
        </w:rPr>
        <w:t>–</w:t>
      </w:r>
      <w:r w:rsidRPr="004566DC">
        <w:rPr>
          <w:rFonts w:asciiTheme="minorHAnsi" w:hAnsiTheme="minorHAnsi"/>
        </w:rPr>
        <w:t>156.</w:t>
      </w:r>
    </w:p>
    <w:p w14:paraId="4096DEE6" w14:textId="5C30C4DE" w:rsidR="001F1A9D" w:rsidRPr="004566DC" w:rsidRDefault="001F1A9D" w:rsidP="001F1A9D">
      <w:pPr>
        <w:pStyle w:val="EndNoteBibliography"/>
        <w:rPr>
          <w:rFonts w:asciiTheme="minorHAnsi" w:hAnsiTheme="minorHAnsi"/>
        </w:rPr>
      </w:pPr>
      <w:r w:rsidRPr="004566DC">
        <w:rPr>
          <w:rFonts w:asciiTheme="minorHAnsi" w:hAnsiTheme="minorHAnsi"/>
        </w:rPr>
        <w:t xml:space="preserve">Delvaux, I, Van Tongerloo, A, Messiaen, L, Van Loon, C, De Bie, S, Mortier, G &amp; De Paepe, A 2001, 'Carrier screening for cystic fibrosis in a prenatal setting', </w:t>
      </w:r>
      <w:r w:rsidRPr="004566DC">
        <w:rPr>
          <w:rFonts w:asciiTheme="minorHAnsi" w:hAnsiTheme="minorHAnsi"/>
          <w:i/>
        </w:rPr>
        <w:t>Genetic Testing</w:t>
      </w:r>
      <w:r w:rsidRPr="004566DC">
        <w:rPr>
          <w:rFonts w:asciiTheme="minorHAnsi" w:hAnsiTheme="minorHAnsi"/>
        </w:rPr>
        <w:t>, vol. 5, no. 2, pp. 117</w:t>
      </w:r>
      <w:r w:rsidR="003F76BD">
        <w:rPr>
          <w:rFonts w:asciiTheme="minorHAnsi" w:hAnsiTheme="minorHAnsi"/>
        </w:rPr>
        <w:t>–</w:t>
      </w:r>
      <w:r w:rsidRPr="004566DC">
        <w:rPr>
          <w:rFonts w:asciiTheme="minorHAnsi" w:hAnsiTheme="minorHAnsi"/>
        </w:rPr>
        <w:t>125.</w:t>
      </w:r>
    </w:p>
    <w:p w14:paraId="3E0E13F2" w14:textId="771DBFDB" w:rsidR="001F1A9D" w:rsidRPr="004566DC" w:rsidRDefault="001F1A9D" w:rsidP="001F1A9D">
      <w:pPr>
        <w:pStyle w:val="EndNoteBibliography"/>
        <w:rPr>
          <w:rFonts w:asciiTheme="minorHAnsi" w:hAnsiTheme="minorHAnsi"/>
        </w:rPr>
      </w:pPr>
      <w:r w:rsidRPr="004566DC">
        <w:rPr>
          <w:rFonts w:asciiTheme="minorHAnsi" w:hAnsiTheme="minorHAnsi"/>
        </w:rPr>
        <w:t xml:space="preserve">Giannattasio, S, Bobba, A, Jurgelevičius, V, Vacca, RA, Lattanzio, P, Merafina, RS, Utkus, A, Kučinskas, V &amp; Marra, E 2006, 'Molecular basis of cystic fibrosis in Lithuania: </w:t>
      </w:r>
      <w:r w:rsidR="003F76BD">
        <w:rPr>
          <w:rFonts w:asciiTheme="minorHAnsi" w:hAnsiTheme="minorHAnsi"/>
        </w:rPr>
        <w:t>i</w:t>
      </w:r>
      <w:r w:rsidRPr="004566DC">
        <w:rPr>
          <w:rFonts w:asciiTheme="minorHAnsi" w:hAnsiTheme="minorHAnsi"/>
        </w:rPr>
        <w:t xml:space="preserve">ncomplete </w:t>
      </w:r>
      <w:r w:rsidR="00FD37D3" w:rsidRPr="004566DC">
        <w:rPr>
          <w:rFonts w:asciiTheme="minorHAnsi" w:hAnsiTheme="minorHAnsi"/>
        </w:rPr>
        <w:t>CFTR</w:t>
      </w:r>
      <w:r w:rsidRPr="004566DC">
        <w:rPr>
          <w:rFonts w:asciiTheme="minorHAnsi" w:hAnsiTheme="minorHAnsi"/>
        </w:rPr>
        <w:t xml:space="preserve"> mutation detection by PCR-based screening protocols', </w:t>
      </w:r>
      <w:r w:rsidRPr="004566DC">
        <w:rPr>
          <w:rFonts w:asciiTheme="minorHAnsi" w:hAnsiTheme="minorHAnsi"/>
          <w:i/>
        </w:rPr>
        <w:t>Genetic Testing</w:t>
      </w:r>
      <w:r w:rsidRPr="004566DC">
        <w:rPr>
          <w:rFonts w:asciiTheme="minorHAnsi" w:hAnsiTheme="minorHAnsi"/>
        </w:rPr>
        <w:t>, vol. 10, no. 3, pp. 169</w:t>
      </w:r>
      <w:r w:rsidR="003F76BD">
        <w:rPr>
          <w:rFonts w:asciiTheme="minorHAnsi" w:hAnsiTheme="minorHAnsi"/>
        </w:rPr>
        <w:t>–</w:t>
      </w:r>
      <w:r w:rsidRPr="004566DC">
        <w:rPr>
          <w:rFonts w:asciiTheme="minorHAnsi" w:hAnsiTheme="minorHAnsi"/>
        </w:rPr>
        <w:t>173.</w:t>
      </w:r>
    </w:p>
    <w:p w14:paraId="11A5234E" w14:textId="4B563955" w:rsidR="001F1A9D" w:rsidRPr="004566DC" w:rsidRDefault="001F1A9D" w:rsidP="001F1A9D">
      <w:pPr>
        <w:pStyle w:val="EndNoteBibliography"/>
        <w:rPr>
          <w:rFonts w:asciiTheme="minorHAnsi" w:hAnsiTheme="minorHAnsi"/>
        </w:rPr>
      </w:pPr>
      <w:r w:rsidRPr="004566DC">
        <w:rPr>
          <w:rFonts w:asciiTheme="minorHAnsi" w:hAnsiTheme="minorHAnsi"/>
        </w:rPr>
        <w:t xml:space="preserve">Giordano, S, Amato, F, Elce, A, Monti, M, Iannone, C, Pucci, P, Seia, M, Angioni, A, Zarrilli, F, Castaldo, G &amp; Tomaiuolo, R 2013, 'Molecular and functional analysis of the large 5′ promoter region of </w:t>
      </w:r>
      <w:r w:rsidR="00A21FD9" w:rsidRPr="004566DC">
        <w:rPr>
          <w:rFonts w:asciiTheme="minorHAnsi" w:hAnsiTheme="minorHAnsi"/>
          <w:i/>
        </w:rPr>
        <w:t>CFTR</w:t>
      </w:r>
      <w:r w:rsidRPr="004566DC">
        <w:rPr>
          <w:rFonts w:asciiTheme="minorHAnsi" w:hAnsiTheme="minorHAnsi"/>
        </w:rPr>
        <w:t xml:space="preserve"> gene revealed pathogenic mutations in CF and </w:t>
      </w:r>
      <w:r w:rsidR="00FD37D3" w:rsidRPr="004566DC">
        <w:rPr>
          <w:rFonts w:asciiTheme="minorHAnsi" w:hAnsiTheme="minorHAnsi"/>
        </w:rPr>
        <w:t>CFTR</w:t>
      </w:r>
      <w:r w:rsidRPr="004566DC">
        <w:rPr>
          <w:rFonts w:asciiTheme="minorHAnsi" w:hAnsiTheme="minorHAnsi"/>
        </w:rPr>
        <w:t xml:space="preserve">-related disorders', </w:t>
      </w:r>
      <w:r w:rsidRPr="004566DC">
        <w:rPr>
          <w:rFonts w:asciiTheme="minorHAnsi" w:hAnsiTheme="minorHAnsi"/>
          <w:i/>
        </w:rPr>
        <w:t>Journal of Molecular Diagnostics</w:t>
      </w:r>
      <w:r w:rsidRPr="004566DC">
        <w:rPr>
          <w:rFonts w:asciiTheme="minorHAnsi" w:hAnsiTheme="minorHAnsi"/>
        </w:rPr>
        <w:t>, vol. 15, no. 3, pp. 331</w:t>
      </w:r>
      <w:r w:rsidR="003F76BD">
        <w:rPr>
          <w:rFonts w:asciiTheme="minorHAnsi" w:hAnsiTheme="minorHAnsi"/>
        </w:rPr>
        <w:t>–</w:t>
      </w:r>
      <w:r w:rsidRPr="004566DC">
        <w:rPr>
          <w:rFonts w:asciiTheme="minorHAnsi" w:hAnsiTheme="minorHAnsi"/>
        </w:rPr>
        <w:t>340.</w:t>
      </w:r>
    </w:p>
    <w:p w14:paraId="73FA3214" w14:textId="45E2469F" w:rsidR="001F1A9D" w:rsidRPr="004566DC" w:rsidRDefault="001F1A9D" w:rsidP="001F1A9D">
      <w:pPr>
        <w:pStyle w:val="EndNoteBibliography"/>
        <w:rPr>
          <w:rFonts w:asciiTheme="minorHAnsi" w:hAnsiTheme="minorHAnsi"/>
        </w:rPr>
      </w:pPr>
      <w:r w:rsidRPr="004566DC">
        <w:rPr>
          <w:rFonts w:asciiTheme="minorHAnsi" w:hAnsiTheme="minorHAnsi"/>
        </w:rPr>
        <w:t xml:space="preserve">Goldblatt, J, Creegan, R, Edkins, T, Landau, LI, Ryan, G &amp; Walpole, LR 1995, 'Mutation analysis of Western Australian families affected by cystic fibrosis', </w:t>
      </w:r>
      <w:r w:rsidRPr="004566DC">
        <w:rPr>
          <w:rFonts w:asciiTheme="minorHAnsi" w:hAnsiTheme="minorHAnsi"/>
          <w:i/>
        </w:rPr>
        <w:t>Medical Journal of Australia</w:t>
      </w:r>
      <w:r w:rsidRPr="004566DC">
        <w:rPr>
          <w:rFonts w:asciiTheme="minorHAnsi" w:hAnsiTheme="minorHAnsi"/>
        </w:rPr>
        <w:t>, vol. 162, no. 1, pp. 12</w:t>
      </w:r>
      <w:r w:rsidR="000150B4">
        <w:rPr>
          <w:rFonts w:asciiTheme="minorHAnsi" w:hAnsiTheme="minorHAnsi"/>
        </w:rPr>
        <w:t>–</w:t>
      </w:r>
      <w:r w:rsidRPr="004566DC">
        <w:rPr>
          <w:rFonts w:asciiTheme="minorHAnsi" w:hAnsiTheme="minorHAnsi"/>
        </w:rPr>
        <w:t>15.</w:t>
      </w:r>
    </w:p>
    <w:p w14:paraId="60695D46" w14:textId="14BC2C50" w:rsidR="001F1A9D" w:rsidRPr="004566DC" w:rsidRDefault="001F1A9D" w:rsidP="001F1A9D">
      <w:pPr>
        <w:pStyle w:val="EndNoteBibliography"/>
        <w:rPr>
          <w:rFonts w:asciiTheme="minorHAnsi" w:hAnsiTheme="minorHAnsi"/>
        </w:rPr>
      </w:pPr>
      <w:r w:rsidRPr="004566DC">
        <w:rPr>
          <w:rFonts w:asciiTheme="minorHAnsi" w:hAnsiTheme="minorHAnsi"/>
        </w:rPr>
        <w:t xml:space="preserve">Goldman, A, Jenkins, T &amp; Ramsay, M 1994, 'Analysis of 40 known cystic fibrosis mutations in South African patients', </w:t>
      </w:r>
      <w:r w:rsidRPr="004566DC">
        <w:rPr>
          <w:rFonts w:asciiTheme="minorHAnsi" w:hAnsiTheme="minorHAnsi"/>
          <w:i/>
        </w:rPr>
        <w:t>Clinical Genetics</w:t>
      </w:r>
      <w:r w:rsidRPr="004566DC">
        <w:rPr>
          <w:rFonts w:asciiTheme="minorHAnsi" w:hAnsiTheme="minorHAnsi"/>
        </w:rPr>
        <w:t>, vol. 46, no. 6, pp. 398</w:t>
      </w:r>
      <w:r w:rsidR="000150B4">
        <w:rPr>
          <w:rFonts w:asciiTheme="minorHAnsi" w:hAnsiTheme="minorHAnsi"/>
        </w:rPr>
        <w:t>–</w:t>
      </w:r>
      <w:r w:rsidRPr="004566DC">
        <w:rPr>
          <w:rFonts w:asciiTheme="minorHAnsi" w:hAnsiTheme="minorHAnsi"/>
        </w:rPr>
        <w:t>400.</w:t>
      </w:r>
    </w:p>
    <w:p w14:paraId="4DAA3184" w14:textId="0AD1F2D4" w:rsidR="001F1A9D" w:rsidRPr="004566DC" w:rsidRDefault="001F1A9D" w:rsidP="001F1A9D">
      <w:pPr>
        <w:pStyle w:val="EndNoteBibliography"/>
        <w:rPr>
          <w:rFonts w:asciiTheme="minorHAnsi" w:hAnsiTheme="minorHAnsi"/>
        </w:rPr>
      </w:pPr>
      <w:r w:rsidRPr="004566DC">
        <w:rPr>
          <w:rFonts w:asciiTheme="minorHAnsi" w:hAnsiTheme="minorHAnsi"/>
        </w:rPr>
        <w:t xml:space="preserve">Gómez-Llorente, MA, Suarez, A, Gómez-Llorente, C, Muñoz, A, Arauzo, M, Antunez, A, Navarro, M, Gil, A &amp; Gomez-Capilla, JA 2001, 'Analysis of 31 </w:t>
      </w:r>
      <w:r w:rsidR="00FD37D3" w:rsidRPr="004566DC">
        <w:rPr>
          <w:rFonts w:asciiTheme="minorHAnsi" w:hAnsiTheme="minorHAnsi"/>
        </w:rPr>
        <w:t>CFTR</w:t>
      </w:r>
      <w:r w:rsidRPr="004566DC">
        <w:rPr>
          <w:rFonts w:asciiTheme="minorHAnsi" w:hAnsiTheme="minorHAnsi"/>
        </w:rPr>
        <w:t xml:space="preserve"> mutations in 55 families from the south of Spain', </w:t>
      </w:r>
      <w:r w:rsidRPr="004566DC">
        <w:rPr>
          <w:rFonts w:asciiTheme="minorHAnsi" w:hAnsiTheme="minorHAnsi"/>
          <w:i/>
        </w:rPr>
        <w:t>Early Human Development</w:t>
      </w:r>
      <w:r w:rsidRPr="004566DC">
        <w:rPr>
          <w:rFonts w:asciiTheme="minorHAnsi" w:hAnsiTheme="minorHAnsi"/>
        </w:rPr>
        <w:t xml:space="preserve">, vol. 65, </w:t>
      </w:r>
      <w:r w:rsidR="00D77461">
        <w:rPr>
          <w:rFonts w:asciiTheme="minorHAnsi" w:hAnsiTheme="minorHAnsi"/>
        </w:rPr>
        <w:t>s</w:t>
      </w:r>
      <w:r w:rsidR="000150B4" w:rsidRPr="000150B4">
        <w:rPr>
          <w:rFonts w:asciiTheme="minorHAnsi" w:hAnsiTheme="minorHAnsi"/>
        </w:rPr>
        <w:t>uppl</w:t>
      </w:r>
      <w:r w:rsidRPr="004566DC">
        <w:rPr>
          <w:rFonts w:asciiTheme="minorHAnsi" w:hAnsiTheme="minorHAnsi"/>
        </w:rPr>
        <w:t>. 2, pp. S161</w:t>
      </w:r>
      <w:r w:rsidR="000150B4">
        <w:rPr>
          <w:rFonts w:asciiTheme="minorHAnsi" w:hAnsiTheme="minorHAnsi"/>
        </w:rPr>
        <w:t>–</w:t>
      </w:r>
      <w:r w:rsidRPr="004566DC">
        <w:rPr>
          <w:rFonts w:asciiTheme="minorHAnsi" w:hAnsiTheme="minorHAnsi"/>
        </w:rPr>
        <w:t>S164.</w:t>
      </w:r>
    </w:p>
    <w:p w14:paraId="7E688B87" w14:textId="335D68B6" w:rsidR="001F1A9D" w:rsidRPr="004566DC" w:rsidRDefault="001F1A9D" w:rsidP="001F1A9D">
      <w:pPr>
        <w:pStyle w:val="EndNoteBibliography"/>
        <w:rPr>
          <w:rFonts w:asciiTheme="minorHAnsi" w:hAnsiTheme="minorHAnsi"/>
        </w:rPr>
      </w:pPr>
      <w:r w:rsidRPr="004566DC">
        <w:rPr>
          <w:rFonts w:asciiTheme="minorHAnsi" w:hAnsiTheme="minorHAnsi"/>
        </w:rPr>
        <w:t xml:space="preserve">Hartley, NE, Scotcher, D, Harris, H, Williamson, P, Wallace, A, Craufurd, D &amp; Harris, R 1997, 'The uptake and acceptability to patients of cystic fibrosis carrier testing offered in pregnancy by the GP', </w:t>
      </w:r>
      <w:r w:rsidRPr="004566DC">
        <w:rPr>
          <w:rFonts w:asciiTheme="minorHAnsi" w:hAnsiTheme="minorHAnsi"/>
          <w:i/>
        </w:rPr>
        <w:t>Journal of Medical Genetics</w:t>
      </w:r>
      <w:r w:rsidRPr="004566DC">
        <w:rPr>
          <w:rFonts w:asciiTheme="minorHAnsi" w:hAnsiTheme="minorHAnsi"/>
        </w:rPr>
        <w:t>, vol. 34, no. 6, pp. 459</w:t>
      </w:r>
      <w:r w:rsidR="000150B4">
        <w:rPr>
          <w:rFonts w:asciiTheme="minorHAnsi" w:hAnsiTheme="minorHAnsi"/>
        </w:rPr>
        <w:t>–</w:t>
      </w:r>
      <w:r w:rsidRPr="004566DC">
        <w:rPr>
          <w:rFonts w:asciiTheme="minorHAnsi" w:hAnsiTheme="minorHAnsi"/>
        </w:rPr>
        <w:t>464.</w:t>
      </w:r>
    </w:p>
    <w:p w14:paraId="05601A16" w14:textId="2186E2B7" w:rsidR="001F1A9D" w:rsidRPr="004566DC" w:rsidRDefault="001F1A9D" w:rsidP="001F1A9D">
      <w:pPr>
        <w:pStyle w:val="EndNoteBibliography"/>
        <w:rPr>
          <w:rFonts w:asciiTheme="minorHAnsi" w:hAnsiTheme="minorHAnsi"/>
        </w:rPr>
      </w:pPr>
      <w:r w:rsidRPr="004566DC">
        <w:rPr>
          <w:rFonts w:asciiTheme="minorHAnsi" w:hAnsiTheme="minorHAnsi"/>
        </w:rPr>
        <w:t xml:space="preserve">Jézéquel, P, Dubourg, C, Le Lannou, D, Odent, S, Le Gall, JY, Blayau, M, Le Treut, A &amp; David, V 2000, 'Molecular screening of the </w:t>
      </w:r>
      <w:r w:rsidR="00A21FD9" w:rsidRPr="004566DC">
        <w:rPr>
          <w:rFonts w:asciiTheme="minorHAnsi" w:hAnsiTheme="minorHAnsi"/>
          <w:i/>
        </w:rPr>
        <w:t>CFTR</w:t>
      </w:r>
      <w:r w:rsidRPr="004566DC">
        <w:rPr>
          <w:rFonts w:asciiTheme="minorHAnsi" w:hAnsiTheme="minorHAnsi"/>
        </w:rPr>
        <w:t xml:space="preserve"> gene in men with anomalies of the vas deferens: Identification of three novel mutations', </w:t>
      </w:r>
      <w:r w:rsidRPr="004566DC">
        <w:rPr>
          <w:rFonts w:asciiTheme="minorHAnsi" w:hAnsiTheme="minorHAnsi"/>
          <w:i/>
        </w:rPr>
        <w:t>Molecular Human Reproduction</w:t>
      </w:r>
      <w:r w:rsidRPr="004566DC">
        <w:rPr>
          <w:rFonts w:asciiTheme="minorHAnsi" w:hAnsiTheme="minorHAnsi"/>
        </w:rPr>
        <w:t>, vol. 6, no. 12, pp. 1063</w:t>
      </w:r>
      <w:r w:rsidR="000150B4">
        <w:rPr>
          <w:rFonts w:asciiTheme="minorHAnsi" w:hAnsiTheme="minorHAnsi"/>
        </w:rPr>
        <w:t>–</w:t>
      </w:r>
      <w:r w:rsidRPr="004566DC">
        <w:rPr>
          <w:rFonts w:asciiTheme="minorHAnsi" w:hAnsiTheme="minorHAnsi"/>
        </w:rPr>
        <w:t>1067.</w:t>
      </w:r>
    </w:p>
    <w:p w14:paraId="63B66003" w14:textId="4EB43CBA" w:rsidR="001F1A9D" w:rsidRPr="004566DC" w:rsidRDefault="001F1A9D" w:rsidP="001F1A9D">
      <w:pPr>
        <w:pStyle w:val="EndNoteBibliography"/>
        <w:rPr>
          <w:rFonts w:asciiTheme="minorHAnsi" w:hAnsiTheme="minorHAnsi"/>
        </w:rPr>
      </w:pPr>
      <w:r w:rsidRPr="004566DC">
        <w:rPr>
          <w:rFonts w:asciiTheme="minorHAnsi" w:hAnsiTheme="minorHAnsi"/>
        </w:rPr>
        <w:t xml:space="preserve">Leonardi, S, Bombace, V, Rotolo, N, Sciuto, C &amp; La Rosa, M 2003, 'Congenital absence of vas deferens and cystic fibrosis', </w:t>
      </w:r>
      <w:r w:rsidRPr="004566DC">
        <w:rPr>
          <w:rFonts w:asciiTheme="minorHAnsi" w:hAnsiTheme="minorHAnsi"/>
          <w:i/>
        </w:rPr>
        <w:t>Minerva Pediatrica</w:t>
      </w:r>
      <w:r w:rsidRPr="004566DC">
        <w:rPr>
          <w:rFonts w:asciiTheme="minorHAnsi" w:hAnsiTheme="minorHAnsi"/>
        </w:rPr>
        <w:t>, vol. 55, no. 1, pp. 43</w:t>
      </w:r>
      <w:r w:rsidR="000150B4">
        <w:rPr>
          <w:rFonts w:asciiTheme="minorHAnsi" w:hAnsiTheme="minorHAnsi"/>
        </w:rPr>
        <w:t>–</w:t>
      </w:r>
      <w:r w:rsidRPr="004566DC">
        <w:rPr>
          <w:rFonts w:asciiTheme="minorHAnsi" w:hAnsiTheme="minorHAnsi"/>
        </w:rPr>
        <w:t>50.</w:t>
      </w:r>
    </w:p>
    <w:p w14:paraId="7869CC1A" w14:textId="738A98E3" w:rsidR="001F1A9D" w:rsidRPr="004566DC" w:rsidRDefault="001F1A9D" w:rsidP="001F1A9D">
      <w:pPr>
        <w:pStyle w:val="EndNoteBibliography"/>
        <w:rPr>
          <w:rFonts w:asciiTheme="minorHAnsi" w:hAnsiTheme="minorHAnsi"/>
        </w:rPr>
      </w:pPr>
      <w:r w:rsidRPr="004566DC">
        <w:rPr>
          <w:rFonts w:asciiTheme="minorHAnsi" w:hAnsiTheme="minorHAnsi"/>
        </w:rPr>
        <w:t xml:space="preserve">Levy, EM, Granados, P, Rawe, V, Olmedo, SB, Luna, MC, Cafferata, E &amp; Pivetta, OH 2004, 'Mutations in </w:t>
      </w:r>
      <w:r w:rsidR="00A21FD9" w:rsidRPr="004566DC">
        <w:rPr>
          <w:rFonts w:asciiTheme="minorHAnsi" w:hAnsiTheme="minorHAnsi"/>
          <w:i/>
        </w:rPr>
        <w:t>CFTR</w:t>
      </w:r>
      <w:r w:rsidRPr="004566DC">
        <w:rPr>
          <w:rFonts w:asciiTheme="minorHAnsi" w:hAnsiTheme="minorHAnsi"/>
        </w:rPr>
        <w:t xml:space="preserve"> gene and clinical correlation in Argentine patients with congenital bilateral absence of the vas deferens', </w:t>
      </w:r>
      <w:r w:rsidRPr="004566DC">
        <w:rPr>
          <w:rFonts w:asciiTheme="minorHAnsi" w:hAnsiTheme="minorHAnsi"/>
          <w:i/>
        </w:rPr>
        <w:t>Medicina</w:t>
      </w:r>
      <w:r w:rsidRPr="004566DC">
        <w:rPr>
          <w:rFonts w:asciiTheme="minorHAnsi" w:hAnsiTheme="minorHAnsi"/>
        </w:rPr>
        <w:t>, vol. 64, no. 3, pp. 213</w:t>
      </w:r>
      <w:r w:rsidR="000150B4">
        <w:rPr>
          <w:rFonts w:asciiTheme="minorHAnsi" w:hAnsiTheme="minorHAnsi"/>
        </w:rPr>
        <w:t>–</w:t>
      </w:r>
      <w:r w:rsidRPr="004566DC">
        <w:rPr>
          <w:rFonts w:asciiTheme="minorHAnsi" w:hAnsiTheme="minorHAnsi"/>
        </w:rPr>
        <w:t>218.</w:t>
      </w:r>
    </w:p>
    <w:p w14:paraId="4CF12F41" w14:textId="27183D32" w:rsidR="001F1A9D" w:rsidRPr="004566DC" w:rsidRDefault="001F1A9D" w:rsidP="001F1A9D">
      <w:pPr>
        <w:pStyle w:val="EndNoteBibliography"/>
        <w:rPr>
          <w:rFonts w:asciiTheme="minorHAnsi" w:hAnsiTheme="minorHAnsi"/>
        </w:rPr>
      </w:pPr>
      <w:r w:rsidRPr="004566DC">
        <w:rPr>
          <w:rFonts w:asciiTheme="minorHAnsi" w:hAnsiTheme="minorHAnsi"/>
        </w:rPr>
        <w:t>Li, H, Wen, Q, Li, H, Zhao, L, Zhang, X, Wang, J, Cheng, L, Yang, J, Chen, S, Ma, X &amp; Wang, B 2012, 'Mutations in the cystic fibrosis transmembrane conductance regulator (</w:t>
      </w:r>
      <w:r w:rsidR="00A21FD9" w:rsidRPr="004566DC">
        <w:rPr>
          <w:rFonts w:asciiTheme="minorHAnsi" w:hAnsiTheme="minorHAnsi"/>
          <w:i/>
        </w:rPr>
        <w:t>CFTR</w:t>
      </w:r>
      <w:r w:rsidRPr="004566DC">
        <w:rPr>
          <w:rFonts w:asciiTheme="minorHAnsi" w:hAnsiTheme="minorHAnsi"/>
        </w:rPr>
        <w:t xml:space="preserve">) in Chinese patients with congenital bilateral absence of vas deferens', </w:t>
      </w:r>
      <w:r w:rsidRPr="004566DC">
        <w:rPr>
          <w:rFonts w:asciiTheme="minorHAnsi" w:hAnsiTheme="minorHAnsi"/>
          <w:i/>
        </w:rPr>
        <w:t>Journal of Cystic Fibrosis</w:t>
      </w:r>
      <w:r w:rsidRPr="004566DC">
        <w:rPr>
          <w:rFonts w:asciiTheme="minorHAnsi" w:hAnsiTheme="minorHAnsi"/>
        </w:rPr>
        <w:t>, vol. 11, no. 4, pp. 316</w:t>
      </w:r>
      <w:r w:rsidR="000150B4">
        <w:rPr>
          <w:rFonts w:asciiTheme="minorHAnsi" w:hAnsiTheme="minorHAnsi"/>
        </w:rPr>
        <w:t>–</w:t>
      </w:r>
      <w:r w:rsidRPr="004566DC">
        <w:rPr>
          <w:rFonts w:asciiTheme="minorHAnsi" w:hAnsiTheme="minorHAnsi"/>
        </w:rPr>
        <w:t>323.</w:t>
      </w:r>
    </w:p>
    <w:p w14:paraId="5971776B" w14:textId="67F05CE3" w:rsidR="001F1A9D" w:rsidRPr="004566DC" w:rsidRDefault="001F1A9D" w:rsidP="001F1A9D">
      <w:pPr>
        <w:pStyle w:val="EndNoteBibliography"/>
        <w:rPr>
          <w:rFonts w:asciiTheme="minorHAnsi" w:hAnsiTheme="minorHAnsi"/>
        </w:rPr>
      </w:pPr>
      <w:r w:rsidRPr="004566DC">
        <w:rPr>
          <w:rFonts w:asciiTheme="minorHAnsi" w:hAnsiTheme="minorHAnsi"/>
        </w:rPr>
        <w:t>Loumi, O, Ferec, C, Mercier, B, Creff, J, Fercot, B, Denine, R &amp; Grangaud, JP 2008, '</w:t>
      </w:r>
      <w:r w:rsidR="00FD37D3" w:rsidRPr="004566DC">
        <w:rPr>
          <w:rFonts w:asciiTheme="minorHAnsi" w:hAnsiTheme="minorHAnsi"/>
        </w:rPr>
        <w:t>CFTR</w:t>
      </w:r>
      <w:r w:rsidRPr="004566DC">
        <w:rPr>
          <w:rFonts w:asciiTheme="minorHAnsi" w:hAnsiTheme="minorHAnsi"/>
        </w:rPr>
        <w:t xml:space="preserve"> mutations in the Algerian population', </w:t>
      </w:r>
      <w:r w:rsidRPr="004566DC">
        <w:rPr>
          <w:rFonts w:asciiTheme="minorHAnsi" w:hAnsiTheme="minorHAnsi"/>
          <w:i/>
        </w:rPr>
        <w:t>Journal of Cystic Fibrosis</w:t>
      </w:r>
      <w:r w:rsidRPr="004566DC">
        <w:rPr>
          <w:rFonts w:asciiTheme="minorHAnsi" w:hAnsiTheme="minorHAnsi"/>
        </w:rPr>
        <w:t>, vol. 7, no. 1, pp. 54</w:t>
      </w:r>
      <w:r w:rsidR="000150B4">
        <w:rPr>
          <w:rFonts w:asciiTheme="minorHAnsi" w:hAnsiTheme="minorHAnsi"/>
        </w:rPr>
        <w:t>–</w:t>
      </w:r>
      <w:r w:rsidRPr="004566DC">
        <w:rPr>
          <w:rFonts w:asciiTheme="minorHAnsi" w:hAnsiTheme="minorHAnsi"/>
        </w:rPr>
        <w:t>59.</w:t>
      </w:r>
    </w:p>
    <w:p w14:paraId="0A6ACF85" w14:textId="2513345C"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Macek Jr, M, Boehm, I, Arnold, L, Smrt, J, Macek, M, Duspivova, R, Vavrova, V, Sedlacek, Z, Sperling, K &amp; Schmidtke, J 1990, 'The rapid molecular genetic diagnosis of cystic fibrosis by polymerase chain reaction: </w:t>
      </w:r>
      <w:r w:rsidR="000150B4">
        <w:rPr>
          <w:rFonts w:asciiTheme="minorHAnsi" w:hAnsiTheme="minorHAnsi"/>
        </w:rPr>
        <w:t>a</w:t>
      </w:r>
      <w:r w:rsidRPr="004566DC">
        <w:rPr>
          <w:rFonts w:asciiTheme="minorHAnsi" w:hAnsiTheme="minorHAnsi"/>
        </w:rPr>
        <w:t xml:space="preserve">n experience report', </w:t>
      </w:r>
      <w:r w:rsidRPr="004566DC">
        <w:rPr>
          <w:rFonts w:asciiTheme="minorHAnsi" w:hAnsiTheme="minorHAnsi"/>
          <w:i/>
        </w:rPr>
        <w:t>Czechoslovak Medicine</w:t>
      </w:r>
      <w:r w:rsidRPr="004566DC">
        <w:rPr>
          <w:rFonts w:asciiTheme="minorHAnsi" w:hAnsiTheme="minorHAnsi"/>
        </w:rPr>
        <w:t>, vol. 13, no. 4, pp. 145</w:t>
      </w:r>
      <w:r w:rsidR="000150B4">
        <w:rPr>
          <w:rFonts w:asciiTheme="minorHAnsi" w:hAnsiTheme="minorHAnsi"/>
        </w:rPr>
        <w:t>–</w:t>
      </w:r>
      <w:r w:rsidRPr="004566DC">
        <w:rPr>
          <w:rFonts w:asciiTheme="minorHAnsi" w:hAnsiTheme="minorHAnsi"/>
        </w:rPr>
        <w:t>159.</w:t>
      </w:r>
    </w:p>
    <w:p w14:paraId="47F73D48" w14:textId="6CCC86E2" w:rsidR="001F1A9D" w:rsidRPr="004566DC" w:rsidRDefault="001F1A9D" w:rsidP="001F1A9D">
      <w:pPr>
        <w:pStyle w:val="EndNoteBibliography"/>
        <w:rPr>
          <w:rFonts w:asciiTheme="minorHAnsi" w:hAnsiTheme="minorHAnsi"/>
        </w:rPr>
      </w:pPr>
      <w:r w:rsidRPr="004566DC">
        <w:rPr>
          <w:rFonts w:asciiTheme="minorHAnsi" w:hAnsiTheme="minorHAnsi"/>
        </w:rPr>
        <w:t xml:space="preserve">Mennie, ME, Axworthy, D, Liston, WA &amp; Brock, DJH 1997, 'Prenatal screening for cystic fibrosis carriers: Does the method of testing affect the longer-term understanding and reproductive behaviour of women?', </w:t>
      </w:r>
      <w:r w:rsidRPr="004566DC">
        <w:rPr>
          <w:rFonts w:asciiTheme="minorHAnsi" w:hAnsiTheme="minorHAnsi"/>
          <w:i/>
        </w:rPr>
        <w:t>Prenatal Diagnosis</w:t>
      </w:r>
      <w:r w:rsidRPr="004566DC">
        <w:rPr>
          <w:rFonts w:asciiTheme="minorHAnsi" w:hAnsiTheme="minorHAnsi"/>
        </w:rPr>
        <w:t>, vol. 17, no. 9, pp. 853</w:t>
      </w:r>
      <w:r w:rsidR="000150B4">
        <w:rPr>
          <w:rFonts w:asciiTheme="minorHAnsi" w:hAnsiTheme="minorHAnsi"/>
        </w:rPr>
        <w:t>–</w:t>
      </w:r>
      <w:r w:rsidRPr="004566DC">
        <w:rPr>
          <w:rFonts w:asciiTheme="minorHAnsi" w:hAnsiTheme="minorHAnsi"/>
        </w:rPr>
        <w:t>860.</w:t>
      </w:r>
    </w:p>
    <w:p w14:paraId="7E8E020D" w14:textId="4F9686D7" w:rsidR="001F1A9D" w:rsidRPr="004566DC" w:rsidRDefault="001F1A9D" w:rsidP="001F1A9D">
      <w:pPr>
        <w:pStyle w:val="EndNoteBibliography"/>
        <w:rPr>
          <w:rFonts w:asciiTheme="minorHAnsi" w:hAnsiTheme="minorHAnsi"/>
        </w:rPr>
      </w:pPr>
      <w:r w:rsidRPr="004566DC">
        <w:rPr>
          <w:rFonts w:asciiTheme="minorHAnsi" w:hAnsiTheme="minorHAnsi"/>
        </w:rPr>
        <w:t xml:space="preserve">Miedzybrodzka, ZH, Hall, MH, Millison, J, Templeton, A, Russell, IT &amp; Dean, JCS 1995, 'Antenatal screening for carriers of cystic fibrosis: randomised trial of stepwise versus couple screening', </w:t>
      </w:r>
      <w:r w:rsidRPr="004566DC">
        <w:rPr>
          <w:rFonts w:asciiTheme="minorHAnsi" w:hAnsiTheme="minorHAnsi"/>
          <w:i/>
        </w:rPr>
        <w:t>B</w:t>
      </w:r>
      <w:r w:rsidR="00D77461">
        <w:rPr>
          <w:rFonts w:asciiTheme="minorHAnsi" w:hAnsiTheme="minorHAnsi"/>
          <w:i/>
        </w:rPr>
        <w:t xml:space="preserve">ritish </w:t>
      </w:r>
      <w:r w:rsidRPr="004566DC">
        <w:rPr>
          <w:rFonts w:asciiTheme="minorHAnsi" w:hAnsiTheme="minorHAnsi"/>
          <w:i/>
        </w:rPr>
        <w:t>M</w:t>
      </w:r>
      <w:r w:rsidR="00D77461">
        <w:rPr>
          <w:rFonts w:asciiTheme="minorHAnsi" w:hAnsiTheme="minorHAnsi"/>
          <w:i/>
        </w:rPr>
        <w:t xml:space="preserve">edical </w:t>
      </w:r>
      <w:r w:rsidRPr="004566DC">
        <w:rPr>
          <w:rFonts w:asciiTheme="minorHAnsi" w:hAnsiTheme="minorHAnsi"/>
          <w:i/>
        </w:rPr>
        <w:t>J</w:t>
      </w:r>
      <w:r w:rsidR="00D77461">
        <w:rPr>
          <w:rFonts w:asciiTheme="minorHAnsi" w:hAnsiTheme="minorHAnsi"/>
          <w:i/>
        </w:rPr>
        <w:t>ournal</w:t>
      </w:r>
      <w:r w:rsidRPr="004566DC">
        <w:rPr>
          <w:rFonts w:asciiTheme="minorHAnsi" w:hAnsiTheme="minorHAnsi"/>
          <w:i/>
        </w:rPr>
        <w:t xml:space="preserve"> (Clinical </w:t>
      </w:r>
      <w:r w:rsidR="000150B4">
        <w:rPr>
          <w:rFonts w:asciiTheme="minorHAnsi" w:hAnsiTheme="minorHAnsi"/>
          <w:i/>
        </w:rPr>
        <w:t>R</w:t>
      </w:r>
      <w:r w:rsidRPr="004566DC">
        <w:rPr>
          <w:rFonts w:asciiTheme="minorHAnsi" w:hAnsiTheme="minorHAnsi"/>
          <w:i/>
        </w:rPr>
        <w:t>esearch ed</w:t>
      </w:r>
      <w:r w:rsidR="00D77461">
        <w:rPr>
          <w:rFonts w:asciiTheme="minorHAnsi" w:hAnsiTheme="minorHAnsi"/>
          <w:i/>
        </w:rPr>
        <w:t>itio</w:t>
      </w:r>
      <w:r w:rsidR="000150B4">
        <w:rPr>
          <w:rFonts w:asciiTheme="minorHAnsi" w:hAnsiTheme="minorHAnsi"/>
          <w:i/>
        </w:rPr>
        <w:t>n</w:t>
      </w:r>
      <w:r w:rsidRPr="004566DC">
        <w:rPr>
          <w:rFonts w:asciiTheme="minorHAnsi" w:hAnsiTheme="minorHAnsi"/>
          <w:i/>
        </w:rPr>
        <w:t>)</w:t>
      </w:r>
      <w:r w:rsidRPr="004566DC">
        <w:rPr>
          <w:rFonts w:asciiTheme="minorHAnsi" w:hAnsiTheme="minorHAnsi"/>
        </w:rPr>
        <w:t>, vol. 310, pp. 353</w:t>
      </w:r>
      <w:r w:rsidR="000150B4">
        <w:rPr>
          <w:rFonts w:asciiTheme="minorHAnsi" w:hAnsiTheme="minorHAnsi"/>
        </w:rPr>
        <w:t>–</w:t>
      </w:r>
      <w:r w:rsidRPr="004566DC">
        <w:rPr>
          <w:rFonts w:asciiTheme="minorHAnsi" w:hAnsiTheme="minorHAnsi"/>
        </w:rPr>
        <w:t>357, &lt;</w:t>
      </w:r>
      <w:hyperlink r:id="rId105" w:tooltip="Link to Miedzybrodzka, ZH, Hall, MH, Millison, J, Templeton, A, Russell, IT &amp; Dean, JCS 1995, 'Antenatal screening for carriers of cystic fibrosis: randomised trial of stepwise versus couple screening', BMJ" w:history="1">
        <w:r w:rsidRPr="004566DC">
          <w:rPr>
            <w:rStyle w:val="Hyperlink"/>
            <w:rFonts w:asciiTheme="minorHAnsi" w:hAnsiTheme="minorHAnsi"/>
          </w:rPr>
          <w:t>http://onlinelibrary.wiley.com/o/cochrane/clcentral/articles/450/CN-00233450/frame.html&gt;</w:t>
        </w:r>
      </w:hyperlink>
      <w:r w:rsidRPr="004566DC">
        <w:rPr>
          <w:rFonts w:asciiTheme="minorHAnsi" w:hAnsiTheme="minorHAnsi"/>
        </w:rPr>
        <w:t>.</w:t>
      </w:r>
    </w:p>
    <w:p w14:paraId="58C36605" w14:textId="5CBFC650" w:rsidR="001F1A9D" w:rsidRPr="004566DC" w:rsidRDefault="001F1A9D" w:rsidP="001F1A9D">
      <w:pPr>
        <w:pStyle w:val="EndNoteBibliography"/>
        <w:rPr>
          <w:rFonts w:asciiTheme="minorHAnsi" w:hAnsiTheme="minorHAnsi"/>
        </w:rPr>
      </w:pPr>
      <w:r w:rsidRPr="004566DC">
        <w:rPr>
          <w:rFonts w:asciiTheme="minorHAnsi" w:hAnsiTheme="minorHAnsi"/>
        </w:rPr>
        <w:t xml:space="preserve">Ng, ISL, Pace, R, Richard, MV, Kobayashi, K, Kerem, Bs, Tsui, LC &amp; Beaudet, AL 1991, 'Methods for analysis of multiple cystic fibrosis mutations', </w:t>
      </w:r>
      <w:r w:rsidRPr="004566DC">
        <w:rPr>
          <w:rFonts w:asciiTheme="minorHAnsi" w:hAnsiTheme="minorHAnsi"/>
          <w:i/>
        </w:rPr>
        <w:t>Human Genetics</w:t>
      </w:r>
      <w:r w:rsidRPr="004566DC">
        <w:rPr>
          <w:rFonts w:asciiTheme="minorHAnsi" w:hAnsiTheme="minorHAnsi"/>
        </w:rPr>
        <w:t>, vol. 87, no. 5, pp. 613</w:t>
      </w:r>
      <w:r w:rsidR="000C680B">
        <w:rPr>
          <w:rFonts w:asciiTheme="minorHAnsi" w:hAnsiTheme="minorHAnsi"/>
        </w:rPr>
        <w:softHyphen/>
      </w:r>
      <w:r w:rsidRPr="004566DC">
        <w:rPr>
          <w:rFonts w:asciiTheme="minorHAnsi" w:hAnsiTheme="minorHAnsi"/>
        </w:rPr>
        <w:t>617.</w:t>
      </w:r>
    </w:p>
    <w:p w14:paraId="011B4E7E" w14:textId="4427CD98" w:rsidR="001F1A9D" w:rsidRPr="004566DC" w:rsidRDefault="001F1A9D" w:rsidP="001F1A9D">
      <w:pPr>
        <w:pStyle w:val="EndNoteBibliography"/>
        <w:rPr>
          <w:rFonts w:asciiTheme="minorHAnsi" w:hAnsiTheme="minorHAnsi"/>
        </w:rPr>
      </w:pPr>
      <w:r w:rsidRPr="004566DC">
        <w:rPr>
          <w:rFonts w:asciiTheme="minorHAnsi" w:hAnsiTheme="minorHAnsi"/>
        </w:rPr>
        <w:t xml:space="preserve">Nicholls, CM, Nelson, PV, Poplawski, NK, Chin, SJ, Fong, BA, Solly, PB, Fietz, MJ &amp; Fletcher, JM 2003, 'Analysis of </w:t>
      </w:r>
      <w:r w:rsidR="00FD37D3" w:rsidRPr="004566DC">
        <w:rPr>
          <w:rFonts w:asciiTheme="minorHAnsi" w:hAnsiTheme="minorHAnsi"/>
        </w:rPr>
        <w:t>CFTR</w:t>
      </w:r>
      <w:r w:rsidRPr="004566DC">
        <w:rPr>
          <w:rFonts w:asciiTheme="minorHAnsi" w:hAnsiTheme="minorHAnsi"/>
        </w:rPr>
        <w:t xml:space="preserve"> mutation screening in cases of isolated fetal echogenic bowel in the South Australian population [4]', </w:t>
      </w:r>
      <w:r w:rsidRPr="004566DC">
        <w:rPr>
          <w:rFonts w:asciiTheme="minorHAnsi" w:hAnsiTheme="minorHAnsi"/>
          <w:i/>
        </w:rPr>
        <w:t>Prenatal Diagnosis</w:t>
      </w:r>
      <w:r w:rsidRPr="004566DC">
        <w:rPr>
          <w:rFonts w:asciiTheme="minorHAnsi" w:hAnsiTheme="minorHAnsi"/>
        </w:rPr>
        <w:t>, vol. 23, no. 12, pp. 1023</w:t>
      </w:r>
      <w:r w:rsidR="000C680B">
        <w:rPr>
          <w:rFonts w:asciiTheme="minorHAnsi" w:hAnsiTheme="minorHAnsi"/>
        </w:rPr>
        <w:t>–</w:t>
      </w:r>
      <w:r w:rsidRPr="004566DC">
        <w:rPr>
          <w:rFonts w:asciiTheme="minorHAnsi" w:hAnsiTheme="minorHAnsi"/>
        </w:rPr>
        <w:t>1025.</w:t>
      </w:r>
    </w:p>
    <w:p w14:paraId="5E7D2A61" w14:textId="46071497" w:rsidR="001F1A9D" w:rsidRPr="004566DC" w:rsidRDefault="001F1A9D" w:rsidP="001F1A9D">
      <w:pPr>
        <w:pStyle w:val="EndNoteBibliography"/>
        <w:rPr>
          <w:rFonts w:asciiTheme="minorHAnsi" w:hAnsiTheme="minorHAnsi"/>
        </w:rPr>
      </w:pPr>
      <w:r w:rsidRPr="004566DC">
        <w:rPr>
          <w:rFonts w:asciiTheme="minorHAnsi" w:hAnsiTheme="minorHAnsi"/>
        </w:rPr>
        <w:t xml:space="preserve">Palomaki, GE, FitzSimmons, SC &amp; Haddow, JE 2004, 'Clinical sensitivity of prenatal screening for cystic fibrosis via </w:t>
      </w:r>
      <w:r w:rsidR="00FD37D3" w:rsidRPr="004566DC">
        <w:rPr>
          <w:rFonts w:asciiTheme="minorHAnsi" w:hAnsiTheme="minorHAnsi"/>
        </w:rPr>
        <w:t>CFTR</w:t>
      </w:r>
      <w:r w:rsidRPr="004566DC">
        <w:rPr>
          <w:rFonts w:asciiTheme="minorHAnsi" w:hAnsiTheme="minorHAnsi"/>
        </w:rPr>
        <w:t xml:space="preserve"> carrier testing in a United States panethnic population', </w:t>
      </w:r>
      <w:r w:rsidRPr="004566DC">
        <w:rPr>
          <w:rFonts w:asciiTheme="minorHAnsi" w:hAnsiTheme="minorHAnsi"/>
          <w:i/>
        </w:rPr>
        <w:t>Genetics in Medicine</w:t>
      </w:r>
      <w:r w:rsidRPr="004566DC">
        <w:rPr>
          <w:rFonts w:asciiTheme="minorHAnsi" w:hAnsiTheme="minorHAnsi"/>
        </w:rPr>
        <w:t>, vol. 6, no. 5, pp. 405</w:t>
      </w:r>
      <w:r w:rsidR="000C680B">
        <w:rPr>
          <w:rFonts w:asciiTheme="minorHAnsi" w:hAnsiTheme="minorHAnsi"/>
        </w:rPr>
        <w:t>–</w:t>
      </w:r>
      <w:r w:rsidRPr="004566DC">
        <w:rPr>
          <w:rFonts w:asciiTheme="minorHAnsi" w:hAnsiTheme="minorHAnsi"/>
        </w:rPr>
        <w:t>414.</w:t>
      </w:r>
    </w:p>
    <w:p w14:paraId="74E11C1B" w14:textId="18ADAC91" w:rsidR="001F1A9D" w:rsidRPr="004566DC" w:rsidRDefault="001F1A9D" w:rsidP="001F1A9D">
      <w:pPr>
        <w:pStyle w:val="EndNoteBibliography"/>
        <w:rPr>
          <w:rFonts w:asciiTheme="minorHAnsi" w:hAnsiTheme="minorHAnsi"/>
        </w:rPr>
      </w:pPr>
      <w:r w:rsidRPr="004566DC">
        <w:rPr>
          <w:rFonts w:asciiTheme="minorHAnsi" w:hAnsiTheme="minorHAnsi"/>
        </w:rPr>
        <w:t xml:space="preserve">Radivojevic, D, Djurisic, M, Lalic, T, Guc-Scekic, M, Savic, J, Minic, P, Antoniadi, T, Tzetis, M &amp; Kanavakis, E 2004, 'Spectrum of cystic fibrosis mutations in Serbia and Montenegro and strategy for prenatal diagnosis', </w:t>
      </w:r>
      <w:r w:rsidRPr="004566DC">
        <w:rPr>
          <w:rFonts w:asciiTheme="minorHAnsi" w:hAnsiTheme="minorHAnsi"/>
          <w:i/>
        </w:rPr>
        <w:t>Genetic Testing</w:t>
      </w:r>
      <w:r w:rsidRPr="004566DC">
        <w:rPr>
          <w:rFonts w:asciiTheme="minorHAnsi" w:hAnsiTheme="minorHAnsi"/>
        </w:rPr>
        <w:t>, vol. 8, no. 3, pp. 276</w:t>
      </w:r>
      <w:r w:rsidR="000C680B">
        <w:rPr>
          <w:rFonts w:asciiTheme="minorHAnsi" w:hAnsiTheme="minorHAnsi"/>
        </w:rPr>
        <w:t>–</w:t>
      </w:r>
      <w:r w:rsidRPr="004566DC">
        <w:rPr>
          <w:rFonts w:asciiTheme="minorHAnsi" w:hAnsiTheme="minorHAnsi"/>
        </w:rPr>
        <w:t>280.</w:t>
      </w:r>
    </w:p>
    <w:p w14:paraId="5146C137" w14:textId="7E469716" w:rsidR="001F1A9D" w:rsidRPr="004566DC" w:rsidRDefault="001F1A9D" w:rsidP="001F1A9D">
      <w:pPr>
        <w:pStyle w:val="EndNoteBibliography"/>
        <w:rPr>
          <w:rFonts w:asciiTheme="minorHAnsi" w:hAnsiTheme="minorHAnsi"/>
        </w:rPr>
      </w:pPr>
      <w:r w:rsidRPr="004566DC">
        <w:rPr>
          <w:rFonts w:asciiTheme="minorHAnsi" w:hAnsiTheme="minorHAnsi"/>
        </w:rPr>
        <w:t xml:space="preserve">Rohlfs, EM, Weinblatt, VJ, Treat, KJ &amp; Sugarman, EA 2004, 'Analysis of 3208 cystic fibrosis prenatal diagnoses: </w:t>
      </w:r>
      <w:r w:rsidR="000C680B">
        <w:rPr>
          <w:rFonts w:asciiTheme="minorHAnsi" w:hAnsiTheme="minorHAnsi"/>
        </w:rPr>
        <w:t>i</w:t>
      </w:r>
      <w:r w:rsidRPr="004566DC">
        <w:rPr>
          <w:rFonts w:asciiTheme="minorHAnsi" w:hAnsiTheme="minorHAnsi"/>
        </w:rPr>
        <w:t xml:space="preserve">mpact of carrier screening guidelines on distribution of indications for </w:t>
      </w:r>
      <w:r w:rsidR="00FD37D3" w:rsidRPr="004566DC">
        <w:rPr>
          <w:rFonts w:asciiTheme="minorHAnsi" w:hAnsiTheme="minorHAnsi"/>
        </w:rPr>
        <w:t>CFTR</w:t>
      </w:r>
      <w:r w:rsidRPr="004566DC">
        <w:rPr>
          <w:rFonts w:asciiTheme="minorHAnsi" w:hAnsiTheme="minorHAnsi"/>
        </w:rPr>
        <w:t xml:space="preserve"> mutation and IVS-8 poly(T) analyses', </w:t>
      </w:r>
      <w:r w:rsidRPr="004566DC">
        <w:rPr>
          <w:rFonts w:asciiTheme="minorHAnsi" w:hAnsiTheme="minorHAnsi"/>
          <w:i/>
        </w:rPr>
        <w:t>Genetics in Medicine</w:t>
      </w:r>
      <w:r w:rsidRPr="004566DC">
        <w:rPr>
          <w:rFonts w:asciiTheme="minorHAnsi" w:hAnsiTheme="minorHAnsi"/>
        </w:rPr>
        <w:t>, vol. 6, no. 5, pp. 400</w:t>
      </w:r>
      <w:r w:rsidR="000C680B">
        <w:rPr>
          <w:rFonts w:asciiTheme="minorHAnsi" w:hAnsiTheme="minorHAnsi"/>
        </w:rPr>
        <w:t>–</w:t>
      </w:r>
      <w:r w:rsidRPr="004566DC">
        <w:rPr>
          <w:rFonts w:asciiTheme="minorHAnsi" w:hAnsiTheme="minorHAnsi"/>
        </w:rPr>
        <w:t>404.</w:t>
      </w:r>
    </w:p>
    <w:p w14:paraId="1EDCF2E1" w14:textId="527EB282" w:rsidR="001F1A9D" w:rsidRPr="004566DC" w:rsidRDefault="001F1A9D" w:rsidP="001F1A9D">
      <w:pPr>
        <w:pStyle w:val="EndNoteBibliography"/>
        <w:rPr>
          <w:rFonts w:asciiTheme="minorHAnsi" w:hAnsiTheme="minorHAnsi"/>
        </w:rPr>
      </w:pPr>
      <w:r w:rsidRPr="004566DC">
        <w:rPr>
          <w:rFonts w:asciiTheme="minorHAnsi" w:hAnsiTheme="minorHAnsi"/>
        </w:rPr>
        <w:t xml:space="preserve">Schwartz, M, Brandt, NJ &amp; Skovby, F 1993, 'Screening for carriers of cystic fibrosis among pregnant women: a pilot study', </w:t>
      </w:r>
      <w:r w:rsidRPr="004566DC">
        <w:rPr>
          <w:rFonts w:asciiTheme="minorHAnsi" w:hAnsiTheme="minorHAnsi"/>
          <w:i/>
        </w:rPr>
        <w:t xml:space="preserve">European </w:t>
      </w:r>
      <w:r w:rsidR="000C680B">
        <w:rPr>
          <w:rFonts w:asciiTheme="minorHAnsi" w:hAnsiTheme="minorHAnsi"/>
          <w:i/>
        </w:rPr>
        <w:t>J</w:t>
      </w:r>
      <w:r w:rsidRPr="004566DC">
        <w:rPr>
          <w:rFonts w:asciiTheme="minorHAnsi" w:hAnsiTheme="minorHAnsi"/>
          <w:i/>
        </w:rPr>
        <w:t xml:space="preserve">ournal of </w:t>
      </w:r>
      <w:r w:rsidR="000C680B">
        <w:rPr>
          <w:rFonts w:asciiTheme="minorHAnsi" w:hAnsiTheme="minorHAnsi"/>
          <w:i/>
        </w:rPr>
        <w:t>H</w:t>
      </w:r>
      <w:r w:rsidRPr="004566DC">
        <w:rPr>
          <w:rFonts w:asciiTheme="minorHAnsi" w:hAnsiTheme="minorHAnsi"/>
          <w:i/>
        </w:rPr>
        <w:t xml:space="preserve">uman </w:t>
      </w:r>
      <w:r w:rsidR="000C680B">
        <w:rPr>
          <w:rFonts w:asciiTheme="minorHAnsi" w:hAnsiTheme="minorHAnsi"/>
          <w:i/>
        </w:rPr>
        <w:t>G</w:t>
      </w:r>
      <w:r w:rsidRPr="004566DC">
        <w:rPr>
          <w:rFonts w:asciiTheme="minorHAnsi" w:hAnsiTheme="minorHAnsi"/>
          <w:i/>
        </w:rPr>
        <w:t>enetics</w:t>
      </w:r>
      <w:r w:rsidRPr="004566DC">
        <w:rPr>
          <w:rFonts w:asciiTheme="minorHAnsi" w:hAnsiTheme="minorHAnsi"/>
        </w:rPr>
        <w:t>, vol. 1, no. 3, pp. 239</w:t>
      </w:r>
      <w:r w:rsidR="000C680B">
        <w:rPr>
          <w:rFonts w:asciiTheme="minorHAnsi" w:hAnsiTheme="minorHAnsi"/>
        </w:rPr>
        <w:t>–</w:t>
      </w:r>
      <w:r w:rsidRPr="004566DC">
        <w:rPr>
          <w:rFonts w:asciiTheme="minorHAnsi" w:hAnsiTheme="minorHAnsi"/>
        </w:rPr>
        <w:t>244.</w:t>
      </w:r>
    </w:p>
    <w:p w14:paraId="475F6BFF" w14:textId="19759744" w:rsidR="001F1A9D" w:rsidRPr="004566DC" w:rsidRDefault="001F1A9D" w:rsidP="001F1A9D">
      <w:pPr>
        <w:pStyle w:val="EndNoteBibliography"/>
        <w:rPr>
          <w:rFonts w:asciiTheme="minorHAnsi" w:hAnsiTheme="minorHAnsi"/>
        </w:rPr>
      </w:pPr>
      <w:r w:rsidRPr="004566DC">
        <w:rPr>
          <w:rFonts w:asciiTheme="minorHAnsi" w:hAnsiTheme="minorHAnsi"/>
        </w:rPr>
        <w:t xml:space="preserve">Simon-Bouy, B, Satre, V, Ferec, C, Malinge, MC, Girodon, E, Denamur, E, Leporrier, N, Lewin, P, Forestier, F &amp; Muller, F 2003, 'Hyperechogenic fetal bowel: </w:t>
      </w:r>
      <w:r w:rsidR="000C680B">
        <w:rPr>
          <w:rFonts w:asciiTheme="minorHAnsi" w:hAnsiTheme="minorHAnsi"/>
        </w:rPr>
        <w:t>a</w:t>
      </w:r>
      <w:r w:rsidRPr="004566DC">
        <w:rPr>
          <w:rFonts w:asciiTheme="minorHAnsi" w:hAnsiTheme="minorHAnsi"/>
        </w:rPr>
        <w:t xml:space="preserve"> large French collaborative study of 682 cases', </w:t>
      </w:r>
      <w:r w:rsidRPr="004566DC">
        <w:rPr>
          <w:rFonts w:asciiTheme="minorHAnsi" w:hAnsiTheme="minorHAnsi"/>
          <w:i/>
        </w:rPr>
        <w:t>American Journal of Medical Genetics</w:t>
      </w:r>
      <w:r w:rsidRPr="004566DC">
        <w:rPr>
          <w:rFonts w:asciiTheme="minorHAnsi" w:hAnsiTheme="minorHAnsi"/>
        </w:rPr>
        <w:t>, vol. 121A, no. 3, pp. 209</w:t>
      </w:r>
      <w:r w:rsidR="000C680B">
        <w:rPr>
          <w:rFonts w:asciiTheme="minorHAnsi" w:hAnsiTheme="minorHAnsi"/>
        </w:rPr>
        <w:t>–</w:t>
      </w:r>
      <w:r w:rsidRPr="004566DC">
        <w:rPr>
          <w:rFonts w:asciiTheme="minorHAnsi" w:hAnsiTheme="minorHAnsi"/>
        </w:rPr>
        <w:t>213.</w:t>
      </w:r>
    </w:p>
    <w:p w14:paraId="62A824F9" w14:textId="4F38DA74" w:rsidR="001F1A9D" w:rsidRPr="004566DC" w:rsidRDefault="001F1A9D" w:rsidP="001F1A9D">
      <w:pPr>
        <w:pStyle w:val="EndNoteBibliography"/>
        <w:rPr>
          <w:rFonts w:asciiTheme="minorHAnsi" w:hAnsiTheme="minorHAnsi"/>
        </w:rPr>
      </w:pPr>
      <w:r w:rsidRPr="004566DC">
        <w:rPr>
          <w:rFonts w:asciiTheme="minorHAnsi" w:hAnsiTheme="minorHAnsi"/>
        </w:rPr>
        <w:t xml:space="preserve">Soloviov, OO, Pampukha, VM &amp; Livshits, LA 2010, 'Development of ARMS PCR tests for detection of common </w:t>
      </w:r>
      <w:r w:rsidR="00A21FD9" w:rsidRPr="004566DC">
        <w:rPr>
          <w:rFonts w:asciiTheme="minorHAnsi" w:hAnsiTheme="minorHAnsi"/>
          <w:i/>
        </w:rPr>
        <w:t>CFTR</w:t>
      </w:r>
      <w:r w:rsidRPr="004566DC">
        <w:rPr>
          <w:rFonts w:asciiTheme="minorHAnsi" w:hAnsiTheme="minorHAnsi"/>
        </w:rPr>
        <w:t xml:space="preserve"> gene mutations', </w:t>
      </w:r>
      <w:r w:rsidRPr="004566DC">
        <w:rPr>
          <w:rFonts w:asciiTheme="minorHAnsi" w:hAnsiTheme="minorHAnsi"/>
          <w:i/>
        </w:rPr>
        <w:t>Biopolymers and Cell</w:t>
      </w:r>
      <w:r w:rsidRPr="004566DC">
        <w:rPr>
          <w:rFonts w:asciiTheme="minorHAnsi" w:hAnsiTheme="minorHAnsi"/>
        </w:rPr>
        <w:t>, vol. 26, no. 5, pp. 378</w:t>
      </w:r>
      <w:r w:rsidR="00A93BED">
        <w:rPr>
          <w:rFonts w:asciiTheme="minorHAnsi" w:hAnsiTheme="minorHAnsi"/>
        </w:rPr>
        <w:t>–</w:t>
      </w:r>
      <w:r w:rsidRPr="004566DC">
        <w:rPr>
          <w:rFonts w:asciiTheme="minorHAnsi" w:hAnsiTheme="minorHAnsi"/>
        </w:rPr>
        <w:t>383.</w:t>
      </w:r>
    </w:p>
    <w:p w14:paraId="6508A58D" w14:textId="53216A4F" w:rsidR="001F1A9D" w:rsidRPr="004566DC" w:rsidRDefault="001F1A9D" w:rsidP="001F1A9D">
      <w:pPr>
        <w:pStyle w:val="EndNoteBibliography"/>
        <w:rPr>
          <w:rFonts w:asciiTheme="minorHAnsi" w:hAnsiTheme="minorHAnsi"/>
        </w:rPr>
      </w:pPr>
      <w:r w:rsidRPr="004566DC">
        <w:rPr>
          <w:rFonts w:asciiTheme="minorHAnsi" w:hAnsiTheme="minorHAnsi"/>
        </w:rPr>
        <w:t xml:space="preserve">Stern, HJ, Carlos, RD &amp; Schutzbank, TE 1995, 'Rapid detection of the ΔF508 deletion in cystic fibrosis by allele specific PCR and electrochemiluminescent detection', </w:t>
      </w:r>
      <w:r w:rsidRPr="004566DC">
        <w:rPr>
          <w:rFonts w:asciiTheme="minorHAnsi" w:hAnsiTheme="minorHAnsi"/>
          <w:i/>
        </w:rPr>
        <w:t>Clinical Biochemistry</w:t>
      </w:r>
      <w:r w:rsidRPr="004566DC">
        <w:rPr>
          <w:rFonts w:asciiTheme="minorHAnsi" w:hAnsiTheme="minorHAnsi"/>
        </w:rPr>
        <w:t>, vol. 28, no. 4, pp. 470</w:t>
      </w:r>
      <w:r w:rsidR="000C680B">
        <w:rPr>
          <w:rFonts w:asciiTheme="minorHAnsi" w:hAnsiTheme="minorHAnsi"/>
        </w:rPr>
        <w:t>–</w:t>
      </w:r>
      <w:r w:rsidRPr="004566DC">
        <w:rPr>
          <w:rFonts w:asciiTheme="minorHAnsi" w:hAnsiTheme="minorHAnsi"/>
        </w:rPr>
        <w:t>473.</w:t>
      </w:r>
    </w:p>
    <w:p w14:paraId="57AD7526" w14:textId="43F82E31" w:rsidR="001F1A9D" w:rsidRPr="004566DC" w:rsidRDefault="001F1A9D" w:rsidP="001F1A9D">
      <w:pPr>
        <w:pStyle w:val="EndNoteBibliography"/>
        <w:rPr>
          <w:rFonts w:asciiTheme="minorHAnsi" w:hAnsiTheme="minorHAnsi"/>
        </w:rPr>
      </w:pPr>
      <w:r w:rsidRPr="004566DC">
        <w:rPr>
          <w:rFonts w:asciiTheme="minorHAnsi" w:hAnsiTheme="minorHAnsi"/>
        </w:rPr>
        <w:t xml:space="preserve">Strasbers, PM, Noreau, D, McGhyn-Steele, L, Koultchitski, G &amp; Ray, PN 1997, 'PCR-based test for two cystic fibrosis mutations (A455E, 711+1 G→T) common among French Canadians', </w:t>
      </w:r>
      <w:r w:rsidRPr="004566DC">
        <w:rPr>
          <w:rFonts w:asciiTheme="minorHAnsi" w:hAnsiTheme="minorHAnsi"/>
          <w:i/>
        </w:rPr>
        <w:t>Clinical Chemistry</w:t>
      </w:r>
      <w:r w:rsidRPr="004566DC">
        <w:rPr>
          <w:rFonts w:asciiTheme="minorHAnsi" w:hAnsiTheme="minorHAnsi"/>
        </w:rPr>
        <w:t>, vol. 43, no. 6, pp. 1083</w:t>
      </w:r>
      <w:r w:rsidR="00530CBD">
        <w:rPr>
          <w:rFonts w:asciiTheme="minorHAnsi" w:hAnsiTheme="minorHAnsi"/>
        </w:rPr>
        <w:t>–</w:t>
      </w:r>
      <w:r w:rsidRPr="004566DC">
        <w:rPr>
          <w:rFonts w:asciiTheme="minorHAnsi" w:hAnsiTheme="minorHAnsi"/>
        </w:rPr>
        <w:t>1084.</w:t>
      </w:r>
    </w:p>
    <w:p w14:paraId="644C59A5" w14:textId="5C061F91" w:rsidR="001F1A9D" w:rsidRPr="004566DC" w:rsidRDefault="001F1A9D" w:rsidP="001F1A9D">
      <w:pPr>
        <w:pStyle w:val="EndNoteBibliography"/>
        <w:rPr>
          <w:rFonts w:asciiTheme="minorHAnsi" w:hAnsiTheme="minorHAnsi"/>
        </w:rPr>
      </w:pPr>
      <w:r w:rsidRPr="004566DC">
        <w:rPr>
          <w:rFonts w:asciiTheme="minorHAnsi" w:hAnsiTheme="minorHAnsi"/>
        </w:rPr>
        <w:t>Streit, C, Burlamaque-Neto, AC, De Abreu E Silva, F, Giugliani, R &amp; Saraiva Pereira, ML 2003, '</w:t>
      </w:r>
      <w:r w:rsidR="00A21FD9" w:rsidRPr="004566DC">
        <w:rPr>
          <w:rFonts w:asciiTheme="minorHAnsi" w:hAnsiTheme="minorHAnsi"/>
          <w:i/>
        </w:rPr>
        <w:t>CFTR</w:t>
      </w:r>
      <w:r w:rsidRPr="004566DC">
        <w:rPr>
          <w:rFonts w:asciiTheme="minorHAnsi" w:hAnsiTheme="minorHAnsi"/>
        </w:rPr>
        <w:t xml:space="preserve"> gene: </w:t>
      </w:r>
      <w:r w:rsidR="00530CBD">
        <w:rPr>
          <w:rFonts w:asciiTheme="minorHAnsi" w:hAnsiTheme="minorHAnsi"/>
        </w:rPr>
        <w:t>m</w:t>
      </w:r>
      <w:r w:rsidRPr="004566DC">
        <w:rPr>
          <w:rFonts w:asciiTheme="minorHAnsi" w:hAnsiTheme="minorHAnsi"/>
        </w:rPr>
        <w:t xml:space="preserve">olecular analysis in patients from South Brazil', </w:t>
      </w:r>
      <w:r w:rsidRPr="004566DC">
        <w:rPr>
          <w:rFonts w:asciiTheme="minorHAnsi" w:hAnsiTheme="minorHAnsi"/>
          <w:i/>
        </w:rPr>
        <w:t>Molecular Genetics and Metabolism</w:t>
      </w:r>
      <w:r w:rsidRPr="004566DC">
        <w:rPr>
          <w:rFonts w:asciiTheme="minorHAnsi" w:hAnsiTheme="minorHAnsi"/>
        </w:rPr>
        <w:t>, vol. 78, no. 4, pp. 259</w:t>
      </w:r>
      <w:r w:rsidR="00530CBD">
        <w:rPr>
          <w:rFonts w:asciiTheme="minorHAnsi" w:hAnsiTheme="minorHAnsi"/>
        </w:rPr>
        <w:t>–</w:t>
      </w:r>
      <w:r w:rsidRPr="004566DC">
        <w:rPr>
          <w:rFonts w:asciiTheme="minorHAnsi" w:hAnsiTheme="minorHAnsi"/>
        </w:rPr>
        <w:t>264.</w:t>
      </w:r>
    </w:p>
    <w:p w14:paraId="128338BA" w14:textId="0BE0EE44"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Ubertelli, V, Josse, C, Bauland, F &amp; Valat, C 2007, 'Fast development of CE IVD molecular diagnostic kits: </w:t>
      </w:r>
      <w:r w:rsidR="00530CBD">
        <w:rPr>
          <w:rFonts w:asciiTheme="minorHAnsi" w:hAnsiTheme="minorHAnsi"/>
        </w:rPr>
        <w:t>h</w:t>
      </w:r>
      <w:r w:rsidRPr="004566DC">
        <w:rPr>
          <w:rFonts w:asciiTheme="minorHAnsi" w:hAnsiTheme="minorHAnsi"/>
        </w:rPr>
        <w:t xml:space="preserve">ighly specific microarray kit for 49 cystic fibrosis mutations', </w:t>
      </w:r>
      <w:r w:rsidRPr="004566DC">
        <w:rPr>
          <w:rFonts w:asciiTheme="minorHAnsi" w:hAnsiTheme="minorHAnsi"/>
          <w:i/>
        </w:rPr>
        <w:t>ITBM-RBM</w:t>
      </w:r>
      <w:r w:rsidRPr="004566DC">
        <w:rPr>
          <w:rFonts w:asciiTheme="minorHAnsi" w:hAnsiTheme="minorHAnsi"/>
        </w:rPr>
        <w:t>, vol. 28, no. 5</w:t>
      </w:r>
      <w:r w:rsidR="00530CBD">
        <w:rPr>
          <w:rFonts w:asciiTheme="minorHAnsi" w:hAnsiTheme="minorHAnsi"/>
        </w:rPr>
        <w:t>–</w:t>
      </w:r>
      <w:r w:rsidRPr="004566DC">
        <w:rPr>
          <w:rFonts w:asciiTheme="minorHAnsi" w:hAnsiTheme="minorHAnsi"/>
        </w:rPr>
        <w:t>6, pp. 224</w:t>
      </w:r>
      <w:r w:rsidR="00530CBD">
        <w:rPr>
          <w:rFonts w:asciiTheme="minorHAnsi" w:hAnsiTheme="minorHAnsi"/>
        </w:rPr>
        <w:t>–</w:t>
      </w:r>
      <w:r w:rsidRPr="004566DC">
        <w:rPr>
          <w:rFonts w:asciiTheme="minorHAnsi" w:hAnsiTheme="minorHAnsi"/>
        </w:rPr>
        <w:t>229.</w:t>
      </w:r>
    </w:p>
    <w:p w14:paraId="2E5F0FA8" w14:textId="4F216EA3" w:rsidR="001F1A9D" w:rsidRPr="004566DC" w:rsidRDefault="001F1A9D" w:rsidP="001F1A9D">
      <w:pPr>
        <w:pStyle w:val="EndNoteBibliography"/>
        <w:rPr>
          <w:rFonts w:asciiTheme="minorHAnsi" w:hAnsiTheme="minorHAnsi"/>
        </w:rPr>
      </w:pPr>
      <w:r w:rsidRPr="004566DC">
        <w:rPr>
          <w:rFonts w:asciiTheme="minorHAnsi" w:hAnsiTheme="minorHAnsi"/>
        </w:rPr>
        <w:t xml:space="preserve">Villalobos-Torres, C, Rojas-Martínez, A, Villareal-Castellanos, E, Cantú, JM, Sánchez-Anzaldo, FJ, Saiki, RK &amp; Barrera-Saldaña, HA 1997, 'Analysis of 16 cystic fibrosis mutations in Mexican patients', </w:t>
      </w:r>
      <w:r w:rsidRPr="004566DC">
        <w:rPr>
          <w:rFonts w:asciiTheme="minorHAnsi" w:hAnsiTheme="minorHAnsi"/>
          <w:i/>
        </w:rPr>
        <w:t>American Journal of Medical Genetics</w:t>
      </w:r>
      <w:r w:rsidRPr="004566DC">
        <w:rPr>
          <w:rFonts w:asciiTheme="minorHAnsi" w:hAnsiTheme="minorHAnsi"/>
        </w:rPr>
        <w:t>, vol. 69, no. 4, pp. 380</w:t>
      </w:r>
      <w:r w:rsidR="00530CBD">
        <w:rPr>
          <w:rFonts w:asciiTheme="minorHAnsi" w:hAnsiTheme="minorHAnsi"/>
        </w:rPr>
        <w:t>–</w:t>
      </w:r>
      <w:r w:rsidRPr="004566DC">
        <w:rPr>
          <w:rFonts w:asciiTheme="minorHAnsi" w:hAnsiTheme="minorHAnsi"/>
        </w:rPr>
        <w:t>382.</w:t>
      </w:r>
    </w:p>
    <w:p w14:paraId="617915A2" w14:textId="509E3374" w:rsidR="001F1A9D" w:rsidRPr="004566DC" w:rsidRDefault="001F1A9D" w:rsidP="001F1A9D">
      <w:pPr>
        <w:pStyle w:val="EndNoteBibliography"/>
        <w:rPr>
          <w:rFonts w:asciiTheme="minorHAnsi" w:hAnsiTheme="minorHAnsi"/>
        </w:rPr>
      </w:pPr>
      <w:r w:rsidRPr="004566DC">
        <w:rPr>
          <w:rFonts w:asciiTheme="minorHAnsi" w:hAnsiTheme="minorHAnsi"/>
        </w:rPr>
        <w:t xml:space="preserve">Wagner, M, Schloesser, M &amp; Reiss, J 1990, 'Direct gene diagnosis of cystic fibrosis by allele-specific polymerase chain reactions', </w:t>
      </w:r>
      <w:r w:rsidRPr="004566DC">
        <w:rPr>
          <w:rFonts w:asciiTheme="minorHAnsi" w:hAnsiTheme="minorHAnsi"/>
          <w:i/>
        </w:rPr>
        <w:t>Molecular Biology and Medicine</w:t>
      </w:r>
      <w:r w:rsidRPr="004566DC">
        <w:rPr>
          <w:rFonts w:asciiTheme="minorHAnsi" w:hAnsiTheme="minorHAnsi"/>
        </w:rPr>
        <w:t>, vol. 7, no. 4, pp. 359</w:t>
      </w:r>
      <w:r w:rsidR="00530CBD">
        <w:rPr>
          <w:rFonts w:asciiTheme="minorHAnsi" w:hAnsiTheme="minorHAnsi"/>
        </w:rPr>
        <w:t>–</w:t>
      </w:r>
      <w:r w:rsidRPr="004566DC">
        <w:rPr>
          <w:rFonts w:asciiTheme="minorHAnsi" w:hAnsiTheme="minorHAnsi"/>
        </w:rPr>
        <w:t>364.</w:t>
      </w:r>
    </w:p>
    <w:p w14:paraId="16DBBC97" w14:textId="1798FFAD" w:rsidR="001F1A9D" w:rsidRPr="004566DC" w:rsidRDefault="001F1A9D" w:rsidP="001F1A9D">
      <w:pPr>
        <w:pStyle w:val="EndNoteBibliography"/>
        <w:rPr>
          <w:rFonts w:asciiTheme="minorHAnsi" w:hAnsiTheme="minorHAnsi"/>
        </w:rPr>
      </w:pPr>
      <w:r w:rsidRPr="004566DC">
        <w:rPr>
          <w:rFonts w:asciiTheme="minorHAnsi" w:hAnsiTheme="minorHAnsi"/>
        </w:rPr>
        <w:t>Yu, J, Chen, Z, Ni, Y &amp; Li, Z 2012, '</w:t>
      </w:r>
      <w:r w:rsidR="00FD37D3" w:rsidRPr="004566DC">
        <w:rPr>
          <w:rFonts w:asciiTheme="minorHAnsi" w:hAnsiTheme="minorHAnsi"/>
        </w:rPr>
        <w:t>CFTR</w:t>
      </w:r>
      <w:r w:rsidRPr="004566DC">
        <w:rPr>
          <w:rFonts w:asciiTheme="minorHAnsi" w:hAnsiTheme="minorHAnsi"/>
        </w:rPr>
        <w:t xml:space="preserve"> mutations in men with congenital bilateral absence of the vas deferens (CBAVD): </w:t>
      </w:r>
      <w:r w:rsidR="00530CBD">
        <w:rPr>
          <w:rFonts w:asciiTheme="minorHAnsi" w:hAnsiTheme="minorHAnsi"/>
        </w:rPr>
        <w:t>a</w:t>
      </w:r>
      <w:r w:rsidRPr="004566DC">
        <w:rPr>
          <w:rFonts w:asciiTheme="minorHAnsi" w:hAnsiTheme="minorHAnsi"/>
        </w:rPr>
        <w:t xml:space="preserve"> systemic review and meta-analysis', </w:t>
      </w:r>
      <w:r w:rsidRPr="004566DC">
        <w:rPr>
          <w:rFonts w:asciiTheme="minorHAnsi" w:hAnsiTheme="minorHAnsi"/>
          <w:i/>
        </w:rPr>
        <w:t>Human Reproduction</w:t>
      </w:r>
      <w:r w:rsidRPr="004566DC">
        <w:rPr>
          <w:rFonts w:asciiTheme="minorHAnsi" w:hAnsiTheme="minorHAnsi"/>
        </w:rPr>
        <w:t>, vol. 27, no. 1, pp. 25</w:t>
      </w:r>
      <w:r w:rsidR="00530CBD">
        <w:rPr>
          <w:rFonts w:asciiTheme="minorHAnsi" w:hAnsiTheme="minorHAnsi"/>
        </w:rPr>
        <w:t>–</w:t>
      </w:r>
      <w:r w:rsidRPr="004566DC">
        <w:rPr>
          <w:rFonts w:asciiTheme="minorHAnsi" w:hAnsiTheme="minorHAnsi"/>
        </w:rPr>
        <w:t>35.</w:t>
      </w:r>
    </w:p>
    <w:p w14:paraId="269FA435" w14:textId="6395512F" w:rsidR="001F1A9D" w:rsidRPr="004566DC" w:rsidRDefault="001F1A9D" w:rsidP="001F1A9D">
      <w:pPr>
        <w:pStyle w:val="EndNoteBibliography"/>
        <w:rPr>
          <w:rFonts w:asciiTheme="minorHAnsi" w:hAnsiTheme="minorHAnsi"/>
        </w:rPr>
      </w:pPr>
      <w:r w:rsidRPr="004566DC">
        <w:rPr>
          <w:rFonts w:asciiTheme="minorHAnsi" w:hAnsiTheme="minorHAnsi"/>
        </w:rPr>
        <w:t xml:space="preserve">Zilfalil, BA, Sarina, S, Liza-Sharmini, AT, Oldfield, NJ &amp; Stenhouse, SA 2006, 'Detection of F508del mutation in cystic fibrosis transmembrane conductance regulator gene mutation among Malays', </w:t>
      </w:r>
      <w:r w:rsidRPr="004566DC">
        <w:rPr>
          <w:rFonts w:asciiTheme="minorHAnsi" w:hAnsiTheme="minorHAnsi"/>
          <w:i/>
        </w:rPr>
        <w:t>Singapore Medical Journal</w:t>
      </w:r>
      <w:r w:rsidRPr="004566DC">
        <w:rPr>
          <w:rFonts w:asciiTheme="minorHAnsi" w:hAnsiTheme="minorHAnsi"/>
        </w:rPr>
        <w:t>, vol. 47, no. 2, pp. 129</w:t>
      </w:r>
      <w:r w:rsidR="00530CBD">
        <w:rPr>
          <w:rFonts w:asciiTheme="minorHAnsi" w:hAnsiTheme="minorHAnsi"/>
        </w:rPr>
        <w:t>–</w:t>
      </w:r>
      <w:r w:rsidRPr="004566DC">
        <w:rPr>
          <w:rFonts w:asciiTheme="minorHAnsi" w:hAnsiTheme="minorHAnsi"/>
        </w:rPr>
        <w:t>133.</w:t>
      </w:r>
    </w:p>
    <w:p w14:paraId="556B47DD" w14:textId="77777777" w:rsidR="001E6713" w:rsidRPr="004566DC" w:rsidRDefault="001E6713" w:rsidP="006F73C4">
      <w:pPr>
        <w:pStyle w:val="Heading2"/>
        <w:rPr>
          <w:rFonts w:asciiTheme="minorHAnsi" w:eastAsiaTheme="minorHAnsi" w:hAnsiTheme="minorHAnsi"/>
          <w:lang w:eastAsia="en-US"/>
        </w:rPr>
      </w:pPr>
      <w:bookmarkStart w:id="571" w:name="_Toc418179970"/>
      <w:r w:rsidRPr="004566DC">
        <w:rPr>
          <w:rFonts w:asciiTheme="minorHAnsi" w:eastAsiaTheme="minorHAnsi" w:hAnsiTheme="minorHAnsi"/>
          <w:lang w:eastAsia="en-US"/>
        </w:rPr>
        <w:t>Incorrect study design</w:t>
      </w:r>
      <w:bookmarkEnd w:id="571"/>
    </w:p>
    <w:p w14:paraId="0FB0D57C" w14:textId="283F59BC" w:rsidR="001E6713" w:rsidRPr="004566DC" w:rsidRDefault="001E6713" w:rsidP="001E6713">
      <w:pPr>
        <w:pStyle w:val="EndNoteBibliography"/>
        <w:rPr>
          <w:rFonts w:asciiTheme="minorHAnsi" w:hAnsiTheme="minorHAnsi"/>
        </w:rPr>
      </w:pPr>
      <w:r w:rsidRPr="004566DC">
        <w:rPr>
          <w:rFonts w:asciiTheme="minorHAnsi" w:hAnsiTheme="minorHAnsi"/>
        </w:rPr>
        <w:t xml:space="preserve">Ashlock, </w:t>
      </w:r>
      <w:r w:rsidR="00A21A37" w:rsidRPr="004566DC">
        <w:rPr>
          <w:rFonts w:asciiTheme="minorHAnsi" w:hAnsiTheme="minorHAnsi"/>
        </w:rPr>
        <w:t>A</w:t>
      </w:r>
      <w:r w:rsidRPr="004566DC">
        <w:rPr>
          <w:rFonts w:asciiTheme="minorHAnsi" w:hAnsiTheme="minorHAnsi"/>
        </w:rPr>
        <w:t xml:space="preserve">M 2011, 'Personalized medicine for cystic fibrosis: </w:t>
      </w:r>
      <w:r w:rsidR="00A93BED">
        <w:rPr>
          <w:rFonts w:asciiTheme="minorHAnsi" w:hAnsiTheme="minorHAnsi"/>
        </w:rPr>
        <w:t>t</w:t>
      </w:r>
      <w:r w:rsidRPr="004566DC">
        <w:rPr>
          <w:rFonts w:asciiTheme="minorHAnsi" w:hAnsiTheme="minorHAnsi"/>
        </w:rPr>
        <w:t xml:space="preserve">he next generation', </w:t>
      </w:r>
      <w:r w:rsidRPr="004566DC">
        <w:rPr>
          <w:rFonts w:asciiTheme="minorHAnsi" w:hAnsiTheme="minorHAnsi"/>
          <w:i/>
        </w:rPr>
        <w:t>Personalized Medicine</w:t>
      </w:r>
      <w:r w:rsidRPr="004566DC">
        <w:rPr>
          <w:rFonts w:asciiTheme="minorHAnsi" w:hAnsiTheme="minorHAnsi"/>
        </w:rPr>
        <w:t>, vol. 8, no. 5, pp. 495</w:t>
      </w:r>
      <w:r w:rsidR="00530CBD">
        <w:rPr>
          <w:rFonts w:asciiTheme="minorHAnsi" w:hAnsiTheme="minorHAnsi"/>
        </w:rPr>
        <w:t>–</w:t>
      </w:r>
      <w:r w:rsidRPr="004566DC">
        <w:rPr>
          <w:rFonts w:asciiTheme="minorHAnsi" w:hAnsiTheme="minorHAnsi"/>
        </w:rPr>
        <w:t>499.</w:t>
      </w:r>
    </w:p>
    <w:p w14:paraId="65EFB836" w14:textId="0FB5343A" w:rsidR="001E6713" w:rsidRPr="004566DC" w:rsidRDefault="001E6713" w:rsidP="001E6713">
      <w:pPr>
        <w:pStyle w:val="EndNoteBibliography"/>
        <w:rPr>
          <w:rFonts w:asciiTheme="minorHAnsi" w:hAnsiTheme="minorHAnsi"/>
        </w:rPr>
      </w:pPr>
      <w:r w:rsidRPr="004566DC">
        <w:rPr>
          <w:rFonts w:asciiTheme="minorHAnsi" w:hAnsiTheme="minorHAnsi"/>
        </w:rPr>
        <w:t xml:space="preserve">Baskin, LB, Wians Jr, FH &amp; Elder, F 2002, 'Preconception and prenatal screening for cystic fibrosis', </w:t>
      </w:r>
      <w:r w:rsidR="00530CBD">
        <w:rPr>
          <w:rFonts w:asciiTheme="minorHAnsi" w:hAnsiTheme="minorHAnsi"/>
          <w:i/>
        </w:rPr>
        <w:t>M</w:t>
      </w:r>
      <w:r w:rsidRPr="004566DC">
        <w:rPr>
          <w:rFonts w:asciiTheme="minorHAnsi" w:hAnsiTheme="minorHAnsi"/>
          <w:i/>
        </w:rPr>
        <w:t xml:space="preserve">edical </w:t>
      </w:r>
      <w:r w:rsidR="00530CBD">
        <w:rPr>
          <w:rFonts w:asciiTheme="minorHAnsi" w:hAnsiTheme="minorHAnsi"/>
          <w:i/>
        </w:rPr>
        <w:t>L</w:t>
      </w:r>
      <w:r w:rsidRPr="004566DC">
        <w:rPr>
          <w:rFonts w:asciiTheme="minorHAnsi" w:hAnsiTheme="minorHAnsi"/>
          <w:i/>
        </w:rPr>
        <w:t xml:space="preserve">aboratory </w:t>
      </w:r>
      <w:r w:rsidR="00530CBD">
        <w:rPr>
          <w:rFonts w:asciiTheme="minorHAnsi" w:hAnsiTheme="minorHAnsi"/>
          <w:i/>
        </w:rPr>
        <w:t>O</w:t>
      </w:r>
      <w:r w:rsidRPr="004566DC">
        <w:rPr>
          <w:rFonts w:asciiTheme="minorHAnsi" w:hAnsiTheme="minorHAnsi"/>
          <w:i/>
        </w:rPr>
        <w:t>bserver</w:t>
      </w:r>
      <w:r w:rsidRPr="004566DC">
        <w:rPr>
          <w:rFonts w:asciiTheme="minorHAnsi" w:hAnsiTheme="minorHAnsi"/>
        </w:rPr>
        <w:t>, vol. 34, no. 10, pp. 8</w:t>
      </w:r>
      <w:r w:rsidR="00530CBD">
        <w:rPr>
          <w:rFonts w:asciiTheme="minorHAnsi" w:hAnsiTheme="minorHAnsi"/>
        </w:rPr>
        <w:t>–</w:t>
      </w:r>
      <w:r w:rsidRPr="004566DC">
        <w:rPr>
          <w:rFonts w:asciiTheme="minorHAnsi" w:hAnsiTheme="minorHAnsi"/>
        </w:rPr>
        <w:t xml:space="preserve">12; quiz </w:t>
      </w:r>
      <w:r w:rsidR="00A93BED">
        <w:rPr>
          <w:rFonts w:asciiTheme="minorHAnsi" w:hAnsiTheme="minorHAnsi"/>
        </w:rPr>
        <w:t xml:space="preserve">pp. </w:t>
      </w:r>
      <w:r w:rsidRPr="004566DC">
        <w:rPr>
          <w:rFonts w:asciiTheme="minorHAnsi" w:hAnsiTheme="minorHAnsi"/>
        </w:rPr>
        <w:t>14, 16.</w:t>
      </w:r>
    </w:p>
    <w:p w14:paraId="5A13993A" w14:textId="06270305" w:rsidR="001E6713" w:rsidRPr="004566DC" w:rsidRDefault="001E6713" w:rsidP="001E6713">
      <w:pPr>
        <w:pStyle w:val="EndNoteBibliography"/>
        <w:rPr>
          <w:rFonts w:asciiTheme="minorHAnsi" w:hAnsiTheme="minorHAnsi"/>
        </w:rPr>
      </w:pPr>
      <w:r w:rsidRPr="004566DC">
        <w:rPr>
          <w:rFonts w:asciiTheme="minorHAnsi" w:hAnsiTheme="minorHAnsi"/>
        </w:rPr>
        <w:t xml:space="preserve">Bobadilla, JL, Farrell, MH &amp; Farrell, PM 2002, 'Applying </w:t>
      </w:r>
      <w:r w:rsidR="00FD37D3" w:rsidRPr="004566DC">
        <w:rPr>
          <w:rFonts w:asciiTheme="minorHAnsi" w:hAnsiTheme="minorHAnsi"/>
        </w:rPr>
        <w:t>CFTR</w:t>
      </w:r>
      <w:r w:rsidRPr="004566DC">
        <w:rPr>
          <w:rFonts w:asciiTheme="minorHAnsi" w:hAnsiTheme="minorHAnsi"/>
        </w:rPr>
        <w:t xml:space="preserve"> molecular genetics to facilitate the diagnosis of cystic fibrosis through screening', </w:t>
      </w:r>
      <w:r w:rsidRPr="004566DC">
        <w:rPr>
          <w:rFonts w:asciiTheme="minorHAnsi" w:hAnsiTheme="minorHAnsi"/>
          <w:i/>
        </w:rPr>
        <w:t xml:space="preserve">Advances in </w:t>
      </w:r>
      <w:r w:rsidR="00530CBD">
        <w:rPr>
          <w:rFonts w:asciiTheme="minorHAnsi" w:hAnsiTheme="minorHAnsi"/>
          <w:i/>
        </w:rPr>
        <w:t>P</w:t>
      </w:r>
      <w:r w:rsidRPr="004566DC">
        <w:rPr>
          <w:rFonts w:asciiTheme="minorHAnsi" w:hAnsiTheme="minorHAnsi"/>
          <w:i/>
        </w:rPr>
        <w:t>ediatrics</w:t>
      </w:r>
      <w:r w:rsidRPr="004566DC">
        <w:rPr>
          <w:rFonts w:asciiTheme="minorHAnsi" w:hAnsiTheme="minorHAnsi"/>
        </w:rPr>
        <w:t>, vol. 49, pp. 131</w:t>
      </w:r>
      <w:r w:rsidR="00530CBD">
        <w:rPr>
          <w:rFonts w:asciiTheme="minorHAnsi" w:hAnsiTheme="minorHAnsi"/>
        </w:rPr>
        <w:t>–</w:t>
      </w:r>
      <w:r w:rsidRPr="004566DC">
        <w:rPr>
          <w:rFonts w:asciiTheme="minorHAnsi" w:hAnsiTheme="minorHAnsi"/>
        </w:rPr>
        <w:t>190.</w:t>
      </w:r>
    </w:p>
    <w:p w14:paraId="7D1BFC36" w14:textId="21AB8B0B" w:rsidR="001E6713" w:rsidRPr="004566DC" w:rsidRDefault="001E6713" w:rsidP="001E6713">
      <w:pPr>
        <w:pStyle w:val="EndNoteBibliography"/>
        <w:rPr>
          <w:rFonts w:asciiTheme="minorHAnsi" w:hAnsiTheme="minorHAnsi"/>
        </w:rPr>
      </w:pPr>
      <w:r w:rsidRPr="004566DC">
        <w:rPr>
          <w:rFonts w:asciiTheme="minorHAnsi" w:hAnsiTheme="minorHAnsi"/>
        </w:rPr>
        <w:t xml:space="preserve">Britton, J, Knox, AJ, Miedzybrodzka, Z, Dean, J &amp; Haites, N 1991, 'Screening for cystic fibrosis [12]', </w:t>
      </w:r>
      <w:r w:rsidRPr="004566DC">
        <w:rPr>
          <w:rFonts w:asciiTheme="minorHAnsi" w:hAnsiTheme="minorHAnsi"/>
          <w:i/>
        </w:rPr>
        <w:t>Lancet</w:t>
      </w:r>
      <w:r w:rsidRPr="004566DC">
        <w:rPr>
          <w:rFonts w:asciiTheme="minorHAnsi" w:hAnsiTheme="minorHAnsi"/>
        </w:rPr>
        <w:t>, vol. 338, no. 8781, pp. 1524</w:t>
      </w:r>
      <w:r w:rsidR="00530CBD">
        <w:rPr>
          <w:rFonts w:asciiTheme="minorHAnsi" w:hAnsiTheme="minorHAnsi"/>
        </w:rPr>
        <w:t>–</w:t>
      </w:r>
      <w:r w:rsidRPr="004566DC">
        <w:rPr>
          <w:rFonts w:asciiTheme="minorHAnsi" w:hAnsiTheme="minorHAnsi"/>
        </w:rPr>
        <w:t>1525.</w:t>
      </w:r>
    </w:p>
    <w:p w14:paraId="77E06817" w14:textId="4D01EFA0" w:rsidR="001E6713" w:rsidRPr="004566DC" w:rsidRDefault="001E6713" w:rsidP="001E6713">
      <w:pPr>
        <w:pStyle w:val="EndNoteBibliography"/>
        <w:rPr>
          <w:rFonts w:asciiTheme="minorHAnsi" w:hAnsiTheme="minorHAnsi"/>
        </w:rPr>
      </w:pPr>
      <w:r w:rsidRPr="004566DC">
        <w:rPr>
          <w:rFonts w:asciiTheme="minorHAnsi" w:hAnsiTheme="minorHAnsi"/>
        </w:rPr>
        <w:t xml:space="preserve">Brock, DJ 1994, 'Carrier screening for cystic fibrosis', </w:t>
      </w:r>
      <w:r w:rsidRPr="004566DC">
        <w:rPr>
          <w:rFonts w:asciiTheme="minorHAnsi" w:hAnsiTheme="minorHAnsi"/>
          <w:i/>
        </w:rPr>
        <w:t>Prenatal Diagnosis</w:t>
      </w:r>
      <w:r w:rsidRPr="004566DC">
        <w:rPr>
          <w:rFonts w:asciiTheme="minorHAnsi" w:hAnsiTheme="minorHAnsi"/>
        </w:rPr>
        <w:t>, vol. 14, no. 13, pp. 1243</w:t>
      </w:r>
      <w:r w:rsidR="00530CBD">
        <w:rPr>
          <w:rFonts w:asciiTheme="minorHAnsi" w:hAnsiTheme="minorHAnsi"/>
        </w:rPr>
        <w:t>–</w:t>
      </w:r>
      <w:r w:rsidRPr="004566DC">
        <w:rPr>
          <w:rFonts w:asciiTheme="minorHAnsi" w:hAnsiTheme="minorHAnsi"/>
        </w:rPr>
        <w:t>1252.</w:t>
      </w:r>
    </w:p>
    <w:p w14:paraId="42C54B5B" w14:textId="5E52A3AA" w:rsidR="001E6713" w:rsidRPr="004566DC" w:rsidRDefault="001E6713" w:rsidP="001E6713">
      <w:pPr>
        <w:pStyle w:val="EndNoteBibliography"/>
        <w:rPr>
          <w:rFonts w:asciiTheme="minorHAnsi" w:hAnsiTheme="minorHAnsi"/>
        </w:rPr>
      </w:pPr>
      <w:r w:rsidRPr="004566DC">
        <w:rPr>
          <w:rFonts w:asciiTheme="minorHAnsi" w:hAnsiTheme="minorHAnsi"/>
        </w:rPr>
        <w:t xml:space="preserve">Brock, DJH 1996, 'Population screening for cystic fibrosis', </w:t>
      </w:r>
      <w:r w:rsidRPr="004566DC">
        <w:rPr>
          <w:rFonts w:asciiTheme="minorHAnsi" w:hAnsiTheme="minorHAnsi"/>
          <w:i/>
        </w:rPr>
        <w:t>Current Opinion in Pediatrics</w:t>
      </w:r>
      <w:r w:rsidRPr="004566DC">
        <w:rPr>
          <w:rFonts w:asciiTheme="minorHAnsi" w:hAnsiTheme="minorHAnsi"/>
        </w:rPr>
        <w:t>, vol. 8, no. 6, pp. 635</w:t>
      </w:r>
      <w:r w:rsidR="00530CBD">
        <w:rPr>
          <w:rFonts w:asciiTheme="minorHAnsi" w:hAnsiTheme="minorHAnsi"/>
        </w:rPr>
        <w:t>–</w:t>
      </w:r>
      <w:r w:rsidRPr="004566DC">
        <w:rPr>
          <w:rFonts w:asciiTheme="minorHAnsi" w:hAnsiTheme="minorHAnsi"/>
        </w:rPr>
        <w:t>638.</w:t>
      </w:r>
    </w:p>
    <w:p w14:paraId="6E999FE9" w14:textId="235DA918" w:rsidR="001E6713" w:rsidRPr="004566DC" w:rsidRDefault="001E6713" w:rsidP="001E6713">
      <w:pPr>
        <w:pStyle w:val="EndNoteBibliography"/>
        <w:rPr>
          <w:rFonts w:asciiTheme="minorHAnsi" w:hAnsiTheme="minorHAnsi"/>
        </w:rPr>
      </w:pPr>
      <w:r w:rsidRPr="004566DC">
        <w:rPr>
          <w:rFonts w:asciiTheme="minorHAnsi" w:hAnsiTheme="minorHAnsi"/>
        </w:rPr>
        <w:t xml:space="preserve">Bryant-Greenwood, P 2002, 'Molecular diagnostics in obstetrics and gynecology', </w:t>
      </w:r>
      <w:r w:rsidRPr="004566DC">
        <w:rPr>
          <w:rFonts w:asciiTheme="minorHAnsi" w:hAnsiTheme="minorHAnsi"/>
          <w:i/>
        </w:rPr>
        <w:t>Clinical Obstetrics and Gynecology</w:t>
      </w:r>
      <w:r w:rsidRPr="004566DC">
        <w:rPr>
          <w:rFonts w:asciiTheme="minorHAnsi" w:hAnsiTheme="minorHAnsi"/>
        </w:rPr>
        <w:t>, vol. 45, no. 3, pp. 605</w:t>
      </w:r>
      <w:r w:rsidR="00530CBD">
        <w:rPr>
          <w:rFonts w:asciiTheme="minorHAnsi" w:hAnsiTheme="minorHAnsi"/>
        </w:rPr>
        <w:t>–</w:t>
      </w:r>
      <w:r w:rsidRPr="004566DC">
        <w:rPr>
          <w:rFonts w:asciiTheme="minorHAnsi" w:hAnsiTheme="minorHAnsi"/>
        </w:rPr>
        <w:t>621.</w:t>
      </w:r>
    </w:p>
    <w:p w14:paraId="79217D49" w14:textId="5B2CCC9E" w:rsidR="001E6713" w:rsidRPr="004566DC" w:rsidRDefault="001E6713" w:rsidP="001E6713">
      <w:pPr>
        <w:pStyle w:val="EndNoteBibliography"/>
        <w:rPr>
          <w:rFonts w:asciiTheme="minorHAnsi" w:hAnsiTheme="minorHAnsi"/>
        </w:rPr>
      </w:pPr>
      <w:r w:rsidRPr="004566DC">
        <w:rPr>
          <w:rFonts w:asciiTheme="minorHAnsi" w:hAnsiTheme="minorHAnsi"/>
        </w:rPr>
        <w:t xml:space="preserve">Burn, J, Magnay, D, Claber, O &amp; Curtis, A 1993, 'Population screening in cystic fibrosis', </w:t>
      </w:r>
      <w:r w:rsidRPr="004566DC">
        <w:rPr>
          <w:rFonts w:asciiTheme="minorHAnsi" w:hAnsiTheme="minorHAnsi"/>
          <w:i/>
        </w:rPr>
        <w:t>Journal of the Royal Society of Medicine, Supplement</w:t>
      </w:r>
      <w:r w:rsidRPr="004566DC">
        <w:rPr>
          <w:rFonts w:asciiTheme="minorHAnsi" w:hAnsiTheme="minorHAnsi"/>
        </w:rPr>
        <w:t>, vol. 86, no. 20, pp. 2</w:t>
      </w:r>
      <w:r w:rsidR="00530CBD">
        <w:rPr>
          <w:rFonts w:asciiTheme="minorHAnsi" w:hAnsiTheme="minorHAnsi"/>
        </w:rPr>
        <w:t>–</w:t>
      </w:r>
      <w:r w:rsidRPr="004566DC">
        <w:rPr>
          <w:rFonts w:asciiTheme="minorHAnsi" w:hAnsiTheme="minorHAnsi"/>
        </w:rPr>
        <w:t>6.</w:t>
      </w:r>
    </w:p>
    <w:p w14:paraId="15825D3D" w14:textId="60B2AD80" w:rsidR="001E6713" w:rsidRPr="004566DC" w:rsidRDefault="001E6713" w:rsidP="001E6713">
      <w:pPr>
        <w:pStyle w:val="EndNoteBibliography"/>
        <w:rPr>
          <w:rFonts w:asciiTheme="minorHAnsi" w:hAnsiTheme="minorHAnsi"/>
        </w:rPr>
      </w:pPr>
      <w:r w:rsidRPr="004566DC">
        <w:rPr>
          <w:rFonts w:asciiTheme="minorHAnsi" w:hAnsiTheme="minorHAnsi"/>
        </w:rPr>
        <w:t xml:space="preserve">Carswell, F 1996, 'Whole-population screening for carriers of cystic fibrosis gene', </w:t>
      </w:r>
      <w:r w:rsidRPr="004566DC">
        <w:rPr>
          <w:rFonts w:asciiTheme="minorHAnsi" w:hAnsiTheme="minorHAnsi"/>
          <w:i/>
        </w:rPr>
        <w:t>Lancet</w:t>
      </w:r>
      <w:r w:rsidRPr="004566DC">
        <w:rPr>
          <w:rFonts w:asciiTheme="minorHAnsi" w:hAnsiTheme="minorHAnsi"/>
        </w:rPr>
        <w:t>, vol. 347, no. 9013, pp. 1421</w:t>
      </w:r>
      <w:r w:rsidR="00530CBD">
        <w:rPr>
          <w:rFonts w:asciiTheme="minorHAnsi" w:hAnsiTheme="minorHAnsi"/>
        </w:rPr>
        <w:t>–</w:t>
      </w:r>
      <w:r w:rsidRPr="004566DC">
        <w:rPr>
          <w:rFonts w:asciiTheme="minorHAnsi" w:hAnsiTheme="minorHAnsi"/>
        </w:rPr>
        <w:t>1422.</w:t>
      </w:r>
    </w:p>
    <w:p w14:paraId="37276630" w14:textId="23CC6BCB" w:rsidR="001E6713" w:rsidRPr="004566DC" w:rsidRDefault="001E6713" w:rsidP="001E6713">
      <w:pPr>
        <w:pStyle w:val="EndNoteBibliography"/>
        <w:rPr>
          <w:rFonts w:asciiTheme="minorHAnsi" w:hAnsiTheme="minorHAnsi"/>
        </w:rPr>
      </w:pPr>
      <w:r w:rsidRPr="004566DC">
        <w:rPr>
          <w:rFonts w:asciiTheme="minorHAnsi" w:hAnsiTheme="minorHAnsi"/>
        </w:rPr>
        <w:t xml:space="preserve">Castellani, C, Cuppens, H, Macek, M, Jr., Cassiman, JJ, Kerem, E, Durie, P, Tullis, E, Assael, BM, Bombieri, C, Brown, A, Casals, T, Claustres, M, Cutting, GR, Dequeker, E, Dodge, J, Doull, I, Farrell, P, Ferec, C, Girodon, E, Johannesson, M, Kerem, B, Knowles, M, Munck, A, Pignatti, PF, Radojkovic, D, Rizzotti, P, Schwarz, M, Stuhrmann, M, Tzetis, M, Zielenski, J &amp; Elborn, JS 2008, 'Consensus on the use and interpretation of cystic fibrosis mutation analysis in clinical practice', </w:t>
      </w:r>
      <w:r w:rsidRPr="004566DC">
        <w:rPr>
          <w:rFonts w:asciiTheme="minorHAnsi" w:hAnsiTheme="minorHAnsi"/>
          <w:i/>
        </w:rPr>
        <w:t>J</w:t>
      </w:r>
      <w:r w:rsidR="00530CBD">
        <w:rPr>
          <w:rFonts w:asciiTheme="minorHAnsi" w:hAnsiTheme="minorHAnsi"/>
          <w:i/>
        </w:rPr>
        <w:t>ournal of</w:t>
      </w:r>
      <w:r w:rsidRPr="004566DC">
        <w:rPr>
          <w:rFonts w:asciiTheme="minorHAnsi" w:hAnsiTheme="minorHAnsi"/>
          <w:i/>
        </w:rPr>
        <w:t xml:space="preserve"> Cyst</w:t>
      </w:r>
      <w:r w:rsidR="00530CBD">
        <w:rPr>
          <w:rFonts w:asciiTheme="minorHAnsi" w:hAnsiTheme="minorHAnsi"/>
          <w:i/>
        </w:rPr>
        <w:t>ic</w:t>
      </w:r>
      <w:r w:rsidRPr="004566DC">
        <w:rPr>
          <w:rFonts w:asciiTheme="minorHAnsi" w:hAnsiTheme="minorHAnsi"/>
          <w:i/>
        </w:rPr>
        <w:t xml:space="preserve"> Fibros</w:t>
      </w:r>
      <w:r w:rsidR="00530CBD">
        <w:rPr>
          <w:rFonts w:asciiTheme="minorHAnsi" w:hAnsiTheme="minorHAnsi"/>
          <w:i/>
        </w:rPr>
        <w:t>is</w:t>
      </w:r>
      <w:r w:rsidRPr="004566DC">
        <w:rPr>
          <w:rFonts w:asciiTheme="minorHAnsi" w:hAnsiTheme="minorHAnsi"/>
        </w:rPr>
        <w:t>, vol. 7, no. 3, pp. 179</w:t>
      </w:r>
      <w:r w:rsidR="00530CBD">
        <w:rPr>
          <w:rFonts w:asciiTheme="minorHAnsi" w:hAnsiTheme="minorHAnsi"/>
        </w:rPr>
        <w:t>–</w:t>
      </w:r>
      <w:r w:rsidRPr="004566DC">
        <w:rPr>
          <w:rFonts w:asciiTheme="minorHAnsi" w:hAnsiTheme="minorHAnsi"/>
        </w:rPr>
        <w:t>196.</w:t>
      </w:r>
    </w:p>
    <w:p w14:paraId="66338D83" w14:textId="744FFF91" w:rsidR="001E6713" w:rsidRPr="004566DC" w:rsidRDefault="001E6713" w:rsidP="001E6713">
      <w:pPr>
        <w:pStyle w:val="EndNoteBibliography"/>
        <w:rPr>
          <w:rFonts w:asciiTheme="minorHAnsi" w:hAnsiTheme="minorHAnsi"/>
        </w:rPr>
      </w:pPr>
      <w:r w:rsidRPr="004566DC">
        <w:rPr>
          <w:rFonts w:asciiTheme="minorHAnsi" w:hAnsiTheme="minorHAnsi"/>
        </w:rPr>
        <w:lastRenderedPageBreak/>
        <w:t xml:space="preserve">Costes, B, Girodon, E, Vidaud, D, Flori, E, Ardalan, A, Conteville, P, Fanen, P, Niel, F, Vidaud, M &amp; Goossens, M 2000, 'Prenatal detection by real-time quantitative PCR and characterization of a new </w:t>
      </w:r>
      <w:r w:rsidR="00FD37D3" w:rsidRPr="004566DC">
        <w:rPr>
          <w:rFonts w:asciiTheme="minorHAnsi" w:hAnsiTheme="minorHAnsi"/>
        </w:rPr>
        <w:t>CFTR</w:t>
      </w:r>
      <w:r w:rsidRPr="004566DC">
        <w:rPr>
          <w:rFonts w:asciiTheme="minorHAnsi" w:hAnsiTheme="minorHAnsi"/>
        </w:rPr>
        <w:t xml:space="preserve"> deletion, 3600+ 15kbdel5.3kb (or </w:t>
      </w:r>
      <w:r w:rsidR="00FD37D3" w:rsidRPr="004566DC">
        <w:rPr>
          <w:rFonts w:asciiTheme="minorHAnsi" w:hAnsiTheme="minorHAnsi"/>
        </w:rPr>
        <w:t>CFTR</w:t>
      </w:r>
      <w:r w:rsidRPr="004566DC">
        <w:rPr>
          <w:rFonts w:asciiTheme="minorHAnsi" w:hAnsiTheme="minorHAnsi"/>
        </w:rPr>
        <w:t xml:space="preserve">dele19)', </w:t>
      </w:r>
      <w:r w:rsidRPr="004566DC">
        <w:rPr>
          <w:rFonts w:asciiTheme="minorHAnsi" w:hAnsiTheme="minorHAnsi"/>
          <w:i/>
        </w:rPr>
        <w:t>Clinical Chemistry</w:t>
      </w:r>
      <w:r w:rsidRPr="004566DC">
        <w:rPr>
          <w:rFonts w:asciiTheme="minorHAnsi" w:hAnsiTheme="minorHAnsi"/>
        </w:rPr>
        <w:t>, vol. 46, no. 9, pp. 1417</w:t>
      </w:r>
      <w:r w:rsidR="00530CBD">
        <w:rPr>
          <w:rFonts w:asciiTheme="minorHAnsi" w:hAnsiTheme="minorHAnsi"/>
        </w:rPr>
        <w:t>–</w:t>
      </w:r>
      <w:r w:rsidRPr="004566DC">
        <w:rPr>
          <w:rFonts w:asciiTheme="minorHAnsi" w:hAnsiTheme="minorHAnsi"/>
        </w:rPr>
        <w:t>1420.</w:t>
      </w:r>
    </w:p>
    <w:p w14:paraId="49542AE8" w14:textId="3C0C600D" w:rsidR="001E6713" w:rsidRPr="004566DC" w:rsidRDefault="001E6713" w:rsidP="001E6713">
      <w:pPr>
        <w:pStyle w:val="EndNoteBibliography"/>
        <w:rPr>
          <w:rFonts w:asciiTheme="minorHAnsi" w:hAnsiTheme="minorHAnsi"/>
        </w:rPr>
      </w:pPr>
      <w:r w:rsidRPr="004566DC">
        <w:rPr>
          <w:rFonts w:asciiTheme="minorHAnsi" w:hAnsiTheme="minorHAnsi"/>
        </w:rPr>
        <w:t xml:space="preserve">Cuckle, H 1998, 'Screening for cystic fibrosis', </w:t>
      </w:r>
      <w:r w:rsidRPr="004566DC">
        <w:rPr>
          <w:rFonts w:asciiTheme="minorHAnsi" w:hAnsiTheme="minorHAnsi"/>
          <w:i/>
        </w:rPr>
        <w:t>Disease Management and Health Outcomes</w:t>
      </w:r>
      <w:r w:rsidRPr="004566DC">
        <w:rPr>
          <w:rFonts w:asciiTheme="minorHAnsi" w:hAnsiTheme="minorHAnsi"/>
        </w:rPr>
        <w:t>, vol. 3, no. 4, pp. 161</w:t>
      </w:r>
      <w:r w:rsidR="00530CBD">
        <w:rPr>
          <w:rFonts w:asciiTheme="minorHAnsi" w:hAnsiTheme="minorHAnsi"/>
        </w:rPr>
        <w:t>–</w:t>
      </w:r>
      <w:r w:rsidRPr="004566DC">
        <w:rPr>
          <w:rFonts w:asciiTheme="minorHAnsi" w:hAnsiTheme="minorHAnsi"/>
        </w:rPr>
        <w:t>172.</w:t>
      </w:r>
    </w:p>
    <w:p w14:paraId="1B38FC4C" w14:textId="2D43AE98" w:rsidR="001E6713" w:rsidRPr="004566DC" w:rsidRDefault="001E6713" w:rsidP="001E6713">
      <w:pPr>
        <w:pStyle w:val="EndNoteBibliography"/>
        <w:rPr>
          <w:rFonts w:asciiTheme="minorHAnsi" w:hAnsiTheme="minorHAnsi"/>
        </w:rPr>
      </w:pPr>
      <w:r w:rsidRPr="004566DC">
        <w:rPr>
          <w:rFonts w:asciiTheme="minorHAnsi" w:hAnsiTheme="minorHAnsi"/>
        </w:rPr>
        <w:t xml:space="preserve">Cuppens, H &amp; Cassiman, JJ 2001, 'Solid phase fluorescent sequencing of the </w:t>
      </w:r>
      <w:r w:rsidR="00A21FD9" w:rsidRPr="004566DC">
        <w:rPr>
          <w:rFonts w:asciiTheme="minorHAnsi" w:hAnsiTheme="minorHAnsi"/>
          <w:i/>
        </w:rPr>
        <w:t>CFTR</w:t>
      </w:r>
      <w:r w:rsidRPr="004566DC">
        <w:rPr>
          <w:rFonts w:asciiTheme="minorHAnsi" w:hAnsiTheme="minorHAnsi"/>
        </w:rPr>
        <w:t xml:space="preserve"> gene', </w:t>
      </w:r>
      <w:r w:rsidRPr="004566DC">
        <w:rPr>
          <w:rFonts w:asciiTheme="minorHAnsi" w:hAnsiTheme="minorHAnsi"/>
          <w:i/>
        </w:rPr>
        <w:t xml:space="preserve">Methods in </w:t>
      </w:r>
      <w:r w:rsidR="00A93BED">
        <w:rPr>
          <w:rFonts w:asciiTheme="minorHAnsi" w:hAnsiTheme="minorHAnsi"/>
          <w:i/>
        </w:rPr>
        <w:t>M</w:t>
      </w:r>
      <w:r w:rsidRPr="004566DC">
        <w:rPr>
          <w:rFonts w:asciiTheme="minorHAnsi" w:hAnsiTheme="minorHAnsi"/>
          <w:i/>
        </w:rPr>
        <w:t xml:space="preserve">olecular </w:t>
      </w:r>
      <w:r w:rsidR="00A93BED">
        <w:rPr>
          <w:rFonts w:asciiTheme="minorHAnsi" w:hAnsiTheme="minorHAnsi"/>
          <w:i/>
        </w:rPr>
        <w:t>B</w:t>
      </w:r>
      <w:r w:rsidRPr="004566DC">
        <w:rPr>
          <w:rFonts w:asciiTheme="minorHAnsi" w:hAnsiTheme="minorHAnsi"/>
          <w:i/>
        </w:rPr>
        <w:t>iology (Clifton, NJ)</w:t>
      </w:r>
      <w:r w:rsidRPr="004566DC">
        <w:rPr>
          <w:rFonts w:asciiTheme="minorHAnsi" w:hAnsiTheme="minorHAnsi"/>
        </w:rPr>
        <w:t>, vol. 167, pp. 63</w:t>
      </w:r>
      <w:r w:rsidR="00530CBD">
        <w:rPr>
          <w:rFonts w:asciiTheme="minorHAnsi" w:hAnsiTheme="minorHAnsi"/>
        </w:rPr>
        <w:t>–</w:t>
      </w:r>
      <w:r w:rsidRPr="004566DC">
        <w:rPr>
          <w:rFonts w:asciiTheme="minorHAnsi" w:hAnsiTheme="minorHAnsi"/>
        </w:rPr>
        <w:t>88.</w:t>
      </w:r>
    </w:p>
    <w:p w14:paraId="7B355DF9" w14:textId="188DC7B3" w:rsidR="001E6713" w:rsidRPr="004566DC" w:rsidRDefault="001E6713" w:rsidP="001E6713">
      <w:pPr>
        <w:pStyle w:val="EndNoteBibliography"/>
        <w:rPr>
          <w:rFonts w:asciiTheme="minorHAnsi" w:hAnsiTheme="minorHAnsi"/>
        </w:rPr>
      </w:pPr>
      <w:r w:rsidRPr="004566DC">
        <w:rPr>
          <w:rFonts w:asciiTheme="minorHAnsi" w:hAnsiTheme="minorHAnsi"/>
        </w:rPr>
        <w:t>Cuppens, H &amp; Cassiman, JJ 2004a, '</w:t>
      </w:r>
      <w:r w:rsidR="00FD37D3" w:rsidRPr="004566DC">
        <w:rPr>
          <w:rFonts w:asciiTheme="minorHAnsi" w:hAnsiTheme="minorHAnsi"/>
        </w:rPr>
        <w:t>CFTR</w:t>
      </w:r>
      <w:r w:rsidRPr="004566DC">
        <w:rPr>
          <w:rFonts w:asciiTheme="minorHAnsi" w:hAnsiTheme="minorHAnsi"/>
        </w:rPr>
        <w:t xml:space="preserve"> mutations and polymorphisms in male infertility', </w:t>
      </w:r>
      <w:r w:rsidRPr="004566DC">
        <w:rPr>
          <w:rFonts w:asciiTheme="minorHAnsi" w:hAnsiTheme="minorHAnsi"/>
          <w:i/>
        </w:rPr>
        <w:t>International Journal of Andrology</w:t>
      </w:r>
      <w:r w:rsidRPr="004566DC">
        <w:rPr>
          <w:rFonts w:asciiTheme="minorHAnsi" w:hAnsiTheme="minorHAnsi"/>
        </w:rPr>
        <w:t>, vol. 27, no. 5, pp. 251</w:t>
      </w:r>
      <w:r w:rsidR="00530CBD">
        <w:rPr>
          <w:rFonts w:asciiTheme="minorHAnsi" w:hAnsiTheme="minorHAnsi"/>
        </w:rPr>
        <w:t>–</w:t>
      </w:r>
      <w:r w:rsidRPr="004566DC">
        <w:rPr>
          <w:rFonts w:asciiTheme="minorHAnsi" w:hAnsiTheme="minorHAnsi"/>
        </w:rPr>
        <w:t>256.</w:t>
      </w:r>
    </w:p>
    <w:p w14:paraId="63FE518D" w14:textId="0BF6617D" w:rsidR="001E6713" w:rsidRPr="004566DC" w:rsidRDefault="001E6713" w:rsidP="001E6713">
      <w:pPr>
        <w:pStyle w:val="EndNoteBibliography"/>
        <w:rPr>
          <w:rFonts w:asciiTheme="minorHAnsi" w:hAnsiTheme="minorHAnsi"/>
        </w:rPr>
      </w:pPr>
      <w:r w:rsidRPr="004566DC">
        <w:rPr>
          <w:rFonts w:asciiTheme="minorHAnsi" w:hAnsiTheme="minorHAnsi"/>
        </w:rPr>
        <w:t xml:space="preserve">D'Apice, MR, Novelli, G &amp; Sangiuolo, F 2008, 'Diagnostic </w:t>
      </w:r>
      <w:r w:rsidR="00FD37D3" w:rsidRPr="004566DC">
        <w:rPr>
          <w:rFonts w:asciiTheme="minorHAnsi" w:hAnsiTheme="minorHAnsi"/>
        </w:rPr>
        <w:t>CFTR</w:t>
      </w:r>
      <w:r w:rsidRPr="004566DC">
        <w:rPr>
          <w:rFonts w:asciiTheme="minorHAnsi" w:hAnsiTheme="minorHAnsi"/>
        </w:rPr>
        <w:t xml:space="preserve"> mutation analysis', </w:t>
      </w:r>
      <w:r w:rsidRPr="004566DC">
        <w:rPr>
          <w:rFonts w:asciiTheme="minorHAnsi" w:hAnsiTheme="minorHAnsi"/>
          <w:i/>
        </w:rPr>
        <w:t>Expert Opinion on Medical Diagnostics</w:t>
      </w:r>
      <w:r w:rsidRPr="004566DC">
        <w:rPr>
          <w:rFonts w:asciiTheme="minorHAnsi" w:hAnsiTheme="minorHAnsi"/>
        </w:rPr>
        <w:t>, vol. 2, no. 2, pp. 191</w:t>
      </w:r>
      <w:r w:rsidR="007737A8">
        <w:rPr>
          <w:rFonts w:asciiTheme="minorHAnsi" w:hAnsiTheme="minorHAnsi"/>
        </w:rPr>
        <w:t>–</w:t>
      </w:r>
      <w:r w:rsidRPr="004566DC">
        <w:rPr>
          <w:rFonts w:asciiTheme="minorHAnsi" w:hAnsiTheme="minorHAnsi"/>
        </w:rPr>
        <w:t>205.</w:t>
      </w:r>
    </w:p>
    <w:p w14:paraId="3A11E6B6" w14:textId="0606C07F" w:rsidR="001E6713" w:rsidRPr="004566DC" w:rsidRDefault="001E6713" w:rsidP="001E6713">
      <w:pPr>
        <w:pStyle w:val="EndNoteBibliography"/>
        <w:rPr>
          <w:rFonts w:asciiTheme="minorHAnsi" w:hAnsiTheme="minorHAnsi"/>
        </w:rPr>
      </w:pPr>
      <w:r w:rsidRPr="004566DC">
        <w:rPr>
          <w:rFonts w:asciiTheme="minorHAnsi" w:hAnsiTheme="minorHAnsi"/>
        </w:rPr>
        <w:t xml:space="preserve">Danks, DM 1993, 'Carrier testing for cystic fibrosis', </w:t>
      </w:r>
      <w:r w:rsidRPr="004566DC">
        <w:rPr>
          <w:rFonts w:asciiTheme="minorHAnsi" w:hAnsiTheme="minorHAnsi"/>
          <w:i/>
        </w:rPr>
        <w:t>Medical Journal of Australia</w:t>
      </w:r>
      <w:r w:rsidRPr="004566DC">
        <w:rPr>
          <w:rFonts w:asciiTheme="minorHAnsi" w:hAnsiTheme="minorHAnsi"/>
        </w:rPr>
        <w:t>, vol. 159, no. 3, pp. 148</w:t>
      </w:r>
      <w:r w:rsidR="00363DB8">
        <w:rPr>
          <w:rFonts w:asciiTheme="minorHAnsi" w:hAnsiTheme="minorHAnsi"/>
        </w:rPr>
        <w:t>–</w:t>
      </w:r>
      <w:r w:rsidRPr="004566DC">
        <w:rPr>
          <w:rFonts w:asciiTheme="minorHAnsi" w:hAnsiTheme="minorHAnsi"/>
        </w:rPr>
        <w:t>150.</w:t>
      </w:r>
    </w:p>
    <w:p w14:paraId="55404CED" w14:textId="4C137192" w:rsidR="001E6713" w:rsidRPr="004566DC" w:rsidRDefault="001E6713" w:rsidP="001E6713">
      <w:pPr>
        <w:pStyle w:val="EndNoteBibliography"/>
        <w:rPr>
          <w:rFonts w:asciiTheme="minorHAnsi" w:hAnsiTheme="minorHAnsi"/>
        </w:rPr>
      </w:pPr>
      <w:r w:rsidRPr="004566DC">
        <w:rPr>
          <w:rFonts w:asciiTheme="minorHAnsi" w:hAnsiTheme="minorHAnsi"/>
        </w:rPr>
        <w:t xml:space="preserve">Doksum, T &amp; Bernhardt, BA 1996, 'Population-based carrier screening for cystic fibrosis', </w:t>
      </w:r>
      <w:r w:rsidRPr="004566DC">
        <w:rPr>
          <w:rFonts w:asciiTheme="minorHAnsi" w:hAnsiTheme="minorHAnsi"/>
          <w:i/>
        </w:rPr>
        <w:t>Clinical Obstetrics and Gynecology</w:t>
      </w:r>
      <w:r w:rsidRPr="004566DC">
        <w:rPr>
          <w:rFonts w:asciiTheme="minorHAnsi" w:hAnsiTheme="minorHAnsi"/>
        </w:rPr>
        <w:t>, vol. 39, no. 4, pp. 763</w:t>
      </w:r>
      <w:r w:rsidR="00363DB8">
        <w:rPr>
          <w:rFonts w:asciiTheme="minorHAnsi" w:hAnsiTheme="minorHAnsi"/>
        </w:rPr>
        <w:t>–</w:t>
      </w:r>
      <w:r w:rsidRPr="004566DC">
        <w:rPr>
          <w:rFonts w:asciiTheme="minorHAnsi" w:hAnsiTheme="minorHAnsi"/>
        </w:rPr>
        <w:t>771.</w:t>
      </w:r>
    </w:p>
    <w:p w14:paraId="4713C7BF" w14:textId="20F8D90A" w:rsidR="001E6713" w:rsidRPr="004566DC" w:rsidRDefault="001E6713" w:rsidP="001E6713">
      <w:pPr>
        <w:pStyle w:val="EndNoteBibliography"/>
        <w:rPr>
          <w:rFonts w:asciiTheme="minorHAnsi" w:hAnsiTheme="minorHAnsi"/>
        </w:rPr>
      </w:pPr>
      <w:r w:rsidRPr="004566DC">
        <w:rPr>
          <w:rFonts w:asciiTheme="minorHAnsi" w:hAnsiTheme="minorHAnsi"/>
        </w:rPr>
        <w:t xml:space="preserve">Dolan, SM 2009, 'Prenatal genetic testing', </w:t>
      </w:r>
      <w:r w:rsidRPr="004566DC">
        <w:rPr>
          <w:rFonts w:asciiTheme="minorHAnsi" w:hAnsiTheme="minorHAnsi"/>
          <w:i/>
        </w:rPr>
        <w:t>Pediatric Annals</w:t>
      </w:r>
      <w:r w:rsidRPr="004566DC">
        <w:rPr>
          <w:rFonts w:asciiTheme="minorHAnsi" w:hAnsiTheme="minorHAnsi"/>
        </w:rPr>
        <w:t>, vol. 38, no. 8, pp. 426</w:t>
      </w:r>
      <w:r w:rsidR="00363DB8">
        <w:rPr>
          <w:rFonts w:asciiTheme="minorHAnsi" w:hAnsiTheme="minorHAnsi"/>
        </w:rPr>
        <w:t>–</w:t>
      </w:r>
      <w:r w:rsidRPr="004566DC">
        <w:rPr>
          <w:rFonts w:asciiTheme="minorHAnsi" w:hAnsiTheme="minorHAnsi"/>
        </w:rPr>
        <w:t>430.</w:t>
      </w:r>
    </w:p>
    <w:p w14:paraId="005E2FF7" w14:textId="05AB16CC" w:rsidR="001E6713" w:rsidRPr="004566DC" w:rsidRDefault="001E6713" w:rsidP="001E6713">
      <w:pPr>
        <w:pStyle w:val="EndNoteBibliography"/>
        <w:rPr>
          <w:rFonts w:asciiTheme="minorHAnsi" w:hAnsiTheme="minorHAnsi"/>
        </w:rPr>
      </w:pPr>
      <w:r w:rsidRPr="004566DC">
        <w:rPr>
          <w:rFonts w:asciiTheme="minorHAnsi" w:hAnsiTheme="minorHAnsi"/>
        </w:rPr>
        <w:t xml:space="preserve">Estivill, X, Casals, T &amp; Nunes, V 1991, 'Genetic analysis of cystic fibrosis', </w:t>
      </w:r>
      <w:r w:rsidRPr="004566DC">
        <w:rPr>
          <w:rFonts w:asciiTheme="minorHAnsi" w:hAnsiTheme="minorHAnsi"/>
          <w:i/>
        </w:rPr>
        <w:t>Advances in Experimental Medicine and Biology</w:t>
      </w:r>
      <w:r w:rsidRPr="004566DC">
        <w:rPr>
          <w:rFonts w:asciiTheme="minorHAnsi" w:hAnsiTheme="minorHAnsi"/>
        </w:rPr>
        <w:t>, vol. 290, pp. 31</w:t>
      </w:r>
      <w:r w:rsidR="00363DB8">
        <w:rPr>
          <w:rFonts w:asciiTheme="minorHAnsi" w:hAnsiTheme="minorHAnsi"/>
        </w:rPr>
        <w:t>–</w:t>
      </w:r>
      <w:r w:rsidRPr="004566DC">
        <w:rPr>
          <w:rFonts w:asciiTheme="minorHAnsi" w:hAnsiTheme="minorHAnsi"/>
        </w:rPr>
        <w:t>38.</w:t>
      </w:r>
    </w:p>
    <w:p w14:paraId="40954932" w14:textId="165BABE4" w:rsidR="001E6713" w:rsidRPr="004566DC" w:rsidRDefault="001E6713" w:rsidP="001E6713">
      <w:pPr>
        <w:pStyle w:val="EndNoteBibliography"/>
        <w:rPr>
          <w:rFonts w:asciiTheme="minorHAnsi" w:hAnsiTheme="minorHAnsi"/>
        </w:rPr>
      </w:pPr>
      <w:r w:rsidRPr="004566DC">
        <w:rPr>
          <w:rFonts w:asciiTheme="minorHAnsi" w:hAnsiTheme="minorHAnsi"/>
        </w:rPr>
        <w:t>Ferec, C, Chen, JM, Raguenes, O, Chuzhanova, NA, Giteau, K, El Mouatassim, S, Le Marechal, C, Quere, I &amp; Audrezet, MP 2003, 'Rapid screening of large genomic rearrangements in the cystic fibrosis transmembrane conductance regulator (</w:t>
      </w:r>
      <w:r w:rsidR="00A21FD9" w:rsidRPr="004566DC">
        <w:rPr>
          <w:rFonts w:asciiTheme="minorHAnsi" w:hAnsiTheme="minorHAnsi"/>
          <w:i/>
        </w:rPr>
        <w:t>CFTR</w:t>
      </w:r>
      <w:r w:rsidRPr="004566DC">
        <w:rPr>
          <w:rFonts w:asciiTheme="minorHAnsi" w:hAnsiTheme="minorHAnsi"/>
        </w:rPr>
        <w:t xml:space="preserve">) gene by quantitative multiplex polymerase chain reaction of short fluorescent fragments (QMPSF) analysis: high detection rate and diverse mutational mechanisms', </w:t>
      </w:r>
      <w:r w:rsidRPr="004566DC">
        <w:rPr>
          <w:rFonts w:asciiTheme="minorHAnsi" w:hAnsiTheme="minorHAnsi"/>
          <w:i/>
        </w:rPr>
        <w:t>American Journal of Human Genetics</w:t>
      </w:r>
      <w:r w:rsidRPr="004566DC">
        <w:rPr>
          <w:rFonts w:asciiTheme="minorHAnsi" w:hAnsiTheme="minorHAnsi"/>
        </w:rPr>
        <w:t>, vol. 73, no. 5, p. 559.</w:t>
      </w:r>
    </w:p>
    <w:p w14:paraId="5915271D" w14:textId="55DE15E1" w:rsidR="001E6713" w:rsidRPr="004566DC" w:rsidRDefault="001E6713" w:rsidP="001E6713">
      <w:pPr>
        <w:pStyle w:val="EndNoteBibliography"/>
        <w:rPr>
          <w:rFonts w:asciiTheme="minorHAnsi" w:hAnsiTheme="minorHAnsi"/>
        </w:rPr>
      </w:pPr>
      <w:r w:rsidRPr="004566DC">
        <w:rPr>
          <w:rFonts w:asciiTheme="minorHAnsi" w:hAnsiTheme="minorHAnsi"/>
        </w:rPr>
        <w:t xml:space="preserve">Gilbert, F 1991, 'Genetic diagnosis and population screening of cystic fibrosis', </w:t>
      </w:r>
      <w:r w:rsidRPr="004566DC">
        <w:rPr>
          <w:rFonts w:asciiTheme="minorHAnsi" w:hAnsiTheme="minorHAnsi"/>
          <w:i/>
        </w:rPr>
        <w:t>Current Opinion in Pediatrics</w:t>
      </w:r>
      <w:r w:rsidRPr="004566DC">
        <w:rPr>
          <w:rFonts w:asciiTheme="minorHAnsi" w:hAnsiTheme="minorHAnsi"/>
        </w:rPr>
        <w:t>, vol. 3, no. 6, pp. 1035</w:t>
      </w:r>
      <w:r w:rsidR="00831AF0">
        <w:rPr>
          <w:rFonts w:asciiTheme="minorHAnsi" w:hAnsiTheme="minorHAnsi"/>
        </w:rPr>
        <w:t>–</w:t>
      </w:r>
      <w:r w:rsidRPr="004566DC">
        <w:rPr>
          <w:rFonts w:asciiTheme="minorHAnsi" w:hAnsiTheme="minorHAnsi"/>
        </w:rPr>
        <w:t>1044.</w:t>
      </w:r>
    </w:p>
    <w:p w14:paraId="26639B17" w14:textId="43FA4097" w:rsidR="001E6713" w:rsidRPr="004566DC" w:rsidRDefault="001E6713" w:rsidP="001E6713">
      <w:pPr>
        <w:pStyle w:val="EndNoteBibliography"/>
        <w:rPr>
          <w:rFonts w:asciiTheme="minorHAnsi" w:hAnsiTheme="minorHAnsi"/>
        </w:rPr>
      </w:pPr>
      <w:r w:rsidRPr="004566DC">
        <w:rPr>
          <w:rFonts w:asciiTheme="minorHAnsi" w:hAnsiTheme="minorHAnsi"/>
        </w:rPr>
        <w:t xml:space="preserve">Maciel, P, Yan, J, Feng, J, Accurso, F &amp; Sommer, S 2003, 'Single-tube method for determination of F508del genotype in the </w:t>
      </w:r>
      <w:r w:rsidR="00A21FD9" w:rsidRPr="004566DC">
        <w:rPr>
          <w:rFonts w:asciiTheme="minorHAnsi" w:hAnsiTheme="minorHAnsi"/>
          <w:i/>
        </w:rPr>
        <w:t>CFTR</w:t>
      </w:r>
      <w:r w:rsidRPr="004566DC">
        <w:rPr>
          <w:rFonts w:asciiTheme="minorHAnsi" w:hAnsiTheme="minorHAnsi"/>
        </w:rPr>
        <w:t xml:space="preserve"> gene using bidirectional PCR amplification of specific alleles', </w:t>
      </w:r>
      <w:r w:rsidRPr="004566DC">
        <w:rPr>
          <w:rFonts w:asciiTheme="minorHAnsi" w:hAnsiTheme="minorHAnsi"/>
          <w:i/>
        </w:rPr>
        <w:t>BioTechniques</w:t>
      </w:r>
      <w:r w:rsidRPr="004566DC">
        <w:rPr>
          <w:rFonts w:asciiTheme="minorHAnsi" w:hAnsiTheme="minorHAnsi"/>
        </w:rPr>
        <w:t>, vol. 34, no. 3, pp. 460</w:t>
      </w:r>
      <w:r w:rsidR="00831AF0">
        <w:rPr>
          <w:rFonts w:asciiTheme="minorHAnsi" w:hAnsiTheme="minorHAnsi"/>
        </w:rPr>
        <w:t>–</w:t>
      </w:r>
      <w:r w:rsidRPr="004566DC">
        <w:rPr>
          <w:rFonts w:asciiTheme="minorHAnsi" w:hAnsiTheme="minorHAnsi"/>
        </w:rPr>
        <w:t>462.</w:t>
      </w:r>
    </w:p>
    <w:p w14:paraId="2D9E0254" w14:textId="77777777" w:rsidR="001E6713" w:rsidRPr="004566DC" w:rsidRDefault="001E6713" w:rsidP="001E6713">
      <w:pPr>
        <w:pStyle w:val="EndNoteBibliography"/>
        <w:rPr>
          <w:rFonts w:asciiTheme="minorHAnsi" w:hAnsiTheme="minorHAnsi"/>
        </w:rPr>
      </w:pPr>
      <w:r w:rsidRPr="004566DC">
        <w:rPr>
          <w:rFonts w:asciiTheme="minorHAnsi" w:hAnsiTheme="minorHAnsi"/>
        </w:rPr>
        <w:t xml:space="preserve">O'Leary, PC, Maxwell, SJ, Youngs, LM, Brameld, KJ &amp; Walpole, IR 2010, 'Outcomes of a cystic fibrosis carrier testing clinic for couples', </w:t>
      </w:r>
      <w:r w:rsidRPr="004566DC">
        <w:rPr>
          <w:rFonts w:asciiTheme="minorHAnsi" w:hAnsiTheme="minorHAnsi"/>
          <w:i/>
        </w:rPr>
        <w:t>Medical Journal of Australia</w:t>
      </w:r>
      <w:r w:rsidRPr="004566DC">
        <w:rPr>
          <w:rFonts w:asciiTheme="minorHAnsi" w:hAnsiTheme="minorHAnsi"/>
        </w:rPr>
        <w:t>, vol. 192, no. 4, p. 238.</w:t>
      </w:r>
    </w:p>
    <w:p w14:paraId="2FDDDE1A" w14:textId="728CB140" w:rsidR="001E6713" w:rsidRPr="004566DC" w:rsidRDefault="001E6713" w:rsidP="001E6713">
      <w:pPr>
        <w:pStyle w:val="EndNoteBibliography"/>
        <w:rPr>
          <w:rFonts w:asciiTheme="minorHAnsi" w:hAnsiTheme="minorHAnsi"/>
        </w:rPr>
      </w:pPr>
      <w:r w:rsidRPr="004566DC">
        <w:rPr>
          <w:rFonts w:asciiTheme="minorHAnsi" w:hAnsiTheme="minorHAnsi"/>
        </w:rPr>
        <w:t xml:space="preserve">Schwarz, MJ 1998, 'DNA diagnosis of cystic fibrosis', </w:t>
      </w:r>
      <w:r w:rsidRPr="004566DC">
        <w:rPr>
          <w:rFonts w:asciiTheme="minorHAnsi" w:hAnsiTheme="minorHAnsi"/>
          <w:i/>
        </w:rPr>
        <w:t>Annals of Clinical Biochemistry</w:t>
      </w:r>
      <w:r w:rsidRPr="004566DC">
        <w:rPr>
          <w:rFonts w:asciiTheme="minorHAnsi" w:hAnsiTheme="minorHAnsi"/>
        </w:rPr>
        <w:t>, vol. 35, no. 5, pp. 584</w:t>
      </w:r>
      <w:r w:rsidR="00831AF0">
        <w:rPr>
          <w:rFonts w:asciiTheme="minorHAnsi" w:hAnsiTheme="minorHAnsi"/>
        </w:rPr>
        <w:t>–</w:t>
      </w:r>
      <w:r w:rsidRPr="004566DC">
        <w:rPr>
          <w:rFonts w:asciiTheme="minorHAnsi" w:hAnsiTheme="minorHAnsi"/>
        </w:rPr>
        <w:t>610.</w:t>
      </w:r>
    </w:p>
    <w:p w14:paraId="71444BD1" w14:textId="37669595" w:rsidR="001E6713" w:rsidRPr="004566DC" w:rsidRDefault="001E6713" w:rsidP="001E6713">
      <w:pPr>
        <w:pStyle w:val="EndNoteBibliography"/>
        <w:rPr>
          <w:rFonts w:asciiTheme="minorHAnsi" w:hAnsiTheme="minorHAnsi"/>
        </w:rPr>
      </w:pPr>
      <w:r w:rsidRPr="004566DC">
        <w:rPr>
          <w:rFonts w:asciiTheme="minorHAnsi" w:hAnsiTheme="minorHAnsi"/>
        </w:rPr>
        <w:t xml:space="preserve">Shickle, DA &amp; Hunt, AR 2006, 'Screening for </w:t>
      </w:r>
      <w:r w:rsidR="00831AF0">
        <w:rPr>
          <w:rFonts w:asciiTheme="minorHAnsi" w:hAnsiTheme="minorHAnsi"/>
        </w:rPr>
        <w:t>c</w:t>
      </w:r>
      <w:r w:rsidRPr="004566DC">
        <w:rPr>
          <w:rFonts w:asciiTheme="minorHAnsi" w:hAnsiTheme="minorHAnsi"/>
        </w:rPr>
        <w:t xml:space="preserve">ystic </w:t>
      </w:r>
      <w:r w:rsidR="00831AF0">
        <w:rPr>
          <w:rFonts w:asciiTheme="minorHAnsi" w:hAnsiTheme="minorHAnsi"/>
        </w:rPr>
        <w:t>f</w:t>
      </w:r>
      <w:r w:rsidRPr="004566DC">
        <w:rPr>
          <w:rFonts w:asciiTheme="minorHAnsi" w:hAnsiTheme="minorHAnsi"/>
        </w:rPr>
        <w:t xml:space="preserve">ibrosis </w:t>
      </w:r>
      <w:r w:rsidR="00831AF0">
        <w:rPr>
          <w:rFonts w:asciiTheme="minorHAnsi" w:hAnsiTheme="minorHAnsi"/>
        </w:rPr>
        <w:t>c</w:t>
      </w:r>
      <w:r w:rsidRPr="004566DC">
        <w:rPr>
          <w:rFonts w:asciiTheme="minorHAnsi" w:hAnsiTheme="minorHAnsi"/>
        </w:rPr>
        <w:t xml:space="preserve">arrier </w:t>
      </w:r>
      <w:r w:rsidR="00831AF0">
        <w:rPr>
          <w:rFonts w:asciiTheme="minorHAnsi" w:hAnsiTheme="minorHAnsi"/>
        </w:rPr>
        <w:t>s</w:t>
      </w:r>
      <w:r w:rsidRPr="004566DC">
        <w:rPr>
          <w:rFonts w:asciiTheme="minorHAnsi" w:hAnsiTheme="minorHAnsi"/>
        </w:rPr>
        <w:t xml:space="preserve">tatus', </w:t>
      </w:r>
      <w:r w:rsidRPr="004566DC">
        <w:rPr>
          <w:rFonts w:asciiTheme="minorHAnsi" w:hAnsiTheme="minorHAnsi"/>
          <w:i/>
        </w:rPr>
        <w:t>When to Screen in Obstetrics and Gynecology</w:t>
      </w:r>
      <w:r w:rsidRPr="004566DC">
        <w:rPr>
          <w:rFonts w:asciiTheme="minorHAnsi" w:hAnsiTheme="minorHAnsi"/>
        </w:rPr>
        <w:t>, pp. 121</w:t>
      </w:r>
      <w:r w:rsidR="00831AF0">
        <w:rPr>
          <w:rFonts w:asciiTheme="minorHAnsi" w:hAnsiTheme="minorHAnsi"/>
        </w:rPr>
        <w:t>–</w:t>
      </w:r>
      <w:r w:rsidRPr="004566DC">
        <w:rPr>
          <w:rFonts w:asciiTheme="minorHAnsi" w:hAnsiTheme="minorHAnsi"/>
        </w:rPr>
        <w:t>137.</w:t>
      </w:r>
    </w:p>
    <w:p w14:paraId="5C91F987" w14:textId="7585502A" w:rsidR="001E6713" w:rsidRPr="004566DC" w:rsidRDefault="001E6713" w:rsidP="001E6713">
      <w:pPr>
        <w:pStyle w:val="EndNoteBibliography"/>
        <w:rPr>
          <w:rFonts w:asciiTheme="minorHAnsi" w:hAnsiTheme="minorHAnsi"/>
        </w:rPr>
      </w:pPr>
      <w:r w:rsidRPr="004566DC">
        <w:rPr>
          <w:rFonts w:asciiTheme="minorHAnsi" w:hAnsiTheme="minorHAnsi"/>
        </w:rPr>
        <w:t xml:space="preserve">Smith, MJ 1992, 'An evaluation of population screening for carriers of cystic fibrosis', </w:t>
      </w:r>
      <w:r w:rsidRPr="004566DC">
        <w:rPr>
          <w:rFonts w:asciiTheme="minorHAnsi" w:hAnsiTheme="minorHAnsi"/>
          <w:i/>
        </w:rPr>
        <w:t>Journal of Public Health Medicine</w:t>
      </w:r>
      <w:r w:rsidRPr="004566DC">
        <w:rPr>
          <w:rFonts w:asciiTheme="minorHAnsi" w:hAnsiTheme="minorHAnsi"/>
        </w:rPr>
        <w:t>, vol. 14, no. 3, pp. 257</w:t>
      </w:r>
      <w:r w:rsidR="00831AF0">
        <w:rPr>
          <w:rFonts w:asciiTheme="minorHAnsi" w:hAnsiTheme="minorHAnsi"/>
        </w:rPr>
        <w:t>–</w:t>
      </w:r>
      <w:r w:rsidRPr="004566DC">
        <w:rPr>
          <w:rFonts w:asciiTheme="minorHAnsi" w:hAnsiTheme="minorHAnsi"/>
        </w:rPr>
        <w:t>263.</w:t>
      </w:r>
    </w:p>
    <w:p w14:paraId="1C56F55A" w14:textId="3AB85F1A" w:rsidR="001E6713" w:rsidRPr="004566DC" w:rsidRDefault="001E6713" w:rsidP="001E6713">
      <w:pPr>
        <w:pStyle w:val="EndNoteBibliography"/>
        <w:rPr>
          <w:rFonts w:asciiTheme="minorHAnsi" w:hAnsiTheme="minorHAnsi"/>
        </w:rPr>
      </w:pPr>
      <w:r w:rsidRPr="004566DC">
        <w:rPr>
          <w:rFonts w:asciiTheme="minorHAnsi" w:hAnsiTheme="minorHAnsi"/>
        </w:rPr>
        <w:t xml:space="preserve">Strom, CM 2004, 'Population-based carrier screening and prenatal diagnosis', </w:t>
      </w:r>
      <w:r w:rsidR="00831AF0">
        <w:rPr>
          <w:rFonts w:asciiTheme="minorHAnsi" w:hAnsiTheme="minorHAnsi"/>
          <w:i/>
        </w:rPr>
        <w:t>M</w:t>
      </w:r>
      <w:r w:rsidRPr="004566DC">
        <w:rPr>
          <w:rFonts w:asciiTheme="minorHAnsi" w:hAnsiTheme="minorHAnsi"/>
          <w:i/>
        </w:rPr>
        <w:t xml:space="preserve">edical </w:t>
      </w:r>
      <w:r w:rsidR="00831AF0">
        <w:rPr>
          <w:rFonts w:asciiTheme="minorHAnsi" w:hAnsiTheme="minorHAnsi"/>
          <w:i/>
        </w:rPr>
        <w:t>L</w:t>
      </w:r>
      <w:r w:rsidRPr="004566DC">
        <w:rPr>
          <w:rFonts w:asciiTheme="minorHAnsi" w:hAnsiTheme="minorHAnsi"/>
          <w:i/>
        </w:rPr>
        <w:t xml:space="preserve">aboratory </w:t>
      </w:r>
      <w:r w:rsidR="00831AF0">
        <w:rPr>
          <w:rFonts w:asciiTheme="minorHAnsi" w:hAnsiTheme="minorHAnsi"/>
          <w:i/>
        </w:rPr>
        <w:t>O</w:t>
      </w:r>
      <w:r w:rsidRPr="004566DC">
        <w:rPr>
          <w:rFonts w:asciiTheme="minorHAnsi" w:hAnsiTheme="minorHAnsi"/>
          <w:i/>
        </w:rPr>
        <w:t>bserver</w:t>
      </w:r>
      <w:r w:rsidRPr="004566DC">
        <w:rPr>
          <w:rFonts w:asciiTheme="minorHAnsi" w:hAnsiTheme="minorHAnsi"/>
        </w:rPr>
        <w:t>, vol. 36, no. 8, pp. 12</w:t>
      </w:r>
      <w:r w:rsidR="00831AF0">
        <w:rPr>
          <w:rFonts w:asciiTheme="minorHAnsi" w:hAnsiTheme="minorHAnsi"/>
        </w:rPr>
        <w:t>–</w:t>
      </w:r>
      <w:r w:rsidRPr="004566DC">
        <w:rPr>
          <w:rFonts w:asciiTheme="minorHAnsi" w:hAnsiTheme="minorHAnsi"/>
        </w:rPr>
        <w:t>17; quiz 20.</w:t>
      </w:r>
    </w:p>
    <w:p w14:paraId="14349E4A" w14:textId="4E2540EF" w:rsidR="001E6713" w:rsidRPr="004566DC" w:rsidRDefault="001E6713" w:rsidP="001E6713">
      <w:pPr>
        <w:pStyle w:val="EndNoteBibliography"/>
        <w:rPr>
          <w:rFonts w:asciiTheme="minorHAnsi" w:hAnsiTheme="minorHAnsi"/>
        </w:rPr>
      </w:pPr>
      <w:r w:rsidRPr="004566DC">
        <w:rPr>
          <w:rFonts w:asciiTheme="minorHAnsi" w:hAnsiTheme="minorHAnsi"/>
        </w:rPr>
        <w:lastRenderedPageBreak/>
        <w:t xml:space="preserve">Stuhrmann, M &amp; Schmidtke, J 1992, 'PCR-based mutation analysis in cystic fibrosis', </w:t>
      </w:r>
      <w:r w:rsidRPr="004566DC">
        <w:rPr>
          <w:rFonts w:asciiTheme="minorHAnsi" w:hAnsiTheme="minorHAnsi"/>
          <w:i/>
        </w:rPr>
        <w:t>Annals of Medicine</w:t>
      </w:r>
      <w:r w:rsidRPr="004566DC">
        <w:rPr>
          <w:rFonts w:asciiTheme="minorHAnsi" w:hAnsiTheme="minorHAnsi"/>
        </w:rPr>
        <w:t>, vol. 24, no. 3, pp. 183</w:t>
      </w:r>
      <w:r w:rsidR="00567D67">
        <w:rPr>
          <w:rFonts w:asciiTheme="minorHAnsi" w:hAnsiTheme="minorHAnsi"/>
        </w:rPr>
        <w:t>–</w:t>
      </w:r>
      <w:r w:rsidRPr="004566DC">
        <w:rPr>
          <w:rFonts w:asciiTheme="minorHAnsi" w:hAnsiTheme="minorHAnsi"/>
        </w:rPr>
        <w:t>185.</w:t>
      </w:r>
    </w:p>
    <w:p w14:paraId="14911580" w14:textId="0638FE86" w:rsidR="001E6713" w:rsidRPr="004566DC" w:rsidRDefault="001E6713" w:rsidP="001E6713">
      <w:pPr>
        <w:pStyle w:val="EndNoteBibliography"/>
        <w:rPr>
          <w:rFonts w:asciiTheme="minorHAnsi" w:hAnsiTheme="minorHAnsi"/>
        </w:rPr>
      </w:pPr>
      <w:r w:rsidRPr="004566DC">
        <w:rPr>
          <w:rFonts w:asciiTheme="minorHAnsi" w:hAnsiTheme="minorHAnsi"/>
        </w:rPr>
        <w:t xml:space="preserve">Summers, K &amp; Macmillan, J 2000, 'The current status of genetic testing in Australia', </w:t>
      </w:r>
      <w:r w:rsidRPr="004566DC">
        <w:rPr>
          <w:rFonts w:asciiTheme="minorHAnsi" w:hAnsiTheme="minorHAnsi"/>
          <w:i/>
        </w:rPr>
        <w:t>Today's Life Science</w:t>
      </w:r>
      <w:r w:rsidRPr="004566DC">
        <w:rPr>
          <w:rFonts w:asciiTheme="minorHAnsi" w:hAnsiTheme="minorHAnsi"/>
        </w:rPr>
        <w:t>, vol. 12, no. 2, pp. 24</w:t>
      </w:r>
      <w:r w:rsidR="00345DCC">
        <w:rPr>
          <w:rFonts w:asciiTheme="minorHAnsi" w:hAnsiTheme="minorHAnsi"/>
        </w:rPr>
        <w:t>–</w:t>
      </w:r>
      <w:r w:rsidRPr="004566DC">
        <w:rPr>
          <w:rFonts w:asciiTheme="minorHAnsi" w:hAnsiTheme="minorHAnsi"/>
        </w:rPr>
        <w:t>28.</w:t>
      </w:r>
    </w:p>
    <w:p w14:paraId="1EDF5F43" w14:textId="4B7DEB60" w:rsidR="001E6713" w:rsidRPr="004566DC" w:rsidRDefault="001E6713" w:rsidP="001E6713">
      <w:pPr>
        <w:pStyle w:val="EndNoteBibliography"/>
        <w:rPr>
          <w:rFonts w:asciiTheme="minorHAnsi" w:hAnsiTheme="minorHAnsi"/>
        </w:rPr>
      </w:pPr>
      <w:r w:rsidRPr="004566DC">
        <w:rPr>
          <w:rFonts w:asciiTheme="minorHAnsi" w:hAnsiTheme="minorHAnsi"/>
        </w:rPr>
        <w:t xml:space="preserve">Tantravahi, U 2002, 'Prenatal screening for cystic fibrosis', </w:t>
      </w:r>
      <w:r w:rsidRPr="004566DC">
        <w:rPr>
          <w:rFonts w:asciiTheme="minorHAnsi" w:hAnsiTheme="minorHAnsi"/>
          <w:i/>
        </w:rPr>
        <w:t xml:space="preserve">Medicine and </w:t>
      </w:r>
      <w:r w:rsidR="00345DCC">
        <w:rPr>
          <w:rFonts w:asciiTheme="minorHAnsi" w:hAnsiTheme="minorHAnsi"/>
          <w:i/>
        </w:rPr>
        <w:t>H</w:t>
      </w:r>
      <w:r w:rsidRPr="004566DC">
        <w:rPr>
          <w:rFonts w:asciiTheme="minorHAnsi" w:hAnsiTheme="minorHAnsi"/>
          <w:i/>
        </w:rPr>
        <w:t>ealth, Rhode Island</w:t>
      </w:r>
      <w:r w:rsidRPr="004566DC">
        <w:rPr>
          <w:rFonts w:asciiTheme="minorHAnsi" w:hAnsiTheme="minorHAnsi"/>
        </w:rPr>
        <w:t>, vol. 85, no. 12, pp. 366</w:t>
      </w:r>
      <w:r w:rsidR="00345DCC">
        <w:rPr>
          <w:rFonts w:asciiTheme="minorHAnsi" w:hAnsiTheme="minorHAnsi"/>
        </w:rPr>
        <w:t>–</w:t>
      </w:r>
      <w:r w:rsidRPr="004566DC">
        <w:rPr>
          <w:rFonts w:asciiTheme="minorHAnsi" w:hAnsiTheme="minorHAnsi"/>
        </w:rPr>
        <w:t>368.</w:t>
      </w:r>
    </w:p>
    <w:p w14:paraId="5BBEEF8D" w14:textId="11F53A46" w:rsidR="001E6713" w:rsidRPr="004566DC" w:rsidRDefault="001E6713" w:rsidP="001E6713">
      <w:pPr>
        <w:pStyle w:val="EndNoteBibliography"/>
        <w:rPr>
          <w:rFonts w:asciiTheme="minorHAnsi" w:hAnsiTheme="minorHAnsi"/>
        </w:rPr>
      </w:pPr>
      <w:r w:rsidRPr="004566DC">
        <w:rPr>
          <w:rFonts w:asciiTheme="minorHAnsi" w:hAnsiTheme="minorHAnsi"/>
        </w:rPr>
        <w:t xml:space="preserve">Tsui, LC &amp; Buchwald, M 1991, 'Biochemical and molecular genetics of cystic fibrosis', </w:t>
      </w:r>
      <w:r w:rsidRPr="004566DC">
        <w:rPr>
          <w:rFonts w:asciiTheme="minorHAnsi" w:hAnsiTheme="minorHAnsi"/>
          <w:i/>
        </w:rPr>
        <w:t>Adv</w:t>
      </w:r>
      <w:r w:rsidR="00345DCC">
        <w:rPr>
          <w:rFonts w:asciiTheme="minorHAnsi" w:hAnsiTheme="minorHAnsi"/>
          <w:i/>
        </w:rPr>
        <w:t>ances in</w:t>
      </w:r>
      <w:r w:rsidRPr="004566DC">
        <w:rPr>
          <w:rFonts w:asciiTheme="minorHAnsi" w:hAnsiTheme="minorHAnsi"/>
          <w:i/>
        </w:rPr>
        <w:t xml:space="preserve"> Hum</w:t>
      </w:r>
      <w:r w:rsidR="00345DCC">
        <w:rPr>
          <w:rFonts w:asciiTheme="minorHAnsi" w:hAnsiTheme="minorHAnsi"/>
          <w:i/>
        </w:rPr>
        <w:t>an</w:t>
      </w:r>
      <w:r w:rsidRPr="004566DC">
        <w:rPr>
          <w:rFonts w:asciiTheme="minorHAnsi" w:hAnsiTheme="minorHAnsi"/>
          <w:i/>
        </w:rPr>
        <w:t xml:space="preserve"> Genet</w:t>
      </w:r>
      <w:r w:rsidR="00345DCC">
        <w:rPr>
          <w:rFonts w:asciiTheme="minorHAnsi" w:hAnsiTheme="minorHAnsi"/>
          <w:i/>
        </w:rPr>
        <w:t>ics</w:t>
      </w:r>
      <w:r w:rsidRPr="004566DC">
        <w:rPr>
          <w:rFonts w:asciiTheme="minorHAnsi" w:hAnsiTheme="minorHAnsi"/>
        </w:rPr>
        <w:t>, vol. 20, pp. 153</w:t>
      </w:r>
      <w:r w:rsidR="00345DCC">
        <w:rPr>
          <w:rFonts w:asciiTheme="minorHAnsi" w:hAnsiTheme="minorHAnsi"/>
        </w:rPr>
        <w:t>–</w:t>
      </w:r>
      <w:r w:rsidRPr="004566DC">
        <w:rPr>
          <w:rFonts w:asciiTheme="minorHAnsi" w:hAnsiTheme="minorHAnsi"/>
        </w:rPr>
        <w:t>266, 311</w:t>
      </w:r>
      <w:r w:rsidR="00345DCC">
        <w:rPr>
          <w:rFonts w:asciiTheme="minorHAnsi" w:hAnsiTheme="minorHAnsi"/>
        </w:rPr>
        <w:t>–</w:t>
      </w:r>
      <w:r w:rsidRPr="004566DC">
        <w:rPr>
          <w:rFonts w:asciiTheme="minorHAnsi" w:hAnsiTheme="minorHAnsi"/>
        </w:rPr>
        <w:t>152.</w:t>
      </w:r>
    </w:p>
    <w:p w14:paraId="53FA36FB" w14:textId="2F3FE3FA" w:rsidR="001E6713" w:rsidRPr="004566DC" w:rsidRDefault="001E6713" w:rsidP="001E6713">
      <w:pPr>
        <w:pStyle w:val="EndNoteBibliography"/>
        <w:rPr>
          <w:rFonts w:asciiTheme="minorHAnsi" w:hAnsiTheme="minorHAnsi"/>
        </w:rPr>
      </w:pPr>
      <w:r w:rsidRPr="004566DC">
        <w:rPr>
          <w:rFonts w:asciiTheme="minorHAnsi" w:hAnsiTheme="minorHAnsi"/>
        </w:rPr>
        <w:t>Voronina, OV, Gaitskhoki, VS, Potapova, OJ &amp; Schwartz, EI 1991, '</w:t>
      </w:r>
      <w:r w:rsidR="00345DCC">
        <w:rPr>
          <w:rFonts w:asciiTheme="minorHAnsi" w:hAnsiTheme="minorHAnsi"/>
        </w:rPr>
        <w:t>A</w:t>
      </w:r>
      <w:r w:rsidR="00345DCC" w:rsidRPr="009B6DDD">
        <w:rPr>
          <w:rFonts w:asciiTheme="minorHAnsi" w:hAnsiTheme="minorHAnsi"/>
        </w:rPr>
        <w:t xml:space="preserve"> simple test for the detection of the delta-f508 cystic-fibrosis mutation</w:t>
      </w:r>
      <w:r w:rsidRPr="004566DC">
        <w:rPr>
          <w:rFonts w:asciiTheme="minorHAnsi" w:hAnsiTheme="minorHAnsi"/>
        </w:rPr>
        <w:t xml:space="preserve">', </w:t>
      </w:r>
      <w:r w:rsidRPr="004566DC">
        <w:rPr>
          <w:rFonts w:asciiTheme="minorHAnsi" w:hAnsiTheme="minorHAnsi"/>
          <w:i/>
        </w:rPr>
        <w:t>Biochemical Medicine and Metabolic Biology</w:t>
      </w:r>
      <w:r w:rsidRPr="004566DC">
        <w:rPr>
          <w:rFonts w:asciiTheme="minorHAnsi" w:hAnsiTheme="minorHAnsi"/>
        </w:rPr>
        <w:t>, vol. 46, no. 2, pp. 271</w:t>
      </w:r>
      <w:r w:rsidR="009B6DDD">
        <w:rPr>
          <w:rFonts w:asciiTheme="minorHAnsi" w:hAnsiTheme="minorHAnsi"/>
        </w:rPr>
        <w:t>–</w:t>
      </w:r>
      <w:r w:rsidRPr="004566DC">
        <w:rPr>
          <w:rFonts w:asciiTheme="minorHAnsi" w:hAnsiTheme="minorHAnsi"/>
        </w:rPr>
        <w:t>273.</w:t>
      </w:r>
    </w:p>
    <w:p w14:paraId="6F144531" w14:textId="109283AC" w:rsidR="001E6713" w:rsidRPr="004566DC" w:rsidRDefault="001E6713" w:rsidP="001E6713">
      <w:pPr>
        <w:pStyle w:val="EndNoteBibliography"/>
        <w:rPr>
          <w:rFonts w:asciiTheme="minorHAnsi" w:hAnsiTheme="minorHAnsi"/>
        </w:rPr>
      </w:pPr>
      <w:r w:rsidRPr="004566DC">
        <w:rPr>
          <w:rFonts w:asciiTheme="minorHAnsi" w:hAnsiTheme="minorHAnsi"/>
        </w:rPr>
        <w:t xml:space="preserve">Wright, KF, Morley, S, Hewison, J, Bryant, L &amp; Duff, A 2009, 'Which features of cystic fibrosis (CF) might inform pregnant women's prenatal testing decisions?', </w:t>
      </w:r>
      <w:r w:rsidRPr="004566DC">
        <w:rPr>
          <w:rFonts w:asciiTheme="minorHAnsi" w:hAnsiTheme="minorHAnsi"/>
          <w:i/>
        </w:rPr>
        <w:t>Journal of Reproductive and Infant Psychology</w:t>
      </w:r>
      <w:r w:rsidRPr="004566DC">
        <w:rPr>
          <w:rFonts w:asciiTheme="minorHAnsi" w:hAnsiTheme="minorHAnsi"/>
        </w:rPr>
        <w:t>, vol. 27, no. 3, p. 32.</w:t>
      </w:r>
    </w:p>
    <w:p w14:paraId="1D67F39D" w14:textId="5FD20B30" w:rsidR="001E6713" w:rsidRPr="004566DC" w:rsidRDefault="001E6713" w:rsidP="001E6713">
      <w:pPr>
        <w:pStyle w:val="EndNoteBibliography"/>
        <w:rPr>
          <w:rFonts w:asciiTheme="minorHAnsi" w:hAnsiTheme="minorHAnsi"/>
        </w:rPr>
      </w:pPr>
      <w:r w:rsidRPr="004566DC">
        <w:rPr>
          <w:rFonts w:asciiTheme="minorHAnsi" w:hAnsiTheme="minorHAnsi"/>
        </w:rPr>
        <w:t xml:space="preserve">Young, ID 1993, 'Pregnancy screening for cystic fibrosis', </w:t>
      </w:r>
      <w:r w:rsidRPr="004566DC">
        <w:rPr>
          <w:rFonts w:asciiTheme="minorHAnsi" w:hAnsiTheme="minorHAnsi"/>
          <w:i/>
        </w:rPr>
        <w:t>Lancet</w:t>
      </w:r>
      <w:r w:rsidRPr="004566DC">
        <w:rPr>
          <w:rFonts w:asciiTheme="minorHAnsi" w:hAnsiTheme="minorHAnsi"/>
        </w:rPr>
        <w:t>, vol. 342, no. 8871, pp. 569</w:t>
      </w:r>
      <w:r w:rsidR="009B6DDD">
        <w:rPr>
          <w:rFonts w:asciiTheme="minorHAnsi" w:hAnsiTheme="minorHAnsi"/>
        </w:rPr>
        <w:t>–</w:t>
      </w:r>
      <w:r w:rsidRPr="004566DC">
        <w:rPr>
          <w:rFonts w:asciiTheme="minorHAnsi" w:hAnsiTheme="minorHAnsi"/>
        </w:rPr>
        <w:t>570.</w:t>
      </w:r>
    </w:p>
    <w:p w14:paraId="37F9A2A1" w14:textId="77777777" w:rsidR="001F1A9D" w:rsidRPr="004566DC" w:rsidRDefault="001F1A9D" w:rsidP="001F1A9D">
      <w:pPr>
        <w:pStyle w:val="Heading2"/>
        <w:rPr>
          <w:rFonts w:asciiTheme="minorHAnsi" w:eastAsiaTheme="minorHAnsi" w:hAnsiTheme="minorHAnsi"/>
          <w:lang w:eastAsia="en-US"/>
        </w:rPr>
      </w:pPr>
      <w:bookmarkStart w:id="572" w:name="_Toc418179971"/>
      <w:r w:rsidRPr="004566DC">
        <w:rPr>
          <w:rFonts w:asciiTheme="minorHAnsi" w:eastAsiaTheme="minorHAnsi" w:hAnsiTheme="minorHAnsi"/>
          <w:lang w:eastAsia="en-US"/>
        </w:rPr>
        <w:t>Conference abstracts</w:t>
      </w:r>
      <w:bookmarkEnd w:id="572"/>
    </w:p>
    <w:p w14:paraId="7EE0D719" w14:textId="77777777" w:rsidR="001F1A9D" w:rsidRPr="004566DC" w:rsidRDefault="001F1A9D" w:rsidP="001F1A9D">
      <w:pPr>
        <w:pStyle w:val="EndNoteBibliography"/>
        <w:rPr>
          <w:rFonts w:asciiTheme="minorHAnsi" w:hAnsiTheme="minorHAnsi"/>
        </w:rPr>
      </w:pPr>
      <w:r w:rsidRPr="004566DC">
        <w:rPr>
          <w:rFonts w:asciiTheme="minorHAnsi" w:hAnsiTheme="minorHAnsi"/>
        </w:rPr>
        <w:t xml:space="preserve">Allen, SF, Lebel, KA, Tafe, LJ, Tsongalis, GJ &amp; Lefferts, JA 2012, 'Inter-laboratory verification of the xTAG cystic fibrosis 60 v2 assay', </w:t>
      </w:r>
      <w:r w:rsidRPr="004566DC">
        <w:rPr>
          <w:rFonts w:asciiTheme="minorHAnsi" w:hAnsiTheme="minorHAnsi"/>
          <w:i/>
        </w:rPr>
        <w:t>Journal of Molecular Diagnostics</w:t>
      </w:r>
      <w:r w:rsidRPr="004566DC">
        <w:rPr>
          <w:rFonts w:asciiTheme="minorHAnsi" w:hAnsiTheme="minorHAnsi"/>
        </w:rPr>
        <w:t>, vol. 14, no. 6, p. 643.</w:t>
      </w:r>
    </w:p>
    <w:p w14:paraId="6FF694DB" w14:textId="2727BC9E" w:rsidR="001F1A9D" w:rsidRPr="004566DC" w:rsidRDefault="001F1A9D" w:rsidP="001F1A9D">
      <w:pPr>
        <w:pStyle w:val="EndNoteBibliography"/>
        <w:rPr>
          <w:rFonts w:asciiTheme="minorHAnsi" w:hAnsiTheme="minorHAnsi"/>
        </w:rPr>
      </w:pPr>
      <w:r w:rsidRPr="004566DC">
        <w:rPr>
          <w:rFonts w:asciiTheme="minorHAnsi" w:hAnsiTheme="minorHAnsi"/>
        </w:rPr>
        <w:t xml:space="preserve">Beattie, D, Heggarty, SV &amp; Graham, CA 2012, 'Evaluation of next generation sequencing as a diagnostic tool for </w:t>
      </w:r>
      <w:r w:rsidR="00FD37D3" w:rsidRPr="004566DC">
        <w:rPr>
          <w:rFonts w:asciiTheme="minorHAnsi" w:hAnsiTheme="minorHAnsi"/>
        </w:rPr>
        <w:t>CFTR</w:t>
      </w:r>
      <w:r w:rsidRPr="004566DC">
        <w:rPr>
          <w:rFonts w:asciiTheme="minorHAnsi" w:hAnsiTheme="minorHAnsi"/>
        </w:rPr>
        <w:t xml:space="preserve"> rare mutation screening', </w:t>
      </w:r>
      <w:r w:rsidRPr="004566DC">
        <w:rPr>
          <w:rFonts w:asciiTheme="minorHAnsi" w:hAnsiTheme="minorHAnsi"/>
          <w:i/>
        </w:rPr>
        <w:t>Journal of Cystic Fibrosis</w:t>
      </w:r>
      <w:r w:rsidRPr="004566DC">
        <w:rPr>
          <w:rFonts w:asciiTheme="minorHAnsi" w:hAnsiTheme="minorHAnsi"/>
        </w:rPr>
        <w:t>, vol. 11, p. S16.</w:t>
      </w:r>
    </w:p>
    <w:p w14:paraId="2354FDF9" w14:textId="77777777" w:rsidR="001F1A9D" w:rsidRPr="004566DC" w:rsidRDefault="001F1A9D" w:rsidP="001F1A9D">
      <w:pPr>
        <w:pStyle w:val="EndNoteBibliography"/>
        <w:rPr>
          <w:rFonts w:asciiTheme="minorHAnsi" w:hAnsiTheme="minorHAnsi"/>
        </w:rPr>
      </w:pPr>
      <w:r w:rsidRPr="004566DC">
        <w:rPr>
          <w:rFonts w:asciiTheme="minorHAnsi" w:hAnsiTheme="minorHAnsi"/>
        </w:rPr>
        <w:t xml:space="preserve">Brambati, B, Tului, L &amp; Anelli, MC 1997, 'Cystic fibrosis (CF) screening in low risk population undergoing first trimester prenatal diagnosis of fetal chromosome anomalies', </w:t>
      </w:r>
      <w:r w:rsidRPr="004566DC">
        <w:rPr>
          <w:rFonts w:asciiTheme="minorHAnsi" w:hAnsiTheme="minorHAnsi"/>
          <w:i/>
        </w:rPr>
        <w:t>Genetic Counseling</w:t>
      </w:r>
      <w:r w:rsidRPr="004566DC">
        <w:rPr>
          <w:rFonts w:asciiTheme="minorHAnsi" w:hAnsiTheme="minorHAnsi"/>
        </w:rPr>
        <w:t>, vol. 8, no. 2, p. 154.</w:t>
      </w:r>
    </w:p>
    <w:p w14:paraId="291D7551" w14:textId="18042900" w:rsidR="001F1A9D" w:rsidRPr="004566DC" w:rsidRDefault="00A21A37" w:rsidP="001F1A9D">
      <w:pPr>
        <w:pStyle w:val="EndNoteBibliography"/>
        <w:rPr>
          <w:rFonts w:asciiTheme="minorHAnsi" w:hAnsiTheme="minorHAnsi"/>
        </w:rPr>
      </w:pPr>
      <w:r w:rsidRPr="004566DC">
        <w:rPr>
          <w:rFonts w:asciiTheme="minorHAnsi" w:hAnsiTheme="minorHAnsi"/>
        </w:rPr>
        <w:t>d</w:t>
      </w:r>
      <w:r w:rsidR="001F1A9D" w:rsidRPr="004566DC">
        <w:rPr>
          <w:rFonts w:asciiTheme="minorHAnsi" w:hAnsiTheme="minorHAnsi"/>
        </w:rPr>
        <w:t xml:space="preserve">e Becdelievre, A, Costa, C, Jouannic, J, LeFloch, A, Giurgea, I, Martin, J, Medina, R, Boissier, B, Gameiro, C, Goossens, M, Alberti-Boulme, C &amp; Girodon, E 2010, 'Comprehensive description of </w:t>
      </w:r>
      <w:r w:rsidR="00FD37D3" w:rsidRPr="004566DC">
        <w:rPr>
          <w:rFonts w:asciiTheme="minorHAnsi" w:hAnsiTheme="minorHAnsi"/>
        </w:rPr>
        <w:t>CFTR</w:t>
      </w:r>
      <w:r w:rsidR="001F1A9D" w:rsidRPr="004566DC">
        <w:rPr>
          <w:rFonts w:asciiTheme="minorHAnsi" w:hAnsiTheme="minorHAnsi"/>
        </w:rPr>
        <w:t xml:space="preserve"> genotypes and ultrasound patterns in 694 cases of fetal bowel anomalies', </w:t>
      </w:r>
      <w:r w:rsidR="001F1A9D" w:rsidRPr="004566DC">
        <w:rPr>
          <w:rFonts w:asciiTheme="minorHAnsi" w:hAnsiTheme="minorHAnsi"/>
          <w:i/>
        </w:rPr>
        <w:t>Pediatric Pulmonology</w:t>
      </w:r>
      <w:r w:rsidR="001F1A9D" w:rsidRPr="004566DC">
        <w:rPr>
          <w:rFonts w:asciiTheme="minorHAnsi" w:hAnsiTheme="minorHAnsi"/>
        </w:rPr>
        <w:t>, vol. 45, p. 286.</w:t>
      </w:r>
    </w:p>
    <w:p w14:paraId="778ED2A9" w14:textId="72A5A270" w:rsidR="001F1A9D" w:rsidRPr="004566DC" w:rsidRDefault="001F1A9D" w:rsidP="001F1A9D">
      <w:pPr>
        <w:pStyle w:val="EndNoteBibliography"/>
        <w:rPr>
          <w:rFonts w:asciiTheme="minorHAnsi" w:hAnsiTheme="minorHAnsi"/>
        </w:rPr>
      </w:pPr>
      <w:r w:rsidRPr="004566DC">
        <w:rPr>
          <w:rFonts w:asciiTheme="minorHAnsi" w:hAnsiTheme="minorHAnsi"/>
        </w:rPr>
        <w:t>Field, P &amp; Martin, N 2010, '</w:t>
      </w:r>
      <w:r w:rsidR="00FD37D3" w:rsidRPr="004566DC">
        <w:rPr>
          <w:rFonts w:asciiTheme="minorHAnsi" w:hAnsiTheme="minorHAnsi"/>
        </w:rPr>
        <w:t>CFTR</w:t>
      </w:r>
      <w:r w:rsidRPr="004566DC">
        <w:rPr>
          <w:rFonts w:asciiTheme="minorHAnsi" w:hAnsiTheme="minorHAnsi"/>
        </w:rPr>
        <w:t xml:space="preserve"> mutation screening in an infertile population', </w:t>
      </w:r>
      <w:r w:rsidRPr="004566DC">
        <w:rPr>
          <w:rFonts w:asciiTheme="minorHAnsi" w:hAnsiTheme="minorHAnsi"/>
          <w:i/>
        </w:rPr>
        <w:t>Twin Research and Human Genetics</w:t>
      </w:r>
      <w:r w:rsidRPr="004566DC">
        <w:rPr>
          <w:rFonts w:asciiTheme="minorHAnsi" w:hAnsiTheme="minorHAnsi"/>
        </w:rPr>
        <w:t>, vol. 13, no. 6, pp. 639</w:t>
      </w:r>
      <w:r w:rsidR="009B6DDD">
        <w:rPr>
          <w:rFonts w:asciiTheme="minorHAnsi" w:hAnsiTheme="minorHAnsi"/>
        </w:rPr>
        <w:t>–</w:t>
      </w:r>
      <w:r w:rsidRPr="004566DC">
        <w:rPr>
          <w:rFonts w:asciiTheme="minorHAnsi" w:hAnsiTheme="minorHAnsi"/>
        </w:rPr>
        <w:t>640.</w:t>
      </w:r>
    </w:p>
    <w:p w14:paraId="273860C6" w14:textId="42D422DE" w:rsidR="001F1A9D" w:rsidRPr="004566DC" w:rsidRDefault="001F1A9D" w:rsidP="001F1A9D">
      <w:pPr>
        <w:pStyle w:val="EndNoteBibliography"/>
        <w:rPr>
          <w:rFonts w:asciiTheme="minorHAnsi" w:hAnsiTheme="minorHAnsi"/>
        </w:rPr>
      </w:pPr>
      <w:r w:rsidRPr="004566DC">
        <w:rPr>
          <w:rFonts w:asciiTheme="minorHAnsi" w:hAnsiTheme="minorHAnsi"/>
        </w:rPr>
        <w:t xml:space="preserve">Fustik, S &amp; Jakovska, T 2012, 'The role of </w:t>
      </w:r>
      <w:r w:rsidR="00FD37D3" w:rsidRPr="004566DC">
        <w:rPr>
          <w:rFonts w:asciiTheme="minorHAnsi" w:hAnsiTheme="minorHAnsi"/>
        </w:rPr>
        <w:t>CFTR</w:t>
      </w:r>
      <w:r w:rsidRPr="004566DC">
        <w:rPr>
          <w:rFonts w:asciiTheme="minorHAnsi" w:hAnsiTheme="minorHAnsi"/>
        </w:rPr>
        <w:t xml:space="preserve"> genetic testing in diagnosis of cystic fibrosis', </w:t>
      </w:r>
      <w:r w:rsidRPr="004566DC">
        <w:rPr>
          <w:rFonts w:asciiTheme="minorHAnsi" w:hAnsiTheme="minorHAnsi"/>
          <w:i/>
        </w:rPr>
        <w:t>Journal of Cystic Fibrosis</w:t>
      </w:r>
      <w:r w:rsidRPr="004566DC">
        <w:rPr>
          <w:rFonts w:asciiTheme="minorHAnsi" w:hAnsiTheme="minorHAnsi"/>
        </w:rPr>
        <w:t>, vol. 11, p. S55.</w:t>
      </w:r>
    </w:p>
    <w:p w14:paraId="53922755" w14:textId="77777777" w:rsidR="001F1A9D" w:rsidRPr="004566DC" w:rsidRDefault="001F1A9D" w:rsidP="001F1A9D">
      <w:pPr>
        <w:pStyle w:val="EndNoteBibliography"/>
        <w:rPr>
          <w:rFonts w:asciiTheme="minorHAnsi" w:hAnsiTheme="minorHAnsi"/>
        </w:rPr>
      </w:pPr>
      <w:r w:rsidRPr="004566DC">
        <w:rPr>
          <w:rFonts w:asciiTheme="minorHAnsi" w:hAnsiTheme="minorHAnsi"/>
        </w:rPr>
        <w:t xml:space="preserve">Goodman, T, Walline, H, DuRoss, KB, Sugalski, JA &amp; Stoerker, J 2012, 'A 151 mutation and variant cystic fibrosis laboratory developed test using the Illumina Bead Xpress', </w:t>
      </w:r>
      <w:r w:rsidRPr="004566DC">
        <w:rPr>
          <w:rFonts w:asciiTheme="minorHAnsi" w:hAnsiTheme="minorHAnsi"/>
          <w:i/>
        </w:rPr>
        <w:t>Prenatal Diagnosis</w:t>
      </w:r>
      <w:r w:rsidRPr="004566DC">
        <w:rPr>
          <w:rFonts w:asciiTheme="minorHAnsi" w:hAnsiTheme="minorHAnsi"/>
        </w:rPr>
        <w:t>, vol. 32, p. 32.</w:t>
      </w:r>
    </w:p>
    <w:p w14:paraId="5E9F51DE" w14:textId="0B065A33" w:rsidR="001F1A9D" w:rsidRPr="004566DC" w:rsidRDefault="001F1A9D" w:rsidP="001F1A9D">
      <w:pPr>
        <w:pStyle w:val="EndNoteBibliography"/>
        <w:rPr>
          <w:rFonts w:asciiTheme="minorHAnsi" w:hAnsiTheme="minorHAnsi"/>
        </w:rPr>
      </w:pPr>
      <w:r w:rsidRPr="004566DC">
        <w:rPr>
          <w:rFonts w:asciiTheme="minorHAnsi" w:hAnsiTheme="minorHAnsi"/>
        </w:rPr>
        <w:t>Holtegaard, L, Stoerker, J, Winters, J, Couteau, L &amp; Highsmith, WE 2011, 'A 106 mutation cystic fibrosis laboratory developed test using the sequenom massarray</w:t>
      </w:r>
      <w:r w:rsidR="007E2EFE" w:rsidRPr="004566DC">
        <w:rPr>
          <w:rStyle w:val="st"/>
          <w:vertAlign w:val="superscript"/>
        </w:rPr>
        <w:t>®</w:t>
      </w:r>
      <w:r w:rsidRPr="004566DC">
        <w:rPr>
          <w:rFonts w:asciiTheme="minorHAnsi" w:hAnsiTheme="minorHAnsi"/>
        </w:rPr>
        <w:t xml:space="preserve">: </w:t>
      </w:r>
      <w:r w:rsidR="009B6DDD">
        <w:rPr>
          <w:rFonts w:asciiTheme="minorHAnsi" w:hAnsiTheme="minorHAnsi"/>
        </w:rPr>
        <w:t>a</w:t>
      </w:r>
      <w:r w:rsidRPr="004566DC">
        <w:rPr>
          <w:rFonts w:asciiTheme="minorHAnsi" w:hAnsiTheme="minorHAnsi"/>
        </w:rPr>
        <w:t xml:space="preserve">nalytical validation', </w:t>
      </w:r>
      <w:r w:rsidRPr="004566DC">
        <w:rPr>
          <w:rFonts w:asciiTheme="minorHAnsi" w:hAnsiTheme="minorHAnsi"/>
          <w:i/>
        </w:rPr>
        <w:t>Journal of Molecular Diagnostics</w:t>
      </w:r>
      <w:r w:rsidRPr="004566DC">
        <w:rPr>
          <w:rFonts w:asciiTheme="minorHAnsi" w:hAnsiTheme="minorHAnsi"/>
        </w:rPr>
        <w:t>, vol. 13, no. 6, p. 719.</w:t>
      </w:r>
    </w:p>
    <w:p w14:paraId="2C29ACBB" w14:textId="77777777"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Levy, H, Jia, S, Reske, M, Schneck, K, Lai, H, Laxova, A, Farrell, PM &amp; Hessner, M 2011, 'A translational approach to the identification of novel genes associated with CF', </w:t>
      </w:r>
      <w:r w:rsidRPr="004566DC">
        <w:rPr>
          <w:rFonts w:asciiTheme="minorHAnsi" w:hAnsiTheme="minorHAnsi"/>
          <w:i/>
        </w:rPr>
        <w:t>Pediatric Pulmonology</w:t>
      </w:r>
      <w:r w:rsidRPr="004566DC">
        <w:rPr>
          <w:rFonts w:asciiTheme="minorHAnsi" w:hAnsiTheme="minorHAnsi"/>
        </w:rPr>
        <w:t>, vol. 46, p. 272.</w:t>
      </w:r>
    </w:p>
    <w:p w14:paraId="4C170C07" w14:textId="0DBF10D3" w:rsidR="001F1A9D" w:rsidRPr="004566DC" w:rsidRDefault="001F1A9D" w:rsidP="001F1A9D">
      <w:pPr>
        <w:pStyle w:val="EndNoteBibliography"/>
        <w:rPr>
          <w:rFonts w:asciiTheme="minorHAnsi" w:hAnsiTheme="minorHAnsi"/>
        </w:rPr>
      </w:pPr>
      <w:r w:rsidRPr="004566DC">
        <w:rPr>
          <w:rFonts w:asciiTheme="minorHAnsi" w:hAnsiTheme="minorHAnsi"/>
        </w:rPr>
        <w:t xml:space="preserve">Massie, J, Archibald, A, Dalton, D, Petrou, V, Chong, B, DuSart, D, Delatycki, M &amp; Amor, D 2012, 'Population-based carrier screening for cystic fibrosis in Victoria: </w:t>
      </w:r>
      <w:r w:rsidR="009B6DDD">
        <w:rPr>
          <w:rFonts w:asciiTheme="minorHAnsi" w:hAnsiTheme="minorHAnsi"/>
        </w:rPr>
        <w:t>t</w:t>
      </w:r>
      <w:r w:rsidRPr="004566DC">
        <w:rPr>
          <w:rFonts w:asciiTheme="minorHAnsi" w:hAnsiTheme="minorHAnsi"/>
        </w:rPr>
        <w:t>he past 6 years</w:t>
      </w:r>
      <w:r w:rsidR="00AB0B10">
        <w:rPr>
          <w:rFonts w:asciiTheme="minorHAnsi" w:hAnsiTheme="minorHAnsi"/>
        </w:rPr>
        <w:t>’</w:t>
      </w:r>
      <w:r w:rsidRPr="004566DC">
        <w:rPr>
          <w:rFonts w:asciiTheme="minorHAnsi" w:hAnsiTheme="minorHAnsi"/>
        </w:rPr>
        <w:t xml:space="preserve"> experience', </w:t>
      </w:r>
      <w:r w:rsidRPr="004566DC">
        <w:rPr>
          <w:rFonts w:asciiTheme="minorHAnsi" w:hAnsiTheme="minorHAnsi"/>
          <w:i/>
        </w:rPr>
        <w:t>Twin Research and Human Genetics</w:t>
      </w:r>
      <w:r w:rsidRPr="004566DC">
        <w:rPr>
          <w:rFonts w:asciiTheme="minorHAnsi" w:hAnsiTheme="minorHAnsi"/>
        </w:rPr>
        <w:t>, vol. 15, no. 4, p. 552.</w:t>
      </w:r>
    </w:p>
    <w:p w14:paraId="35C79532" w14:textId="7A812065" w:rsidR="001F1A9D" w:rsidRPr="004566DC" w:rsidRDefault="001F1A9D" w:rsidP="001F1A9D">
      <w:pPr>
        <w:pStyle w:val="EndNoteBibliography"/>
        <w:rPr>
          <w:rFonts w:asciiTheme="minorHAnsi" w:hAnsiTheme="minorHAnsi"/>
        </w:rPr>
      </w:pPr>
      <w:r w:rsidRPr="004566DC">
        <w:rPr>
          <w:rFonts w:asciiTheme="minorHAnsi" w:hAnsiTheme="minorHAnsi"/>
        </w:rPr>
        <w:t>Miedzybrodzka, ZH, Hall, MH, Mollison, J, Templeton, A, Russell, IT, Dean, JCS, Kelly, KF, Marteau, TM &amp; Haites, NE 1995, '</w:t>
      </w:r>
      <w:r w:rsidR="009B6DDD">
        <w:rPr>
          <w:rFonts w:asciiTheme="minorHAnsi" w:hAnsiTheme="minorHAnsi"/>
        </w:rPr>
        <w:t>A</w:t>
      </w:r>
      <w:r w:rsidR="009B6DDD" w:rsidRPr="009B6DDD">
        <w:rPr>
          <w:rFonts w:asciiTheme="minorHAnsi" w:hAnsiTheme="minorHAnsi"/>
        </w:rPr>
        <w:t>ntenatal carrier screening for cystic</w:t>
      </w:r>
      <w:r w:rsidR="009B6DDD">
        <w:rPr>
          <w:rFonts w:asciiTheme="minorHAnsi" w:hAnsiTheme="minorHAnsi"/>
        </w:rPr>
        <w:t xml:space="preserve"> </w:t>
      </w:r>
      <w:r w:rsidR="009B6DDD" w:rsidRPr="009B6DDD">
        <w:rPr>
          <w:rFonts w:asciiTheme="minorHAnsi" w:hAnsiTheme="minorHAnsi"/>
        </w:rPr>
        <w:t>fibrosis</w:t>
      </w:r>
      <w:r w:rsidR="009B6DDD">
        <w:rPr>
          <w:rFonts w:asciiTheme="minorHAnsi" w:hAnsiTheme="minorHAnsi"/>
        </w:rPr>
        <w:t>:</w:t>
      </w:r>
      <w:r w:rsidR="009B6DDD" w:rsidRPr="009B6DDD">
        <w:rPr>
          <w:rFonts w:asciiTheme="minorHAnsi" w:hAnsiTheme="minorHAnsi"/>
        </w:rPr>
        <w:t xml:space="preserve"> randomized trial of stepwise v-couple screening'</w:t>
      </w:r>
      <w:r w:rsidRPr="004566DC">
        <w:rPr>
          <w:rFonts w:asciiTheme="minorHAnsi" w:hAnsiTheme="minorHAnsi"/>
        </w:rPr>
        <w:t xml:space="preserve">, </w:t>
      </w:r>
      <w:r w:rsidRPr="004566DC">
        <w:rPr>
          <w:rFonts w:asciiTheme="minorHAnsi" w:hAnsiTheme="minorHAnsi"/>
          <w:i/>
        </w:rPr>
        <w:t>Journal of Medical Genetics</w:t>
      </w:r>
      <w:r w:rsidRPr="004566DC">
        <w:rPr>
          <w:rFonts w:asciiTheme="minorHAnsi" w:hAnsiTheme="minorHAnsi"/>
        </w:rPr>
        <w:t>, vol. 32, no. 2, p. 140.</w:t>
      </w:r>
    </w:p>
    <w:p w14:paraId="33DCD10C" w14:textId="5F4A7FAE" w:rsidR="001F1A9D" w:rsidRPr="004566DC" w:rsidRDefault="001F1A9D" w:rsidP="001F1A9D">
      <w:pPr>
        <w:pStyle w:val="EndNoteBibliography"/>
        <w:rPr>
          <w:rFonts w:asciiTheme="minorHAnsi" w:hAnsiTheme="minorHAnsi"/>
        </w:rPr>
      </w:pPr>
      <w:r w:rsidRPr="004566DC">
        <w:rPr>
          <w:rFonts w:asciiTheme="minorHAnsi" w:hAnsiTheme="minorHAnsi"/>
        </w:rPr>
        <w:t>Pacheco, P, Loureiro, P &amp; Silva, C 2013, 'Cystic fibrosis transmembrane conductance regulator (</w:t>
      </w:r>
      <w:r w:rsidR="00A21FD9" w:rsidRPr="004566DC">
        <w:rPr>
          <w:rFonts w:asciiTheme="minorHAnsi" w:hAnsiTheme="minorHAnsi"/>
          <w:i/>
        </w:rPr>
        <w:t>CFTR</w:t>
      </w:r>
      <w:r w:rsidRPr="004566DC">
        <w:rPr>
          <w:rFonts w:asciiTheme="minorHAnsi" w:hAnsiTheme="minorHAnsi"/>
        </w:rPr>
        <w:t xml:space="preserve">) gene sequence variation in Portuguese infertile males', </w:t>
      </w:r>
      <w:r w:rsidRPr="004566DC">
        <w:rPr>
          <w:rFonts w:asciiTheme="minorHAnsi" w:hAnsiTheme="minorHAnsi"/>
          <w:i/>
        </w:rPr>
        <w:t>Journal of Cystic Fibrosis</w:t>
      </w:r>
      <w:r w:rsidRPr="004566DC">
        <w:rPr>
          <w:rFonts w:asciiTheme="minorHAnsi" w:hAnsiTheme="minorHAnsi"/>
        </w:rPr>
        <w:t>, vol. 12, p. S55.</w:t>
      </w:r>
    </w:p>
    <w:p w14:paraId="45CCAA55" w14:textId="481118AB" w:rsidR="001F1A9D" w:rsidRPr="004566DC" w:rsidRDefault="001F1A9D" w:rsidP="001F1A9D">
      <w:pPr>
        <w:pStyle w:val="EndNoteBibliography"/>
        <w:rPr>
          <w:rFonts w:asciiTheme="minorHAnsi" w:hAnsiTheme="minorHAnsi"/>
        </w:rPr>
      </w:pPr>
      <w:r w:rsidRPr="004566DC">
        <w:rPr>
          <w:rFonts w:asciiTheme="minorHAnsi" w:hAnsiTheme="minorHAnsi"/>
        </w:rPr>
        <w:t xml:space="preserve">Pepermans, X, Leal, T &amp; Philippe, M 2010, 'Increasing detection rate of </w:t>
      </w:r>
      <w:r w:rsidR="00FD37D3" w:rsidRPr="004566DC">
        <w:rPr>
          <w:rFonts w:asciiTheme="minorHAnsi" w:hAnsiTheme="minorHAnsi"/>
        </w:rPr>
        <w:t>CFTR</w:t>
      </w:r>
      <w:r w:rsidRPr="004566DC">
        <w:rPr>
          <w:rFonts w:asciiTheme="minorHAnsi" w:hAnsiTheme="minorHAnsi"/>
        </w:rPr>
        <w:t xml:space="preserve"> mutations in routine analysis', </w:t>
      </w:r>
      <w:r w:rsidRPr="004566DC">
        <w:rPr>
          <w:rFonts w:asciiTheme="minorHAnsi" w:hAnsiTheme="minorHAnsi"/>
          <w:i/>
        </w:rPr>
        <w:t>Journal of Cystic Fibrosis</w:t>
      </w:r>
      <w:r w:rsidRPr="004566DC">
        <w:rPr>
          <w:rFonts w:asciiTheme="minorHAnsi" w:hAnsiTheme="minorHAnsi"/>
        </w:rPr>
        <w:t>, vol. 9, p. S3.</w:t>
      </w:r>
    </w:p>
    <w:p w14:paraId="7FAB9CD4" w14:textId="46C4C67D" w:rsidR="001F1A9D" w:rsidRPr="004566DC" w:rsidRDefault="001F1A9D" w:rsidP="001F1A9D">
      <w:pPr>
        <w:pStyle w:val="EndNoteBibliography"/>
        <w:rPr>
          <w:rFonts w:asciiTheme="minorHAnsi" w:hAnsiTheme="minorHAnsi"/>
        </w:rPr>
      </w:pPr>
      <w:r w:rsidRPr="004566DC">
        <w:rPr>
          <w:rFonts w:asciiTheme="minorHAnsi" w:hAnsiTheme="minorHAnsi"/>
        </w:rPr>
        <w:t xml:space="preserve">Spitzer, SG, Hentze, L &amp; Goh, J 2010, 'Screening for 44 vs 25 cystic fibrosis mutations in the New York metropolitan region', </w:t>
      </w:r>
      <w:r w:rsidRPr="004566DC">
        <w:rPr>
          <w:rFonts w:asciiTheme="minorHAnsi" w:hAnsiTheme="minorHAnsi"/>
          <w:i/>
        </w:rPr>
        <w:t>Journal of Molecular Diagnostics</w:t>
      </w:r>
      <w:r w:rsidRPr="004566DC">
        <w:rPr>
          <w:rFonts w:asciiTheme="minorHAnsi" w:hAnsiTheme="minorHAnsi"/>
        </w:rPr>
        <w:t>, vol. 12, no. 6, p. 857.</w:t>
      </w:r>
    </w:p>
    <w:p w14:paraId="719A7905" w14:textId="5A2C45AF" w:rsidR="001F1A9D" w:rsidRPr="004566DC" w:rsidRDefault="001F1A9D" w:rsidP="001F1A9D">
      <w:pPr>
        <w:pStyle w:val="EndNoteBibliography"/>
        <w:rPr>
          <w:rFonts w:asciiTheme="minorHAnsi" w:hAnsiTheme="minorHAnsi"/>
        </w:rPr>
      </w:pPr>
      <w:r w:rsidRPr="004566DC">
        <w:rPr>
          <w:rFonts w:asciiTheme="minorHAnsi" w:hAnsiTheme="minorHAnsi"/>
        </w:rPr>
        <w:t xml:space="preserve">Sugalski, JA, Holland, C, Goodman, T &amp; Stoerker, J 2013, 'Mutations </w:t>
      </w:r>
      <w:r w:rsidR="009B6DDD">
        <w:rPr>
          <w:rFonts w:asciiTheme="minorHAnsi" w:hAnsiTheme="minorHAnsi"/>
        </w:rPr>
        <w:t>o</w:t>
      </w:r>
      <w:r w:rsidRPr="004566DC">
        <w:rPr>
          <w:rFonts w:asciiTheme="minorHAnsi" w:hAnsiTheme="minorHAnsi"/>
        </w:rPr>
        <w:t xml:space="preserve">utside the ACMG </w:t>
      </w:r>
      <w:r w:rsidR="009B6DDD">
        <w:rPr>
          <w:rFonts w:asciiTheme="minorHAnsi" w:hAnsiTheme="minorHAnsi"/>
        </w:rPr>
        <w:t>p</w:t>
      </w:r>
      <w:r w:rsidRPr="004566DC">
        <w:rPr>
          <w:rFonts w:asciiTheme="minorHAnsi" w:hAnsiTheme="minorHAnsi"/>
        </w:rPr>
        <w:t>anel: 147-</w:t>
      </w:r>
      <w:r w:rsidR="009B6DDD">
        <w:rPr>
          <w:rFonts w:asciiTheme="minorHAnsi" w:hAnsiTheme="minorHAnsi"/>
        </w:rPr>
        <w:t>m</w:t>
      </w:r>
      <w:r w:rsidRPr="004566DC">
        <w:rPr>
          <w:rFonts w:asciiTheme="minorHAnsi" w:hAnsiTheme="minorHAnsi"/>
        </w:rPr>
        <w:t xml:space="preserve">utation </w:t>
      </w:r>
      <w:r w:rsidR="00FD37D3" w:rsidRPr="004566DC">
        <w:rPr>
          <w:rFonts w:asciiTheme="minorHAnsi" w:hAnsiTheme="minorHAnsi"/>
        </w:rPr>
        <w:t>CFTR</w:t>
      </w:r>
      <w:r w:rsidRPr="004566DC">
        <w:rPr>
          <w:rFonts w:asciiTheme="minorHAnsi" w:hAnsiTheme="minorHAnsi"/>
        </w:rPr>
        <w:t xml:space="preserve"> </w:t>
      </w:r>
      <w:r w:rsidR="009B6DDD">
        <w:rPr>
          <w:rFonts w:asciiTheme="minorHAnsi" w:hAnsiTheme="minorHAnsi"/>
        </w:rPr>
        <w:t>c</w:t>
      </w:r>
      <w:r w:rsidRPr="004566DC">
        <w:rPr>
          <w:rFonts w:asciiTheme="minorHAnsi" w:hAnsiTheme="minorHAnsi"/>
        </w:rPr>
        <w:t xml:space="preserve">arrier </w:t>
      </w:r>
      <w:r w:rsidR="009B6DDD">
        <w:rPr>
          <w:rFonts w:asciiTheme="minorHAnsi" w:hAnsiTheme="minorHAnsi"/>
        </w:rPr>
        <w:t>s</w:t>
      </w:r>
      <w:r w:rsidRPr="004566DC">
        <w:rPr>
          <w:rFonts w:asciiTheme="minorHAnsi" w:hAnsiTheme="minorHAnsi"/>
        </w:rPr>
        <w:t xml:space="preserve">creening of 27,000 </w:t>
      </w:r>
      <w:r w:rsidR="009B6DDD">
        <w:rPr>
          <w:rFonts w:asciiTheme="minorHAnsi" w:hAnsiTheme="minorHAnsi"/>
        </w:rPr>
        <w:t>p</w:t>
      </w:r>
      <w:r w:rsidRPr="004566DC">
        <w:rPr>
          <w:rFonts w:asciiTheme="minorHAnsi" w:hAnsiTheme="minorHAnsi"/>
        </w:rPr>
        <w:t xml:space="preserve">renatal and </w:t>
      </w:r>
      <w:r w:rsidR="009B6DDD">
        <w:rPr>
          <w:rFonts w:asciiTheme="minorHAnsi" w:hAnsiTheme="minorHAnsi"/>
        </w:rPr>
        <w:t>p</w:t>
      </w:r>
      <w:r w:rsidRPr="004566DC">
        <w:rPr>
          <w:rFonts w:asciiTheme="minorHAnsi" w:hAnsiTheme="minorHAnsi"/>
        </w:rPr>
        <w:t xml:space="preserve">erinatal </w:t>
      </w:r>
      <w:r w:rsidR="009B6DDD">
        <w:rPr>
          <w:rFonts w:asciiTheme="minorHAnsi" w:hAnsiTheme="minorHAnsi"/>
        </w:rPr>
        <w:t>p</w:t>
      </w:r>
      <w:r w:rsidRPr="004566DC">
        <w:rPr>
          <w:rFonts w:asciiTheme="minorHAnsi" w:hAnsiTheme="minorHAnsi"/>
        </w:rPr>
        <w:t xml:space="preserve">atients', </w:t>
      </w:r>
      <w:r w:rsidRPr="004566DC">
        <w:rPr>
          <w:rFonts w:asciiTheme="minorHAnsi" w:hAnsiTheme="minorHAnsi"/>
          <w:i/>
        </w:rPr>
        <w:t>Journal of Molecular Diagnostics</w:t>
      </w:r>
      <w:r w:rsidRPr="004566DC">
        <w:rPr>
          <w:rFonts w:asciiTheme="minorHAnsi" w:hAnsiTheme="minorHAnsi"/>
        </w:rPr>
        <w:t>, vol. 15, no. 6, p. 855.</w:t>
      </w:r>
    </w:p>
    <w:p w14:paraId="7B55F326" w14:textId="1ABF04B1" w:rsidR="001F1A9D" w:rsidRPr="004566DC" w:rsidRDefault="001F1A9D" w:rsidP="001F1A9D">
      <w:pPr>
        <w:pStyle w:val="EndNoteBibliography"/>
        <w:rPr>
          <w:rFonts w:asciiTheme="minorHAnsi" w:hAnsiTheme="minorHAnsi"/>
        </w:rPr>
      </w:pPr>
      <w:r w:rsidRPr="004566DC">
        <w:rPr>
          <w:rFonts w:asciiTheme="minorHAnsi" w:hAnsiTheme="minorHAnsi"/>
        </w:rPr>
        <w:t>Sun, X, Sui, J, Qiu, J, Stout, AM, Verderber, EL, Blonder, JP, Look, K, Suniga, M, Boyanapalli, R, Mutka, SC, Mehra, N, Angers, R, Kolodziej, AF, Scoggin, C &amp; Gabriel, SE 2013, '</w:t>
      </w:r>
      <w:r w:rsidR="009B6DDD">
        <w:rPr>
          <w:rFonts w:asciiTheme="minorHAnsi" w:hAnsiTheme="minorHAnsi"/>
        </w:rPr>
        <w:t>N</w:t>
      </w:r>
      <w:r w:rsidR="009B6DDD" w:rsidRPr="00CA3F06">
        <w:rPr>
          <w:rFonts w:asciiTheme="minorHAnsi" w:hAnsiTheme="minorHAnsi"/>
        </w:rPr>
        <w:t xml:space="preserve">ext generation f508del-cftr correctors using a </w:t>
      </w:r>
      <w:r w:rsidR="009B6DDD" w:rsidRPr="004566DC">
        <w:rPr>
          <w:rFonts w:asciiTheme="minorHAnsi" w:hAnsiTheme="minorHAnsi"/>
          <w:caps/>
        </w:rPr>
        <w:t>yfp</w:t>
      </w:r>
      <w:r w:rsidR="00893B9C">
        <w:rPr>
          <w:rFonts w:asciiTheme="minorHAnsi" w:hAnsiTheme="minorHAnsi"/>
        </w:rPr>
        <w:t>-</w:t>
      </w:r>
      <w:r w:rsidR="009B6DDD" w:rsidRPr="00CA3F06">
        <w:rPr>
          <w:rFonts w:asciiTheme="minorHAnsi" w:hAnsiTheme="minorHAnsi"/>
        </w:rPr>
        <w:t>based high</w:t>
      </w:r>
      <w:r w:rsidR="00893B9C">
        <w:rPr>
          <w:rFonts w:asciiTheme="minorHAnsi" w:hAnsiTheme="minorHAnsi"/>
        </w:rPr>
        <w:t>-</w:t>
      </w:r>
      <w:r w:rsidR="009B6DDD" w:rsidRPr="00CA3F06">
        <w:rPr>
          <w:rFonts w:asciiTheme="minorHAnsi" w:hAnsiTheme="minorHAnsi"/>
        </w:rPr>
        <w:t>throughput screening assay</w:t>
      </w:r>
      <w:r w:rsidRPr="004566DC">
        <w:rPr>
          <w:rFonts w:asciiTheme="minorHAnsi" w:hAnsiTheme="minorHAnsi"/>
        </w:rPr>
        <w:t xml:space="preserve">', </w:t>
      </w:r>
      <w:r w:rsidRPr="004566DC">
        <w:rPr>
          <w:rFonts w:asciiTheme="minorHAnsi" w:hAnsiTheme="minorHAnsi"/>
          <w:i/>
        </w:rPr>
        <w:t>Pediatric Pulmonology</w:t>
      </w:r>
      <w:r w:rsidRPr="004566DC">
        <w:rPr>
          <w:rFonts w:asciiTheme="minorHAnsi" w:hAnsiTheme="minorHAnsi"/>
        </w:rPr>
        <w:t>, vol. 48, pp. 216</w:t>
      </w:r>
      <w:r w:rsidR="00893B9C">
        <w:rPr>
          <w:rFonts w:asciiTheme="minorHAnsi" w:hAnsiTheme="minorHAnsi"/>
        </w:rPr>
        <w:t>–</w:t>
      </w:r>
      <w:r w:rsidRPr="004566DC">
        <w:rPr>
          <w:rFonts w:asciiTheme="minorHAnsi" w:hAnsiTheme="minorHAnsi"/>
        </w:rPr>
        <w:t>217.</w:t>
      </w:r>
    </w:p>
    <w:p w14:paraId="508823A4" w14:textId="650BBB2C" w:rsidR="001F1A9D" w:rsidRPr="004566DC" w:rsidRDefault="001F1A9D" w:rsidP="001F1A9D">
      <w:pPr>
        <w:pStyle w:val="EndNoteBibliography"/>
        <w:rPr>
          <w:rFonts w:asciiTheme="minorHAnsi" w:hAnsiTheme="minorHAnsi"/>
        </w:rPr>
      </w:pPr>
      <w:r w:rsidRPr="004566DC">
        <w:rPr>
          <w:rFonts w:asciiTheme="minorHAnsi" w:hAnsiTheme="minorHAnsi"/>
        </w:rPr>
        <w:t xml:space="preserve">Tayoun, ANA, Tunkey, CD, Tafe, LJ, Levandowsky, E, Spangler, J, Dindinger, M, Ross, T, Shah, M, McLaughlin, S, Lee, CC, Harkins, TT, Raia, G, Amos, CI, Wells, WA &amp; Tsongalis, GJ 2013, 'A comprehensive assay for </w:t>
      </w:r>
      <w:r w:rsidR="00FD37D3" w:rsidRPr="004566DC">
        <w:rPr>
          <w:rFonts w:asciiTheme="minorHAnsi" w:hAnsiTheme="minorHAnsi"/>
        </w:rPr>
        <w:t>CFTR</w:t>
      </w:r>
      <w:r w:rsidRPr="004566DC">
        <w:rPr>
          <w:rFonts w:asciiTheme="minorHAnsi" w:hAnsiTheme="minorHAnsi"/>
        </w:rPr>
        <w:t xml:space="preserve"> mutational analysis using next-generation sequencing', </w:t>
      </w:r>
      <w:r w:rsidRPr="004566DC">
        <w:rPr>
          <w:rFonts w:asciiTheme="minorHAnsi" w:hAnsiTheme="minorHAnsi"/>
          <w:i/>
        </w:rPr>
        <w:t>FASEB Journal</w:t>
      </w:r>
      <w:r w:rsidRPr="004566DC">
        <w:rPr>
          <w:rFonts w:asciiTheme="minorHAnsi" w:hAnsiTheme="minorHAnsi"/>
        </w:rPr>
        <w:t>, vol. 27.</w:t>
      </w:r>
    </w:p>
    <w:p w14:paraId="606A055C" w14:textId="10B23265" w:rsidR="001F1A9D" w:rsidRPr="004566DC" w:rsidRDefault="001F1A9D" w:rsidP="001F1A9D">
      <w:pPr>
        <w:pStyle w:val="EndNoteBibliography"/>
        <w:rPr>
          <w:rFonts w:asciiTheme="minorHAnsi" w:hAnsiTheme="minorHAnsi"/>
        </w:rPr>
      </w:pPr>
      <w:r w:rsidRPr="004566DC">
        <w:rPr>
          <w:rFonts w:asciiTheme="minorHAnsi" w:hAnsiTheme="minorHAnsi"/>
        </w:rPr>
        <w:t>Tomaiuolo, AC, Majo, F, Surace, C, Montemitro, E, Sofia, V, Alghisi, F, Lucidi, V &amp; Angioni, A 2013, '</w:t>
      </w:r>
      <w:r w:rsidR="00893B9C">
        <w:rPr>
          <w:rFonts w:asciiTheme="minorHAnsi" w:hAnsiTheme="minorHAnsi"/>
        </w:rPr>
        <w:t>U</w:t>
      </w:r>
      <w:r w:rsidR="00893B9C" w:rsidRPr="00CA3F06">
        <w:rPr>
          <w:rFonts w:asciiTheme="minorHAnsi" w:hAnsiTheme="minorHAnsi"/>
        </w:rPr>
        <w:t>se of next generation sequencing for the diagnosis of cystic fibrosis</w:t>
      </w:r>
      <w:r w:rsidRPr="004566DC">
        <w:rPr>
          <w:rFonts w:asciiTheme="minorHAnsi" w:hAnsiTheme="minorHAnsi"/>
        </w:rPr>
        <w:t xml:space="preserve">', </w:t>
      </w:r>
      <w:r w:rsidRPr="004566DC">
        <w:rPr>
          <w:rFonts w:asciiTheme="minorHAnsi" w:hAnsiTheme="minorHAnsi"/>
          <w:i/>
        </w:rPr>
        <w:t>Pediatric Pulmonology</w:t>
      </w:r>
      <w:r w:rsidRPr="004566DC">
        <w:rPr>
          <w:rFonts w:asciiTheme="minorHAnsi" w:hAnsiTheme="minorHAnsi"/>
        </w:rPr>
        <w:t>, vol. 48, pp. 267</w:t>
      </w:r>
      <w:r w:rsidR="00CA3F06">
        <w:rPr>
          <w:rFonts w:asciiTheme="minorHAnsi" w:hAnsiTheme="minorHAnsi"/>
        </w:rPr>
        <w:t>–</w:t>
      </w:r>
      <w:r w:rsidRPr="004566DC">
        <w:rPr>
          <w:rFonts w:asciiTheme="minorHAnsi" w:hAnsiTheme="minorHAnsi"/>
        </w:rPr>
        <w:t>268.</w:t>
      </w:r>
    </w:p>
    <w:p w14:paraId="1DF8C817" w14:textId="0E1863C0" w:rsidR="001F1A9D" w:rsidRPr="004566DC" w:rsidRDefault="001F1A9D" w:rsidP="001F1A9D">
      <w:pPr>
        <w:pStyle w:val="EndNoteBibliography"/>
        <w:rPr>
          <w:rFonts w:asciiTheme="minorHAnsi" w:hAnsiTheme="minorHAnsi"/>
        </w:rPr>
      </w:pPr>
      <w:r w:rsidRPr="004566DC">
        <w:rPr>
          <w:rFonts w:asciiTheme="minorHAnsi" w:hAnsiTheme="minorHAnsi"/>
        </w:rPr>
        <w:t xml:space="preserve">Valaskova, I, Necasova, J, Selingerova, RM, Spesna, R, Holcikova, A, Homola, L, Pokojova, E &amp; Gaillyova, R 2014, 'Development of a comprehensive workflow for the analysis of </w:t>
      </w:r>
      <w:r w:rsidR="00A21FD9" w:rsidRPr="004566DC">
        <w:rPr>
          <w:rFonts w:asciiTheme="minorHAnsi" w:hAnsiTheme="minorHAnsi"/>
          <w:i/>
        </w:rPr>
        <w:t>CFTR</w:t>
      </w:r>
      <w:r w:rsidRPr="004566DC">
        <w:rPr>
          <w:rFonts w:asciiTheme="minorHAnsi" w:hAnsiTheme="minorHAnsi"/>
        </w:rPr>
        <w:t xml:space="preserve"> gene using next generation sequencing technology', </w:t>
      </w:r>
      <w:r w:rsidRPr="004566DC">
        <w:rPr>
          <w:rFonts w:asciiTheme="minorHAnsi" w:hAnsiTheme="minorHAnsi"/>
          <w:i/>
        </w:rPr>
        <w:t>Journal of Cystic Fibrosis</w:t>
      </w:r>
      <w:r w:rsidRPr="004566DC">
        <w:rPr>
          <w:rFonts w:asciiTheme="minorHAnsi" w:hAnsiTheme="minorHAnsi"/>
        </w:rPr>
        <w:t>, vol. 13, p. S23.</w:t>
      </w:r>
    </w:p>
    <w:p w14:paraId="6C20D240" w14:textId="77777777" w:rsidR="001F1A9D" w:rsidRPr="004566DC" w:rsidRDefault="001F1A9D" w:rsidP="001F1A9D">
      <w:pPr>
        <w:pStyle w:val="Heading2"/>
        <w:rPr>
          <w:rFonts w:asciiTheme="minorHAnsi" w:eastAsiaTheme="minorHAnsi" w:hAnsiTheme="minorHAnsi"/>
          <w:lang w:eastAsia="en-US"/>
        </w:rPr>
      </w:pPr>
      <w:bookmarkStart w:id="573" w:name="_Toc418179972"/>
      <w:r w:rsidRPr="004566DC">
        <w:rPr>
          <w:rFonts w:asciiTheme="minorHAnsi" w:eastAsiaTheme="minorHAnsi" w:hAnsiTheme="minorHAnsi"/>
          <w:lang w:eastAsia="en-US"/>
        </w:rPr>
        <w:t>Duplicate studies</w:t>
      </w:r>
      <w:bookmarkEnd w:id="573"/>
    </w:p>
    <w:p w14:paraId="422ECE6C" w14:textId="0FE0F69F" w:rsidR="001F1A9D" w:rsidRPr="004566DC" w:rsidRDefault="00A21A37" w:rsidP="001F1A9D">
      <w:pPr>
        <w:pStyle w:val="EndNoteBibliography"/>
        <w:rPr>
          <w:rFonts w:asciiTheme="minorHAnsi" w:hAnsiTheme="minorHAnsi"/>
        </w:rPr>
      </w:pPr>
      <w:r w:rsidRPr="004566DC">
        <w:rPr>
          <w:rFonts w:asciiTheme="minorHAnsi" w:hAnsiTheme="minorHAnsi"/>
        </w:rPr>
        <w:t>d</w:t>
      </w:r>
      <w:r w:rsidR="001F1A9D" w:rsidRPr="004566DC">
        <w:rPr>
          <w:rFonts w:asciiTheme="minorHAnsi" w:hAnsiTheme="minorHAnsi"/>
        </w:rPr>
        <w:t xml:space="preserve">e Becdelièvre, A, Costa, C, Lefloch, A, Legendre, M, Jouannic, JM, Vigneron, J, Bresson, JL, Gobin, S, Martin, J, Goossens, M &amp; Girodon, E 2010, 'Notable contribution of large </w:t>
      </w:r>
      <w:r w:rsidR="00A21FD9" w:rsidRPr="004566DC">
        <w:rPr>
          <w:rFonts w:asciiTheme="minorHAnsi" w:hAnsiTheme="minorHAnsi"/>
          <w:i/>
        </w:rPr>
        <w:t>CFTR</w:t>
      </w:r>
      <w:r w:rsidR="001F1A9D" w:rsidRPr="004566DC">
        <w:rPr>
          <w:rFonts w:asciiTheme="minorHAnsi" w:hAnsiTheme="minorHAnsi"/>
        </w:rPr>
        <w:t xml:space="preserve"> gene rearrangements to the diagnosis of cystic fibrosis in fetuses with bowel anomalies', </w:t>
      </w:r>
      <w:r w:rsidR="001F1A9D" w:rsidRPr="004566DC">
        <w:rPr>
          <w:rFonts w:asciiTheme="minorHAnsi" w:hAnsiTheme="minorHAnsi"/>
          <w:i/>
        </w:rPr>
        <w:t>European Journal of Human Genetics</w:t>
      </w:r>
      <w:r w:rsidR="001F1A9D" w:rsidRPr="004566DC">
        <w:rPr>
          <w:rFonts w:asciiTheme="minorHAnsi" w:hAnsiTheme="minorHAnsi"/>
        </w:rPr>
        <w:t>, vol. 18, no. 10, pp. 1166</w:t>
      </w:r>
      <w:r w:rsidR="00CA3F06">
        <w:rPr>
          <w:rFonts w:asciiTheme="minorHAnsi" w:hAnsiTheme="minorHAnsi"/>
        </w:rPr>
        <w:t>–</w:t>
      </w:r>
      <w:r w:rsidR="001F1A9D" w:rsidRPr="004566DC">
        <w:rPr>
          <w:rFonts w:asciiTheme="minorHAnsi" w:hAnsiTheme="minorHAnsi"/>
        </w:rPr>
        <w:t>1169.</w:t>
      </w:r>
    </w:p>
    <w:p w14:paraId="78C80497" w14:textId="2F5C30F7" w:rsidR="001F1A9D" w:rsidRPr="004566DC" w:rsidRDefault="001F1A9D" w:rsidP="001F1A9D">
      <w:pPr>
        <w:pStyle w:val="EndNoteBibliography"/>
        <w:rPr>
          <w:rFonts w:asciiTheme="minorHAnsi" w:hAnsiTheme="minorHAnsi"/>
        </w:rPr>
      </w:pPr>
      <w:r w:rsidRPr="004566DC">
        <w:rPr>
          <w:rFonts w:asciiTheme="minorHAnsi" w:hAnsiTheme="minorHAnsi"/>
        </w:rPr>
        <w:t xml:space="preserve">Kanavakis, E, Efthymiadou, A, Strofalis, S, Doudounakis, S, Traeger-Synodinos, J &amp; Tzetis, M 2002, </w:t>
      </w:r>
      <w:r w:rsidR="00AB0B10" w:rsidRPr="00C66950">
        <w:rPr>
          <w:rFonts w:asciiTheme="minorHAnsi" w:hAnsiTheme="minorHAnsi"/>
        </w:rPr>
        <w:t>'</w:t>
      </w:r>
      <w:r w:rsidRPr="004566DC">
        <w:rPr>
          <w:rFonts w:asciiTheme="minorHAnsi" w:hAnsiTheme="minorHAnsi"/>
        </w:rPr>
        <w:t xml:space="preserve">Cystic fibrosis in Greece: </w:t>
      </w:r>
      <w:r w:rsidR="00CA3F06" w:rsidRPr="004566DC">
        <w:rPr>
          <w:rFonts w:asciiTheme="minorHAnsi" w:hAnsiTheme="minorHAnsi"/>
        </w:rPr>
        <w:t>m</w:t>
      </w:r>
      <w:r w:rsidRPr="004566DC">
        <w:rPr>
          <w:rFonts w:asciiTheme="minorHAnsi" w:hAnsiTheme="minorHAnsi"/>
        </w:rPr>
        <w:t>olecular diagnosis, haplotype frameworks, prenatal diagnosis and carrier identification amongst high-risk individuals</w:t>
      </w:r>
      <w:r w:rsidR="00AB0B10" w:rsidRPr="00C66950">
        <w:rPr>
          <w:rFonts w:asciiTheme="minorHAnsi" w:hAnsiTheme="minorHAnsi"/>
        </w:rPr>
        <w:t>'</w:t>
      </w:r>
      <w:r w:rsidRPr="004566DC">
        <w:rPr>
          <w:rFonts w:asciiTheme="minorHAnsi" w:hAnsiTheme="minorHAnsi"/>
        </w:rPr>
        <w:t>, Proceedings of 25th European Cystic Fibrosis Conference, ed</w:t>
      </w:r>
      <w:r w:rsidR="00CA3F06">
        <w:rPr>
          <w:rFonts w:asciiTheme="minorHAnsi" w:hAnsiTheme="minorHAnsi"/>
        </w:rPr>
        <w:t>.</w:t>
      </w:r>
      <w:r w:rsidRPr="004566DC">
        <w:rPr>
          <w:rFonts w:asciiTheme="minorHAnsi" w:hAnsiTheme="minorHAnsi"/>
        </w:rPr>
        <w:t xml:space="preserve"> </w:t>
      </w:r>
      <w:r w:rsidR="00CA3F06">
        <w:rPr>
          <w:rFonts w:asciiTheme="minorHAnsi" w:hAnsiTheme="minorHAnsi"/>
        </w:rPr>
        <w:t xml:space="preserve">by </w:t>
      </w:r>
      <w:r w:rsidRPr="004566DC">
        <w:rPr>
          <w:rFonts w:asciiTheme="minorHAnsi" w:hAnsiTheme="minorHAnsi"/>
        </w:rPr>
        <w:t xml:space="preserve">L Romano, G Manno </w:t>
      </w:r>
      <w:r w:rsidR="00CA3F06">
        <w:rPr>
          <w:rFonts w:asciiTheme="minorHAnsi" w:hAnsiTheme="minorHAnsi"/>
        </w:rPr>
        <w:t>and</w:t>
      </w:r>
      <w:r w:rsidRPr="004566DC">
        <w:rPr>
          <w:rFonts w:asciiTheme="minorHAnsi" w:hAnsiTheme="minorHAnsi"/>
        </w:rPr>
        <w:t xml:space="preserve"> LJV Galietta.</w:t>
      </w:r>
    </w:p>
    <w:p w14:paraId="3D86AAF4" w14:textId="71E56B73" w:rsidR="001F1A9D" w:rsidRPr="004566DC" w:rsidRDefault="001F1A9D" w:rsidP="001F1A9D">
      <w:pPr>
        <w:pStyle w:val="EndNoteBibliography"/>
        <w:rPr>
          <w:rFonts w:asciiTheme="minorHAnsi" w:hAnsiTheme="minorHAnsi"/>
        </w:rPr>
      </w:pPr>
      <w:r w:rsidRPr="004566DC">
        <w:rPr>
          <w:rFonts w:asciiTheme="minorHAnsi" w:hAnsiTheme="minorHAnsi"/>
        </w:rPr>
        <w:lastRenderedPageBreak/>
        <w:t xml:space="preserve">Mennie, ME, Axworthy, D, Liston, WA &amp; Brock, DJH 1997, 'Prenatal screening for cystic fibrosis carriers: </w:t>
      </w:r>
      <w:r w:rsidR="00CA3F06">
        <w:rPr>
          <w:rFonts w:asciiTheme="minorHAnsi" w:hAnsiTheme="minorHAnsi"/>
        </w:rPr>
        <w:t>d</w:t>
      </w:r>
      <w:r w:rsidRPr="004566DC">
        <w:rPr>
          <w:rFonts w:asciiTheme="minorHAnsi" w:hAnsiTheme="minorHAnsi"/>
        </w:rPr>
        <w:t xml:space="preserve">oes the method of testing affect the longer-term understanding and reproductive behaviour of women?', </w:t>
      </w:r>
      <w:r w:rsidRPr="004566DC">
        <w:rPr>
          <w:rFonts w:asciiTheme="minorHAnsi" w:hAnsiTheme="minorHAnsi"/>
          <w:i/>
        </w:rPr>
        <w:t>Prenatal Diagnosis</w:t>
      </w:r>
      <w:r w:rsidRPr="004566DC">
        <w:rPr>
          <w:rFonts w:asciiTheme="minorHAnsi" w:hAnsiTheme="minorHAnsi"/>
        </w:rPr>
        <w:t>, vol. 17, no. 9, pp. 853</w:t>
      </w:r>
      <w:r w:rsidR="00CA3F06">
        <w:rPr>
          <w:rFonts w:asciiTheme="minorHAnsi" w:hAnsiTheme="minorHAnsi"/>
        </w:rPr>
        <w:t>–</w:t>
      </w:r>
      <w:r w:rsidRPr="004566DC">
        <w:rPr>
          <w:rFonts w:asciiTheme="minorHAnsi" w:hAnsiTheme="minorHAnsi"/>
        </w:rPr>
        <w:t>860.</w:t>
      </w:r>
    </w:p>
    <w:p w14:paraId="62EF5223" w14:textId="0958124B" w:rsidR="001F1A9D" w:rsidRPr="004566DC" w:rsidRDefault="001F1A9D" w:rsidP="001F1A9D">
      <w:pPr>
        <w:pStyle w:val="EndNoteBibliography"/>
        <w:rPr>
          <w:rFonts w:asciiTheme="minorHAnsi" w:hAnsiTheme="minorHAnsi"/>
        </w:rPr>
      </w:pPr>
      <w:r w:rsidRPr="004566DC">
        <w:rPr>
          <w:rFonts w:asciiTheme="minorHAnsi" w:hAnsiTheme="minorHAnsi"/>
        </w:rPr>
        <w:t xml:space="preserve">Nagy, B, Tóth-Pál, E, Papp, C, Bán, Z &amp; Papp, Z 1998, 'Prenatal detection of the ΔF 508 mutation using fluorescent PCR and comparison of the results with conventional PCR', </w:t>
      </w:r>
      <w:r w:rsidRPr="004566DC">
        <w:rPr>
          <w:rFonts w:asciiTheme="minorHAnsi" w:hAnsiTheme="minorHAnsi"/>
          <w:i/>
        </w:rPr>
        <w:t>Pediatric Pathology and Molecular Medicine</w:t>
      </w:r>
      <w:r w:rsidRPr="004566DC">
        <w:rPr>
          <w:rFonts w:asciiTheme="minorHAnsi" w:hAnsiTheme="minorHAnsi"/>
        </w:rPr>
        <w:t>, vol. 18, no. 3, pp. 213</w:t>
      </w:r>
      <w:r w:rsidR="00CA3F06">
        <w:rPr>
          <w:rFonts w:asciiTheme="minorHAnsi" w:hAnsiTheme="minorHAnsi"/>
        </w:rPr>
        <w:t>–</w:t>
      </w:r>
      <w:r w:rsidRPr="004566DC">
        <w:rPr>
          <w:rFonts w:asciiTheme="minorHAnsi" w:hAnsiTheme="minorHAnsi"/>
        </w:rPr>
        <w:t>219.</w:t>
      </w:r>
    </w:p>
    <w:p w14:paraId="2E9BD1E5" w14:textId="12C26FEF" w:rsidR="001F1A9D" w:rsidRPr="004566DC" w:rsidRDefault="001F1A9D" w:rsidP="001F1A9D">
      <w:pPr>
        <w:pStyle w:val="EndNoteBibliography"/>
        <w:rPr>
          <w:rFonts w:asciiTheme="minorHAnsi" w:hAnsiTheme="minorHAnsi"/>
        </w:rPr>
      </w:pPr>
      <w:r w:rsidRPr="004566DC">
        <w:rPr>
          <w:rFonts w:asciiTheme="minorHAnsi" w:hAnsiTheme="minorHAnsi"/>
        </w:rPr>
        <w:t xml:space="preserve">Richards, B, Skoletsky, J, Shuber, AP, Balfour, R, Stern, RC, Dorkin, HL, Parad, RB, Witt, D &amp; Klinger, KW 1993, 'Multiplex PCR amplification from the </w:t>
      </w:r>
      <w:r w:rsidR="00A21FD9" w:rsidRPr="004566DC">
        <w:rPr>
          <w:rFonts w:asciiTheme="minorHAnsi" w:hAnsiTheme="minorHAnsi"/>
          <w:i/>
        </w:rPr>
        <w:t>CFTR</w:t>
      </w:r>
      <w:r w:rsidRPr="004566DC">
        <w:rPr>
          <w:rFonts w:asciiTheme="minorHAnsi" w:hAnsiTheme="minorHAnsi"/>
        </w:rPr>
        <w:t xml:space="preserve"> gene using DNA prepared from buccal brushes/swabs', </w:t>
      </w:r>
      <w:r w:rsidRPr="004566DC">
        <w:rPr>
          <w:rFonts w:asciiTheme="minorHAnsi" w:hAnsiTheme="minorHAnsi"/>
          <w:i/>
        </w:rPr>
        <w:t>Human Molecular Genetics</w:t>
      </w:r>
      <w:r w:rsidRPr="004566DC">
        <w:rPr>
          <w:rFonts w:asciiTheme="minorHAnsi" w:hAnsiTheme="minorHAnsi"/>
        </w:rPr>
        <w:t>, vol. 2, no. 2, pp. 159</w:t>
      </w:r>
      <w:r w:rsidR="00CA3F06">
        <w:rPr>
          <w:rFonts w:asciiTheme="minorHAnsi" w:hAnsiTheme="minorHAnsi"/>
        </w:rPr>
        <w:t>–</w:t>
      </w:r>
      <w:r w:rsidRPr="004566DC">
        <w:rPr>
          <w:rFonts w:asciiTheme="minorHAnsi" w:hAnsiTheme="minorHAnsi"/>
        </w:rPr>
        <w:t>163.</w:t>
      </w:r>
    </w:p>
    <w:p w14:paraId="2ACFFC29" w14:textId="77777777" w:rsidR="001F1A9D" w:rsidRPr="004566DC" w:rsidRDefault="001F1A9D" w:rsidP="001F1A9D">
      <w:pPr>
        <w:pStyle w:val="Heading2"/>
        <w:rPr>
          <w:rFonts w:asciiTheme="minorHAnsi" w:eastAsiaTheme="minorHAnsi" w:hAnsiTheme="minorHAnsi"/>
          <w:lang w:eastAsia="en-US"/>
        </w:rPr>
      </w:pPr>
      <w:bookmarkStart w:id="574" w:name="_Toc418179973"/>
      <w:r w:rsidRPr="004566DC">
        <w:rPr>
          <w:rFonts w:asciiTheme="minorHAnsi" w:hAnsiTheme="minorHAnsi"/>
        </w:rPr>
        <w:t xml:space="preserve">Incorrect </w:t>
      </w:r>
      <w:r w:rsidRPr="004566DC">
        <w:rPr>
          <w:rFonts w:asciiTheme="minorHAnsi" w:eastAsiaTheme="minorHAnsi" w:hAnsiTheme="minorHAnsi"/>
          <w:lang w:eastAsia="en-US"/>
        </w:rPr>
        <w:t>language</w:t>
      </w:r>
      <w:bookmarkEnd w:id="574"/>
    </w:p>
    <w:p w14:paraId="22B76854" w14:textId="1B680C05" w:rsidR="001F1A9D" w:rsidRPr="004566DC" w:rsidRDefault="001F1A9D" w:rsidP="001F1A9D">
      <w:pPr>
        <w:pStyle w:val="EndNoteBibliography"/>
        <w:rPr>
          <w:rFonts w:asciiTheme="minorHAnsi" w:hAnsiTheme="minorHAnsi"/>
        </w:rPr>
      </w:pPr>
      <w:r w:rsidRPr="004566DC">
        <w:rPr>
          <w:rFonts w:asciiTheme="minorHAnsi" w:hAnsiTheme="minorHAnsi"/>
        </w:rPr>
        <w:t xml:space="preserve">Aznarez, I, Bal, J, Casals, T, Estivill, X, Moral, N, Sands, D, Nunes, V, Sobczyńska-Tomaszewska, A, Tsui, LC &amp; Zielenski, J 2000, 'Analysis of mutations in the </w:t>
      </w:r>
      <w:r w:rsidR="00A21FD9" w:rsidRPr="004566DC">
        <w:rPr>
          <w:rFonts w:asciiTheme="minorHAnsi" w:hAnsiTheme="minorHAnsi"/>
          <w:i/>
        </w:rPr>
        <w:t>CFTR</w:t>
      </w:r>
      <w:r w:rsidRPr="004566DC">
        <w:rPr>
          <w:rFonts w:asciiTheme="minorHAnsi" w:hAnsiTheme="minorHAnsi"/>
        </w:rPr>
        <w:t xml:space="preserve"> gene in patients diagnosed with cystic fibrosis in Poland', </w:t>
      </w:r>
      <w:r w:rsidRPr="004566DC">
        <w:rPr>
          <w:rFonts w:asciiTheme="minorHAnsi" w:hAnsiTheme="minorHAnsi"/>
          <w:i/>
        </w:rPr>
        <w:t xml:space="preserve">Medycyna </w:t>
      </w:r>
      <w:r w:rsidR="005C23DC">
        <w:rPr>
          <w:rFonts w:asciiTheme="minorHAnsi" w:hAnsiTheme="minorHAnsi"/>
          <w:i/>
        </w:rPr>
        <w:t>W</w:t>
      </w:r>
      <w:r w:rsidRPr="004566DC">
        <w:rPr>
          <w:rFonts w:asciiTheme="minorHAnsi" w:hAnsiTheme="minorHAnsi"/>
          <w:i/>
        </w:rPr>
        <w:t xml:space="preserve">ieku </w:t>
      </w:r>
      <w:r w:rsidR="005C23DC">
        <w:rPr>
          <w:rFonts w:asciiTheme="minorHAnsi" w:hAnsiTheme="minorHAnsi"/>
          <w:i/>
        </w:rPr>
        <w:t>R</w:t>
      </w:r>
      <w:r w:rsidRPr="004566DC">
        <w:rPr>
          <w:rFonts w:asciiTheme="minorHAnsi" w:hAnsiTheme="minorHAnsi"/>
          <w:i/>
        </w:rPr>
        <w:t>ozwojowego</w:t>
      </w:r>
      <w:r w:rsidRPr="004566DC">
        <w:rPr>
          <w:rFonts w:asciiTheme="minorHAnsi" w:hAnsiTheme="minorHAnsi"/>
        </w:rPr>
        <w:t>, vol. 4, no. 2, pp. 149</w:t>
      </w:r>
      <w:r w:rsidR="005C23DC">
        <w:rPr>
          <w:rFonts w:asciiTheme="minorHAnsi" w:hAnsiTheme="minorHAnsi"/>
        </w:rPr>
        <w:t>–</w:t>
      </w:r>
      <w:r w:rsidRPr="004566DC">
        <w:rPr>
          <w:rFonts w:asciiTheme="minorHAnsi" w:hAnsiTheme="minorHAnsi"/>
        </w:rPr>
        <w:t>159.</w:t>
      </w:r>
    </w:p>
    <w:p w14:paraId="7A7EDB36" w14:textId="01A1C99A" w:rsidR="001F1A9D" w:rsidRPr="004566DC" w:rsidRDefault="001F1A9D" w:rsidP="001F1A9D">
      <w:pPr>
        <w:pStyle w:val="EndNoteBibliography"/>
        <w:rPr>
          <w:rFonts w:asciiTheme="minorHAnsi" w:hAnsiTheme="minorHAnsi"/>
        </w:rPr>
      </w:pPr>
      <w:r w:rsidRPr="004566DC">
        <w:rPr>
          <w:rFonts w:asciiTheme="minorHAnsi" w:hAnsiTheme="minorHAnsi"/>
        </w:rPr>
        <w:t xml:space="preserve">Baiget, M, Casals, T, Nunes, V &amp; Estivill, X 1989, 'Detection of carriers and prenatal diagnosis of cystic fibrosis in Spanish families using DNA markers', </w:t>
      </w:r>
      <w:r w:rsidRPr="004566DC">
        <w:rPr>
          <w:rFonts w:asciiTheme="minorHAnsi" w:hAnsiTheme="minorHAnsi"/>
          <w:i/>
        </w:rPr>
        <w:t>Medicina Clinica</w:t>
      </w:r>
      <w:r w:rsidRPr="004566DC">
        <w:rPr>
          <w:rFonts w:asciiTheme="minorHAnsi" w:hAnsiTheme="minorHAnsi"/>
        </w:rPr>
        <w:t>, vol. 92, no. 10, pp. 361</w:t>
      </w:r>
      <w:r w:rsidR="005C23DC">
        <w:rPr>
          <w:rFonts w:asciiTheme="minorHAnsi" w:hAnsiTheme="minorHAnsi"/>
        </w:rPr>
        <w:t>–</w:t>
      </w:r>
      <w:r w:rsidRPr="004566DC">
        <w:rPr>
          <w:rFonts w:asciiTheme="minorHAnsi" w:hAnsiTheme="minorHAnsi"/>
        </w:rPr>
        <w:t>363.</w:t>
      </w:r>
    </w:p>
    <w:p w14:paraId="4DAB167C" w14:textId="30AD942D" w:rsidR="001F1A9D" w:rsidRPr="004566DC" w:rsidRDefault="001F1A9D" w:rsidP="001F1A9D">
      <w:pPr>
        <w:pStyle w:val="EndNoteBibliography"/>
        <w:rPr>
          <w:rFonts w:asciiTheme="minorHAnsi" w:hAnsiTheme="minorHAnsi"/>
        </w:rPr>
      </w:pPr>
      <w:r w:rsidRPr="004566DC">
        <w:rPr>
          <w:rFonts w:asciiTheme="minorHAnsi" w:hAnsiTheme="minorHAnsi"/>
        </w:rPr>
        <w:t>Bal, J, Sobczyńska-Tomaszewska, A, Czerska, K, Obersztyn, E, Sands, D &amp; Mazurczak, T 2004, 'Prenatal diagnosis of cystic fibrosis in risk families in Poland</w:t>
      </w:r>
      <w:r w:rsidR="005C23DC">
        <w:rPr>
          <w:rFonts w:asciiTheme="minorHAnsi" w:hAnsiTheme="minorHAnsi"/>
        </w:rPr>
        <w:t xml:space="preserve">: </w:t>
      </w:r>
      <w:r w:rsidRPr="004566DC">
        <w:rPr>
          <w:rFonts w:asciiTheme="minorHAnsi" w:hAnsiTheme="minorHAnsi"/>
        </w:rPr>
        <w:t xml:space="preserve">results of molecular analysis', </w:t>
      </w:r>
      <w:r w:rsidRPr="004566DC">
        <w:rPr>
          <w:rFonts w:asciiTheme="minorHAnsi" w:hAnsiTheme="minorHAnsi"/>
          <w:i/>
        </w:rPr>
        <w:t xml:space="preserve">Medycyna </w:t>
      </w:r>
      <w:r w:rsidR="005C23DC">
        <w:rPr>
          <w:rFonts w:asciiTheme="minorHAnsi" w:hAnsiTheme="minorHAnsi"/>
          <w:i/>
        </w:rPr>
        <w:t>W</w:t>
      </w:r>
      <w:r w:rsidRPr="004566DC">
        <w:rPr>
          <w:rFonts w:asciiTheme="minorHAnsi" w:hAnsiTheme="minorHAnsi"/>
          <w:i/>
        </w:rPr>
        <w:t xml:space="preserve">ieku </w:t>
      </w:r>
      <w:r w:rsidR="005C23DC">
        <w:rPr>
          <w:rFonts w:asciiTheme="minorHAnsi" w:hAnsiTheme="minorHAnsi"/>
          <w:i/>
        </w:rPr>
        <w:t>R</w:t>
      </w:r>
      <w:r w:rsidRPr="004566DC">
        <w:rPr>
          <w:rFonts w:asciiTheme="minorHAnsi" w:hAnsiTheme="minorHAnsi"/>
          <w:i/>
        </w:rPr>
        <w:t>ozwojowego.</w:t>
      </w:r>
      <w:r w:rsidRPr="004566DC">
        <w:rPr>
          <w:rFonts w:asciiTheme="minorHAnsi" w:hAnsiTheme="minorHAnsi"/>
        </w:rPr>
        <w:t>, vol. 8, no. 4</w:t>
      </w:r>
      <w:r w:rsidR="005C23DC">
        <w:rPr>
          <w:rFonts w:asciiTheme="minorHAnsi" w:hAnsiTheme="minorHAnsi"/>
        </w:rPr>
        <w:t>,</w:t>
      </w:r>
      <w:r w:rsidRPr="004566DC">
        <w:rPr>
          <w:rFonts w:asciiTheme="minorHAnsi" w:hAnsiTheme="minorHAnsi"/>
        </w:rPr>
        <w:t xml:space="preserve"> Pt 1, pp. 871</w:t>
      </w:r>
      <w:r w:rsidR="005C23DC">
        <w:rPr>
          <w:rFonts w:asciiTheme="minorHAnsi" w:hAnsiTheme="minorHAnsi"/>
        </w:rPr>
        <w:t>–</w:t>
      </w:r>
      <w:r w:rsidRPr="004566DC">
        <w:rPr>
          <w:rFonts w:asciiTheme="minorHAnsi" w:hAnsiTheme="minorHAnsi"/>
        </w:rPr>
        <w:t>883.</w:t>
      </w:r>
    </w:p>
    <w:p w14:paraId="53D399E5" w14:textId="0E1A3DB2" w:rsidR="001F1A9D" w:rsidRPr="004566DC" w:rsidRDefault="001F1A9D" w:rsidP="001F1A9D">
      <w:pPr>
        <w:pStyle w:val="EndNoteBibliography"/>
        <w:rPr>
          <w:rFonts w:asciiTheme="minorHAnsi" w:hAnsiTheme="minorHAnsi"/>
        </w:rPr>
      </w:pPr>
      <w:r w:rsidRPr="004566DC">
        <w:rPr>
          <w:rFonts w:asciiTheme="minorHAnsi" w:hAnsiTheme="minorHAnsi"/>
        </w:rPr>
        <w:t xml:space="preserve">Baranov, VS, Gorbunova, VN, Ivaschenko, TE, Shwed, NY, Ossinovska, N, Kascheeva, TK, Lebedev, VM, Mihailov, AV, Vakharlovsky, VG &amp; Kuznetzova, TV 1991, 'Prenatal diagnosis of cystic fibrosis in the Soviet Union', </w:t>
      </w:r>
      <w:r w:rsidRPr="004566DC">
        <w:rPr>
          <w:rFonts w:asciiTheme="minorHAnsi" w:hAnsiTheme="minorHAnsi"/>
          <w:i/>
        </w:rPr>
        <w:t>Pediatre</w:t>
      </w:r>
      <w:r w:rsidRPr="004566DC">
        <w:rPr>
          <w:rFonts w:asciiTheme="minorHAnsi" w:hAnsiTheme="minorHAnsi"/>
        </w:rPr>
        <w:t>, vol. 27, no. 129, pp. 107</w:t>
      </w:r>
      <w:r w:rsidR="005C23DC">
        <w:rPr>
          <w:rFonts w:asciiTheme="minorHAnsi" w:hAnsiTheme="minorHAnsi"/>
        </w:rPr>
        <w:t>–</w:t>
      </w:r>
      <w:r w:rsidRPr="004566DC">
        <w:rPr>
          <w:rFonts w:asciiTheme="minorHAnsi" w:hAnsiTheme="minorHAnsi"/>
        </w:rPr>
        <w:t>114.</w:t>
      </w:r>
    </w:p>
    <w:p w14:paraId="2E28E7DF" w14:textId="31F30603" w:rsidR="001F1A9D" w:rsidRPr="004566DC" w:rsidRDefault="001F1A9D" w:rsidP="001F1A9D">
      <w:pPr>
        <w:pStyle w:val="EndNoteBibliography"/>
        <w:rPr>
          <w:rFonts w:asciiTheme="minorHAnsi" w:hAnsiTheme="minorHAnsi"/>
        </w:rPr>
      </w:pPr>
      <w:r w:rsidRPr="004566DC">
        <w:rPr>
          <w:rFonts w:asciiTheme="minorHAnsi" w:hAnsiTheme="minorHAnsi"/>
        </w:rPr>
        <w:t>Brandt, NJ, Schwartz, M &amp; Skovby, F 1994, 'Screening for carriers of cystic fibrosis</w:t>
      </w:r>
      <w:r w:rsidR="005C23DC">
        <w:rPr>
          <w:rFonts w:asciiTheme="minorHAnsi" w:hAnsiTheme="minorHAnsi"/>
        </w:rPr>
        <w:t>:</w:t>
      </w:r>
      <w:r w:rsidRPr="004566DC">
        <w:rPr>
          <w:rFonts w:asciiTheme="minorHAnsi" w:hAnsiTheme="minorHAnsi"/>
        </w:rPr>
        <w:t xml:space="preserve"> </w:t>
      </w:r>
      <w:r w:rsidR="005C23DC">
        <w:rPr>
          <w:rFonts w:asciiTheme="minorHAnsi" w:hAnsiTheme="minorHAnsi"/>
        </w:rPr>
        <w:t>r</w:t>
      </w:r>
      <w:r w:rsidRPr="004566DC">
        <w:rPr>
          <w:rFonts w:asciiTheme="minorHAnsi" w:hAnsiTheme="minorHAnsi"/>
        </w:rPr>
        <w:t xml:space="preserve">esult of a pilot study among pregnant women', </w:t>
      </w:r>
      <w:r w:rsidRPr="004566DC">
        <w:rPr>
          <w:rFonts w:asciiTheme="minorHAnsi" w:hAnsiTheme="minorHAnsi"/>
          <w:i/>
        </w:rPr>
        <w:t>Ugeskrift for Laeger</w:t>
      </w:r>
      <w:r w:rsidRPr="004566DC">
        <w:rPr>
          <w:rFonts w:asciiTheme="minorHAnsi" w:hAnsiTheme="minorHAnsi"/>
        </w:rPr>
        <w:t>, vol. 156, no. 25, pp. 3751</w:t>
      </w:r>
      <w:r w:rsidR="005C23DC">
        <w:rPr>
          <w:rFonts w:asciiTheme="minorHAnsi" w:hAnsiTheme="minorHAnsi"/>
        </w:rPr>
        <w:t>–</w:t>
      </w:r>
      <w:r w:rsidRPr="004566DC">
        <w:rPr>
          <w:rFonts w:asciiTheme="minorHAnsi" w:hAnsiTheme="minorHAnsi"/>
        </w:rPr>
        <w:t>3754, 3757.</w:t>
      </w:r>
    </w:p>
    <w:p w14:paraId="1DCBC8C6" w14:textId="05822E86" w:rsidR="001F1A9D" w:rsidRPr="004566DC" w:rsidRDefault="001F1A9D" w:rsidP="001F1A9D">
      <w:pPr>
        <w:pStyle w:val="EndNoteBibliography"/>
        <w:rPr>
          <w:rFonts w:asciiTheme="minorHAnsi" w:hAnsiTheme="minorHAnsi"/>
        </w:rPr>
      </w:pPr>
      <w:r w:rsidRPr="004566DC">
        <w:rPr>
          <w:rFonts w:asciiTheme="minorHAnsi" w:hAnsiTheme="minorHAnsi"/>
        </w:rPr>
        <w:t xml:space="preserve">Ferenczi, A, Homolya, V, Szakács, G, Németh, K, Kiss, E, Váradi, A &amp; Fekete, G 1997, 'Clinical application of analysis of microsatellite markers in the prenatal diagnosis of cystic fibrosis', </w:t>
      </w:r>
      <w:r w:rsidRPr="004566DC">
        <w:rPr>
          <w:rFonts w:asciiTheme="minorHAnsi" w:hAnsiTheme="minorHAnsi"/>
          <w:i/>
        </w:rPr>
        <w:t xml:space="preserve">Orvosi </w:t>
      </w:r>
      <w:r w:rsidR="005C23DC">
        <w:rPr>
          <w:rFonts w:asciiTheme="minorHAnsi" w:hAnsiTheme="minorHAnsi"/>
          <w:i/>
        </w:rPr>
        <w:t>H</w:t>
      </w:r>
      <w:r w:rsidRPr="004566DC">
        <w:rPr>
          <w:rFonts w:asciiTheme="minorHAnsi" w:hAnsiTheme="minorHAnsi"/>
          <w:i/>
        </w:rPr>
        <w:t>etilap</w:t>
      </w:r>
      <w:r w:rsidRPr="004566DC">
        <w:rPr>
          <w:rFonts w:asciiTheme="minorHAnsi" w:hAnsiTheme="minorHAnsi"/>
        </w:rPr>
        <w:t>, vol. 138, no. 4, pp. 209</w:t>
      </w:r>
      <w:r w:rsidR="005C23DC">
        <w:rPr>
          <w:rFonts w:asciiTheme="minorHAnsi" w:hAnsiTheme="minorHAnsi"/>
        </w:rPr>
        <w:t>–</w:t>
      </w:r>
      <w:r w:rsidRPr="004566DC">
        <w:rPr>
          <w:rFonts w:asciiTheme="minorHAnsi" w:hAnsiTheme="minorHAnsi"/>
        </w:rPr>
        <w:t>213.</w:t>
      </w:r>
    </w:p>
    <w:p w14:paraId="54BE6162" w14:textId="6E3F8A11" w:rsidR="001F1A9D" w:rsidRPr="004566DC" w:rsidRDefault="001F1A9D" w:rsidP="001F1A9D">
      <w:pPr>
        <w:pStyle w:val="EndNoteBibliography"/>
        <w:rPr>
          <w:rFonts w:asciiTheme="minorHAnsi" w:hAnsiTheme="minorHAnsi"/>
        </w:rPr>
      </w:pPr>
      <w:r w:rsidRPr="004566DC">
        <w:rPr>
          <w:rFonts w:asciiTheme="minorHAnsi" w:hAnsiTheme="minorHAnsi"/>
        </w:rPr>
        <w:t xml:space="preserve">Gécz, J, Magdolen, P, Tomová, V, Ondrejcák, M, Hruskovic, I, Hinst, J &amp; Ferák, V 1992, 'Rapid prenatal diagnosis of cystic fibrosis using the polymerase chain reaction: results of the first 5 cases', </w:t>
      </w:r>
      <w:r w:rsidRPr="004566DC">
        <w:rPr>
          <w:rFonts w:asciiTheme="minorHAnsi" w:hAnsiTheme="minorHAnsi"/>
          <w:i/>
        </w:rPr>
        <w:t>Bratislavske Lekarske Listy</w:t>
      </w:r>
      <w:r w:rsidRPr="004566DC">
        <w:rPr>
          <w:rFonts w:asciiTheme="minorHAnsi" w:hAnsiTheme="minorHAnsi"/>
        </w:rPr>
        <w:t>, vol. 93, no. 2, pp. 76</w:t>
      </w:r>
      <w:r w:rsidR="00B15BD8">
        <w:rPr>
          <w:rFonts w:asciiTheme="minorHAnsi" w:hAnsiTheme="minorHAnsi"/>
        </w:rPr>
        <w:t>–</w:t>
      </w:r>
      <w:r w:rsidRPr="004566DC">
        <w:rPr>
          <w:rFonts w:asciiTheme="minorHAnsi" w:hAnsiTheme="minorHAnsi"/>
        </w:rPr>
        <w:t>81.</w:t>
      </w:r>
    </w:p>
    <w:p w14:paraId="7F71FB65" w14:textId="16A0A1A5" w:rsidR="001F1A9D" w:rsidRPr="004566DC" w:rsidRDefault="001F1A9D" w:rsidP="001F1A9D">
      <w:pPr>
        <w:pStyle w:val="EndNoteBibliography"/>
        <w:rPr>
          <w:rFonts w:asciiTheme="minorHAnsi" w:hAnsiTheme="minorHAnsi"/>
        </w:rPr>
      </w:pPr>
      <w:r w:rsidRPr="004566DC">
        <w:rPr>
          <w:rFonts w:asciiTheme="minorHAnsi" w:hAnsiTheme="minorHAnsi"/>
        </w:rPr>
        <w:t xml:space="preserve">Houdayer, C, Cazeneuve, C, Tredano, M, Meunier, C, Aymard, P, Goossens, M &amp; Feldmann, D 1998, 'Clinical and analytical evaluation of CF(12)m PCR kit', </w:t>
      </w:r>
      <w:r w:rsidRPr="004566DC">
        <w:rPr>
          <w:rFonts w:asciiTheme="minorHAnsi" w:hAnsiTheme="minorHAnsi"/>
          <w:i/>
        </w:rPr>
        <w:t>Immuno-Analyse et Biologie Specialisee</w:t>
      </w:r>
      <w:r w:rsidRPr="004566DC">
        <w:rPr>
          <w:rFonts w:asciiTheme="minorHAnsi" w:hAnsiTheme="minorHAnsi"/>
        </w:rPr>
        <w:t>, vol. 13, no. 4, pp. 251</w:t>
      </w:r>
      <w:r w:rsidR="00B15BD8">
        <w:rPr>
          <w:rFonts w:asciiTheme="minorHAnsi" w:hAnsiTheme="minorHAnsi"/>
        </w:rPr>
        <w:t>–</w:t>
      </w:r>
      <w:r w:rsidRPr="004566DC">
        <w:rPr>
          <w:rFonts w:asciiTheme="minorHAnsi" w:hAnsiTheme="minorHAnsi"/>
        </w:rPr>
        <w:t>255.</w:t>
      </w:r>
    </w:p>
    <w:p w14:paraId="1A77B003" w14:textId="70C8FE6F" w:rsidR="001F1A9D" w:rsidRDefault="001F1A9D" w:rsidP="001F1A9D">
      <w:pPr>
        <w:pStyle w:val="EndNoteBibliography"/>
        <w:rPr>
          <w:rFonts w:asciiTheme="minorHAnsi" w:hAnsiTheme="minorHAnsi"/>
        </w:rPr>
      </w:pPr>
      <w:r w:rsidRPr="004566DC">
        <w:rPr>
          <w:rFonts w:asciiTheme="minorHAnsi" w:hAnsiTheme="minorHAnsi"/>
        </w:rPr>
        <w:t xml:space="preserve">Kanavakis, E &amp; Tzetis, M 2006, 'Screening for cystic fibrosis mutations: </w:t>
      </w:r>
      <w:r w:rsidR="00B15BD8">
        <w:rPr>
          <w:rFonts w:asciiTheme="minorHAnsi" w:hAnsiTheme="minorHAnsi"/>
        </w:rPr>
        <w:t>m</w:t>
      </w:r>
      <w:r w:rsidRPr="004566DC">
        <w:rPr>
          <w:rFonts w:asciiTheme="minorHAnsi" w:hAnsiTheme="minorHAnsi"/>
        </w:rPr>
        <w:t>ethods for molecular diagnosis, prenatal diagnosis and carrier identification amongst high-risk individuals</w:t>
      </w:r>
      <w:r w:rsidR="00B15BD8">
        <w:rPr>
          <w:rFonts w:asciiTheme="minorHAnsi" w:hAnsiTheme="minorHAnsi"/>
        </w:rPr>
        <w:t>—t</w:t>
      </w:r>
      <w:r w:rsidRPr="004566DC">
        <w:rPr>
          <w:rFonts w:asciiTheme="minorHAnsi" w:hAnsiTheme="minorHAnsi"/>
        </w:rPr>
        <w:t xml:space="preserve">he Greek experience', </w:t>
      </w:r>
      <w:r w:rsidRPr="004566DC">
        <w:rPr>
          <w:rFonts w:asciiTheme="minorHAnsi" w:hAnsiTheme="minorHAnsi"/>
          <w:i/>
        </w:rPr>
        <w:t>Archives of Hellenic Medicine</w:t>
      </w:r>
      <w:r w:rsidRPr="004566DC">
        <w:rPr>
          <w:rFonts w:asciiTheme="minorHAnsi" w:hAnsiTheme="minorHAnsi"/>
        </w:rPr>
        <w:t>, vol. 23, no. 5, pp. 455</w:t>
      </w:r>
      <w:r w:rsidR="00B15BD8">
        <w:rPr>
          <w:rFonts w:asciiTheme="minorHAnsi" w:hAnsiTheme="minorHAnsi"/>
        </w:rPr>
        <w:t>–</w:t>
      </w:r>
      <w:r w:rsidRPr="004566DC">
        <w:rPr>
          <w:rFonts w:asciiTheme="minorHAnsi" w:hAnsiTheme="minorHAnsi"/>
        </w:rPr>
        <w:t>472.</w:t>
      </w:r>
    </w:p>
    <w:p w14:paraId="0ECB2F84" w14:textId="4E7CF242" w:rsidR="00CA3F06" w:rsidRPr="004566DC" w:rsidRDefault="00CA3F06" w:rsidP="001F1A9D">
      <w:pPr>
        <w:pStyle w:val="EndNoteBibliography"/>
        <w:rPr>
          <w:rFonts w:asciiTheme="minorHAnsi" w:hAnsiTheme="minorHAnsi"/>
        </w:rPr>
      </w:pPr>
      <w:r w:rsidRPr="004566DC">
        <w:rPr>
          <w:rFonts w:asciiTheme="minorHAnsi" w:hAnsiTheme="minorHAnsi"/>
        </w:rPr>
        <w:t xml:space="preserve">Németi, M, Papp, C, Tóth-Pál, E &amp; Papp, Z 1992, 'Prenatal diagnosis of cystic fibrosis by mutational analysis', </w:t>
      </w:r>
      <w:r w:rsidRPr="004566DC">
        <w:rPr>
          <w:rFonts w:asciiTheme="minorHAnsi" w:hAnsiTheme="minorHAnsi"/>
          <w:i/>
        </w:rPr>
        <w:t xml:space="preserve">Orvosi </w:t>
      </w:r>
      <w:r w:rsidR="00B15BD8">
        <w:rPr>
          <w:rFonts w:asciiTheme="minorHAnsi" w:hAnsiTheme="minorHAnsi"/>
          <w:i/>
        </w:rPr>
        <w:t>H</w:t>
      </w:r>
      <w:r w:rsidRPr="004566DC">
        <w:rPr>
          <w:rFonts w:asciiTheme="minorHAnsi" w:hAnsiTheme="minorHAnsi"/>
          <w:i/>
        </w:rPr>
        <w:t>etilap</w:t>
      </w:r>
      <w:r w:rsidRPr="004566DC">
        <w:rPr>
          <w:rFonts w:asciiTheme="minorHAnsi" w:hAnsiTheme="minorHAnsi"/>
        </w:rPr>
        <w:t>, v</w:t>
      </w:r>
      <w:r>
        <w:rPr>
          <w:rFonts w:asciiTheme="minorHAnsi" w:hAnsiTheme="minorHAnsi"/>
        </w:rPr>
        <w:t>ol. 133, no. 23, pp. 1433</w:t>
      </w:r>
      <w:r w:rsidR="00B15BD8">
        <w:rPr>
          <w:rFonts w:asciiTheme="minorHAnsi" w:hAnsiTheme="minorHAnsi"/>
        </w:rPr>
        <w:t>–</w:t>
      </w:r>
      <w:r>
        <w:rPr>
          <w:rFonts w:asciiTheme="minorHAnsi" w:hAnsiTheme="minorHAnsi"/>
        </w:rPr>
        <w:t>1435.</w:t>
      </w:r>
    </w:p>
    <w:p w14:paraId="7CA835A8" w14:textId="77777777" w:rsidR="001E6713" w:rsidRPr="004566DC" w:rsidRDefault="001E6713" w:rsidP="006F73C4">
      <w:pPr>
        <w:pStyle w:val="Heading2"/>
        <w:rPr>
          <w:rFonts w:asciiTheme="minorHAnsi" w:eastAsiaTheme="minorHAnsi" w:hAnsiTheme="minorHAnsi"/>
          <w:lang w:eastAsia="en-US"/>
        </w:rPr>
      </w:pPr>
      <w:bookmarkStart w:id="575" w:name="_Toc418179974"/>
      <w:r w:rsidRPr="004566DC">
        <w:rPr>
          <w:rFonts w:asciiTheme="minorHAnsi" w:eastAsiaTheme="minorHAnsi" w:hAnsiTheme="minorHAnsi"/>
          <w:lang w:eastAsia="en-US"/>
        </w:rPr>
        <w:lastRenderedPageBreak/>
        <w:t>More recent data available</w:t>
      </w:r>
      <w:bookmarkEnd w:id="575"/>
    </w:p>
    <w:p w14:paraId="5C1F74AD" w14:textId="12D571ED" w:rsidR="001E6713" w:rsidRPr="004566DC" w:rsidRDefault="001E6713" w:rsidP="001E6713">
      <w:pPr>
        <w:pStyle w:val="EndNoteBibliography"/>
        <w:rPr>
          <w:rFonts w:asciiTheme="minorHAnsi" w:hAnsiTheme="minorHAnsi"/>
        </w:rPr>
      </w:pPr>
      <w:r w:rsidRPr="004566DC">
        <w:rPr>
          <w:rFonts w:asciiTheme="minorHAnsi" w:hAnsiTheme="minorHAnsi"/>
        </w:rPr>
        <w:t xml:space="preserve">Cuppens, H &amp; Cassiman, JJ 1995, 'A quality control study of </w:t>
      </w:r>
      <w:r w:rsidR="00FD37D3" w:rsidRPr="004566DC">
        <w:rPr>
          <w:rFonts w:asciiTheme="minorHAnsi" w:hAnsiTheme="minorHAnsi"/>
        </w:rPr>
        <w:t>CFTR</w:t>
      </w:r>
      <w:r w:rsidRPr="004566DC">
        <w:rPr>
          <w:rFonts w:asciiTheme="minorHAnsi" w:hAnsiTheme="minorHAnsi"/>
        </w:rPr>
        <w:t xml:space="preserve"> mutation screening in 40 different European laboratories</w:t>
      </w:r>
      <w:r w:rsidR="00AB0B10">
        <w:rPr>
          <w:rFonts w:asciiTheme="minorHAnsi" w:hAnsiTheme="minorHAnsi"/>
        </w:rPr>
        <w:t>:</w:t>
      </w:r>
      <w:r w:rsidRPr="004566DC">
        <w:rPr>
          <w:rFonts w:asciiTheme="minorHAnsi" w:hAnsiTheme="minorHAnsi"/>
        </w:rPr>
        <w:t xml:space="preserve"> European Concerted Action on Cystic Fibrosis', </w:t>
      </w:r>
      <w:r w:rsidRPr="004566DC">
        <w:rPr>
          <w:rFonts w:asciiTheme="minorHAnsi" w:hAnsiTheme="minorHAnsi"/>
          <w:i/>
        </w:rPr>
        <w:t>European Journal of Human Genetics</w:t>
      </w:r>
      <w:r w:rsidRPr="004566DC">
        <w:rPr>
          <w:rFonts w:asciiTheme="minorHAnsi" w:hAnsiTheme="minorHAnsi"/>
        </w:rPr>
        <w:t>, vol. 3, no. 4, pp. 235</w:t>
      </w:r>
      <w:r w:rsidR="00136F29">
        <w:rPr>
          <w:rFonts w:asciiTheme="minorHAnsi" w:hAnsiTheme="minorHAnsi"/>
        </w:rPr>
        <w:t>–</w:t>
      </w:r>
      <w:r w:rsidRPr="004566DC">
        <w:rPr>
          <w:rFonts w:asciiTheme="minorHAnsi" w:hAnsiTheme="minorHAnsi"/>
        </w:rPr>
        <w:t>245.</w:t>
      </w:r>
    </w:p>
    <w:p w14:paraId="3DCBFA6C" w14:textId="77777777" w:rsidR="001E6713" w:rsidRPr="004566DC" w:rsidRDefault="001E6713" w:rsidP="006F73C4">
      <w:pPr>
        <w:pStyle w:val="Heading2"/>
        <w:rPr>
          <w:rFonts w:asciiTheme="minorHAnsi" w:eastAsiaTheme="minorHAnsi" w:hAnsiTheme="minorHAnsi"/>
          <w:lang w:eastAsia="en-US"/>
        </w:rPr>
      </w:pPr>
      <w:bookmarkStart w:id="576" w:name="_Toc418179975"/>
      <w:r w:rsidRPr="004566DC">
        <w:rPr>
          <w:rFonts w:asciiTheme="minorHAnsi" w:eastAsiaTheme="minorHAnsi" w:hAnsiTheme="minorHAnsi"/>
          <w:lang w:eastAsia="en-US"/>
        </w:rPr>
        <w:t>Unable to extract data</w:t>
      </w:r>
      <w:bookmarkEnd w:id="576"/>
    </w:p>
    <w:p w14:paraId="5552D873" w14:textId="21805536" w:rsidR="001E6713" w:rsidRPr="004566DC" w:rsidRDefault="001E6713" w:rsidP="001E6713">
      <w:pPr>
        <w:pStyle w:val="EndNoteBibliography"/>
        <w:rPr>
          <w:rFonts w:asciiTheme="minorHAnsi" w:hAnsiTheme="minorHAnsi"/>
        </w:rPr>
      </w:pPr>
      <w:r w:rsidRPr="004566DC">
        <w:rPr>
          <w:rFonts w:asciiTheme="minorHAnsi" w:hAnsiTheme="minorHAnsi"/>
        </w:rPr>
        <w:t>Audrezet, MP, Dabricot, A, Le Marechal, C &amp; Ferec, C 2008, 'Validation of high-resolution DNA melting analysis for mutation scanning of the cystic fibrosis transmembrane conductance regulator (</w:t>
      </w:r>
      <w:r w:rsidR="00A21FD9" w:rsidRPr="004566DC">
        <w:rPr>
          <w:rFonts w:asciiTheme="minorHAnsi" w:hAnsiTheme="minorHAnsi"/>
          <w:i/>
        </w:rPr>
        <w:t>CFTR</w:t>
      </w:r>
      <w:r w:rsidRPr="004566DC">
        <w:rPr>
          <w:rFonts w:asciiTheme="minorHAnsi" w:hAnsiTheme="minorHAnsi"/>
        </w:rPr>
        <w:t xml:space="preserve">) gene', </w:t>
      </w:r>
      <w:r w:rsidRPr="004566DC">
        <w:rPr>
          <w:rFonts w:asciiTheme="minorHAnsi" w:hAnsiTheme="minorHAnsi"/>
          <w:i/>
        </w:rPr>
        <w:t>Journal of Molecular Diagnostics</w:t>
      </w:r>
      <w:r w:rsidRPr="004566DC">
        <w:rPr>
          <w:rFonts w:asciiTheme="minorHAnsi" w:hAnsiTheme="minorHAnsi"/>
        </w:rPr>
        <w:t>, vol. 10, no. 5, pp. 424</w:t>
      </w:r>
      <w:r w:rsidR="00136F29">
        <w:rPr>
          <w:rFonts w:asciiTheme="minorHAnsi" w:hAnsiTheme="minorHAnsi"/>
        </w:rPr>
        <w:t>–</w:t>
      </w:r>
      <w:r w:rsidRPr="004566DC">
        <w:rPr>
          <w:rFonts w:asciiTheme="minorHAnsi" w:hAnsiTheme="minorHAnsi"/>
        </w:rPr>
        <w:t>434.</w:t>
      </w:r>
    </w:p>
    <w:p w14:paraId="3E2C1B9E" w14:textId="5351B05D" w:rsidR="001E6713" w:rsidRPr="004566DC" w:rsidRDefault="001E6713" w:rsidP="001E6713">
      <w:pPr>
        <w:pStyle w:val="EndNoteBibliography"/>
        <w:rPr>
          <w:rFonts w:asciiTheme="minorHAnsi" w:hAnsiTheme="minorHAnsi"/>
        </w:rPr>
      </w:pPr>
      <w:r w:rsidRPr="004566DC">
        <w:rPr>
          <w:rFonts w:asciiTheme="minorHAnsi" w:hAnsiTheme="minorHAnsi"/>
        </w:rPr>
        <w:t xml:space="preserve">Casals, T, Gimenez, J, Ramos, MD, Nunes, V &amp; Estivill, X 1996, 'Prenatal diagnosis of cystic fibrosis in a highly heterogeneous population', </w:t>
      </w:r>
      <w:r w:rsidRPr="004566DC">
        <w:rPr>
          <w:rFonts w:asciiTheme="minorHAnsi" w:hAnsiTheme="minorHAnsi"/>
          <w:i/>
        </w:rPr>
        <w:t>Prenatal Diagnosis</w:t>
      </w:r>
      <w:r w:rsidRPr="004566DC">
        <w:rPr>
          <w:rFonts w:asciiTheme="minorHAnsi" w:hAnsiTheme="minorHAnsi"/>
        </w:rPr>
        <w:t>, vol. 16, no. 3, pp. 215</w:t>
      </w:r>
      <w:r w:rsidR="00136F29">
        <w:rPr>
          <w:rFonts w:asciiTheme="minorHAnsi" w:hAnsiTheme="minorHAnsi"/>
        </w:rPr>
        <w:t>–</w:t>
      </w:r>
      <w:r w:rsidRPr="004566DC">
        <w:rPr>
          <w:rFonts w:asciiTheme="minorHAnsi" w:hAnsiTheme="minorHAnsi"/>
        </w:rPr>
        <w:t>222.</w:t>
      </w:r>
    </w:p>
    <w:p w14:paraId="6B005C4B" w14:textId="7FE7BF04" w:rsidR="001E6713" w:rsidRPr="004566DC" w:rsidRDefault="001E6713" w:rsidP="001E6713">
      <w:pPr>
        <w:pStyle w:val="EndNoteBibliography"/>
        <w:rPr>
          <w:rFonts w:asciiTheme="minorHAnsi" w:hAnsiTheme="minorHAnsi"/>
        </w:rPr>
      </w:pPr>
      <w:r w:rsidRPr="004566DC">
        <w:rPr>
          <w:rFonts w:asciiTheme="minorHAnsi" w:hAnsiTheme="minorHAnsi"/>
        </w:rPr>
        <w:t xml:space="preserve">Costes, B, Fanen, P, Goossens, M &amp; Ghanem, N 1993, 'A rapid, efficient, and sensitive assay for simultaneous detection of multiple cystic fibrosis mutations', </w:t>
      </w:r>
      <w:r w:rsidRPr="004566DC">
        <w:rPr>
          <w:rFonts w:asciiTheme="minorHAnsi" w:hAnsiTheme="minorHAnsi"/>
          <w:i/>
        </w:rPr>
        <w:t>Human Mutation</w:t>
      </w:r>
      <w:r w:rsidRPr="004566DC">
        <w:rPr>
          <w:rFonts w:asciiTheme="minorHAnsi" w:hAnsiTheme="minorHAnsi"/>
        </w:rPr>
        <w:t>, vol. 2, no. 3, pp. 185</w:t>
      </w:r>
      <w:r w:rsidR="00136F29">
        <w:rPr>
          <w:rFonts w:asciiTheme="minorHAnsi" w:hAnsiTheme="minorHAnsi"/>
        </w:rPr>
        <w:t>–</w:t>
      </w:r>
      <w:r w:rsidRPr="004566DC">
        <w:rPr>
          <w:rFonts w:asciiTheme="minorHAnsi" w:hAnsiTheme="minorHAnsi"/>
        </w:rPr>
        <w:t>191.</w:t>
      </w:r>
    </w:p>
    <w:p w14:paraId="5A0CDA3A" w14:textId="7897F77B" w:rsidR="00A21A37" w:rsidRPr="004566DC" w:rsidRDefault="00A21A37" w:rsidP="00A21A37">
      <w:pPr>
        <w:pStyle w:val="EndNoteBibliography"/>
        <w:rPr>
          <w:rFonts w:asciiTheme="minorHAnsi" w:hAnsiTheme="minorHAnsi"/>
        </w:rPr>
      </w:pPr>
      <w:r w:rsidRPr="004566DC">
        <w:rPr>
          <w:rFonts w:asciiTheme="minorHAnsi" w:hAnsiTheme="minorHAnsi"/>
        </w:rPr>
        <w:t xml:space="preserve">Dal'Maso, VB, Mallmann, L, Siebert, M, Simon, L, Saraiva-Pereira, ML &amp; Dalcin, PTR 2013, 'Diagnostic contribution of molecular analysis of the cystic fibrosis transmembrane conductance regulator gene in patients suspected of having mild or atypical cystic fibrosis', </w:t>
      </w:r>
      <w:r w:rsidRPr="004566DC">
        <w:rPr>
          <w:rFonts w:asciiTheme="minorHAnsi" w:hAnsiTheme="minorHAnsi"/>
          <w:i/>
        </w:rPr>
        <w:t>Jornal Brasileiro de Pneumologia</w:t>
      </w:r>
      <w:r w:rsidRPr="004566DC">
        <w:rPr>
          <w:rFonts w:asciiTheme="minorHAnsi" w:hAnsiTheme="minorHAnsi"/>
        </w:rPr>
        <w:t>, vol. 39, no. 2, pp. 181</w:t>
      </w:r>
      <w:r w:rsidR="00136F29">
        <w:rPr>
          <w:rFonts w:asciiTheme="minorHAnsi" w:hAnsiTheme="minorHAnsi"/>
        </w:rPr>
        <w:t>–</w:t>
      </w:r>
      <w:r w:rsidRPr="004566DC">
        <w:rPr>
          <w:rFonts w:asciiTheme="minorHAnsi" w:hAnsiTheme="minorHAnsi"/>
        </w:rPr>
        <w:t>189.</w:t>
      </w:r>
    </w:p>
    <w:p w14:paraId="73F297C4" w14:textId="4B0F6A66" w:rsidR="001E6713" w:rsidRPr="004566DC" w:rsidRDefault="001E6713" w:rsidP="001E6713">
      <w:pPr>
        <w:pStyle w:val="EndNoteBibliography"/>
        <w:rPr>
          <w:rFonts w:asciiTheme="minorHAnsi" w:hAnsiTheme="minorHAnsi"/>
        </w:rPr>
      </w:pPr>
      <w:r w:rsidRPr="004566DC">
        <w:rPr>
          <w:rFonts w:asciiTheme="minorHAnsi" w:hAnsiTheme="minorHAnsi"/>
        </w:rPr>
        <w:t xml:space="preserve">D'Apice, MR, Gambardella, S, Bengala, M, Russo, S, Nardone, AM, Lucidi, V, Sangiuolo, F &amp; Novelli, G 2004, 'Molecular analysis using DHPLC of cystic fibrosis: </w:t>
      </w:r>
      <w:r w:rsidR="00136F29">
        <w:rPr>
          <w:rFonts w:asciiTheme="minorHAnsi" w:hAnsiTheme="minorHAnsi"/>
        </w:rPr>
        <w:t>i</w:t>
      </w:r>
      <w:r w:rsidRPr="004566DC">
        <w:rPr>
          <w:rFonts w:asciiTheme="minorHAnsi" w:hAnsiTheme="minorHAnsi"/>
        </w:rPr>
        <w:t xml:space="preserve">ncrease of the mutation detection rate among the affected population in </w:t>
      </w:r>
      <w:r w:rsidR="00AB0B10">
        <w:rPr>
          <w:rFonts w:asciiTheme="minorHAnsi" w:hAnsiTheme="minorHAnsi"/>
        </w:rPr>
        <w:t>c</w:t>
      </w:r>
      <w:r w:rsidRPr="004566DC">
        <w:rPr>
          <w:rFonts w:asciiTheme="minorHAnsi" w:hAnsiTheme="minorHAnsi"/>
        </w:rPr>
        <w:t xml:space="preserve">entral Italy', </w:t>
      </w:r>
      <w:r w:rsidRPr="004566DC">
        <w:rPr>
          <w:rFonts w:asciiTheme="minorHAnsi" w:hAnsiTheme="minorHAnsi"/>
          <w:i/>
        </w:rPr>
        <w:t>BMC Medical Genetics</w:t>
      </w:r>
      <w:r w:rsidRPr="004566DC">
        <w:rPr>
          <w:rFonts w:asciiTheme="minorHAnsi" w:hAnsiTheme="minorHAnsi"/>
        </w:rPr>
        <w:t>, vol. 5</w:t>
      </w:r>
      <w:r w:rsidR="00136F29">
        <w:rPr>
          <w:rFonts w:asciiTheme="minorHAnsi" w:hAnsiTheme="minorHAnsi"/>
        </w:rPr>
        <w:t>, p. 8</w:t>
      </w:r>
      <w:r w:rsidRPr="004566DC">
        <w:rPr>
          <w:rFonts w:asciiTheme="minorHAnsi" w:hAnsiTheme="minorHAnsi"/>
        </w:rPr>
        <w:t>.</w:t>
      </w:r>
    </w:p>
    <w:p w14:paraId="3102AE91" w14:textId="2971ACD6" w:rsidR="001E6713" w:rsidRPr="004566DC" w:rsidRDefault="001E6713" w:rsidP="001E6713">
      <w:pPr>
        <w:pStyle w:val="EndNoteBibliography"/>
        <w:rPr>
          <w:rFonts w:asciiTheme="minorHAnsi" w:hAnsiTheme="minorHAnsi"/>
        </w:rPr>
      </w:pPr>
      <w:r w:rsidRPr="004566DC">
        <w:rPr>
          <w:rFonts w:asciiTheme="minorHAnsi" w:hAnsiTheme="minorHAnsi"/>
        </w:rPr>
        <w:t xml:space="preserve">El-Harith, EHA, Stuhrmann, M, Dork, T, Eskandarani, HA &amp; Schmidtke, J 1998, 'PCR-based analysis of cystic fibrosis mutations specific for Saudi patients', </w:t>
      </w:r>
      <w:r w:rsidRPr="004566DC">
        <w:rPr>
          <w:rFonts w:asciiTheme="minorHAnsi" w:hAnsiTheme="minorHAnsi"/>
          <w:i/>
        </w:rPr>
        <w:t>Saudi Medical Journal</w:t>
      </w:r>
      <w:r w:rsidRPr="004566DC">
        <w:rPr>
          <w:rFonts w:asciiTheme="minorHAnsi" w:hAnsiTheme="minorHAnsi"/>
        </w:rPr>
        <w:t>, vol. 19, no. 2, pp. 148</w:t>
      </w:r>
      <w:r w:rsidR="00136F29">
        <w:rPr>
          <w:rFonts w:asciiTheme="minorHAnsi" w:hAnsiTheme="minorHAnsi"/>
        </w:rPr>
        <w:t>–</w:t>
      </w:r>
      <w:r w:rsidRPr="004566DC">
        <w:rPr>
          <w:rFonts w:asciiTheme="minorHAnsi" w:hAnsiTheme="minorHAnsi"/>
        </w:rPr>
        <w:t>152.</w:t>
      </w:r>
    </w:p>
    <w:p w14:paraId="5DF175E0" w14:textId="09006929" w:rsidR="001E6713" w:rsidRPr="004566DC" w:rsidRDefault="001E6713" w:rsidP="001E6713">
      <w:pPr>
        <w:pStyle w:val="EndNoteBibliography"/>
        <w:rPr>
          <w:rFonts w:asciiTheme="minorHAnsi" w:hAnsiTheme="minorHAnsi"/>
        </w:rPr>
      </w:pPr>
      <w:r w:rsidRPr="004566DC">
        <w:rPr>
          <w:rFonts w:asciiTheme="minorHAnsi" w:hAnsiTheme="minorHAnsi"/>
        </w:rPr>
        <w:t>Fanen, P, Ghanem, N, Vidaud, M, Besmond, C, Martin, J, Costes, B, Plassa, F &amp; Goossens, M 1992, 'Molecular characterization of cystic fibrosis: 16 Novel mutations identified by analysis of the whole cystic fibrosis conductance transmembrane regulator (</w:t>
      </w:r>
      <w:r w:rsidR="00A21FD9" w:rsidRPr="004566DC">
        <w:rPr>
          <w:rFonts w:asciiTheme="minorHAnsi" w:hAnsiTheme="minorHAnsi"/>
          <w:i/>
        </w:rPr>
        <w:t>CFTR</w:t>
      </w:r>
      <w:r w:rsidRPr="004566DC">
        <w:rPr>
          <w:rFonts w:asciiTheme="minorHAnsi" w:hAnsiTheme="minorHAnsi"/>
        </w:rPr>
        <w:t xml:space="preserve">) coding regions and splice site junctions', </w:t>
      </w:r>
      <w:r w:rsidRPr="004566DC">
        <w:rPr>
          <w:rFonts w:asciiTheme="minorHAnsi" w:hAnsiTheme="minorHAnsi"/>
          <w:i/>
        </w:rPr>
        <w:t>Genomics</w:t>
      </w:r>
      <w:r w:rsidRPr="004566DC">
        <w:rPr>
          <w:rFonts w:asciiTheme="minorHAnsi" w:hAnsiTheme="minorHAnsi"/>
        </w:rPr>
        <w:t>, vol. 13, no. 3, pp. 770</w:t>
      </w:r>
      <w:r w:rsidR="00136F29">
        <w:rPr>
          <w:rFonts w:asciiTheme="minorHAnsi" w:hAnsiTheme="minorHAnsi"/>
        </w:rPr>
        <w:t>–</w:t>
      </w:r>
      <w:r w:rsidRPr="004566DC">
        <w:rPr>
          <w:rFonts w:asciiTheme="minorHAnsi" w:hAnsiTheme="minorHAnsi"/>
        </w:rPr>
        <w:t>776.</w:t>
      </w:r>
    </w:p>
    <w:p w14:paraId="345BB705" w14:textId="6FCEEE15" w:rsidR="001E6713" w:rsidRPr="004566DC" w:rsidRDefault="001E6713" w:rsidP="001E6713">
      <w:pPr>
        <w:pStyle w:val="EndNoteBibliography"/>
        <w:rPr>
          <w:rFonts w:asciiTheme="minorHAnsi" w:hAnsiTheme="minorHAnsi"/>
        </w:rPr>
      </w:pPr>
      <w:r w:rsidRPr="004566DC">
        <w:rPr>
          <w:rFonts w:asciiTheme="minorHAnsi" w:hAnsiTheme="minorHAnsi"/>
        </w:rPr>
        <w:t xml:space="preserve">Grangeia, A, Sá, R, Carvalho, F, Martin, J, Girodon, E, Silva, J, Ferráz, L, Barros, A &amp; Sousa, M 2007, 'Molecular characterization of the cystic fibrosis transmembrane conductance regulator gene in congenital absence of the vas deferens', </w:t>
      </w:r>
      <w:r w:rsidRPr="004566DC">
        <w:rPr>
          <w:rFonts w:asciiTheme="minorHAnsi" w:hAnsiTheme="minorHAnsi"/>
          <w:i/>
        </w:rPr>
        <w:t>Genetics in Medicine</w:t>
      </w:r>
      <w:r w:rsidRPr="004566DC">
        <w:rPr>
          <w:rFonts w:asciiTheme="minorHAnsi" w:hAnsiTheme="minorHAnsi"/>
        </w:rPr>
        <w:t>, vol. 9, no. 3, pp. 163</w:t>
      </w:r>
      <w:r w:rsidR="00136F29">
        <w:rPr>
          <w:rFonts w:asciiTheme="minorHAnsi" w:hAnsiTheme="minorHAnsi"/>
        </w:rPr>
        <w:t>–</w:t>
      </w:r>
      <w:r w:rsidRPr="004566DC">
        <w:rPr>
          <w:rFonts w:asciiTheme="minorHAnsi" w:hAnsiTheme="minorHAnsi"/>
        </w:rPr>
        <w:t>172.</w:t>
      </w:r>
    </w:p>
    <w:p w14:paraId="4AB45333" w14:textId="70909190" w:rsidR="001E6713" w:rsidRPr="004566DC" w:rsidRDefault="001E6713" w:rsidP="001E6713">
      <w:pPr>
        <w:pStyle w:val="EndNoteBibliography"/>
        <w:rPr>
          <w:rFonts w:asciiTheme="minorHAnsi" w:hAnsiTheme="minorHAnsi"/>
        </w:rPr>
      </w:pPr>
      <w:r w:rsidRPr="004566DC">
        <w:rPr>
          <w:rFonts w:asciiTheme="minorHAnsi" w:hAnsiTheme="minorHAnsi"/>
        </w:rPr>
        <w:t xml:space="preserve">Jalanko, A, Kere, J, Savilahti, E, Schwartz, M, Syvänen, AC, Ranki, M &amp; Söderlund, H 1992, 'Screening for defined cystic fibrosis mutations by solid-phase minisequencing', </w:t>
      </w:r>
      <w:r w:rsidRPr="004566DC">
        <w:rPr>
          <w:rFonts w:asciiTheme="minorHAnsi" w:hAnsiTheme="minorHAnsi"/>
          <w:i/>
        </w:rPr>
        <w:t>Clinical Chemistry</w:t>
      </w:r>
      <w:r w:rsidRPr="004566DC">
        <w:rPr>
          <w:rFonts w:asciiTheme="minorHAnsi" w:hAnsiTheme="minorHAnsi"/>
        </w:rPr>
        <w:t>, vol. 38, no. 1, pp. 39</w:t>
      </w:r>
      <w:r w:rsidR="00136F29">
        <w:rPr>
          <w:rFonts w:asciiTheme="minorHAnsi" w:hAnsiTheme="minorHAnsi"/>
        </w:rPr>
        <w:t>–</w:t>
      </w:r>
      <w:r w:rsidRPr="004566DC">
        <w:rPr>
          <w:rFonts w:asciiTheme="minorHAnsi" w:hAnsiTheme="minorHAnsi"/>
        </w:rPr>
        <w:t>43.</w:t>
      </w:r>
    </w:p>
    <w:p w14:paraId="33AC66D8" w14:textId="746C42CC" w:rsidR="001E6713" w:rsidRPr="004566DC" w:rsidRDefault="001E6713" w:rsidP="001E6713">
      <w:pPr>
        <w:pStyle w:val="EndNoteBibliography"/>
        <w:rPr>
          <w:rFonts w:asciiTheme="minorHAnsi" w:hAnsiTheme="minorHAnsi"/>
        </w:rPr>
      </w:pPr>
      <w:r w:rsidRPr="004566DC">
        <w:rPr>
          <w:rFonts w:asciiTheme="minorHAnsi" w:hAnsiTheme="minorHAnsi"/>
        </w:rPr>
        <w:t xml:space="preserve">McGinniss, MJ, Chen, C, Redman, JB, Buller, A, Quan, F, Peng, M, Giusti, R, Hantash, FM, Huang, D, Sun, W &amp; Strom, CM 2005, 'Extensive </w:t>
      </w:r>
      <w:r w:rsidR="00136F29">
        <w:rPr>
          <w:rFonts w:asciiTheme="minorHAnsi" w:hAnsiTheme="minorHAnsi"/>
        </w:rPr>
        <w:t>s</w:t>
      </w:r>
      <w:r w:rsidRPr="004566DC">
        <w:rPr>
          <w:rFonts w:asciiTheme="minorHAnsi" w:hAnsiTheme="minorHAnsi"/>
        </w:rPr>
        <w:t xml:space="preserve">equencing of the </w:t>
      </w:r>
      <w:r w:rsidR="00A21FD9" w:rsidRPr="004566DC">
        <w:rPr>
          <w:rFonts w:asciiTheme="minorHAnsi" w:hAnsiTheme="minorHAnsi"/>
          <w:i/>
        </w:rPr>
        <w:t>CFTR</w:t>
      </w:r>
      <w:r w:rsidRPr="004566DC">
        <w:rPr>
          <w:rFonts w:asciiTheme="minorHAnsi" w:hAnsiTheme="minorHAnsi"/>
        </w:rPr>
        <w:t xml:space="preserve"> gene: </w:t>
      </w:r>
      <w:r w:rsidR="00136F29">
        <w:rPr>
          <w:rFonts w:asciiTheme="minorHAnsi" w:hAnsiTheme="minorHAnsi"/>
        </w:rPr>
        <w:t>l</w:t>
      </w:r>
      <w:r w:rsidRPr="004566DC">
        <w:rPr>
          <w:rFonts w:asciiTheme="minorHAnsi" w:hAnsiTheme="minorHAnsi"/>
        </w:rPr>
        <w:t xml:space="preserve">essons learned from the first 157 patient samples', </w:t>
      </w:r>
      <w:r w:rsidRPr="004566DC">
        <w:rPr>
          <w:rFonts w:asciiTheme="minorHAnsi" w:hAnsiTheme="minorHAnsi"/>
          <w:i/>
        </w:rPr>
        <w:t>Human Genetics</w:t>
      </w:r>
      <w:r w:rsidRPr="004566DC">
        <w:rPr>
          <w:rFonts w:asciiTheme="minorHAnsi" w:hAnsiTheme="minorHAnsi"/>
        </w:rPr>
        <w:t>, vol. 118, no. 3</w:t>
      </w:r>
      <w:r w:rsidR="00136F29">
        <w:rPr>
          <w:rFonts w:asciiTheme="minorHAnsi" w:hAnsiTheme="minorHAnsi"/>
        </w:rPr>
        <w:t>–</w:t>
      </w:r>
      <w:r w:rsidRPr="004566DC">
        <w:rPr>
          <w:rFonts w:asciiTheme="minorHAnsi" w:hAnsiTheme="minorHAnsi"/>
        </w:rPr>
        <w:t>4, pp. 331</w:t>
      </w:r>
      <w:r w:rsidR="00136F29">
        <w:rPr>
          <w:rFonts w:asciiTheme="minorHAnsi" w:hAnsiTheme="minorHAnsi"/>
        </w:rPr>
        <w:t>–</w:t>
      </w:r>
      <w:r w:rsidRPr="004566DC">
        <w:rPr>
          <w:rFonts w:asciiTheme="minorHAnsi" w:hAnsiTheme="minorHAnsi"/>
        </w:rPr>
        <w:t>338.</w:t>
      </w:r>
    </w:p>
    <w:p w14:paraId="24D389A0" w14:textId="5C92CFE6" w:rsidR="001E6713" w:rsidRPr="004566DC" w:rsidRDefault="001E6713" w:rsidP="001E6713">
      <w:pPr>
        <w:pStyle w:val="EndNoteBibliography"/>
        <w:rPr>
          <w:rFonts w:asciiTheme="minorHAnsi" w:hAnsiTheme="minorHAnsi"/>
        </w:rPr>
      </w:pPr>
      <w:r w:rsidRPr="004566DC">
        <w:rPr>
          <w:rFonts w:asciiTheme="minorHAnsi" w:hAnsiTheme="minorHAnsi"/>
        </w:rPr>
        <w:t xml:space="preserve">Poulou, M, Destouni, A, Kakourou, G, Kanavakis, E &amp; Tzetis, M 2014, 'Prenatal diagnosis for CF using </w:t>
      </w:r>
      <w:r w:rsidR="00136F29">
        <w:rPr>
          <w:rFonts w:asciiTheme="minorHAnsi" w:hAnsiTheme="minorHAnsi"/>
        </w:rPr>
        <w:t>h</w:t>
      </w:r>
      <w:r w:rsidRPr="004566DC">
        <w:rPr>
          <w:rFonts w:asciiTheme="minorHAnsi" w:hAnsiTheme="minorHAnsi"/>
        </w:rPr>
        <w:t xml:space="preserve">igh </w:t>
      </w:r>
      <w:r w:rsidR="00136F29">
        <w:rPr>
          <w:rFonts w:asciiTheme="minorHAnsi" w:hAnsiTheme="minorHAnsi"/>
        </w:rPr>
        <w:t>r</w:t>
      </w:r>
      <w:r w:rsidRPr="004566DC">
        <w:rPr>
          <w:rFonts w:asciiTheme="minorHAnsi" w:hAnsiTheme="minorHAnsi"/>
        </w:rPr>
        <w:t xml:space="preserve">esolution </w:t>
      </w:r>
      <w:r w:rsidR="00136F29">
        <w:rPr>
          <w:rFonts w:asciiTheme="minorHAnsi" w:hAnsiTheme="minorHAnsi"/>
        </w:rPr>
        <w:t>m</w:t>
      </w:r>
      <w:r w:rsidRPr="004566DC">
        <w:rPr>
          <w:rFonts w:asciiTheme="minorHAnsi" w:hAnsiTheme="minorHAnsi"/>
        </w:rPr>
        <w:t xml:space="preserve">elting </w:t>
      </w:r>
      <w:r w:rsidR="00136F29">
        <w:rPr>
          <w:rFonts w:asciiTheme="minorHAnsi" w:hAnsiTheme="minorHAnsi"/>
        </w:rPr>
        <w:t>a</w:t>
      </w:r>
      <w:r w:rsidRPr="004566DC">
        <w:rPr>
          <w:rFonts w:asciiTheme="minorHAnsi" w:hAnsiTheme="minorHAnsi"/>
        </w:rPr>
        <w:t xml:space="preserve">nalysis and simultaneous haplotype analysis through QF-PCR', </w:t>
      </w:r>
      <w:r w:rsidRPr="004566DC">
        <w:rPr>
          <w:rFonts w:asciiTheme="minorHAnsi" w:hAnsiTheme="minorHAnsi"/>
          <w:i/>
        </w:rPr>
        <w:t>Journal of Cystic Fibrosis</w:t>
      </w:r>
      <w:r w:rsidR="00357942" w:rsidRPr="004566DC">
        <w:rPr>
          <w:rFonts w:asciiTheme="minorHAnsi" w:hAnsiTheme="minorHAnsi"/>
        </w:rPr>
        <w:t>, vol. 13, no. 6, pp. 617–622</w:t>
      </w:r>
      <w:r w:rsidRPr="004566DC">
        <w:rPr>
          <w:rFonts w:asciiTheme="minorHAnsi" w:hAnsiTheme="minorHAnsi"/>
        </w:rPr>
        <w:t>.</w:t>
      </w:r>
    </w:p>
    <w:p w14:paraId="3A0F2533" w14:textId="073E9DB9" w:rsidR="001E6713" w:rsidRPr="004566DC" w:rsidRDefault="001E6713" w:rsidP="001E6713">
      <w:pPr>
        <w:pStyle w:val="EndNoteBibliography"/>
        <w:rPr>
          <w:rFonts w:asciiTheme="minorHAnsi" w:hAnsiTheme="minorHAnsi"/>
        </w:rPr>
      </w:pPr>
      <w:r w:rsidRPr="004566DC">
        <w:rPr>
          <w:rFonts w:asciiTheme="minorHAnsi" w:hAnsiTheme="minorHAnsi"/>
        </w:rPr>
        <w:lastRenderedPageBreak/>
        <w:t>Wang, X, Myers, A, Saiki, RK &amp; Cutting, GR 2002, 'Development and evaluation of a PCR-based, line probe assay for the detection of 58 alleles in the cystic fibrosis transmembrane conductance regulator (</w:t>
      </w:r>
      <w:r w:rsidR="00A21FD9" w:rsidRPr="004566DC">
        <w:rPr>
          <w:rFonts w:asciiTheme="minorHAnsi" w:hAnsiTheme="minorHAnsi"/>
          <w:i/>
        </w:rPr>
        <w:t>CFTR</w:t>
      </w:r>
      <w:r w:rsidRPr="004566DC">
        <w:rPr>
          <w:rFonts w:asciiTheme="minorHAnsi" w:hAnsiTheme="minorHAnsi"/>
        </w:rPr>
        <w:t xml:space="preserve">) gene', </w:t>
      </w:r>
      <w:r w:rsidRPr="004566DC">
        <w:rPr>
          <w:rFonts w:asciiTheme="minorHAnsi" w:hAnsiTheme="minorHAnsi"/>
          <w:i/>
        </w:rPr>
        <w:t>Clinical Chemistry</w:t>
      </w:r>
      <w:r w:rsidRPr="004566DC">
        <w:rPr>
          <w:rFonts w:asciiTheme="minorHAnsi" w:hAnsiTheme="minorHAnsi"/>
        </w:rPr>
        <w:t>, vol. 48, no. 7, pp. 1121</w:t>
      </w:r>
      <w:r w:rsidR="00357942">
        <w:rPr>
          <w:rFonts w:asciiTheme="minorHAnsi" w:hAnsiTheme="minorHAnsi"/>
        </w:rPr>
        <w:t>–</w:t>
      </w:r>
      <w:r w:rsidRPr="004566DC">
        <w:rPr>
          <w:rFonts w:asciiTheme="minorHAnsi" w:hAnsiTheme="minorHAnsi"/>
        </w:rPr>
        <w:t>1123.</w:t>
      </w:r>
    </w:p>
    <w:p w14:paraId="5A0B8B1D" w14:textId="08357CA8" w:rsidR="001E6713" w:rsidRPr="004566DC" w:rsidRDefault="001E6713" w:rsidP="001E6713">
      <w:pPr>
        <w:pStyle w:val="EndNoteBibliography"/>
        <w:rPr>
          <w:rFonts w:asciiTheme="minorHAnsi" w:hAnsiTheme="minorHAnsi"/>
        </w:rPr>
      </w:pPr>
      <w:r w:rsidRPr="004566DC">
        <w:rPr>
          <w:rFonts w:asciiTheme="minorHAnsi" w:hAnsiTheme="minorHAnsi"/>
        </w:rPr>
        <w:t xml:space="preserve">Wine, JJ, Kuo, E, Hurlock, G &amp; Moss, RB 2001, 'Comprehensive mutation screening in a cystic fibrosis center', </w:t>
      </w:r>
      <w:r w:rsidRPr="004566DC">
        <w:rPr>
          <w:rFonts w:asciiTheme="minorHAnsi" w:hAnsiTheme="minorHAnsi"/>
          <w:i/>
        </w:rPr>
        <w:t>Pediatrics</w:t>
      </w:r>
      <w:r w:rsidRPr="004566DC">
        <w:rPr>
          <w:rFonts w:asciiTheme="minorHAnsi" w:hAnsiTheme="minorHAnsi"/>
        </w:rPr>
        <w:t>, vol. 107, no. 2, pp. 280</w:t>
      </w:r>
      <w:r w:rsidR="00357942">
        <w:rPr>
          <w:rFonts w:asciiTheme="minorHAnsi" w:hAnsiTheme="minorHAnsi"/>
        </w:rPr>
        <w:t>–</w:t>
      </w:r>
      <w:r w:rsidRPr="004566DC">
        <w:rPr>
          <w:rFonts w:asciiTheme="minorHAnsi" w:hAnsiTheme="minorHAnsi"/>
        </w:rPr>
        <w:t>286.</w:t>
      </w:r>
    </w:p>
    <w:p w14:paraId="07E4C575" w14:textId="291F62E1" w:rsidR="00B42948" w:rsidRPr="001A4A46" w:rsidRDefault="00B42948" w:rsidP="00022486">
      <w:pPr>
        <w:pStyle w:val="Heading1"/>
        <w:tabs>
          <w:tab w:val="left" w:pos="2268"/>
        </w:tabs>
        <w:spacing w:line="240" w:lineRule="auto"/>
        <w:ind w:left="2268" w:hanging="2268"/>
      </w:pPr>
      <w:bookmarkStart w:id="577" w:name="_Toc418179976"/>
      <w:r w:rsidRPr="001A4A46">
        <w:lastRenderedPageBreak/>
        <w:t xml:space="preserve">Appendix </w:t>
      </w:r>
      <w:fldSimple w:instr=" SEQ Appendix \* ALPHABETIC ">
        <w:r w:rsidR="00BB0E3E">
          <w:rPr>
            <w:noProof/>
          </w:rPr>
          <w:t>G</w:t>
        </w:r>
      </w:fldSimple>
      <w:r w:rsidRPr="001A4A46">
        <w:tab/>
      </w:r>
      <w:r w:rsidR="001213DF">
        <w:t>L</w:t>
      </w:r>
      <w:r>
        <w:t xml:space="preserve">iterature </w:t>
      </w:r>
      <w:r w:rsidR="001213DF">
        <w:t>S</w:t>
      </w:r>
      <w:r>
        <w:t>earch</w:t>
      </w:r>
      <w:r w:rsidR="002D301C" w:rsidRPr="002D301C">
        <w:t xml:space="preserve"> </w:t>
      </w:r>
      <w:r w:rsidR="002D301C">
        <w:t xml:space="preserve">for </w:t>
      </w:r>
      <w:r w:rsidR="001213DF">
        <w:t>E</w:t>
      </w:r>
      <w:r w:rsidR="002D301C">
        <w:t>conomic studies</w:t>
      </w:r>
      <w:bookmarkEnd w:id="577"/>
    </w:p>
    <w:p w14:paraId="6E77DEE3" w14:textId="77777777" w:rsidR="002D301C" w:rsidRDefault="002D301C" w:rsidP="002D301C">
      <w:pPr>
        <w:pStyle w:val="Heading2"/>
      </w:pPr>
      <w:bookmarkStart w:id="578" w:name="_Toc418179977"/>
      <w:r w:rsidRPr="00393243">
        <w:t>Literature search for</w:t>
      </w:r>
      <w:r>
        <w:t xml:space="preserve"> incidence of CF in fetuses with echogenic bowel</w:t>
      </w:r>
      <w:bookmarkEnd w:id="578"/>
    </w:p>
    <w:p w14:paraId="07AE8BF3" w14:textId="77777777" w:rsidR="002D301C" w:rsidRPr="00096D98" w:rsidRDefault="002D301C" w:rsidP="002D301C">
      <w:pPr>
        <w:pStyle w:val="Tablename0"/>
      </w:pPr>
      <w:bookmarkStart w:id="579" w:name="_Ref413408688"/>
      <w:bookmarkStart w:id="580" w:name="_Toc418179495"/>
      <w:r w:rsidRPr="00096D98">
        <w:t xml:space="preserve">Table </w:t>
      </w:r>
      <w:fldSimple w:instr=" SEQ Table \* ARABIC ">
        <w:r w:rsidR="00BB0E3E">
          <w:rPr>
            <w:noProof/>
          </w:rPr>
          <w:t>98</w:t>
        </w:r>
      </w:fldSimple>
      <w:bookmarkEnd w:id="579"/>
      <w:r w:rsidRPr="00096D98">
        <w:tab/>
        <w:t>Incidence of CF in fetuses with echogenic bowel reported in previous studies</w:t>
      </w:r>
      <w:bookmarkEnd w:id="580"/>
    </w:p>
    <w:tbl>
      <w:tblPr>
        <w:tblStyle w:val="TableGrid"/>
        <w:tblW w:w="9180" w:type="dxa"/>
        <w:tblLook w:val="04A0" w:firstRow="1" w:lastRow="0" w:firstColumn="1" w:lastColumn="0" w:noHBand="0" w:noVBand="1"/>
        <w:tblCaption w:val="Table 51 Incidence of CF in fetuses with echogenic bowel reported in previous studies"/>
        <w:tblDescription w:val="Incidence of CF in fetuses with echogenic bowel reported in previous studies. Incidence varies between 2% and 13%"/>
      </w:tblPr>
      <w:tblGrid>
        <w:gridCol w:w="2490"/>
        <w:gridCol w:w="2394"/>
        <w:gridCol w:w="1683"/>
        <w:gridCol w:w="990"/>
        <w:gridCol w:w="1623"/>
      </w:tblGrid>
      <w:tr w:rsidR="00DB2262" w:rsidRPr="00096D98" w14:paraId="5E68C01D" w14:textId="77777777" w:rsidTr="004566DC">
        <w:trPr>
          <w:tblHeader/>
        </w:trPr>
        <w:tc>
          <w:tcPr>
            <w:tcW w:w="0" w:type="auto"/>
          </w:tcPr>
          <w:p w14:paraId="4E3BA8E4" w14:textId="77777777" w:rsidR="002D301C" w:rsidRPr="00096D98" w:rsidRDefault="002D301C" w:rsidP="004566DC">
            <w:pPr>
              <w:pStyle w:val="Caption"/>
              <w:ind w:left="0"/>
              <w:jc w:val="left"/>
            </w:pPr>
            <w:r w:rsidRPr="00096D98">
              <w:t>Study</w:t>
            </w:r>
          </w:p>
        </w:tc>
        <w:tc>
          <w:tcPr>
            <w:tcW w:w="2394" w:type="dxa"/>
          </w:tcPr>
          <w:p w14:paraId="61CB14D5" w14:textId="278BEAAF" w:rsidR="002D301C" w:rsidRPr="00096D98" w:rsidRDefault="002D301C" w:rsidP="004566DC">
            <w:pPr>
              <w:pStyle w:val="Caption"/>
              <w:ind w:left="0"/>
              <w:jc w:val="left"/>
            </w:pPr>
            <w:r w:rsidRPr="00096D98">
              <w:t>Setting (</w:t>
            </w:r>
            <w:r w:rsidR="00E712B8">
              <w:t>p</w:t>
            </w:r>
            <w:r w:rsidRPr="00096D98">
              <w:t>eriod)</w:t>
            </w:r>
          </w:p>
        </w:tc>
        <w:tc>
          <w:tcPr>
            <w:tcW w:w="1683" w:type="dxa"/>
          </w:tcPr>
          <w:p w14:paraId="46EB1FB2" w14:textId="0DDC47CB" w:rsidR="002D301C" w:rsidRPr="00096D98" w:rsidRDefault="002D301C" w:rsidP="004566DC">
            <w:pPr>
              <w:pStyle w:val="Caption"/>
              <w:ind w:left="0"/>
              <w:jc w:val="center"/>
            </w:pPr>
            <w:r w:rsidRPr="00096D98">
              <w:t>N fetuses with FEB tested</w:t>
            </w:r>
          </w:p>
        </w:tc>
        <w:tc>
          <w:tcPr>
            <w:tcW w:w="0" w:type="auto"/>
          </w:tcPr>
          <w:p w14:paraId="452BD438" w14:textId="3DB6FB57" w:rsidR="002D301C" w:rsidRPr="00096D98" w:rsidRDefault="002D301C" w:rsidP="004566DC">
            <w:pPr>
              <w:pStyle w:val="Caption"/>
              <w:ind w:left="0"/>
              <w:jc w:val="center"/>
            </w:pPr>
            <w:r w:rsidRPr="00096D98">
              <w:t>N CF</w:t>
            </w:r>
            <w:r w:rsidR="00DB2262">
              <w:t xml:space="preserve"> </w:t>
            </w:r>
            <w:r w:rsidRPr="00096D98">
              <w:t>+ve</w:t>
            </w:r>
          </w:p>
        </w:tc>
        <w:tc>
          <w:tcPr>
            <w:tcW w:w="1623" w:type="dxa"/>
          </w:tcPr>
          <w:p w14:paraId="6E8E2685" w14:textId="19C1AD27" w:rsidR="002D301C" w:rsidRPr="00096D98" w:rsidRDefault="002D301C" w:rsidP="004566DC">
            <w:pPr>
              <w:pStyle w:val="Caption"/>
              <w:ind w:left="-6" w:right="-188"/>
              <w:jc w:val="center"/>
            </w:pPr>
            <w:r w:rsidRPr="00096D98">
              <w:t>Incidence of CF</w:t>
            </w:r>
            <w:r w:rsidR="00DB2262">
              <w:t xml:space="preserve"> </w:t>
            </w:r>
            <w:r w:rsidR="00F31FAC" w:rsidRPr="004566DC">
              <w:rPr>
                <w:vertAlign w:val="superscript"/>
              </w:rPr>
              <w:t>a</w:t>
            </w:r>
            <w:r w:rsidR="0010258C">
              <w:br/>
            </w:r>
            <w:r w:rsidRPr="00096D98">
              <w:t>(%)</w:t>
            </w:r>
          </w:p>
        </w:tc>
      </w:tr>
      <w:tr w:rsidR="00DB2262" w:rsidRPr="00096D98" w14:paraId="4D356BF6" w14:textId="77777777" w:rsidTr="004566DC">
        <w:tc>
          <w:tcPr>
            <w:tcW w:w="0" w:type="auto"/>
          </w:tcPr>
          <w:p w14:paraId="739F05DA" w14:textId="12026A65" w:rsidR="002D301C" w:rsidRPr="00096D98" w:rsidRDefault="00490DAE" w:rsidP="004566DC">
            <w:pPr>
              <w:pStyle w:val="Tabletext1"/>
              <w:ind w:left="0"/>
              <w:jc w:val="left"/>
            </w:pPr>
            <w:r>
              <w:t>Goetzinger et al</w:t>
            </w:r>
            <w:r w:rsidR="00CA5900">
              <w:t>.</w:t>
            </w:r>
            <w:r>
              <w:t xml:space="preserve"> </w:t>
            </w:r>
            <w:r>
              <w:fldChar w:fldCharType="begin"/>
            </w:r>
            <w:r>
              <w:instrText xml:space="preserve"> ADDIN EN.CITE &lt;EndNote&gt;&lt;Cite ExcludeAuth="1"&gt;&lt;Author&gt;Goetzinger&lt;/Author&gt;&lt;Year&gt;2011&lt;/Year&gt;&lt;RecNum&gt;23&lt;/RecNum&gt;&lt;IDText&gt;1341-1348&lt;/IDText&gt;&lt;DisplayText&gt;(2011)&lt;/DisplayText&gt;&lt;record&gt;&lt;rec-number&gt;23&lt;/rec-number&gt;&lt;foreign-keys&gt;&lt;key app="EN" db-id="parffa0acae2voep5w3vv9rypas2tr522eef" timestamp="1430365845"&gt;23&lt;/key&gt;&lt;/foreign-keys&gt;&lt;ref-type name="Journal Article"&gt;17&lt;/ref-type&gt;&lt;contributors&gt;&lt;authors&gt;&lt;author&gt;Goetzinger, Katherine R.&lt;/author&gt;&lt;author&gt;Cahill, Alison G.&lt;/author&gt;&lt;author&gt;Macones, George A.&lt;/author&gt;&lt;author&gt;Odibo, Anthony O.&lt;/author&gt;&lt;/authors&gt;&lt;/contributors&gt;&lt;titles&gt;&lt;title&gt;Echogenic Bowel on Second-Trimester Ultrasound: Evaluating the Risk of Adverse Pregnancy Outcome&lt;/title&gt;&lt;secondary-title&gt;Obstetrics and gynecology&lt;/secondary-title&gt;&lt;/titles&gt;&lt;periodical&gt;&lt;full-title&gt;Obstetrics and gynecology&lt;/full-title&gt;&lt;/periodical&gt;&lt;pages&gt;1341-1348&lt;/pages&gt;&lt;volume&gt;117&lt;/volume&gt;&lt;number&gt;6&lt;/number&gt;&lt;dates&gt;&lt;year&gt;2011&lt;/year&gt;&lt;/dates&gt;&lt;isbn&gt;0029-7844&amp;#xD;1873-233X&lt;/isbn&gt;&lt;accession-num&gt;PMC3110147&lt;/accession-num&gt;&lt;urls&gt;&lt;related-urls&gt;&lt;url&gt;http://www.ncbi.nlm.nih.gov/pmc/articles/PMC3110147/&lt;/url&gt;&lt;url&gt;http://graphics.tx.ovid.com/ovftpdfs/FPDDNCFBOGDLGH00/fs046/ovft/live/gv025/00006250/00006250-201106000-00012.pdf&lt;/url&gt;&lt;/related-urls&gt;&lt;/urls&gt;&lt;electronic-resource-num&gt;10.1097/AOG.0b013e31821aa739&lt;/electronic-resource-num&gt;&lt;remote-database-name&gt;PMC&lt;/remote-database-name&gt;&lt;/record&gt;&lt;/Cite&gt;&lt;/EndNote&gt;</w:instrText>
            </w:r>
            <w:r>
              <w:fldChar w:fldCharType="separate"/>
            </w:r>
            <w:r>
              <w:rPr>
                <w:noProof/>
              </w:rPr>
              <w:t>(</w:t>
            </w:r>
            <w:hyperlink w:anchor="_ENREF_46" w:tooltip="Goetzinger, 2011 #23" w:history="1">
              <w:r w:rsidR="00B46ABF">
                <w:rPr>
                  <w:noProof/>
                </w:rPr>
                <w:t>2011</w:t>
              </w:r>
            </w:hyperlink>
            <w:r>
              <w:rPr>
                <w:noProof/>
              </w:rPr>
              <w:t>)</w:t>
            </w:r>
            <w:r>
              <w:fldChar w:fldCharType="end"/>
            </w:r>
          </w:p>
        </w:tc>
        <w:tc>
          <w:tcPr>
            <w:tcW w:w="2394" w:type="dxa"/>
          </w:tcPr>
          <w:p w14:paraId="36B07CEC" w14:textId="361C701C" w:rsidR="002D301C" w:rsidRPr="00096D98" w:rsidRDefault="002D301C" w:rsidP="004566DC">
            <w:pPr>
              <w:pStyle w:val="Tabletext1"/>
              <w:ind w:left="0"/>
              <w:jc w:val="left"/>
            </w:pPr>
            <w:r w:rsidRPr="00096D98">
              <w:t>USA (1990</w:t>
            </w:r>
            <w:r w:rsidR="00E712B8">
              <w:t>–</w:t>
            </w:r>
            <w:r w:rsidRPr="00096D98">
              <w:t>2008)</w:t>
            </w:r>
          </w:p>
        </w:tc>
        <w:tc>
          <w:tcPr>
            <w:tcW w:w="1683" w:type="dxa"/>
          </w:tcPr>
          <w:p w14:paraId="2BB545F9" w14:textId="77777777" w:rsidR="002D301C" w:rsidRPr="00096D98" w:rsidRDefault="002D301C" w:rsidP="004566DC">
            <w:pPr>
              <w:pStyle w:val="Tabletext1"/>
              <w:ind w:left="0" w:right="507"/>
              <w:jc w:val="right"/>
            </w:pPr>
            <w:r w:rsidRPr="00096D98">
              <w:t>260</w:t>
            </w:r>
          </w:p>
        </w:tc>
        <w:tc>
          <w:tcPr>
            <w:tcW w:w="0" w:type="auto"/>
          </w:tcPr>
          <w:p w14:paraId="644A2BEF" w14:textId="77777777" w:rsidR="002D301C" w:rsidRPr="00096D98" w:rsidRDefault="002D301C" w:rsidP="004566DC">
            <w:pPr>
              <w:pStyle w:val="Tabletext1"/>
              <w:ind w:left="0" w:right="220"/>
              <w:jc w:val="right"/>
            </w:pPr>
            <w:r w:rsidRPr="00096D98">
              <w:t>6</w:t>
            </w:r>
          </w:p>
        </w:tc>
        <w:tc>
          <w:tcPr>
            <w:tcW w:w="1623" w:type="dxa"/>
          </w:tcPr>
          <w:p w14:paraId="0C845ECC" w14:textId="77777777" w:rsidR="002D301C" w:rsidRPr="00096D98" w:rsidRDefault="002D301C" w:rsidP="004566DC">
            <w:pPr>
              <w:pStyle w:val="Tabletext1"/>
              <w:ind w:left="0" w:right="507"/>
              <w:jc w:val="right"/>
            </w:pPr>
            <w:r w:rsidRPr="00096D98">
              <w:t>2.3</w:t>
            </w:r>
          </w:p>
        </w:tc>
      </w:tr>
      <w:tr w:rsidR="00DB2262" w:rsidRPr="00096D98" w14:paraId="71CA2AAA" w14:textId="77777777" w:rsidTr="004566DC">
        <w:tc>
          <w:tcPr>
            <w:tcW w:w="0" w:type="auto"/>
          </w:tcPr>
          <w:p w14:paraId="157B8A85" w14:textId="01B85181" w:rsidR="002D301C" w:rsidRPr="00096D98" w:rsidRDefault="00490DAE" w:rsidP="004566DC">
            <w:pPr>
              <w:pStyle w:val="Tabletext1"/>
              <w:ind w:left="0"/>
              <w:jc w:val="left"/>
            </w:pPr>
            <w:r>
              <w:t>Carcopino et al</w:t>
            </w:r>
            <w:r w:rsidR="00CA5900">
              <w:t>.</w:t>
            </w:r>
            <w:r>
              <w:t xml:space="preserve"> </w:t>
            </w:r>
            <w:r>
              <w:fldChar w:fldCharType="begin">
                <w:fldData xml:space="preserve">PEVuZE5vdGU+PENpdGUgRXhjbHVkZUF1dGg9IjEiPjxBdXRob3I+Q2FyY29waW5vPC9BdXRob3I+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ci0xPlByZW5hdGFsIGRpYWdub3NpczwvYWJici0xPjwvYWx0LXBlcmlvZGljYWw+PHBhZ2VzPjI3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PEVuZE5vdGU+PENpdGUgRXhjbHVkZUF1dGg9IjEiPjxBdXRob3I+Q2FyY29waW5vPC9BdXRob3I+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w:t>
            </w:r>
            <w:hyperlink w:anchor="_ENREF_20" w:tooltip="Carcopino, 2007 #13" w:history="1">
              <w:r w:rsidR="00B46ABF">
                <w:rPr>
                  <w:noProof/>
                </w:rPr>
                <w:t>2007</w:t>
              </w:r>
            </w:hyperlink>
            <w:r>
              <w:rPr>
                <w:noProof/>
              </w:rPr>
              <w:t>)</w:t>
            </w:r>
            <w:r>
              <w:fldChar w:fldCharType="end"/>
            </w:r>
          </w:p>
        </w:tc>
        <w:tc>
          <w:tcPr>
            <w:tcW w:w="2394" w:type="dxa"/>
          </w:tcPr>
          <w:p w14:paraId="3F7DD51A" w14:textId="77777777" w:rsidR="002D301C" w:rsidRPr="00096D98" w:rsidRDefault="002D301C" w:rsidP="004566DC">
            <w:pPr>
              <w:pStyle w:val="Tabletext1"/>
              <w:ind w:left="0"/>
              <w:jc w:val="left"/>
            </w:pPr>
            <w:r w:rsidRPr="00096D98">
              <w:t>Review of the literature (11 studies)</w:t>
            </w:r>
          </w:p>
        </w:tc>
        <w:tc>
          <w:tcPr>
            <w:tcW w:w="1683" w:type="dxa"/>
          </w:tcPr>
          <w:p w14:paraId="5965168B" w14:textId="63F1EC9C" w:rsidR="002D301C" w:rsidRPr="00096D98" w:rsidRDefault="002D301C" w:rsidP="004566DC">
            <w:pPr>
              <w:pStyle w:val="Tabletext1"/>
              <w:ind w:left="0" w:right="507"/>
              <w:jc w:val="right"/>
            </w:pPr>
            <w:r w:rsidRPr="00096D98">
              <w:t>1</w:t>
            </w:r>
            <w:r w:rsidR="0010258C">
              <w:t>,</w:t>
            </w:r>
            <w:r w:rsidRPr="00096D98">
              <w:t>682</w:t>
            </w:r>
          </w:p>
        </w:tc>
        <w:tc>
          <w:tcPr>
            <w:tcW w:w="0" w:type="auto"/>
          </w:tcPr>
          <w:p w14:paraId="161EB302" w14:textId="77777777" w:rsidR="002D301C" w:rsidRPr="00096D98" w:rsidRDefault="002D301C" w:rsidP="004566DC">
            <w:pPr>
              <w:pStyle w:val="Tabletext1"/>
              <w:ind w:left="0" w:right="220"/>
              <w:jc w:val="right"/>
            </w:pPr>
            <w:r w:rsidRPr="00096D98">
              <w:t>40</w:t>
            </w:r>
          </w:p>
        </w:tc>
        <w:tc>
          <w:tcPr>
            <w:tcW w:w="1623" w:type="dxa"/>
          </w:tcPr>
          <w:p w14:paraId="32C60568" w14:textId="77777777" w:rsidR="002D301C" w:rsidRPr="00096D98" w:rsidRDefault="002D301C" w:rsidP="004566DC">
            <w:pPr>
              <w:pStyle w:val="Tabletext1"/>
              <w:ind w:left="0" w:right="507"/>
              <w:jc w:val="right"/>
            </w:pPr>
            <w:r w:rsidRPr="00096D98">
              <w:t>2.4</w:t>
            </w:r>
          </w:p>
        </w:tc>
      </w:tr>
      <w:tr w:rsidR="00DB2262" w:rsidRPr="00096D98" w14:paraId="0EDCD916" w14:textId="77777777" w:rsidTr="004566DC">
        <w:tc>
          <w:tcPr>
            <w:tcW w:w="0" w:type="auto"/>
          </w:tcPr>
          <w:p w14:paraId="73D3AB53" w14:textId="601080A2" w:rsidR="002D301C" w:rsidRPr="00096D98" w:rsidRDefault="002D301C" w:rsidP="004566DC">
            <w:pPr>
              <w:pStyle w:val="Tabletext1"/>
              <w:tabs>
                <w:tab w:val="left" w:pos="1276"/>
              </w:tabs>
              <w:ind w:left="0"/>
              <w:jc w:val="left"/>
            </w:pPr>
            <w:r w:rsidRPr="005154A8">
              <w:t>Buiter et al</w:t>
            </w:r>
            <w:r w:rsidR="00CA5900" w:rsidRPr="00331C22">
              <w:t>.</w:t>
            </w:r>
            <w:r w:rsidRPr="005154A8">
              <w:t xml:space="preserve"> (2013)</w:t>
            </w:r>
          </w:p>
        </w:tc>
        <w:tc>
          <w:tcPr>
            <w:tcW w:w="2394" w:type="dxa"/>
          </w:tcPr>
          <w:p w14:paraId="1A607AD4" w14:textId="009DACB3" w:rsidR="002D301C" w:rsidRPr="00096D98" w:rsidRDefault="002D301C" w:rsidP="004566DC">
            <w:pPr>
              <w:pStyle w:val="Tabletext1"/>
              <w:ind w:left="0"/>
              <w:jc w:val="left"/>
            </w:pPr>
            <w:r w:rsidRPr="00096D98">
              <w:t>Netherland</w:t>
            </w:r>
            <w:r>
              <w:t>s</w:t>
            </w:r>
            <w:r w:rsidRPr="00096D98">
              <w:t xml:space="preserve"> (2009–10)</w:t>
            </w:r>
          </w:p>
        </w:tc>
        <w:tc>
          <w:tcPr>
            <w:tcW w:w="1683" w:type="dxa"/>
          </w:tcPr>
          <w:p w14:paraId="0254CB3F" w14:textId="77777777" w:rsidR="002D301C" w:rsidRPr="00096D98" w:rsidRDefault="002D301C" w:rsidP="004566DC">
            <w:pPr>
              <w:pStyle w:val="Tabletext1"/>
              <w:ind w:left="0" w:right="507"/>
              <w:jc w:val="right"/>
            </w:pPr>
            <w:r w:rsidRPr="00096D98">
              <w:t>37</w:t>
            </w:r>
          </w:p>
        </w:tc>
        <w:tc>
          <w:tcPr>
            <w:tcW w:w="0" w:type="auto"/>
          </w:tcPr>
          <w:p w14:paraId="0A05D428" w14:textId="77777777" w:rsidR="002D301C" w:rsidRPr="00096D98" w:rsidRDefault="002D301C" w:rsidP="004566DC">
            <w:pPr>
              <w:pStyle w:val="Tabletext1"/>
              <w:ind w:left="0" w:right="220"/>
              <w:jc w:val="right"/>
            </w:pPr>
            <w:r w:rsidRPr="00096D98">
              <w:t>1</w:t>
            </w:r>
          </w:p>
        </w:tc>
        <w:tc>
          <w:tcPr>
            <w:tcW w:w="1623" w:type="dxa"/>
          </w:tcPr>
          <w:p w14:paraId="1CA8B2B7" w14:textId="77777777" w:rsidR="002D301C" w:rsidRPr="00096D98" w:rsidRDefault="002D301C" w:rsidP="004566DC">
            <w:pPr>
              <w:pStyle w:val="Tabletext1"/>
              <w:ind w:left="0" w:right="507"/>
              <w:jc w:val="right"/>
            </w:pPr>
            <w:r w:rsidRPr="00096D98">
              <w:t>2.7</w:t>
            </w:r>
          </w:p>
        </w:tc>
      </w:tr>
      <w:tr w:rsidR="00DB2262" w:rsidRPr="00096D98" w14:paraId="3EB34C8C" w14:textId="77777777" w:rsidTr="004566DC">
        <w:tc>
          <w:tcPr>
            <w:tcW w:w="0" w:type="auto"/>
          </w:tcPr>
          <w:p w14:paraId="4980D794" w14:textId="47C503E1" w:rsidR="002D301C" w:rsidRPr="00096D98" w:rsidRDefault="00490DAE" w:rsidP="004566DC">
            <w:pPr>
              <w:pStyle w:val="Tabletext1"/>
              <w:ind w:left="0"/>
              <w:jc w:val="left"/>
            </w:pPr>
            <w:r>
              <w:t xml:space="preserve">Ameratunga et al. </w:t>
            </w:r>
            <w:r>
              <w:fldChar w:fldCharType="begin">
                <w:fldData xml:space="preserve">PEVuZE5vdGU+PENpdGUgRXhjbHVkZUF1dGg9IjEiPjxBdXRob3I+QW1lcmF0dW5nYTwvQXV0aG9y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</w:fldData>
              </w:fldChar>
            </w:r>
            <w:r>
              <w:instrText xml:space="preserve"> ADDIN EN.CITE </w:instrText>
            </w:r>
            <w:r>
              <w:fldChar w:fldCharType="begin">
                <w:fldData xml:space="preserve">PEVuZE5vdGU+PENpdGUgRXhjbHVkZUF1dGg9IjEiPjxBdXRob3I+QW1lcmF0dW5nYTwvQXV0aG9y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</w:fldData>
              </w:fldChar>
            </w:r>
            <w:r>
              <w:instrText xml:space="preserve"> ADDIN EN.CITE.DATA </w:instrText>
            </w:r>
            <w:r>
              <w:fldChar w:fldCharType="end"/>
            </w:r>
            <w:r>
              <w:fldChar w:fldCharType="separate"/>
            </w:r>
            <w:r>
              <w:rPr>
                <w:noProof/>
              </w:rPr>
              <w:t>(</w:t>
            </w:r>
            <w:hyperlink w:anchor="_ENREF_5" w:tooltip="Ameratunga, 2012 #4" w:history="1">
              <w:r w:rsidR="00B46ABF">
                <w:rPr>
                  <w:noProof/>
                </w:rPr>
                <w:t>2012</w:t>
              </w:r>
            </w:hyperlink>
            <w:r>
              <w:rPr>
                <w:noProof/>
              </w:rPr>
              <w:t>)</w:t>
            </w:r>
            <w:r>
              <w:fldChar w:fldCharType="end"/>
            </w:r>
          </w:p>
        </w:tc>
        <w:tc>
          <w:tcPr>
            <w:tcW w:w="2394" w:type="dxa"/>
          </w:tcPr>
          <w:p w14:paraId="6EDB1BE5" w14:textId="3BF709D9" w:rsidR="002D301C" w:rsidRPr="00096D98" w:rsidRDefault="002D301C" w:rsidP="004566DC">
            <w:pPr>
              <w:pStyle w:val="Tabletext1"/>
              <w:ind w:left="0"/>
              <w:jc w:val="left"/>
            </w:pPr>
            <w:r w:rsidRPr="00096D98">
              <w:t>Australia (2004</w:t>
            </w:r>
            <w:r w:rsidR="00E712B8">
              <w:t>–</w:t>
            </w:r>
            <w:r w:rsidRPr="00096D98">
              <w:t>09)</w:t>
            </w:r>
          </w:p>
        </w:tc>
        <w:tc>
          <w:tcPr>
            <w:tcW w:w="1683" w:type="dxa"/>
          </w:tcPr>
          <w:p w14:paraId="66CA2184" w14:textId="77777777" w:rsidR="002D301C" w:rsidRPr="00096D98" w:rsidRDefault="002D301C" w:rsidP="004566DC">
            <w:pPr>
              <w:pStyle w:val="Tabletext1"/>
              <w:ind w:left="0" w:right="507"/>
              <w:jc w:val="right"/>
            </w:pPr>
            <w:r w:rsidRPr="00096D98">
              <w:t xml:space="preserve">33 </w:t>
            </w:r>
          </w:p>
        </w:tc>
        <w:tc>
          <w:tcPr>
            <w:tcW w:w="0" w:type="auto"/>
          </w:tcPr>
          <w:p w14:paraId="7374B292" w14:textId="77777777" w:rsidR="002D301C" w:rsidRPr="00096D98" w:rsidRDefault="002D301C" w:rsidP="004566DC">
            <w:pPr>
              <w:pStyle w:val="Tabletext1"/>
              <w:ind w:left="0" w:right="220"/>
              <w:jc w:val="right"/>
            </w:pPr>
            <w:r w:rsidRPr="00096D98">
              <w:t>1</w:t>
            </w:r>
          </w:p>
        </w:tc>
        <w:tc>
          <w:tcPr>
            <w:tcW w:w="1623" w:type="dxa"/>
          </w:tcPr>
          <w:p w14:paraId="5EF38146" w14:textId="77777777" w:rsidR="002D301C" w:rsidRPr="00096D98" w:rsidRDefault="002D301C" w:rsidP="004566DC">
            <w:pPr>
              <w:pStyle w:val="Tabletext1"/>
              <w:ind w:left="0" w:right="507"/>
              <w:jc w:val="right"/>
            </w:pPr>
            <w:r w:rsidRPr="00096D98">
              <w:t>3.0</w:t>
            </w:r>
          </w:p>
        </w:tc>
      </w:tr>
      <w:tr w:rsidR="00DB2262" w:rsidRPr="00096D98" w14:paraId="5333B54E" w14:textId="77777777" w:rsidTr="004566DC">
        <w:tc>
          <w:tcPr>
            <w:tcW w:w="0" w:type="auto"/>
          </w:tcPr>
          <w:p w14:paraId="7F8C62D5" w14:textId="27B86FF8" w:rsidR="002D301C" w:rsidRPr="00096D98" w:rsidRDefault="00490DAE" w:rsidP="004566DC">
            <w:pPr>
              <w:pStyle w:val="Tabletext1"/>
              <w:ind w:left="0"/>
              <w:jc w:val="left"/>
            </w:pPr>
            <w:r>
              <w:t xml:space="preserve">Muller et al. </w:t>
            </w:r>
            <w:r>
              <w:fldChar w:fldCharType="begin">
                <w:fldData xml:space="preserve">PEVuZE5vdGU+PENpdGUgRXhjbHVkZUF1dGg9IjEiPjxBdXRob3I+TXVsbGVyPC9BdXRob3I+PFll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PEVuZE5vdGU+PENpdGUgRXhjbHVkZUF1dGg9IjEiPjxBdXRob3I+TXVsbGVyPC9BdXRob3I+PFll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w:t>
            </w:r>
            <w:hyperlink w:anchor="_ENREF_85" w:tooltip="Muller, 2002 #44" w:history="1">
              <w:r w:rsidR="00B46ABF">
                <w:rPr>
                  <w:noProof/>
                </w:rPr>
                <w:t>2002</w:t>
              </w:r>
            </w:hyperlink>
            <w:r>
              <w:rPr>
                <w:noProof/>
              </w:rPr>
              <w:t>)</w:t>
            </w:r>
            <w:r>
              <w:fldChar w:fldCharType="end"/>
            </w:r>
          </w:p>
        </w:tc>
        <w:tc>
          <w:tcPr>
            <w:tcW w:w="2394" w:type="dxa"/>
          </w:tcPr>
          <w:p w14:paraId="47B88CA0" w14:textId="61D255E8" w:rsidR="002D301C" w:rsidRPr="00096D98" w:rsidRDefault="002D301C" w:rsidP="004566DC">
            <w:pPr>
              <w:pStyle w:val="Tabletext1"/>
              <w:ind w:left="0"/>
              <w:jc w:val="left"/>
            </w:pPr>
            <w:r w:rsidRPr="00096D98">
              <w:t>France (1997–98)</w:t>
            </w:r>
          </w:p>
        </w:tc>
        <w:tc>
          <w:tcPr>
            <w:tcW w:w="1683" w:type="dxa"/>
          </w:tcPr>
          <w:p w14:paraId="0DF7AAB9" w14:textId="77777777" w:rsidR="002D301C" w:rsidRPr="00096D98" w:rsidRDefault="002D301C" w:rsidP="004566DC">
            <w:pPr>
              <w:pStyle w:val="Tabletext1"/>
              <w:ind w:left="0" w:right="507"/>
              <w:jc w:val="right"/>
            </w:pPr>
            <w:r w:rsidRPr="00096D98">
              <w:t>641</w:t>
            </w:r>
          </w:p>
        </w:tc>
        <w:tc>
          <w:tcPr>
            <w:tcW w:w="0" w:type="auto"/>
          </w:tcPr>
          <w:p w14:paraId="715D3174" w14:textId="77777777" w:rsidR="002D301C" w:rsidRPr="00096D98" w:rsidRDefault="002D301C" w:rsidP="004566DC">
            <w:pPr>
              <w:pStyle w:val="Tabletext1"/>
              <w:ind w:left="0" w:right="220"/>
              <w:jc w:val="right"/>
            </w:pPr>
            <w:r w:rsidRPr="00096D98">
              <w:t>20</w:t>
            </w:r>
          </w:p>
        </w:tc>
        <w:tc>
          <w:tcPr>
            <w:tcW w:w="1623" w:type="dxa"/>
          </w:tcPr>
          <w:p w14:paraId="1F3F1C77" w14:textId="77777777" w:rsidR="002D301C" w:rsidRPr="00096D98" w:rsidRDefault="002D301C" w:rsidP="004566DC">
            <w:pPr>
              <w:pStyle w:val="Tabletext1"/>
              <w:ind w:left="0" w:right="507"/>
              <w:jc w:val="right"/>
            </w:pPr>
            <w:r w:rsidRPr="00096D98">
              <w:t>3.1</w:t>
            </w:r>
          </w:p>
        </w:tc>
      </w:tr>
      <w:tr w:rsidR="00DB2262" w:rsidRPr="00096D98" w14:paraId="03D2BBAB" w14:textId="77777777" w:rsidTr="004566DC">
        <w:tc>
          <w:tcPr>
            <w:tcW w:w="0" w:type="auto"/>
          </w:tcPr>
          <w:p w14:paraId="01BF5465" w14:textId="1A6FA418" w:rsidR="002D301C" w:rsidRPr="00096D98" w:rsidRDefault="00490DAE" w:rsidP="004566DC">
            <w:pPr>
              <w:pStyle w:val="Tabletext1"/>
              <w:ind w:left="0"/>
              <w:jc w:val="left"/>
            </w:pPr>
            <w:r>
              <w:t xml:space="preserve">Ghose et al. </w:t>
            </w:r>
            <w:r>
              <w:fldChar w:fldCharType="begin">
                <w:fldData xml:space="preserve">PEVuZE5vdGU+PENpdGUgRXhjbHVkZUF1dGg9IjEiPjxBdXRob3I+R2hvc2U8L0F1dGhvcj48WWVh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PEVuZE5vdGU+PENpdGUgRXhjbHVkZUF1dGg9IjEiPjxBdXRob3I+R2hvc2U8L0F1dGhvcj48WWVh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</w:fldData>
              </w:fldChar>
            </w:r>
            <w:r>
              <w:instrText xml:space="preserve"> ADDIN EN.CITE.DATA </w:instrText>
            </w:r>
            <w:r>
              <w:fldChar w:fldCharType="end"/>
            </w:r>
            <w:r>
              <w:fldChar w:fldCharType="separate"/>
            </w:r>
            <w:r>
              <w:rPr>
                <w:noProof/>
              </w:rPr>
              <w:t>(</w:t>
            </w:r>
            <w:hyperlink w:anchor="_ENREF_43" w:tooltip="Ghose, 2000 #22" w:history="1">
              <w:r w:rsidR="00B46ABF">
                <w:rPr>
                  <w:noProof/>
                </w:rPr>
                <w:t>2000</w:t>
              </w:r>
            </w:hyperlink>
            <w:r>
              <w:rPr>
                <w:noProof/>
              </w:rPr>
              <w:t>)</w:t>
            </w:r>
            <w:r>
              <w:fldChar w:fldCharType="end"/>
            </w:r>
          </w:p>
        </w:tc>
        <w:tc>
          <w:tcPr>
            <w:tcW w:w="2394" w:type="dxa"/>
          </w:tcPr>
          <w:p w14:paraId="24155F1D" w14:textId="5D369034" w:rsidR="002D301C" w:rsidRPr="00096D98" w:rsidRDefault="002D301C" w:rsidP="004566DC">
            <w:pPr>
              <w:pStyle w:val="Tabletext1"/>
              <w:ind w:left="0"/>
              <w:jc w:val="left"/>
            </w:pPr>
            <w:r w:rsidRPr="00096D98">
              <w:t>Leeds (1996 –97)</w:t>
            </w:r>
          </w:p>
        </w:tc>
        <w:tc>
          <w:tcPr>
            <w:tcW w:w="1683" w:type="dxa"/>
          </w:tcPr>
          <w:p w14:paraId="62EEACC2" w14:textId="77777777" w:rsidR="002D301C" w:rsidRPr="00096D98" w:rsidRDefault="002D301C" w:rsidP="004566DC">
            <w:pPr>
              <w:pStyle w:val="Tabletext1"/>
              <w:ind w:left="0" w:right="507"/>
              <w:jc w:val="right"/>
            </w:pPr>
            <w:r w:rsidRPr="00096D98">
              <w:t>60</w:t>
            </w:r>
          </w:p>
        </w:tc>
        <w:tc>
          <w:tcPr>
            <w:tcW w:w="0" w:type="auto"/>
          </w:tcPr>
          <w:p w14:paraId="79667B6B" w14:textId="77777777" w:rsidR="002D301C" w:rsidRPr="00096D98" w:rsidRDefault="002D301C" w:rsidP="004566DC">
            <w:pPr>
              <w:pStyle w:val="Tabletext1"/>
              <w:ind w:left="0" w:right="220"/>
              <w:jc w:val="right"/>
            </w:pPr>
            <w:r w:rsidRPr="00096D98">
              <w:t>2</w:t>
            </w:r>
          </w:p>
        </w:tc>
        <w:tc>
          <w:tcPr>
            <w:tcW w:w="1623" w:type="dxa"/>
          </w:tcPr>
          <w:p w14:paraId="6B99BC1E" w14:textId="77777777" w:rsidR="002D301C" w:rsidRPr="00096D98" w:rsidRDefault="002D301C" w:rsidP="004566DC">
            <w:pPr>
              <w:pStyle w:val="Tabletext1"/>
              <w:ind w:left="0" w:right="507"/>
              <w:jc w:val="right"/>
            </w:pPr>
            <w:r w:rsidRPr="00096D98">
              <w:t>3.3</w:t>
            </w:r>
          </w:p>
        </w:tc>
      </w:tr>
      <w:tr w:rsidR="00DB2262" w:rsidRPr="00096D98" w14:paraId="4AA9609D" w14:textId="77777777" w:rsidTr="004566DC">
        <w:tc>
          <w:tcPr>
            <w:tcW w:w="0" w:type="auto"/>
          </w:tcPr>
          <w:p w14:paraId="467650D5" w14:textId="1143B55F" w:rsidR="002D301C" w:rsidRPr="00096D98" w:rsidRDefault="00490DAE" w:rsidP="004566DC">
            <w:pPr>
              <w:pStyle w:val="Tabletext1"/>
              <w:ind w:left="0"/>
              <w:jc w:val="left"/>
            </w:pPr>
            <w:r>
              <w:t>Dugueperoux et al</w:t>
            </w:r>
            <w:r w:rsidR="00CA5900">
              <w:t>.</w:t>
            </w:r>
            <w:r>
              <w:t xml:space="preserve"> </w:t>
            </w:r>
            <w:r>
              <w:fldChar w:fldCharType="begin">
                <w:fldData xml:space="preserve">PEVuZE5vdGU+PENpdGUgRXhjbHVkZUF1dGg9IjEiPjxBdXRob3I+RHVndWVwZXJvdXg8L0F1dGhv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PEVuZE5vdGU+PENpdGUgRXhjbHVkZUF1dGg9IjEiPjxBdXRob3I+RHVndWVwZXJvdXg8L0F1dGhv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w:t>
            </w:r>
            <w:hyperlink w:anchor="_ENREF_35" w:tooltip="Dugueperoux, 2012 #15" w:history="1">
              <w:r w:rsidR="00B46ABF">
                <w:rPr>
                  <w:noProof/>
                </w:rPr>
                <w:t>2012</w:t>
              </w:r>
            </w:hyperlink>
            <w:r>
              <w:rPr>
                <w:noProof/>
              </w:rPr>
              <w:t>)</w:t>
            </w:r>
            <w:r>
              <w:fldChar w:fldCharType="end"/>
            </w:r>
          </w:p>
        </w:tc>
        <w:tc>
          <w:tcPr>
            <w:tcW w:w="2394" w:type="dxa"/>
          </w:tcPr>
          <w:p w14:paraId="4407E0AF" w14:textId="1146FC73" w:rsidR="002D301C" w:rsidRPr="00096D98" w:rsidRDefault="002D301C" w:rsidP="004566DC">
            <w:pPr>
              <w:pStyle w:val="Tabletext1"/>
              <w:ind w:left="0"/>
              <w:jc w:val="left"/>
            </w:pPr>
            <w:r w:rsidRPr="00096D98">
              <w:t>France (2002 –09)</w:t>
            </w:r>
          </w:p>
        </w:tc>
        <w:tc>
          <w:tcPr>
            <w:tcW w:w="1683" w:type="dxa"/>
          </w:tcPr>
          <w:p w14:paraId="7D43633A" w14:textId="77777777" w:rsidR="002D301C" w:rsidRPr="00096D98" w:rsidRDefault="002D301C" w:rsidP="004566DC">
            <w:pPr>
              <w:pStyle w:val="Tabletext1"/>
              <w:ind w:left="0" w:right="507"/>
              <w:jc w:val="right"/>
            </w:pPr>
            <w:r w:rsidRPr="00096D98">
              <w:t>229</w:t>
            </w:r>
          </w:p>
        </w:tc>
        <w:tc>
          <w:tcPr>
            <w:tcW w:w="0" w:type="auto"/>
          </w:tcPr>
          <w:p w14:paraId="1D42971E" w14:textId="77777777" w:rsidR="002D301C" w:rsidRPr="00096D98" w:rsidRDefault="002D301C" w:rsidP="004566DC">
            <w:pPr>
              <w:pStyle w:val="Tabletext1"/>
              <w:ind w:left="0" w:right="220"/>
              <w:jc w:val="right"/>
            </w:pPr>
            <w:r w:rsidRPr="00096D98">
              <w:t>9</w:t>
            </w:r>
          </w:p>
        </w:tc>
        <w:tc>
          <w:tcPr>
            <w:tcW w:w="1623" w:type="dxa"/>
          </w:tcPr>
          <w:p w14:paraId="1EAC14DF" w14:textId="77777777" w:rsidR="002D301C" w:rsidRPr="00096D98" w:rsidRDefault="002D301C" w:rsidP="004566DC">
            <w:pPr>
              <w:pStyle w:val="Tabletext1"/>
              <w:ind w:left="0" w:right="507"/>
              <w:jc w:val="right"/>
            </w:pPr>
            <w:r w:rsidRPr="00096D98">
              <w:t>3.9</w:t>
            </w:r>
          </w:p>
        </w:tc>
      </w:tr>
      <w:tr w:rsidR="00DB2262" w:rsidRPr="00096D98" w14:paraId="584D7297" w14:textId="77777777" w:rsidTr="004566DC">
        <w:tc>
          <w:tcPr>
            <w:tcW w:w="0" w:type="auto"/>
          </w:tcPr>
          <w:p w14:paraId="5EEC4A50" w14:textId="6B4F8E48" w:rsidR="002D301C" w:rsidRPr="00096D98" w:rsidRDefault="00991812" w:rsidP="004566DC">
            <w:pPr>
              <w:pStyle w:val="Tabletext1"/>
              <w:ind w:left="0"/>
              <w:jc w:val="left"/>
              <w:rPr>
                <w:vertAlign w:val="superscript"/>
              </w:rPr>
            </w:pPr>
            <w:r>
              <w:t>d</w:t>
            </w:r>
            <w:r w:rsidR="00490DAE">
              <w:t xml:space="preserve">e Becdelievre et al. </w:t>
            </w:r>
            <w:r w:rsidR="00490DAE">
              <w:fldChar w:fldCharType="begin">
                <w:fldData xml:space="preserve">PEVuZE5vdGU+PENpdGUgRXhjbHVkZUF1dGg9IjEiPjxBdXRob3I+ZGUgQmVjZGVsaWV2cmU8L0F1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</w:fldData>
              </w:fldChar>
            </w:r>
            <w:r w:rsidR="00490DAE">
              <w:instrText xml:space="preserve"> ADDIN EN.CITE </w:instrText>
            </w:r>
            <w:r w:rsidR="00490DAE">
              <w:fldChar w:fldCharType="begin">
                <w:fldData xml:space="preserve">PEVuZE5vdGU+PENpdGUgRXhjbHVkZUF1dGg9IjEiPjxBdXRob3I+ZGUgQmVjZGVsaWV2cmU8L0F1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</w:fldData>
              </w:fldChar>
            </w:r>
            <w:r w:rsidR="00490DAE">
              <w:instrText xml:space="preserve"> ADDIN EN.CITE.DATA </w:instrText>
            </w:r>
            <w:r w:rsidR="00490DAE">
              <w:fldChar w:fldCharType="end"/>
            </w:r>
            <w:r w:rsidR="00490DAE">
              <w:fldChar w:fldCharType="separate"/>
            </w:r>
            <w:r w:rsidR="00490DAE">
              <w:rPr>
                <w:noProof/>
              </w:rPr>
              <w:t>(</w:t>
            </w:r>
            <w:hyperlink w:anchor="_ENREF_29" w:tooltip="de Becdelievre, 2011 #14" w:history="1">
              <w:r w:rsidR="00B46ABF">
                <w:rPr>
                  <w:noProof/>
                </w:rPr>
                <w:t>2011</w:t>
              </w:r>
            </w:hyperlink>
            <w:r w:rsidR="00490DAE">
              <w:rPr>
                <w:noProof/>
              </w:rPr>
              <w:t>)</w:t>
            </w:r>
            <w:r w:rsidR="00490DAE">
              <w:fldChar w:fldCharType="end"/>
            </w:r>
          </w:p>
        </w:tc>
        <w:tc>
          <w:tcPr>
            <w:tcW w:w="2394" w:type="dxa"/>
          </w:tcPr>
          <w:p w14:paraId="29EBD2C1" w14:textId="69976023" w:rsidR="002D301C" w:rsidRPr="00096D98" w:rsidRDefault="002D301C" w:rsidP="004566DC">
            <w:pPr>
              <w:pStyle w:val="Tabletext1"/>
              <w:ind w:left="0"/>
              <w:jc w:val="left"/>
            </w:pPr>
            <w:r w:rsidRPr="00096D98">
              <w:t>France (1992–2009)</w:t>
            </w:r>
          </w:p>
        </w:tc>
        <w:tc>
          <w:tcPr>
            <w:tcW w:w="1683" w:type="dxa"/>
          </w:tcPr>
          <w:p w14:paraId="5700FAF9" w14:textId="77777777" w:rsidR="002D301C" w:rsidRPr="00096D98" w:rsidRDefault="002D301C" w:rsidP="004566DC">
            <w:pPr>
              <w:pStyle w:val="Tabletext1"/>
              <w:ind w:left="0" w:right="507"/>
              <w:jc w:val="right"/>
            </w:pPr>
            <w:r w:rsidRPr="00096D98">
              <w:t>694</w:t>
            </w:r>
          </w:p>
        </w:tc>
        <w:tc>
          <w:tcPr>
            <w:tcW w:w="0" w:type="auto"/>
          </w:tcPr>
          <w:p w14:paraId="5BA8F986" w14:textId="77777777" w:rsidR="002D301C" w:rsidRPr="00096D98" w:rsidRDefault="002D301C" w:rsidP="004566DC">
            <w:pPr>
              <w:pStyle w:val="Tabletext1"/>
              <w:ind w:left="0" w:right="220"/>
              <w:jc w:val="right"/>
            </w:pPr>
            <w:r w:rsidRPr="00096D98">
              <w:t>30</w:t>
            </w:r>
          </w:p>
        </w:tc>
        <w:tc>
          <w:tcPr>
            <w:tcW w:w="1623" w:type="dxa"/>
          </w:tcPr>
          <w:p w14:paraId="7C796610" w14:textId="77777777" w:rsidR="002D301C" w:rsidRPr="00096D98" w:rsidRDefault="002D301C" w:rsidP="004566DC">
            <w:pPr>
              <w:pStyle w:val="Tabletext1"/>
              <w:ind w:left="0" w:right="507"/>
              <w:jc w:val="right"/>
            </w:pPr>
            <w:r w:rsidRPr="00096D98">
              <w:t>4.3</w:t>
            </w:r>
          </w:p>
        </w:tc>
      </w:tr>
      <w:tr w:rsidR="00DB2262" w:rsidRPr="00096D98" w14:paraId="0D3059B4" w14:textId="77777777" w:rsidTr="004566DC">
        <w:tc>
          <w:tcPr>
            <w:tcW w:w="0" w:type="auto"/>
          </w:tcPr>
          <w:p w14:paraId="2E31F195" w14:textId="6D91C165" w:rsidR="002D301C" w:rsidRPr="00096D98" w:rsidRDefault="002D301C" w:rsidP="004566DC">
            <w:pPr>
              <w:pStyle w:val="Tabletext1"/>
              <w:ind w:left="0"/>
              <w:jc w:val="left"/>
            </w:pPr>
            <w:r w:rsidRPr="00096D98">
              <w:t>Mailath-Pokorn</w:t>
            </w:r>
            <w:r w:rsidR="00490DAE">
              <w:t>y et al</w:t>
            </w:r>
            <w:r w:rsidR="00CA5900">
              <w:t>.</w:t>
            </w:r>
            <w:r w:rsidR="00490DAE">
              <w:t xml:space="preserve"> </w:t>
            </w:r>
            <w:r w:rsidR="00490DAE">
              <w:fldChar w:fldCharType="begin">
                <w:fldData xml:space="preserve">PEVuZE5vdGU+PENpdGUgRXhjbHVkZUF1dGg9IjEiPjxBdXRob3I+TWFpbGF0aC1Qb2tvcm55PC9B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</w:fldData>
              </w:fldChar>
            </w:r>
            <w:r w:rsidR="00490DAE">
              <w:instrText xml:space="preserve"> ADDIN EN.CITE </w:instrText>
            </w:r>
            <w:r w:rsidR="00490DAE">
              <w:fldChar w:fldCharType="begin">
                <w:fldData xml:space="preserve">PEVuZE5vdGU+PENpdGUgRXhjbHVkZUF1dGg9IjEiPjxBdXRob3I+TWFpbGF0aC1Qb2tvcm55PC9B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</w:fldData>
              </w:fldChar>
            </w:r>
            <w:r w:rsidR="00490DAE">
              <w:instrText xml:space="preserve"> ADDIN EN.CITE.DATA </w:instrText>
            </w:r>
            <w:r w:rsidR="00490DAE">
              <w:fldChar w:fldCharType="end"/>
            </w:r>
            <w:r w:rsidR="00490DAE">
              <w:fldChar w:fldCharType="separate"/>
            </w:r>
            <w:r w:rsidR="00490DAE">
              <w:rPr>
                <w:noProof/>
              </w:rPr>
              <w:t>(</w:t>
            </w:r>
            <w:hyperlink w:anchor="_ENREF_71" w:tooltip="Mailath-Pokorny, 2012 #34" w:history="1">
              <w:r w:rsidR="00B46ABF">
                <w:rPr>
                  <w:noProof/>
                </w:rPr>
                <w:t>2012</w:t>
              </w:r>
            </w:hyperlink>
            <w:r w:rsidR="00490DAE">
              <w:rPr>
                <w:noProof/>
              </w:rPr>
              <w:t>)</w:t>
            </w:r>
            <w:r w:rsidR="00490DAE">
              <w:fldChar w:fldCharType="end"/>
            </w:r>
          </w:p>
        </w:tc>
        <w:tc>
          <w:tcPr>
            <w:tcW w:w="2394" w:type="dxa"/>
          </w:tcPr>
          <w:p w14:paraId="4D0DBC17" w14:textId="6B04C57D" w:rsidR="002D301C" w:rsidRPr="00096D98" w:rsidRDefault="002D301C" w:rsidP="004566DC">
            <w:pPr>
              <w:pStyle w:val="Tabletext1"/>
              <w:ind w:left="0"/>
              <w:jc w:val="left"/>
            </w:pPr>
            <w:r w:rsidRPr="00096D98">
              <w:t>Austria (1998–2011)</w:t>
            </w:r>
          </w:p>
        </w:tc>
        <w:tc>
          <w:tcPr>
            <w:tcW w:w="1683" w:type="dxa"/>
          </w:tcPr>
          <w:p w14:paraId="22F5ABD4" w14:textId="77777777" w:rsidR="002D301C" w:rsidRPr="00096D98" w:rsidRDefault="002D301C" w:rsidP="004566DC">
            <w:pPr>
              <w:pStyle w:val="Tabletext1"/>
              <w:ind w:left="0" w:right="507"/>
              <w:jc w:val="right"/>
            </w:pPr>
            <w:r w:rsidRPr="00096D98">
              <w:t>66</w:t>
            </w:r>
          </w:p>
        </w:tc>
        <w:tc>
          <w:tcPr>
            <w:tcW w:w="0" w:type="auto"/>
          </w:tcPr>
          <w:p w14:paraId="45CDA5F4" w14:textId="77777777" w:rsidR="002D301C" w:rsidRPr="00096D98" w:rsidRDefault="002D301C" w:rsidP="004566DC">
            <w:pPr>
              <w:pStyle w:val="Tabletext1"/>
              <w:ind w:left="0" w:right="220"/>
              <w:jc w:val="right"/>
            </w:pPr>
            <w:r w:rsidRPr="00096D98">
              <w:t>3</w:t>
            </w:r>
          </w:p>
        </w:tc>
        <w:tc>
          <w:tcPr>
            <w:tcW w:w="1623" w:type="dxa"/>
          </w:tcPr>
          <w:p w14:paraId="7D64557B" w14:textId="77777777" w:rsidR="002D301C" w:rsidRPr="00096D98" w:rsidRDefault="002D301C" w:rsidP="004566DC">
            <w:pPr>
              <w:pStyle w:val="Tabletext1"/>
              <w:ind w:left="0" w:right="507"/>
              <w:jc w:val="right"/>
            </w:pPr>
            <w:r w:rsidRPr="00096D98">
              <w:t>4.5</w:t>
            </w:r>
          </w:p>
        </w:tc>
      </w:tr>
      <w:tr w:rsidR="00DB2262" w:rsidRPr="00096D98" w14:paraId="27CD1F89" w14:textId="77777777" w:rsidTr="004566DC">
        <w:tc>
          <w:tcPr>
            <w:tcW w:w="0" w:type="auto"/>
          </w:tcPr>
          <w:p w14:paraId="12EE1859" w14:textId="31192E7E" w:rsidR="002D301C" w:rsidRPr="00096D98" w:rsidRDefault="00490DAE" w:rsidP="004566DC">
            <w:pPr>
              <w:pStyle w:val="Tabletext1"/>
              <w:ind w:left="0"/>
              <w:jc w:val="left"/>
            </w:pPr>
            <w:r>
              <w:t xml:space="preserve">Slotnick </w:t>
            </w:r>
            <w:r w:rsidR="00E17CCD">
              <w:t xml:space="preserve">&amp; </w:t>
            </w:r>
            <w:r>
              <w:t xml:space="preserve">Abuhamad </w:t>
            </w:r>
            <w:r>
              <w:fldChar w:fldCharType="begin"/>
            </w:r>
            <w:r>
              <w:instrText xml:space="preserve"> ADDIN EN.CITE &lt;EndNote&gt;&lt;Cite ExcludeAuth="1"&gt;&lt;Author&gt;Slotnick&lt;/Author&gt;&lt;Year&gt;1996&lt;/Year&gt;&lt;RecNum&gt;65&lt;/RecNum&gt;&lt;IDText&gt;85-7&lt;/IDText&gt;&lt;DisplayText&gt;(1996)&lt;/DisplayText&gt;&lt;record&gt;&lt;rec-number&gt;65&lt;/rec-number&gt;&lt;foreign-keys&gt;&lt;key app="EN" db-id="parffa0acae2voep5w3vv9rypas2tr522eef" timestamp="1430365850"&gt;65&lt;/key&gt;&lt;/foreign-keys&gt;&lt;ref-type name="Journal Article"&gt;17&lt;/ref-type&gt;&lt;contributors&gt;&lt;authors&gt;&lt;author&gt;Slotnick, R. N.&lt;/author&gt;&lt;author&gt;Abuhamad, A. Z.&lt;/author&gt;&lt;/authors&gt;&lt;/contributors&gt;&lt;auth-address&gt;Department of Obstetrics and Gynecology, Eastern Virginia Medical School, Norfolk 23507, USA.&lt;/auth-address&gt;&lt;titles&gt;&lt;title&gt;Prognostic implications of fetal echogenic bowel&lt;/title&gt;&lt;secondary-title&gt;Lancet&lt;/secondary-title&gt;&lt;alt-title&gt;Lancet&lt;/alt-title&gt;&lt;/titles&gt;&lt;periodical&gt;&lt;full-title&gt;Lancet&lt;/full-title&gt;&lt;abbr-1&gt;Lancet&lt;/abbr-1&gt;&lt;/periodical&gt;&lt;alt-periodical&gt;&lt;full-title&gt;Lancet&lt;/full-title&gt;&lt;abbr-1&gt;Lancet&lt;/abbr-1&gt;&lt;/alt-periodical&gt;&lt;pages&gt;85-7&lt;/pages&gt;&lt;volume&gt;347&lt;/volume&gt;&lt;number&gt;8994&lt;/number&gt;&lt;edition&gt;1996/01/13&lt;/edition&gt;&lt;keywords&gt;&lt;keyword&gt;Cystic Fibrosis/genetics/*ultrasonography&lt;/keyword&gt;&lt;keyword&gt;Down Syndrome/genetics/*ultrasonography&lt;/keyword&gt;&lt;keyword&gt;Female&lt;/keyword&gt;&lt;keyword&gt;Genetic Counseling&lt;/keyword&gt;&lt;keyword&gt;Heterozygote Detection&lt;/keyword&gt;&lt;keyword&gt;Humans&lt;/keyword&gt;&lt;keyword&gt;Infant, Newborn&lt;/keyword&gt;&lt;keyword&gt;Intestine, Large/*ultrasonography&lt;/keyword&gt;&lt;keyword&gt;Male&lt;/keyword&gt;&lt;keyword&gt;Pregnancy&lt;/keyword&gt;&lt;keyword&gt;Risk&lt;/keyword&gt;&lt;keyword&gt;Ultrasonography, Prenatal&lt;/keyword&gt;&lt;/keywords&gt;&lt;dates&gt;&lt;year&gt;1996&lt;/year&gt;&lt;pub-dates&gt;&lt;date&gt;Jan 13&lt;/date&gt;&lt;/pub-dates&gt;&lt;/dates&gt;&lt;isbn&gt;0140-6736 (Print)&amp;#xD;0140-6736&lt;/isbn&gt;&lt;accession-num&gt;8538346&lt;/accession-num&gt;&lt;urls&gt;&lt;/urls&gt;&lt;remote-database-provider&gt;NLM&lt;/remote-database-provider&gt;&lt;language&gt;eng&lt;/language&gt;&lt;/record&gt;&lt;/Cite&gt;&lt;/EndNote&gt;</w:instrText>
            </w:r>
            <w:r>
              <w:fldChar w:fldCharType="separate"/>
            </w:r>
            <w:r>
              <w:rPr>
                <w:noProof/>
              </w:rPr>
              <w:t>(</w:t>
            </w:r>
            <w:hyperlink w:anchor="_ENREF_116" w:tooltip="Slotnick, 1996 #65" w:history="1">
              <w:r w:rsidR="00B46ABF">
                <w:rPr>
                  <w:noProof/>
                </w:rPr>
                <w:t>1996</w:t>
              </w:r>
            </w:hyperlink>
            <w:r>
              <w:rPr>
                <w:noProof/>
              </w:rPr>
              <w:t>)</w:t>
            </w:r>
            <w:r>
              <w:fldChar w:fldCharType="end"/>
            </w:r>
          </w:p>
        </w:tc>
        <w:tc>
          <w:tcPr>
            <w:tcW w:w="2394" w:type="dxa"/>
          </w:tcPr>
          <w:p w14:paraId="5328CC86" w14:textId="77777777" w:rsidR="002D301C" w:rsidRPr="00096D98" w:rsidRDefault="002D301C" w:rsidP="004566DC">
            <w:pPr>
              <w:pStyle w:val="Tabletext1"/>
              <w:ind w:left="0"/>
              <w:jc w:val="left"/>
            </w:pPr>
            <w:r w:rsidRPr="00096D98">
              <w:t>USA (16 months)</w:t>
            </w:r>
          </w:p>
        </w:tc>
        <w:tc>
          <w:tcPr>
            <w:tcW w:w="1683" w:type="dxa"/>
          </w:tcPr>
          <w:p w14:paraId="5F3B0160" w14:textId="77777777" w:rsidR="002D301C" w:rsidRPr="00096D98" w:rsidRDefault="002D301C" w:rsidP="004566DC">
            <w:pPr>
              <w:pStyle w:val="Tabletext1"/>
              <w:ind w:left="0" w:right="507"/>
              <w:jc w:val="right"/>
            </w:pPr>
            <w:r w:rsidRPr="00096D98">
              <w:t>145</w:t>
            </w:r>
          </w:p>
        </w:tc>
        <w:tc>
          <w:tcPr>
            <w:tcW w:w="0" w:type="auto"/>
          </w:tcPr>
          <w:p w14:paraId="75B0B1C3" w14:textId="77777777" w:rsidR="002D301C" w:rsidRPr="00096D98" w:rsidRDefault="002D301C" w:rsidP="004566DC">
            <w:pPr>
              <w:pStyle w:val="Tabletext1"/>
              <w:ind w:left="0" w:right="220"/>
              <w:jc w:val="right"/>
            </w:pPr>
            <w:r w:rsidRPr="00096D98">
              <w:t>7</w:t>
            </w:r>
          </w:p>
        </w:tc>
        <w:tc>
          <w:tcPr>
            <w:tcW w:w="1623" w:type="dxa"/>
          </w:tcPr>
          <w:p w14:paraId="16A089A4" w14:textId="77777777" w:rsidR="002D301C" w:rsidRPr="00096D98" w:rsidRDefault="002D301C" w:rsidP="004566DC">
            <w:pPr>
              <w:pStyle w:val="Tabletext1"/>
              <w:ind w:left="0" w:right="507"/>
              <w:jc w:val="right"/>
            </w:pPr>
            <w:r w:rsidRPr="00096D98">
              <w:t>4.8</w:t>
            </w:r>
          </w:p>
        </w:tc>
      </w:tr>
      <w:tr w:rsidR="00DB2262" w:rsidRPr="00096D98" w14:paraId="536EBA34" w14:textId="77777777" w:rsidTr="004566DC">
        <w:tc>
          <w:tcPr>
            <w:tcW w:w="0" w:type="auto"/>
          </w:tcPr>
          <w:p w14:paraId="033FA523" w14:textId="0BB52F43" w:rsidR="002D301C" w:rsidRPr="00096D98" w:rsidRDefault="00490DAE" w:rsidP="004566DC">
            <w:pPr>
              <w:pStyle w:val="Tabletext1"/>
              <w:ind w:left="0"/>
              <w:jc w:val="left"/>
            </w:pPr>
            <w:r>
              <w:t>Nicholls et al</w:t>
            </w:r>
            <w:r w:rsidR="00CA5900">
              <w:t>.</w:t>
            </w:r>
            <w:r>
              <w:t xml:space="preserve"> </w:t>
            </w:r>
            <w:r>
              <w:fldChar w:fldCharType="begin">
                <w:fldData xml:space="preserve">PEVuZE5vdGU+PENpdGUgRXhjbHVkZUF1dGg9IjEiPjxBdXRob3I+TmljaG9sbHM8L0F1dGhvcj48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PEVuZE5vdGU+PENpdGUgRXhjbHVkZUF1dGg9IjEiPjxBdXRob3I+TmljaG9sbHM8L0F1dGhvcj48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fldChar w:fldCharType="separate"/>
            </w:r>
            <w:r>
              <w:rPr>
                <w:noProof/>
              </w:rPr>
              <w:t>(</w:t>
            </w:r>
            <w:hyperlink w:anchor="_ENREF_91" w:tooltip="Nicholls, 2003 #45" w:history="1">
              <w:r w:rsidR="00B46ABF">
                <w:rPr>
                  <w:noProof/>
                </w:rPr>
                <w:t>2003</w:t>
              </w:r>
            </w:hyperlink>
            <w:r>
              <w:rPr>
                <w:noProof/>
              </w:rPr>
              <w:t>)</w:t>
            </w:r>
            <w:r>
              <w:fldChar w:fldCharType="end"/>
            </w:r>
          </w:p>
        </w:tc>
        <w:tc>
          <w:tcPr>
            <w:tcW w:w="2394" w:type="dxa"/>
          </w:tcPr>
          <w:p w14:paraId="3BAEE570" w14:textId="2E1968C6" w:rsidR="002D301C" w:rsidRPr="00096D98" w:rsidRDefault="002D301C" w:rsidP="004566DC">
            <w:pPr>
              <w:pStyle w:val="Tabletext1"/>
              <w:ind w:left="0"/>
              <w:jc w:val="left"/>
            </w:pPr>
            <w:r w:rsidRPr="00096D98">
              <w:t>Australia (1992</w:t>
            </w:r>
            <w:r w:rsidR="00E712B8">
              <w:t>–</w:t>
            </w:r>
            <w:r w:rsidRPr="00096D98">
              <w:t>2002)</w:t>
            </w:r>
          </w:p>
        </w:tc>
        <w:tc>
          <w:tcPr>
            <w:tcW w:w="1683" w:type="dxa"/>
          </w:tcPr>
          <w:p w14:paraId="3FA4DC98" w14:textId="77777777" w:rsidR="002D301C" w:rsidRPr="00096D98" w:rsidRDefault="002D301C" w:rsidP="004566DC">
            <w:pPr>
              <w:pStyle w:val="Tabletext1"/>
              <w:ind w:left="0" w:right="507"/>
              <w:jc w:val="right"/>
            </w:pPr>
            <w:r w:rsidRPr="00096D98">
              <w:t>35</w:t>
            </w:r>
          </w:p>
        </w:tc>
        <w:tc>
          <w:tcPr>
            <w:tcW w:w="0" w:type="auto"/>
          </w:tcPr>
          <w:p w14:paraId="32AF9B12" w14:textId="77777777" w:rsidR="002D301C" w:rsidRPr="00096D98" w:rsidRDefault="002D301C" w:rsidP="004566DC">
            <w:pPr>
              <w:pStyle w:val="Tabletext1"/>
              <w:ind w:left="0" w:right="220"/>
              <w:jc w:val="right"/>
            </w:pPr>
            <w:r w:rsidRPr="00096D98">
              <w:t>2</w:t>
            </w:r>
          </w:p>
        </w:tc>
        <w:tc>
          <w:tcPr>
            <w:tcW w:w="1623" w:type="dxa"/>
          </w:tcPr>
          <w:p w14:paraId="15DCD1F1" w14:textId="77777777" w:rsidR="002D301C" w:rsidRPr="00096D98" w:rsidRDefault="002D301C" w:rsidP="004566DC">
            <w:pPr>
              <w:pStyle w:val="Tabletext1"/>
              <w:ind w:left="0" w:right="507"/>
              <w:jc w:val="right"/>
            </w:pPr>
            <w:r w:rsidRPr="00096D98">
              <w:t>5.7</w:t>
            </w:r>
          </w:p>
        </w:tc>
      </w:tr>
      <w:tr w:rsidR="00DB2262" w:rsidRPr="00096D98" w14:paraId="1489FF0E" w14:textId="77777777" w:rsidTr="004566DC">
        <w:tc>
          <w:tcPr>
            <w:tcW w:w="0" w:type="auto"/>
          </w:tcPr>
          <w:p w14:paraId="59EA4ACF" w14:textId="40E2E2A6" w:rsidR="002D301C" w:rsidRPr="00096D98" w:rsidRDefault="00490DAE" w:rsidP="004566DC">
            <w:pPr>
              <w:pStyle w:val="Tabletext1"/>
              <w:ind w:left="0"/>
              <w:jc w:val="left"/>
            </w:pPr>
            <w:r>
              <w:t>Scotet et al</w:t>
            </w:r>
            <w:r w:rsidR="00CA5900">
              <w:t>.</w:t>
            </w:r>
            <w:r>
              <w:t xml:space="preserve"> </w:t>
            </w:r>
            <w:r>
              <w:fldChar w:fldCharType="begin">
                <w:fldData xml:space="preserve">PEVuZE5vdGU+PENpdGUgRXhjbHVkZUF1dGg9IjEiPjxBdXRob3I+U2NvdGV0PC9BdXRob3I+PFll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eTwvYWJici0xPjwvYWx0LXBlcmlvZGljYWw+PHBhZ2VzPjU5Mi5lMS02PC9wYWdlcz48dm9sdW1l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PEVuZE5vdGU+PENpdGUgRXhjbHVkZUF1dGg9IjEiPjxBdXRob3I+U2NvdGV0PC9BdXRob3I+PFll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eTwvYWJici0xPjwvYWx0LXBlcmlvZGljYWw+PHBhZ2VzPjU5Mi5lMS02PC9wYWdlcz48dm9sdW1l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w:t>
            </w:r>
            <w:hyperlink w:anchor="_ENREF_112" w:tooltip="Scotet, 2010 #55" w:history="1">
              <w:r w:rsidR="00B46ABF">
                <w:rPr>
                  <w:noProof/>
                </w:rPr>
                <w:t>2010</w:t>
              </w:r>
            </w:hyperlink>
            <w:r>
              <w:rPr>
                <w:noProof/>
              </w:rPr>
              <w:t>)</w:t>
            </w:r>
            <w:r>
              <w:fldChar w:fldCharType="end"/>
            </w:r>
          </w:p>
        </w:tc>
        <w:tc>
          <w:tcPr>
            <w:tcW w:w="2394" w:type="dxa"/>
          </w:tcPr>
          <w:p w14:paraId="0C44D2F3" w14:textId="515DDB0B" w:rsidR="002D301C" w:rsidRPr="00096D98" w:rsidRDefault="002D301C" w:rsidP="004566DC">
            <w:pPr>
              <w:pStyle w:val="Tabletext1"/>
              <w:ind w:left="0"/>
              <w:jc w:val="left"/>
            </w:pPr>
            <w:r w:rsidRPr="00096D98">
              <w:t>France (1992–2007)</w:t>
            </w:r>
          </w:p>
        </w:tc>
        <w:tc>
          <w:tcPr>
            <w:tcW w:w="1683" w:type="dxa"/>
          </w:tcPr>
          <w:p w14:paraId="475D6F65" w14:textId="77777777" w:rsidR="002D301C" w:rsidRPr="00096D98" w:rsidRDefault="002D301C" w:rsidP="004566DC">
            <w:pPr>
              <w:pStyle w:val="Tabletext1"/>
              <w:ind w:left="0" w:right="507"/>
              <w:jc w:val="right"/>
            </w:pPr>
            <w:r w:rsidRPr="00096D98">
              <w:t>289</w:t>
            </w:r>
          </w:p>
        </w:tc>
        <w:tc>
          <w:tcPr>
            <w:tcW w:w="0" w:type="auto"/>
          </w:tcPr>
          <w:p w14:paraId="66875B98" w14:textId="77777777" w:rsidR="002D301C" w:rsidRPr="00096D98" w:rsidRDefault="002D301C" w:rsidP="004566DC">
            <w:pPr>
              <w:pStyle w:val="Tabletext1"/>
              <w:ind w:left="0" w:right="220"/>
              <w:jc w:val="right"/>
            </w:pPr>
            <w:r w:rsidRPr="00096D98">
              <w:t>23</w:t>
            </w:r>
          </w:p>
        </w:tc>
        <w:tc>
          <w:tcPr>
            <w:tcW w:w="1623" w:type="dxa"/>
          </w:tcPr>
          <w:p w14:paraId="71D1B141" w14:textId="77777777" w:rsidR="002D301C" w:rsidRPr="00096D98" w:rsidRDefault="002D301C" w:rsidP="004566DC">
            <w:pPr>
              <w:pStyle w:val="Tabletext1"/>
              <w:ind w:left="0" w:right="507"/>
              <w:jc w:val="right"/>
            </w:pPr>
            <w:r w:rsidRPr="00096D98">
              <w:t>8.0</w:t>
            </w:r>
          </w:p>
        </w:tc>
      </w:tr>
      <w:tr w:rsidR="00DB2262" w:rsidRPr="00096D98" w14:paraId="15BF9439" w14:textId="77777777" w:rsidTr="004566DC">
        <w:tc>
          <w:tcPr>
            <w:tcW w:w="0" w:type="auto"/>
          </w:tcPr>
          <w:p w14:paraId="0D0A7A0E" w14:textId="21339826" w:rsidR="002D301C" w:rsidRPr="00096D98" w:rsidRDefault="002D301C" w:rsidP="004566DC">
            <w:pPr>
              <w:pStyle w:val="Tabletext1"/>
              <w:ind w:left="0"/>
              <w:jc w:val="left"/>
            </w:pPr>
            <w:r w:rsidRPr="00096D98">
              <w:t xml:space="preserve">Scotet et al. </w:t>
            </w:r>
            <w:r w:rsidR="00490DAE">
              <w:fldChar w:fldCharType="begin">
                <w:fldData xml:space="preserve">PEVuZE5vdGU+PENpdGUgRXhjbHVkZUF1dGg9IjEiPjxBdXRob3I+U2NvdGV0PC9BdXRob3I+PFll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</w:fldData>
              </w:fldChar>
            </w:r>
            <w:r w:rsidR="00490DAE">
              <w:instrText xml:space="preserve"> ADDIN EN.CITE </w:instrText>
            </w:r>
            <w:r w:rsidR="00490DAE">
              <w:fldChar w:fldCharType="begin">
                <w:fldData xml:space="preserve">PEVuZE5vdGU+PENpdGUgRXhjbHVkZUF1dGg9IjEiPjxBdXRob3I+U2NvdGV0PC9BdXRob3I+PFll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</w:fldData>
              </w:fldChar>
            </w:r>
            <w:r w:rsidR="00490DAE">
              <w:instrText xml:space="preserve"> ADDIN EN.CITE.DATA </w:instrText>
            </w:r>
            <w:r w:rsidR="00490DAE">
              <w:fldChar w:fldCharType="end"/>
            </w:r>
            <w:r w:rsidR="00490DAE">
              <w:fldChar w:fldCharType="separate"/>
            </w:r>
            <w:r w:rsidR="00490DAE">
              <w:rPr>
                <w:noProof/>
              </w:rPr>
              <w:t>(</w:t>
            </w:r>
            <w:hyperlink w:anchor="_ENREF_110" w:tooltip="Scotet, 2003 #54" w:history="1">
              <w:r w:rsidR="00B46ABF">
                <w:rPr>
                  <w:noProof/>
                </w:rPr>
                <w:t>2003</w:t>
              </w:r>
            </w:hyperlink>
            <w:r w:rsidR="00490DAE">
              <w:rPr>
                <w:noProof/>
              </w:rPr>
              <w:t>)</w:t>
            </w:r>
            <w:r w:rsidR="00490DAE">
              <w:fldChar w:fldCharType="end"/>
            </w:r>
          </w:p>
        </w:tc>
        <w:tc>
          <w:tcPr>
            <w:tcW w:w="2394" w:type="dxa"/>
          </w:tcPr>
          <w:p w14:paraId="65F926E0" w14:textId="77777777" w:rsidR="002D301C" w:rsidRPr="00096D98" w:rsidRDefault="002D301C" w:rsidP="004566DC">
            <w:pPr>
              <w:pStyle w:val="Tabletext1"/>
              <w:ind w:left="0"/>
              <w:jc w:val="left"/>
            </w:pPr>
            <w:r w:rsidRPr="00096D98">
              <w:t>France (1992–2001)</w:t>
            </w:r>
          </w:p>
        </w:tc>
        <w:tc>
          <w:tcPr>
            <w:tcW w:w="1683" w:type="dxa"/>
          </w:tcPr>
          <w:p w14:paraId="22555DA2" w14:textId="77777777" w:rsidR="002D301C" w:rsidRPr="00096D98" w:rsidRDefault="002D301C" w:rsidP="004566DC">
            <w:pPr>
              <w:pStyle w:val="Tabletext1"/>
              <w:ind w:left="0" w:right="507"/>
              <w:jc w:val="right"/>
            </w:pPr>
            <w:r w:rsidRPr="00096D98">
              <w:t>173</w:t>
            </w:r>
          </w:p>
        </w:tc>
        <w:tc>
          <w:tcPr>
            <w:tcW w:w="0" w:type="auto"/>
          </w:tcPr>
          <w:p w14:paraId="3FF5C5CD" w14:textId="77777777" w:rsidR="002D301C" w:rsidRPr="00096D98" w:rsidRDefault="002D301C" w:rsidP="004566DC">
            <w:pPr>
              <w:pStyle w:val="Tabletext1"/>
              <w:ind w:left="0" w:right="220"/>
              <w:jc w:val="right"/>
            </w:pPr>
            <w:r w:rsidRPr="00096D98">
              <w:t>22</w:t>
            </w:r>
          </w:p>
        </w:tc>
        <w:tc>
          <w:tcPr>
            <w:tcW w:w="1623" w:type="dxa"/>
          </w:tcPr>
          <w:p w14:paraId="52B21AEB" w14:textId="77777777" w:rsidR="002D301C" w:rsidRPr="00096D98" w:rsidRDefault="002D301C" w:rsidP="004566DC">
            <w:pPr>
              <w:pStyle w:val="Tabletext1"/>
              <w:ind w:left="0" w:right="507"/>
              <w:jc w:val="right"/>
            </w:pPr>
            <w:r w:rsidRPr="00096D98">
              <w:t>12.7</w:t>
            </w:r>
          </w:p>
        </w:tc>
      </w:tr>
    </w:tbl>
    <w:p w14:paraId="08CB5575" w14:textId="18A923BE" w:rsidR="002D301C" w:rsidRDefault="00F31FAC" w:rsidP="004566DC">
      <w:pPr>
        <w:widowControl w:val="0"/>
        <w:spacing w:after="0" w:line="240" w:lineRule="auto"/>
        <w:rPr>
          <w:rFonts w:ascii="Arial Narrow" w:hAnsi="Arial Narrow" w:cs="Arial"/>
          <w:snapToGrid w:val="0"/>
          <w:sz w:val="18"/>
          <w:szCs w:val="20"/>
          <w:lang w:eastAsia="en-US"/>
        </w:rPr>
      </w:pPr>
      <w:r w:rsidRPr="004566DC">
        <w:rPr>
          <w:rFonts w:ascii="Arial Narrow" w:hAnsi="Arial Narrow" w:cs="Arial"/>
          <w:snapToGrid w:val="0"/>
          <w:sz w:val="18"/>
          <w:szCs w:val="20"/>
          <w:vertAlign w:val="superscript"/>
          <w:lang w:eastAsia="en-US"/>
        </w:rPr>
        <w:t>a</w:t>
      </w:r>
      <w:r w:rsidR="000A4C32">
        <w:rPr>
          <w:rFonts w:ascii="Arial Narrow" w:hAnsi="Arial Narrow" w:cs="Arial"/>
          <w:snapToGrid w:val="0"/>
          <w:sz w:val="18"/>
          <w:szCs w:val="20"/>
          <w:vertAlign w:val="superscript"/>
          <w:lang w:eastAsia="en-US"/>
        </w:rPr>
        <w:t xml:space="preserve"> </w:t>
      </w:r>
      <w:r w:rsidR="002D301C" w:rsidRPr="00096D98">
        <w:rPr>
          <w:rFonts w:ascii="Arial Narrow" w:hAnsi="Arial Narrow" w:cs="Arial"/>
          <w:snapToGrid w:val="0"/>
          <w:sz w:val="18"/>
          <w:szCs w:val="20"/>
          <w:lang w:eastAsia="en-US"/>
        </w:rPr>
        <w:t>Incidence of CF is calculated as N CF</w:t>
      </w:r>
      <w:r w:rsidR="002D301C">
        <w:rPr>
          <w:rFonts w:ascii="Arial Narrow" w:hAnsi="Arial Narrow" w:cs="Arial"/>
          <w:snapToGrid w:val="0"/>
          <w:sz w:val="18"/>
          <w:szCs w:val="20"/>
          <w:lang w:eastAsia="en-US"/>
        </w:rPr>
        <w:t xml:space="preserve"> </w:t>
      </w:r>
      <w:r w:rsidR="002D301C" w:rsidRPr="00096D98">
        <w:rPr>
          <w:rFonts w:ascii="Arial Narrow" w:hAnsi="Arial Narrow" w:cs="Arial"/>
          <w:snapToGrid w:val="0"/>
          <w:sz w:val="18"/>
          <w:szCs w:val="20"/>
          <w:lang w:eastAsia="en-US"/>
        </w:rPr>
        <w:t>+ve / N tested.</w:t>
      </w:r>
    </w:p>
    <w:p w14:paraId="5C768580" w14:textId="77777777" w:rsidR="000A4C32" w:rsidRPr="00096D98" w:rsidRDefault="000A4C32" w:rsidP="000A4C32">
      <w:pPr>
        <w:widowControl w:val="0"/>
        <w:spacing w:after="120" w:line="240" w:lineRule="auto"/>
        <w:rPr>
          <w:rFonts w:ascii="Arial Narrow" w:hAnsi="Arial Narrow" w:cs="Arial"/>
          <w:snapToGrid w:val="0"/>
          <w:sz w:val="18"/>
          <w:szCs w:val="20"/>
          <w:lang w:eastAsia="en-US"/>
        </w:rPr>
      </w:pPr>
      <w:r w:rsidRPr="00096D98">
        <w:rPr>
          <w:rFonts w:ascii="Arial Narrow" w:hAnsi="Arial Narrow" w:cs="Arial"/>
          <w:snapToGrid w:val="0"/>
          <w:sz w:val="18"/>
          <w:szCs w:val="20"/>
          <w:lang w:eastAsia="en-US"/>
        </w:rPr>
        <w:t>CF = cystic fibrosis; FEB = fetal echogenic bowel</w:t>
      </w:r>
    </w:p>
    <w:p w14:paraId="61D8208B" w14:textId="77777777" w:rsidR="00B42948" w:rsidRPr="00393243" w:rsidRDefault="00B42948" w:rsidP="00B42948">
      <w:pPr>
        <w:pStyle w:val="Heading2"/>
      </w:pPr>
      <w:bookmarkStart w:id="581" w:name="_Toc418179978"/>
      <w:r w:rsidRPr="00393243">
        <w:t>Literature search for previously published economic evaluations of prenatal CF diagnosis</w:t>
      </w:r>
      <w:bookmarkEnd w:id="581"/>
    </w:p>
    <w:p w14:paraId="3B6569E9" w14:textId="2BCCF555" w:rsidR="00B42948" w:rsidRDefault="00B42948" w:rsidP="00B42948">
      <w:pPr>
        <w:pStyle w:val="Caption"/>
      </w:pPr>
      <w:bookmarkStart w:id="582" w:name="_Ref413882099"/>
      <w:bookmarkStart w:id="583" w:name="_Toc418179496"/>
      <w:r>
        <w:t xml:space="preserve">Table </w:t>
      </w:r>
      <w:fldSimple w:instr=" SEQ Table \* ARABIC ">
        <w:r w:rsidR="00BB0E3E">
          <w:rPr>
            <w:noProof/>
          </w:rPr>
          <w:t>99</w:t>
        </w:r>
      </w:fldSimple>
      <w:bookmarkEnd w:id="582"/>
      <w:r>
        <w:tab/>
      </w:r>
      <w:r w:rsidRPr="00B6688F">
        <w:t xml:space="preserve">Results of literature search for economic evaluations for prenatal </w:t>
      </w:r>
      <w:r w:rsidR="00FD37D3" w:rsidRPr="00FD37D3">
        <w:t>CFTR</w:t>
      </w:r>
      <w:r w:rsidRPr="00B6688F">
        <w:t xml:space="preserve"> mutation testing</w:t>
      </w:r>
      <w:bookmarkEnd w:id="583"/>
    </w:p>
    <w:tbl>
      <w:tblPr>
        <w:tblStyle w:val="TableGrid"/>
        <w:tblW w:w="9242" w:type="dxa"/>
        <w:tblLook w:val="04A0" w:firstRow="1" w:lastRow="0" w:firstColumn="1" w:lastColumn="0" w:noHBand="0" w:noVBand="1"/>
        <w:tblCaption w:val="Results of the literature search for economic evaluations for prenatal CFTR mutation testing"/>
        <w:tblDescription w:val="Results of the literature search for economic evaluations for prenatal CFTR mutation testing"/>
      </w:tblPr>
      <w:tblGrid>
        <w:gridCol w:w="1101"/>
        <w:gridCol w:w="6767"/>
        <w:gridCol w:w="1374"/>
      </w:tblGrid>
      <w:tr w:rsidR="00B42948" w:rsidRPr="00393243" w14:paraId="6D8374B2" w14:textId="77777777" w:rsidTr="007C1FC6">
        <w:trPr>
          <w:trHeight w:val="300"/>
          <w:tblHeader/>
        </w:trPr>
        <w:tc>
          <w:tcPr>
            <w:tcW w:w="1101" w:type="dxa"/>
            <w:noWrap/>
            <w:hideMark/>
          </w:tcPr>
          <w:p w14:paraId="3C9CDB53" w14:textId="77777777" w:rsidR="00B42948" w:rsidRPr="00393243" w:rsidRDefault="00B42948" w:rsidP="00BB2456">
            <w:pPr>
              <w:pStyle w:val="Caption"/>
              <w:ind w:left="0"/>
              <w:jc w:val="left"/>
            </w:pPr>
            <w:r w:rsidRPr="00393243">
              <w:t>Search</w:t>
            </w:r>
          </w:p>
        </w:tc>
        <w:tc>
          <w:tcPr>
            <w:tcW w:w="6767" w:type="dxa"/>
            <w:noWrap/>
            <w:hideMark/>
          </w:tcPr>
          <w:p w14:paraId="6896C429" w14:textId="77777777" w:rsidR="00B42948" w:rsidRPr="00393243" w:rsidRDefault="00B42948" w:rsidP="00BB2456">
            <w:pPr>
              <w:pStyle w:val="Caption"/>
              <w:ind w:left="0"/>
              <w:jc w:val="left"/>
            </w:pPr>
            <w:r w:rsidRPr="00393243">
              <w:t>Query</w:t>
            </w:r>
          </w:p>
        </w:tc>
        <w:tc>
          <w:tcPr>
            <w:tcW w:w="1374" w:type="dxa"/>
            <w:noWrap/>
            <w:hideMark/>
          </w:tcPr>
          <w:p w14:paraId="7AF03DE5" w14:textId="77777777" w:rsidR="00B42948" w:rsidRPr="00393243" w:rsidRDefault="00B42948" w:rsidP="00BB2456">
            <w:pPr>
              <w:pStyle w:val="Caption"/>
              <w:ind w:left="0"/>
              <w:jc w:val="left"/>
            </w:pPr>
            <w:r w:rsidRPr="00393243">
              <w:t>Results</w:t>
            </w:r>
          </w:p>
        </w:tc>
      </w:tr>
      <w:tr w:rsidR="00B42948" w:rsidRPr="00393243" w14:paraId="5FDCA85A" w14:textId="77777777" w:rsidTr="00BB2456">
        <w:trPr>
          <w:trHeight w:val="300"/>
        </w:trPr>
        <w:tc>
          <w:tcPr>
            <w:tcW w:w="1101" w:type="dxa"/>
            <w:noWrap/>
          </w:tcPr>
          <w:p w14:paraId="6720D044" w14:textId="77777777" w:rsidR="00B42948" w:rsidRPr="00393243" w:rsidRDefault="00B42948" w:rsidP="00BB2456">
            <w:pPr>
              <w:pStyle w:val="Tabletext1"/>
              <w:ind w:left="0"/>
              <w:jc w:val="left"/>
            </w:pPr>
            <w:r w:rsidRPr="00393243">
              <w:t>Pubmed</w:t>
            </w:r>
          </w:p>
        </w:tc>
        <w:tc>
          <w:tcPr>
            <w:tcW w:w="6767" w:type="dxa"/>
            <w:noWrap/>
          </w:tcPr>
          <w:p w14:paraId="70E2A76D" w14:textId="3F9F1E5A" w:rsidR="00B42948" w:rsidRPr="00393243" w:rsidRDefault="00B42948" w:rsidP="00BB2456">
            <w:pPr>
              <w:pStyle w:val="Tabletext1"/>
              <w:ind w:left="0"/>
              <w:jc w:val="left"/>
            </w:pPr>
            <w:r w:rsidRPr="00393243">
              <w:t xml:space="preserve">(Search </w:t>
            </w:r>
            <w:r w:rsidR="00E17CCD">
              <w:t>d</w:t>
            </w:r>
            <w:r w:rsidRPr="00393243">
              <w:t>ate: 17 November 2014)</w:t>
            </w:r>
          </w:p>
        </w:tc>
        <w:tc>
          <w:tcPr>
            <w:tcW w:w="1374" w:type="dxa"/>
            <w:noWrap/>
          </w:tcPr>
          <w:p w14:paraId="423E01ED" w14:textId="77777777" w:rsidR="00B42948" w:rsidRPr="00393243" w:rsidRDefault="00B42948" w:rsidP="00BB2456">
            <w:pPr>
              <w:pStyle w:val="Tabletext1"/>
              <w:ind w:left="0"/>
              <w:jc w:val="left"/>
            </w:pPr>
          </w:p>
        </w:tc>
      </w:tr>
      <w:tr w:rsidR="00B42948" w:rsidRPr="00393243" w14:paraId="1CEED920" w14:textId="77777777" w:rsidTr="00BB2456">
        <w:trPr>
          <w:trHeight w:val="300"/>
        </w:trPr>
        <w:tc>
          <w:tcPr>
            <w:tcW w:w="1101" w:type="dxa"/>
            <w:noWrap/>
            <w:hideMark/>
          </w:tcPr>
          <w:p w14:paraId="2F337AEF" w14:textId="77777777" w:rsidR="00B42948" w:rsidRPr="00393243" w:rsidRDefault="00B42948" w:rsidP="00BB2456">
            <w:pPr>
              <w:pStyle w:val="Tabletext1"/>
              <w:ind w:left="0"/>
              <w:jc w:val="left"/>
            </w:pPr>
            <w:r w:rsidRPr="00393243">
              <w:t>#11</w:t>
            </w:r>
          </w:p>
        </w:tc>
        <w:tc>
          <w:tcPr>
            <w:tcW w:w="6767" w:type="dxa"/>
            <w:noWrap/>
            <w:hideMark/>
          </w:tcPr>
          <w:p w14:paraId="64FFEE6D" w14:textId="672264D8" w:rsidR="00B42948" w:rsidRPr="00393243" w:rsidRDefault="00B42948" w:rsidP="00BB2456">
            <w:pPr>
              <w:pStyle w:val="Tabletext1"/>
              <w:ind w:left="0"/>
              <w:jc w:val="left"/>
            </w:pPr>
            <w:r w:rsidRPr="00393243">
              <w:t xml:space="preserve">Search (((((((cystic fibrosis conductance transmembrane regulator) OR </w:t>
            </w:r>
            <w:r w:rsidR="00FD37D3" w:rsidRPr="00FD37D3">
              <w:t>CFTR</w:t>
            </w:r>
            <w:r w:rsidRPr="00393243">
              <w:t>)) OR ((((cystic fibrosis OR cystic fibrosis [MeSH]))) AND ((gene OR gene* OR carrier* OR prenatal OR antenatal OR fetus* OR fetus* OR fetal OR fetal)))))) AND ((((screen* OR test* OR diagnos*))) AND ((("Cystic Fibrosis Transmembrane Conductance Regulator/diagnostic use"[Mesh]) OR ("Cystic Fibrosis/prevention and control"[Mesh])) OR ("Cystic Fibrosis/diagnosis"[Mesh] AND "Cystic Fibrosis/genetics"[Mesh]))))) AND (((((cost OR economic OR cost-effectiveness)) AND (evaluation OR analysis))) OR ((economics[MeSH Subheading]) OR ('decision analyses'[MeSH Terms] OR 'decision analysis'[MeSH Terms] OR cost-effectiveness[MeSH Terms] OR 'cost analysis''[MeSH Terms])))</w:t>
            </w:r>
          </w:p>
        </w:tc>
        <w:tc>
          <w:tcPr>
            <w:tcW w:w="1374" w:type="dxa"/>
            <w:noWrap/>
            <w:hideMark/>
          </w:tcPr>
          <w:p w14:paraId="496AB000" w14:textId="77777777" w:rsidR="00B42948" w:rsidRPr="00393243" w:rsidRDefault="00B42948" w:rsidP="00BB2456">
            <w:pPr>
              <w:pStyle w:val="Tabletext1"/>
              <w:ind w:left="0"/>
              <w:jc w:val="left"/>
            </w:pPr>
            <w:r w:rsidRPr="00393243">
              <w:t>93</w:t>
            </w:r>
          </w:p>
        </w:tc>
      </w:tr>
      <w:tr w:rsidR="00B42948" w:rsidRPr="00393243" w14:paraId="69083780" w14:textId="77777777" w:rsidTr="00BB2456">
        <w:trPr>
          <w:trHeight w:val="300"/>
        </w:trPr>
        <w:tc>
          <w:tcPr>
            <w:tcW w:w="1101" w:type="dxa"/>
            <w:noWrap/>
          </w:tcPr>
          <w:p w14:paraId="120C7466" w14:textId="77777777" w:rsidR="00B42948" w:rsidRPr="00393243" w:rsidRDefault="00B42948" w:rsidP="00BB2456">
            <w:pPr>
              <w:pStyle w:val="Tabletext1"/>
              <w:ind w:left="0"/>
              <w:jc w:val="left"/>
            </w:pPr>
            <w:r w:rsidRPr="00393243">
              <w:t>Embase</w:t>
            </w:r>
          </w:p>
        </w:tc>
        <w:tc>
          <w:tcPr>
            <w:tcW w:w="6767" w:type="dxa"/>
            <w:noWrap/>
          </w:tcPr>
          <w:p w14:paraId="02DA2362" w14:textId="565C3D6F" w:rsidR="00B42948" w:rsidRPr="00393243" w:rsidRDefault="00B42948" w:rsidP="00BB2456">
            <w:pPr>
              <w:pStyle w:val="Tabletext1"/>
              <w:ind w:left="0"/>
              <w:jc w:val="left"/>
            </w:pPr>
            <w:r w:rsidRPr="00393243">
              <w:t>(12 November 2014)</w:t>
            </w:r>
          </w:p>
        </w:tc>
        <w:tc>
          <w:tcPr>
            <w:tcW w:w="1374" w:type="dxa"/>
            <w:noWrap/>
          </w:tcPr>
          <w:p w14:paraId="058C0E2B" w14:textId="77777777" w:rsidR="00B42948" w:rsidRPr="00393243" w:rsidRDefault="00B42948" w:rsidP="00BB2456">
            <w:pPr>
              <w:pStyle w:val="Tabletext1"/>
              <w:ind w:left="0"/>
              <w:jc w:val="left"/>
            </w:pPr>
          </w:p>
        </w:tc>
      </w:tr>
      <w:tr w:rsidR="00B42948" w:rsidRPr="00393243" w14:paraId="340B77EA" w14:textId="77777777" w:rsidTr="00BB2456">
        <w:trPr>
          <w:trHeight w:val="300"/>
        </w:trPr>
        <w:tc>
          <w:tcPr>
            <w:tcW w:w="1101" w:type="dxa"/>
            <w:noWrap/>
          </w:tcPr>
          <w:p w14:paraId="7B461CF4" w14:textId="77777777" w:rsidR="00B42948" w:rsidRPr="00393243" w:rsidRDefault="00B42948" w:rsidP="00BB2456">
            <w:pPr>
              <w:pStyle w:val="Tabletext1"/>
              <w:ind w:left="0"/>
              <w:jc w:val="left"/>
            </w:pPr>
            <w:r w:rsidRPr="00393243">
              <w:t>#8</w:t>
            </w:r>
          </w:p>
        </w:tc>
        <w:tc>
          <w:tcPr>
            <w:tcW w:w="6767" w:type="dxa"/>
            <w:noWrap/>
          </w:tcPr>
          <w:p w14:paraId="4BD1AA09" w14:textId="2D839394" w:rsidR="00B42948" w:rsidRPr="00393243" w:rsidRDefault="00FD37D3" w:rsidP="00BB2456">
            <w:pPr>
              <w:pStyle w:val="Tabletext1"/>
              <w:ind w:left="0"/>
              <w:jc w:val="left"/>
            </w:pPr>
            <w:r w:rsidRPr="00FD37D3">
              <w:t>CFTR</w:t>
            </w:r>
            <w:r w:rsidR="00B42948" w:rsidRPr="00393243">
              <w:t xml:space="preserve"> OR 'cystic fibrosis transmembrane conductance' OR 'cystic fibrosis' AND ('gene' OR gene* OR carrier* OR prenatal OR antenatal OR fetal OR fetus OR fetal) AND (screen* OR test* OR diagnos*) AND (economic OR cost AND (analysis OR evaluation) </w:t>
            </w:r>
            <w:r w:rsidR="00B42948" w:rsidRPr="00393243">
              <w:lastRenderedPageBreak/>
              <w:t>OR 'cost comparison' OR 'cost effectiveness')</w:t>
            </w:r>
          </w:p>
        </w:tc>
        <w:tc>
          <w:tcPr>
            <w:tcW w:w="1374" w:type="dxa"/>
            <w:noWrap/>
          </w:tcPr>
          <w:p w14:paraId="4574FC9A" w14:textId="77777777" w:rsidR="00B42948" w:rsidRPr="00393243" w:rsidRDefault="00B42948" w:rsidP="00BB2456">
            <w:pPr>
              <w:pStyle w:val="Tabletext1"/>
              <w:ind w:left="0"/>
              <w:jc w:val="left"/>
            </w:pPr>
            <w:r w:rsidRPr="00393243">
              <w:lastRenderedPageBreak/>
              <w:t>388</w:t>
            </w:r>
          </w:p>
        </w:tc>
      </w:tr>
    </w:tbl>
    <w:p w14:paraId="370408ED" w14:textId="3F753021" w:rsidR="00B42948" w:rsidRPr="00393243" w:rsidRDefault="00B42948" w:rsidP="00B42948">
      <w:pPr>
        <w:pStyle w:val="Heading2"/>
      </w:pPr>
      <w:bookmarkStart w:id="584" w:name="_Toc418179979"/>
      <w:r w:rsidRPr="00393243">
        <w:lastRenderedPageBreak/>
        <w:t xml:space="preserve">Literature search for previously published economic evaluations </w:t>
      </w:r>
      <w:r w:rsidR="0093182B">
        <w:t>of</w:t>
      </w:r>
      <w:r w:rsidR="0093182B" w:rsidRPr="00393243">
        <w:t xml:space="preserve"> </w:t>
      </w:r>
      <w:r w:rsidRPr="00393243">
        <w:t>fetus</w:t>
      </w:r>
      <w:r w:rsidR="0093182B">
        <w:t>us</w:t>
      </w:r>
      <w:r w:rsidRPr="00393243">
        <w:t xml:space="preserve"> showing echogenic bowel on the second</w:t>
      </w:r>
      <w:r w:rsidR="000E013B">
        <w:t>-</w:t>
      </w:r>
      <w:r w:rsidRPr="00393243">
        <w:t>trimester ultrasound</w:t>
      </w:r>
      <w:bookmarkEnd w:id="584"/>
    </w:p>
    <w:p w14:paraId="30D7396D" w14:textId="0DC434B6" w:rsidR="00B42948" w:rsidRDefault="00B42948" w:rsidP="00C55256">
      <w:pPr>
        <w:pStyle w:val="Caption"/>
      </w:pPr>
      <w:bookmarkStart w:id="585" w:name="_Ref413882112"/>
      <w:bookmarkStart w:id="586" w:name="_Toc418179497"/>
      <w:r>
        <w:t xml:space="preserve">Table </w:t>
      </w:r>
      <w:fldSimple w:instr=" SEQ Table \* ARABIC ">
        <w:r w:rsidR="00BB0E3E">
          <w:rPr>
            <w:noProof/>
          </w:rPr>
          <w:t>100</w:t>
        </w:r>
      </w:fldSimple>
      <w:bookmarkEnd w:id="585"/>
      <w:r>
        <w:tab/>
      </w:r>
      <w:r w:rsidRPr="00F73FCF">
        <w:t xml:space="preserve">Results of literature search for economic evaluations for prenatal </w:t>
      </w:r>
      <w:r w:rsidR="00FD37D3" w:rsidRPr="00FD37D3">
        <w:t>CFTR</w:t>
      </w:r>
      <w:r w:rsidRPr="00F73FCF">
        <w:t xml:space="preserve"> mutation testing in fetus</w:t>
      </w:r>
      <w:r w:rsidR="0093182B">
        <w:t>us</w:t>
      </w:r>
      <w:r w:rsidRPr="00F73FCF">
        <w:t xml:space="preserve"> showing echogenic bowel</w:t>
      </w:r>
      <w:bookmarkEnd w:id="586"/>
    </w:p>
    <w:tbl>
      <w:tblPr>
        <w:tblStyle w:val="TableGrid"/>
        <w:tblW w:w="9242" w:type="dxa"/>
        <w:tblLook w:val="04A0" w:firstRow="1" w:lastRow="0" w:firstColumn="1" w:lastColumn="0" w:noHBand="0" w:noVBand="1"/>
        <w:tblCaption w:val="Results of the literature search for economic evaluations for prenatal CFTR mutation testing in fetus showing echogenic bowel"/>
        <w:tblDescription w:val="Results of the literature search for economic evaluations for prenatal CFTR mutation testing in fetus showing echogenic bowel"/>
      </w:tblPr>
      <w:tblGrid>
        <w:gridCol w:w="1101"/>
        <w:gridCol w:w="6767"/>
        <w:gridCol w:w="1374"/>
      </w:tblGrid>
      <w:tr w:rsidR="00B42948" w:rsidRPr="00393243" w14:paraId="004B7904" w14:textId="77777777" w:rsidTr="007C1FC6">
        <w:trPr>
          <w:trHeight w:val="300"/>
          <w:tblHeader/>
        </w:trPr>
        <w:tc>
          <w:tcPr>
            <w:tcW w:w="1101" w:type="dxa"/>
            <w:noWrap/>
          </w:tcPr>
          <w:p w14:paraId="4BC2CF75" w14:textId="77777777" w:rsidR="00B42948" w:rsidRPr="00393243" w:rsidRDefault="00B42948" w:rsidP="00BB2456">
            <w:pPr>
              <w:pStyle w:val="Caption"/>
              <w:ind w:left="0"/>
              <w:jc w:val="left"/>
            </w:pPr>
            <w:r w:rsidRPr="00393243">
              <w:t>Search</w:t>
            </w:r>
          </w:p>
        </w:tc>
        <w:tc>
          <w:tcPr>
            <w:tcW w:w="6767" w:type="dxa"/>
            <w:noWrap/>
          </w:tcPr>
          <w:p w14:paraId="0B9D9293" w14:textId="77777777" w:rsidR="00B42948" w:rsidRPr="00393243" w:rsidRDefault="00B42948" w:rsidP="00BB2456">
            <w:pPr>
              <w:pStyle w:val="Caption"/>
              <w:ind w:left="0"/>
              <w:jc w:val="left"/>
            </w:pPr>
            <w:r w:rsidRPr="00393243">
              <w:t>Query</w:t>
            </w:r>
          </w:p>
        </w:tc>
        <w:tc>
          <w:tcPr>
            <w:tcW w:w="1374" w:type="dxa"/>
            <w:noWrap/>
          </w:tcPr>
          <w:p w14:paraId="370CC76D" w14:textId="77777777" w:rsidR="00B42948" w:rsidRPr="00393243" w:rsidRDefault="00B42948" w:rsidP="00BB2456">
            <w:pPr>
              <w:pStyle w:val="Caption"/>
              <w:ind w:left="0"/>
              <w:jc w:val="left"/>
            </w:pPr>
            <w:r w:rsidRPr="00393243">
              <w:t>Results</w:t>
            </w:r>
          </w:p>
        </w:tc>
      </w:tr>
      <w:tr w:rsidR="00B42948" w:rsidRPr="00393243" w14:paraId="466E3F4B" w14:textId="77777777" w:rsidTr="00BB2456">
        <w:trPr>
          <w:trHeight w:val="300"/>
        </w:trPr>
        <w:tc>
          <w:tcPr>
            <w:tcW w:w="1101" w:type="dxa"/>
            <w:noWrap/>
          </w:tcPr>
          <w:p w14:paraId="6A6E4ED0" w14:textId="77777777" w:rsidR="00B42948" w:rsidRPr="00393243" w:rsidRDefault="00B42948" w:rsidP="00BB2456">
            <w:pPr>
              <w:pStyle w:val="TableText0"/>
              <w:ind w:left="0"/>
              <w:jc w:val="left"/>
            </w:pPr>
            <w:r w:rsidRPr="00393243">
              <w:t>Pubmed</w:t>
            </w:r>
          </w:p>
        </w:tc>
        <w:tc>
          <w:tcPr>
            <w:tcW w:w="6767" w:type="dxa"/>
            <w:noWrap/>
          </w:tcPr>
          <w:p w14:paraId="24D282E4" w14:textId="601DBEB6" w:rsidR="00B42948" w:rsidRPr="00393243" w:rsidRDefault="00B42948" w:rsidP="00BB2456">
            <w:pPr>
              <w:pStyle w:val="TableText0"/>
              <w:ind w:left="0"/>
              <w:jc w:val="left"/>
            </w:pPr>
            <w:r w:rsidRPr="00393243">
              <w:t xml:space="preserve">(Search </w:t>
            </w:r>
            <w:r w:rsidR="00E17CCD">
              <w:t>d</w:t>
            </w:r>
            <w:r w:rsidRPr="00393243">
              <w:t>ate: 9 December 2014)</w:t>
            </w:r>
          </w:p>
        </w:tc>
        <w:tc>
          <w:tcPr>
            <w:tcW w:w="1374" w:type="dxa"/>
            <w:noWrap/>
          </w:tcPr>
          <w:p w14:paraId="3AF43A52" w14:textId="77777777" w:rsidR="00B42948" w:rsidRPr="00393243" w:rsidRDefault="00B42948" w:rsidP="00BB2456">
            <w:pPr>
              <w:pStyle w:val="TableText0"/>
              <w:ind w:left="0"/>
              <w:jc w:val="left"/>
            </w:pPr>
          </w:p>
        </w:tc>
      </w:tr>
      <w:tr w:rsidR="00B42948" w:rsidRPr="00393243" w14:paraId="6B8E64BD" w14:textId="77777777" w:rsidTr="00BB2456">
        <w:trPr>
          <w:trHeight w:val="300"/>
        </w:trPr>
        <w:tc>
          <w:tcPr>
            <w:tcW w:w="1101" w:type="dxa"/>
            <w:noWrap/>
          </w:tcPr>
          <w:p w14:paraId="0E7F027B" w14:textId="77777777" w:rsidR="00B42948" w:rsidRPr="00393243" w:rsidRDefault="00B42948" w:rsidP="00BB2456">
            <w:pPr>
              <w:pStyle w:val="TableText0"/>
              <w:ind w:left="0"/>
              <w:jc w:val="left"/>
            </w:pPr>
            <w:r w:rsidRPr="00393243">
              <w:t>#3</w:t>
            </w:r>
          </w:p>
        </w:tc>
        <w:tc>
          <w:tcPr>
            <w:tcW w:w="6767" w:type="dxa"/>
            <w:noWrap/>
          </w:tcPr>
          <w:p w14:paraId="398EE12E" w14:textId="77777777" w:rsidR="00B42948" w:rsidRPr="00393243" w:rsidRDefault="00B42948" w:rsidP="00BB2456">
            <w:pPr>
              <w:pStyle w:val="TableText0"/>
              <w:ind w:left="0"/>
              <w:jc w:val="left"/>
            </w:pPr>
            <w:r w:rsidRPr="00393243">
              <w:t>Search ((((((echogenic[Title/Abstract] OR hyperechogenic[Title/Abstract])) AND (bowel[Title/Abstract] OR gut[Title/Abstract])) AND (prenatal[Title/Abstract] OR antinatal[Title/Abstract] OR fetal[Title/Abstract] OR fetal[Title/Abstract] OR pregnancy[Title/Abstract] OR pregnant[Title/Abstract] OR fetus[Title/Abstract] OR fetus[Title/Abstract])) AND cystic fibrosis[Title/Abstract])) AND (((economic[Title/Abstract] OR cost-effectiveness[Title/Abstract] OR cost[Title/Abstract] OR decision[Title/Abstract])) AND (analysis[Title/Abstract] OR evaluation[Title/Abstract]))</w:t>
            </w:r>
          </w:p>
        </w:tc>
        <w:tc>
          <w:tcPr>
            <w:tcW w:w="1374" w:type="dxa"/>
            <w:noWrap/>
          </w:tcPr>
          <w:p w14:paraId="396179E7" w14:textId="77777777" w:rsidR="00B42948" w:rsidRPr="00393243" w:rsidRDefault="00B42948" w:rsidP="00BB2456">
            <w:pPr>
              <w:pStyle w:val="TableText0"/>
              <w:ind w:left="0"/>
              <w:jc w:val="left"/>
            </w:pPr>
            <w:r w:rsidRPr="00393243">
              <w:t>0</w:t>
            </w:r>
          </w:p>
        </w:tc>
      </w:tr>
    </w:tbl>
    <w:p w14:paraId="50BB8DFC" w14:textId="77777777" w:rsidR="00B42948" w:rsidRDefault="00B42948" w:rsidP="00664598">
      <w:pPr>
        <w:pStyle w:val="Tabletext1"/>
      </w:pPr>
    </w:p>
    <w:p w14:paraId="4642E8F8" w14:textId="77777777" w:rsidR="002D301C" w:rsidRPr="00393243" w:rsidRDefault="002D301C" w:rsidP="00664598">
      <w:pPr>
        <w:pStyle w:val="Tabletext1"/>
        <w:sectPr w:rsidR="002D301C" w:rsidRPr="00393243" w:rsidSect="00664598">
          <w:pgSz w:w="11906" w:h="16838"/>
          <w:pgMar w:top="1440" w:right="1440" w:bottom="1440" w:left="1440" w:header="720" w:footer="720" w:gutter="0"/>
          <w:paperSrc w:first="7" w:other="7"/>
          <w:cols w:space="720"/>
          <w:docGrid w:linePitch="360"/>
        </w:sectPr>
      </w:pPr>
    </w:p>
    <w:p w14:paraId="0FF04591" w14:textId="581C3428" w:rsidR="00B42948" w:rsidRPr="001A4A46" w:rsidRDefault="00B42948" w:rsidP="005D7BC1">
      <w:pPr>
        <w:pStyle w:val="Heading1"/>
        <w:tabs>
          <w:tab w:val="left" w:pos="2268"/>
        </w:tabs>
        <w:ind w:left="2268" w:hanging="2268"/>
      </w:pPr>
      <w:bookmarkStart w:id="587" w:name="_Toc418179980"/>
      <w:bookmarkStart w:id="588" w:name="_Ref412627429"/>
      <w:r w:rsidRPr="001A4A46">
        <w:lastRenderedPageBreak/>
        <w:t xml:space="preserve">Appendix </w:t>
      </w:r>
      <w:fldSimple w:instr=" SEQ Appendix \* ALPHABETIC ">
        <w:r w:rsidR="00BB0E3E">
          <w:rPr>
            <w:noProof/>
          </w:rPr>
          <w:t>H</w:t>
        </w:r>
      </w:fldSimple>
      <w:r w:rsidRPr="001A4A46">
        <w:tab/>
      </w:r>
      <w:r w:rsidRPr="00393243">
        <w:t xml:space="preserve">Economic </w:t>
      </w:r>
      <w:r w:rsidR="007957B7">
        <w:t>S</w:t>
      </w:r>
      <w:r w:rsidRPr="00393243">
        <w:t xml:space="preserve">tudies </w:t>
      </w:r>
      <w:r w:rsidR="007957B7">
        <w:t>C</w:t>
      </w:r>
      <w:r w:rsidRPr="00393243">
        <w:t xml:space="preserve">onducted in Australian </w:t>
      </w:r>
      <w:r w:rsidR="007957B7">
        <w:t>S</w:t>
      </w:r>
      <w:r w:rsidRPr="00393243">
        <w:t>etting</w:t>
      </w:r>
      <w:bookmarkEnd w:id="587"/>
    </w:p>
    <w:p w14:paraId="0FA98C7E" w14:textId="77777777" w:rsidR="00B42948" w:rsidRPr="00393243" w:rsidRDefault="00B42948" w:rsidP="0009092C">
      <w:pPr>
        <w:pStyle w:val="TableHeading"/>
      </w:pPr>
      <w:bookmarkStart w:id="589" w:name="_Ref413882209"/>
      <w:bookmarkStart w:id="590" w:name="_Toc418179498"/>
      <w:r w:rsidRPr="00393243">
        <w:t xml:space="preserve">Table </w:t>
      </w:r>
      <w:fldSimple w:instr=" SEQ Table \* ARABIC ">
        <w:r w:rsidR="00BB0E3E">
          <w:rPr>
            <w:noProof/>
          </w:rPr>
          <w:t>101</w:t>
        </w:r>
      </w:fldSimple>
      <w:bookmarkEnd w:id="588"/>
      <w:bookmarkEnd w:id="589"/>
      <w:r w:rsidRPr="00393243">
        <w:tab/>
        <w:t>Economic evaluations identified that investigate cost-effectiveness of prenatal screening in Australia</w:t>
      </w:r>
      <w:bookmarkEnd w:id="590"/>
    </w:p>
    <w:tbl>
      <w:tblPr>
        <w:tblStyle w:val="TableGrid1"/>
        <w:tblW w:w="0" w:type="auto"/>
        <w:tblLook w:val="04A0" w:firstRow="1" w:lastRow="0" w:firstColumn="1" w:lastColumn="0" w:noHBand="0" w:noVBand="1"/>
        <w:tblCaption w:val="Economic evaluations identified that investigate the cost-effectiveness of screening for pre-diabetes/diabetes using patient uptake and test accuracy parameters"/>
        <w:tblDescription w:val="Economic evaluations identified that investigate cost-effectiveness of prenatal screening in Australia"/>
      </w:tblPr>
      <w:tblGrid>
        <w:gridCol w:w="2127"/>
        <w:gridCol w:w="3543"/>
        <w:gridCol w:w="3402"/>
      </w:tblGrid>
      <w:tr w:rsidR="00B42948" w:rsidRPr="00393243" w14:paraId="58166E17" w14:textId="77777777" w:rsidTr="00447183">
        <w:trPr>
          <w:cnfStyle w:val="100000000000" w:firstRow="1" w:lastRow="0" w:firstColumn="0" w:lastColumn="0" w:oddVBand="0" w:evenVBand="0" w:oddHBand="0" w:evenHBand="0" w:firstRowFirstColumn="0" w:firstRowLastColumn="0" w:lastRowFirstColumn="0" w:lastRowLastColumn="0"/>
          <w:tblHeader/>
        </w:trPr>
        <w:tc>
          <w:tcPr>
            <w:tcW w:w="2127" w:type="dxa"/>
          </w:tcPr>
          <w:p w14:paraId="767F75D1" w14:textId="77777777" w:rsidR="00B42948" w:rsidRPr="00393243" w:rsidRDefault="00B42948" w:rsidP="00BB2456">
            <w:pPr>
              <w:pStyle w:val="Caption"/>
              <w:jc w:val="left"/>
              <w:rPr>
                <w:lang w:val="en-GB"/>
              </w:rPr>
            </w:pPr>
            <w:r w:rsidRPr="00393243">
              <w:rPr>
                <w:lang w:val="en-GB"/>
              </w:rPr>
              <w:t>Study</w:t>
            </w:r>
          </w:p>
        </w:tc>
        <w:tc>
          <w:tcPr>
            <w:tcW w:w="3543" w:type="dxa"/>
          </w:tcPr>
          <w:p w14:paraId="12D7CE09" w14:textId="77777777" w:rsidR="00B42948" w:rsidRPr="00393243" w:rsidRDefault="00B42948" w:rsidP="00BB2456">
            <w:pPr>
              <w:pStyle w:val="Caption"/>
              <w:jc w:val="left"/>
              <w:rPr>
                <w:lang w:val="en-GB"/>
              </w:rPr>
            </w:pPr>
            <w:r w:rsidRPr="00393243">
              <w:rPr>
                <w:lang w:val="en-GB"/>
              </w:rPr>
              <w:t>Setting</w:t>
            </w:r>
          </w:p>
        </w:tc>
        <w:tc>
          <w:tcPr>
            <w:tcW w:w="3402" w:type="dxa"/>
          </w:tcPr>
          <w:p w14:paraId="7C07F387" w14:textId="77777777" w:rsidR="00B42948" w:rsidRPr="00393243" w:rsidRDefault="00B42948" w:rsidP="00BB2456">
            <w:pPr>
              <w:pStyle w:val="Caption"/>
              <w:jc w:val="left"/>
              <w:rPr>
                <w:lang w:val="en-GB"/>
              </w:rPr>
            </w:pPr>
            <w:r w:rsidRPr="00393243">
              <w:rPr>
                <w:lang w:val="en-GB"/>
              </w:rPr>
              <w:t>Results</w:t>
            </w:r>
          </w:p>
        </w:tc>
      </w:tr>
      <w:tr w:rsidR="00B42948" w:rsidRPr="00393243" w14:paraId="78180F04" w14:textId="77777777" w:rsidTr="0042252D">
        <w:tc>
          <w:tcPr>
            <w:tcW w:w="2127" w:type="dxa"/>
          </w:tcPr>
          <w:p w14:paraId="6F8A3F7F" w14:textId="4D09D146" w:rsidR="00B42948" w:rsidRPr="00393243" w:rsidRDefault="00B42948" w:rsidP="00F35420">
            <w:pPr>
              <w:pStyle w:val="Tabletext1"/>
              <w:jc w:val="left"/>
              <w:rPr>
                <w:lang w:val="en-GB"/>
              </w:rPr>
            </w:pPr>
            <w:r w:rsidRPr="00393243">
              <w:rPr>
                <w:lang w:val="en-GB"/>
              </w:rPr>
              <w:t>Maxwell et al</w:t>
            </w:r>
            <w:r w:rsidR="000E013B">
              <w:rPr>
                <w:lang w:val="en-GB"/>
              </w:rPr>
              <w:t>.</w:t>
            </w:r>
            <w:r w:rsidRPr="00393243">
              <w:rPr>
                <w:lang w:val="en-GB"/>
              </w:rPr>
              <w:t xml:space="preserve"> (2010)</w:t>
            </w:r>
            <w:r w:rsidR="00F35420" w:rsidDel="00F35420">
              <w:rPr>
                <w:lang w:val="en-GB"/>
              </w:rPr>
              <w:t xml:space="preserve"> </w:t>
            </w:r>
          </w:p>
        </w:tc>
        <w:tc>
          <w:tcPr>
            <w:tcW w:w="3543" w:type="dxa"/>
          </w:tcPr>
          <w:p w14:paraId="25B2CE7E" w14:textId="0CAE561B" w:rsidR="00B42948" w:rsidRPr="00393243" w:rsidRDefault="00B42948" w:rsidP="005347DE">
            <w:pPr>
              <w:pStyle w:val="Tabletext1"/>
              <w:jc w:val="left"/>
              <w:rPr>
                <w:lang w:val="en-GB"/>
              </w:rPr>
            </w:pPr>
            <w:r w:rsidRPr="00393243">
              <w:rPr>
                <w:lang w:val="en-GB"/>
              </w:rPr>
              <w:t>Australian healthcare perspective. Decision tree analysis to compare simultaneous screening and stepwise screening strategies</w:t>
            </w:r>
            <w:r w:rsidR="00E14670">
              <w:rPr>
                <w:lang w:val="en-GB"/>
              </w:rPr>
              <w:t xml:space="preserve"> for couples</w:t>
            </w:r>
            <w:r w:rsidRPr="00393243">
              <w:rPr>
                <w:lang w:val="en-GB"/>
              </w:rPr>
              <w:t xml:space="preserve"> </w:t>
            </w:r>
          </w:p>
        </w:tc>
        <w:tc>
          <w:tcPr>
            <w:tcW w:w="3402" w:type="dxa"/>
          </w:tcPr>
          <w:p w14:paraId="57A88C37" w14:textId="77777777" w:rsidR="00B42948" w:rsidRPr="00393243" w:rsidRDefault="00B42948" w:rsidP="00BB2456">
            <w:pPr>
              <w:pStyle w:val="Tabletext1"/>
              <w:jc w:val="left"/>
              <w:rPr>
                <w:lang w:val="en-GB"/>
              </w:rPr>
            </w:pPr>
            <w:r w:rsidRPr="00393243">
              <w:rPr>
                <w:lang w:val="en-GB"/>
              </w:rPr>
              <w:t xml:space="preserve">Outcome measured as cost per CF birth averted. </w:t>
            </w:r>
          </w:p>
        </w:tc>
      </w:tr>
      <w:tr w:rsidR="00B42948" w:rsidRPr="00393243" w14:paraId="3693A7FB" w14:textId="77777777" w:rsidTr="0042252D">
        <w:tc>
          <w:tcPr>
            <w:tcW w:w="2127" w:type="dxa"/>
          </w:tcPr>
          <w:p w14:paraId="4E050204" w14:textId="1729FDF6" w:rsidR="00B42948" w:rsidRPr="00393243" w:rsidRDefault="00B42948" w:rsidP="00F35420">
            <w:pPr>
              <w:pStyle w:val="Tabletext1"/>
              <w:jc w:val="left"/>
              <w:rPr>
                <w:lang w:val="en-GB"/>
              </w:rPr>
            </w:pPr>
            <w:r w:rsidRPr="00393243">
              <w:rPr>
                <w:lang w:val="en-GB"/>
              </w:rPr>
              <w:t>Norman et al</w:t>
            </w:r>
            <w:r w:rsidR="000E013B">
              <w:rPr>
                <w:lang w:val="en-GB"/>
              </w:rPr>
              <w:t>.</w:t>
            </w:r>
            <w:r w:rsidRPr="00393243">
              <w:rPr>
                <w:lang w:val="en-GB"/>
              </w:rPr>
              <w:t xml:space="preserve"> (2012)</w:t>
            </w:r>
            <w:r w:rsidR="00F35420" w:rsidDel="00F35420">
              <w:rPr>
                <w:lang w:val="en-GB"/>
              </w:rPr>
              <w:t xml:space="preserve"> </w:t>
            </w:r>
          </w:p>
        </w:tc>
        <w:tc>
          <w:tcPr>
            <w:tcW w:w="3543" w:type="dxa"/>
          </w:tcPr>
          <w:p w14:paraId="312B2D25" w14:textId="41008A07" w:rsidR="00B42948" w:rsidRPr="00393243" w:rsidRDefault="00B42948" w:rsidP="005347DE">
            <w:pPr>
              <w:pStyle w:val="Tabletext1"/>
              <w:jc w:val="left"/>
              <w:rPr>
                <w:lang w:val="en-GB"/>
              </w:rPr>
            </w:pPr>
            <w:r w:rsidRPr="00393243">
              <w:rPr>
                <w:lang w:val="en-GB"/>
              </w:rPr>
              <w:t>Australian healthcare system. Decision tree modelling to evaluate the cost-effectiveness of national carrier screening for CF, including both initial and subsequent pregnancies (</w:t>
            </w:r>
            <w:r w:rsidR="000E013B">
              <w:rPr>
                <w:lang w:val="en-GB"/>
              </w:rPr>
              <w:t xml:space="preserve">for </w:t>
            </w:r>
            <w:r w:rsidRPr="00393243">
              <w:rPr>
                <w:lang w:val="en-GB"/>
              </w:rPr>
              <w:t>couple</w:t>
            </w:r>
            <w:r w:rsidR="000E013B">
              <w:rPr>
                <w:lang w:val="en-GB"/>
              </w:rPr>
              <w:t>s</w:t>
            </w:r>
            <w:r w:rsidRPr="00393243">
              <w:rPr>
                <w:lang w:val="en-GB"/>
              </w:rPr>
              <w:t xml:space="preserve"> identified as carriers in initial pregnancies). Couples with subsequent pregnancies </w:t>
            </w:r>
            <w:r w:rsidRPr="00393243">
              <w:t xml:space="preserve">have reproductive choices such as pre-implantation diagnosis, abstaining </w:t>
            </w:r>
            <w:r w:rsidR="00E14670">
              <w:t xml:space="preserve">from </w:t>
            </w:r>
            <w:r w:rsidRPr="00393243">
              <w:t>reproduction and planning for prenatal diagnosis.</w:t>
            </w:r>
          </w:p>
        </w:tc>
        <w:tc>
          <w:tcPr>
            <w:tcW w:w="3402" w:type="dxa"/>
          </w:tcPr>
          <w:p w14:paraId="606FA82D" w14:textId="77777777" w:rsidR="00B42948" w:rsidRPr="00393243" w:rsidRDefault="00B42948" w:rsidP="00BB2456">
            <w:pPr>
              <w:pStyle w:val="Tabletext1"/>
              <w:jc w:val="left"/>
              <w:rPr>
                <w:lang w:val="en-GB"/>
              </w:rPr>
            </w:pPr>
            <w:r w:rsidRPr="00393243">
              <w:rPr>
                <w:lang w:val="en-GB"/>
              </w:rPr>
              <w:t xml:space="preserve">Outcome was measured as cost per CF birth averted. </w:t>
            </w:r>
          </w:p>
        </w:tc>
      </w:tr>
    </w:tbl>
    <w:p w14:paraId="59A015A9" w14:textId="4CBC0935" w:rsidR="00B42948" w:rsidRPr="00393243" w:rsidRDefault="00B42948" w:rsidP="00B42948">
      <w:pPr>
        <w:widowControl w:val="0"/>
        <w:spacing w:after="120" w:line="240" w:lineRule="auto"/>
        <w:rPr>
          <w:rFonts w:ascii="Arial Narrow" w:hAnsi="Arial Narrow" w:cs="Arial"/>
          <w:snapToGrid w:val="0"/>
          <w:sz w:val="18"/>
          <w:szCs w:val="20"/>
          <w:lang w:eastAsia="en-US"/>
        </w:rPr>
      </w:pPr>
      <w:r w:rsidRPr="00393243">
        <w:rPr>
          <w:rFonts w:ascii="Arial Narrow" w:hAnsi="Arial Narrow" w:cs="Arial"/>
          <w:snapToGrid w:val="0"/>
          <w:sz w:val="18"/>
          <w:szCs w:val="20"/>
          <w:lang w:eastAsia="en-US"/>
        </w:rPr>
        <w:t xml:space="preserve">CF = cystic fibrosis </w:t>
      </w:r>
    </w:p>
    <w:p w14:paraId="6D6BC730" w14:textId="77777777" w:rsidR="00B42948" w:rsidRDefault="00B42948" w:rsidP="00B42948"/>
    <w:p w14:paraId="0306F354" w14:textId="77777777" w:rsidR="00372FA1" w:rsidRPr="00393243" w:rsidRDefault="00372FA1" w:rsidP="00B42948">
      <w:pPr>
        <w:sectPr w:rsidR="00372FA1" w:rsidRPr="00393243" w:rsidSect="00664598">
          <w:pgSz w:w="11906" w:h="16838"/>
          <w:pgMar w:top="1440" w:right="1440" w:bottom="1440" w:left="1440" w:header="720" w:footer="720" w:gutter="0"/>
          <w:paperSrc w:first="7" w:other="7"/>
          <w:cols w:space="720"/>
          <w:docGrid w:linePitch="360"/>
        </w:sectPr>
      </w:pPr>
    </w:p>
    <w:p w14:paraId="5AC571A0" w14:textId="4FCC089E" w:rsidR="00B42948" w:rsidRPr="001A4A46" w:rsidRDefault="00B42948" w:rsidP="00022486">
      <w:pPr>
        <w:pStyle w:val="Heading1"/>
        <w:tabs>
          <w:tab w:val="left" w:pos="2268"/>
        </w:tabs>
        <w:spacing w:line="240" w:lineRule="auto"/>
        <w:ind w:left="2268" w:hanging="2268"/>
      </w:pPr>
      <w:bookmarkStart w:id="591" w:name="_Ref290208244"/>
      <w:bookmarkStart w:id="592" w:name="_Ref290208248"/>
      <w:bookmarkStart w:id="593" w:name="_Ref290208263"/>
      <w:bookmarkStart w:id="594" w:name="_Ref290208269"/>
      <w:bookmarkStart w:id="595" w:name="_Ref290208280"/>
      <w:bookmarkStart w:id="596" w:name="_Toc418179981"/>
      <w:bookmarkStart w:id="597" w:name="_Ref413055858"/>
      <w:r w:rsidRPr="001A4A46">
        <w:lastRenderedPageBreak/>
        <w:t xml:space="preserve">Appendix </w:t>
      </w:r>
      <w:fldSimple w:instr=" SEQ Appendix \* ALPHABETIC ">
        <w:r w:rsidR="00BB0E3E">
          <w:rPr>
            <w:noProof/>
          </w:rPr>
          <w:t>I</w:t>
        </w:r>
      </w:fldSimple>
      <w:r w:rsidRPr="001A4A46">
        <w:tab/>
      </w:r>
      <w:r w:rsidRPr="00393243">
        <w:t xml:space="preserve">Cost of </w:t>
      </w:r>
      <w:r w:rsidR="00FD37D3" w:rsidRPr="00FD37D3">
        <w:t>CFTR</w:t>
      </w:r>
      <w:r w:rsidRPr="00393243">
        <w:t xml:space="preserve"> </w:t>
      </w:r>
      <w:r w:rsidR="00BF35DA">
        <w:t>G</w:t>
      </w:r>
      <w:r w:rsidRPr="00393243">
        <w:t xml:space="preserve">enetic </w:t>
      </w:r>
      <w:r w:rsidR="00BF35DA">
        <w:t>T</w:t>
      </w:r>
      <w:r w:rsidRPr="00393243">
        <w:t>esting in Australia</w:t>
      </w:r>
      <w:bookmarkEnd w:id="591"/>
      <w:bookmarkEnd w:id="592"/>
      <w:bookmarkEnd w:id="593"/>
      <w:bookmarkEnd w:id="594"/>
      <w:bookmarkEnd w:id="595"/>
      <w:bookmarkEnd w:id="596"/>
    </w:p>
    <w:p w14:paraId="63A4E442" w14:textId="617367BE" w:rsidR="00B42948" w:rsidRPr="00393243" w:rsidRDefault="00B42948" w:rsidP="0009092C">
      <w:pPr>
        <w:pStyle w:val="TableHeading"/>
      </w:pPr>
      <w:bookmarkStart w:id="598" w:name="_Ref414949288"/>
      <w:bookmarkStart w:id="599" w:name="_Toc418179499"/>
      <w:r w:rsidRPr="00393243">
        <w:t xml:space="preserve">Table </w:t>
      </w:r>
      <w:fldSimple w:instr=" SEQ Table \* ARABIC ">
        <w:r w:rsidR="00BB0E3E">
          <w:rPr>
            <w:noProof/>
          </w:rPr>
          <w:t>102</w:t>
        </w:r>
      </w:fldSimple>
      <w:bookmarkEnd w:id="597"/>
      <w:bookmarkEnd w:id="598"/>
      <w:r w:rsidRPr="00393243">
        <w:tab/>
        <w:t xml:space="preserve">Costs associated with </w:t>
      </w:r>
      <w:r w:rsidR="00FD37D3" w:rsidRPr="00FD37D3">
        <w:t>CFTR</w:t>
      </w:r>
      <w:r w:rsidRPr="00393243">
        <w:t xml:space="preserve"> </w:t>
      </w:r>
      <w:r w:rsidR="00022486">
        <w:t>m</w:t>
      </w:r>
      <w:r w:rsidRPr="00393243">
        <w:t>utation testing</w:t>
      </w:r>
      <w:bookmarkEnd w:id="599"/>
    </w:p>
    <w:tbl>
      <w:tblPr>
        <w:tblStyle w:val="TableGrid"/>
        <w:tblW w:w="5000" w:type="pct"/>
        <w:tblLook w:val="04A0" w:firstRow="1" w:lastRow="0" w:firstColumn="1" w:lastColumn="0" w:noHBand="0" w:noVBand="1"/>
        <w:tblCaption w:val="Costs associated with CFTR mutation testing"/>
        <w:tblDescription w:val="Costs associated with CFTR mutation testing"/>
      </w:tblPr>
      <w:tblGrid>
        <w:gridCol w:w="3510"/>
        <w:gridCol w:w="1843"/>
        <w:gridCol w:w="3889"/>
      </w:tblGrid>
      <w:tr w:rsidR="00B42948" w:rsidRPr="001422F4" w14:paraId="36785D96" w14:textId="77777777" w:rsidTr="00ED6D7E">
        <w:trPr>
          <w:cantSplit/>
          <w:tblHeader/>
        </w:trPr>
        <w:tc>
          <w:tcPr>
            <w:tcW w:w="1899" w:type="pct"/>
            <w:tcBorders>
              <w:bottom w:val="single" w:sz="4" w:space="0" w:color="auto"/>
            </w:tcBorders>
          </w:tcPr>
          <w:p w14:paraId="47D5AFB6" w14:textId="235FD5C4" w:rsidR="00B42948" w:rsidRPr="001422F4" w:rsidRDefault="00B42948" w:rsidP="004566DC">
            <w:pPr>
              <w:pStyle w:val="Caption"/>
              <w:ind w:left="0"/>
              <w:jc w:val="left"/>
            </w:pPr>
            <w:r w:rsidRPr="001422F4">
              <w:t xml:space="preserve">Test </w:t>
            </w:r>
            <w:r w:rsidR="00106567">
              <w:t>d</w:t>
            </w:r>
            <w:r w:rsidRPr="001422F4">
              <w:t>escription</w:t>
            </w:r>
          </w:p>
        </w:tc>
        <w:tc>
          <w:tcPr>
            <w:tcW w:w="997" w:type="pct"/>
            <w:tcBorders>
              <w:bottom w:val="single" w:sz="4" w:space="0" w:color="auto"/>
            </w:tcBorders>
          </w:tcPr>
          <w:p w14:paraId="6BC2BCFF" w14:textId="77777777" w:rsidR="00B42948" w:rsidRPr="001422F4" w:rsidRDefault="000C3EB4" w:rsidP="004566DC">
            <w:pPr>
              <w:pStyle w:val="Caption"/>
              <w:ind w:left="0"/>
              <w:jc w:val="center"/>
            </w:pPr>
            <w:r>
              <w:t>Cost</w:t>
            </w:r>
          </w:p>
        </w:tc>
        <w:tc>
          <w:tcPr>
            <w:tcW w:w="2104" w:type="pct"/>
            <w:tcBorders>
              <w:bottom w:val="single" w:sz="4" w:space="0" w:color="auto"/>
            </w:tcBorders>
          </w:tcPr>
          <w:p w14:paraId="28D96159" w14:textId="77777777" w:rsidR="00B42948" w:rsidRPr="001422F4" w:rsidRDefault="00B42948" w:rsidP="004566DC">
            <w:pPr>
              <w:pStyle w:val="Caption"/>
              <w:ind w:left="0"/>
              <w:jc w:val="left"/>
            </w:pPr>
            <w:r w:rsidRPr="001422F4">
              <w:t>Reference Lab</w:t>
            </w:r>
          </w:p>
        </w:tc>
      </w:tr>
      <w:tr w:rsidR="00B42948" w:rsidRPr="00B115E7" w14:paraId="056326DF" w14:textId="77777777" w:rsidTr="00ED6D7E">
        <w:trPr>
          <w:cantSplit/>
        </w:trPr>
        <w:tc>
          <w:tcPr>
            <w:tcW w:w="1899" w:type="pct"/>
            <w:tcBorders>
              <w:top w:val="single" w:sz="4" w:space="0" w:color="auto"/>
              <w:left w:val="single" w:sz="4" w:space="0" w:color="auto"/>
              <w:bottom w:val="single" w:sz="4" w:space="0" w:color="auto"/>
              <w:right w:val="nil"/>
            </w:tcBorders>
          </w:tcPr>
          <w:p w14:paraId="42AB1D8E" w14:textId="2DCDBB84" w:rsidR="00B42948" w:rsidRPr="00B115E7" w:rsidRDefault="00B42948" w:rsidP="004566DC">
            <w:pPr>
              <w:pStyle w:val="TableText0"/>
              <w:ind w:left="0"/>
              <w:jc w:val="left"/>
              <w:rPr>
                <w:i/>
              </w:rPr>
            </w:pPr>
            <w:r w:rsidRPr="00B115E7">
              <w:rPr>
                <w:i/>
              </w:rPr>
              <w:t xml:space="preserve">Common </w:t>
            </w:r>
            <w:r w:rsidR="00106567">
              <w:rPr>
                <w:i/>
              </w:rPr>
              <w:t>m</w:t>
            </w:r>
            <w:r w:rsidRPr="00B115E7">
              <w:rPr>
                <w:i/>
              </w:rPr>
              <w:t xml:space="preserve">utation </w:t>
            </w:r>
            <w:r w:rsidR="00106567">
              <w:rPr>
                <w:i/>
              </w:rPr>
              <w:t>t</w:t>
            </w:r>
            <w:r w:rsidRPr="00B115E7">
              <w:rPr>
                <w:i/>
              </w:rPr>
              <w:t>esting</w:t>
            </w:r>
          </w:p>
        </w:tc>
        <w:tc>
          <w:tcPr>
            <w:tcW w:w="997" w:type="pct"/>
            <w:tcBorders>
              <w:top w:val="single" w:sz="4" w:space="0" w:color="auto"/>
              <w:left w:val="nil"/>
              <w:bottom w:val="single" w:sz="4" w:space="0" w:color="auto"/>
              <w:right w:val="nil"/>
            </w:tcBorders>
          </w:tcPr>
          <w:p w14:paraId="3999B72A" w14:textId="77777777" w:rsidR="00B42948" w:rsidRPr="00B115E7" w:rsidRDefault="00B42948" w:rsidP="00ED6D7E">
            <w:pPr>
              <w:pStyle w:val="TableText0"/>
              <w:ind w:left="0"/>
              <w:rPr>
                <w:i/>
              </w:rPr>
            </w:pPr>
          </w:p>
        </w:tc>
        <w:tc>
          <w:tcPr>
            <w:tcW w:w="2104" w:type="pct"/>
            <w:tcBorders>
              <w:top w:val="single" w:sz="4" w:space="0" w:color="auto"/>
              <w:left w:val="nil"/>
              <w:bottom w:val="single" w:sz="4" w:space="0" w:color="auto"/>
              <w:right w:val="single" w:sz="4" w:space="0" w:color="auto"/>
            </w:tcBorders>
          </w:tcPr>
          <w:p w14:paraId="59149348" w14:textId="77777777" w:rsidR="00B42948" w:rsidRPr="00B115E7" w:rsidRDefault="00B42948" w:rsidP="004566DC">
            <w:pPr>
              <w:pStyle w:val="TableText0"/>
              <w:ind w:left="0"/>
              <w:jc w:val="left"/>
              <w:rPr>
                <w:i/>
              </w:rPr>
            </w:pPr>
          </w:p>
        </w:tc>
      </w:tr>
      <w:tr w:rsidR="00433482" w:rsidRPr="001422F4" w14:paraId="73CA9D92" w14:textId="77777777" w:rsidTr="00ED6D7E">
        <w:trPr>
          <w:cantSplit/>
        </w:trPr>
        <w:tc>
          <w:tcPr>
            <w:tcW w:w="1899" w:type="pct"/>
            <w:tcBorders>
              <w:top w:val="single" w:sz="4" w:space="0" w:color="auto"/>
            </w:tcBorders>
          </w:tcPr>
          <w:p w14:paraId="68DDAA14" w14:textId="3F0BDDA7" w:rsidR="00433482" w:rsidRPr="001422F4" w:rsidRDefault="00433482" w:rsidP="004566DC">
            <w:pPr>
              <w:pStyle w:val="TableText0"/>
              <w:ind w:left="0"/>
              <w:jc w:val="left"/>
            </w:pPr>
            <w:r>
              <w:t>10 mutations</w:t>
            </w:r>
          </w:p>
        </w:tc>
        <w:tc>
          <w:tcPr>
            <w:tcW w:w="997" w:type="pct"/>
            <w:tcBorders>
              <w:top w:val="single" w:sz="4" w:space="0" w:color="auto"/>
            </w:tcBorders>
          </w:tcPr>
          <w:p w14:paraId="1AD2B99A" w14:textId="5DD6839D" w:rsidR="00433482" w:rsidRPr="001422F4" w:rsidRDefault="00433482" w:rsidP="004566DC">
            <w:pPr>
              <w:pStyle w:val="TableText0"/>
              <w:ind w:left="0"/>
              <w:jc w:val="center"/>
            </w:pPr>
            <w:r>
              <w:t>$135</w:t>
            </w:r>
            <w:r w:rsidR="005154A8">
              <w:t xml:space="preserve"> (Australian dollars, 2014 prices)</w:t>
            </w:r>
          </w:p>
        </w:tc>
        <w:tc>
          <w:tcPr>
            <w:tcW w:w="2104" w:type="pct"/>
            <w:tcBorders>
              <w:top w:val="single" w:sz="4" w:space="0" w:color="auto"/>
            </w:tcBorders>
          </w:tcPr>
          <w:p w14:paraId="212717D9" w14:textId="4D1065C2" w:rsidR="00433482" w:rsidRPr="001422F4" w:rsidRDefault="00447183" w:rsidP="004566DC">
            <w:pPr>
              <w:pStyle w:val="TableText0"/>
              <w:ind w:left="0"/>
              <w:jc w:val="left"/>
            </w:pPr>
            <w:hyperlink w:anchor="_ENREF_77" w:tooltip="Maxwell, 2010 #38" w:history="1">
              <w:r w:rsidR="00433482">
                <w:rPr>
                  <w:noProof/>
                </w:rPr>
                <w:t xml:space="preserve">Maxwell et al. </w:t>
              </w:r>
              <w:r w:rsidR="00106567">
                <w:rPr>
                  <w:noProof/>
                </w:rPr>
                <w:t>(</w:t>
              </w:r>
              <w:r w:rsidR="00433482">
                <w:rPr>
                  <w:noProof/>
                </w:rPr>
                <w:t>2010</w:t>
              </w:r>
            </w:hyperlink>
            <w:r w:rsidR="00106567">
              <w:rPr>
                <w:noProof/>
              </w:rPr>
              <w:t>)</w:t>
            </w:r>
            <w:r w:rsidR="004332C1">
              <w:rPr>
                <w:noProof/>
              </w:rPr>
              <w:t xml:space="preserve"> </w:t>
            </w:r>
          </w:p>
        </w:tc>
      </w:tr>
      <w:tr w:rsidR="00B42948" w:rsidRPr="001422F4" w14:paraId="48B5D726" w14:textId="77777777" w:rsidTr="00ED6D7E">
        <w:trPr>
          <w:cantSplit/>
        </w:trPr>
        <w:tc>
          <w:tcPr>
            <w:tcW w:w="1899" w:type="pct"/>
            <w:tcBorders>
              <w:top w:val="single" w:sz="4" w:space="0" w:color="auto"/>
            </w:tcBorders>
          </w:tcPr>
          <w:p w14:paraId="47D6FA33" w14:textId="091C941A" w:rsidR="00B42948" w:rsidRPr="001422F4" w:rsidRDefault="00B42948" w:rsidP="004566DC">
            <w:pPr>
              <w:pStyle w:val="TableText0"/>
              <w:ind w:left="0"/>
              <w:jc w:val="left"/>
            </w:pPr>
            <w:r w:rsidRPr="001422F4">
              <w:t xml:space="preserve">Microvillar enzyme analysis for prenatal diagnosis (11 </w:t>
            </w:r>
            <w:r w:rsidR="008A7449">
              <w:t>m</w:t>
            </w:r>
            <w:r w:rsidRPr="001422F4">
              <w:t xml:space="preserve">utations) </w:t>
            </w:r>
          </w:p>
        </w:tc>
        <w:tc>
          <w:tcPr>
            <w:tcW w:w="997" w:type="pct"/>
            <w:tcBorders>
              <w:top w:val="single" w:sz="4" w:space="0" w:color="auto"/>
            </w:tcBorders>
          </w:tcPr>
          <w:p w14:paraId="1D49516B" w14:textId="77777777" w:rsidR="00B42948" w:rsidRPr="001422F4" w:rsidRDefault="00B42948" w:rsidP="004566DC">
            <w:pPr>
              <w:pStyle w:val="TableText0"/>
              <w:tabs>
                <w:tab w:val="decimal" w:pos="1026"/>
              </w:tabs>
              <w:ind w:left="0"/>
            </w:pPr>
            <w:r w:rsidRPr="001422F4">
              <w:t>$168</w:t>
            </w:r>
          </w:p>
        </w:tc>
        <w:tc>
          <w:tcPr>
            <w:tcW w:w="2104" w:type="pct"/>
            <w:tcBorders>
              <w:top w:val="single" w:sz="4" w:space="0" w:color="auto"/>
            </w:tcBorders>
          </w:tcPr>
          <w:p w14:paraId="20C53603" w14:textId="25CA0C49" w:rsidR="00B42948" w:rsidRPr="001422F4" w:rsidRDefault="00B42948" w:rsidP="004566DC">
            <w:pPr>
              <w:pStyle w:val="TableText0"/>
              <w:ind w:left="0"/>
              <w:jc w:val="left"/>
            </w:pPr>
            <w:bookmarkStart w:id="600" w:name="top"/>
            <w:r w:rsidRPr="001422F4">
              <w:t>National Referral Laboratory</w:t>
            </w:r>
            <w:bookmarkEnd w:id="600"/>
            <w:r w:rsidRPr="001422F4">
              <w:t xml:space="preserve"> (W</w:t>
            </w:r>
            <w:r w:rsidR="00E14670">
              <w:t xml:space="preserve">omen’s and </w:t>
            </w:r>
            <w:r w:rsidRPr="001422F4">
              <w:t>C</w:t>
            </w:r>
            <w:r w:rsidR="00E14670">
              <w:t xml:space="preserve">hildren’s </w:t>
            </w:r>
            <w:r w:rsidRPr="001422F4">
              <w:t>H</w:t>
            </w:r>
            <w:r w:rsidR="00E14670">
              <w:t>ospital</w:t>
            </w:r>
            <w:r w:rsidRPr="001422F4">
              <w:t>, SA)</w:t>
            </w:r>
          </w:p>
        </w:tc>
      </w:tr>
      <w:tr w:rsidR="00B7747D" w:rsidRPr="001422F4" w14:paraId="7D40DAAA" w14:textId="77777777" w:rsidTr="000C3EB4">
        <w:trPr>
          <w:cantSplit/>
        </w:trPr>
        <w:tc>
          <w:tcPr>
            <w:tcW w:w="1899" w:type="pct"/>
          </w:tcPr>
          <w:p w14:paraId="030BA047" w14:textId="286A6E02" w:rsidR="00B7747D" w:rsidRPr="001422F4" w:rsidRDefault="00B7747D" w:rsidP="004566DC">
            <w:pPr>
              <w:pStyle w:val="TableText0"/>
              <w:ind w:left="0"/>
              <w:jc w:val="left"/>
            </w:pPr>
            <w:r w:rsidRPr="001422F4">
              <w:t>C</w:t>
            </w:r>
            <w:r w:rsidR="004D427B">
              <w:t>F</w:t>
            </w:r>
            <w:r w:rsidRPr="001422F4">
              <w:t xml:space="preserve"> (maximum of 13 mutations)</w:t>
            </w:r>
          </w:p>
        </w:tc>
        <w:tc>
          <w:tcPr>
            <w:tcW w:w="997" w:type="pct"/>
          </w:tcPr>
          <w:p w14:paraId="7010849A" w14:textId="77777777" w:rsidR="00B7747D" w:rsidRPr="001422F4" w:rsidRDefault="00B7747D" w:rsidP="004566DC">
            <w:pPr>
              <w:pStyle w:val="TableText0"/>
              <w:tabs>
                <w:tab w:val="decimal" w:pos="1026"/>
              </w:tabs>
              <w:ind w:left="0"/>
            </w:pPr>
            <w:r w:rsidRPr="001422F4">
              <w:t>$300</w:t>
            </w:r>
          </w:p>
        </w:tc>
        <w:tc>
          <w:tcPr>
            <w:tcW w:w="2104" w:type="pct"/>
          </w:tcPr>
          <w:p w14:paraId="44BC0CB8" w14:textId="77777777" w:rsidR="00B7747D" w:rsidRPr="001422F4" w:rsidRDefault="00B7747D" w:rsidP="004566DC">
            <w:pPr>
              <w:pStyle w:val="TableText0"/>
              <w:ind w:left="0"/>
              <w:jc w:val="left"/>
            </w:pPr>
            <w:r w:rsidRPr="001422F4">
              <w:t>Women’s and Children Hospital, SA</w:t>
            </w:r>
          </w:p>
        </w:tc>
      </w:tr>
      <w:tr w:rsidR="00B7747D" w:rsidRPr="001422F4" w14:paraId="5BAD4AE8" w14:textId="77777777" w:rsidTr="000C3EB4">
        <w:trPr>
          <w:cantSplit/>
        </w:trPr>
        <w:tc>
          <w:tcPr>
            <w:tcW w:w="1899" w:type="pct"/>
          </w:tcPr>
          <w:p w14:paraId="3C119435" w14:textId="77777777" w:rsidR="00B7747D" w:rsidRPr="001422F4" w:rsidRDefault="00B7747D" w:rsidP="004566DC">
            <w:pPr>
              <w:pStyle w:val="TableText0"/>
              <w:ind w:left="0"/>
              <w:jc w:val="left"/>
            </w:pPr>
            <w:r>
              <w:t>29 m</w:t>
            </w:r>
            <w:r w:rsidRPr="001422F4">
              <w:t>utation</w:t>
            </w:r>
            <w:r>
              <w:t>s</w:t>
            </w:r>
          </w:p>
        </w:tc>
        <w:tc>
          <w:tcPr>
            <w:tcW w:w="997" w:type="pct"/>
          </w:tcPr>
          <w:p w14:paraId="096F9730" w14:textId="77777777" w:rsidR="00B7747D" w:rsidRPr="001422F4" w:rsidRDefault="00B7747D" w:rsidP="004566DC">
            <w:pPr>
              <w:pStyle w:val="TableText0"/>
              <w:tabs>
                <w:tab w:val="decimal" w:pos="1026"/>
              </w:tabs>
              <w:ind w:left="0"/>
            </w:pPr>
            <w:r w:rsidRPr="001422F4">
              <w:t>$250</w:t>
            </w:r>
          </w:p>
        </w:tc>
        <w:tc>
          <w:tcPr>
            <w:tcW w:w="2104" w:type="pct"/>
          </w:tcPr>
          <w:p w14:paraId="1907CF6D" w14:textId="77777777" w:rsidR="00B7747D" w:rsidRPr="001422F4" w:rsidRDefault="00B7747D" w:rsidP="004566DC">
            <w:pPr>
              <w:pStyle w:val="TableText0"/>
              <w:ind w:left="0"/>
              <w:jc w:val="left"/>
            </w:pPr>
            <w:r w:rsidRPr="001422F4">
              <w:t>PaLMS-RNSH</w:t>
            </w:r>
            <w:r>
              <w:t xml:space="preserve">, </w:t>
            </w:r>
            <w:r w:rsidRPr="001422F4">
              <w:t>NSW</w:t>
            </w:r>
          </w:p>
        </w:tc>
      </w:tr>
      <w:tr w:rsidR="00011989" w:rsidRPr="001422F4" w14:paraId="20349246" w14:textId="77777777" w:rsidTr="000C3EB4">
        <w:trPr>
          <w:cantSplit/>
        </w:trPr>
        <w:tc>
          <w:tcPr>
            <w:tcW w:w="1899" w:type="pct"/>
          </w:tcPr>
          <w:p w14:paraId="221F9CF8" w14:textId="77777777" w:rsidR="00011989" w:rsidRPr="001422F4" w:rsidRDefault="00011989" w:rsidP="004566DC">
            <w:pPr>
              <w:pStyle w:val="TableText0"/>
              <w:ind w:left="0"/>
              <w:jc w:val="left"/>
            </w:pPr>
            <w:r>
              <w:t>32 mutations</w:t>
            </w:r>
          </w:p>
        </w:tc>
        <w:tc>
          <w:tcPr>
            <w:tcW w:w="997" w:type="pct"/>
          </w:tcPr>
          <w:p w14:paraId="31D5A525" w14:textId="77777777" w:rsidR="00011989" w:rsidRPr="001422F4" w:rsidRDefault="00011989" w:rsidP="004566DC">
            <w:pPr>
              <w:pStyle w:val="TableText0"/>
              <w:tabs>
                <w:tab w:val="decimal" w:pos="1026"/>
              </w:tabs>
              <w:ind w:left="0"/>
            </w:pPr>
            <w:r w:rsidRPr="001422F4">
              <w:t>$250</w:t>
            </w:r>
          </w:p>
        </w:tc>
        <w:tc>
          <w:tcPr>
            <w:tcW w:w="2104" w:type="pct"/>
          </w:tcPr>
          <w:p w14:paraId="6C2D481E" w14:textId="77777777" w:rsidR="00011989" w:rsidRPr="001422F4" w:rsidRDefault="00011989" w:rsidP="004566DC">
            <w:pPr>
              <w:pStyle w:val="TableText0"/>
              <w:ind w:left="0"/>
              <w:jc w:val="left"/>
            </w:pPr>
            <w:r w:rsidRPr="001422F4">
              <w:t>Gippsland Pathology</w:t>
            </w:r>
            <w:r>
              <w:t xml:space="preserve">, </w:t>
            </w:r>
            <w:r w:rsidRPr="001422F4">
              <w:t>VIC</w:t>
            </w:r>
          </w:p>
        </w:tc>
      </w:tr>
      <w:tr w:rsidR="00011989" w:rsidRPr="001422F4" w14:paraId="4B6EA09F" w14:textId="77777777" w:rsidTr="000C3EB4">
        <w:trPr>
          <w:cantSplit/>
        </w:trPr>
        <w:tc>
          <w:tcPr>
            <w:tcW w:w="1899" w:type="pct"/>
          </w:tcPr>
          <w:p w14:paraId="1BDC4626" w14:textId="77777777" w:rsidR="00011989" w:rsidRPr="001422F4" w:rsidRDefault="00011989" w:rsidP="004566DC">
            <w:pPr>
              <w:pStyle w:val="TableText0"/>
              <w:ind w:left="0"/>
              <w:jc w:val="left"/>
            </w:pPr>
            <w:r w:rsidRPr="001422F4">
              <w:t>32 mutations</w:t>
            </w:r>
          </w:p>
        </w:tc>
        <w:tc>
          <w:tcPr>
            <w:tcW w:w="997" w:type="pct"/>
          </w:tcPr>
          <w:p w14:paraId="6C7BD48D" w14:textId="77777777" w:rsidR="00011989" w:rsidRPr="001422F4" w:rsidRDefault="00011989" w:rsidP="004566DC">
            <w:pPr>
              <w:pStyle w:val="TableText0"/>
              <w:tabs>
                <w:tab w:val="decimal" w:pos="1026"/>
              </w:tabs>
              <w:ind w:left="0"/>
            </w:pPr>
            <w:r w:rsidRPr="001422F4">
              <w:t>$200</w:t>
            </w:r>
          </w:p>
        </w:tc>
        <w:tc>
          <w:tcPr>
            <w:tcW w:w="2104" w:type="pct"/>
          </w:tcPr>
          <w:p w14:paraId="659620A1" w14:textId="77777777" w:rsidR="00011989" w:rsidRPr="001422F4" w:rsidRDefault="00011989" w:rsidP="004566DC">
            <w:pPr>
              <w:pStyle w:val="TableText0"/>
              <w:ind w:left="0"/>
              <w:jc w:val="left"/>
            </w:pPr>
            <w:r w:rsidRPr="001422F4">
              <w:t>Department of Molecular Genetics</w:t>
            </w:r>
            <w:r>
              <w:t xml:space="preserve">, </w:t>
            </w:r>
            <w:r w:rsidRPr="001422F4">
              <w:t>NSW</w:t>
            </w:r>
          </w:p>
        </w:tc>
      </w:tr>
      <w:tr w:rsidR="00011989" w:rsidRPr="001422F4" w14:paraId="3701A425" w14:textId="77777777" w:rsidTr="000C3EB4">
        <w:trPr>
          <w:cantSplit/>
        </w:trPr>
        <w:tc>
          <w:tcPr>
            <w:tcW w:w="1899" w:type="pct"/>
          </w:tcPr>
          <w:p w14:paraId="6E14CF52" w14:textId="77777777" w:rsidR="00011989" w:rsidRPr="001422F4" w:rsidRDefault="00011989" w:rsidP="004566DC">
            <w:pPr>
              <w:pStyle w:val="TableText0"/>
              <w:ind w:left="0"/>
              <w:jc w:val="left"/>
            </w:pPr>
            <w:r w:rsidRPr="001422F4">
              <w:t>32 mutation</w:t>
            </w:r>
            <w:r>
              <w:t>s</w:t>
            </w:r>
          </w:p>
        </w:tc>
        <w:tc>
          <w:tcPr>
            <w:tcW w:w="997" w:type="pct"/>
          </w:tcPr>
          <w:p w14:paraId="2F627BA5" w14:textId="77777777" w:rsidR="00011989" w:rsidRPr="001422F4" w:rsidRDefault="00011989" w:rsidP="004566DC">
            <w:pPr>
              <w:pStyle w:val="TableText0"/>
              <w:tabs>
                <w:tab w:val="decimal" w:pos="1026"/>
              </w:tabs>
              <w:ind w:left="0"/>
            </w:pPr>
            <w:r w:rsidRPr="001422F4">
              <w:t>$290</w:t>
            </w:r>
          </w:p>
        </w:tc>
        <w:tc>
          <w:tcPr>
            <w:tcW w:w="2104" w:type="pct"/>
          </w:tcPr>
          <w:p w14:paraId="702E3058" w14:textId="77777777" w:rsidR="00011989" w:rsidRPr="001422F4" w:rsidRDefault="00011989" w:rsidP="004566DC">
            <w:pPr>
              <w:pStyle w:val="TableText0"/>
              <w:ind w:left="0"/>
              <w:jc w:val="left"/>
            </w:pPr>
            <w:r w:rsidRPr="001422F4">
              <w:t>Molecular Genetics Laboratory</w:t>
            </w:r>
            <w:r>
              <w:t xml:space="preserve">, </w:t>
            </w:r>
            <w:r w:rsidRPr="001422F4">
              <w:t>NSW</w:t>
            </w:r>
          </w:p>
        </w:tc>
      </w:tr>
      <w:tr w:rsidR="000C3EB4" w:rsidRPr="001422F4" w14:paraId="4AE65D2D" w14:textId="77777777" w:rsidTr="000C3EB4">
        <w:trPr>
          <w:cantSplit/>
        </w:trPr>
        <w:tc>
          <w:tcPr>
            <w:tcW w:w="1899" w:type="pct"/>
          </w:tcPr>
          <w:p w14:paraId="5502E2CD" w14:textId="77777777" w:rsidR="000C3EB4" w:rsidRPr="001422F4" w:rsidRDefault="00011989" w:rsidP="004566DC">
            <w:pPr>
              <w:pStyle w:val="TableText0"/>
              <w:ind w:left="0"/>
              <w:jc w:val="left"/>
            </w:pPr>
            <w:r>
              <w:t>44 mutations</w:t>
            </w:r>
          </w:p>
        </w:tc>
        <w:tc>
          <w:tcPr>
            <w:tcW w:w="997" w:type="pct"/>
          </w:tcPr>
          <w:p w14:paraId="6AC3B7A0" w14:textId="77777777" w:rsidR="000C3EB4" w:rsidRPr="001422F4" w:rsidRDefault="000C3EB4" w:rsidP="004566DC">
            <w:pPr>
              <w:pStyle w:val="TableText0"/>
              <w:tabs>
                <w:tab w:val="decimal" w:pos="1026"/>
              </w:tabs>
              <w:ind w:left="0"/>
            </w:pPr>
            <w:r>
              <w:t>$150</w:t>
            </w:r>
          </w:p>
        </w:tc>
        <w:tc>
          <w:tcPr>
            <w:tcW w:w="2104" w:type="pct"/>
          </w:tcPr>
          <w:p w14:paraId="71685734" w14:textId="77777777" w:rsidR="000C3EB4" w:rsidRPr="001422F4" w:rsidRDefault="000C3EB4" w:rsidP="004566DC">
            <w:pPr>
              <w:pStyle w:val="TableText0"/>
              <w:ind w:left="0"/>
              <w:jc w:val="left"/>
            </w:pPr>
            <w:r>
              <w:t>Healthscope Pathology, VIC</w:t>
            </w:r>
          </w:p>
        </w:tc>
      </w:tr>
      <w:tr w:rsidR="00011989" w:rsidRPr="001422F4" w14:paraId="73BD4A62" w14:textId="77777777" w:rsidTr="000C3EB4">
        <w:trPr>
          <w:cantSplit/>
        </w:trPr>
        <w:tc>
          <w:tcPr>
            <w:tcW w:w="1899" w:type="pct"/>
          </w:tcPr>
          <w:p w14:paraId="029167C9" w14:textId="77777777" w:rsidR="00011989" w:rsidRDefault="00011989" w:rsidP="004566DC">
            <w:pPr>
              <w:pStyle w:val="TableText0"/>
              <w:ind w:left="0"/>
              <w:jc w:val="left"/>
            </w:pPr>
            <w:r>
              <w:t>38 mutations</w:t>
            </w:r>
          </w:p>
        </w:tc>
        <w:tc>
          <w:tcPr>
            <w:tcW w:w="997" w:type="pct"/>
          </w:tcPr>
          <w:p w14:paraId="1F4734BB" w14:textId="77777777" w:rsidR="00011989" w:rsidRDefault="00011989" w:rsidP="004566DC">
            <w:pPr>
              <w:pStyle w:val="TableText0"/>
              <w:tabs>
                <w:tab w:val="decimal" w:pos="1026"/>
              </w:tabs>
              <w:ind w:left="0"/>
            </w:pPr>
            <w:r>
              <w:t>$150</w:t>
            </w:r>
          </w:p>
        </w:tc>
        <w:tc>
          <w:tcPr>
            <w:tcW w:w="2104" w:type="pct"/>
          </w:tcPr>
          <w:p w14:paraId="09BEB1F2" w14:textId="77777777" w:rsidR="00011989" w:rsidRDefault="0057053E" w:rsidP="004566DC">
            <w:pPr>
              <w:pStyle w:val="TableText0"/>
              <w:ind w:left="0"/>
              <w:jc w:val="left"/>
            </w:pPr>
            <w:r w:rsidRPr="0057053E">
              <w:rPr>
                <w:iCs/>
              </w:rPr>
              <w:t>Victorian Clinical Genetics Services</w:t>
            </w:r>
            <w:r w:rsidR="00011989" w:rsidRPr="0057053E">
              <w:t>,</w:t>
            </w:r>
            <w:r w:rsidR="00011989">
              <w:t xml:space="preserve"> VIC</w:t>
            </w:r>
          </w:p>
        </w:tc>
      </w:tr>
      <w:tr w:rsidR="00011989" w:rsidRPr="001422F4" w14:paraId="51AD81A3" w14:textId="77777777" w:rsidTr="000C3EB4">
        <w:trPr>
          <w:cantSplit/>
        </w:trPr>
        <w:tc>
          <w:tcPr>
            <w:tcW w:w="1899" w:type="pct"/>
          </w:tcPr>
          <w:p w14:paraId="3FDB77A7" w14:textId="77777777" w:rsidR="00011989" w:rsidRDefault="00011989" w:rsidP="004566DC">
            <w:pPr>
              <w:pStyle w:val="TableText0"/>
              <w:ind w:left="0"/>
              <w:jc w:val="left"/>
            </w:pPr>
            <w:r>
              <w:t>30 mutations</w:t>
            </w:r>
          </w:p>
        </w:tc>
        <w:tc>
          <w:tcPr>
            <w:tcW w:w="997" w:type="pct"/>
          </w:tcPr>
          <w:p w14:paraId="618A2ACA" w14:textId="77777777" w:rsidR="00011989" w:rsidRDefault="00011989" w:rsidP="004566DC">
            <w:pPr>
              <w:pStyle w:val="TableText0"/>
              <w:tabs>
                <w:tab w:val="decimal" w:pos="1026"/>
              </w:tabs>
              <w:ind w:left="0"/>
            </w:pPr>
            <w:r>
              <w:t>$270</w:t>
            </w:r>
          </w:p>
        </w:tc>
        <w:tc>
          <w:tcPr>
            <w:tcW w:w="2104" w:type="pct"/>
          </w:tcPr>
          <w:p w14:paraId="0C988185" w14:textId="77777777" w:rsidR="00011989" w:rsidRDefault="00011989" w:rsidP="004566DC">
            <w:pPr>
              <w:pStyle w:val="TableText0"/>
              <w:ind w:left="0"/>
              <w:jc w:val="left"/>
            </w:pPr>
            <w:r>
              <w:t>The Queensland Fertility Group, QLD</w:t>
            </w:r>
          </w:p>
        </w:tc>
      </w:tr>
      <w:tr w:rsidR="00011989" w:rsidRPr="001422F4" w14:paraId="5FBC7799" w14:textId="77777777" w:rsidTr="000C3EB4">
        <w:trPr>
          <w:cantSplit/>
        </w:trPr>
        <w:tc>
          <w:tcPr>
            <w:tcW w:w="1899" w:type="pct"/>
          </w:tcPr>
          <w:p w14:paraId="08533E82" w14:textId="77777777" w:rsidR="00011989" w:rsidRDefault="00011989" w:rsidP="004566DC">
            <w:pPr>
              <w:pStyle w:val="TableText0"/>
              <w:ind w:left="0"/>
              <w:jc w:val="left"/>
            </w:pPr>
            <w:r>
              <w:t>90 mutations</w:t>
            </w:r>
          </w:p>
        </w:tc>
        <w:tc>
          <w:tcPr>
            <w:tcW w:w="997" w:type="pct"/>
          </w:tcPr>
          <w:p w14:paraId="7C91B11A" w14:textId="77777777" w:rsidR="00011989" w:rsidRDefault="00011989" w:rsidP="004566DC">
            <w:pPr>
              <w:pStyle w:val="TableText0"/>
              <w:tabs>
                <w:tab w:val="decimal" w:pos="1026"/>
              </w:tabs>
              <w:ind w:left="0"/>
            </w:pPr>
            <w:r>
              <w:t>$350</w:t>
            </w:r>
          </w:p>
        </w:tc>
        <w:tc>
          <w:tcPr>
            <w:tcW w:w="2104" w:type="pct"/>
          </w:tcPr>
          <w:p w14:paraId="7C443544" w14:textId="77777777" w:rsidR="00011989" w:rsidRDefault="00011989" w:rsidP="004566DC">
            <w:pPr>
              <w:pStyle w:val="TableText0"/>
              <w:ind w:left="0"/>
              <w:jc w:val="left"/>
            </w:pPr>
            <w:r>
              <w:t>Genea, NSW</w:t>
            </w:r>
          </w:p>
        </w:tc>
      </w:tr>
      <w:tr w:rsidR="0057053E" w:rsidRPr="001422F4" w14:paraId="070DE55B" w14:textId="77777777" w:rsidTr="00ED6D7E">
        <w:trPr>
          <w:cantSplit/>
        </w:trPr>
        <w:tc>
          <w:tcPr>
            <w:tcW w:w="1899" w:type="pct"/>
            <w:tcBorders>
              <w:bottom w:val="single" w:sz="4" w:space="0" w:color="auto"/>
            </w:tcBorders>
          </w:tcPr>
          <w:p w14:paraId="5C451933" w14:textId="77777777" w:rsidR="0057053E" w:rsidRDefault="0057053E" w:rsidP="004566DC">
            <w:pPr>
              <w:pStyle w:val="TableText0"/>
              <w:ind w:left="0"/>
              <w:jc w:val="left"/>
            </w:pPr>
            <w:r>
              <w:t>145 mutations</w:t>
            </w:r>
          </w:p>
        </w:tc>
        <w:tc>
          <w:tcPr>
            <w:tcW w:w="997" w:type="pct"/>
            <w:tcBorders>
              <w:bottom w:val="single" w:sz="4" w:space="0" w:color="auto"/>
            </w:tcBorders>
          </w:tcPr>
          <w:p w14:paraId="61E49397" w14:textId="77777777" w:rsidR="0057053E" w:rsidRDefault="0057053E" w:rsidP="004566DC">
            <w:pPr>
              <w:pStyle w:val="TableText0"/>
              <w:tabs>
                <w:tab w:val="decimal" w:pos="1026"/>
              </w:tabs>
              <w:ind w:left="0"/>
            </w:pPr>
            <w:r>
              <w:t>$500</w:t>
            </w:r>
          </w:p>
        </w:tc>
        <w:tc>
          <w:tcPr>
            <w:tcW w:w="2104" w:type="pct"/>
            <w:tcBorders>
              <w:bottom w:val="single" w:sz="4" w:space="0" w:color="auto"/>
            </w:tcBorders>
          </w:tcPr>
          <w:p w14:paraId="18FEEE6F" w14:textId="160AFDEC" w:rsidR="0057053E" w:rsidRDefault="0057053E" w:rsidP="004566DC">
            <w:pPr>
              <w:pStyle w:val="TableText0"/>
              <w:ind w:left="0"/>
              <w:jc w:val="left"/>
            </w:pPr>
            <w:r>
              <w:t>Expert opinion</w:t>
            </w:r>
            <w:r w:rsidR="00AA3ECA">
              <w:t xml:space="preserve"> </w:t>
            </w:r>
            <w:r w:rsidR="00593B25" w:rsidRPr="004566DC">
              <w:rPr>
                <w:vertAlign w:val="superscript"/>
              </w:rPr>
              <w:t>a</w:t>
            </w:r>
          </w:p>
        </w:tc>
      </w:tr>
      <w:tr w:rsidR="00B42948" w:rsidRPr="00B115E7" w14:paraId="5BF60CE4" w14:textId="77777777" w:rsidTr="00ED6D7E">
        <w:trPr>
          <w:cantSplit/>
        </w:trPr>
        <w:tc>
          <w:tcPr>
            <w:tcW w:w="1899" w:type="pct"/>
            <w:tcBorders>
              <w:top w:val="single" w:sz="4" w:space="0" w:color="auto"/>
              <w:left w:val="single" w:sz="4" w:space="0" w:color="auto"/>
              <w:bottom w:val="single" w:sz="4" w:space="0" w:color="auto"/>
              <w:right w:val="nil"/>
            </w:tcBorders>
          </w:tcPr>
          <w:p w14:paraId="3B247D0C" w14:textId="4F54DA71" w:rsidR="00B42948" w:rsidRPr="00B115E7" w:rsidRDefault="00B42948" w:rsidP="004566DC">
            <w:pPr>
              <w:pStyle w:val="TableText0"/>
              <w:ind w:left="0"/>
              <w:jc w:val="left"/>
              <w:rPr>
                <w:i/>
              </w:rPr>
            </w:pPr>
            <w:r w:rsidRPr="00B115E7">
              <w:rPr>
                <w:i/>
              </w:rPr>
              <w:t xml:space="preserve">Single </w:t>
            </w:r>
            <w:r w:rsidR="008A7449">
              <w:rPr>
                <w:i/>
              </w:rPr>
              <w:t>m</w:t>
            </w:r>
            <w:r w:rsidRPr="00B115E7">
              <w:rPr>
                <w:i/>
              </w:rPr>
              <w:t xml:space="preserve">utation </w:t>
            </w:r>
            <w:r w:rsidR="008A7449">
              <w:rPr>
                <w:i/>
              </w:rPr>
              <w:t>t</w:t>
            </w:r>
            <w:r w:rsidRPr="00B115E7">
              <w:rPr>
                <w:i/>
              </w:rPr>
              <w:t>esting</w:t>
            </w:r>
          </w:p>
        </w:tc>
        <w:tc>
          <w:tcPr>
            <w:tcW w:w="997" w:type="pct"/>
            <w:tcBorders>
              <w:top w:val="single" w:sz="4" w:space="0" w:color="auto"/>
              <w:left w:val="nil"/>
              <w:bottom w:val="single" w:sz="4" w:space="0" w:color="auto"/>
              <w:right w:val="nil"/>
            </w:tcBorders>
          </w:tcPr>
          <w:p w14:paraId="01DDF68D" w14:textId="77777777" w:rsidR="00B42948" w:rsidRPr="00B115E7" w:rsidRDefault="00B42948" w:rsidP="004566DC">
            <w:pPr>
              <w:pStyle w:val="TableText0"/>
              <w:tabs>
                <w:tab w:val="decimal" w:pos="1026"/>
              </w:tabs>
              <w:ind w:left="0"/>
              <w:rPr>
                <w:i/>
              </w:rPr>
            </w:pPr>
          </w:p>
        </w:tc>
        <w:tc>
          <w:tcPr>
            <w:tcW w:w="2104" w:type="pct"/>
            <w:tcBorders>
              <w:top w:val="single" w:sz="4" w:space="0" w:color="auto"/>
              <w:left w:val="nil"/>
              <w:bottom w:val="single" w:sz="4" w:space="0" w:color="auto"/>
              <w:right w:val="single" w:sz="4" w:space="0" w:color="auto"/>
            </w:tcBorders>
          </w:tcPr>
          <w:p w14:paraId="3B4833BF" w14:textId="77777777" w:rsidR="00B42948" w:rsidRPr="00B115E7" w:rsidRDefault="00B42948" w:rsidP="004566DC">
            <w:pPr>
              <w:pStyle w:val="TableText0"/>
              <w:ind w:left="0"/>
              <w:jc w:val="left"/>
              <w:rPr>
                <w:i/>
              </w:rPr>
            </w:pPr>
          </w:p>
        </w:tc>
      </w:tr>
      <w:tr w:rsidR="00B42948" w:rsidRPr="001422F4" w14:paraId="17342FA9" w14:textId="77777777" w:rsidTr="00ED6D7E">
        <w:trPr>
          <w:cantSplit/>
        </w:trPr>
        <w:tc>
          <w:tcPr>
            <w:tcW w:w="1899" w:type="pct"/>
            <w:tcBorders>
              <w:top w:val="single" w:sz="4" w:space="0" w:color="auto"/>
            </w:tcBorders>
          </w:tcPr>
          <w:p w14:paraId="095963E5" w14:textId="77777777" w:rsidR="00B42948" w:rsidRPr="001422F4" w:rsidRDefault="00B42948" w:rsidP="004566DC">
            <w:pPr>
              <w:pStyle w:val="TableText0"/>
              <w:ind w:left="0"/>
              <w:jc w:val="left"/>
            </w:pPr>
            <w:r w:rsidRPr="001422F4">
              <w:t>F508del</w:t>
            </w:r>
          </w:p>
        </w:tc>
        <w:tc>
          <w:tcPr>
            <w:tcW w:w="997" w:type="pct"/>
            <w:tcBorders>
              <w:top w:val="single" w:sz="4" w:space="0" w:color="auto"/>
            </w:tcBorders>
          </w:tcPr>
          <w:p w14:paraId="4559EC3B" w14:textId="77777777" w:rsidR="00B42948" w:rsidRPr="001422F4" w:rsidRDefault="00B42948" w:rsidP="004566DC">
            <w:pPr>
              <w:pStyle w:val="TableText0"/>
              <w:tabs>
                <w:tab w:val="decimal" w:pos="1026"/>
              </w:tabs>
              <w:ind w:left="0"/>
            </w:pPr>
            <w:r w:rsidRPr="001422F4">
              <w:t>$50</w:t>
            </w:r>
          </w:p>
        </w:tc>
        <w:tc>
          <w:tcPr>
            <w:tcW w:w="2104" w:type="pct"/>
            <w:tcBorders>
              <w:top w:val="single" w:sz="4" w:space="0" w:color="auto"/>
            </w:tcBorders>
          </w:tcPr>
          <w:p w14:paraId="25C87B70" w14:textId="77777777" w:rsidR="00B42948" w:rsidRPr="001422F4" w:rsidRDefault="00B42948" w:rsidP="004566DC">
            <w:pPr>
              <w:pStyle w:val="TableText0"/>
              <w:ind w:left="0"/>
              <w:jc w:val="left"/>
            </w:pPr>
            <w:r w:rsidRPr="001422F4">
              <w:t>PaLMS-RNSH</w:t>
            </w:r>
            <w:r w:rsidR="000C3EB4">
              <w:t xml:space="preserve">, </w:t>
            </w:r>
            <w:r w:rsidRPr="001422F4">
              <w:t>NSW</w:t>
            </w:r>
          </w:p>
        </w:tc>
      </w:tr>
      <w:tr w:rsidR="000C3EB4" w:rsidRPr="001422F4" w14:paraId="073BEC21" w14:textId="77777777" w:rsidTr="000C3EB4">
        <w:trPr>
          <w:cantSplit/>
        </w:trPr>
        <w:tc>
          <w:tcPr>
            <w:tcW w:w="1899" w:type="pct"/>
          </w:tcPr>
          <w:p w14:paraId="4815342C" w14:textId="77777777" w:rsidR="000C3EB4" w:rsidRPr="001422F4" w:rsidRDefault="00011989" w:rsidP="004566DC">
            <w:pPr>
              <w:pStyle w:val="TableText0"/>
              <w:ind w:left="0"/>
              <w:jc w:val="left"/>
            </w:pPr>
            <w:r>
              <w:t>delta F508</w:t>
            </w:r>
          </w:p>
        </w:tc>
        <w:tc>
          <w:tcPr>
            <w:tcW w:w="997" w:type="pct"/>
          </w:tcPr>
          <w:p w14:paraId="707F444A" w14:textId="77777777" w:rsidR="000C3EB4" w:rsidRPr="001422F4" w:rsidRDefault="00011989" w:rsidP="004566DC">
            <w:pPr>
              <w:pStyle w:val="TableText0"/>
              <w:tabs>
                <w:tab w:val="decimal" w:pos="1026"/>
              </w:tabs>
              <w:ind w:left="0"/>
            </w:pPr>
            <w:r>
              <w:t>$50</w:t>
            </w:r>
          </w:p>
        </w:tc>
        <w:tc>
          <w:tcPr>
            <w:tcW w:w="2104" w:type="pct"/>
          </w:tcPr>
          <w:p w14:paraId="5D6BAF96" w14:textId="77777777" w:rsidR="000C3EB4" w:rsidRPr="001422F4" w:rsidRDefault="00011989" w:rsidP="004566DC">
            <w:pPr>
              <w:pStyle w:val="TableText0"/>
              <w:ind w:left="0"/>
              <w:jc w:val="left"/>
            </w:pPr>
            <w:r>
              <w:t>Hunter genetics, NSW</w:t>
            </w:r>
          </w:p>
        </w:tc>
      </w:tr>
      <w:tr w:rsidR="00B42948" w:rsidRPr="001422F4" w14:paraId="57A535B5" w14:textId="77777777" w:rsidTr="000C3EB4">
        <w:trPr>
          <w:cantSplit/>
        </w:trPr>
        <w:tc>
          <w:tcPr>
            <w:tcW w:w="1899" w:type="pct"/>
          </w:tcPr>
          <w:p w14:paraId="20DE7147" w14:textId="77777777" w:rsidR="00B42948" w:rsidRPr="001422F4" w:rsidRDefault="003C1C83" w:rsidP="004566DC">
            <w:pPr>
              <w:pStyle w:val="TableText0"/>
              <w:ind w:left="0"/>
              <w:jc w:val="left"/>
            </w:pPr>
            <w:r>
              <w:t>Phe508del</w:t>
            </w:r>
          </w:p>
        </w:tc>
        <w:tc>
          <w:tcPr>
            <w:tcW w:w="997" w:type="pct"/>
          </w:tcPr>
          <w:p w14:paraId="10AC689E" w14:textId="77777777" w:rsidR="00B42948" w:rsidRPr="001422F4" w:rsidRDefault="00B42948" w:rsidP="004566DC">
            <w:pPr>
              <w:pStyle w:val="TableText0"/>
              <w:tabs>
                <w:tab w:val="decimal" w:pos="1026"/>
              </w:tabs>
              <w:ind w:left="0"/>
            </w:pPr>
            <w:r w:rsidRPr="001422F4">
              <w:t>$80</w:t>
            </w:r>
          </w:p>
        </w:tc>
        <w:tc>
          <w:tcPr>
            <w:tcW w:w="2104" w:type="pct"/>
          </w:tcPr>
          <w:p w14:paraId="4136353D" w14:textId="77777777" w:rsidR="00B42948" w:rsidRPr="001422F4" w:rsidRDefault="00B42948" w:rsidP="004566DC">
            <w:pPr>
              <w:pStyle w:val="TableText0"/>
              <w:ind w:left="0"/>
              <w:jc w:val="left"/>
            </w:pPr>
            <w:r w:rsidRPr="001422F4">
              <w:t>Department of Molecular Genetics</w:t>
            </w:r>
            <w:r w:rsidR="000C3EB4">
              <w:t xml:space="preserve">, </w:t>
            </w:r>
            <w:r w:rsidRPr="001422F4">
              <w:t>NSW</w:t>
            </w:r>
          </w:p>
        </w:tc>
      </w:tr>
      <w:tr w:rsidR="00B42948" w:rsidRPr="001422F4" w14:paraId="54B04BD0" w14:textId="77777777" w:rsidTr="000C3EB4">
        <w:trPr>
          <w:cantSplit/>
        </w:trPr>
        <w:tc>
          <w:tcPr>
            <w:tcW w:w="1899" w:type="pct"/>
          </w:tcPr>
          <w:p w14:paraId="780A44B5" w14:textId="194CA34F" w:rsidR="00B42948" w:rsidRPr="001422F4" w:rsidRDefault="00372FA1" w:rsidP="004566DC">
            <w:pPr>
              <w:pStyle w:val="TableText0"/>
              <w:ind w:left="0"/>
              <w:jc w:val="left"/>
            </w:pPr>
            <w:r>
              <w:t>CF c</w:t>
            </w:r>
            <w:r w:rsidR="00B42948" w:rsidRPr="001422F4">
              <w:t xml:space="preserve">arrier </w:t>
            </w:r>
            <w:r>
              <w:t>s</w:t>
            </w:r>
            <w:r w:rsidR="00B42948" w:rsidRPr="001422F4">
              <w:t xml:space="preserve">creening </w:t>
            </w:r>
            <w:r w:rsidR="002449B1">
              <w:t>–</w:t>
            </w:r>
            <w:r w:rsidR="00B42948" w:rsidRPr="001422F4">
              <w:t xml:space="preserve"> Poly-T</w:t>
            </w:r>
          </w:p>
        </w:tc>
        <w:tc>
          <w:tcPr>
            <w:tcW w:w="997" w:type="pct"/>
          </w:tcPr>
          <w:p w14:paraId="3CFAB96F" w14:textId="77777777" w:rsidR="00B42948" w:rsidRPr="001422F4" w:rsidRDefault="00B42948" w:rsidP="004566DC">
            <w:pPr>
              <w:pStyle w:val="TableText0"/>
              <w:tabs>
                <w:tab w:val="decimal" w:pos="1026"/>
              </w:tabs>
              <w:ind w:left="0"/>
            </w:pPr>
            <w:r w:rsidRPr="001422F4">
              <w:t>$84</w:t>
            </w:r>
          </w:p>
        </w:tc>
        <w:tc>
          <w:tcPr>
            <w:tcW w:w="2104" w:type="pct"/>
          </w:tcPr>
          <w:p w14:paraId="79A89D87" w14:textId="77777777" w:rsidR="00B42948" w:rsidRPr="001422F4" w:rsidRDefault="00B42948" w:rsidP="004566DC">
            <w:pPr>
              <w:pStyle w:val="TableText0"/>
              <w:ind w:left="0"/>
              <w:jc w:val="left"/>
            </w:pPr>
            <w:r w:rsidRPr="001422F4">
              <w:t>PaLMS-RNSH</w:t>
            </w:r>
            <w:r w:rsidR="000C3EB4">
              <w:t xml:space="preserve">, </w:t>
            </w:r>
            <w:r w:rsidRPr="001422F4">
              <w:t>NSW</w:t>
            </w:r>
          </w:p>
        </w:tc>
      </w:tr>
      <w:tr w:rsidR="00B42948" w:rsidRPr="001422F4" w14:paraId="5C865766" w14:textId="77777777" w:rsidTr="000C3EB4">
        <w:trPr>
          <w:cantSplit/>
        </w:trPr>
        <w:tc>
          <w:tcPr>
            <w:tcW w:w="1899" w:type="pct"/>
          </w:tcPr>
          <w:p w14:paraId="0A594980" w14:textId="2C21DEB3" w:rsidR="00B42948" w:rsidRPr="001422F4" w:rsidRDefault="00B42948" w:rsidP="004566DC">
            <w:pPr>
              <w:pStyle w:val="TableText0"/>
              <w:ind w:left="0"/>
              <w:jc w:val="left"/>
            </w:pPr>
            <w:r w:rsidRPr="001422F4">
              <w:t xml:space="preserve">Single </w:t>
            </w:r>
            <w:r w:rsidR="0073621A">
              <w:t>m</w:t>
            </w:r>
            <w:r w:rsidRPr="001422F4">
              <w:t>utation (CVS)</w:t>
            </w:r>
          </w:p>
        </w:tc>
        <w:tc>
          <w:tcPr>
            <w:tcW w:w="997" w:type="pct"/>
          </w:tcPr>
          <w:p w14:paraId="1E656C4C" w14:textId="77777777" w:rsidR="00B42948" w:rsidRPr="001422F4" w:rsidRDefault="00B42948" w:rsidP="004566DC">
            <w:pPr>
              <w:pStyle w:val="TableText0"/>
              <w:tabs>
                <w:tab w:val="decimal" w:pos="1026"/>
              </w:tabs>
              <w:ind w:left="0"/>
            </w:pPr>
            <w:r w:rsidRPr="001422F4">
              <w:t>$90</w:t>
            </w:r>
          </w:p>
        </w:tc>
        <w:tc>
          <w:tcPr>
            <w:tcW w:w="2104" w:type="pct"/>
          </w:tcPr>
          <w:p w14:paraId="33F86D50" w14:textId="77777777" w:rsidR="00B42948" w:rsidRPr="001422F4" w:rsidRDefault="00B42948" w:rsidP="004566DC">
            <w:pPr>
              <w:pStyle w:val="TableText0"/>
              <w:ind w:left="0"/>
              <w:jc w:val="left"/>
            </w:pPr>
            <w:r w:rsidRPr="001422F4">
              <w:t>PaLMS-RNSH</w:t>
            </w:r>
            <w:r w:rsidR="000C3EB4">
              <w:t xml:space="preserve">, </w:t>
            </w:r>
            <w:r w:rsidRPr="001422F4">
              <w:t>NSW</w:t>
            </w:r>
          </w:p>
        </w:tc>
      </w:tr>
      <w:tr w:rsidR="00B42948" w:rsidRPr="001422F4" w14:paraId="620881A0" w14:textId="77777777" w:rsidTr="000C3EB4">
        <w:trPr>
          <w:cantSplit/>
        </w:trPr>
        <w:tc>
          <w:tcPr>
            <w:tcW w:w="1899" w:type="pct"/>
          </w:tcPr>
          <w:p w14:paraId="28D3CCE2" w14:textId="77777777" w:rsidR="00B42948" w:rsidRPr="001422F4" w:rsidRDefault="000C3EB4" w:rsidP="004566DC">
            <w:pPr>
              <w:pStyle w:val="TableText0"/>
              <w:ind w:left="0"/>
              <w:jc w:val="left"/>
            </w:pPr>
            <w:r>
              <w:t>F508</w:t>
            </w:r>
            <w:r w:rsidR="00B7747D">
              <w:t>del</w:t>
            </w:r>
          </w:p>
        </w:tc>
        <w:tc>
          <w:tcPr>
            <w:tcW w:w="997" w:type="pct"/>
          </w:tcPr>
          <w:p w14:paraId="6067B1FF" w14:textId="77777777" w:rsidR="00B42948" w:rsidRPr="001422F4" w:rsidRDefault="00B42948" w:rsidP="004566DC">
            <w:pPr>
              <w:pStyle w:val="TableText0"/>
              <w:tabs>
                <w:tab w:val="decimal" w:pos="1026"/>
              </w:tabs>
              <w:ind w:left="0"/>
            </w:pPr>
            <w:r w:rsidRPr="001422F4">
              <w:t>$80</w:t>
            </w:r>
          </w:p>
        </w:tc>
        <w:tc>
          <w:tcPr>
            <w:tcW w:w="2104" w:type="pct"/>
          </w:tcPr>
          <w:p w14:paraId="052470D0" w14:textId="77777777" w:rsidR="00B42948" w:rsidRPr="001422F4" w:rsidRDefault="00B42948" w:rsidP="004566DC">
            <w:pPr>
              <w:pStyle w:val="TableText0"/>
              <w:ind w:left="0"/>
              <w:jc w:val="left"/>
            </w:pPr>
            <w:r w:rsidRPr="001422F4">
              <w:t>Sydn</w:t>
            </w:r>
            <w:r w:rsidR="000C3EB4">
              <w:t>ey South West Pathology Service, NSW</w:t>
            </w:r>
          </w:p>
        </w:tc>
      </w:tr>
      <w:tr w:rsidR="00B42948" w:rsidRPr="001422F4" w14:paraId="4EAD44A1" w14:textId="77777777" w:rsidTr="00ED6D7E">
        <w:trPr>
          <w:cantSplit/>
        </w:trPr>
        <w:tc>
          <w:tcPr>
            <w:tcW w:w="1899" w:type="pct"/>
            <w:tcBorders>
              <w:bottom w:val="single" w:sz="4" w:space="0" w:color="auto"/>
            </w:tcBorders>
          </w:tcPr>
          <w:p w14:paraId="7B61BB73" w14:textId="2A693A11" w:rsidR="00B42948" w:rsidRPr="001422F4" w:rsidRDefault="00372FA1" w:rsidP="004566DC">
            <w:pPr>
              <w:pStyle w:val="TableText0"/>
              <w:ind w:left="0"/>
              <w:jc w:val="left"/>
            </w:pPr>
            <w:r>
              <w:t>CF</w:t>
            </w:r>
            <w:r w:rsidR="00B42948" w:rsidRPr="001422F4">
              <w:t xml:space="preserve"> known </w:t>
            </w:r>
            <w:r w:rsidR="000C3EB4">
              <w:t xml:space="preserve">(one) </w:t>
            </w:r>
            <w:r w:rsidR="00B42948" w:rsidRPr="001422F4">
              <w:t>mutation analysis</w:t>
            </w:r>
          </w:p>
        </w:tc>
        <w:tc>
          <w:tcPr>
            <w:tcW w:w="997" w:type="pct"/>
            <w:tcBorders>
              <w:bottom w:val="single" w:sz="4" w:space="0" w:color="auto"/>
            </w:tcBorders>
          </w:tcPr>
          <w:p w14:paraId="6F61334B" w14:textId="77777777" w:rsidR="00B42948" w:rsidRPr="001422F4" w:rsidRDefault="00B42948" w:rsidP="004566DC">
            <w:pPr>
              <w:pStyle w:val="TableText0"/>
              <w:tabs>
                <w:tab w:val="decimal" w:pos="1026"/>
              </w:tabs>
              <w:ind w:left="0"/>
            </w:pPr>
            <w:r w:rsidRPr="001422F4">
              <w:t>$160</w:t>
            </w:r>
          </w:p>
        </w:tc>
        <w:tc>
          <w:tcPr>
            <w:tcW w:w="2104" w:type="pct"/>
            <w:tcBorders>
              <w:bottom w:val="single" w:sz="4" w:space="0" w:color="auto"/>
            </w:tcBorders>
          </w:tcPr>
          <w:p w14:paraId="7EF9C2A6" w14:textId="77777777" w:rsidR="00B42948" w:rsidRPr="001422F4" w:rsidRDefault="00B42948" w:rsidP="004566DC">
            <w:pPr>
              <w:pStyle w:val="TableText0"/>
              <w:ind w:left="0"/>
              <w:jc w:val="left"/>
            </w:pPr>
            <w:r w:rsidRPr="001422F4">
              <w:t>SA Pathology</w:t>
            </w:r>
            <w:r w:rsidR="000C3EB4">
              <w:t xml:space="preserve">, </w:t>
            </w:r>
            <w:r w:rsidRPr="001422F4">
              <w:t>SA</w:t>
            </w:r>
          </w:p>
        </w:tc>
      </w:tr>
      <w:tr w:rsidR="00B42948" w:rsidRPr="00B115E7" w14:paraId="505C2949" w14:textId="77777777" w:rsidTr="00ED6D7E">
        <w:trPr>
          <w:cantSplit/>
        </w:trPr>
        <w:tc>
          <w:tcPr>
            <w:tcW w:w="1899" w:type="pct"/>
            <w:tcBorders>
              <w:top w:val="single" w:sz="4" w:space="0" w:color="auto"/>
              <w:left w:val="single" w:sz="4" w:space="0" w:color="auto"/>
              <w:bottom w:val="single" w:sz="4" w:space="0" w:color="auto"/>
              <w:right w:val="nil"/>
            </w:tcBorders>
          </w:tcPr>
          <w:p w14:paraId="682EA4BC" w14:textId="21E56B21" w:rsidR="00B42948" w:rsidRPr="00B115E7" w:rsidRDefault="00B42948" w:rsidP="004566DC">
            <w:pPr>
              <w:pStyle w:val="TableText0"/>
              <w:ind w:left="0"/>
              <w:jc w:val="left"/>
              <w:rPr>
                <w:i/>
              </w:rPr>
            </w:pPr>
            <w:r w:rsidRPr="00B115E7">
              <w:rPr>
                <w:i/>
              </w:rPr>
              <w:t xml:space="preserve">Whole </w:t>
            </w:r>
            <w:r w:rsidR="008A7449">
              <w:rPr>
                <w:i/>
              </w:rPr>
              <w:t>g</w:t>
            </w:r>
            <w:r w:rsidRPr="00B115E7">
              <w:rPr>
                <w:i/>
              </w:rPr>
              <w:t>ene testing</w:t>
            </w:r>
          </w:p>
        </w:tc>
        <w:tc>
          <w:tcPr>
            <w:tcW w:w="997" w:type="pct"/>
            <w:tcBorders>
              <w:top w:val="single" w:sz="4" w:space="0" w:color="auto"/>
              <w:left w:val="nil"/>
              <w:bottom w:val="single" w:sz="4" w:space="0" w:color="auto"/>
              <w:right w:val="nil"/>
            </w:tcBorders>
          </w:tcPr>
          <w:p w14:paraId="6072AEBD" w14:textId="77777777" w:rsidR="00B42948" w:rsidRPr="00B115E7" w:rsidRDefault="00B42948" w:rsidP="004566DC">
            <w:pPr>
              <w:pStyle w:val="TableText0"/>
              <w:tabs>
                <w:tab w:val="decimal" w:pos="1026"/>
              </w:tabs>
              <w:ind w:left="0"/>
              <w:rPr>
                <w:i/>
              </w:rPr>
            </w:pPr>
          </w:p>
        </w:tc>
        <w:tc>
          <w:tcPr>
            <w:tcW w:w="2104" w:type="pct"/>
            <w:tcBorders>
              <w:top w:val="single" w:sz="4" w:space="0" w:color="auto"/>
              <w:left w:val="nil"/>
              <w:bottom w:val="single" w:sz="4" w:space="0" w:color="auto"/>
              <w:right w:val="single" w:sz="4" w:space="0" w:color="auto"/>
            </w:tcBorders>
          </w:tcPr>
          <w:p w14:paraId="2AA67ED3" w14:textId="77777777" w:rsidR="00B42948" w:rsidRPr="00B115E7" w:rsidRDefault="00B42948" w:rsidP="004566DC">
            <w:pPr>
              <w:pStyle w:val="TableText0"/>
              <w:ind w:left="0"/>
              <w:jc w:val="left"/>
              <w:rPr>
                <w:i/>
              </w:rPr>
            </w:pPr>
          </w:p>
        </w:tc>
      </w:tr>
      <w:tr w:rsidR="00B42948" w:rsidRPr="001422F4" w14:paraId="63BFAFE1" w14:textId="77777777" w:rsidTr="00ED6D7E">
        <w:trPr>
          <w:cantSplit/>
        </w:trPr>
        <w:tc>
          <w:tcPr>
            <w:tcW w:w="1899" w:type="pct"/>
            <w:tcBorders>
              <w:top w:val="single" w:sz="4" w:space="0" w:color="auto"/>
            </w:tcBorders>
          </w:tcPr>
          <w:p w14:paraId="7AA8BE0B" w14:textId="7BFE7C9E" w:rsidR="00B42948" w:rsidRPr="001422F4" w:rsidRDefault="00372FA1" w:rsidP="004566DC">
            <w:pPr>
              <w:pStyle w:val="TableText0"/>
              <w:ind w:left="0"/>
              <w:jc w:val="left"/>
            </w:pPr>
            <w:r>
              <w:t>CF</w:t>
            </w:r>
            <w:r w:rsidR="00B42948" w:rsidRPr="001422F4">
              <w:t xml:space="preserve"> </w:t>
            </w:r>
            <w:r w:rsidR="008A7449">
              <w:t>g</w:t>
            </w:r>
            <w:r w:rsidR="00B42948" w:rsidRPr="001422F4">
              <w:t xml:space="preserve">ene </w:t>
            </w:r>
            <w:r w:rsidR="008A7449">
              <w:t>s</w:t>
            </w:r>
            <w:r w:rsidR="00B42948" w:rsidRPr="001422F4">
              <w:t xml:space="preserve">canning and </w:t>
            </w:r>
            <w:r w:rsidR="008A7449">
              <w:t>r</w:t>
            </w:r>
            <w:r w:rsidR="00B42948" w:rsidRPr="001422F4">
              <w:t xml:space="preserve">are </w:t>
            </w:r>
            <w:r w:rsidR="00186EF4">
              <w:t>m</w:t>
            </w:r>
            <w:r w:rsidR="00B42948" w:rsidRPr="001422F4">
              <w:t xml:space="preserve">utation </w:t>
            </w:r>
            <w:r w:rsidR="008A7449">
              <w:t>d</w:t>
            </w:r>
            <w:r w:rsidR="00B42948" w:rsidRPr="001422F4">
              <w:t>etection</w:t>
            </w:r>
            <w:r w:rsidR="00764010">
              <w:t xml:space="preserve"> (Sanger sequencing)</w:t>
            </w:r>
          </w:p>
        </w:tc>
        <w:tc>
          <w:tcPr>
            <w:tcW w:w="997" w:type="pct"/>
            <w:tcBorders>
              <w:top w:val="single" w:sz="4" w:space="0" w:color="auto"/>
            </w:tcBorders>
          </w:tcPr>
          <w:p w14:paraId="368F94BF" w14:textId="3C557EE3" w:rsidR="00B42948" w:rsidRPr="001422F4" w:rsidRDefault="00B42948" w:rsidP="004566DC">
            <w:pPr>
              <w:pStyle w:val="TableText0"/>
              <w:tabs>
                <w:tab w:val="decimal" w:pos="1026"/>
              </w:tabs>
              <w:ind w:left="0"/>
            </w:pPr>
            <w:r w:rsidRPr="001422F4">
              <w:t>$1</w:t>
            </w:r>
            <w:r w:rsidR="00593B25">
              <w:t>,</w:t>
            </w:r>
            <w:r w:rsidRPr="001422F4">
              <w:t>000</w:t>
            </w:r>
          </w:p>
        </w:tc>
        <w:tc>
          <w:tcPr>
            <w:tcW w:w="2104" w:type="pct"/>
            <w:tcBorders>
              <w:top w:val="single" w:sz="4" w:space="0" w:color="auto"/>
            </w:tcBorders>
          </w:tcPr>
          <w:p w14:paraId="3D4A3AD4" w14:textId="77777777" w:rsidR="00B42948" w:rsidRPr="001422F4" w:rsidRDefault="00B42948" w:rsidP="004566DC">
            <w:pPr>
              <w:pStyle w:val="TableText0"/>
              <w:ind w:left="0"/>
              <w:jc w:val="left"/>
            </w:pPr>
            <w:r w:rsidRPr="001422F4">
              <w:t>PaLMS-RNSH</w:t>
            </w:r>
            <w:r w:rsidR="000C3EB4">
              <w:t xml:space="preserve">, </w:t>
            </w:r>
            <w:r w:rsidRPr="001422F4">
              <w:t>NSW</w:t>
            </w:r>
          </w:p>
        </w:tc>
      </w:tr>
    </w:tbl>
    <w:p w14:paraId="23DAC6F8" w14:textId="08B1CA68" w:rsidR="00EA0932" w:rsidRDefault="00EA0932" w:rsidP="004566DC">
      <w:pPr>
        <w:pStyle w:val="Tablenotes0"/>
        <w:spacing w:after="0"/>
        <w:jc w:val="left"/>
      </w:pPr>
      <w:r w:rsidRPr="00393243">
        <w:t>Source</w:t>
      </w:r>
      <w:r>
        <w:t>s</w:t>
      </w:r>
      <w:r w:rsidRPr="00393243">
        <w:t xml:space="preserve">: </w:t>
      </w:r>
      <w:r>
        <w:fldChar w:fldCharType="begin">
          <w:fldData xml:space="preserve">PEVuZE5vdGU+PENpdGU+PEF1dGhvcj5NYXNzaWU8L0F1dGhvcj48WWVhcj4yMDE0PC9ZZWFyPjxS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</w:fldData>
        </w:fldChar>
      </w:r>
      <w:r>
        <w:instrText xml:space="preserve"> ADDIN EN.CITE </w:instrText>
      </w:r>
      <w:r>
        <w:fldChar w:fldCharType="begin">
          <w:fldData xml:space="preserve">PEVuZE5vdGU+PENpdGU+PEF1dGhvcj5NYXNzaWU8L0F1dGhvcj48WWVhcj4yMDE0PC9ZZWFyPjxS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</w:fldData>
        </w:fldChar>
      </w:r>
      <w:r>
        <w:instrText xml:space="preserve"> ADDIN EN.CITE.DATA </w:instrText>
      </w:r>
      <w:r>
        <w:fldChar w:fldCharType="end"/>
      </w:r>
      <w:r>
        <w:fldChar w:fldCharType="separate"/>
      </w:r>
      <w:hyperlink w:anchor="_ENREF_73" w:tooltip="Massie, 2014 #396" w:history="1">
        <w:r>
          <w:rPr>
            <w:noProof/>
          </w:rPr>
          <w:t>Massie, J, Ioannou &amp; Delatycki (2014</w:t>
        </w:r>
      </w:hyperlink>
      <w:r>
        <w:rPr>
          <w:noProof/>
        </w:rPr>
        <w:t>)</w:t>
      </w:r>
      <w:r>
        <w:fldChar w:fldCharType="end"/>
      </w:r>
      <w:r>
        <w:t xml:space="preserve">; </w:t>
      </w:r>
      <w:hyperlink w:anchor="_ENREF_77" w:tooltip="Maxwell, 2010 #38" w:history="1">
        <w:r>
          <w:rPr>
            <w:noProof/>
          </w:rPr>
          <w:t>Maxwell et al. (2010</w:t>
        </w:r>
      </w:hyperlink>
      <w:r>
        <w:rPr>
          <w:noProof/>
        </w:rPr>
        <w:t xml:space="preserve">); </w:t>
      </w:r>
      <w:r>
        <w:t>RCPA website accessed on 8 January 2015 (data</w:t>
      </w:r>
      <w:r w:rsidR="00ED5EDB">
        <w:t xml:space="preserve"> last updated on December 2009);</w:t>
      </w:r>
      <w:r w:rsidRPr="00393243">
        <w:t xml:space="preserve"> </w:t>
      </w:r>
      <w:r>
        <w:t>&lt;</w:t>
      </w:r>
      <w:hyperlink r:id="rId106" w:tooltip="Link to RCPA webpage" w:history="1">
        <w:r w:rsidRPr="00393243">
          <w:rPr>
            <w:color w:val="0000FF"/>
            <w:u w:val="single"/>
          </w:rPr>
          <w:t>http://genetictesting.rcpa.edu.au/component/search/?searchword=cystic+fibrosis&amp;ordering=&amp;searchphrase=all&amp;areas[0]=all</w:t>
        </w:r>
      </w:hyperlink>
      <w:r>
        <w:rPr>
          <w:color w:val="0000FF"/>
          <w:u w:val="single"/>
        </w:rPr>
        <w:t>&gt;; &lt;</w:t>
      </w:r>
      <w:hyperlink r:id="rId107" w:tooltip="Link to healthscope pathology CFTR genetic screening web page" w:history="1">
        <w:r w:rsidRPr="0012751B">
          <w:rPr>
            <w:rStyle w:val="Hyperlink"/>
          </w:rPr>
          <w:t>http://www.healthscopepathology.com.au/index.php/advanced-pathology/344/cystic-fibrosis-carrier-screening/</w:t>
        </w:r>
      </w:hyperlink>
      <w:r>
        <w:rPr>
          <w:rStyle w:val="Hyperlink"/>
        </w:rPr>
        <w:t>&gt;</w:t>
      </w:r>
      <w:r>
        <w:rPr>
          <w:color w:val="0000FF"/>
          <w:u w:val="single"/>
        </w:rPr>
        <w:t xml:space="preserve">, </w:t>
      </w:r>
      <w:r w:rsidRPr="00011989">
        <w:t>accessed on 13 March 2015</w:t>
      </w:r>
      <w:r>
        <w:t>.</w:t>
      </w:r>
    </w:p>
    <w:p w14:paraId="7A94531E" w14:textId="77777777" w:rsidR="00EA0932" w:rsidRDefault="00EA0932" w:rsidP="004566DC">
      <w:pPr>
        <w:pStyle w:val="Tablenotes0"/>
        <w:spacing w:after="0"/>
        <w:jc w:val="left"/>
        <w:rPr>
          <w:szCs w:val="18"/>
        </w:rPr>
      </w:pPr>
      <w:r w:rsidRPr="000371EA">
        <w:rPr>
          <w:szCs w:val="18"/>
          <w:vertAlign w:val="superscript"/>
        </w:rPr>
        <w:t>a</w:t>
      </w:r>
      <w:r w:rsidRPr="000371EA">
        <w:rPr>
          <w:szCs w:val="18"/>
        </w:rPr>
        <w:t xml:space="preserve"> Pers. comm. with RCPA member, received on 2 March 2015</w:t>
      </w:r>
    </w:p>
    <w:p w14:paraId="4BCB34E9" w14:textId="279D306C" w:rsidR="00764010" w:rsidRPr="00130E09" w:rsidRDefault="004D427B" w:rsidP="004566DC">
      <w:pPr>
        <w:pStyle w:val="Tablenotes0"/>
        <w:spacing w:after="0"/>
        <w:jc w:val="left"/>
        <w:rPr>
          <w:bCs/>
          <w:szCs w:val="18"/>
        </w:rPr>
      </w:pPr>
      <w:r w:rsidRPr="00130E09">
        <w:rPr>
          <w:bCs/>
          <w:szCs w:val="18"/>
        </w:rPr>
        <w:t xml:space="preserve">CF = cystic fibrosis; CFTR = </w:t>
      </w:r>
      <w:r w:rsidRPr="004566DC">
        <w:rPr>
          <w:szCs w:val="18"/>
        </w:rPr>
        <w:t>cystic fibrosis transmembrane conductance regulator;</w:t>
      </w:r>
      <w:r w:rsidRPr="00130E09">
        <w:rPr>
          <w:bCs/>
          <w:szCs w:val="18"/>
        </w:rPr>
        <w:t xml:space="preserve"> CVS = chorionic villus sampling; </w:t>
      </w:r>
      <w:r w:rsidR="00764010" w:rsidRPr="00130E09">
        <w:rPr>
          <w:bCs/>
          <w:szCs w:val="18"/>
        </w:rPr>
        <w:t xml:space="preserve">PaLMS-RNSH = </w:t>
      </w:r>
      <w:hyperlink r:id="rId108" w:history="1">
        <w:r w:rsidR="00764010" w:rsidRPr="00130E09">
          <w:rPr>
            <w:rStyle w:val="Hyperlink"/>
            <w:bCs/>
            <w:color w:val="auto"/>
            <w:szCs w:val="18"/>
            <w:u w:val="none"/>
          </w:rPr>
          <w:t>Pacific Laboratory Medicine Services</w:t>
        </w:r>
      </w:hyperlink>
      <w:r w:rsidR="00593B25" w:rsidRPr="00130E09">
        <w:rPr>
          <w:szCs w:val="18"/>
        </w:rPr>
        <w:t xml:space="preserve"> –</w:t>
      </w:r>
      <w:r w:rsidR="00764010" w:rsidRPr="00130E09">
        <w:rPr>
          <w:szCs w:val="18"/>
        </w:rPr>
        <w:t xml:space="preserve"> Royal North Shore Hospital</w:t>
      </w:r>
      <w:r w:rsidR="00186EF4" w:rsidRPr="00130E09">
        <w:rPr>
          <w:szCs w:val="18"/>
        </w:rPr>
        <w:t>, NSW</w:t>
      </w:r>
      <w:r w:rsidR="00764010" w:rsidRPr="00130E09">
        <w:rPr>
          <w:szCs w:val="18"/>
        </w:rPr>
        <w:t xml:space="preserve"> </w:t>
      </w:r>
    </w:p>
    <w:p w14:paraId="4DB9B73E" w14:textId="1AA9E23F" w:rsidR="00764010" w:rsidRDefault="00764010" w:rsidP="00764010">
      <w:pPr>
        <w:pStyle w:val="Tablenotes0"/>
        <w:spacing w:after="0"/>
        <w:jc w:val="left"/>
        <w:rPr>
          <w:szCs w:val="18"/>
        </w:rPr>
      </w:pPr>
    </w:p>
    <w:p w14:paraId="6AB0DEB1" w14:textId="32EFCA06" w:rsidR="00ED6D7E" w:rsidRDefault="00ED6D7E" w:rsidP="00D04561">
      <w:pPr>
        <w:pStyle w:val="Heading1"/>
        <w:tabs>
          <w:tab w:val="left" w:pos="2268"/>
        </w:tabs>
        <w:spacing w:line="240" w:lineRule="auto"/>
        <w:ind w:left="0" w:firstLine="0"/>
      </w:pPr>
      <w:bookmarkStart w:id="601" w:name="_Ref290208317"/>
      <w:bookmarkStart w:id="602" w:name="_Toc418179982"/>
      <w:r w:rsidRPr="0078355D">
        <w:lastRenderedPageBreak/>
        <w:t xml:space="preserve">Appendix </w:t>
      </w:r>
      <w:fldSimple w:instr=" SEQ Appendix \* ALPHABETIC ">
        <w:r w:rsidR="00BB0E3E">
          <w:rPr>
            <w:noProof/>
          </w:rPr>
          <w:t>J</w:t>
        </w:r>
      </w:fldSimple>
      <w:r w:rsidRPr="0078355D">
        <w:tab/>
        <w:t xml:space="preserve">Additional </w:t>
      </w:r>
      <w:r w:rsidR="00BF35DA">
        <w:t>I</w:t>
      </w:r>
      <w:r w:rsidRPr="0078355D">
        <w:t>nformation</w:t>
      </w:r>
      <w:r w:rsidRPr="00B25A58">
        <w:t xml:space="preserve"> </w:t>
      </w:r>
      <w:r w:rsidR="00BF35DA" w:rsidRPr="00447183">
        <w:t>R</w:t>
      </w:r>
      <w:r w:rsidRPr="00447183">
        <w:t xml:space="preserve">elating to the </w:t>
      </w:r>
      <w:r w:rsidR="00BF35DA" w:rsidRPr="00447183">
        <w:t>E</w:t>
      </w:r>
      <w:r w:rsidRPr="00447183">
        <w:t xml:space="preserve">conomic </w:t>
      </w:r>
      <w:r w:rsidR="00BF35DA" w:rsidRPr="00447183">
        <w:t>E</w:t>
      </w:r>
      <w:r w:rsidRPr="00447183">
        <w:t>valuation</w:t>
      </w:r>
      <w:bookmarkEnd w:id="601"/>
      <w:bookmarkEnd w:id="602"/>
    </w:p>
    <w:p w14:paraId="1E5C1DF8" w14:textId="01C9B516" w:rsidR="00ED6D7E" w:rsidRDefault="00ED6D7E" w:rsidP="00ED6D7E">
      <w:pPr>
        <w:pStyle w:val="Heading2"/>
      </w:pPr>
      <w:bookmarkStart w:id="603" w:name="_Toc418179983"/>
      <w:r>
        <w:t xml:space="preserve">Derivation of </w:t>
      </w:r>
      <w:r w:rsidR="00B43204">
        <w:t>m</w:t>
      </w:r>
      <w:r>
        <w:t>odel probabilities</w:t>
      </w:r>
      <w:bookmarkEnd w:id="603"/>
    </w:p>
    <w:p w14:paraId="4EF67BA0" w14:textId="3234B7B4" w:rsidR="00ED6D7E" w:rsidRDefault="00ED6D7E" w:rsidP="00ED6D7E">
      <w:pPr>
        <w:pStyle w:val="Caption"/>
      </w:pPr>
      <w:bookmarkStart w:id="604" w:name="_Ref414966504"/>
      <w:bookmarkStart w:id="605" w:name="_Toc416855393"/>
      <w:bookmarkStart w:id="606" w:name="_Toc418179500"/>
      <w:r>
        <w:t xml:space="preserve">Table </w:t>
      </w:r>
      <w:fldSimple w:instr=" SEQ Table \* ARABIC ">
        <w:r w:rsidR="00BB0E3E">
          <w:rPr>
            <w:noProof/>
          </w:rPr>
          <w:t>103</w:t>
        </w:r>
      </w:fldSimple>
      <w:bookmarkEnd w:id="604"/>
      <w:r>
        <w:tab/>
        <w:t xml:space="preserve">Model probabilities for identifying </w:t>
      </w:r>
      <w:r w:rsidR="00FD37D3" w:rsidRPr="00FD37D3">
        <w:t>CFTR</w:t>
      </w:r>
      <w:r>
        <w:t xml:space="preserve"> mutations in both parents in the base</w:t>
      </w:r>
      <w:r w:rsidR="00022486">
        <w:t>-</w:t>
      </w:r>
      <w:r>
        <w:t>case analysis</w:t>
      </w:r>
      <w:bookmarkEnd w:id="605"/>
      <w:bookmarkEnd w:id="606"/>
    </w:p>
    <w:tbl>
      <w:tblPr>
        <w:tblStyle w:val="TableGrid"/>
        <w:tblW w:w="0" w:type="auto"/>
        <w:tblLook w:val="04A0" w:firstRow="1" w:lastRow="0" w:firstColumn="1" w:lastColumn="0" w:noHBand="0" w:noVBand="1"/>
        <w:tblCaption w:val="Model probabilities for identifying CFTR mutations in both parents in the base-case analysis"/>
        <w:tblDescription w:val="Model probabilities for identifying CFTR mutations in both parents in the base-case analysis"/>
      </w:tblPr>
      <w:tblGrid>
        <w:gridCol w:w="1809"/>
        <w:gridCol w:w="2268"/>
        <w:gridCol w:w="2127"/>
        <w:gridCol w:w="3038"/>
      </w:tblGrid>
      <w:tr w:rsidR="00ED6D7E" w:rsidRPr="00392E0D" w14:paraId="2C4792E1" w14:textId="77777777" w:rsidTr="00BB2456">
        <w:trPr>
          <w:tblHeader/>
        </w:trPr>
        <w:tc>
          <w:tcPr>
            <w:tcW w:w="1809" w:type="dxa"/>
            <w:tcBorders>
              <w:bottom w:val="single" w:sz="4" w:space="0" w:color="auto"/>
            </w:tcBorders>
          </w:tcPr>
          <w:p w14:paraId="60F17C5E" w14:textId="77777777" w:rsidR="00ED6D7E" w:rsidRPr="00392E0D" w:rsidRDefault="00ED6D7E" w:rsidP="004566DC">
            <w:pPr>
              <w:spacing w:after="0" w:line="240" w:lineRule="auto"/>
              <w:ind w:left="0"/>
              <w:jc w:val="left"/>
              <w:rPr>
                <w:rFonts w:ascii="Arial Narrow" w:hAnsi="Arial Narrow"/>
                <w:b/>
                <w:sz w:val="20"/>
                <w:szCs w:val="20"/>
              </w:rPr>
            </w:pPr>
            <w:r w:rsidRPr="00392E0D">
              <w:rPr>
                <w:rFonts w:ascii="Arial Narrow" w:hAnsi="Arial Narrow"/>
                <w:b/>
                <w:sz w:val="20"/>
                <w:szCs w:val="20"/>
              </w:rPr>
              <w:t>Model arm</w:t>
            </w:r>
          </w:p>
        </w:tc>
        <w:tc>
          <w:tcPr>
            <w:tcW w:w="2268" w:type="dxa"/>
            <w:tcBorders>
              <w:bottom w:val="single" w:sz="4" w:space="0" w:color="auto"/>
            </w:tcBorders>
          </w:tcPr>
          <w:p w14:paraId="2B3D1AC9" w14:textId="77777777" w:rsidR="00ED6D7E" w:rsidRPr="00392E0D" w:rsidRDefault="00ED6D7E" w:rsidP="004566DC">
            <w:pPr>
              <w:spacing w:after="0" w:line="240" w:lineRule="auto"/>
              <w:ind w:left="0"/>
              <w:jc w:val="left"/>
              <w:rPr>
                <w:rFonts w:ascii="Arial Narrow" w:hAnsi="Arial Narrow"/>
                <w:b/>
                <w:sz w:val="20"/>
                <w:szCs w:val="20"/>
              </w:rPr>
            </w:pPr>
            <w:r w:rsidRPr="00392E0D">
              <w:rPr>
                <w:rFonts w:ascii="Arial Narrow" w:hAnsi="Arial Narrow"/>
                <w:b/>
                <w:sz w:val="20"/>
                <w:szCs w:val="20"/>
              </w:rPr>
              <w:t>Two mutations identified</w:t>
            </w:r>
          </w:p>
        </w:tc>
        <w:tc>
          <w:tcPr>
            <w:tcW w:w="2127" w:type="dxa"/>
            <w:tcBorders>
              <w:bottom w:val="single" w:sz="4" w:space="0" w:color="auto"/>
            </w:tcBorders>
          </w:tcPr>
          <w:p w14:paraId="6239556D" w14:textId="77777777" w:rsidR="00ED6D7E" w:rsidRPr="00392E0D" w:rsidRDefault="00ED6D7E" w:rsidP="004566DC">
            <w:pPr>
              <w:spacing w:after="0" w:line="240" w:lineRule="auto"/>
              <w:ind w:left="0"/>
              <w:jc w:val="left"/>
              <w:rPr>
                <w:rFonts w:ascii="Arial Narrow" w:hAnsi="Arial Narrow"/>
                <w:b/>
                <w:sz w:val="20"/>
                <w:szCs w:val="20"/>
              </w:rPr>
            </w:pPr>
            <w:r w:rsidRPr="00392E0D">
              <w:rPr>
                <w:rFonts w:ascii="Arial Narrow" w:hAnsi="Arial Narrow"/>
                <w:b/>
                <w:sz w:val="20"/>
                <w:szCs w:val="20"/>
              </w:rPr>
              <w:t>One mutation identified</w:t>
            </w:r>
          </w:p>
        </w:tc>
        <w:tc>
          <w:tcPr>
            <w:tcW w:w="3038" w:type="dxa"/>
            <w:tcBorders>
              <w:bottom w:val="single" w:sz="4" w:space="0" w:color="auto"/>
            </w:tcBorders>
          </w:tcPr>
          <w:p w14:paraId="4C8F3095" w14:textId="77777777" w:rsidR="00ED6D7E" w:rsidRPr="00392E0D" w:rsidRDefault="00ED6D7E" w:rsidP="004566DC">
            <w:pPr>
              <w:spacing w:after="0" w:line="240" w:lineRule="auto"/>
              <w:ind w:left="0"/>
              <w:jc w:val="left"/>
              <w:rPr>
                <w:rFonts w:ascii="Arial Narrow" w:hAnsi="Arial Narrow"/>
                <w:b/>
                <w:sz w:val="20"/>
                <w:szCs w:val="20"/>
              </w:rPr>
            </w:pPr>
            <w:r w:rsidRPr="00392E0D">
              <w:rPr>
                <w:rFonts w:ascii="Arial Narrow" w:hAnsi="Arial Narrow"/>
                <w:b/>
                <w:sz w:val="20"/>
                <w:szCs w:val="20"/>
              </w:rPr>
              <w:t>No mutation identified</w:t>
            </w:r>
          </w:p>
        </w:tc>
      </w:tr>
      <w:tr w:rsidR="00ED6D7E" w:rsidRPr="00385758" w14:paraId="6F1CA571" w14:textId="77777777" w:rsidTr="00BB2456">
        <w:tc>
          <w:tcPr>
            <w:tcW w:w="1809" w:type="dxa"/>
            <w:tcBorders>
              <w:right w:val="nil"/>
            </w:tcBorders>
          </w:tcPr>
          <w:p w14:paraId="50DA97E8" w14:textId="77777777" w:rsidR="00ED6D7E" w:rsidRPr="00D818E4" w:rsidRDefault="00ED6D7E" w:rsidP="004566DC">
            <w:pPr>
              <w:spacing w:after="0" w:line="240" w:lineRule="auto"/>
              <w:ind w:left="0"/>
              <w:jc w:val="left"/>
              <w:rPr>
                <w:rFonts w:ascii="Arial Narrow" w:hAnsi="Arial Narrow"/>
                <w:i/>
                <w:sz w:val="20"/>
                <w:szCs w:val="20"/>
              </w:rPr>
            </w:pPr>
            <w:r w:rsidRPr="00D818E4">
              <w:rPr>
                <w:rFonts w:ascii="Arial Narrow" w:hAnsi="Arial Narrow"/>
                <w:i/>
                <w:sz w:val="20"/>
                <w:szCs w:val="20"/>
              </w:rPr>
              <w:t xml:space="preserve">Model 1 </w:t>
            </w:r>
          </w:p>
        </w:tc>
        <w:tc>
          <w:tcPr>
            <w:tcW w:w="2268" w:type="dxa"/>
            <w:tcBorders>
              <w:left w:val="nil"/>
              <w:right w:val="nil"/>
            </w:tcBorders>
          </w:tcPr>
          <w:p w14:paraId="6D0274C6" w14:textId="77777777" w:rsidR="00ED6D7E" w:rsidRPr="00385758" w:rsidRDefault="00ED6D7E" w:rsidP="004566DC">
            <w:pPr>
              <w:spacing w:after="0" w:line="240" w:lineRule="auto"/>
              <w:ind w:left="0"/>
              <w:jc w:val="left"/>
              <w:rPr>
                <w:rFonts w:ascii="Arial Narrow" w:hAnsi="Arial Narrow"/>
                <w:sz w:val="20"/>
                <w:szCs w:val="20"/>
              </w:rPr>
            </w:pPr>
          </w:p>
        </w:tc>
        <w:tc>
          <w:tcPr>
            <w:tcW w:w="2127" w:type="dxa"/>
            <w:tcBorders>
              <w:left w:val="nil"/>
              <w:right w:val="nil"/>
            </w:tcBorders>
          </w:tcPr>
          <w:p w14:paraId="1246B370" w14:textId="77777777" w:rsidR="00ED6D7E" w:rsidRPr="00385758" w:rsidRDefault="00ED6D7E" w:rsidP="004566DC">
            <w:pPr>
              <w:spacing w:after="0" w:line="240" w:lineRule="auto"/>
              <w:ind w:left="0"/>
              <w:jc w:val="left"/>
              <w:rPr>
                <w:rFonts w:ascii="Arial Narrow" w:hAnsi="Arial Narrow"/>
                <w:sz w:val="20"/>
                <w:szCs w:val="20"/>
              </w:rPr>
            </w:pPr>
          </w:p>
        </w:tc>
        <w:tc>
          <w:tcPr>
            <w:tcW w:w="3038" w:type="dxa"/>
            <w:tcBorders>
              <w:left w:val="nil"/>
            </w:tcBorders>
          </w:tcPr>
          <w:p w14:paraId="3D5E8B8E" w14:textId="77777777" w:rsidR="00ED6D7E" w:rsidRPr="00385758" w:rsidRDefault="00ED6D7E" w:rsidP="004566DC">
            <w:pPr>
              <w:spacing w:after="0" w:line="240" w:lineRule="auto"/>
              <w:ind w:left="0"/>
              <w:jc w:val="left"/>
              <w:rPr>
                <w:rFonts w:ascii="Arial Narrow" w:hAnsi="Arial Narrow"/>
                <w:sz w:val="20"/>
                <w:szCs w:val="20"/>
              </w:rPr>
            </w:pPr>
          </w:p>
        </w:tc>
      </w:tr>
      <w:tr w:rsidR="00ED6D7E" w:rsidRPr="00385758" w14:paraId="6DD258D9" w14:textId="77777777" w:rsidTr="00BB2456">
        <w:tc>
          <w:tcPr>
            <w:tcW w:w="1809" w:type="dxa"/>
          </w:tcPr>
          <w:p w14:paraId="3903DE9B" w14:textId="77777777" w:rsidR="00ED6D7E" w:rsidRPr="00230F71" w:rsidRDefault="00ED6D7E" w:rsidP="004566DC">
            <w:pPr>
              <w:spacing w:after="0" w:line="240" w:lineRule="auto"/>
              <w:ind w:left="0"/>
              <w:jc w:val="left"/>
              <w:rPr>
                <w:rFonts w:ascii="Arial Narrow" w:hAnsi="Arial Narrow"/>
                <w:sz w:val="20"/>
                <w:szCs w:val="20"/>
              </w:rPr>
            </w:pPr>
            <w:r>
              <w:rPr>
                <w:rFonts w:ascii="Arial Narrow" w:hAnsi="Arial Narrow"/>
                <w:sz w:val="20"/>
                <w:szCs w:val="20"/>
              </w:rPr>
              <w:t>Both parents known CF carriers</w:t>
            </w:r>
          </w:p>
        </w:tc>
        <w:tc>
          <w:tcPr>
            <w:tcW w:w="2268" w:type="dxa"/>
          </w:tcPr>
          <w:p w14:paraId="647FB234" w14:textId="77777777" w:rsidR="00ED6D7E" w:rsidRDefault="00ED6D7E" w:rsidP="004566DC">
            <w:pPr>
              <w:spacing w:after="0" w:line="240" w:lineRule="auto"/>
              <w:ind w:left="0"/>
              <w:jc w:val="left"/>
              <w:rPr>
                <w:rFonts w:ascii="Arial Narrow" w:hAnsi="Arial Narrow"/>
                <w:sz w:val="20"/>
                <w:szCs w:val="20"/>
              </w:rPr>
            </w:pPr>
            <w:r>
              <w:rPr>
                <w:rFonts w:ascii="Arial Narrow" w:hAnsi="Arial Narrow"/>
                <w:sz w:val="20"/>
                <w:szCs w:val="20"/>
              </w:rPr>
              <w:t>clin_sens * clin_sens</w:t>
            </w:r>
          </w:p>
        </w:tc>
        <w:tc>
          <w:tcPr>
            <w:tcW w:w="2127" w:type="dxa"/>
          </w:tcPr>
          <w:p w14:paraId="11E46330" w14:textId="77777777" w:rsidR="00ED6D7E" w:rsidRDefault="00ED6D7E" w:rsidP="004566DC">
            <w:pPr>
              <w:spacing w:after="0" w:line="240" w:lineRule="auto"/>
              <w:ind w:left="0"/>
              <w:jc w:val="left"/>
              <w:rPr>
                <w:rFonts w:ascii="Arial Narrow" w:hAnsi="Arial Narrow"/>
                <w:sz w:val="20"/>
                <w:szCs w:val="20"/>
              </w:rPr>
            </w:pPr>
            <w:r>
              <w:rPr>
                <w:rFonts w:ascii="Arial Narrow" w:hAnsi="Arial Narrow"/>
                <w:sz w:val="20"/>
                <w:szCs w:val="20"/>
              </w:rPr>
              <w:t>2 * clin_sens * (1-clin_sens)</w:t>
            </w:r>
          </w:p>
        </w:tc>
        <w:tc>
          <w:tcPr>
            <w:tcW w:w="3038" w:type="dxa"/>
          </w:tcPr>
          <w:p w14:paraId="01BDEA4E" w14:textId="77777777" w:rsidR="00ED6D7E" w:rsidRDefault="00ED6D7E" w:rsidP="004566DC">
            <w:pPr>
              <w:spacing w:after="0" w:line="240" w:lineRule="auto"/>
              <w:ind w:left="0"/>
              <w:jc w:val="left"/>
              <w:rPr>
                <w:rFonts w:ascii="Arial Narrow" w:hAnsi="Arial Narrow"/>
                <w:sz w:val="20"/>
                <w:szCs w:val="20"/>
              </w:rPr>
            </w:pPr>
            <w:r>
              <w:rPr>
                <w:rFonts w:ascii="Arial Narrow" w:hAnsi="Arial Narrow"/>
                <w:sz w:val="20"/>
                <w:szCs w:val="20"/>
              </w:rPr>
              <w:t>(1-clin_sens) * (1-clin_sens)</w:t>
            </w:r>
          </w:p>
        </w:tc>
      </w:tr>
      <w:tr w:rsidR="00ED6D7E" w:rsidRPr="00385758" w14:paraId="16B1EE01" w14:textId="77777777" w:rsidTr="00BB2456">
        <w:tc>
          <w:tcPr>
            <w:tcW w:w="1809" w:type="dxa"/>
            <w:tcBorders>
              <w:bottom w:val="single" w:sz="4" w:space="0" w:color="auto"/>
            </w:tcBorders>
          </w:tcPr>
          <w:p w14:paraId="39A7649C" w14:textId="77777777" w:rsidR="00ED6D7E" w:rsidRPr="00230F71" w:rsidRDefault="00ED6D7E" w:rsidP="004566DC">
            <w:pPr>
              <w:spacing w:after="0" w:line="240" w:lineRule="auto"/>
              <w:ind w:left="0"/>
              <w:jc w:val="left"/>
              <w:rPr>
                <w:rFonts w:ascii="Arial Narrow" w:hAnsi="Arial Narrow"/>
                <w:sz w:val="20"/>
                <w:szCs w:val="20"/>
              </w:rPr>
            </w:pPr>
            <w:r w:rsidRPr="00230F71">
              <w:rPr>
                <w:rFonts w:ascii="Arial Narrow" w:hAnsi="Arial Narrow"/>
                <w:sz w:val="20"/>
                <w:szCs w:val="20"/>
              </w:rPr>
              <w:t>(carrier rate 100%)</w:t>
            </w:r>
          </w:p>
        </w:tc>
        <w:tc>
          <w:tcPr>
            <w:tcW w:w="2268" w:type="dxa"/>
            <w:tcBorders>
              <w:bottom w:val="single" w:sz="4" w:space="0" w:color="auto"/>
            </w:tcBorders>
          </w:tcPr>
          <w:p w14:paraId="65CB951A"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64%</w:t>
            </w:r>
          </w:p>
        </w:tc>
        <w:tc>
          <w:tcPr>
            <w:tcW w:w="2127" w:type="dxa"/>
            <w:tcBorders>
              <w:bottom w:val="single" w:sz="4" w:space="0" w:color="auto"/>
            </w:tcBorders>
          </w:tcPr>
          <w:p w14:paraId="4E23FDE1"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32%</w:t>
            </w:r>
          </w:p>
        </w:tc>
        <w:tc>
          <w:tcPr>
            <w:tcW w:w="3038" w:type="dxa"/>
            <w:tcBorders>
              <w:bottom w:val="single" w:sz="4" w:space="0" w:color="auto"/>
            </w:tcBorders>
          </w:tcPr>
          <w:p w14:paraId="55CF8F1B"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4%</w:t>
            </w:r>
          </w:p>
        </w:tc>
      </w:tr>
      <w:tr w:rsidR="00ED6D7E" w:rsidRPr="00D818E4" w14:paraId="7BC7EB04" w14:textId="547B4194" w:rsidTr="00BB2456">
        <w:tc>
          <w:tcPr>
            <w:tcW w:w="1809" w:type="dxa"/>
            <w:tcBorders>
              <w:right w:val="nil"/>
            </w:tcBorders>
          </w:tcPr>
          <w:p w14:paraId="4304651E" w14:textId="167D9EC6" w:rsidR="00ED6D7E" w:rsidRPr="00D818E4" w:rsidRDefault="00ED6D7E" w:rsidP="004566DC">
            <w:pPr>
              <w:spacing w:after="0" w:line="240" w:lineRule="auto"/>
              <w:ind w:left="0"/>
              <w:jc w:val="left"/>
              <w:rPr>
                <w:rFonts w:ascii="Arial Narrow" w:hAnsi="Arial Narrow"/>
                <w:i/>
                <w:sz w:val="20"/>
                <w:szCs w:val="20"/>
              </w:rPr>
            </w:pPr>
            <w:r w:rsidRPr="00D818E4">
              <w:rPr>
                <w:rFonts w:ascii="Arial Narrow" w:hAnsi="Arial Narrow"/>
                <w:i/>
                <w:sz w:val="20"/>
                <w:szCs w:val="20"/>
              </w:rPr>
              <w:t>Model 2</w:t>
            </w:r>
          </w:p>
        </w:tc>
        <w:tc>
          <w:tcPr>
            <w:tcW w:w="2268" w:type="dxa"/>
            <w:tcBorders>
              <w:left w:val="nil"/>
              <w:right w:val="nil"/>
            </w:tcBorders>
          </w:tcPr>
          <w:p w14:paraId="1AA8180D" w14:textId="6C40C973" w:rsidR="00ED6D7E" w:rsidRPr="00D818E4" w:rsidRDefault="00ED6D7E" w:rsidP="004566DC">
            <w:pPr>
              <w:spacing w:after="0" w:line="240" w:lineRule="auto"/>
              <w:ind w:left="0"/>
              <w:jc w:val="left"/>
              <w:rPr>
                <w:rFonts w:ascii="Arial Narrow" w:hAnsi="Arial Narrow"/>
                <w:b/>
                <w:sz w:val="20"/>
                <w:szCs w:val="20"/>
              </w:rPr>
            </w:pPr>
          </w:p>
        </w:tc>
        <w:tc>
          <w:tcPr>
            <w:tcW w:w="2127" w:type="dxa"/>
            <w:tcBorders>
              <w:left w:val="nil"/>
              <w:right w:val="nil"/>
            </w:tcBorders>
          </w:tcPr>
          <w:p w14:paraId="3DAF70A2" w14:textId="0C7D3179" w:rsidR="00ED6D7E" w:rsidRPr="00D818E4" w:rsidRDefault="00ED6D7E" w:rsidP="004566DC">
            <w:pPr>
              <w:spacing w:after="0" w:line="240" w:lineRule="auto"/>
              <w:ind w:left="0"/>
              <w:jc w:val="left"/>
              <w:rPr>
                <w:rFonts w:ascii="Arial Narrow" w:hAnsi="Arial Narrow"/>
                <w:b/>
                <w:sz w:val="20"/>
                <w:szCs w:val="20"/>
              </w:rPr>
            </w:pPr>
          </w:p>
        </w:tc>
        <w:tc>
          <w:tcPr>
            <w:tcW w:w="3038" w:type="dxa"/>
            <w:tcBorders>
              <w:left w:val="nil"/>
            </w:tcBorders>
          </w:tcPr>
          <w:p w14:paraId="0E80BC63" w14:textId="39DFA9A0" w:rsidR="00ED6D7E" w:rsidRPr="00D818E4" w:rsidRDefault="00ED6D7E" w:rsidP="004566DC">
            <w:pPr>
              <w:spacing w:after="0" w:line="240" w:lineRule="auto"/>
              <w:ind w:left="0"/>
              <w:jc w:val="left"/>
              <w:rPr>
                <w:rFonts w:ascii="Arial Narrow" w:hAnsi="Arial Narrow"/>
                <w:b/>
                <w:sz w:val="20"/>
                <w:szCs w:val="20"/>
              </w:rPr>
            </w:pPr>
          </w:p>
        </w:tc>
      </w:tr>
      <w:tr w:rsidR="00ED6D7E" w:rsidRPr="00D818E4" w14:paraId="738D7013" w14:textId="77777777" w:rsidTr="00BB2456">
        <w:tc>
          <w:tcPr>
            <w:tcW w:w="1809" w:type="dxa"/>
          </w:tcPr>
          <w:p w14:paraId="3F8FFC7A"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Parents of fetus with CF</w:t>
            </w:r>
          </w:p>
        </w:tc>
        <w:tc>
          <w:tcPr>
            <w:tcW w:w="2268" w:type="dxa"/>
          </w:tcPr>
          <w:p w14:paraId="11D5B043"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clin_sens * clin_sens</w:t>
            </w:r>
          </w:p>
        </w:tc>
        <w:tc>
          <w:tcPr>
            <w:tcW w:w="2127" w:type="dxa"/>
          </w:tcPr>
          <w:p w14:paraId="4DD7A8F2"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2 * clin_sens * (1-clin_sens)</w:t>
            </w:r>
          </w:p>
        </w:tc>
        <w:tc>
          <w:tcPr>
            <w:tcW w:w="3038" w:type="dxa"/>
          </w:tcPr>
          <w:p w14:paraId="65792500"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(1-clin_sens) * (1-clin_sens)</w:t>
            </w:r>
          </w:p>
        </w:tc>
      </w:tr>
      <w:tr w:rsidR="00ED6D7E" w:rsidRPr="00D818E4" w14:paraId="21166524" w14:textId="77777777" w:rsidTr="00BB2456">
        <w:tc>
          <w:tcPr>
            <w:tcW w:w="1809" w:type="dxa"/>
          </w:tcPr>
          <w:p w14:paraId="14118B81" w14:textId="77777777" w:rsidR="00ED6D7E" w:rsidRPr="00230F71" w:rsidRDefault="00ED6D7E" w:rsidP="004566DC">
            <w:pPr>
              <w:spacing w:after="0" w:line="240" w:lineRule="auto"/>
              <w:ind w:left="0"/>
              <w:jc w:val="left"/>
              <w:rPr>
                <w:rFonts w:ascii="Arial Narrow" w:hAnsi="Arial Narrow"/>
                <w:sz w:val="20"/>
                <w:szCs w:val="20"/>
              </w:rPr>
            </w:pPr>
            <w:r w:rsidRPr="00230F71">
              <w:rPr>
                <w:rFonts w:ascii="Arial Narrow" w:hAnsi="Arial Narrow"/>
                <w:sz w:val="20"/>
                <w:szCs w:val="20"/>
              </w:rPr>
              <w:t>(carrier rate 100%)</w:t>
            </w:r>
          </w:p>
        </w:tc>
        <w:tc>
          <w:tcPr>
            <w:tcW w:w="2268" w:type="dxa"/>
          </w:tcPr>
          <w:p w14:paraId="00219E6C"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64%</w:t>
            </w:r>
          </w:p>
        </w:tc>
        <w:tc>
          <w:tcPr>
            <w:tcW w:w="2127" w:type="dxa"/>
          </w:tcPr>
          <w:p w14:paraId="24C73E72"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32%</w:t>
            </w:r>
          </w:p>
        </w:tc>
        <w:tc>
          <w:tcPr>
            <w:tcW w:w="3038" w:type="dxa"/>
          </w:tcPr>
          <w:p w14:paraId="0AB37183"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4%</w:t>
            </w:r>
          </w:p>
        </w:tc>
      </w:tr>
      <w:tr w:rsidR="00ED6D7E" w:rsidRPr="00D818E4" w14:paraId="5C97A58F" w14:textId="77777777" w:rsidTr="00BB2456">
        <w:tc>
          <w:tcPr>
            <w:tcW w:w="1809" w:type="dxa"/>
          </w:tcPr>
          <w:p w14:paraId="7332D28B" w14:textId="77777777" w:rsidR="00ED6D7E" w:rsidRDefault="00ED6D7E" w:rsidP="004566DC">
            <w:pPr>
              <w:spacing w:after="0" w:line="240" w:lineRule="auto"/>
              <w:ind w:left="0"/>
              <w:jc w:val="left"/>
              <w:rPr>
                <w:rFonts w:ascii="Arial Narrow" w:hAnsi="Arial Narrow"/>
                <w:sz w:val="20"/>
                <w:szCs w:val="20"/>
              </w:rPr>
            </w:pPr>
            <w:r>
              <w:rPr>
                <w:rFonts w:ascii="Arial Narrow" w:hAnsi="Arial Narrow"/>
                <w:sz w:val="20"/>
                <w:szCs w:val="20"/>
              </w:rPr>
              <w:t>Parents of fetus without CF</w:t>
            </w:r>
          </w:p>
        </w:tc>
        <w:tc>
          <w:tcPr>
            <w:tcW w:w="2268" w:type="dxa"/>
          </w:tcPr>
          <w:p w14:paraId="7FC40EBC"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cr * clin_sens * cr * clin_sens</w:t>
            </w:r>
          </w:p>
        </w:tc>
        <w:tc>
          <w:tcPr>
            <w:tcW w:w="2127" w:type="dxa"/>
          </w:tcPr>
          <w:p w14:paraId="1F764666"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(2 * cr * clin_sens * cr * (1 -clin_sens)) + (2 * cr * clin_sens * (1 – cr))</w:t>
            </w:r>
          </w:p>
        </w:tc>
        <w:tc>
          <w:tcPr>
            <w:tcW w:w="3038" w:type="dxa"/>
          </w:tcPr>
          <w:p w14:paraId="17777386"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(cr* (1-clin_sens) * cr * (1-clin_sens)) + (2 * cr* (1-clin_sens) * (1 – cr)) + ((1 – cr ) * (1 – cr))</w:t>
            </w:r>
          </w:p>
        </w:tc>
      </w:tr>
      <w:tr w:rsidR="00ED6D7E" w:rsidRPr="00D818E4" w14:paraId="676D020F" w14:textId="77777777" w:rsidTr="00BB2456">
        <w:tc>
          <w:tcPr>
            <w:tcW w:w="1809" w:type="dxa"/>
          </w:tcPr>
          <w:p w14:paraId="40B73C89" w14:textId="77777777" w:rsidR="00ED6D7E" w:rsidRDefault="00ED6D7E" w:rsidP="004566DC">
            <w:pPr>
              <w:spacing w:after="0" w:line="240" w:lineRule="auto"/>
              <w:ind w:left="0"/>
              <w:jc w:val="left"/>
              <w:rPr>
                <w:rFonts w:ascii="Arial Narrow" w:hAnsi="Arial Narrow"/>
                <w:sz w:val="20"/>
                <w:szCs w:val="20"/>
              </w:rPr>
            </w:pPr>
            <w:r>
              <w:rPr>
                <w:rFonts w:ascii="Arial Narrow" w:hAnsi="Arial Narrow"/>
                <w:sz w:val="20"/>
                <w:szCs w:val="20"/>
              </w:rPr>
              <w:t>(carrier rate 4%)</w:t>
            </w:r>
          </w:p>
        </w:tc>
        <w:tc>
          <w:tcPr>
            <w:tcW w:w="2268" w:type="dxa"/>
          </w:tcPr>
          <w:p w14:paraId="509A2896"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0.10%</w:t>
            </w:r>
          </w:p>
        </w:tc>
        <w:tc>
          <w:tcPr>
            <w:tcW w:w="2127" w:type="dxa"/>
          </w:tcPr>
          <w:p w14:paraId="4513F402"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6.2%</w:t>
            </w:r>
          </w:p>
        </w:tc>
        <w:tc>
          <w:tcPr>
            <w:tcW w:w="3038" w:type="dxa"/>
          </w:tcPr>
          <w:p w14:paraId="2984D1AF" w14:textId="77777777" w:rsidR="00ED6D7E" w:rsidRPr="00385758" w:rsidRDefault="00ED6D7E" w:rsidP="004566DC">
            <w:pPr>
              <w:spacing w:after="0" w:line="240" w:lineRule="auto"/>
              <w:ind w:left="0"/>
              <w:jc w:val="left"/>
              <w:rPr>
                <w:rFonts w:ascii="Arial Narrow" w:hAnsi="Arial Narrow"/>
                <w:sz w:val="20"/>
                <w:szCs w:val="20"/>
              </w:rPr>
            </w:pPr>
            <w:r>
              <w:rPr>
                <w:rFonts w:ascii="Arial Narrow" w:hAnsi="Arial Narrow"/>
                <w:sz w:val="20"/>
                <w:szCs w:val="20"/>
              </w:rPr>
              <w:t>93.7%</w:t>
            </w:r>
          </w:p>
        </w:tc>
      </w:tr>
    </w:tbl>
    <w:p w14:paraId="5BF4F155" w14:textId="4C0C8E84" w:rsidR="00ED6D7E" w:rsidRDefault="004F0662" w:rsidP="00ED6D7E">
      <w:pPr>
        <w:pStyle w:val="Tablenotes0"/>
      </w:pPr>
      <w:r>
        <w:t xml:space="preserve">CF = cystic fibrosis; </w:t>
      </w:r>
      <w:r w:rsidR="00FD37D3" w:rsidRPr="00FD37D3">
        <w:t>CFTR</w:t>
      </w:r>
      <w:r w:rsidR="00ED6D7E">
        <w:t xml:space="preserve"> = cystic fibrosis transmembrane conductance regulator; clin_sens = clinical sensitivity (80%); cr = carrier rate</w:t>
      </w:r>
    </w:p>
    <w:p w14:paraId="5EDB3BB2" w14:textId="77777777" w:rsidR="00ED6D7E" w:rsidRDefault="00ED6D7E" w:rsidP="00ED6D7E"/>
    <w:p w14:paraId="1B8DF222" w14:textId="77777777" w:rsidR="00ED6D7E" w:rsidRDefault="00ED6D7E" w:rsidP="00ED6D7E">
      <w:pPr>
        <w:pStyle w:val="Heading2"/>
      </w:pPr>
      <w:bookmarkStart w:id="607" w:name="_Toc418179984"/>
      <w:r w:rsidRPr="00B25A58">
        <w:t>Results of the economic evaluation</w:t>
      </w:r>
      <w:bookmarkEnd w:id="607"/>
    </w:p>
    <w:p w14:paraId="1468EF15" w14:textId="77777777" w:rsidR="00ED6D7E" w:rsidRDefault="00ED6D7E" w:rsidP="00ED6D7E">
      <w:pPr>
        <w:pStyle w:val="Tablenotes0"/>
      </w:pPr>
    </w:p>
    <w:p w14:paraId="18A8B5FF" w14:textId="77777777" w:rsidR="00ED6D7E" w:rsidRDefault="00ED6D7E" w:rsidP="00ED6D7E">
      <w:pPr>
        <w:rPr>
          <w:b/>
        </w:rPr>
        <w:sectPr w:rsidR="00ED6D7E" w:rsidSect="000D04B6">
          <w:headerReference w:type="even" r:id="rId109"/>
          <w:headerReference w:type="default" r:id="rId110"/>
          <w:footerReference w:type="even" r:id="rId111"/>
          <w:footerReference w:type="default" r:id="rId112"/>
          <w:headerReference w:type="first" r:id="rId113"/>
          <w:pgSz w:w="11906" w:h="16838"/>
          <w:pgMar w:top="1440" w:right="1440" w:bottom="1440" w:left="1440" w:header="720" w:footer="720" w:gutter="0"/>
          <w:paperSrc w:first="7" w:other="7"/>
          <w:cols w:space="720"/>
          <w:docGrid w:linePitch="360"/>
        </w:sectPr>
      </w:pPr>
    </w:p>
    <w:p w14:paraId="1179A121" w14:textId="398B36FB" w:rsidR="00854B3C" w:rsidRPr="006B3E53" w:rsidRDefault="00592E11" w:rsidP="00854B3C">
      <w:pPr>
        <w:rPr>
          <w:rFonts w:asciiTheme="minorHAnsi" w:hAnsiTheme="minorHAnsi"/>
        </w:rPr>
      </w:pPr>
      <w:r>
        <w:rPr>
          <w:rFonts w:asciiTheme="minorHAnsi" w:hAnsiTheme="minorHAnsi"/>
          <w:noProof/>
        </w:rPr>
        <w:lastRenderedPageBreak/>
        <w:drawing>
          <wp:inline distT="0" distB="0" distL="0" distR="0" wp14:anchorId="2CC9073D" wp14:editId="65235622">
            <wp:extent cx="5731510" cy="4550410"/>
            <wp:effectExtent l="0" t="0" r="2540" b="2540"/>
            <wp:docPr id="5" name="Picture 5" descr="Outcome path probability and costs per path" title="Results of the economic evaluation (total CF births), model 1 (Both parents known CF 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R mutation Testing-ParentsCarriers_Edited June 17_Results_compressed.tif"/>
                    <pic:cNvPicPr/>
                  </pic:nvPicPr>
                  <pic:blipFill>
                    <a:blip r:embed="rId114">
                      <a:extLst>
                        <a:ext uri="{28A0092B-C50C-407E-A947-70E740481C1C}">
                          <a14:useLocalDpi xmlns:a14="http://schemas.microsoft.com/office/drawing/2010/main" val="0"/>
                        </a:ext>
                      </a:extLst>
                    </a:blip>
                    <a:stretch>
                      <a:fillRect/>
                    </a:stretch>
                  </pic:blipFill>
                  <pic:spPr>
                    <a:xfrm>
                      <a:off x="0" y="0"/>
                      <a:ext cx="5731510" cy="4550410"/>
                    </a:xfrm>
                    <a:prstGeom prst="rect">
                      <a:avLst/>
                    </a:prstGeom>
                  </pic:spPr>
                </pic:pic>
              </a:graphicData>
            </a:graphic>
          </wp:inline>
        </w:drawing>
      </w:r>
    </w:p>
    <w:p w14:paraId="5F3E50B0" w14:textId="6F47D4FE" w:rsidR="00100DE3" w:rsidRPr="008C7123" w:rsidRDefault="00100DE3" w:rsidP="008C7123">
      <w:pPr>
        <w:keepNext/>
        <w:spacing w:line="240" w:lineRule="auto"/>
        <w:rPr>
          <w:rFonts w:ascii="Arial Narrow" w:hAnsi="Arial Narrow"/>
          <w:sz w:val="18"/>
          <w:szCs w:val="18"/>
        </w:rPr>
      </w:pPr>
      <w:r w:rsidRPr="008C7123">
        <w:rPr>
          <w:rFonts w:ascii="Arial Narrow" w:hAnsi="Arial Narrow"/>
          <w:sz w:val="18"/>
          <w:szCs w:val="18"/>
        </w:rPr>
        <w:t>amnio = amniocentesis; CF = cystic fibrosis; CFTR = cystic fibrosis transmembrane conductance regulator; CMA = common mutation analysis; CVS = chorionic villus sampling</w:t>
      </w:r>
    </w:p>
    <w:p w14:paraId="04C736A5" w14:textId="1C90C110" w:rsidR="00ED6D7E" w:rsidRDefault="00ED6D7E" w:rsidP="00ED6D7E">
      <w:pPr>
        <w:pStyle w:val="Caption"/>
      </w:pPr>
      <w:bookmarkStart w:id="608" w:name="_Ref416438663"/>
      <w:bookmarkStart w:id="609" w:name="_Toc416855410"/>
      <w:bookmarkStart w:id="610" w:name="_Toc423525565"/>
      <w:r w:rsidRPr="00592E11">
        <w:t xml:space="preserve">Figure </w:t>
      </w:r>
      <w:fldSimple w:instr=" SEQ Figure \* ARABIC ">
        <w:r w:rsidR="00BB0E3E">
          <w:rPr>
            <w:noProof/>
          </w:rPr>
          <w:t>10</w:t>
        </w:r>
      </w:fldSimple>
      <w:bookmarkEnd w:id="608"/>
      <w:r>
        <w:tab/>
        <w:t xml:space="preserve">Results of the economic evaluation (total CF births), </w:t>
      </w:r>
      <w:r w:rsidR="00F51D70">
        <w:t>m</w:t>
      </w:r>
      <w:r>
        <w:t xml:space="preserve">odel </w:t>
      </w:r>
      <w:r w:rsidR="00341E3A">
        <w:t>1 (</w:t>
      </w:r>
      <w:r w:rsidR="00605FDA">
        <w:t>B</w:t>
      </w:r>
      <w:r>
        <w:t>oth parents known CF</w:t>
      </w:r>
      <w:bookmarkEnd w:id="609"/>
      <w:r>
        <w:t xml:space="preserve"> carriers</w:t>
      </w:r>
      <w:r w:rsidR="00341E3A">
        <w:t>)</w:t>
      </w:r>
      <w:bookmarkEnd w:id="610"/>
    </w:p>
    <w:p w14:paraId="69880AE4" w14:textId="77777777" w:rsidR="00ED6D7E" w:rsidRDefault="00ED6D7E" w:rsidP="00ED6D7E">
      <w:pPr>
        <w:sectPr w:rsidR="00ED6D7E" w:rsidSect="007A005E">
          <w:pgSz w:w="11906" w:h="16838"/>
          <w:pgMar w:top="1440" w:right="1440" w:bottom="1440" w:left="1440" w:header="720" w:footer="720" w:gutter="0"/>
          <w:paperSrc w:first="7" w:other="7"/>
          <w:cols w:space="720"/>
          <w:docGrid w:linePitch="360"/>
        </w:sectPr>
      </w:pPr>
    </w:p>
    <w:p w14:paraId="458088E7" w14:textId="7097822E" w:rsidR="00713F9A" w:rsidRPr="006B3E53" w:rsidRDefault="00592E11" w:rsidP="00713F9A">
      <w:pPr>
        <w:rPr>
          <w:rFonts w:asciiTheme="minorHAnsi" w:hAnsiTheme="minorHAnsi"/>
        </w:rPr>
      </w:pPr>
      <w:r>
        <w:rPr>
          <w:rFonts w:asciiTheme="minorHAnsi" w:hAnsiTheme="minorHAnsi"/>
          <w:noProof/>
        </w:rPr>
        <w:lastRenderedPageBreak/>
        <w:drawing>
          <wp:inline distT="0" distB="0" distL="0" distR="0" wp14:anchorId="7F6A0D4D" wp14:editId="6D4A3080">
            <wp:extent cx="5731510" cy="6165850"/>
            <wp:effectExtent l="0" t="0" r="2540" b="6350"/>
            <wp:docPr id="6" name="Picture 6" descr="Results of the economic evaluation (total CF births), model 2 – Fetus has FEB" title="Results of the economic evaluation (total CF births), model 2 (Fetus has 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R mutation Testing-FEB_June_Edited_Total CF births_compressed.tif"/>
                    <pic:cNvPicPr/>
                  </pic:nvPicPr>
                  <pic:blipFill>
                    <a:blip r:embed="rId115">
                      <a:extLst>
                        <a:ext uri="{28A0092B-C50C-407E-A947-70E740481C1C}">
                          <a14:useLocalDpi xmlns:a14="http://schemas.microsoft.com/office/drawing/2010/main" val="0"/>
                        </a:ext>
                      </a:extLst>
                    </a:blip>
                    <a:stretch>
                      <a:fillRect/>
                    </a:stretch>
                  </pic:blipFill>
                  <pic:spPr>
                    <a:xfrm>
                      <a:off x="0" y="0"/>
                      <a:ext cx="5731510" cy="6165850"/>
                    </a:xfrm>
                    <a:prstGeom prst="rect">
                      <a:avLst/>
                    </a:prstGeom>
                  </pic:spPr>
                </pic:pic>
              </a:graphicData>
            </a:graphic>
          </wp:inline>
        </w:drawing>
      </w:r>
    </w:p>
    <w:p w14:paraId="37675EDA" w14:textId="0C897FD9" w:rsidR="00100DE3" w:rsidRPr="000371EA" w:rsidRDefault="00100DE3" w:rsidP="00100DE3">
      <w:pPr>
        <w:keepNext/>
        <w:spacing w:line="240" w:lineRule="auto"/>
        <w:rPr>
          <w:rFonts w:ascii="Arial Narrow" w:hAnsi="Arial Narrow"/>
          <w:sz w:val="18"/>
          <w:szCs w:val="18"/>
        </w:rPr>
      </w:pPr>
      <w:r w:rsidRPr="000371EA">
        <w:rPr>
          <w:rFonts w:ascii="Arial Narrow" w:hAnsi="Arial Narrow"/>
          <w:sz w:val="18"/>
          <w:szCs w:val="18"/>
        </w:rPr>
        <w:t>amnio = amniocentesis; CF = cystic fibrosis; CFTR = cystic fibrosis transmembrane conductance regulator; CMA = common mutation analysis; CVS = chorionic villus sampling</w:t>
      </w:r>
      <w:r w:rsidR="00AE2F09">
        <w:rPr>
          <w:rFonts w:ascii="Arial Narrow" w:hAnsi="Arial Narrow"/>
          <w:sz w:val="18"/>
          <w:szCs w:val="18"/>
        </w:rPr>
        <w:t>; FEB =</w:t>
      </w:r>
      <w:r w:rsidR="00AE2F09" w:rsidRPr="00AE2F09">
        <w:rPr>
          <w:rFonts w:ascii="Arial Narrow" w:hAnsi="Arial Narrow"/>
          <w:sz w:val="18"/>
          <w:szCs w:val="18"/>
        </w:rPr>
        <w:t xml:space="preserve"> </w:t>
      </w:r>
      <w:r w:rsidR="00AE2F09" w:rsidRPr="008C7123">
        <w:rPr>
          <w:rFonts w:ascii="Arial Narrow" w:hAnsi="Arial Narrow"/>
          <w:sz w:val="18"/>
          <w:szCs w:val="18"/>
        </w:rPr>
        <w:t>fetal echogenic bowel</w:t>
      </w:r>
    </w:p>
    <w:p w14:paraId="39FB9DA7" w14:textId="37D96B34" w:rsidR="00ED6D7E" w:rsidRPr="00B25A58" w:rsidRDefault="00ED6D7E" w:rsidP="00ED6D7E">
      <w:pPr>
        <w:pStyle w:val="Caption"/>
      </w:pPr>
      <w:bookmarkStart w:id="611" w:name="_Ref416438672"/>
      <w:bookmarkStart w:id="612" w:name="_Toc416855411"/>
      <w:bookmarkStart w:id="613" w:name="_Toc423525566"/>
      <w:r w:rsidRPr="008B1274">
        <w:t xml:space="preserve">Figure </w:t>
      </w:r>
      <w:fldSimple w:instr=" SEQ Figure \* ARABIC ">
        <w:r w:rsidR="00BB0E3E">
          <w:rPr>
            <w:noProof/>
          </w:rPr>
          <w:t>11</w:t>
        </w:r>
      </w:fldSimple>
      <w:bookmarkEnd w:id="611"/>
      <w:r>
        <w:tab/>
      </w:r>
      <w:r w:rsidRPr="002D4B5D">
        <w:t xml:space="preserve">Results of </w:t>
      </w:r>
      <w:r>
        <w:t xml:space="preserve">the economic evaluation (total CF births), </w:t>
      </w:r>
      <w:r w:rsidR="00F51D70">
        <w:t>m</w:t>
      </w:r>
      <w:r>
        <w:t>odel 2</w:t>
      </w:r>
      <w:r w:rsidR="00341E3A">
        <w:t xml:space="preserve"> (F</w:t>
      </w:r>
      <w:r>
        <w:t>etus</w:t>
      </w:r>
      <w:r w:rsidRPr="002D4B5D">
        <w:t xml:space="preserve"> </w:t>
      </w:r>
      <w:r>
        <w:t>has FEB</w:t>
      </w:r>
      <w:bookmarkEnd w:id="612"/>
      <w:r w:rsidR="00341E3A">
        <w:t>)</w:t>
      </w:r>
      <w:bookmarkEnd w:id="613"/>
    </w:p>
    <w:p w14:paraId="04DBDB46" w14:textId="77777777" w:rsidR="00ED6D7E" w:rsidRDefault="00ED6D7E" w:rsidP="00ED6D7E">
      <w:pPr>
        <w:sectPr w:rsidR="00ED6D7E" w:rsidSect="005B7F97">
          <w:pgSz w:w="11906" w:h="16838"/>
          <w:pgMar w:top="1440" w:right="1440" w:bottom="1440" w:left="1440" w:header="720" w:footer="720" w:gutter="0"/>
          <w:paperSrc w:first="7" w:other="7"/>
          <w:cols w:space="720"/>
          <w:docGrid w:linePitch="360"/>
        </w:sectPr>
      </w:pPr>
    </w:p>
    <w:p w14:paraId="0177CA79" w14:textId="77777777" w:rsidR="00ED6D7E" w:rsidRDefault="00ED6D7E" w:rsidP="00ED6D7E">
      <w:pPr>
        <w:pStyle w:val="Heading2"/>
      </w:pPr>
      <w:bookmarkStart w:id="614" w:name="_Toc418179985"/>
      <w:r w:rsidRPr="000D4E07">
        <w:lastRenderedPageBreak/>
        <w:t>Additional scenarios</w:t>
      </w:r>
      <w:bookmarkEnd w:id="614"/>
    </w:p>
    <w:p w14:paraId="6B9F46B7" w14:textId="18C446EE" w:rsidR="00ED6D7E" w:rsidRDefault="00ED6D7E" w:rsidP="00ED6D7E">
      <w:pPr>
        <w:pStyle w:val="Heading3"/>
      </w:pPr>
      <w:bookmarkStart w:id="615" w:name="_Toc418179986"/>
      <w:r>
        <w:t xml:space="preserve">Additional </w:t>
      </w:r>
      <w:r w:rsidR="00CB4D37">
        <w:t>s</w:t>
      </w:r>
      <w:r>
        <w:t>cenario 1: 17 mutations panel test</w:t>
      </w:r>
      <w:bookmarkEnd w:id="615"/>
    </w:p>
    <w:p w14:paraId="5868D49D" w14:textId="77777777" w:rsidR="00ED6D7E" w:rsidRPr="00FC4A03" w:rsidRDefault="00ED6D7E" w:rsidP="00F57AF2">
      <w:pPr>
        <w:pStyle w:val="Caption"/>
      </w:pPr>
      <w:bookmarkStart w:id="616" w:name="_Toc418179501"/>
      <w:r w:rsidRPr="00FC4A03">
        <w:t xml:space="preserve">Table </w:t>
      </w:r>
      <w:fldSimple w:instr=" SEQ Table \* ARABIC ">
        <w:r w:rsidR="00BB0E3E">
          <w:rPr>
            <w:noProof/>
          </w:rPr>
          <w:t>104</w:t>
        </w:r>
      </w:fldSimple>
      <w:r w:rsidRPr="00FC4A03">
        <w:tab/>
        <w:t xml:space="preserve">Outcome </w:t>
      </w:r>
      <w:r>
        <w:t>and incremental effects (per 100 pregnancies) for</w:t>
      </w:r>
      <w:r w:rsidRPr="00FC4A03">
        <w:t xml:space="preserve"> </w:t>
      </w:r>
      <w:r w:rsidRPr="00611031">
        <w:t>additional scenario</w:t>
      </w:r>
      <w:r>
        <w:t xml:space="preserve"> 1</w:t>
      </w:r>
      <w:bookmarkEnd w:id="616"/>
    </w:p>
    <w:tbl>
      <w:tblPr>
        <w:tblStyle w:val="TableGrid9"/>
        <w:tblW w:w="9157" w:type="dxa"/>
        <w:tblLook w:val="04A0" w:firstRow="1" w:lastRow="0" w:firstColumn="1" w:lastColumn="0" w:noHBand="0" w:noVBand="1"/>
        <w:tblCaption w:val="Outcome and incremental effects (per 100 pregnancies) for additional scenario 1"/>
        <w:tblDescription w:val="Outcome and incremental effects (per 100 pregnancies) for additional scenario 1"/>
      </w:tblPr>
      <w:tblGrid>
        <w:gridCol w:w="2376"/>
        <w:gridCol w:w="1701"/>
        <w:gridCol w:w="1729"/>
        <w:gridCol w:w="1560"/>
        <w:gridCol w:w="1791"/>
      </w:tblGrid>
      <w:tr w:rsidR="004476DC" w:rsidRPr="00DE7EC9" w14:paraId="2C9D067E" w14:textId="77777777" w:rsidTr="004566DC">
        <w:trPr>
          <w:tblHeader/>
        </w:trPr>
        <w:tc>
          <w:tcPr>
            <w:tcW w:w="2376" w:type="dxa"/>
            <w:tcBorders>
              <w:bottom w:val="single" w:sz="4" w:space="0" w:color="auto"/>
            </w:tcBorders>
            <w:shd w:val="clear" w:color="auto" w:fill="auto"/>
          </w:tcPr>
          <w:p w14:paraId="48B17343" w14:textId="77777777" w:rsidR="004476DC" w:rsidRPr="00DE7EC9" w:rsidRDefault="004476DC" w:rsidP="004476DC">
            <w:pPr>
              <w:pStyle w:val="TableHeading"/>
            </w:pPr>
            <w:r w:rsidRPr="00DE7EC9">
              <w:t>Outcome</w:t>
            </w:r>
          </w:p>
        </w:tc>
        <w:tc>
          <w:tcPr>
            <w:tcW w:w="1701" w:type="dxa"/>
            <w:tcBorders>
              <w:bottom w:val="single" w:sz="4" w:space="0" w:color="auto"/>
            </w:tcBorders>
            <w:shd w:val="clear" w:color="auto" w:fill="auto"/>
          </w:tcPr>
          <w:p w14:paraId="5A9F9E37" w14:textId="77777777" w:rsidR="004476DC" w:rsidRPr="00DE7EC9" w:rsidRDefault="004476DC" w:rsidP="004566DC">
            <w:pPr>
              <w:pStyle w:val="TableHeading"/>
              <w:jc w:val="center"/>
              <w:rPr>
                <w:rFonts w:eastAsia="Times New Roman"/>
                <w:lang w:eastAsia="en-AU"/>
              </w:rPr>
            </w:pPr>
            <w:r w:rsidRPr="00DE7EC9">
              <w:t>Prenatal testing</w:t>
            </w:r>
          </w:p>
        </w:tc>
        <w:tc>
          <w:tcPr>
            <w:tcW w:w="1729" w:type="dxa"/>
            <w:tcBorders>
              <w:bottom w:val="single" w:sz="4" w:space="0" w:color="auto"/>
            </w:tcBorders>
            <w:shd w:val="clear" w:color="auto" w:fill="auto"/>
          </w:tcPr>
          <w:p w14:paraId="38858BC2" w14:textId="77777777" w:rsidR="004476DC" w:rsidRPr="00DE7EC9" w:rsidRDefault="004476DC" w:rsidP="004566DC">
            <w:pPr>
              <w:pStyle w:val="TableHeading"/>
              <w:jc w:val="center"/>
              <w:rPr>
                <w:rFonts w:eastAsia="Times New Roman"/>
                <w:lang w:eastAsia="en-AU"/>
              </w:rPr>
            </w:pPr>
            <w:r w:rsidRPr="00DE7EC9">
              <w:t>No prenatal testing</w:t>
            </w:r>
          </w:p>
        </w:tc>
        <w:tc>
          <w:tcPr>
            <w:tcW w:w="1560" w:type="dxa"/>
            <w:tcBorders>
              <w:bottom w:val="single" w:sz="4" w:space="0" w:color="auto"/>
            </w:tcBorders>
            <w:shd w:val="clear" w:color="auto" w:fill="auto"/>
          </w:tcPr>
          <w:p w14:paraId="764F5AE7" w14:textId="77777777" w:rsidR="004476DC" w:rsidRPr="00DE7EC9" w:rsidRDefault="004476DC" w:rsidP="004566DC">
            <w:pPr>
              <w:pStyle w:val="TableHeading"/>
              <w:jc w:val="center"/>
              <w:rPr>
                <w:rFonts w:eastAsia="Times New Roman"/>
                <w:lang w:eastAsia="en-AU"/>
              </w:rPr>
            </w:pPr>
            <w:r w:rsidRPr="00DE7EC9">
              <w:t>Incremental effectiveness</w:t>
            </w:r>
          </w:p>
        </w:tc>
        <w:tc>
          <w:tcPr>
            <w:tcW w:w="1791" w:type="dxa"/>
            <w:tcBorders>
              <w:bottom w:val="single" w:sz="4" w:space="0" w:color="auto"/>
            </w:tcBorders>
          </w:tcPr>
          <w:p w14:paraId="568197BA" w14:textId="1E0AEAF0" w:rsidR="004476DC" w:rsidRPr="00DE7EC9" w:rsidRDefault="004476DC" w:rsidP="004566DC">
            <w:pPr>
              <w:pStyle w:val="TableHeading"/>
              <w:jc w:val="left"/>
              <w:rPr>
                <w:rFonts w:eastAsia="Times New Roman"/>
                <w:lang w:eastAsia="en-AU"/>
              </w:rPr>
            </w:pPr>
            <w:r w:rsidRPr="004476DC">
              <w:t>Nature of effect</w:t>
            </w:r>
          </w:p>
        </w:tc>
      </w:tr>
      <w:tr w:rsidR="004476DC" w:rsidRPr="00194549" w14:paraId="1A4EC4CC" w14:textId="77777777" w:rsidTr="004566DC">
        <w:tc>
          <w:tcPr>
            <w:tcW w:w="2376" w:type="dxa"/>
            <w:tcBorders>
              <w:right w:val="nil"/>
            </w:tcBorders>
            <w:shd w:val="clear" w:color="auto" w:fill="F2F2F2" w:themeFill="background1" w:themeFillShade="F2"/>
          </w:tcPr>
          <w:p w14:paraId="1F0EDFA6" w14:textId="7BA77B09" w:rsidR="004476DC" w:rsidRPr="00DE7EC9" w:rsidRDefault="004476DC" w:rsidP="00BB2456">
            <w:pPr>
              <w:spacing w:before="40" w:after="40" w:line="240" w:lineRule="auto"/>
              <w:jc w:val="left"/>
              <w:rPr>
                <w:rFonts w:ascii="Arial Narrow" w:hAnsi="Arial Narrow"/>
                <w:i/>
                <w:sz w:val="20"/>
                <w:szCs w:val="20"/>
              </w:rPr>
            </w:pPr>
            <w:r w:rsidRPr="00DE7EC9">
              <w:rPr>
                <w:rFonts w:ascii="Arial Narrow" w:hAnsi="Arial Narrow"/>
                <w:i/>
                <w:sz w:val="20"/>
                <w:szCs w:val="20"/>
              </w:rPr>
              <w:t>Model 1</w:t>
            </w:r>
            <w:r w:rsidR="00B677DE">
              <w:rPr>
                <w:rFonts w:ascii="Arial Narrow" w:hAnsi="Arial Narrow"/>
                <w:i/>
                <w:sz w:val="20"/>
                <w:szCs w:val="20"/>
              </w:rPr>
              <w:t xml:space="preserve"> </w:t>
            </w:r>
            <w:r w:rsidR="00B677DE" w:rsidRPr="00517F92">
              <w:rPr>
                <w:rFonts w:ascii="Arial Narrow" w:hAnsi="Arial Narrow"/>
                <w:i/>
                <w:sz w:val="20"/>
                <w:szCs w:val="20"/>
              </w:rPr>
              <w:t>(</w:t>
            </w:r>
            <w:r w:rsidR="0002384F">
              <w:rPr>
                <w:rFonts w:ascii="Arial Narrow" w:hAnsi="Arial Narrow"/>
                <w:i/>
                <w:sz w:val="20"/>
                <w:szCs w:val="20"/>
              </w:rPr>
              <w:t>P</w:t>
            </w:r>
            <w:r w:rsidR="00B677DE" w:rsidRPr="00517F92">
              <w:rPr>
                <w:rFonts w:ascii="Arial Narrow" w:hAnsi="Arial Narrow"/>
                <w:i/>
                <w:sz w:val="20"/>
                <w:szCs w:val="20"/>
              </w:rPr>
              <w:t xml:space="preserve">arents </w:t>
            </w:r>
            <w:r w:rsidR="00B677DE">
              <w:rPr>
                <w:rFonts w:ascii="Arial Narrow" w:hAnsi="Arial Narrow"/>
                <w:i/>
                <w:sz w:val="20"/>
                <w:szCs w:val="20"/>
              </w:rPr>
              <w:t xml:space="preserve">are </w:t>
            </w:r>
            <w:r w:rsidR="00B677DE" w:rsidRPr="00517F92">
              <w:rPr>
                <w:rFonts w:ascii="Arial Narrow" w:hAnsi="Arial Narrow"/>
                <w:i/>
                <w:sz w:val="20"/>
                <w:szCs w:val="20"/>
              </w:rPr>
              <w:t xml:space="preserve">known </w:t>
            </w:r>
            <w:r w:rsidR="00B677DE">
              <w:rPr>
                <w:rFonts w:ascii="Arial Narrow" w:hAnsi="Arial Narrow"/>
                <w:i/>
                <w:sz w:val="20"/>
                <w:szCs w:val="20"/>
              </w:rPr>
              <w:t xml:space="preserve">CF </w:t>
            </w:r>
            <w:r w:rsidR="00B677DE" w:rsidRPr="00517F92">
              <w:rPr>
                <w:rFonts w:ascii="Arial Narrow" w:hAnsi="Arial Narrow"/>
                <w:i/>
                <w:sz w:val="20"/>
                <w:szCs w:val="20"/>
              </w:rPr>
              <w:t>carriers)</w:t>
            </w:r>
          </w:p>
        </w:tc>
        <w:tc>
          <w:tcPr>
            <w:tcW w:w="1701" w:type="dxa"/>
            <w:tcBorders>
              <w:left w:val="nil"/>
              <w:right w:val="nil"/>
            </w:tcBorders>
            <w:shd w:val="clear" w:color="auto" w:fill="F2F2F2" w:themeFill="background1" w:themeFillShade="F2"/>
          </w:tcPr>
          <w:p w14:paraId="18A6AEE9" w14:textId="77777777" w:rsidR="004476DC" w:rsidRPr="00194549" w:rsidRDefault="004476DC" w:rsidP="00BB2456">
            <w:pPr>
              <w:spacing w:before="40" w:after="40" w:line="240" w:lineRule="auto"/>
              <w:jc w:val="left"/>
              <w:rPr>
                <w:rFonts w:ascii="Arial Narrow" w:hAnsi="Arial Narrow"/>
                <w:color w:val="000000"/>
                <w:sz w:val="20"/>
                <w:szCs w:val="20"/>
              </w:rPr>
            </w:pPr>
          </w:p>
        </w:tc>
        <w:tc>
          <w:tcPr>
            <w:tcW w:w="1729" w:type="dxa"/>
            <w:tcBorders>
              <w:left w:val="nil"/>
              <w:right w:val="nil"/>
            </w:tcBorders>
            <w:shd w:val="clear" w:color="auto" w:fill="F2F2F2" w:themeFill="background1" w:themeFillShade="F2"/>
          </w:tcPr>
          <w:p w14:paraId="4D90DEAF" w14:textId="77777777" w:rsidR="004476DC" w:rsidRPr="00194549" w:rsidRDefault="004476DC" w:rsidP="00BB2456">
            <w:pPr>
              <w:spacing w:before="40" w:after="40" w:line="240" w:lineRule="auto"/>
              <w:jc w:val="left"/>
              <w:rPr>
                <w:rFonts w:ascii="Arial Narrow" w:hAnsi="Arial Narrow"/>
                <w:color w:val="000000"/>
                <w:sz w:val="20"/>
                <w:szCs w:val="20"/>
              </w:rPr>
            </w:pPr>
          </w:p>
        </w:tc>
        <w:tc>
          <w:tcPr>
            <w:tcW w:w="1560" w:type="dxa"/>
            <w:tcBorders>
              <w:left w:val="nil"/>
              <w:right w:val="nil"/>
            </w:tcBorders>
            <w:shd w:val="clear" w:color="auto" w:fill="F2F2F2" w:themeFill="background1" w:themeFillShade="F2"/>
          </w:tcPr>
          <w:p w14:paraId="49BBC8B3" w14:textId="77777777" w:rsidR="004476DC" w:rsidRDefault="004476DC" w:rsidP="00BB2456">
            <w:pPr>
              <w:spacing w:before="40" w:after="40" w:line="240" w:lineRule="auto"/>
              <w:jc w:val="left"/>
              <w:rPr>
                <w:rFonts w:ascii="Arial Narrow" w:hAnsi="Arial Narrow"/>
                <w:color w:val="000000"/>
                <w:sz w:val="20"/>
                <w:szCs w:val="20"/>
              </w:rPr>
            </w:pPr>
          </w:p>
        </w:tc>
        <w:tc>
          <w:tcPr>
            <w:tcW w:w="1791" w:type="dxa"/>
            <w:tcBorders>
              <w:left w:val="nil"/>
              <w:right w:val="nil"/>
            </w:tcBorders>
            <w:shd w:val="clear" w:color="auto" w:fill="F2F2F2" w:themeFill="background1" w:themeFillShade="F2"/>
          </w:tcPr>
          <w:p w14:paraId="462DCB17" w14:textId="77777777" w:rsidR="004476DC" w:rsidRDefault="004476DC" w:rsidP="004476DC">
            <w:pPr>
              <w:pStyle w:val="Tabletext1"/>
            </w:pPr>
          </w:p>
        </w:tc>
      </w:tr>
      <w:tr w:rsidR="004476DC" w:rsidRPr="00194549" w14:paraId="43F9C2A0" w14:textId="77777777" w:rsidTr="004566DC">
        <w:tc>
          <w:tcPr>
            <w:tcW w:w="2376" w:type="dxa"/>
          </w:tcPr>
          <w:p w14:paraId="5AE09409"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Prenatal CF diagnosed</w:t>
            </w:r>
          </w:p>
        </w:tc>
        <w:tc>
          <w:tcPr>
            <w:tcW w:w="1701" w:type="dxa"/>
          </w:tcPr>
          <w:p w14:paraId="749BF382"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24.94</w:t>
            </w:r>
          </w:p>
        </w:tc>
        <w:tc>
          <w:tcPr>
            <w:tcW w:w="1729" w:type="dxa"/>
          </w:tcPr>
          <w:p w14:paraId="1DD9C50E"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p>
        </w:tc>
        <w:tc>
          <w:tcPr>
            <w:tcW w:w="1560" w:type="dxa"/>
          </w:tcPr>
          <w:p w14:paraId="46696342"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24.94</w:t>
            </w:r>
          </w:p>
        </w:tc>
        <w:tc>
          <w:tcPr>
            <w:tcW w:w="1791" w:type="dxa"/>
          </w:tcPr>
          <w:p w14:paraId="3B6B7432" w14:textId="23E3B249" w:rsidR="004476DC" w:rsidRPr="00194549" w:rsidRDefault="004476DC" w:rsidP="004476DC">
            <w:pPr>
              <w:pStyle w:val="Tabletext1"/>
            </w:pPr>
            <w:r w:rsidRPr="00194549">
              <w:t>Benefit</w:t>
            </w:r>
          </w:p>
        </w:tc>
      </w:tr>
      <w:tr w:rsidR="004476DC" w:rsidRPr="00194549" w14:paraId="2C712868" w14:textId="77777777" w:rsidTr="004566DC">
        <w:tc>
          <w:tcPr>
            <w:tcW w:w="2376" w:type="dxa"/>
            <w:tcBorders>
              <w:bottom w:val="nil"/>
            </w:tcBorders>
          </w:tcPr>
          <w:p w14:paraId="5FAC5ED2"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CF births total:</w:t>
            </w:r>
          </w:p>
        </w:tc>
        <w:tc>
          <w:tcPr>
            <w:tcW w:w="1701" w:type="dxa"/>
            <w:tcBorders>
              <w:bottom w:val="nil"/>
            </w:tcBorders>
          </w:tcPr>
          <w:p w14:paraId="72BE914D"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1.2</w:t>
            </w:r>
            <w:r>
              <w:rPr>
                <w:rFonts w:ascii="Arial Narrow" w:hAnsi="Arial Narrow"/>
                <w:color w:val="000000"/>
                <w:sz w:val="20"/>
                <w:szCs w:val="20"/>
              </w:rPr>
              <w:t>3</w:t>
            </w:r>
          </w:p>
        </w:tc>
        <w:tc>
          <w:tcPr>
            <w:tcW w:w="1729" w:type="dxa"/>
            <w:tcBorders>
              <w:bottom w:val="nil"/>
            </w:tcBorders>
          </w:tcPr>
          <w:p w14:paraId="13D93036"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24.59</w:t>
            </w:r>
          </w:p>
        </w:tc>
        <w:tc>
          <w:tcPr>
            <w:tcW w:w="1560" w:type="dxa"/>
            <w:tcBorders>
              <w:bottom w:val="nil"/>
            </w:tcBorders>
          </w:tcPr>
          <w:p w14:paraId="0E1B3733" w14:textId="63280A45" w:rsidR="004476DC" w:rsidRPr="00194549"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Pr>
                <w:rFonts w:ascii="Arial Narrow" w:hAnsi="Arial Narrow"/>
                <w:color w:val="000000"/>
                <w:sz w:val="20"/>
                <w:szCs w:val="20"/>
              </w:rPr>
              <w:t>23.36</w:t>
            </w:r>
          </w:p>
        </w:tc>
        <w:tc>
          <w:tcPr>
            <w:tcW w:w="1791" w:type="dxa"/>
            <w:tcBorders>
              <w:bottom w:val="nil"/>
            </w:tcBorders>
          </w:tcPr>
          <w:p w14:paraId="7DB40D58" w14:textId="77777777" w:rsidR="004476DC" w:rsidRPr="00194549" w:rsidRDefault="004476DC" w:rsidP="004476DC">
            <w:pPr>
              <w:pStyle w:val="Tabletext1"/>
            </w:pPr>
          </w:p>
        </w:tc>
      </w:tr>
      <w:tr w:rsidR="004476DC" w:rsidRPr="00194549" w14:paraId="241034C3" w14:textId="77777777" w:rsidTr="004566DC">
        <w:tc>
          <w:tcPr>
            <w:tcW w:w="2376" w:type="dxa"/>
            <w:tcBorders>
              <w:top w:val="nil"/>
              <w:bottom w:val="nil"/>
            </w:tcBorders>
          </w:tcPr>
          <w:p w14:paraId="0C27D887" w14:textId="5D1A2261" w:rsidR="004476DC" w:rsidRPr="00194549" w:rsidRDefault="005301B3"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194549">
              <w:rPr>
                <w:rFonts w:ascii="Arial Narrow" w:hAnsi="Arial Narrow"/>
                <w:sz w:val="20"/>
                <w:szCs w:val="20"/>
              </w:rPr>
              <w:t>informed</w:t>
            </w:r>
          </w:p>
        </w:tc>
        <w:tc>
          <w:tcPr>
            <w:tcW w:w="1701" w:type="dxa"/>
            <w:tcBorders>
              <w:top w:val="nil"/>
              <w:bottom w:val="nil"/>
            </w:tcBorders>
          </w:tcPr>
          <w:p w14:paraId="6FAA761A"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1.2</w:t>
            </w:r>
            <w:r>
              <w:rPr>
                <w:rFonts w:ascii="Arial Narrow" w:hAnsi="Arial Narrow"/>
                <w:color w:val="000000"/>
                <w:sz w:val="20"/>
                <w:szCs w:val="20"/>
              </w:rPr>
              <w:t>3</w:t>
            </w:r>
          </w:p>
        </w:tc>
        <w:tc>
          <w:tcPr>
            <w:tcW w:w="1729" w:type="dxa"/>
            <w:tcBorders>
              <w:top w:val="nil"/>
              <w:bottom w:val="nil"/>
            </w:tcBorders>
          </w:tcPr>
          <w:p w14:paraId="7981B316"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p>
        </w:tc>
        <w:tc>
          <w:tcPr>
            <w:tcW w:w="1560" w:type="dxa"/>
            <w:tcBorders>
              <w:top w:val="nil"/>
              <w:bottom w:val="nil"/>
            </w:tcBorders>
          </w:tcPr>
          <w:p w14:paraId="7FC045B4"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1.23</w:t>
            </w:r>
          </w:p>
        </w:tc>
        <w:tc>
          <w:tcPr>
            <w:tcW w:w="1791" w:type="dxa"/>
            <w:tcBorders>
              <w:top w:val="nil"/>
              <w:bottom w:val="nil"/>
            </w:tcBorders>
          </w:tcPr>
          <w:p w14:paraId="2815E119" w14:textId="713B5DBA" w:rsidR="004476DC" w:rsidRPr="00194549" w:rsidRDefault="004476DC" w:rsidP="004476DC">
            <w:pPr>
              <w:pStyle w:val="Tabletext1"/>
            </w:pPr>
            <w:r>
              <w:t>B</w:t>
            </w:r>
            <w:r w:rsidRPr="00194549">
              <w:t>enefit</w:t>
            </w:r>
          </w:p>
        </w:tc>
      </w:tr>
      <w:tr w:rsidR="004476DC" w:rsidRPr="00194549" w14:paraId="2B662057" w14:textId="77777777" w:rsidTr="004566DC">
        <w:tc>
          <w:tcPr>
            <w:tcW w:w="2376" w:type="dxa"/>
            <w:tcBorders>
              <w:top w:val="nil"/>
            </w:tcBorders>
          </w:tcPr>
          <w:p w14:paraId="1CC4D0D8" w14:textId="5AA37D98" w:rsidR="004476DC" w:rsidRPr="00194549" w:rsidRDefault="005301B3"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194549">
              <w:rPr>
                <w:rFonts w:ascii="Arial Narrow" w:hAnsi="Arial Narrow"/>
                <w:sz w:val="20"/>
                <w:szCs w:val="20"/>
              </w:rPr>
              <w:t>uninformed</w:t>
            </w:r>
          </w:p>
        </w:tc>
        <w:tc>
          <w:tcPr>
            <w:tcW w:w="1701" w:type="dxa"/>
            <w:tcBorders>
              <w:top w:val="nil"/>
            </w:tcBorders>
          </w:tcPr>
          <w:p w14:paraId="458CA431" w14:textId="121ED89A"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p>
        </w:tc>
        <w:tc>
          <w:tcPr>
            <w:tcW w:w="1729" w:type="dxa"/>
            <w:tcBorders>
              <w:top w:val="nil"/>
            </w:tcBorders>
          </w:tcPr>
          <w:p w14:paraId="3F83CEB5"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24.59</w:t>
            </w:r>
          </w:p>
        </w:tc>
        <w:tc>
          <w:tcPr>
            <w:tcW w:w="1560" w:type="dxa"/>
            <w:tcBorders>
              <w:top w:val="nil"/>
            </w:tcBorders>
          </w:tcPr>
          <w:p w14:paraId="3E9DC69A" w14:textId="44685620" w:rsidR="004476DC" w:rsidRPr="00194549"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Pr>
                <w:rFonts w:ascii="Arial Narrow" w:hAnsi="Arial Narrow"/>
                <w:color w:val="000000"/>
                <w:sz w:val="20"/>
                <w:szCs w:val="20"/>
              </w:rPr>
              <w:t>24.59</w:t>
            </w:r>
          </w:p>
        </w:tc>
        <w:tc>
          <w:tcPr>
            <w:tcW w:w="1791" w:type="dxa"/>
            <w:tcBorders>
              <w:top w:val="nil"/>
            </w:tcBorders>
          </w:tcPr>
          <w:p w14:paraId="62C4F66D" w14:textId="77777777" w:rsidR="004476DC" w:rsidRPr="00194549" w:rsidRDefault="004476DC" w:rsidP="004476DC">
            <w:pPr>
              <w:pStyle w:val="Tabletext1"/>
            </w:pPr>
          </w:p>
        </w:tc>
      </w:tr>
      <w:tr w:rsidR="004476DC" w:rsidRPr="00194549" w14:paraId="1EC1BB27" w14:textId="77777777" w:rsidTr="004566DC">
        <w:tc>
          <w:tcPr>
            <w:tcW w:w="2376" w:type="dxa"/>
            <w:tcBorders>
              <w:top w:val="nil"/>
            </w:tcBorders>
          </w:tcPr>
          <w:p w14:paraId="07F3713E" w14:textId="4D161EE3"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CF birth</w:t>
            </w:r>
            <w:r w:rsidR="005301B3">
              <w:rPr>
                <w:rFonts w:ascii="Arial Narrow" w:hAnsi="Arial Narrow"/>
                <w:sz w:val="20"/>
                <w:szCs w:val="20"/>
              </w:rPr>
              <w:t>s</w:t>
            </w:r>
            <w:r w:rsidRPr="00194549">
              <w:rPr>
                <w:rFonts w:ascii="Arial Narrow" w:hAnsi="Arial Narrow"/>
                <w:sz w:val="20"/>
                <w:szCs w:val="20"/>
              </w:rPr>
              <w:t xml:space="preserve"> averted</w:t>
            </w:r>
          </w:p>
        </w:tc>
        <w:tc>
          <w:tcPr>
            <w:tcW w:w="1701" w:type="dxa"/>
            <w:tcBorders>
              <w:top w:val="nil"/>
            </w:tcBorders>
          </w:tcPr>
          <w:p w14:paraId="214BFD84"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23.72</w:t>
            </w:r>
          </w:p>
        </w:tc>
        <w:tc>
          <w:tcPr>
            <w:tcW w:w="1729" w:type="dxa"/>
            <w:tcBorders>
              <w:top w:val="nil"/>
            </w:tcBorders>
          </w:tcPr>
          <w:p w14:paraId="7B4967F2"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p>
        </w:tc>
        <w:tc>
          <w:tcPr>
            <w:tcW w:w="1560" w:type="dxa"/>
            <w:tcBorders>
              <w:top w:val="nil"/>
            </w:tcBorders>
          </w:tcPr>
          <w:p w14:paraId="4A25BB8E"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23.72</w:t>
            </w:r>
          </w:p>
        </w:tc>
        <w:tc>
          <w:tcPr>
            <w:tcW w:w="1791" w:type="dxa"/>
            <w:tcBorders>
              <w:top w:val="nil"/>
            </w:tcBorders>
          </w:tcPr>
          <w:p w14:paraId="4D3C2D99" w14:textId="0D87A627" w:rsidR="004476DC" w:rsidRPr="00194549" w:rsidRDefault="004476DC" w:rsidP="004476DC">
            <w:pPr>
              <w:pStyle w:val="Tabletext1"/>
            </w:pPr>
            <w:r w:rsidRPr="00194549">
              <w:t>Benefit</w:t>
            </w:r>
          </w:p>
        </w:tc>
      </w:tr>
      <w:tr w:rsidR="004476DC" w:rsidRPr="00194549" w14:paraId="7639E5A7" w14:textId="77777777" w:rsidTr="004566DC">
        <w:tc>
          <w:tcPr>
            <w:tcW w:w="2376" w:type="dxa"/>
          </w:tcPr>
          <w:p w14:paraId="093582BD" w14:textId="77777777" w:rsidR="004476DC" w:rsidRDefault="004476DC" w:rsidP="00BB2456">
            <w:pPr>
              <w:spacing w:before="40" w:after="40" w:line="240" w:lineRule="auto"/>
              <w:jc w:val="left"/>
              <w:rPr>
                <w:rFonts w:ascii="Arial Narrow" w:hAnsi="Arial Narrow"/>
                <w:sz w:val="20"/>
                <w:szCs w:val="20"/>
              </w:rPr>
            </w:pPr>
            <w:r>
              <w:rPr>
                <w:rFonts w:ascii="Arial Narrow" w:hAnsi="Arial Narrow"/>
                <w:sz w:val="20"/>
                <w:szCs w:val="20"/>
              </w:rPr>
              <w:t>Fetal loss</w:t>
            </w:r>
          </w:p>
        </w:tc>
        <w:tc>
          <w:tcPr>
            <w:tcW w:w="1701" w:type="dxa"/>
          </w:tcPr>
          <w:p w14:paraId="64E54FA5"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1.26</w:t>
            </w:r>
          </w:p>
        </w:tc>
        <w:tc>
          <w:tcPr>
            <w:tcW w:w="1729" w:type="dxa"/>
          </w:tcPr>
          <w:p w14:paraId="4C2D559E"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1.65</w:t>
            </w:r>
          </w:p>
        </w:tc>
        <w:tc>
          <w:tcPr>
            <w:tcW w:w="1560" w:type="dxa"/>
          </w:tcPr>
          <w:p w14:paraId="023A5EBA" w14:textId="71BCDCB8" w:rsidR="004476DC"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w:t>
            </w:r>
            <w:r w:rsidR="004476DC">
              <w:rPr>
                <w:rFonts w:ascii="Arial Narrow" w:hAnsi="Arial Narrow"/>
                <w:color w:val="000000"/>
                <w:sz w:val="20"/>
                <w:szCs w:val="20"/>
              </w:rPr>
              <w:t>0.39</w:t>
            </w:r>
          </w:p>
        </w:tc>
        <w:tc>
          <w:tcPr>
            <w:tcW w:w="1791" w:type="dxa"/>
          </w:tcPr>
          <w:p w14:paraId="68F0F9FE" w14:textId="77777777" w:rsidR="004476DC" w:rsidRDefault="004476DC" w:rsidP="004476DC">
            <w:pPr>
              <w:pStyle w:val="Tabletext1"/>
            </w:pPr>
          </w:p>
        </w:tc>
      </w:tr>
      <w:tr w:rsidR="004476DC" w:rsidRPr="00194549" w14:paraId="797DE69C" w14:textId="77777777" w:rsidTr="004566DC">
        <w:tc>
          <w:tcPr>
            <w:tcW w:w="2376" w:type="dxa"/>
          </w:tcPr>
          <w:p w14:paraId="262C3A0C" w14:textId="756C698A" w:rsidR="004476DC" w:rsidRPr="00194549" w:rsidRDefault="004476DC" w:rsidP="00BB2456">
            <w:pPr>
              <w:spacing w:before="40" w:after="40" w:line="240" w:lineRule="auto"/>
              <w:jc w:val="left"/>
              <w:rPr>
                <w:rFonts w:ascii="Arial Narrow" w:hAnsi="Arial Narrow"/>
                <w:sz w:val="20"/>
                <w:szCs w:val="20"/>
              </w:rPr>
            </w:pPr>
            <w:r>
              <w:rPr>
                <w:rFonts w:ascii="Arial Narrow" w:hAnsi="Arial Narrow"/>
                <w:sz w:val="20"/>
                <w:szCs w:val="20"/>
              </w:rPr>
              <w:t>Procedure</w:t>
            </w:r>
            <w:r w:rsidR="00B04BE3">
              <w:rPr>
                <w:rFonts w:ascii="Arial Narrow" w:hAnsi="Arial Narrow"/>
                <w:sz w:val="20"/>
                <w:szCs w:val="20"/>
              </w:rPr>
              <w:t>-</w:t>
            </w:r>
            <w:r>
              <w:rPr>
                <w:rFonts w:ascii="Arial Narrow" w:hAnsi="Arial Narrow"/>
                <w:sz w:val="20"/>
                <w:szCs w:val="20"/>
              </w:rPr>
              <w:t>related</w:t>
            </w:r>
            <w:r w:rsidRPr="00194549">
              <w:rPr>
                <w:rFonts w:ascii="Arial Narrow" w:hAnsi="Arial Narrow"/>
                <w:sz w:val="20"/>
                <w:szCs w:val="20"/>
              </w:rPr>
              <w:t xml:space="preserve"> fetal loss</w:t>
            </w:r>
          </w:p>
        </w:tc>
        <w:tc>
          <w:tcPr>
            <w:tcW w:w="1701" w:type="dxa"/>
          </w:tcPr>
          <w:p w14:paraId="09BB93F0"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0.15</w:t>
            </w:r>
          </w:p>
        </w:tc>
        <w:tc>
          <w:tcPr>
            <w:tcW w:w="1729" w:type="dxa"/>
          </w:tcPr>
          <w:p w14:paraId="7C270CCA"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p>
        </w:tc>
        <w:tc>
          <w:tcPr>
            <w:tcW w:w="1560" w:type="dxa"/>
          </w:tcPr>
          <w:p w14:paraId="0122A0D7"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0.15</w:t>
            </w:r>
          </w:p>
        </w:tc>
        <w:tc>
          <w:tcPr>
            <w:tcW w:w="1791" w:type="dxa"/>
          </w:tcPr>
          <w:p w14:paraId="24177660" w14:textId="27FDEA21" w:rsidR="004476DC" w:rsidRPr="00194549" w:rsidRDefault="004476DC" w:rsidP="004476DC">
            <w:pPr>
              <w:pStyle w:val="Tabletext1"/>
            </w:pPr>
            <w:r>
              <w:t>Harm</w:t>
            </w:r>
          </w:p>
        </w:tc>
      </w:tr>
      <w:tr w:rsidR="004476DC" w:rsidRPr="00194549" w14:paraId="024C581B" w14:textId="77777777" w:rsidTr="004566DC">
        <w:tc>
          <w:tcPr>
            <w:tcW w:w="2376" w:type="dxa"/>
            <w:tcBorders>
              <w:bottom w:val="single" w:sz="4" w:space="0" w:color="auto"/>
            </w:tcBorders>
          </w:tcPr>
          <w:p w14:paraId="6E04E6E4"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No CF</w:t>
            </w:r>
          </w:p>
        </w:tc>
        <w:tc>
          <w:tcPr>
            <w:tcW w:w="1701" w:type="dxa"/>
            <w:tcBorders>
              <w:bottom w:val="single" w:sz="4" w:space="0" w:color="auto"/>
            </w:tcBorders>
          </w:tcPr>
          <w:p w14:paraId="4D1AB6EF"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sz w:val="20"/>
                <w:szCs w:val="20"/>
              </w:rPr>
              <w:t>73.65</w:t>
            </w:r>
          </w:p>
        </w:tc>
        <w:tc>
          <w:tcPr>
            <w:tcW w:w="1729" w:type="dxa"/>
            <w:tcBorders>
              <w:bottom w:val="single" w:sz="4" w:space="0" w:color="auto"/>
            </w:tcBorders>
          </w:tcPr>
          <w:p w14:paraId="14E8BD47"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73.76</w:t>
            </w:r>
          </w:p>
        </w:tc>
        <w:tc>
          <w:tcPr>
            <w:tcW w:w="1560" w:type="dxa"/>
            <w:tcBorders>
              <w:bottom w:val="single" w:sz="4" w:space="0" w:color="auto"/>
            </w:tcBorders>
          </w:tcPr>
          <w:p w14:paraId="3FB20716" w14:textId="5B19C625" w:rsidR="004476DC" w:rsidRPr="00194549"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Pr>
                <w:rFonts w:ascii="Arial Narrow" w:hAnsi="Arial Narrow"/>
                <w:color w:val="000000"/>
                <w:sz w:val="20"/>
                <w:szCs w:val="20"/>
              </w:rPr>
              <w:t>0.11</w:t>
            </w:r>
          </w:p>
        </w:tc>
        <w:tc>
          <w:tcPr>
            <w:tcW w:w="1791" w:type="dxa"/>
            <w:tcBorders>
              <w:bottom w:val="single" w:sz="4" w:space="0" w:color="auto"/>
            </w:tcBorders>
          </w:tcPr>
          <w:p w14:paraId="2E489524" w14:textId="530BC429" w:rsidR="004476DC" w:rsidRPr="00194549" w:rsidRDefault="004476DC" w:rsidP="004476DC">
            <w:pPr>
              <w:pStyle w:val="Tabletext1"/>
            </w:pPr>
            <w:r>
              <w:t>-</w:t>
            </w:r>
          </w:p>
        </w:tc>
      </w:tr>
      <w:tr w:rsidR="004476DC" w:rsidRPr="00194549" w14:paraId="3DC0E58B" w14:textId="77777777" w:rsidTr="004566DC">
        <w:tc>
          <w:tcPr>
            <w:tcW w:w="2376" w:type="dxa"/>
            <w:tcBorders>
              <w:right w:val="nil"/>
            </w:tcBorders>
            <w:shd w:val="clear" w:color="auto" w:fill="F2F2F2" w:themeFill="background1" w:themeFillShade="F2"/>
          </w:tcPr>
          <w:p w14:paraId="45DCA766" w14:textId="6452003A" w:rsidR="004476DC" w:rsidRPr="00DE7EC9" w:rsidRDefault="004476DC" w:rsidP="00BB2456">
            <w:pPr>
              <w:spacing w:before="40" w:after="40" w:line="240" w:lineRule="auto"/>
              <w:jc w:val="left"/>
              <w:rPr>
                <w:rFonts w:ascii="Arial Narrow" w:hAnsi="Arial Narrow"/>
                <w:i/>
                <w:sz w:val="20"/>
                <w:szCs w:val="20"/>
              </w:rPr>
            </w:pPr>
            <w:r w:rsidRPr="00DE7EC9">
              <w:rPr>
                <w:rFonts w:ascii="Arial Narrow" w:hAnsi="Arial Narrow"/>
                <w:i/>
                <w:sz w:val="20"/>
                <w:szCs w:val="20"/>
              </w:rPr>
              <w:t>Model 2</w:t>
            </w:r>
            <w:r w:rsidR="00B677DE">
              <w:rPr>
                <w:rFonts w:ascii="Arial Narrow" w:hAnsi="Arial Narrow"/>
                <w:i/>
                <w:sz w:val="20"/>
                <w:szCs w:val="20"/>
              </w:rPr>
              <w:t xml:space="preserve"> </w:t>
            </w:r>
            <w:r w:rsidR="00B677DE" w:rsidRPr="00517F92">
              <w:rPr>
                <w:rFonts w:ascii="Arial Narrow" w:hAnsi="Arial Narrow"/>
                <w:i/>
                <w:sz w:val="20"/>
                <w:szCs w:val="20"/>
              </w:rPr>
              <w:t>(Fetus has FEB)</w:t>
            </w:r>
          </w:p>
        </w:tc>
        <w:tc>
          <w:tcPr>
            <w:tcW w:w="1701" w:type="dxa"/>
            <w:tcBorders>
              <w:left w:val="nil"/>
              <w:right w:val="nil"/>
            </w:tcBorders>
            <w:shd w:val="clear" w:color="auto" w:fill="F2F2F2" w:themeFill="background1" w:themeFillShade="F2"/>
          </w:tcPr>
          <w:p w14:paraId="3D0ED89C"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p>
        </w:tc>
        <w:tc>
          <w:tcPr>
            <w:tcW w:w="1729" w:type="dxa"/>
            <w:tcBorders>
              <w:left w:val="nil"/>
              <w:right w:val="nil"/>
            </w:tcBorders>
            <w:shd w:val="clear" w:color="auto" w:fill="F2F2F2" w:themeFill="background1" w:themeFillShade="F2"/>
          </w:tcPr>
          <w:p w14:paraId="7D98C05F"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p>
        </w:tc>
        <w:tc>
          <w:tcPr>
            <w:tcW w:w="1560" w:type="dxa"/>
            <w:tcBorders>
              <w:left w:val="nil"/>
              <w:right w:val="nil"/>
            </w:tcBorders>
            <w:shd w:val="clear" w:color="auto" w:fill="F2F2F2" w:themeFill="background1" w:themeFillShade="F2"/>
          </w:tcPr>
          <w:p w14:paraId="6818E556"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p>
        </w:tc>
        <w:tc>
          <w:tcPr>
            <w:tcW w:w="1791" w:type="dxa"/>
            <w:tcBorders>
              <w:left w:val="nil"/>
              <w:right w:val="nil"/>
            </w:tcBorders>
            <w:shd w:val="clear" w:color="auto" w:fill="F2F2F2" w:themeFill="background1" w:themeFillShade="F2"/>
          </w:tcPr>
          <w:p w14:paraId="3C591F2F" w14:textId="77777777" w:rsidR="004476DC" w:rsidRDefault="004476DC" w:rsidP="004476DC">
            <w:pPr>
              <w:pStyle w:val="Tabletext1"/>
            </w:pPr>
          </w:p>
        </w:tc>
      </w:tr>
      <w:tr w:rsidR="004476DC" w:rsidRPr="00194549" w14:paraId="1972B784" w14:textId="77777777" w:rsidTr="004566DC">
        <w:tc>
          <w:tcPr>
            <w:tcW w:w="2376" w:type="dxa"/>
          </w:tcPr>
          <w:p w14:paraId="2C32CDCE"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Prenatal CF diagnosed</w:t>
            </w:r>
          </w:p>
        </w:tc>
        <w:tc>
          <w:tcPr>
            <w:tcW w:w="1701" w:type="dxa"/>
          </w:tcPr>
          <w:p w14:paraId="340E162D"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3.</w:t>
            </w:r>
            <w:r>
              <w:rPr>
                <w:rFonts w:ascii="Arial Narrow" w:hAnsi="Arial Narrow"/>
                <w:color w:val="000000"/>
                <w:sz w:val="20"/>
                <w:szCs w:val="20"/>
              </w:rPr>
              <w:t>74</w:t>
            </w:r>
          </w:p>
        </w:tc>
        <w:tc>
          <w:tcPr>
            <w:tcW w:w="1729" w:type="dxa"/>
          </w:tcPr>
          <w:p w14:paraId="1B759AFC"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0</w:t>
            </w:r>
          </w:p>
        </w:tc>
        <w:tc>
          <w:tcPr>
            <w:tcW w:w="1560" w:type="dxa"/>
          </w:tcPr>
          <w:p w14:paraId="09C778D6"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3.</w:t>
            </w:r>
            <w:r>
              <w:rPr>
                <w:rFonts w:ascii="Arial Narrow" w:hAnsi="Arial Narrow"/>
                <w:color w:val="000000"/>
                <w:sz w:val="20"/>
                <w:szCs w:val="20"/>
              </w:rPr>
              <w:t>74</w:t>
            </w:r>
          </w:p>
        </w:tc>
        <w:tc>
          <w:tcPr>
            <w:tcW w:w="1791" w:type="dxa"/>
          </w:tcPr>
          <w:p w14:paraId="3377552F" w14:textId="05714060" w:rsidR="004476DC" w:rsidRDefault="004476DC" w:rsidP="004476DC">
            <w:pPr>
              <w:pStyle w:val="Tabletext1"/>
            </w:pPr>
            <w:r w:rsidRPr="00194549">
              <w:t>Benefit</w:t>
            </w:r>
          </w:p>
        </w:tc>
      </w:tr>
      <w:tr w:rsidR="004476DC" w:rsidRPr="00194549" w14:paraId="2A2DA0C9" w14:textId="77777777" w:rsidTr="004566DC">
        <w:tc>
          <w:tcPr>
            <w:tcW w:w="2376" w:type="dxa"/>
          </w:tcPr>
          <w:p w14:paraId="60F71380"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CF births total:</w:t>
            </w:r>
          </w:p>
        </w:tc>
        <w:tc>
          <w:tcPr>
            <w:tcW w:w="1701" w:type="dxa"/>
          </w:tcPr>
          <w:p w14:paraId="01B3F975"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2.</w:t>
            </w:r>
            <w:r>
              <w:rPr>
                <w:rFonts w:ascii="Arial Narrow" w:hAnsi="Arial Narrow"/>
                <w:color w:val="000000"/>
                <w:sz w:val="20"/>
                <w:szCs w:val="20"/>
              </w:rPr>
              <w:t>03</w:t>
            </w:r>
          </w:p>
        </w:tc>
        <w:tc>
          <w:tcPr>
            <w:tcW w:w="1729" w:type="dxa"/>
          </w:tcPr>
          <w:p w14:paraId="7075BCD1"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4.44</w:t>
            </w:r>
          </w:p>
        </w:tc>
        <w:tc>
          <w:tcPr>
            <w:tcW w:w="1560" w:type="dxa"/>
          </w:tcPr>
          <w:p w14:paraId="6FD98A6C" w14:textId="06D372C1" w:rsidR="004476DC"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w:t>
            </w:r>
            <w:r w:rsidR="004476DC">
              <w:rPr>
                <w:rFonts w:ascii="Arial Narrow" w:hAnsi="Arial Narrow"/>
                <w:color w:val="000000"/>
                <w:sz w:val="20"/>
                <w:szCs w:val="20"/>
              </w:rPr>
              <w:t>2.4</w:t>
            </w:r>
            <w:r w:rsidR="004476DC" w:rsidRPr="00194549">
              <w:rPr>
                <w:rFonts w:ascii="Arial Narrow" w:hAnsi="Arial Narrow"/>
                <w:color w:val="000000"/>
                <w:sz w:val="20"/>
                <w:szCs w:val="20"/>
              </w:rPr>
              <w:t>1</w:t>
            </w:r>
          </w:p>
        </w:tc>
        <w:tc>
          <w:tcPr>
            <w:tcW w:w="1791" w:type="dxa"/>
          </w:tcPr>
          <w:p w14:paraId="4E36A769" w14:textId="77777777" w:rsidR="004476DC" w:rsidRDefault="004476DC" w:rsidP="004476DC">
            <w:pPr>
              <w:pStyle w:val="Tabletext1"/>
            </w:pPr>
          </w:p>
        </w:tc>
      </w:tr>
      <w:tr w:rsidR="004476DC" w:rsidRPr="00194549" w14:paraId="21BF3F1E" w14:textId="77777777" w:rsidTr="004566DC">
        <w:tc>
          <w:tcPr>
            <w:tcW w:w="2376" w:type="dxa"/>
          </w:tcPr>
          <w:p w14:paraId="337DFB1D" w14:textId="561FB44D" w:rsidR="004476DC" w:rsidRPr="00194549" w:rsidRDefault="00192555"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194549">
              <w:rPr>
                <w:rFonts w:ascii="Arial Narrow" w:hAnsi="Arial Narrow"/>
                <w:sz w:val="20"/>
                <w:szCs w:val="20"/>
              </w:rPr>
              <w:t>informed</w:t>
            </w:r>
          </w:p>
        </w:tc>
        <w:tc>
          <w:tcPr>
            <w:tcW w:w="1701" w:type="dxa"/>
          </w:tcPr>
          <w:p w14:paraId="031754F1"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1.</w:t>
            </w:r>
            <w:r>
              <w:rPr>
                <w:rFonts w:ascii="Arial Narrow" w:hAnsi="Arial Narrow"/>
                <w:color w:val="000000"/>
                <w:sz w:val="20"/>
                <w:szCs w:val="20"/>
              </w:rPr>
              <w:t>30</w:t>
            </w:r>
          </w:p>
        </w:tc>
        <w:tc>
          <w:tcPr>
            <w:tcW w:w="1729" w:type="dxa"/>
          </w:tcPr>
          <w:p w14:paraId="31224704"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0</w:t>
            </w:r>
          </w:p>
        </w:tc>
        <w:tc>
          <w:tcPr>
            <w:tcW w:w="1560" w:type="dxa"/>
          </w:tcPr>
          <w:p w14:paraId="0B0B3768"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1.</w:t>
            </w:r>
            <w:r>
              <w:rPr>
                <w:rFonts w:ascii="Arial Narrow" w:hAnsi="Arial Narrow"/>
                <w:color w:val="000000"/>
                <w:sz w:val="20"/>
                <w:szCs w:val="20"/>
              </w:rPr>
              <w:t>30</w:t>
            </w:r>
          </w:p>
        </w:tc>
        <w:tc>
          <w:tcPr>
            <w:tcW w:w="1791" w:type="dxa"/>
          </w:tcPr>
          <w:p w14:paraId="0DA79811" w14:textId="64BF506E" w:rsidR="004476DC" w:rsidRDefault="004476DC" w:rsidP="004476DC">
            <w:pPr>
              <w:pStyle w:val="Tabletext1"/>
            </w:pPr>
            <w:r w:rsidRPr="00194549">
              <w:t>Benefit</w:t>
            </w:r>
          </w:p>
        </w:tc>
      </w:tr>
      <w:tr w:rsidR="004476DC" w:rsidRPr="00194549" w14:paraId="5C290395" w14:textId="77777777" w:rsidTr="004566DC">
        <w:tc>
          <w:tcPr>
            <w:tcW w:w="2376" w:type="dxa"/>
          </w:tcPr>
          <w:p w14:paraId="40E534D8" w14:textId="1954D60D" w:rsidR="004476DC" w:rsidRPr="00194549" w:rsidRDefault="00192555"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194549">
              <w:rPr>
                <w:rFonts w:ascii="Arial Narrow" w:hAnsi="Arial Narrow"/>
                <w:sz w:val="20"/>
                <w:szCs w:val="20"/>
              </w:rPr>
              <w:t>uninformed</w:t>
            </w:r>
          </w:p>
        </w:tc>
        <w:tc>
          <w:tcPr>
            <w:tcW w:w="1701" w:type="dxa"/>
          </w:tcPr>
          <w:p w14:paraId="34291F3B"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w:t>
            </w:r>
            <w:r>
              <w:rPr>
                <w:rFonts w:ascii="Arial Narrow" w:hAnsi="Arial Narrow"/>
                <w:color w:val="000000"/>
                <w:sz w:val="20"/>
                <w:szCs w:val="20"/>
              </w:rPr>
              <w:t>73</w:t>
            </w:r>
          </w:p>
        </w:tc>
        <w:tc>
          <w:tcPr>
            <w:tcW w:w="1729" w:type="dxa"/>
          </w:tcPr>
          <w:p w14:paraId="289FEF54"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4.44</w:t>
            </w:r>
          </w:p>
        </w:tc>
        <w:tc>
          <w:tcPr>
            <w:tcW w:w="1560" w:type="dxa"/>
          </w:tcPr>
          <w:p w14:paraId="1AAD3BA4" w14:textId="78E60C82" w:rsidR="004476DC"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w:t>
            </w:r>
            <w:r w:rsidR="004476DC" w:rsidRPr="00194549">
              <w:rPr>
                <w:rFonts w:ascii="Arial Narrow" w:hAnsi="Arial Narrow"/>
                <w:color w:val="000000"/>
                <w:sz w:val="20"/>
                <w:szCs w:val="20"/>
              </w:rPr>
              <w:t>3.</w:t>
            </w:r>
            <w:r w:rsidR="004476DC">
              <w:rPr>
                <w:rFonts w:ascii="Arial Narrow" w:hAnsi="Arial Narrow"/>
                <w:color w:val="000000"/>
                <w:sz w:val="20"/>
                <w:szCs w:val="20"/>
              </w:rPr>
              <w:t>71</w:t>
            </w:r>
          </w:p>
        </w:tc>
        <w:tc>
          <w:tcPr>
            <w:tcW w:w="1791" w:type="dxa"/>
          </w:tcPr>
          <w:p w14:paraId="10DD7C10" w14:textId="77777777" w:rsidR="004476DC" w:rsidRDefault="004476DC" w:rsidP="004476DC">
            <w:pPr>
              <w:pStyle w:val="Tabletext1"/>
            </w:pPr>
          </w:p>
        </w:tc>
      </w:tr>
      <w:tr w:rsidR="004476DC" w:rsidRPr="00194549" w14:paraId="7AFBB9C2" w14:textId="77777777" w:rsidTr="004566DC">
        <w:tc>
          <w:tcPr>
            <w:tcW w:w="2376" w:type="dxa"/>
          </w:tcPr>
          <w:p w14:paraId="2C7B5F7F" w14:textId="64ABCF2B"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CF birth</w:t>
            </w:r>
            <w:r w:rsidR="005301B3">
              <w:rPr>
                <w:rFonts w:ascii="Arial Narrow" w:hAnsi="Arial Narrow"/>
                <w:sz w:val="20"/>
                <w:szCs w:val="20"/>
              </w:rPr>
              <w:t>s</w:t>
            </w:r>
            <w:r w:rsidRPr="00194549">
              <w:rPr>
                <w:rFonts w:ascii="Arial Narrow" w:hAnsi="Arial Narrow"/>
                <w:sz w:val="20"/>
                <w:szCs w:val="20"/>
              </w:rPr>
              <w:t xml:space="preserve"> averted</w:t>
            </w:r>
          </w:p>
        </w:tc>
        <w:tc>
          <w:tcPr>
            <w:tcW w:w="1701" w:type="dxa"/>
          </w:tcPr>
          <w:p w14:paraId="140B58FD"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2.4</w:t>
            </w:r>
            <w:r w:rsidRPr="00194549">
              <w:rPr>
                <w:rFonts w:ascii="Arial Narrow" w:hAnsi="Arial Narrow"/>
                <w:color w:val="000000"/>
                <w:sz w:val="20"/>
                <w:szCs w:val="20"/>
              </w:rPr>
              <w:t>4</w:t>
            </w:r>
          </w:p>
        </w:tc>
        <w:tc>
          <w:tcPr>
            <w:tcW w:w="1729" w:type="dxa"/>
          </w:tcPr>
          <w:p w14:paraId="1261B130"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0</w:t>
            </w:r>
          </w:p>
        </w:tc>
        <w:tc>
          <w:tcPr>
            <w:tcW w:w="1560" w:type="dxa"/>
          </w:tcPr>
          <w:p w14:paraId="48D738A8"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2.4</w:t>
            </w:r>
            <w:r w:rsidRPr="00194549">
              <w:rPr>
                <w:rFonts w:ascii="Arial Narrow" w:hAnsi="Arial Narrow"/>
                <w:color w:val="000000"/>
                <w:sz w:val="20"/>
                <w:szCs w:val="20"/>
              </w:rPr>
              <w:t>4</w:t>
            </w:r>
          </w:p>
        </w:tc>
        <w:tc>
          <w:tcPr>
            <w:tcW w:w="1791" w:type="dxa"/>
          </w:tcPr>
          <w:p w14:paraId="777C6E5B" w14:textId="1A7D7696" w:rsidR="004476DC" w:rsidRDefault="004476DC" w:rsidP="004476DC">
            <w:pPr>
              <w:pStyle w:val="Tabletext1"/>
            </w:pPr>
            <w:r w:rsidRPr="00194549">
              <w:t>Benefit</w:t>
            </w:r>
          </w:p>
        </w:tc>
      </w:tr>
      <w:tr w:rsidR="004476DC" w:rsidRPr="00194549" w14:paraId="1DC31122" w14:textId="77777777" w:rsidTr="004566DC">
        <w:tc>
          <w:tcPr>
            <w:tcW w:w="2376" w:type="dxa"/>
          </w:tcPr>
          <w:p w14:paraId="2612376C" w14:textId="77777777" w:rsidR="004476DC" w:rsidRPr="00194549" w:rsidRDefault="004476DC" w:rsidP="00BB2456">
            <w:pPr>
              <w:spacing w:before="40" w:after="40" w:line="240" w:lineRule="auto"/>
              <w:jc w:val="left"/>
              <w:rPr>
                <w:rFonts w:ascii="Arial Narrow" w:hAnsi="Arial Narrow"/>
                <w:sz w:val="20"/>
                <w:szCs w:val="20"/>
              </w:rPr>
            </w:pPr>
            <w:r w:rsidRPr="00CC715E">
              <w:rPr>
                <w:rFonts w:ascii="Arial Narrow" w:hAnsi="Arial Narrow"/>
                <w:sz w:val="20"/>
                <w:szCs w:val="20"/>
              </w:rPr>
              <w:t>Fetal loss</w:t>
            </w:r>
          </w:p>
        </w:tc>
        <w:tc>
          <w:tcPr>
            <w:tcW w:w="1701" w:type="dxa"/>
          </w:tcPr>
          <w:p w14:paraId="23E4EC19"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1.24</w:t>
            </w:r>
          </w:p>
        </w:tc>
        <w:tc>
          <w:tcPr>
            <w:tcW w:w="1729" w:type="dxa"/>
          </w:tcPr>
          <w:p w14:paraId="204247F6"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1.27</w:t>
            </w:r>
          </w:p>
        </w:tc>
        <w:tc>
          <w:tcPr>
            <w:tcW w:w="1560" w:type="dxa"/>
          </w:tcPr>
          <w:p w14:paraId="29CF69C8" w14:textId="2C7AD27C" w:rsidR="004476DC" w:rsidRDefault="005301B3"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w:t>
            </w:r>
            <w:r w:rsidR="004476DC" w:rsidRPr="00CC715E">
              <w:rPr>
                <w:rFonts w:ascii="Arial Narrow" w:hAnsi="Arial Narrow"/>
                <w:sz w:val="20"/>
                <w:szCs w:val="20"/>
              </w:rPr>
              <w:t>0.0</w:t>
            </w:r>
            <w:r w:rsidR="004476DC">
              <w:rPr>
                <w:rFonts w:ascii="Arial Narrow" w:hAnsi="Arial Narrow"/>
                <w:sz w:val="20"/>
                <w:szCs w:val="20"/>
              </w:rPr>
              <w:t>3</w:t>
            </w:r>
          </w:p>
        </w:tc>
        <w:tc>
          <w:tcPr>
            <w:tcW w:w="1791" w:type="dxa"/>
          </w:tcPr>
          <w:p w14:paraId="287F69D9" w14:textId="77777777" w:rsidR="004476DC" w:rsidRDefault="004476DC" w:rsidP="004476DC">
            <w:pPr>
              <w:pStyle w:val="Tabletext1"/>
            </w:pPr>
          </w:p>
        </w:tc>
      </w:tr>
      <w:tr w:rsidR="004476DC" w:rsidRPr="00194549" w14:paraId="7888BDD0" w14:textId="77777777" w:rsidTr="004566DC">
        <w:tc>
          <w:tcPr>
            <w:tcW w:w="2376" w:type="dxa"/>
          </w:tcPr>
          <w:p w14:paraId="5F750C88" w14:textId="7EE9B13D" w:rsidR="004476DC" w:rsidRPr="00194549" w:rsidRDefault="004476DC" w:rsidP="00BB2456">
            <w:pPr>
              <w:spacing w:before="40" w:after="40" w:line="240" w:lineRule="auto"/>
              <w:jc w:val="left"/>
              <w:rPr>
                <w:rFonts w:ascii="Arial Narrow" w:hAnsi="Arial Narrow"/>
                <w:sz w:val="20"/>
                <w:szCs w:val="20"/>
              </w:rPr>
            </w:pPr>
            <w:r>
              <w:rPr>
                <w:rFonts w:ascii="Arial Narrow" w:hAnsi="Arial Narrow"/>
                <w:sz w:val="20"/>
                <w:szCs w:val="20"/>
              </w:rPr>
              <w:t>Procedure</w:t>
            </w:r>
            <w:r w:rsidR="00B04BE3">
              <w:rPr>
                <w:rFonts w:ascii="Arial Narrow" w:hAnsi="Arial Narrow"/>
                <w:sz w:val="20"/>
                <w:szCs w:val="20"/>
              </w:rPr>
              <w:t>-</w:t>
            </w:r>
            <w:r>
              <w:rPr>
                <w:rFonts w:ascii="Arial Narrow" w:hAnsi="Arial Narrow"/>
                <w:sz w:val="20"/>
                <w:szCs w:val="20"/>
              </w:rPr>
              <w:t>related</w:t>
            </w:r>
            <w:r w:rsidRPr="00194549">
              <w:rPr>
                <w:rFonts w:ascii="Arial Narrow" w:hAnsi="Arial Narrow"/>
                <w:sz w:val="20"/>
                <w:szCs w:val="20"/>
              </w:rPr>
              <w:t xml:space="preserve"> fetal loss</w:t>
            </w:r>
          </w:p>
        </w:tc>
        <w:tc>
          <w:tcPr>
            <w:tcW w:w="1701" w:type="dxa"/>
          </w:tcPr>
          <w:p w14:paraId="286EACAD"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0.007</w:t>
            </w:r>
          </w:p>
        </w:tc>
        <w:tc>
          <w:tcPr>
            <w:tcW w:w="1729" w:type="dxa"/>
          </w:tcPr>
          <w:p w14:paraId="38E33892"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0</w:t>
            </w:r>
          </w:p>
        </w:tc>
        <w:tc>
          <w:tcPr>
            <w:tcW w:w="1560" w:type="dxa"/>
          </w:tcPr>
          <w:p w14:paraId="7FFE1D11"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0.007</w:t>
            </w:r>
          </w:p>
        </w:tc>
        <w:tc>
          <w:tcPr>
            <w:tcW w:w="1791" w:type="dxa"/>
          </w:tcPr>
          <w:p w14:paraId="654A6706" w14:textId="5A3B1E2D" w:rsidR="004476DC" w:rsidRDefault="004476DC" w:rsidP="004476DC">
            <w:pPr>
              <w:pStyle w:val="Tabletext1"/>
            </w:pPr>
            <w:r>
              <w:t>Harm</w:t>
            </w:r>
          </w:p>
        </w:tc>
      </w:tr>
      <w:tr w:rsidR="004476DC" w:rsidRPr="00194549" w14:paraId="10C0BF7C" w14:textId="77777777" w:rsidTr="004566DC">
        <w:tc>
          <w:tcPr>
            <w:tcW w:w="2376" w:type="dxa"/>
          </w:tcPr>
          <w:p w14:paraId="30E6BD50" w14:textId="77777777" w:rsidR="004476DC" w:rsidRPr="00194549" w:rsidRDefault="004476DC" w:rsidP="00BB2456">
            <w:pPr>
              <w:spacing w:before="40" w:after="40" w:line="240" w:lineRule="auto"/>
              <w:jc w:val="left"/>
              <w:rPr>
                <w:rFonts w:ascii="Arial Narrow" w:hAnsi="Arial Narrow"/>
                <w:sz w:val="20"/>
                <w:szCs w:val="20"/>
              </w:rPr>
            </w:pPr>
            <w:r w:rsidRPr="00194549">
              <w:rPr>
                <w:rFonts w:ascii="Arial Narrow" w:hAnsi="Arial Narrow"/>
                <w:sz w:val="20"/>
                <w:szCs w:val="20"/>
              </w:rPr>
              <w:t>No CF</w:t>
            </w:r>
          </w:p>
        </w:tc>
        <w:tc>
          <w:tcPr>
            <w:tcW w:w="1701" w:type="dxa"/>
          </w:tcPr>
          <w:p w14:paraId="1EF97D82"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sz w:val="20"/>
                <w:szCs w:val="20"/>
                <w:lang w:eastAsia="en-AU"/>
              </w:rPr>
            </w:pPr>
            <w:r w:rsidRPr="00194549">
              <w:rPr>
                <w:rFonts w:ascii="Arial Narrow" w:hAnsi="Arial Narrow"/>
                <w:color w:val="000000"/>
                <w:sz w:val="20"/>
                <w:szCs w:val="20"/>
              </w:rPr>
              <w:t>94.28</w:t>
            </w:r>
          </w:p>
        </w:tc>
        <w:tc>
          <w:tcPr>
            <w:tcW w:w="1729" w:type="dxa"/>
          </w:tcPr>
          <w:p w14:paraId="645096BA" w14:textId="77777777" w:rsidR="004476DC" w:rsidRPr="00194549"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94.29</w:t>
            </w:r>
          </w:p>
        </w:tc>
        <w:tc>
          <w:tcPr>
            <w:tcW w:w="1560" w:type="dxa"/>
          </w:tcPr>
          <w:p w14:paraId="02B347BF" w14:textId="77777777" w:rsidR="004476DC" w:rsidRDefault="004476DC" w:rsidP="004566DC">
            <w:pPr>
              <w:tabs>
                <w:tab w:val="decimal" w:pos="884"/>
                <w:tab w:val="decimal" w:pos="939"/>
                <w:tab w:val="decimal" w:pos="1151"/>
              </w:tabs>
              <w:spacing w:before="40" w:after="40" w:line="240" w:lineRule="auto"/>
              <w:ind w:right="459"/>
              <w:jc w:val="right"/>
              <w:rPr>
                <w:rFonts w:ascii="Arial Narrow" w:eastAsia="Times New Roman" w:hAnsi="Arial Narrow"/>
                <w:color w:val="000000"/>
                <w:sz w:val="20"/>
                <w:szCs w:val="20"/>
                <w:lang w:eastAsia="en-AU"/>
              </w:rPr>
            </w:pPr>
            <w:r w:rsidRPr="00194549">
              <w:rPr>
                <w:rFonts w:ascii="Arial Narrow" w:hAnsi="Arial Narrow"/>
                <w:color w:val="000000"/>
                <w:sz w:val="20"/>
                <w:szCs w:val="20"/>
              </w:rPr>
              <w:t>0.00</w:t>
            </w:r>
          </w:p>
        </w:tc>
        <w:tc>
          <w:tcPr>
            <w:tcW w:w="1791" w:type="dxa"/>
          </w:tcPr>
          <w:p w14:paraId="4A46D65D" w14:textId="29017B57" w:rsidR="004476DC" w:rsidRDefault="004476DC" w:rsidP="004476DC">
            <w:pPr>
              <w:pStyle w:val="Tabletext1"/>
            </w:pPr>
            <w:r>
              <w:t>-</w:t>
            </w:r>
          </w:p>
        </w:tc>
      </w:tr>
    </w:tbl>
    <w:p w14:paraId="4D7EBBDB" w14:textId="38DFA1FD" w:rsidR="00ED6D7E" w:rsidRPr="00FC4A03" w:rsidRDefault="004476DC" w:rsidP="00ED6D7E">
      <w:pPr>
        <w:widowControl w:val="0"/>
        <w:spacing w:after="120" w:line="240" w:lineRule="auto"/>
        <w:rPr>
          <w:rFonts w:ascii="Arial Narrow" w:hAnsi="Arial Narrow" w:cs="Arial"/>
          <w:snapToGrid w:val="0"/>
          <w:sz w:val="18"/>
          <w:szCs w:val="20"/>
          <w:lang w:eastAsia="en-US"/>
        </w:rPr>
      </w:pPr>
      <w:r w:rsidRPr="004476DC">
        <w:rPr>
          <w:rFonts w:ascii="Arial Narrow" w:hAnsi="Arial Narrow" w:cs="Arial"/>
          <w:snapToGrid w:val="0"/>
          <w:sz w:val="18"/>
          <w:szCs w:val="20"/>
          <w:lang w:eastAsia="en-US"/>
        </w:rPr>
        <w:t>FEB = fetal echogenic bowel;</w:t>
      </w:r>
      <w:r w:rsidR="00B677DE">
        <w:rPr>
          <w:rFonts w:ascii="Arial Narrow" w:hAnsi="Arial Narrow" w:cs="Arial"/>
          <w:snapToGrid w:val="0"/>
          <w:sz w:val="18"/>
          <w:szCs w:val="20"/>
          <w:lang w:eastAsia="en-US"/>
        </w:rPr>
        <w:t xml:space="preserve"> </w:t>
      </w:r>
      <w:r w:rsidR="00ED6D7E" w:rsidRPr="00FC4A03">
        <w:rPr>
          <w:rFonts w:ascii="Arial Narrow" w:hAnsi="Arial Narrow" w:cs="Arial"/>
          <w:snapToGrid w:val="0"/>
          <w:sz w:val="18"/>
          <w:szCs w:val="20"/>
          <w:lang w:eastAsia="en-US"/>
        </w:rPr>
        <w:t>CF = cystic fibrosis</w:t>
      </w:r>
    </w:p>
    <w:p w14:paraId="11F9A929" w14:textId="77777777" w:rsidR="00ED6D7E" w:rsidRPr="00F57AF2" w:rsidRDefault="00ED6D7E" w:rsidP="00F57AF2">
      <w:pPr>
        <w:pStyle w:val="Caption"/>
      </w:pPr>
      <w:bookmarkStart w:id="617" w:name="_Toc418179502"/>
      <w:r w:rsidRPr="00F57AF2">
        <w:t xml:space="preserve">Table </w:t>
      </w:r>
      <w:fldSimple w:instr=" SEQ Table \* ARABIC ">
        <w:r w:rsidR="00BB0E3E">
          <w:rPr>
            <w:noProof/>
          </w:rPr>
          <w:t>105</w:t>
        </w:r>
      </w:fldSimple>
      <w:r w:rsidRPr="00F57AF2">
        <w:tab/>
        <w:t>Incremental costs, additional scenario 1</w:t>
      </w:r>
      <w:bookmarkEnd w:id="617"/>
    </w:p>
    <w:tbl>
      <w:tblPr>
        <w:tblStyle w:val="TableGrid9"/>
        <w:tblW w:w="5000" w:type="pct"/>
        <w:tblLook w:val="04A0" w:firstRow="1" w:lastRow="0" w:firstColumn="1" w:lastColumn="0" w:noHBand="0" w:noVBand="1"/>
        <w:tblCaption w:val="Incremental costs, additional scenario 1"/>
        <w:tblDescription w:val="Incremental costs, additional scenario 1"/>
      </w:tblPr>
      <w:tblGrid>
        <w:gridCol w:w="2689"/>
        <w:gridCol w:w="2200"/>
        <w:gridCol w:w="2357"/>
        <w:gridCol w:w="1996"/>
      </w:tblGrid>
      <w:tr w:rsidR="00ED6D7E" w:rsidRPr="00993E7F" w14:paraId="5CD84A00" w14:textId="77777777" w:rsidTr="007C1FC6">
        <w:trPr>
          <w:tblHeader/>
        </w:trPr>
        <w:tc>
          <w:tcPr>
            <w:tcW w:w="1455" w:type="pct"/>
            <w:tcBorders>
              <w:bottom w:val="single" w:sz="4" w:space="0" w:color="auto"/>
            </w:tcBorders>
            <w:shd w:val="clear" w:color="auto" w:fill="FFFFFF" w:themeFill="background1"/>
          </w:tcPr>
          <w:p w14:paraId="31DB5340" w14:textId="77777777" w:rsidR="00ED6D7E" w:rsidRPr="00993E7F" w:rsidRDefault="00ED6D7E" w:rsidP="00BB2456">
            <w:pPr>
              <w:pStyle w:val="TableHeading"/>
              <w:jc w:val="left"/>
            </w:pPr>
            <w:r w:rsidRPr="00993E7F">
              <w:t>Cost</w:t>
            </w:r>
          </w:p>
        </w:tc>
        <w:tc>
          <w:tcPr>
            <w:tcW w:w="1190" w:type="pct"/>
            <w:tcBorders>
              <w:bottom w:val="single" w:sz="4" w:space="0" w:color="auto"/>
            </w:tcBorders>
            <w:shd w:val="clear" w:color="auto" w:fill="FFFFFF" w:themeFill="background1"/>
          </w:tcPr>
          <w:p w14:paraId="4615916C" w14:textId="77777777" w:rsidR="00ED6D7E" w:rsidRPr="00993E7F" w:rsidRDefault="00ED6D7E" w:rsidP="004566DC">
            <w:pPr>
              <w:pStyle w:val="TableHeading"/>
              <w:jc w:val="center"/>
              <w:rPr>
                <w:rFonts w:eastAsia="Times New Roman"/>
                <w:lang w:eastAsia="en-AU"/>
              </w:rPr>
            </w:pPr>
            <w:r w:rsidRPr="00993E7F">
              <w:t>Prenatal testing</w:t>
            </w:r>
          </w:p>
        </w:tc>
        <w:tc>
          <w:tcPr>
            <w:tcW w:w="1275" w:type="pct"/>
            <w:tcBorders>
              <w:bottom w:val="single" w:sz="4" w:space="0" w:color="auto"/>
            </w:tcBorders>
            <w:shd w:val="clear" w:color="auto" w:fill="FFFFFF" w:themeFill="background1"/>
          </w:tcPr>
          <w:p w14:paraId="4478A78A" w14:textId="14D92DE5" w:rsidR="00ED6D7E" w:rsidRPr="00993E7F" w:rsidRDefault="00ED6D7E" w:rsidP="004566DC">
            <w:pPr>
              <w:pStyle w:val="TableHeading"/>
              <w:jc w:val="center"/>
              <w:rPr>
                <w:rFonts w:eastAsia="Times New Roman"/>
                <w:lang w:eastAsia="en-AU"/>
              </w:rPr>
            </w:pPr>
            <w:r w:rsidRPr="00993E7F">
              <w:t>No prenatal testing</w:t>
            </w:r>
          </w:p>
        </w:tc>
        <w:tc>
          <w:tcPr>
            <w:tcW w:w="1080" w:type="pct"/>
            <w:tcBorders>
              <w:bottom w:val="single" w:sz="4" w:space="0" w:color="auto"/>
            </w:tcBorders>
            <w:shd w:val="clear" w:color="auto" w:fill="FFFFFF" w:themeFill="background1"/>
          </w:tcPr>
          <w:p w14:paraId="63C021A9" w14:textId="77777777" w:rsidR="00ED6D7E" w:rsidRPr="00993E7F" w:rsidRDefault="00ED6D7E" w:rsidP="004566DC">
            <w:pPr>
              <w:pStyle w:val="TableHeading"/>
              <w:jc w:val="center"/>
              <w:rPr>
                <w:rFonts w:eastAsia="Times New Roman"/>
                <w:lang w:eastAsia="en-AU"/>
              </w:rPr>
            </w:pPr>
            <w:r w:rsidRPr="00993E7F">
              <w:t>Increment</w:t>
            </w:r>
          </w:p>
        </w:tc>
      </w:tr>
      <w:tr w:rsidR="00ED6D7E" w:rsidRPr="00993E7F" w14:paraId="58EC58C6" w14:textId="77777777" w:rsidTr="00BB2456">
        <w:tc>
          <w:tcPr>
            <w:tcW w:w="1455" w:type="pct"/>
            <w:tcBorders>
              <w:right w:val="nil"/>
            </w:tcBorders>
            <w:shd w:val="clear" w:color="auto" w:fill="F2F2F2" w:themeFill="background1" w:themeFillShade="F2"/>
          </w:tcPr>
          <w:p w14:paraId="709BDAA2" w14:textId="66417B53" w:rsidR="00ED6D7E" w:rsidRPr="00993E7F" w:rsidRDefault="00ED6D7E" w:rsidP="00BB2456">
            <w:pPr>
              <w:spacing w:before="40" w:after="40" w:line="240" w:lineRule="auto"/>
              <w:jc w:val="left"/>
              <w:rPr>
                <w:rFonts w:ascii="Arial Narrow" w:hAnsi="Arial Narrow"/>
                <w:i/>
                <w:sz w:val="20"/>
                <w:szCs w:val="20"/>
              </w:rPr>
            </w:pPr>
            <w:r w:rsidRPr="00993E7F">
              <w:rPr>
                <w:rFonts w:ascii="Arial Narrow" w:hAnsi="Arial Narrow"/>
                <w:sz w:val="20"/>
                <w:szCs w:val="20"/>
              </w:rPr>
              <w:t>Model 1</w:t>
            </w:r>
            <w:r w:rsidR="00B677DE">
              <w:rPr>
                <w:rFonts w:ascii="Arial Narrow" w:hAnsi="Arial Narrow"/>
                <w:sz w:val="20"/>
                <w:szCs w:val="20"/>
              </w:rPr>
              <w:t xml:space="preserve"> </w:t>
            </w:r>
            <w:r w:rsidR="00B677DE" w:rsidRPr="00517F92">
              <w:rPr>
                <w:rFonts w:ascii="Arial Narrow" w:hAnsi="Arial Narrow"/>
                <w:i/>
                <w:sz w:val="20"/>
                <w:szCs w:val="20"/>
              </w:rPr>
              <w:t>(</w:t>
            </w:r>
            <w:r w:rsidR="0002384F">
              <w:rPr>
                <w:rFonts w:ascii="Arial Narrow" w:hAnsi="Arial Narrow"/>
                <w:i/>
                <w:sz w:val="20"/>
                <w:szCs w:val="20"/>
              </w:rPr>
              <w:t>P</w:t>
            </w:r>
            <w:r w:rsidR="00B677DE" w:rsidRPr="00517F92">
              <w:rPr>
                <w:rFonts w:ascii="Arial Narrow" w:hAnsi="Arial Narrow"/>
                <w:i/>
                <w:sz w:val="20"/>
                <w:szCs w:val="20"/>
              </w:rPr>
              <w:t xml:space="preserve">arents </w:t>
            </w:r>
            <w:r w:rsidR="00B677DE">
              <w:rPr>
                <w:rFonts w:ascii="Arial Narrow" w:hAnsi="Arial Narrow"/>
                <w:i/>
                <w:sz w:val="20"/>
                <w:szCs w:val="20"/>
              </w:rPr>
              <w:t xml:space="preserve">are </w:t>
            </w:r>
            <w:r w:rsidR="00B677DE" w:rsidRPr="00517F92">
              <w:rPr>
                <w:rFonts w:ascii="Arial Narrow" w:hAnsi="Arial Narrow"/>
                <w:i/>
                <w:sz w:val="20"/>
                <w:szCs w:val="20"/>
              </w:rPr>
              <w:t xml:space="preserve">known </w:t>
            </w:r>
            <w:r w:rsidR="00B677DE">
              <w:rPr>
                <w:rFonts w:ascii="Arial Narrow" w:hAnsi="Arial Narrow"/>
                <w:i/>
                <w:sz w:val="20"/>
                <w:szCs w:val="20"/>
              </w:rPr>
              <w:t xml:space="preserve">CF </w:t>
            </w:r>
            <w:r w:rsidR="00B677DE" w:rsidRPr="00517F92">
              <w:rPr>
                <w:rFonts w:ascii="Arial Narrow" w:hAnsi="Arial Narrow"/>
                <w:i/>
                <w:sz w:val="20"/>
                <w:szCs w:val="20"/>
              </w:rPr>
              <w:t>carriers)</w:t>
            </w:r>
          </w:p>
        </w:tc>
        <w:tc>
          <w:tcPr>
            <w:tcW w:w="1190" w:type="pct"/>
            <w:tcBorders>
              <w:left w:val="nil"/>
              <w:right w:val="nil"/>
            </w:tcBorders>
            <w:shd w:val="clear" w:color="auto" w:fill="F2F2F2" w:themeFill="background1" w:themeFillShade="F2"/>
          </w:tcPr>
          <w:p w14:paraId="261F63A0" w14:textId="77777777" w:rsidR="00ED6D7E" w:rsidRPr="00993E7F" w:rsidRDefault="00ED6D7E" w:rsidP="00BB2456">
            <w:pPr>
              <w:spacing w:before="40" w:after="40" w:line="240" w:lineRule="auto"/>
              <w:jc w:val="left"/>
              <w:rPr>
                <w:rFonts w:ascii="Arial Narrow" w:hAnsi="Arial Narrow"/>
                <w:sz w:val="20"/>
                <w:szCs w:val="20"/>
              </w:rPr>
            </w:pPr>
          </w:p>
        </w:tc>
        <w:tc>
          <w:tcPr>
            <w:tcW w:w="1275" w:type="pct"/>
            <w:tcBorders>
              <w:left w:val="nil"/>
              <w:right w:val="nil"/>
            </w:tcBorders>
            <w:shd w:val="clear" w:color="auto" w:fill="F2F2F2" w:themeFill="background1" w:themeFillShade="F2"/>
          </w:tcPr>
          <w:p w14:paraId="1D3DC4D3" w14:textId="77777777" w:rsidR="00ED6D7E" w:rsidRPr="00993E7F" w:rsidRDefault="00ED6D7E" w:rsidP="00BB2456">
            <w:pPr>
              <w:spacing w:before="40" w:after="40" w:line="240" w:lineRule="auto"/>
              <w:jc w:val="left"/>
              <w:rPr>
                <w:rFonts w:ascii="Arial Narrow" w:hAnsi="Arial Narrow"/>
                <w:sz w:val="20"/>
                <w:szCs w:val="20"/>
              </w:rPr>
            </w:pPr>
          </w:p>
        </w:tc>
        <w:tc>
          <w:tcPr>
            <w:tcW w:w="1080" w:type="pct"/>
            <w:tcBorders>
              <w:left w:val="nil"/>
            </w:tcBorders>
            <w:shd w:val="clear" w:color="auto" w:fill="F2F2F2" w:themeFill="background1" w:themeFillShade="F2"/>
          </w:tcPr>
          <w:p w14:paraId="65B48201" w14:textId="77777777" w:rsidR="00ED6D7E" w:rsidRPr="00993E7F" w:rsidRDefault="00ED6D7E" w:rsidP="00BB2456">
            <w:pPr>
              <w:spacing w:before="40" w:after="40" w:line="240" w:lineRule="auto"/>
              <w:jc w:val="left"/>
              <w:rPr>
                <w:rFonts w:ascii="Arial Narrow" w:hAnsi="Arial Narrow"/>
                <w:sz w:val="20"/>
                <w:szCs w:val="20"/>
              </w:rPr>
            </w:pPr>
          </w:p>
        </w:tc>
      </w:tr>
      <w:tr w:rsidR="00ED6D7E" w:rsidRPr="00993E7F" w14:paraId="3F6512DD" w14:textId="77777777" w:rsidTr="00BB2456">
        <w:tc>
          <w:tcPr>
            <w:tcW w:w="1455" w:type="pct"/>
          </w:tcPr>
          <w:p w14:paraId="7E1679CB" w14:textId="3DA5D9F9" w:rsidR="00ED6D7E" w:rsidRPr="00993E7F" w:rsidRDefault="00ED6D7E" w:rsidP="004E4B50">
            <w:pPr>
              <w:spacing w:before="40" w:after="40" w:line="240" w:lineRule="auto"/>
              <w:jc w:val="left"/>
              <w:rPr>
                <w:rFonts w:ascii="Arial Narrow" w:hAnsi="Arial Narrow"/>
                <w:sz w:val="20"/>
                <w:szCs w:val="20"/>
              </w:rPr>
            </w:pPr>
            <w:r w:rsidRPr="00993E7F">
              <w:rPr>
                <w:rFonts w:ascii="Arial Narrow" w:hAnsi="Arial Narrow"/>
                <w:sz w:val="20"/>
                <w:szCs w:val="20"/>
              </w:rPr>
              <w:t xml:space="preserve">Cost per </w:t>
            </w:r>
            <w:r w:rsidR="004E4B50">
              <w:rPr>
                <w:rFonts w:ascii="Arial Narrow" w:hAnsi="Arial Narrow"/>
                <w:sz w:val="20"/>
                <w:szCs w:val="20"/>
              </w:rPr>
              <w:t>pregnancy</w:t>
            </w:r>
          </w:p>
        </w:tc>
        <w:tc>
          <w:tcPr>
            <w:tcW w:w="1190" w:type="pct"/>
          </w:tcPr>
          <w:p w14:paraId="3F4B6718"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r w:rsidRPr="00993E7F">
              <w:rPr>
                <w:rFonts w:ascii="Arial Narrow" w:hAnsi="Arial Narrow"/>
                <w:sz w:val="20"/>
                <w:szCs w:val="20"/>
              </w:rPr>
              <w:t>$4,524.55</w:t>
            </w:r>
          </w:p>
        </w:tc>
        <w:tc>
          <w:tcPr>
            <w:tcW w:w="1275" w:type="pct"/>
          </w:tcPr>
          <w:p w14:paraId="4ABED16B"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r w:rsidRPr="00993E7F">
              <w:rPr>
                <w:rFonts w:ascii="Arial Narrow" w:hAnsi="Arial Narrow"/>
                <w:sz w:val="20"/>
                <w:szCs w:val="20"/>
              </w:rPr>
              <w:t>$4071.61</w:t>
            </w:r>
          </w:p>
        </w:tc>
        <w:tc>
          <w:tcPr>
            <w:tcW w:w="1080" w:type="pct"/>
          </w:tcPr>
          <w:p w14:paraId="1574DD93" w14:textId="77777777" w:rsidR="00ED6D7E" w:rsidRPr="00993E7F" w:rsidRDefault="00ED6D7E" w:rsidP="004566DC">
            <w:pPr>
              <w:tabs>
                <w:tab w:val="decimal" w:pos="1280"/>
              </w:tabs>
              <w:spacing w:after="0" w:line="240" w:lineRule="auto"/>
              <w:jc w:val="left"/>
              <w:rPr>
                <w:rFonts w:ascii="Arial Narrow" w:eastAsia="Times New Roman" w:hAnsi="Arial Narrow" w:cs="Times New Roman"/>
                <w:color w:val="000000"/>
                <w:sz w:val="20"/>
                <w:szCs w:val="20"/>
                <w:lang w:eastAsia="en-AU"/>
              </w:rPr>
            </w:pPr>
            <w:r w:rsidRPr="00993E7F">
              <w:rPr>
                <w:rFonts w:ascii="Arial Narrow" w:hAnsi="Arial Narrow"/>
                <w:color w:val="000000"/>
                <w:sz w:val="20"/>
                <w:szCs w:val="20"/>
              </w:rPr>
              <w:t>$452.94</w:t>
            </w:r>
          </w:p>
        </w:tc>
      </w:tr>
      <w:tr w:rsidR="00ED6D7E" w:rsidRPr="00993E7F" w14:paraId="71853174" w14:textId="77777777" w:rsidTr="00BB2456">
        <w:tc>
          <w:tcPr>
            <w:tcW w:w="1455" w:type="pct"/>
            <w:tcBorders>
              <w:right w:val="nil"/>
            </w:tcBorders>
            <w:shd w:val="clear" w:color="auto" w:fill="F2F2F2" w:themeFill="background1" w:themeFillShade="F2"/>
          </w:tcPr>
          <w:p w14:paraId="3DAB8D53" w14:textId="48D35661" w:rsidR="00ED6D7E" w:rsidRPr="00993E7F" w:rsidRDefault="00ED6D7E" w:rsidP="00BB2456">
            <w:pPr>
              <w:spacing w:before="40" w:after="40" w:line="240" w:lineRule="auto"/>
              <w:jc w:val="left"/>
              <w:rPr>
                <w:rFonts w:ascii="Arial Narrow" w:hAnsi="Arial Narrow"/>
                <w:sz w:val="20"/>
                <w:szCs w:val="20"/>
              </w:rPr>
            </w:pPr>
            <w:r w:rsidRPr="00993E7F">
              <w:rPr>
                <w:rFonts w:ascii="Arial Narrow" w:hAnsi="Arial Narrow"/>
                <w:sz w:val="20"/>
                <w:szCs w:val="20"/>
              </w:rPr>
              <w:t>Model 2</w:t>
            </w:r>
            <w:r w:rsidR="00B677DE">
              <w:rPr>
                <w:rFonts w:ascii="Arial Narrow" w:hAnsi="Arial Narrow"/>
                <w:sz w:val="20"/>
                <w:szCs w:val="20"/>
              </w:rPr>
              <w:t xml:space="preserve"> </w:t>
            </w:r>
            <w:r w:rsidR="00B677DE" w:rsidRPr="00517F92">
              <w:rPr>
                <w:rFonts w:ascii="Arial Narrow" w:hAnsi="Arial Narrow"/>
                <w:i/>
                <w:sz w:val="20"/>
                <w:szCs w:val="20"/>
              </w:rPr>
              <w:t>(Fetus has FEB)</w:t>
            </w:r>
          </w:p>
        </w:tc>
        <w:tc>
          <w:tcPr>
            <w:tcW w:w="1190" w:type="pct"/>
            <w:tcBorders>
              <w:left w:val="nil"/>
              <w:right w:val="nil"/>
            </w:tcBorders>
            <w:shd w:val="clear" w:color="auto" w:fill="F2F2F2" w:themeFill="background1" w:themeFillShade="F2"/>
          </w:tcPr>
          <w:p w14:paraId="79597FB1"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p>
        </w:tc>
        <w:tc>
          <w:tcPr>
            <w:tcW w:w="1275" w:type="pct"/>
            <w:tcBorders>
              <w:left w:val="nil"/>
              <w:right w:val="nil"/>
            </w:tcBorders>
            <w:shd w:val="clear" w:color="auto" w:fill="F2F2F2" w:themeFill="background1" w:themeFillShade="F2"/>
          </w:tcPr>
          <w:p w14:paraId="7984A1A2"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p>
        </w:tc>
        <w:tc>
          <w:tcPr>
            <w:tcW w:w="1080" w:type="pct"/>
            <w:tcBorders>
              <w:left w:val="nil"/>
            </w:tcBorders>
            <w:shd w:val="clear" w:color="auto" w:fill="F2F2F2" w:themeFill="background1" w:themeFillShade="F2"/>
          </w:tcPr>
          <w:p w14:paraId="7039B943"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p>
        </w:tc>
      </w:tr>
      <w:tr w:rsidR="00ED6D7E" w:rsidRPr="00993E7F" w14:paraId="2AB5A198" w14:textId="77777777" w:rsidTr="00BB2456">
        <w:tc>
          <w:tcPr>
            <w:tcW w:w="1455" w:type="pct"/>
          </w:tcPr>
          <w:p w14:paraId="1DC7218F" w14:textId="24741DF1" w:rsidR="00ED6D7E" w:rsidRPr="00993E7F" w:rsidRDefault="004E4B50" w:rsidP="00BB2456">
            <w:pPr>
              <w:spacing w:before="40" w:after="40" w:line="240" w:lineRule="auto"/>
              <w:jc w:val="left"/>
              <w:rPr>
                <w:rFonts w:ascii="Arial Narrow" w:hAnsi="Arial Narrow"/>
                <w:sz w:val="20"/>
                <w:szCs w:val="20"/>
              </w:rPr>
            </w:pPr>
            <w:r w:rsidRPr="00993E7F">
              <w:rPr>
                <w:rFonts w:ascii="Arial Narrow" w:hAnsi="Arial Narrow"/>
                <w:sz w:val="20"/>
                <w:szCs w:val="20"/>
              </w:rPr>
              <w:t xml:space="preserve">Cost per </w:t>
            </w:r>
            <w:r>
              <w:rPr>
                <w:rFonts w:ascii="Arial Narrow" w:hAnsi="Arial Narrow"/>
                <w:sz w:val="20"/>
                <w:szCs w:val="20"/>
              </w:rPr>
              <w:t>pregnancy</w:t>
            </w:r>
          </w:p>
        </w:tc>
        <w:tc>
          <w:tcPr>
            <w:tcW w:w="1190" w:type="pct"/>
          </w:tcPr>
          <w:p w14:paraId="7B5F2C82"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r w:rsidRPr="00993E7F">
              <w:rPr>
                <w:rFonts w:ascii="Arial Narrow" w:hAnsi="Arial Narrow"/>
                <w:sz w:val="20"/>
                <w:szCs w:val="20"/>
              </w:rPr>
              <w:t>$4,439.</w:t>
            </w:r>
            <w:r w:rsidR="002B5BD6">
              <w:rPr>
                <w:rFonts w:ascii="Arial Narrow" w:hAnsi="Arial Narrow"/>
                <w:sz w:val="20"/>
                <w:szCs w:val="20"/>
              </w:rPr>
              <w:t>82</w:t>
            </w:r>
          </w:p>
        </w:tc>
        <w:tc>
          <w:tcPr>
            <w:tcW w:w="1275" w:type="pct"/>
          </w:tcPr>
          <w:p w14:paraId="0D3B74F6" w14:textId="77777777" w:rsidR="00ED6D7E" w:rsidRPr="00993E7F" w:rsidRDefault="00ED6D7E" w:rsidP="004566DC">
            <w:pPr>
              <w:tabs>
                <w:tab w:val="decimal" w:pos="1280"/>
              </w:tabs>
              <w:spacing w:before="40" w:after="40" w:line="240" w:lineRule="auto"/>
              <w:jc w:val="left"/>
              <w:rPr>
                <w:rFonts w:ascii="Arial Narrow" w:eastAsia="Times New Roman" w:hAnsi="Arial Narrow"/>
                <w:sz w:val="20"/>
                <w:szCs w:val="20"/>
                <w:lang w:eastAsia="en-AU"/>
              </w:rPr>
            </w:pPr>
            <w:r w:rsidRPr="00993E7F">
              <w:rPr>
                <w:rFonts w:ascii="Arial Narrow" w:hAnsi="Arial Narrow"/>
                <w:sz w:val="20"/>
                <w:szCs w:val="20"/>
              </w:rPr>
              <w:t>$3,866.92</w:t>
            </w:r>
          </w:p>
        </w:tc>
        <w:tc>
          <w:tcPr>
            <w:tcW w:w="1080" w:type="pct"/>
          </w:tcPr>
          <w:p w14:paraId="3D02AD0D" w14:textId="77777777" w:rsidR="00ED6D7E" w:rsidRPr="00993E7F" w:rsidRDefault="002B5BD6" w:rsidP="004566DC">
            <w:pPr>
              <w:tabs>
                <w:tab w:val="decimal" w:pos="1280"/>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$572.90</w:t>
            </w:r>
          </w:p>
        </w:tc>
      </w:tr>
    </w:tbl>
    <w:p w14:paraId="5BFD0845" w14:textId="78EC78AD" w:rsidR="00ED6D7E" w:rsidRDefault="00B677DE" w:rsidP="00ED6D7E">
      <w:pPr>
        <w:pStyle w:val="Tablenotes0"/>
      </w:pPr>
      <w:r w:rsidRPr="004476DC">
        <w:t>FEB = fetal echogenic bowel;</w:t>
      </w:r>
      <w:r>
        <w:t xml:space="preserve"> </w:t>
      </w:r>
      <w:r w:rsidR="00ED6D7E">
        <w:t>CF = cystic fibrosis</w:t>
      </w:r>
    </w:p>
    <w:p w14:paraId="153327E5" w14:textId="77777777" w:rsidR="00ED6D7E" w:rsidRDefault="00ED6D7E" w:rsidP="00ED6D7E">
      <w:pPr>
        <w:pStyle w:val="Caption"/>
      </w:pPr>
      <w:bookmarkStart w:id="618" w:name="_Toc418179503"/>
      <w:r>
        <w:t xml:space="preserve">Table </w:t>
      </w:r>
      <w:fldSimple w:instr=" SEQ Table \* ARABIC ">
        <w:r w:rsidR="00BB0E3E">
          <w:rPr>
            <w:noProof/>
          </w:rPr>
          <w:t>106</w:t>
        </w:r>
      </w:fldSimple>
      <w:r>
        <w:rPr>
          <w:noProof/>
        </w:rPr>
        <w:tab/>
        <w:t>ICER, additional scenario 1</w:t>
      </w:r>
      <w:bookmarkEnd w:id="618"/>
    </w:p>
    <w:tbl>
      <w:tblPr>
        <w:tblStyle w:val="TableGrid9"/>
        <w:tblW w:w="5000" w:type="pct"/>
        <w:tblLook w:val="04A0" w:firstRow="1" w:lastRow="0" w:firstColumn="1" w:lastColumn="0" w:noHBand="0" w:noVBand="1"/>
        <w:tblCaption w:val="ICER, additional scenario 1"/>
        <w:tblDescription w:val="ICER, additional scenario 1"/>
      </w:tblPr>
      <w:tblGrid>
        <w:gridCol w:w="4190"/>
        <w:gridCol w:w="2163"/>
        <w:gridCol w:w="2889"/>
      </w:tblGrid>
      <w:tr w:rsidR="00ED6D7E" w:rsidRPr="00517F92" w14:paraId="6988A912" w14:textId="77777777" w:rsidTr="007C1FC6">
        <w:trPr>
          <w:tblHeader/>
        </w:trPr>
        <w:tc>
          <w:tcPr>
            <w:tcW w:w="2267" w:type="pct"/>
          </w:tcPr>
          <w:p w14:paraId="668E3416" w14:textId="77777777" w:rsidR="00ED6D7E" w:rsidRPr="00517F92" w:rsidRDefault="00ED6D7E" w:rsidP="00BB2456">
            <w:pPr>
              <w:pStyle w:val="TableHeading"/>
              <w:jc w:val="left"/>
            </w:pPr>
            <w:r w:rsidRPr="00517F92">
              <w:t>Clinically relevant outcomes</w:t>
            </w:r>
          </w:p>
        </w:tc>
        <w:tc>
          <w:tcPr>
            <w:tcW w:w="1170" w:type="pct"/>
            <w:tcBorders>
              <w:bottom w:val="single" w:sz="4" w:space="0" w:color="auto"/>
            </w:tcBorders>
          </w:tcPr>
          <w:p w14:paraId="2678A0B0" w14:textId="79251D41" w:rsidR="00ED6D7E" w:rsidRPr="00517F92" w:rsidRDefault="00ED6D7E" w:rsidP="004566DC">
            <w:pPr>
              <w:pStyle w:val="TableHeading"/>
              <w:jc w:val="center"/>
              <w:rPr>
                <w:rFonts w:eastAsia="Times New Roman"/>
                <w:lang w:eastAsia="en-AU"/>
              </w:rPr>
            </w:pPr>
            <w:r w:rsidRPr="00517F92">
              <w:t>Incremental outcomes</w:t>
            </w:r>
            <w:r w:rsidR="002B598F">
              <w:rPr>
                <w:rFonts w:eastAsia="Times New Roman"/>
                <w:lang w:eastAsia="en-AU"/>
              </w:rPr>
              <w:br/>
            </w:r>
            <w:r w:rsidRPr="00517F92">
              <w:t>(per</w:t>
            </w:r>
            <w:r w:rsidR="00B677DE">
              <w:t xml:space="preserve"> </w:t>
            </w:r>
            <w:r w:rsidRPr="00517F92">
              <w:t>100 pregnancies)</w:t>
            </w:r>
          </w:p>
        </w:tc>
        <w:tc>
          <w:tcPr>
            <w:tcW w:w="1563" w:type="pct"/>
            <w:tcBorders>
              <w:bottom w:val="single" w:sz="4" w:space="0" w:color="auto"/>
            </w:tcBorders>
          </w:tcPr>
          <w:p w14:paraId="7CB93DE6" w14:textId="737682BF" w:rsidR="00ED6D7E" w:rsidRPr="00517F92" w:rsidRDefault="00ED6D7E" w:rsidP="004566DC">
            <w:pPr>
              <w:pStyle w:val="TableHeading"/>
              <w:jc w:val="center"/>
              <w:rPr>
                <w:rFonts w:eastAsia="Times New Roman"/>
                <w:lang w:eastAsia="en-AU"/>
              </w:rPr>
            </w:pPr>
            <w:r w:rsidRPr="00517F92">
              <w:t>ICER ($/</w:t>
            </w:r>
            <w:r w:rsidR="0002384F" w:rsidRPr="00517F92">
              <w:t>outcome</w:t>
            </w:r>
            <w:r w:rsidRPr="00517F92">
              <w:t>)</w:t>
            </w:r>
          </w:p>
        </w:tc>
      </w:tr>
      <w:tr w:rsidR="00ED6D7E" w:rsidRPr="00517F92" w14:paraId="51239D72" w14:textId="77777777" w:rsidTr="00BB2456">
        <w:tc>
          <w:tcPr>
            <w:tcW w:w="2267" w:type="pct"/>
            <w:tcBorders>
              <w:right w:val="single" w:sz="4" w:space="0" w:color="auto"/>
            </w:tcBorders>
          </w:tcPr>
          <w:p w14:paraId="3ACB15F2" w14:textId="1FE03B5B"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Modelled population 1 (</w:t>
            </w:r>
            <w:r w:rsidR="0002384F">
              <w:rPr>
                <w:rFonts w:ascii="Arial Narrow" w:hAnsi="Arial Narrow"/>
                <w:i/>
                <w:sz w:val="20"/>
                <w:szCs w:val="20"/>
              </w:rPr>
              <w:t>P</w:t>
            </w:r>
            <w:r w:rsidRPr="00517F92">
              <w:rPr>
                <w:rFonts w:ascii="Arial Narrow" w:hAnsi="Arial Narrow"/>
                <w:i/>
                <w:sz w:val="20"/>
                <w:szCs w:val="20"/>
              </w:rPr>
              <w:t xml:space="preserve">arents </w:t>
            </w:r>
            <w:r>
              <w:rPr>
                <w:rFonts w:ascii="Arial Narrow" w:hAnsi="Arial Narrow"/>
                <w:i/>
                <w:sz w:val="20"/>
                <w:szCs w:val="20"/>
              </w:rPr>
              <w:t xml:space="preserve">are </w:t>
            </w:r>
            <w:r w:rsidRPr="00517F92">
              <w:rPr>
                <w:rFonts w:ascii="Arial Narrow" w:hAnsi="Arial Narrow"/>
                <w:i/>
                <w:sz w:val="20"/>
                <w:szCs w:val="20"/>
              </w:rPr>
              <w:t xml:space="preserve">known </w:t>
            </w:r>
            <w:r>
              <w:rPr>
                <w:rFonts w:ascii="Arial Narrow" w:hAnsi="Arial Narrow"/>
                <w:i/>
                <w:sz w:val="20"/>
                <w:szCs w:val="20"/>
              </w:rPr>
              <w:t xml:space="preserve">CF </w:t>
            </w:r>
            <w:r w:rsidRPr="00517F92">
              <w:rPr>
                <w:rFonts w:ascii="Arial Narrow" w:hAnsi="Arial Narrow"/>
                <w:i/>
                <w:sz w:val="20"/>
                <w:szCs w:val="20"/>
              </w:rPr>
              <w:t>carriers)</w:t>
            </w:r>
          </w:p>
        </w:tc>
        <w:tc>
          <w:tcPr>
            <w:tcW w:w="1170" w:type="pct"/>
            <w:tcBorders>
              <w:left w:val="single" w:sz="4" w:space="0" w:color="auto"/>
              <w:right w:val="nil"/>
            </w:tcBorders>
          </w:tcPr>
          <w:p w14:paraId="1C15A8CD" w14:textId="339C0BBB" w:rsidR="00ED6D7E" w:rsidRPr="00517F92" w:rsidRDefault="00ED6D7E" w:rsidP="00BB2456">
            <w:pPr>
              <w:spacing w:before="40" w:after="40" w:line="240" w:lineRule="auto"/>
              <w:jc w:val="left"/>
              <w:rPr>
                <w:rFonts w:ascii="Arial Narrow" w:hAnsi="Arial Narrow"/>
                <w:i/>
                <w:sz w:val="20"/>
                <w:szCs w:val="20"/>
              </w:rPr>
            </w:pPr>
            <w:r>
              <w:rPr>
                <w:rFonts w:ascii="Arial Narrow" w:hAnsi="Arial Narrow"/>
                <w:i/>
                <w:sz w:val="20"/>
                <w:szCs w:val="20"/>
              </w:rPr>
              <w:t>Incremental cost: $</w:t>
            </w:r>
            <w:r w:rsidR="004E4B50">
              <w:rPr>
                <w:rFonts w:ascii="Arial Narrow" w:hAnsi="Arial Narrow"/>
                <w:i/>
                <w:sz w:val="20"/>
                <w:szCs w:val="20"/>
              </w:rPr>
              <w:t>45,294</w:t>
            </w:r>
          </w:p>
        </w:tc>
        <w:tc>
          <w:tcPr>
            <w:tcW w:w="1563" w:type="pct"/>
            <w:tcBorders>
              <w:left w:val="nil"/>
            </w:tcBorders>
          </w:tcPr>
          <w:p w14:paraId="05F989AE"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1C748BD7" w14:textId="77777777" w:rsidTr="00BB2456">
        <w:tc>
          <w:tcPr>
            <w:tcW w:w="2267" w:type="pct"/>
          </w:tcPr>
          <w:p w14:paraId="5E5BF1F5" w14:textId="77777777"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170" w:type="pct"/>
          </w:tcPr>
          <w:p w14:paraId="085E3227"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24.94</w:t>
            </w:r>
          </w:p>
        </w:tc>
        <w:tc>
          <w:tcPr>
            <w:tcW w:w="1563" w:type="pct"/>
          </w:tcPr>
          <w:p w14:paraId="20B6B618" w14:textId="77777777" w:rsidR="00ED6D7E" w:rsidRDefault="00ED6D7E" w:rsidP="004476DC">
            <w:pPr>
              <w:spacing w:before="40" w:after="40" w:line="240" w:lineRule="auto"/>
              <w:jc w:val="right"/>
              <w:rPr>
                <w:rFonts w:ascii="Arial Narrow" w:hAnsi="Arial Narrow"/>
                <w:sz w:val="20"/>
                <w:szCs w:val="20"/>
              </w:rPr>
            </w:pPr>
            <w:r>
              <w:rPr>
                <w:rFonts w:ascii="Arial Narrow" w:hAnsi="Arial Narrow"/>
                <w:sz w:val="20"/>
                <w:szCs w:val="20"/>
              </w:rPr>
              <w:t>$1,816 / prenatal CF detected</w:t>
            </w:r>
          </w:p>
        </w:tc>
      </w:tr>
      <w:tr w:rsidR="00ED6D7E" w:rsidRPr="00FC4A03" w14:paraId="6172DC32" w14:textId="77777777" w:rsidTr="00BB2456">
        <w:tc>
          <w:tcPr>
            <w:tcW w:w="2267" w:type="pct"/>
          </w:tcPr>
          <w:p w14:paraId="3E2577C5" w14:textId="154895C3"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lastRenderedPageBreak/>
              <w:t>CF birth</w:t>
            </w:r>
            <w:r w:rsidR="0002384F">
              <w:rPr>
                <w:rFonts w:ascii="Arial Narrow" w:hAnsi="Arial Narrow"/>
                <w:sz w:val="20"/>
                <w:szCs w:val="20"/>
              </w:rPr>
              <w:t>s</w:t>
            </w:r>
            <w:r>
              <w:rPr>
                <w:rFonts w:ascii="Arial Narrow" w:hAnsi="Arial Narrow"/>
                <w:sz w:val="20"/>
                <w:szCs w:val="20"/>
              </w:rPr>
              <w:t xml:space="preserve"> averted</w:t>
            </w:r>
          </w:p>
        </w:tc>
        <w:tc>
          <w:tcPr>
            <w:tcW w:w="1170" w:type="pct"/>
          </w:tcPr>
          <w:p w14:paraId="3E70910A"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23.72</w:t>
            </w:r>
          </w:p>
        </w:tc>
        <w:tc>
          <w:tcPr>
            <w:tcW w:w="1563" w:type="pct"/>
          </w:tcPr>
          <w:p w14:paraId="7F79099E" w14:textId="77777777" w:rsidR="00ED6D7E" w:rsidRDefault="00ED6D7E" w:rsidP="004476DC">
            <w:pPr>
              <w:spacing w:before="40" w:after="40" w:line="240" w:lineRule="auto"/>
              <w:jc w:val="right"/>
              <w:rPr>
                <w:rFonts w:ascii="Arial Narrow" w:hAnsi="Arial Narrow"/>
                <w:sz w:val="20"/>
                <w:szCs w:val="20"/>
              </w:rPr>
            </w:pPr>
            <w:r>
              <w:rPr>
                <w:rFonts w:ascii="Arial Narrow" w:hAnsi="Arial Narrow"/>
                <w:sz w:val="20"/>
                <w:szCs w:val="20"/>
              </w:rPr>
              <w:t>$1,910 / CF birth averted</w:t>
            </w:r>
          </w:p>
        </w:tc>
      </w:tr>
      <w:tr w:rsidR="00ED6D7E" w:rsidRPr="00FC4A03" w14:paraId="412CC92B" w14:textId="77777777" w:rsidTr="00BB2456">
        <w:tc>
          <w:tcPr>
            <w:tcW w:w="2267" w:type="pct"/>
          </w:tcPr>
          <w:p w14:paraId="0E76564A" w14:textId="7851C562"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D822F5">
              <w:rPr>
                <w:rFonts w:ascii="Arial Narrow" w:hAnsi="Arial Narrow"/>
                <w:sz w:val="20"/>
                <w:szCs w:val="20"/>
              </w:rPr>
              <w:t>i</w:t>
            </w:r>
            <w:r>
              <w:rPr>
                <w:rFonts w:ascii="Arial Narrow" w:hAnsi="Arial Narrow"/>
                <w:sz w:val="20"/>
                <w:szCs w:val="20"/>
              </w:rPr>
              <w:t>nformed CF birth</w:t>
            </w:r>
          </w:p>
        </w:tc>
        <w:tc>
          <w:tcPr>
            <w:tcW w:w="1170" w:type="pct"/>
            <w:tcBorders>
              <w:bottom w:val="single" w:sz="4" w:space="0" w:color="auto"/>
            </w:tcBorders>
          </w:tcPr>
          <w:p w14:paraId="6CD90C7A"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1.23</w:t>
            </w:r>
          </w:p>
        </w:tc>
        <w:tc>
          <w:tcPr>
            <w:tcW w:w="1563" w:type="pct"/>
            <w:tcBorders>
              <w:bottom w:val="single" w:sz="4" w:space="0" w:color="auto"/>
            </w:tcBorders>
          </w:tcPr>
          <w:p w14:paraId="5DC09BFB" w14:textId="77777777" w:rsidR="00ED6D7E" w:rsidRDefault="00ED6D7E" w:rsidP="004476DC">
            <w:pPr>
              <w:spacing w:before="40" w:after="40" w:line="240" w:lineRule="auto"/>
              <w:jc w:val="right"/>
              <w:rPr>
                <w:rFonts w:ascii="Arial Narrow" w:hAnsi="Arial Narrow"/>
                <w:sz w:val="20"/>
                <w:szCs w:val="20"/>
              </w:rPr>
            </w:pPr>
            <w:r>
              <w:rPr>
                <w:rFonts w:ascii="Arial Narrow" w:hAnsi="Arial Narrow"/>
                <w:sz w:val="20"/>
                <w:szCs w:val="20"/>
              </w:rPr>
              <w:t>$36,884 / pre-informed CF birth</w:t>
            </w:r>
          </w:p>
        </w:tc>
      </w:tr>
      <w:tr w:rsidR="00ED6D7E" w:rsidRPr="00517F92" w14:paraId="43B498F7" w14:textId="77777777" w:rsidTr="00BB2456">
        <w:tc>
          <w:tcPr>
            <w:tcW w:w="2267" w:type="pct"/>
            <w:tcBorders>
              <w:right w:val="single" w:sz="4" w:space="0" w:color="auto"/>
            </w:tcBorders>
          </w:tcPr>
          <w:p w14:paraId="6E2E606B" w14:textId="77777777"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Modelled population 2 (Fetus has FEB)</w:t>
            </w:r>
          </w:p>
        </w:tc>
        <w:tc>
          <w:tcPr>
            <w:tcW w:w="1170" w:type="pct"/>
            <w:tcBorders>
              <w:left w:val="single" w:sz="4" w:space="0" w:color="auto"/>
              <w:right w:val="nil"/>
            </w:tcBorders>
          </w:tcPr>
          <w:p w14:paraId="0435D4FF" w14:textId="5C0F78E2"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Incremental cost: $5</w:t>
            </w:r>
            <w:r w:rsidR="004476DC">
              <w:rPr>
                <w:rFonts w:ascii="Arial Narrow" w:hAnsi="Arial Narrow"/>
                <w:i/>
                <w:sz w:val="20"/>
                <w:szCs w:val="20"/>
              </w:rPr>
              <w:t>7,290</w:t>
            </w:r>
          </w:p>
        </w:tc>
        <w:tc>
          <w:tcPr>
            <w:tcW w:w="1563" w:type="pct"/>
            <w:tcBorders>
              <w:left w:val="nil"/>
            </w:tcBorders>
          </w:tcPr>
          <w:p w14:paraId="2038F250"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0C026B9F" w14:textId="77777777" w:rsidTr="00BB2456">
        <w:tc>
          <w:tcPr>
            <w:tcW w:w="2267" w:type="pct"/>
          </w:tcPr>
          <w:p w14:paraId="025D1486" w14:textId="77777777"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170" w:type="pct"/>
          </w:tcPr>
          <w:p w14:paraId="47E91585"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3.74</w:t>
            </w:r>
          </w:p>
        </w:tc>
        <w:tc>
          <w:tcPr>
            <w:tcW w:w="1563" w:type="pct"/>
          </w:tcPr>
          <w:p w14:paraId="53EB7C0A" w14:textId="77777777" w:rsidR="00ED6D7E" w:rsidRDefault="00ED6D7E" w:rsidP="004476DC">
            <w:pPr>
              <w:spacing w:before="40" w:after="40" w:line="240" w:lineRule="auto"/>
              <w:jc w:val="right"/>
              <w:rPr>
                <w:rFonts w:ascii="Arial Narrow" w:hAnsi="Arial Narrow"/>
                <w:sz w:val="20"/>
                <w:szCs w:val="20"/>
              </w:rPr>
            </w:pPr>
            <w:r w:rsidRPr="00E85BFA">
              <w:rPr>
                <w:rFonts w:ascii="Arial Narrow" w:hAnsi="Arial Narrow"/>
                <w:sz w:val="20"/>
                <w:szCs w:val="20"/>
              </w:rPr>
              <w:t>$15,</w:t>
            </w:r>
            <w:r w:rsidR="002B5BD6">
              <w:rPr>
                <w:rFonts w:ascii="Arial Narrow" w:hAnsi="Arial Narrow"/>
                <w:sz w:val="20"/>
                <w:szCs w:val="20"/>
              </w:rPr>
              <w:t>33</w:t>
            </w:r>
            <w:r w:rsidR="00E24207">
              <w:rPr>
                <w:rFonts w:ascii="Arial Narrow" w:hAnsi="Arial Narrow"/>
                <w:sz w:val="20"/>
                <w:szCs w:val="20"/>
              </w:rPr>
              <w:t>1</w:t>
            </w:r>
            <w:r>
              <w:rPr>
                <w:rFonts w:ascii="Arial Narrow" w:hAnsi="Arial Narrow"/>
                <w:sz w:val="20"/>
                <w:szCs w:val="20"/>
              </w:rPr>
              <w:t xml:space="preserve"> / prenatal CF detected</w:t>
            </w:r>
          </w:p>
        </w:tc>
      </w:tr>
      <w:tr w:rsidR="00ED6D7E" w:rsidRPr="00FC4A03" w14:paraId="4841D1E4" w14:textId="77777777" w:rsidTr="00BB2456">
        <w:tc>
          <w:tcPr>
            <w:tcW w:w="2267" w:type="pct"/>
          </w:tcPr>
          <w:p w14:paraId="53E75A06" w14:textId="4ECC78F1"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CF birth</w:t>
            </w:r>
            <w:r w:rsidR="0002384F">
              <w:rPr>
                <w:rFonts w:ascii="Arial Narrow" w:hAnsi="Arial Narrow"/>
                <w:sz w:val="20"/>
                <w:szCs w:val="20"/>
              </w:rPr>
              <w:t>s</w:t>
            </w:r>
            <w:r>
              <w:rPr>
                <w:rFonts w:ascii="Arial Narrow" w:hAnsi="Arial Narrow"/>
                <w:sz w:val="20"/>
                <w:szCs w:val="20"/>
              </w:rPr>
              <w:t xml:space="preserve"> averted</w:t>
            </w:r>
          </w:p>
        </w:tc>
        <w:tc>
          <w:tcPr>
            <w:tcW w:w="1170" w:type="pct"/>
          </w:tcPr>
          <w:p w14:paraId="6D7578E9"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2.44</w:t>
            </w:r>
          </w:p>
        </w:tc>
        <w:tc>
          <w:tcPr>
            <w:tcW w:w="1563" w:type="pct"/>
          </w:tcPr>
          <w:p w14:paraId="4EAC6F97" w14:textId="124362DF" w:rsidR="00ED6D7E" w:rsidRDefault="00ED6D7E" w:rsidP="004476DC">
            <w:pPr>
              <w:spacing w:before="40" w:after="40" w:line="240" w:lineRule="auto"/>
              <w:jc w:val="right"/>
              <w:rPr>
                <w:rFonts w:ascii="Arial Narrow" w:hAnsi="Arial Narrow"/>
                <w:sz w:val="20"/>
                <w:szCs w:val="20"/>
              </w:rPr>
            </w:pPr>
            <w:r w:rsidRPr="00E85BFA">
              <w:rPr>
                <w:rFonts w:ascii="Arial Narrow" w:hAnsi="Arial Narrow"/>
                <w:sz w:val="20"/>
                <w:szCs w:val="20"/>
              </w:rPr>
              <w:t>$23,</w:t>
            </w:r>
            <w:r w:rsidR="00F3091A">
              <w:rPr>
                <w:rFonts w:ascii="Arial Narrow" w:hAnsi="Arial Narrow"/>
                <w:sz w:val="20"/>
                <w:szCs w:val="20"/>
              </w:rPr>
              <w:t>480</w:t>
            </w:r>
            <w:r>
              <w:rPr>
                <w:rFonts w:ascii="Arial Narrow" w:hAnsi="Arial Narrow"/>
                <w:sz w:val="20"/>
                <w:szCs w:val="20"/>
              </w:rPr>
              <w:t xml:space="preserve"> / CF birth averted</w:t>
            </w:r>
          </w:p>
        </w:tc>
      </w:tr>
      <w:tr w:rsidR="00ED6D7E" w:rsidRPr="00FC4A03" w14:paraId="4A3EF7AE" w14:textId="77777777" w:rsidTr="00BB2456">
        <w:tc>
          <w:tcPr>
            <w:tcW w:w="2267" w:type="pct"/>
          </w:tcPr>
          <w:p w14:paraId="201DF019" w14:textId="740E2AB2"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D822F5">
              <w:rPr>
                <w:rFonts w:ascii="Arial Narrow" w:hAnsi="Arial Narrow"/>
                <w:sz w:val="20"/>
                <w:szCs w:val="20"/>
              </w:rPr>
              <w:t>i</w:t>
            </w:r>
            <w:r>
              <w:rPr>
                <w:rFonts w:ascii="Arial Narrow" w:hAnsi="Arial Narrow"/>
                <w:sz w:val="20"/>
                <w:szCs w:val="20"/>
              </w:rPr>
              <w:t>nformed CF birth</w:t>
            </w:r>
          </w:p>
        </w:tc>
        <w:tc>
          <w:tcPr>
            <w:tcW w:w="1170" w:type="pct"/>
          </w:tcPr>
          <w:p w14:paraId="3790A182" w14:textId="77777777" w:rsidR="00ED6D7E" w:rsidRDefault="00ED6D7E" w:rsidP="004566DC">
            <w:pPr>
              <w:spacing w:before="40" w:after="40" w:line="240" w:lineRule="auto"/>
              <w:ind w:right="467"/>
              <w:jc w:val="right"/>
              <w:rPr>
                <w:rFonts w:ascii="Arial Narrow" w:eastAsia="Times New Roman" w:hAnsi="Arial Narrow"/>
                <w:sz w:val="20"/>
                <w:szCs w:val="20"/>
                <w:lang w:eastAsia="en-AU"/>
              </w:rPr>
            </w:pPr>
            <w:r>
              <w:rPr>
                <w:rFonts w:ascii="Arial Narrow" w:hAnsi="Arial Narrow"/>
                <w:sz w:val="20"/>
                <w:szCs w:val="20"/>
              </w:rPr>
              <w:t>1.30</w:t>
            </w:r>
          </w:p>
        </w:tc>
        <w:tc>
          <w:tcPr>
            <w:tcW w:w="1563" w:type="pct"/>
          </w:tcPr>
          <w:p w14:paraId="4290DB6F" w14:textId="77777777" w:rsidR="00ED6D7E" w:rsidRDefault="00ED6D7E" w:rsidP="004476DC">
            <w:pPr>
              <w:spacing w:before="40" w:after="40" w:line="240" w:lineRule="auto"/>
              <w:jc w:val="right"/>
              <w:rPr>
                <w:rFonts w:ascii="Arial Narrow" w:hAnsi="Arial Narrow"/>
                <w:sz w:val="20"/>
                <w:szCs w:val="20"/>
              </w:rPr>
            </w:pPr>
            <w:r w:rsidRPr="00E85BFA">
              <w:rPr>
                <w:rFonts w:ascii="Arial Narrow" w:hAnsi="Arial Narrow"/>
                <w:sz w:val="20"/>
                <w:szCs w:val="20"/>
              </w:rPr>
              <w:t>$4</w:t>
            </w:r>
            <w:r>
              <w:rPr>
                <w:rFonts w:ascii="Arial Narrow" w:hAnsi="Arial Narrow"/>
                <w:sz w:val="20"/>
                <w:szCs w:val="20"/>
              </w:rPr>
              <w:t>4,</w:t>
            </w:r>
            <w:r w:rsidR="00E24207">
              <w:rPr>
                <w:rFonts w:ascii="Arial Narrow" w:hAnsi="Arial Narrow"/>
                <w:sz w:val="20"/>
                <w:szCs w:val="20"/>
              </w:rPr>
              <w:t>171</w:t>
            </w:r>
            <w:r>
              <w:rPr>
                <w:rFonts w:ascii="Arial Narrow" w:hAnsi="Arial Narrow"/>
                <w:sz w:val="20"/>
                <w:szCs w:val="20"/>
              </w:rPr>
              <w:t xml:space="preserve"> / pre-informed CF birth</w:t>
            </w:r>
          </w:p>
        </w:tc>
      </w:tr>
    </w:tbl>
    <w:p w14:paraId="6CB0BD8D" w14:textId="5E88F6A8" w:rsidR="00ED6D7E" w:rsidRDefault="00ED6D7E" w:rsidP="00ED6D7E">
      <w:pPr>
        <w:pStyle w:val="Tablenotes0"/>
      </w:pPr>
      <w:r>
        <w:t>CF = cystic fibrosis; FEB</w:t>
      </w:r>
      <w:r w:rsidR="0002384F">
        <w:t xml:space="preserve"> </w:t>
      </w:r>
      <w:r>
        <w:t>=</w:t>
      </w:r>
      <w:r w:rsidR="0002384F">
        <w:t xml:space="preserve"> </w:t>
      </w:r>
      <w:r>
        <w:t xml:space="preserve">fetal echogenic bowel; ICER = </w:t>
      </w:r>
      <w:r w:rsidR="0002384F">
        <w:rPr>
          <w:noProof/>
        </w:rPr>
        <w:t>i</w:t>
      </w:r>
      <w:r>
        <w:rPr>
          <w:noProof/>
        </w:rPr>
        <w:t>ncremental cost-effectiveness ratios</w:t>
      </w:r>
    </w:p>
    <w:p w14:paraId="5364C747" w14:textId="77777777" w:rsidR="00ED6D7E" w:rsidRDefault="00ED6D7E" w:rsidP="00ED6D7E"/>
    <w:p w14:paraId="5C3DCEC6" w14:textId="476B7EF2" w:rsidR="00ED6D7E" w:rsidRDefault="00ED6D7E" w:rsidP="00ED6D7E">
      <w:pPr>
        <w:pStyle w:val="Heading3"/>
      </w:pPr>
      <w:bookmarkStart w:id="619" w:name="_Toc418179987"/>
      <w:r>
        <w:t xml:space="preserve">Additional </w:t>
      </w:r>
      <w:r w:rsidR="00CB4D37">
        <w:t>s</w:t>
      </w:r>
      <w:r>
        <w:t>cenario 2: 23 mutations panel test</w:t>
      </w:r>
      <w:bookmarkEnd w:id="619"/>
    </w:p>
    <w:p w14:paraId="4A3275EB" w14:textId="77777777" w:rsidR="00ED6D7E" w:rsidRPr="00FC4A03" w:rsidRDefault="00ED6D7E" w:rsidP="00F57AF2">
      <w:pPr>
        <w:pStyle w:val="Caption"/>
      </w:pPr>
      <w:bookmarkStart w:id="620" w:name="_Toc418179504"/>
      <w:r w:rsidRPr="00FC4A03">
        <w:t xml:space="preserve">Table </w:t>
      </w:r>
      <w:fldSimple w:instr=" SEQ Table \* ARABIC ">
        <w:r w:rsidR="00BB0E3E">
          <w:rPr>
            <w:noProof/>
          </w:rPr>
          <w:t>107</w:t>
        </w:r>
      </w:fldSimple>
      <w:r w:rsidRPr="00FC4A03">
        <w:tab/>
        <w:t xml:space="preserve">Outcome </w:t>
      </w:r>
      <w:r>
        <w:t>and incremental effects (per 100 pregnancies) for</w:t>
      </w:r>
      <w:r w:rsidRPr="00FC4A03">
        <w:t xml:space="preserve"> </w:t>
      </w:r>
      <w:r w:rsidRPr="00611031">
        <w:t>additional scenario</w:t>
      </w:r>
      <w:r>
        <w:t xml:space="preserve"> 2</w:t>
      </w:r>
      <w:bookmarkEnd w:id="620"/>
    </w:p>
    <w:tbl>
      <w:tblPr>
        <w:tblStyle w:val="TableGrid9"/>
        <w:tblW w:w="0" w:type="auto"/>
        <w:tblLook w:val="04A0" w:firstRow="1" w:lastRow="0" w:firstColumn="1" w:lastColumn="0" w:noHBand="0" w:noVBand="1"/>
        <w:tblCaption w:val="Outcome and incremental effects (per 100 pregnancies) for additional scenario 2"/>
        <w:tblDescription w:val="Outcome and incremental effects (per 100 pregnancies) for additional scenario 2"/>
      </w:tblPr>
      <w:tblGrid>
        <w:gridCol w:w="3085"/>
        <w:gridCol w:w="1559"/>
        <w:gridCol w:w="1701"/>
        <w:gridCol w:w="1590"/>
        <w:gridCol w:w="1307"/>
      </w:tblGrid>
      <w:tr w:rsidR="004476DC" w:rsidRPr="00E020A8" w14:paraId="383A4E27" w14:textId="77777777" w:rsidTr="007C1FC6">
        <w:trPr>
          <w:tblHeader/>
        </w:trPr>
        <w:tc>
          <w:tcPr>
            <w:tcW w:w="3085" w:type="dxa"/>
            <w:tcBorders>
              <w:bottom w:val="single" w:sz="4" w:space="0" w:color="auto"/>
            </w:tcBorders>
            <w:shd w:val="clear" w:color="auto" w:fill="auto"/>
          </w:tcPr>
          <w:p w14:paraId="0CE2991B" w14:textId="77777777" w:rsidR="004476DC" w:rsidRPr="00E020A8" w:rsidRDefault="004476DC" w:rsidP="00BB2456">
            <w:pPr>
              <w:spacing w:before="40" w:after="40" w:line="240" w:lineRule="auto"/>
              <w:jc w:val="left"/>
              <w:rPr>
                <w:rFonts w:ascii="Arial Narrow" w:hAnsi="Arial Narrow"/>
                <w:b/>
                <w:sz w:val="20"/>
                <w:szCs w:val="20"/>
              </w:rPr>
            </w:pPr>
            <w:r w:rsidRPr="00E020A8">
              <w:rPr>
                <w:rFonts w:ascii="Arial Narrow" w:hAnsi="Arial Narrow"/>
                <w:b/>
                <w:sz w:val="20"/>
                <w:szCs w:val="20"/>
              </w:rPr>
              <w:t>Outcome</w:t>
            </w:r>
          </w:p>
        </w:tc>
        <w:tc>
          <w:tcPr>
            <w:tcW w:w="1559" w:type="dxa"/>
            <w:tcBorders>
              <w:bottom w:val="single" w:sz="4" w:space="0" w:color="auto"/>
            </w:tcBorders>
            <w:shd w:val="clear" w:color="auto" w:fill="auto"/>
          </w:tcPr>
          <w:p w14:paraId="6C186764" w14:textId="33A5C4D3" w:rsidR="004476DC" w:rsidRPr="00E020A8" w:rsidRDefault="004476DC" w:rsidP="004566DC">
            <w:pPr>
              <w:spacing w:before="40" w:after="40" w:line="240" w:lineRule="auto"/>
              <w:jc w:val="center"/>
              <w:rPr>
                <w:rFonts w:ascii="Arial Narrow" w:eastAsia="Times New Roman" w:hAnsi="Arial Narrow"/>
                <w:b/>
                <w:sz w:val="20"/>
                <w:szCs w:val="20"/>
                <w:lang w:eastAsia="en-AU"/>
              </w:rPr>
            </w:pPr>
            <w:r w:rsidRPr="00E020A8">
              <w:rPr>
                <w:rFonts w:ascii="Arial Narrow" w:hAnsi="Arial Narrow"/>
                <w:b/>
                <w:sz w:val="20"/>
                <w:szCs w:val="20"/>
              </w:rPr>
              <w:t>Prenatal testing</w:t>
            </w:r>
          </w:p>
        </w:tc>
        <w:tc>
          <w:tcPr>
            <w:tcW w:w="1701" w:type="dxa"/>
            <w:tcBorders>
              <w:bottom w:val="single" w:sz="4" w:space="0" w:color="auto"/>
            </w:tcBorders>
            <w:shd w:val="clear" w:color="auto" w:fill="auto"/>
          </w:tcPr>
          <w:p w14:paraId="7F434536" w14:textId="60D3AD21" w:rsidR="004476DC" w:rsidRPr="00E020A8" w:rsidRDefault="004476DC" w:rsidP="004566DC">
            <w:pPr>
              <w:spacing w:before="40" w:after="40" w:line="240" w:lineRule="auto"/>
              <w:jc w:val="center"/>
              <w:rPr>
                <w:rFonts w:ascii="Arial Narrow" w:eastAsia="Times New Roman" w:hAnsi="Arial Narrow"/>
                <w:b/>
                <w:sz w:val="20"/>
                <w:szCs w:val="20"/>
                <w:lang w:eastAsia="en-AU"/>
              </w:rPr>
            </w:pPr>
            <w:r w:rsidRPr="00E020A8">
              <w:rPr>
                <w:rFonts w:ascii="Arial Narrow" w:hAnsi="Arial Narrow"/>
                <w:b/>
                <w:sz w:val="20"/>
                <w:szCs w:val="20"/>
              </w:rPr>
              <w:t>No prenatal testing</w:t>
            </w:r>
          </w:p>
        </w:tc>
        <w:tc>
          <w:tcPr>
            <w:tcW w:w="1590" w:type="dxa"/>
            <w:tcBorders>
              <w:bottom w:val="single" w:sz="4" w:space="0" w:color="auto"/>
            </w:tcBorders>
            <w:shd w:val="clear" w:color="auto" w:fill="auto"/>
          </w:tcPr>
          <w:p w14:paraId="52C31962" w14:textId="77777777" w:rsidR="004476DC" w:rsidRPr="00E020A8" w:rsidRDefault="004476DC" w:rsidP="004566DC">
            <w:pPr>
              <w:spacing w:before="40" w:after="40" w:line="240" w:lineRule="auto"/>
              <w:jc w:val="center"/>
              <w:rPr>
                <w:rFonts w:ascii="Arial Narrow" w:eastAsia="Times New Roman" w:hAnsi="Arial Narrow"/>
                <w:b/>
                <w:sz w:val="20"/>
                <w:szCs w:val="20"/>
                <w:lang w:eastAsia="en-AU"/>
              </w:rPr>
            </w:pPr>
            <w:r w:rsidRPr="00E020A8">
              <w:rPr>
                <w:rFonts w:ascii="Arial Narrow" w:hAnsi="Arial Narrow"/>
                <w:b/>
                <w:sz w:val="20"/>
                <w:szCs w:val="20"/>
              </w:rPr>
              <w:t>Incremental effectiveness</w:t>
            </w:r>
          </w:p>
        </w:tc>
        <w:tc>
          <w:tcPr>
            <w:tcW w:w="0" w:type="auto"/>
            <w:tcBorders>
              <w:bottom w:val="single" w:sz="4" w:space="0" w:color="auto"/>
            </w:tcBorders>
          </w:tcPr>
          <w:p w14:paraId="008FB328" w14:textId="132194B8" w:rsidR="004476DC" w:rsidRPr="004476DC" w:rsidRDefault="004476DC" w:rsidP="004566DC">
            <w:pPr>
              <w:pStyle w:val="Tabletext1"/>
              <w:jc w:val="center"/>
              <w:rPr>
                <w:rFonts w:eastAsia="Times New Roman"/>
                <w:b/>
                <w:lang w:eastAsia="en-AU"/>
              </w:rPr>
            </w:pPr>
            <w:r w:rsidRPr="004476DC">
              <w:rPr>
                <w:b/>
              </w:rPr>
              <w:t>Nature of effect</w:t>
            </w:r>
          </w:p>
        </w:tc>
      </w:tr>
      <w:tr w:rsidR="004476DC" w:rsidRPr="00E020A8" w14:paraId="74896310" w14:textId="77777777" w:rsidTr="00B677DE">
        <w:tc>
          <w:tcPr>
            <w:tcW w:w="3085" w:type="dxa"/>
            <w:tcBorders>
              <w:right w:val="nil"/>
            </w:tcBorders>
            <w:shd w:val="clear" w:color="auto" w:fill="F2F2F2" w:themeFill="background1" w:themeFillShade="F2"/>
          </w:tcPr>
          <w:p w14:paraId="2FD4F7D3" w14:textId="37B854EA" w:rsidR="004476DC" w:rsidRPr="00E020A8" w:rsidRDefault="004476DC">
            <w:pPr>
              <w:spacing w:before="40" w:after="40"/>
              <w:jc w:val="left"/>
              <w:rPr>
                <w:rFonts w:ascii="Arial Narrow" w:eastAsia="Times New Roman" w:hAnsi="Arial Narrow"/>
                <w:i/>
                <w:sz w:val="20"/>
                <w:szCs w:val="20"/>
                <w:lang w:eastAsia="en-AU"/>
              </w:rPr>
            </w:pPr>
            <w:r w:rsidRPr="00E020A8">
              <w:rPr>
                <w:rFonts w:ascii="Arial Narrow" w:hAnsi="Arial Narrow"/>
                <w:i/>
                <w:sz w:val="20"/>
                <w:szCs w:val="20"/>
              </w:rPr>
              <w:t>Model 1</w:t>
            </w:r>
            <w:r>
              <w:rPr>
                <w:rFonts w:ascii="Arial Narrow" w:hAnsi="Arial Narrow"/>
                <w:i/>
                <w:sz w:val="20"/>
                <w:szCs w:val="20"/>
              </w:rPr>
              <w:t xml:space="preserve"> </w:t>
            </w:r>
            <w:r w:rsidR="00411F57">
              <w:rPr>
                <w:rFonts w:ascii="Arial Narrow" w:hAnsi="Arial Narrow"/>
                <w:i/>
                <w:sz w:val="20"/>
                <w:szCs w:val="20"/>
              </w:rPr>
              <w:t>(</w:t>
            </w:r>
            <w:r w:rsidR="00F26979">
              <w:rPr>
                <w:rFonts w:ascii="Arial Narrow" w:hAnsi="Arial Narrow"/>
                <w:i/>
                <w:sz w:val="20"/>
                <w:szCs w:val="20"/>
              </w:rPr>
              <w:t>P</w:t>
            </w:r>
            <w:r w:rsidRPr="004476DC">
              <w:rPr>
                <w:rFonts w:ascii="Arial Narrow" w:hAnsi="Arial Narrow"/>
                <w:i/>
                <w:sz w:val="20"/>
                <w:szCs w:val="20"/>
              </w:rPr>
              <w:t xml:space="preserve">arents </w:t>
            </w:r>
            <w:r w:rsidR="00F26979">
              <w:rPr>
                <w:rFonts w:ascii="Arial Narrow" w:hAnsi="Arial Narrow"/>
                <w:i/>
                <w:sz w:val="20"/>
                <w:szCs w:val="20"/>
              </w:rPr>
              <w:t xml:space="preserve">are </w:t>
            </w:r>
            <w:r w:rsidRPr="004476DC">
              <w:rPr>
                <w:rFonts w:ascii="Arial Narrow" w:hAnsi="Arial Narrow"/>
                <w:i/>
                <w:sz w:val="20"/>
                <w:szCs w:val="20"/>
              </w:rPr>
              <w:t>known CF carriers)</w:t>
            </w:r>
          </w:p>
        </w:tc>
        <w:tc>
          <w:tcPr>
            <w:tcW w:w="1559" w:type="dxa"/>
            <w:tcBorders>
              <w:left w:val="nil"/>
              <w:right w:val="nil"/>
            </w:tcBorders>
            <w:shd w:val="clear" w:color="auto" w:fill="F2F2F2" w:themeFill="background1" w:themeFillShade="F2"/>
          </w:tcPr>
          <w:p w14:paraId="18342256"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1701" w:type="dxa"/>
            <w:tcBorders>
              <w:left w:val="nil"/>
              <w:right w:val="nil"/>
            </w:tcBorders>
            <w:shd w:val="clear" w:color="auto" w:fill="F2F2F2" w:themeFill="background1" w:themeFillShade="F2"/>
          </w:tcPr>
          <w:p w14:paraId="2315F810"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1590" w:type="dxa"/>
            <w:tcBorders>
              <w:left w:val="nil"/>
              <w:right w:val="nil"/>
            </w:tcBorders>
            <w:shd w:val="clear" w:color="auto" w:fill="F2F2F2" w:themeFill="background1" w:themeFillShade="F2"/>
          </w:tcPr>
          <w:p w14:paraId="1CDA47D8"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0" w:type="auto"/>
            <w:tcBorders>
              <w:left w:val="nil"/>
              <w:right w:val="nil"/>
            </w:tcBorders>
            <w:shd w:val="clear" w:color="auto" w:fill="F2F2F2" w:themeFill="background1" w:themeFillShade="F2"/>
          </w:tcPr>
          <w:p w14:paraId="4B6F5CB6" w14:textId="77777777" w:rsidR="004476DC" w:rsidRPr="00E020A8" w:rsidRDefault="004476DC" w:rsidP="004566DC">
            <w:pPr>
              <w:pStyle w:val="Tabletext1"/>
              <w:jc w:val="left"/>
              <w:rPr>
                <w:rFonts w:eastAsia="Times New Roman"/>
                <w:lang w:eastAsia="en-AU"/>
              </w:rPr>
            </w:pPr>
          </w:p>
        </w:tc>
      </w:tr>
      <w:tr w:rsidR="004476DC" w:rsidRPr="00E020A8" w14:paraId="05AE3A98" w14:textId="77777777" w:rsidTr="00B677DE">
        <w:tc>
          <w:tcPr>
            <w:tcW w:w="3085" w:type="dxa"/>
          </w:tcPr>
          <w:p w14:paraId="55AA4F3A"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Prenatal CF diagnosed</w:t>
            </w:r>
          </w:p>
        </w:tc>
        <w:tc>
          <w:tcPr>
            <w:tcW w:w="1559" w:type="dxa"/>
          </w:tcPr>
          <w:p w14:paraId="01AE4C00"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24.94</w:t>
            </w:r>
          </w:p>
        </w:tc>
        <w:tc>
          <w:tcPr>
            <w:tcW w:w="1701" w:type="dxa"/>
          </w:tcPr>
          <w:p w14:paraId="16A64D02"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90" w:type="dxa"/>
          </w:tcPr>
          <w:p w14:paraId="04E4F144"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24.94</w:t>
            </w:r>
          </w:p>
        </w:tc>
        <w:tc>
          <w:tcPr>
            <w:tcW w:w="0" w:type="auto"/>
          </w:tcPr>
          <w:p w14:paraId="02DB163B" w14:textId="0A531FFA" w:rsidR="004476DC" w:rsidRPr="00E020A8" w:rsidRDefault="004476DC" w:rsidP="004566DC">
            <w:pPr>
              <w:pStyle w:val="Tabletext1"/>
              <w:jc w:val="left"/>
              <w:rPr>
                <w:rFonts w:eastAsia="Times New Roman"/>
                <w:lang w:eastAsia="en-AU"/>
              </w:rPr>
            </w:pPr>
            <w:r w:rsidRPr="00194549">
              <w:t>Benefit</w:t>
            </w:r>
          </w:p>
        </w:tc>
      </w:tr>
      <w:tr w:rsidR="004476DC" w:rsidRPr="00E020A8" w14:paraId="10B89707" w14:textId="77777777" w:rsidTr="00B677DE">
        <w:tc>
          <w:tcPr>
            <w:tcW w:w="3085" w:type="dxa"/>
            <w:tcBorders>
              <w:bottom w:val="nil"/>
            </w:tcBorders>
          </w:tcPr>
          <w:p w14:paraId="080A808F"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births total:</w:t>
            </w:r>
          </w:p>
        </w:tc>
        <w:tc>
          <w:tcPr>
            <w:tcW w:w="1559" w:type="dxa"/>
            <w:tcBorders>
              <w:bottom w:val="nil"/>
            </w:tcBorders>
          </w:tcPr>
          <w:p w14:paraId="15F2AF4A"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1701" w:type="dxa"/>
            <w:tcBorders>
              <w:bottom w:val="nil"/>
            </w:tcBorders>
          </w:tcPr>
          <w:p w14:paraId="1A3B6C59"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24.59</w:t>
            </w:r>
          </w:p>
        </w:tc>
        <w:tc>
          <w:tcPr>
            <w:tcW w:w="1590" w:type="dxa"/>
            <w:tcBorders>
              <w:bottom w:val="nil"/>
            </w:tcBorders>
          </w:tcPr>
          <w:p w14:paraId="74B84A3A" w14:textId="359E7286" w:rsidR="004476DC" w:rsidRPr="00E020A8" w:rsidRDefault="00B24E53" w:rsidP="004566DC">
            <w:pPr>
              <w:spacing w:before="40" w:after="40" w:line="240" w:lineRule="auto"/>
              <w:ind w:right="317"/>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23.36</w:t>
            </w:r>
          </w:p>
        </w:tc>
        <w:tc>
          <w:tcPr>
            <w:tcW w:w="0" w:type="auto"/>
            <w:tcBorders>
              <w:bottom w:val="nil"/>
            </w:tcBorders>
          </w:tcPr>
          <w:p w14:paraId="0ADB2EAB" w14:textId="77777777" w:rsidR="004476DC" w:rsidRPr="00E020A8" w:rsidRDefault="004476DC" w:rsidP="004566DC">
            <w:pPr>
              <w:pStyle w:val="Tabletext1"/>
              <w:jc w:val="left"/>
              <w:rPr>
                <w:rFonts w:eastAsia="Times New Roman"/>
                <w:lang w:eastAsia="en-AU"/>
              </w:rPr>
            </w:pPr>
          </w:p>
        </w:tc>
      </w:tr>
      <w:tr w:rsidR="004476DC" w:rsidRPr="00E020A8" w14:paraId="3F4CE9B5" w14:textId="77777777" w:rsidTr="00B677DE">
        <w:tc>
          <w:tcPr>
            <w:tcW w:w="3085" w:type="dxa"/>
            <w:tcBorders>
              <w:top w:val="nil"/>
              <w:bottom w:val="nil"/>
            </w:tcBorders>
          </w:tcPr>
          <w:p w14:paraId="1486AC7B" w14:textId="1AEE9460" w:rsidR="004476DC" w:rsidRPr="00E020A8" w:rsidRDefault="00411F57"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informed</w:t>
            </w:r>
          </w:p>
        </w:tc>
        <w:tc>
          <w:tcPr>
            <w:tcW w:w="1559" w:type="dxa"/>
            <w:tcBorders>
              <w:top w:val="nil"/>
              <w:bottom w:val="nil"/>
            </w:tcBorders>
          </w:tcPr>
          <w:p w14:paraId="0D93A25C"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1701" w:type="dxa"/>
            <w:tcBorders>
              <w:top w:val="nil"/>
              <w:bottom w:val="nil"/>
            </w:tcBorders>
          </w:tcPr>
          <w:p w14:paraId="73C85552"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90" w:type="dxa"/>
            <w:tcBorders>
              <w:top w:val="nil"/>
              <w:bottom w:val="nil"/>
            </w:tcBorders>
          </w:tcPr>
          <w:p w14:paraId="677E29F1"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0" w:type="auto"/>
            <w:tcBorders>
              <w:top w:val="nil"/>
              <w:bottom w:val="nil"/>
            </w:tcBorders>
          </w:tcPr>
          <w:p w14:paraId="527A583A" w14:textId="31FE7816" w:rsidR="004476DC" w:rsidRPr="00E020A8" w:rsidRDefault="004476DC" w:rsidP="004566DC">
            <w:pPr>
              <w:pStyle w:val="Tabletext1"/>
              <w:jc w:val="left"/>
              <w:rPr>
                <w:rFonts w:eastAsia="Times New Roman"/>
                <w:lang w:eastAsia="en-AU"/>
              </w:rPr>
            </w:pPr>
            <w:r>
              <w:t>B</w:t>
            </w:r>
            <w:r w:rsidRPr="00194549">
              <w:t>enefit</w:t>
            </w:r>
          </w:p>
        </w:tc>
      </w:tr>
      <w:tr w:rsidR="004476DC" w:rsidRPr="00E020A8" w14:paraId="22F339EC" w14:textId="77777777" w:rsidTr="00B677DE">
        <w:tc>
          <w:tcPr>
            <w:tcW w:w="3085" w:type="dxa"/>
            <w:tcBorders>
              <w:top w:val="nil"/>
            </w:tcBorders>
          </w:tcPr>
          <w:p w14:paraId="04AE899E" w14:textId="4DBEF8C5" w:rsidR="004476DC" w:rsidRPr="00E020A8" w:rsidRDefault="00411F57"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uninformed</w:t>
            </w:r>
          </w:p>
        </w:tc>
        <w:tc>
          <w:tcPr>
            <w:tcW w:w="1559" w:type="dxa"/>
            <w:tcBorders>
              <w:top w:val="nil"/>
            </w:tcBorders>
          </w:tcPr>
          <w:p w14:paraId="36E2231A"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0.0</w:t>
            </w:r>
          </w:p>
        </w:tc>
        <w:tc>
          <w:tcPr>
            <w:tcW w:w="1701" w:type="dxa"/>
            <w:tcBorders>
              <w:top w:val="nil"/>
            </w:tcBorders>
          </w:tcPr>
          <w:p w14:paraId="1C6978D6"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24.59</w:t>
            </w:r>
          </w:p>
        </w:tc>
        <w:tc>
          <w:tcPr>
            <w:tcW w:w="1590" w:type="dxa"/>
            <w:tcBorders>
              <w:top w:val="nil"/>
            </w:tcBorders>
          </w:tcPr>
          <w:p w14:paraId="154D5BCC" w14:textId="1A9C3D2C" w:rsidR="004476DC" w:rsidRPr="00E020A8" w:rsidRDefault="00B24E53" w:rsidP="004566DC">
            <w:pPr>
              <w:spacing w:before="40" w:after="40" w:line="240" w:lineRule="auto"/>
              <w:ind w:right="317"/>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24.59</w:t>
            </w:r>
          </w:p>
        </w:tc>
        <w:tc>
          <w:tcPr>
            <w:tcW w:w="0" w:type="auto"/>
            <w:tcBorders>
              <w:top w:val="nil"/>
            </w:tcBorders>
          </w:tcPr>
          <w:p w14:paraId="61831672" w14:textId="77777777" w:rsidR="004476DC" w:rsidRPr="00E020A8" w:rsidRDefault="004476DC" w:rsidP="004566DC">
            <w:pPr>
              <w:pStyle w:val="Tabletext1"/>
              <w:jc w:val="left"/>
              <w:rPr>
                <w:rFonts w:eastAsia="Times New Roman"/>
                <w:lang w:eastAsia="en-AU"/>
              </w:rPr>
            </w:pPr>
          </w:p>
        </w:tc>
      </w:tr>
      <w:tr w:rsidR="004476DC" w:rsidRPr="00E020A8" w14:paraId="7BEC967B" w14:textId="77777777" w:rsidTr="00B677DE">
        <w:tc>
          <w:tcPr>
            <w:tcW w:w="3085" w:type="dxa"/>
            <w:tcBorders>
              <w:top w:val="nil"/>
            </w:tcBorders>
          </w:tcPr>
          <w:p w14:paraId="6801D9D7" w14:textId="325A8BDD"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w:t>
            </w:r>
            <w:r w:rsidR="00411F57">
              <w:rPr>
                <w:rFonts w:ascii="Arial Narrow" w:hAnsi="Arial Narrow"/>
                <w:sz w:val="20"/>
                <w:szCs w:val="20"/>
              </w:rPr>
              <w:t>s</w:t>
            </w:r>
            <w:r w:rsidRPr="00E020A8">
              <w:rPr>
                <w:rFonts w:ascii="Arial Narrow" w:hAnsi="Arial Narrow"/>
                <w:sz w:val="20"/>
                <w:szCs w:val="20"/>
              </w:rPr>
              <w:t xml:space="preserve"> averted</w:t>
            </w:r>
          </w:p>
        </w:tc>
        <w:tc>
          <w:tcPr>
            <w:tcW w:w="1559" w:type="dxa"/>
            <w:tcBorders>
              <w:top w:val="nil"/>
            </w:tcBorders>
          </w:tcPr>
          <w:p w14:paraId="2A0EF568"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23.72</w:t>
            </w:r>
          </w:p>
        </w:tc>
        <w:tc>
          <w:tcPr>
            <w:tcW w:w="1701" w:type="dxa"/>
            <w:tcBorders>
              <w:top w:val="nil"/>
            </w:tcBorders>
          </w:tcPr>
          <w:p w14:paraId="1AE96AA1"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90" w:type="dxa"/>
            <w:tcBorders>
              <w:top w:val="nil"/>
            </w:tcBorders>
          </w:tcPr>
          <w:p w14:paraId="07AC5FC9"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23.72</w:t>
            </w:r>
          </w:p>
        </w:tc>
        <w:tc>
          <w:tcPr>
            <w:tcW w:w="0" w:type="auto"/>
            <w:tcBorders>
              <w:top w:val="nil"/>
            </w:tcBorders>
          </w:tcPr>
          <w:p w14:paraId="282781F3" w14:textId="0A51BBA9" w:rsidR="004476DC" w:rsidRPr="00E020A8" w:rsidRDefault="004476DC" w:rsidP="004566DC">
            <w:pPr>
              <w:pStyle w:val="Tabletext1"/>
              <w:jc w:val="left"/>
              <w:rPr>
                <w:rFonts w:eastAsia="Times New Roman"/>
                <w:lang w:eastAsia="en-AU"/>
              </w:rPr>
            </w:pPr>
            <w:r w:rsidRPr="00194549">
              <w:t>Benefit</w:t>
            </w:r>
          </w:p>
        </w:tc>
      </w:tr>
      <w:tr w:rsidR="004476DC" w:rsidRPr="00E020A8" w14:paraId="75B677DC" w14:textId="77777777" w:rsidTr="00B677DE">
        <w:tc>
          <w:tcPr>
            <w:tcW w:w="3085" w:type="dxa"/>
          </w:tcPr>
          <w:p w14:paraId="3E55EBFD"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Fetal loss</w:t>
            </w:r>
          </w:p>
        </w:tc>
        <w:tc>
          <w:tcPr>
            <w:tcW w:w="1559" w:type="dxa"/>
          </w:tcPr>
          <w:p w14:paraId="014B13C5"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1.26</w:t>
            </w:r>
          </w:p>
        </w:tc>
        <w:tc>
          <w:tcPr>
            <w:tcW w:w="1701" w:type="dxa"/>
          </w:tcPr>
          <w:p w14:paraId="38420B4A"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1.65</w:t>
            </w:r>
          </w:p>
        </w:tc>
        <w:tc>
          <w:tcPr>
            <w:tcW w:w="1590" w:type="dxa"/>
          </w:tcPr>
          <w:p w14:paraId="58B7DB7E" w14:textId="76E38730" w:rsidR="004476DC" w:rsidRPr="00E020A8" w:rsidRDefault="00B24E53" w:rsidP="004566DC">
            <w:pPr>
              <w:spacing w:before="40" w:after="40" w:line="240" w:lineRule="auto"/>
              <w:ind w:right="317"/>
              <w:jc w:val="right"/>
              <w:rPr>
                <w:rFonts w:ascii="Arial Narrow" w:eastAsia="Times New Roman" w:hAnsi="Arial Narrow"/>
                <w:color w:val="000000"/>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0.39</w:t>
            </w:r>
          </w:p>
        </w:tc>
        <w:tc>
          <w:tcPr>
            <w:tcW w:w="0" w:type="auto"/>
          </w:tcPr>
          <w:p w14:paraId="3ABDDFAD" w14:textId="77777777" w:rsidR="004476DC" w:rsidRPr="00E020A8" w:rsidRDefault="004476DC" w:rsidP="004566DC">
            <w:pPr>
              <w:pStyle w:val="Tabletext1"/>
              <w:jc w:val="left"/>
              <w:rPr>
                <w:rFonts w:eastAsia="Times New Roman"/>
                <w:lang w:eastAsia="en-AU"/>
              </w:rPr>
            </w:pPr>
          </w:p>
        </w:tc>
      </w:tr>
      <w:tr w:rsidR="004476DC" w:rsidRPr="00E020A8" w14:paraId="5E9EC32A" w14:textId="77777777" w:rsidTr="00B677DE">
        <w:tc>
          <w:tcPr>
            <w:tcW w:w="3085" w:type="dxa"/>
          </w:tcPr>
          <w:p w14:paraId="742124BC" w14:textId="11C64436"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Procedure</w:t>
            </w:r>
            <w:r w:rsidR="00411F57">
              <w:rPr>
                <w:rFonts w:ascii="Arial Narrow" w:hAnsi="Arial Narrow"/>
                <w:sz w:val="20"/>
                <w:szCs w:val="20"/>
              </w:rPr>
              <w:t>-</w:t>
            </w:r>
            <w:r w:rsidRPr="00E020A8">
              <w:rPr>
                <w:rFonts w:ascii="Arial Narrow" w:hAnsi="Arial Narrow"/>
                <w:sz w:val="20"/>
                <w:szCs w:val="20"/>
              </w:rPr>
              <w:t>related fetal loss</w:t>
            </w:r>
          </w:p>
        </w:tc>
        <w:tc>
          <w:tcPr>
            <w:tcW w:w="1559" w:type="dxa"/>
          </w:tcPr>
          <w:p w14:paraId="368B3D34"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0.15</w:t>
            </w:r>
          </w:p>
        </w:tc>
        <w:tc>
          <w:tcPr>
            <w:tcW w:w="1701" w:type="dxa"/>
          </w:tcPr>
          <w:p w14:paraId="16B7C5F1"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90" w:type="dxa"/>
          </w:tcPr>
          <w:p w14:paraId="23315E0F"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0.15</w:t>
            </w:r>
          </w:p>
        </w:tc>
        <w:tc>
          <w:tcPr>
            <w:tcW w:w="0" w:type="auto"/>
          </w:tcPr>
          <w:p w14:paraId="678074CC" w14:textId="7C9909CC" w:rsidR="004476DC" w:rsidRPr="00E020A8" w:rsidRDefault="004476DC" w:rsidP="004566DC">
            <w:pPr>
              <w:pStyle w:val="Tabletext1"/>
              <w:jc w:val="left"/>
              <w:rPr>
                <w:rFonts w:eastAsia="Times New Roman"/>
                <w:lang w:eastAsia="en-AU"/>
              </w:rPr>
            </w:pPr>
            <w:r>
              <w:t>Harm</w:t>
            </w:r>
          </w:p>
        </w:tc>
      </w:tr>
      <w:tr w:rsidR="004476DC" w:rsidRPr="00E020A8" w14:paraId="1D02BF8B" w14:textId="77777777" w:rsidTr="00B677DE">
        <w:tc>
          <w:tcPr>
            <w:tcW w:w="3085" w:type="dxa"/>
            <w:tcBorders>
              <w:bottom w:val="single" w:sz="4" w:space="0" w:color="auto"/>
            </w:tcBorders>
          </w:tcPr>
          <w:p w14:paraId="0BB202FE"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No CF</w:t>
            </w:r>
          </w:p>
        </w:tc>
        <w:tc>
          <w:tcPr>
            <w:tcW w:w="1559" w:type="dxa"/>
            <w:tcBorders>
              <w:bottom w:val="single" w:sz="4" w:space="0" w:color="auto"/>
            </w:tcBorders>
          </w:tcPr>
          <w:p w14:paraId="472990DB"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73.65</w:t>
            </w:r>
          </w:p>
        </w:tc>
        <w:tc>
          <w:tcPr>
            <w:tcW w:w="1701" w:type="dxa"/>
            <w:tcBorders>
              <w:bottom w:val="single" w:sz="4" w:space="0" w:color="auto"/>
            </w:tcBorders>
          </w:tcPr>
          <w:p w14:paraId="20A6FF72"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color w:val="000000"/>
                <w:sz w:val="20"/>
                <w:szCs w:val="20"/>
              </w:rPr>
              <w:t>73.76</w:t>
            </w:r>
          </w:p>
        </w:tc>
        <w:tc>
          <w:tcPr>
            <w:tcW w:w="1590" w:type="dxa"/>
            <w:tcBorders>
              <w:bottom w:val="single" w:sz="4" w:space="0" w:color="auto"/>
            </w:tcBorders>
          </w:tcPr>
          <w:p w14:paraId="41A282BE" w14:textId="7E33842F" w:rsidR="004476DC" w:rsidRPr="00E020A8" w:rsidRDefault="00B24E53" w:rsidP="004566DC">
            <w:pPr>
              <w:spacing w:before="40" w:after="40" w:line="240" w:lineRule="auto"/>
              <w:ind w:right="317"/>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0.11</w:t>
            </w:r>
          </w:p>
        </w:tc>
        <w:tc>
          <w:tcPr>
            <w:tcW w:w="0" w:type="auto"/>
            <w:tcBorders>
              <w:bottom w:val="single" w:sz="4" w:space="0" w:color="auto"/>
            </w:tcBorders>
          </w:tcPr>
          <w:p w14:paraId="14210EE1" w14:textId="1619DB49" w:rsidR="004476DC" w:rsidRPr="00E020A8" w:rsidRDefault="004476DC" w:rsidP="004566DC">
            <w:pPr>
              <w:pStyle w:val="Tabletext1"/>
              <w:jc w:val="left"/>
              <w:rPr>
                <w:rFonts w:eastAsia="Times New Roman"/>
                <w:lang w:eastAsia="en-AU"/>
              </w:rPr>
            </w:pPr>
            <w:r>
              <w:t>-</w:t>
            </w:r>
          </w:p>
        </w:tc>
      </w:tr>
      <w:tr w:rsidR="004476DC" w:rsidRPr="00E020A8" w14:paraId="652AC73A" w14:textId="77777777" w:rsidTr="00B677DE">
        <w:tc>
          <w:tcPr>
            <w:tcW w:w="3085" w:type="dxa"/>
            <w:tcBorders>
              <w:right w:val="nil"/>
            </w:tcBorders>
            <w:shd w:val="clear" w:color="auto" w:fill="F2F2F2" w:themeFill="background1" w:themeFillShade="F2"/>
          </w:tcPr>
          <w:p w14:paraId="0D7B04E7" w14:textId="2D608E6B" w:rsidR="004476DC" w:rsidRPr="00E020A8" w:rsidRDefault="004476DC" w:rsidP="00BB2456">
            <w:pPr>
              <w:spacing w:before="40" w:after="40" w:line="240" w:lineRule="auto"/>
              <w:jc w:val="left"/>
              <w:rPr>
                <w:rFonts w:ascii="Arial Narrow" w:hAnsi="Arial Narrow"/>
                <w:i/>
                <w:sz w:val="20"/>
                <w:szCs w:val="20"/>
              </w:rPr>
            </w:pPr>
            <w:r w:rsidRPr="00E020A8">
              <w:rPr>
                <w:rFonts w:ascii="Arial Narrow" w:hAnsi="Arial Narrow"/>
                <w:i/>
                <w:sz w:val="20"/>
                <w:szCs w:val="20"/>
              </w:rPr>
              <w:t>Model 2</w:t>
            </w:r>
            <w:r>
              <w:rPr>
                <w:rFonts w:ascii="Arial Narrow" w:hAnsi="Arial Narrow"/>
                <w:i/>
                <w:sz w:val="20"/>
                <w:szCs w:val="20"/>
              </w:rPr>
              <w:t xml:space="preserve"> (Fetus has FEB)</w:t>
            </w:r>
          </w:p>
        </w:tc>
        <w:tc>
          <w:tcPr>
            <w:tcW w:w="1559" w:type="dxa"/>
            <w:tcBorders>
              <w:left w:val="nil"/>
              <w:right w:val="nil"/>
            </w:tcBorders>
            <w:shd w:val="clear" w:color="auto" w:fill="F2F2F2" w:themeFill="background1" w:themeFillShade="F2"/>
          </w:tcPr>
          <w:p w14:paraId="4377B762"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p>
        </w:tc>
        <w:tc>
          <w:tcPr>
            <w:tcW w:w="1701" w:type="dxa"/>
            <w:tcBorders>
              <w:left w:val="nil"/>
              <w:right w:val="nil"/>
            </w:tcBorders>
            <w:shd w:val="clear" w:color="auto" w:fill="F2F2F2" w:themeFill="background1" w:themeFillShade="F2"/>
          </w:tcPr>
          <w:p w14:paraId="62C2FD8C"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p>
        </w:tc>
        <w:tc>
          <w:tcPr>
            <w:tcW w:w="1590" w:type="dxa"/>
            <w:tcBorders>
              <w:left w:val="nil"/>
              <w:right w:val="nil"/>
            </w:tcBorders>
            <w:shd w:val="clear" w:color="auto" w:fill="F2F2F2" w:themeFill="background1" w:themeFillShade="F2"/>
          </w:tcPr>
          <w:p w14:paraId="6D85C09E"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p>
        </w:tc>
        <w:tc>
          <w:tcPr>
            <w:tcW w:w="0" w:type="auto"/>
            <w:tcBorders>
              <w:left w:val="nil"/>
              <w:right w:val="nil"/>
            </w:tcBorders>
            <w:shd w:val="clear" w:color="auto" w:fill="F2F2F2" w:themeFill="background1" w:themeFillShade="F2"/>
          </w:tcPr>
          <w:p w14:paraId="081D95A3" w14:textId="77777777" w:rsidR="004476DC" w:rsidRPr="00E020A8" w:rsidRDefault="004476DC" w:rsidP="004566DC">
            <w:pPr>
              <w:pStyle w:val="Tabletext1"/>
              <w:jc w:val="left"/>
              <w:rPr>
                <w:rFonts w:eastAsia="Times New Roman"/>
                <w:lang w:eastAsia="en-AU"/>
              </w:rPr>
            </w:pPr>
          </w:p>
        </w:tc>
      </w:tr>
      <w:tr w:rsidR="004476DC" w:rsidRPr="00E020A8" w14:paraId="78ACDC44" w14:textId="77777777" w:rsidTr="00B677DE">
        <w:tc>
          <w:tcPr>
            <w:tcW w:w="3085" w:type="dxa"/>
          </w:tcPr>
          <w:p w14:paraId="3529DFE0"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Prenatal CF diagnosed</w:t>
            </w:r>
          </w:p>
        </w:tc>
        <w:tc>
          <w:tcPr>
            <w:tcW w:w="1559" w:type="dxa"/>
          </w:tcPr>
          <w:p w14:paraId="227E6C1E"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3.94</w:t>
            </w:r>
          </w:p>
        </w:tc>
        <w:tc>
          <w:tcPr>
            <w:tcW w:w="1701" w:type="dxa"/>
          </w:tcPr>
          <w:p w14:paraId="67068945"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90" w:type="dxa"/>
          </w:tcPr>
          <w:p w14:paraId="00CD1C1F"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3.94</w:t>
            </w:r>
          </w:p>
        </w:tc>
        <w:tc>
          <w:tcPr>
            <w:tcW w:w="0" w:type="auto"/>
          </w:tcPr>
          <w:p w14:paraId="5ADB7DC4" w14:textId="78FE42E0" w:rsidR="004476DC" w:rsidRPr="00E020A8" w:rsidRDefault="004476DC" w:rsidP="004566DC">
            <w:pPr>
              <w:pStyle w:val="Tabletext1"/>
              <w:jc w:val="left"/>
              <w:rPr>
                <w:rFonts w:eastAsia="Times New Roman"/>
                <w:lang w:eastAsia="en-AU"/>
              </w:rPr>
            </w:pPr>
            <w:r w:rsidRPr="00194549">
              <w:t>Benefit</w:t>
            </w:r>
          </w:p>
        </w:tc>
      </w:tr>
      <w:tr w:rsidR="004476DC" w:rsidRPr="00E020A8" w14:paraId="48E5CC47" w14:textId="77777777" w:rsidTr="00B677DE">
        <w:tc>
          <w:tcPr>
            <w:tcW w:w="3085" w:type="dxa"/>
          </w:tcPr>
          <w:p w14:paraId="1A8B1C02"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births total:</w:t>
            </w:r>
          </w:p>
        </w:tc>
        <w:tc>
          <w:tcPr>
            <w:tcW w:w="1559" w:type="dxa"/>
          </w:tcPr>
          <w:p w14:paraId="65BE4394"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1.90</w:t>
            </w:r>
          </w:p>
        </w:tc>
        <w:tc>
          <w:tcPr>
            <w:tcW w:w="1701" w:type="dxa"/>
          </w:tcPr>
          <w:p w14:paraId="4F337036"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4.44</w:t>
            </w:r>
          </w:p>
        </w:tc>
        <w:tc>
          <w:tcPr>
            <w:tcW w:w="1590" w:type="dxa"/>
          </w:tcPr>
          <w:p w14:paraId="0364B398" w14:textId="19630499" w:rsidR="004476DC" w:rsidRPr="00E020A8" w:rsidRDefault="00B24E53" w:rsidP="004566DC">
            <w:pPr>
              <w:spacing w:before="40" w:after="40" w:line="240" w:lineRule="auto"/>
              <w:ind w:right="317"/>
              <w:jc w:val="right"/>
              <w:rPr>
                <w:rFonts w:ascii="Arial Narrow" w:eastAsia="Times New Roman" w:hAnsi="Arial Narrow"/>
                <w:color w:val="000000"/>
                <w:sz w:val="20"/>
                <w:szCs w:val="20"/>
                <w:lang w:eastAsia="en-AU"/>
              </w:rPr>
            </w:pPr>
            <w:r>
              <w:rPr>
                <w:rFonts w:ascii="Arial Narrow" w:hAnsi="Arial Narrow"/>
                <w:sz w:val="20"/>
                <w:szCs w:val="20"/>
              </w:rPr>
              <w:t>–</w:t>
            </w:r>
            <w:r w:rsidR="004476DC" w:rsidRPr="00E020A8">
              <w:rPr>
                <w:rFonts w:ascii="Arial Narrow" w:hAnsi="Arial Narrow"/>
                <w:sz w:val="20"/>
                <w:szCs w:val="20"/>
              </w:rPr>
              <w:t>2.54</w:t>
            </w:r>
          </w:p>
        </w:tc>
        <w:tc>
          <w:tcPr>
            <w:tcW w:w="0" w:type="auto"/>
          </w:tcPr>
          <w:p w14:paraId="64287E44" w14:textId="77777777" w:rsidR="004476DC" w:rsidRPr="00E020A8" w:rsidRDefault="004476DC" w:rsidP="004566DC">
            <w:pPr>
              <w:pStyle w:val="Tabletext1"/>
              <w:jc w:val="left"/>
              <w:rPr>
                <w:rFonts w:eastAsia="Times New Roman"/>
                <w:lang w:eastAsia="en-AU"/>
              </w:rPr>
            </w:pPr>
          </w:p>
        </w:tc>
      </w:tr>
      <w:tr w:rsidR="004476DC" w:rsidRPr="00E020A8" w14:paraId="4D0D4215" w14:textId="77777777" w:rsidTr="00B677DE">
        <w:tc>
          <w:tcPr>
            <w:tcW w:w="3085" w:type="dxa"/>
          </w:tcPr>
          <w:p w14:paraId="32DA9BF5" w14:textId="5C168B7C" w:rsidR="004476DC" w:rsidRPr="00E020A8" w:rsidRDefault="00B24E53"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informed</w:t>
            </w:r>
          </w:p>
        </w:tc>
        <w:tc>
          <w:tcPr>
            <w:tcW w:w="1559" w:type="dxa"/>
          </w:tcPr>
          <w:p w14:paraId="079DC985"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1.37</w:t>
            </w:r>
          </w:p>
        </w:tc>
        <w:tc>
          <w:tcPr>
            <w:tcW w:w="1701" w:type="dxa"/>
          </w:tcPr>
          <w:p w14:paraId="4B4899AE"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90" w:type="dxa"/>
          </w:tcPr>
          <w:p w14:paraId="3B3C820D"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1.37</w:t>
            </w:r>
          </w:p>
        </w:tc>
        <w:tc>
          <w:tcPr>
            <w:tcW w:w="0" w:type="auto"/>
          </w:tcPr>
          <w:p w14:paraId="6DD4FC3A" w14:textId="4D5896E4" w:rsidR="004476DC" w:rsidRPr="00E020A8" w:rsidRDefault="004476DC" w:rsidP="004566DC">
            <w:pPr>
              <w:pStyle w:val="Tabletext1"/>
              <w:jc w:val="left"/>
              <w:rPr>
                <w:rFonts w:eastAsia="Times New Roman"/>
                <w:lang w:eastAsia="en-AU"/>
              </w:rPr>
            </w:pPr>
            <w:r w:rsidRPr="00194549">
              <w:t>Benefit</w:t>
            </w:r>
          </w:p>
        </w:tc>
      </w:tr>
      <w:tr w:rsidR="004476DC" w:rsidRPr="00E020A8" w14:paraId="0658869B" w14:textId="77777777" w:rsidTr="00B677DE">
        <w:tc>
          <w:tcPr>
            <w:tcW w:w="3085" w:type="dxa"/>
          </w:tcPr>
          <w:p w14:paraId="10ACEDDB" w14:textId="67F1E8B7" w:rsidR="004476DC" w:rsidRPr="00E020A8" w:rsidRDefault="00B24E53"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uninformed</w:t>
            </w:r>
          </w:p>
        </w:tc>
        <w:tc>
          <w:tcPr>
            <w:tcW w:w="1559" w:type="dxa"/>
          </w:tcPr>
          <w:p w14:paraId="552DB64F"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0.53</w:t>
            </w:r>
          </w:p>
        </w:tc>
        <w:tc>
          <w:tcPr>
            <w:tcW w:w="1701" w:type="dxa"/>
          </w:tcPr>
          <w:p w14:paraId="55B7E70A"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4.44</w:t>
            </w:r>
          </w:p>
        </w:tc>
        <w:tc>
          <w:tcPr>
            <w:tcW w:w="1590" w:type="dxa"/>
          </w:tcPr>
          <w:p w14:paraId="0B274B85" w14:textId="06B42F49" w:rsidR="004476DC" w:rsidRPr="00E020A8" w:rsidRDefault="00B24E53" w:rsidP="004566DC">
            <w:pPr>
              <w:spacing w:before="40" w:after="40" w:line="240" w:lineRule="auto"/>
              <w:ind w:right="317"/>
              <w:jc w:val="right"/>
              <w:rPr>
                <w:rFonts w:ascii="Arial Narrow" w:eastAsia="Times New Roman" w:hAnsi="Arial Narrow"/>
                <w:color w:val="000000"/>
                <w:sz w:val="20"/>
                <w:szCs w:val="20"/>
                <w:lang w:eastAsia="en-AU"/>
              </w:rPr>
            </w:pPr>
            <w:r>
              <w:rPr>
                <w:rFonts w:ascii="Arial Narrow" w:hAnsi="Arial Narrow"/>
                <w:sz w:val="20"/>
                <w:szCs w:val="20"/>
              </w:rPr>
              <w:t>–</w:t>
            </w:r>
            <w:r w:rsidR="004476DC" w:rsidRPr="00E020A8">
              <w:rPr>
                <w:rFonts w:ascii="Arial Narrow" w:hAnsi="Arial Narrow"/>
                <w:sz w:val="20"/>
                <w:szCs w:val="20"/>
              </w:rPr>
              <w:t>3.91</w:t>
            </w:r>
          </w:p>
        </w:tc>
        <w:tc>
          <w:tcPr>
            <w:tcW w:w="0" w:type="auto"/>
          </w:tcPr>
          <w:p w14:paraId="27BB4C9F" w14:textId="77777777" w:rsidR="004476DC" w:rsidRPr="00E020A8" w:rsidRDefault="004476DC" w:rsidP="004566DC">
            <w:pPr>
              <w:pStyle w:val="Tabletext1"/>
              <w:jc w:val="left"/>
              <w:rPr>
                <w:rFonts w:eastAsia="Times New Roman"/>
                <w:lang w:eastAsia="en-AU"/>
              </w:rPr>
            </w:pPr>
          </w:p>
        </w:tc>
      </w:tr>
      <w:tr w:rsidR="004476DC" w:rsidRPr="00E020A8" w14:paraId="4316906D" w14:textId="77777777" w:rsidTr="00B677DE">
        <w:tc>
          <w:tcPr>
            <w:tcW w:w="3085" w:type="dxa"/>
          </w:tcPr>
          <w:p w14:paraId="0D308D1A" w14:textId="4679980F"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w:t>
            </w:r>
            <w:r w:rsidR="00B24E53">
              <w:rPr>
                <w:rFonts w:ascii="Arial Narrow" w:hAnsi="Arial Narrow"/>
                <w:sz w:val="20"/>
                <w:szCs w:val="20"/>
              </w:rPr>
              <w:t>s</w:t>
            </w:r>
            <w:r w:rsidRPr="00E020A8">
              <w:rPr>
                <w:rFonts w:ascii="Arial Narrow" w:hAnsi="Arial Narrow"/>
                <w:sz w:val="20"/>
                <w:szCs w:val="20"/>
              </w:rPr>
              <w:t xml:space="preserve"> averted</w:t>
            </w:r>
          </w:p>
        </w:tc>
        <w:tc>
          <w:tcPr>
            <w:tcW w:w="1559" w:type="dxa"/>
          </w:tcPr>
          <w:p w14:paraId="1AA1D90B"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2.57</w:t>
            </w:r>
          </w:p>
        </w:tc>
        <w:tc>
          <w:tcPr>
            <w:tcW w:w="1701" w:type="dxa"/>
          </w:tcPr>
          <w:p w14:paraId="4E10301F"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90" w:type="dxa"/>
          </w:tcPr>
          <w:p w14:paraId="5E12E6C8"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2.57</w:t>
            </w:r>
          </w:p>
        </w:tc>
        <w:tc>
          <w:tcPr>
            <w:tcW w:w="0" w:type="auto"/>
          </w:tcPr>
          <w:p w14:paraId="1247790C" w14:textId="5AA18AE8" w:rsidR="004476DC" w:rsidRPr="00E020A8" w:rsidRDefault="004476DC" w:rsidP="004566DC">
            <w:pPr>
              <w:pStyle w:val="Tabletext1"/>
              <w:jc w:val="left"/>
              <w:rPr>
                <w:rFonts w:eastAsia="Times New Roman"/>
                <w:lang w:eastAsia="en-AU"/>
              </w:rPr>
            </w:pPr>
            <w:r w:rsidRPr="00194549">
              <w:t>Benefit</w:t>
            </w:r>
          </w:p>
        </w:tc>
      </w:tr>
      <w:tr w:rsidR="004476DC" w:rsidRPr="00E020A8" w14:paraId="47737037" w14:textId="77777777" w:rsidTr="00B677DE">
        <w:tc>
          <w:tcPr>
            <w:tcW w:w="3085" w:type="dxa"/>
          </w:tcPr>
          <w:p w14:paraId="53AF709A"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Fetal loss</w:t>
            </w:r>
          </w:p>
        </w:tc>
        <w:tc>
          <w:tcPr>
            <w:tcW w:w="1559" w:type="dxa"/>
          </w:tcPr>
          <w:p w14:paraId="0C7F96F8"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1.24</w:t>
            </w:r>
          </w:p>
        </w:tc>
        <w:tc>
          <w:tcPr>
            <w:tcW w:w="1701" w:type="dxa"/>
          </w:tcPr>
          <w:p w14:paraId="15CF6577"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1.24</w:t>
            </w:r>
          </w:p>
        </w:tc>
        <w:tc>
          <w:tcPr>
            <w:tcW w:w="1590" w:type="dxa"/>
          </w:tcPr>
          <w:p w14:paraId="507430A4" w14:textId="4986C4DB" w:rsidR="004476DC" w:rsidRPr="00E020A8" w:rsidRDefault="00B24E53" w:rsidP="004566DC">
            <w:pPr>
              <w:spacing w:before="40" w:after="40" w:line="240" w:lineRule="auto"/>
              <w:ind w:right="317"/>
              <w:jc w:val="right"/>
              <w:rPr>
                <w:rFonts w:ascii="Arial Narrow" w:eastAsia="Times New Roman" w:hAnsi="Arial Narrow"/>
                <w:color w:val="000000"/>
                <w:sz w:val="20"/>
                <w:szCs w:val="20"/>
                <w:lang w:eastAsia="en-AU"/>
              </w:rPr>
            </w:pPr>
            <w:r>
              <w:rPr>
                <w:rFonts w:ascii="Arial Narrow" w:hAnsi="Arial Narrow"/>
                <w:sz w:val="20"/>
                <w:szCs w:val="20"/>
              </w:rPr>
              <w:t>–</w:t>
            </w:r>
            <w:r w:rsidR="004476DC" w:rsidRPr="00E020A8">
              <w:rPr>
                <w:rFonts w:ascii="Arial Narrow" w:hAnsi="Arial Narrow"/>
                <w:sz w:val="20"/>
                <w:szCs w:val="20"/>
              </w:rPr>
              <w:t>0.03</w:t>
            </w:r>
          </w:p>
        </w:tc>
        <w:tc>
          <w:tcPr>
            <w:tcW w:w="0" w:type="auto"/>
          </w:tcPr>
          <w:p w14:paraId="7EEB82D0" w14:textId="77777777" w:rsidR="004476DC" w:rsidRPr="00E020A8" w:rsidRDefault="004476DC" w:rsidP="004566DC">
            <w:pPr>
              <w:pStyle w:val="Tabletext1"/>
              <w:jc w:val="left"/>
              <w:rPr>
                <w:rFonts w:eastAsia="Times New Roman"/>
                <w:lang w:eastAsia="en-AU"/>
              </w:rPr>
            </w:pPr>
          </w:p>
        </w:tc>
      </w:tr>
      <w:tr w:rsidR="004476DC" w:rsidRPr="00E020A8" w14:paraId="7D1E939C" w14:textId="77777777" w:rsidTr="00B677DE">
        <w:tc>
          <w:tcPr>
            <w:tcW w:w="3085" w:type="dxa"/>
          </w:tcPr>
          <w:p w14:paraId="32A4DB9A" w14:textId="523AEE62"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Procedure</w:t>
            </w:r>
            <w:r w:rsidR="001312C1">
              <w:rPr>
                <w:rFonts w:ascii="Arial Narrow" w:hAnsi="Arial Narrow"/>
                <w:sz w:val="20"/>
                <w:szCs w:val="20"/>
              </w:rPr>
              <w:t>-</w:t>
            </w:r>
            <w:r w:rsidRPr="00E020A8">
              <w:rPr>
                <w:rFonts w:ascii="Arial Narrow" w:hAnsi="Arial Narrow"/>
                <w:sz w:val="20"/>
                <w:szCs w:val="20"/>
              </w:rPr>
              <w:t>related fetal loss</w:t>
            </w:r>
          </w:p>
        </w:tc>
        <w:tc>
          <w:tcPr>
            <w:tcW w:w="1559" w:type="dxa"/>
          </w:tcPr>
          <w:p w14:paraId="798972D1"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0.009</w:t>
            </w:r>
          </w:p>
        </w:tc>
        <w:tc>
          <w:tcPr>
            <w:tcW w:w="1701" w:type="dxa"/>
          </w:tcPr>
          <w:p w14:paraId="2906ADE5"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90" w:type="dxa"/>
          </w:tcPr>
          <w:p w14:paraId="0049E850"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0.009</w:t>
            </w:r>
          </w:p>
        </w:tc>
        <w:tc>
          <w:tcPr>
            <w:tcW w:w="0" w:type="auto"/>
          </w:tcPr>
          <w:p w14:paraId="0A1C5D2B" w14:textId="025ADD92" w:rsidR="004476DC" w:rsidRPr="00E020A8" w:rsidRDefault="004476DC" w:rsidP="004566DC">
            <w:pPr>
              <w:pStyle w:val="Tabletext1"/>
              <w:jc w:val="left"/>
              <w:rPr>
                <w:rFonts w:eastAsia="Times New Roman"/>
                <w:lang w:eastAsia="en-AU"/>
              </w:rPr>
            </w:pPr>
            <w:r>
              <w:t>Harm</w:t>
            </w:r>
          </w:p>
        </w:tc>
      </w:tr>
      <w:tr w:rsidR="004476DC" w:rsidRPr="00E020A8" w14:paraId="1275C909" w14:textId="77777777" w:rsidTr="00B677DE">
        <w:tc>
          <w:tcPr>
            <w:tcW w:w="3085" w:type="dxa"/>
          </w:tcPr>
          <w:p w14:paraId="1911B31F"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No CF</w:t>
            </w:r>
          </w:p>
        </w:tc>
        <w:tc>
          <w:tcPr>
            <w:tcW w:w="1559" w:type="dxa"/>
          </w:tcPr>
          <w:p w14:paraId="57117205" w14:textId="77777777" w:rsidR="004476DC" w:rsidRPr="00E020A8" w:rsidRDefault="004476DC" w:rsidP="004566DC">
            <w:pPr>
              <w:spacing w:before="40" w:after="40" w:line="240" w:lineRule="auto"/>
              <w:ind w:right="317"/>
              <w:jc w:val="right"/>
              <w:rPr>
                <w:rFonts w:ascii="Arial Narrow" w:eastAsia="Times New Roman" w:hAnsi="Arial Narrow"/>
                <w:sz w:val="20"/>
                <w:szCs w:val="20"/>
                <w:lang w:eastAsia="en-AU"/>
              </w:rPr>
            </w:pPr>
            <w:r w:rsidRPr="00E020A8">
              <w:rPr>
                <w:rFonts w:ascii="Arial Narrow" w:hAnsi="Arial Narrow"/>
                <w:sz w:val="20"/>
                <w:szCs w:val="20"/>
              </w:rPr>
              <w:t>94.28</w:t>
            </w:r>
          </w:p>
        </w:tc>
        <w:tc>
          <w:tcPr>
            <w:tcW w:w="1701" w:type="dxa"/>
          </w:tcPr>
          <w:p w14:paraId="535007C7"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94.29</w:t>
            </w:r>
          </w:p>
        </w:tc>
        <w:tc>
          <w:tcPr>
            <w:tcW w:w="1590" w:type="dxa"/>
          </w:tcPr>
          <w:p w14:paraId="40472E97" w14:textId="77777777" w:rsidR="004476DC" w:rsidRPr="00E020A8" w:rsidRDefault="004476DC" w:rsidP="004566DC">
            <w:pPr>
              <w:spacing w:before="40" w:after="40" w:line="240" w:lineRule="auto"/>
              <w:ind w:right="317"/>
              <w:jc w:val="right"/>
              <w:rPr>
                <w:rFonts w:ascii="Arial Narrow" w:eastAsia="Times New Roman" w:hAnsi="Arial Narrow"/>
                <w:color w:val="000000"/>
                <w:sz w:val="20"/>
                <w:szCs w:val="20"/>
                <w:lang w:eastAsia="en-AU"/>
              </w:rPr>
            </w:pPr>
            <w:r w:rsidRPr="00E020A8">
              <w:rPr>
                <w:rFonts w:ascii="Arial Narrow" w:hAnsi="Arial Narrow"/>
                <w:sz w:val="20"/>
                <w:szCs w:val="20"/>
              </w:rPr>
              <w:t>0.00</w:t>
            </w:r>
          </w:p>
        </w:tc>
        <w:tc>
          <w:tcPr>
            <w:tcW w:w="0" w:type="auto"/>
          </w:tcPr>
          <w:p w14:paraId="0A743DA6" w14:textId="72F2E41B" w:rsidR="004476DC" w:rsidRPr="00E020A8" w:rsidRDefault="004476DC" w:rsidP="004566DC">
            <w:pPr>
              <w:pStyle w:val="Tabletext1"/>
              <w:jc w:val="left"/>
              <w:rPr>
                <w:rFonts w:eastAsia="Times New Roman"/>
                <w:lang w:eastAsia="en-AU"/>
              </w:rPr>
            </w:pPr>
            <w:r>
              <w:t>-</w:t>
            </w:r>
          </w:p>
        </w:tc>
      </w:tr>
    </w:tbl>
    <w:p w14:paraId="4BAE2826" w14:textId="4D8A621C" w:rsidR="00ED6D7E" w:rsidRPr="00E020A8" w:rsidRDefault="004476DC" w:rsidP="00ED6D7E">
      <w:pPr>
        <w:pStyle w:val="Tablenotes0"/>
      </w:pPr>
      <w:r w:rsidRPr="004476DC">
        <w:t>FEB = fetal echogenic bowel;</w:t>
      </w:r>
      <w:r>
        <w:t xml:space="preserve"> </w:t>
      </w:r>
      <w:r w:rsidR="00ED6D7E" w:rsidRPr="00E020A8">
        <w:t>CF = cystic fibrosis</w:t>
      </w:r>
    </w:p>
    <w:p w14:paraId="73471763" w14:textId="77777777" w:rsidR="00ED6D7E" w:rsidRPr="00F57AF2" w:rsidRDefault="00ED6D7E" w:rsidP="00F57AF2">
      <w:pPr>
        <w:pStyle w:val="Caption"/>
      </w:pPr>
      <w:bookmarkStart w:id="621" w:name="_Toc418179505"/>
      <w:r w:rsidRPr="00F57AF2">
        <w:t xml:space="preserve">Table </w:t>
      </w:r>
      <w:fldSimple w:instr=" SEQ Table \* ARABIC ">
        <w:r w:rsidR="00BB0E3E">
          <w:rPr>
            <w:noProof/>
          </w:rPr>
          <w:t>108</w:t>
        </w:r>
      </w:fldSimple>
      <w:r w:rsidRPr="00F57AF2">
        <w:tab/>
        <w:t>Incremental costs, additional scenario 2</w:t>
      </w:r>
      <w:bookmarkEnd w:id="621"/>
    </w:p>
    <w:tbl>
      <w:tblPr>
        <w:tblStyle w:val="TableGrid9"/>
        <w:tblW w:w="5000" w:type="pct"/>
        <w:tblLook w:val="04A0" w:firstRow="1" w:lastRow="0" w:firstColumn="1" w:lastColumn="0" w:noHBand="0" w:noVBand="1"/>
        <w:tblCaption w:val="Incremental costs, additional scenario 2"/>
        <w:tblDescription w:val="Incremental costs, additional scenario 2"/>
      </w:tblPr>
      <w:tblGrid>
        <w:gridCol w:w="2689"/>
        <w:gridCol w:w="2200"/>
        <w:gridCol w:w="2357"/>
        <w:gridCol w:w="1996"/>
      </w:tblGrid>
      <w:tr w:rsidR="00ED6D7E" w:rsidRPr="00993E7F" w14:paraId="2BB56215" w14:textId="77777777" w:rsidTr="007C1FC6">
        <w:trPr>
          <w:tblHeader/>
        </w:trPr>
        <w:tc>
          <w:tcPr>
            <w:tcW w:w="1455" w:type="pct"/>
            <w:tcBorders>
              <w:bottom w:val="single" w:sz="4" w:space="0" w:color="auto"/>
            </w:tcBorders>
            <w:shd w:val="clear" w:color="auto" w:fill="FFFFFF" w:themeFill="background1"/>
          </w:tcPr>
          <w:p w14:paraId="09592C27" w14:textId="77777777" w:rsidR="00ED6D7E" w:rsidRPr="00993E7F" w:rsidRDefault="00ED6D7E" w:rsidP="00BB2456">
            <w:pPr>
              <w:spacing w:before="40" w:after="40" w:line="240" w:lineRule="auto"/>
              <w:jc w:val="left"/>
              <w:rPr>
                <w:rFonts w:ascii="Arial Narrow" w:hAnsi="Arial Narrow"/>
                <w:b/>
                <w:sz w:val="20"/>
                <w:szCs w:val="20"/>
              </w:rPr>
            </w:pPr>
            <w:r w:rsidRPr="00993E7F">
              <w:rPr>
                <w:rFonts w:ascii="Arial Narrow" w:hAnsi="Arial Narrow"/>
                <w:b/>
                <w:sz w:val="20"/>
                <w:szCs w:val="20"/>
              </w:rPr>
              <w:t>Cost</w:t>
            </w:r>
          </w:p>
        </w:tc>
        <w:tc>
          <w:tcPr>
            <w:tcW w:w="1190" w:type="pct"/>
            <w:tcBorders>
              <w:bottom w:val="single" w:sz="4" w:space="0" w:color="auto"/>
            </w:tcBorders>
            <w:shd w:val="clear" w:color="auto" w:fill="FFFFFF" w:themeFill="background1"/>
          </w:tcPr>
          <w:p w14:paraId="3CFF78F5" w14:textId="77777777" w:rsidR="00ED6D7E" w:rsidRPr="00993E7F" w:rsidRDefault="00ED6D7E" w:rsidP="004566DC">
            <w:pPr>
              <w:spacing w:before="40" w:after="40" w:line="240" w:lineRule="auto"/>
              <w:jc w:val="center"/>
              <w:rPr>
                <w:rFonts w:ascii="Arial Narrow" w:eastAsia="Times New Roman" w:hAnsi="Arial Narrow"/>
                <w:b/>
                <w:sz w:val="20"/>
                <w:szCs w:val="20"/>
                <w:lang w:eastAsia="en-AU"/>
              </w:rPr>
            </w:pPr>
            <w:r w:rsidRPr="00993E7F">
              <w:rPr>
                <w:rFonts w:ascii="Arial Narrow" w:hAnsi="Arial Narrow"/>
                <w:b/>
                <w:sz w:val="20"/>
                <w:szCs w:val="20"/>
              </w:rPr>
              <w:t>Prenatal testing</w:t>
            </w:r>
          </w:p>
        </w:tc>
        <w:tc>
          <w:tcPr>
            <w:tcW w:w="1275" w:type="pct"/>
            <w:tcBorders>
              <w:bottom w:val="single" w:sz="4" w:space="0" w:color="auto"/>
            </w:tcBorders>
            <w:shd w:val="clear" w:color="auto" w:fill="FFFFFF" w:themeFill="background1"/>
          </w:tcPr>
          <w:p w14:paraId="2FD02FF6" w14:textId="1A782FFE" w:rsidR="00ED6D7E" w:rsidRPr="00993E7F" w:rsidRDefault="00ED6D7E" w:rsidP="004566DC">
            <w:pPr>
              <w:spacing w:before="40" w:after="40" w:line="240" w:lineRule="auto"/>
              <w:jc w:val="center"/>
              <w:rPr>
                <w:rFonts w:ascii="Arial Narrow" w:eastAsia="Times New Roman" w:hAnsi="Arial Narrow"/>
                <w:b/>
                <w:sz w:val="20"/>
                <w:szCs w:val="20"/>
                <w:lang w:eastAsia="en-AU"/>
              </w:rPr>
            </w:pPr>
            <w:r w:rsidRPr="00993E7F">
              <w:rPr>
                <w:rFonts w:ascii="Arial Narrow" w:hAnsi="Arial Narrow"/>
                <w:b/>
                <w:sz w:val="20"/>
                <w:szCs w:val="20"/>
              </w:rPr>
              <w:t>No prenatal testing</w:t>
            </w:r>
          </w:p>
        </w:tc>
        <w:tc>
          <w:tcPr>
            <w:tcW w:w="1080" w:type="pct"/>
            <w:tcBorders>
              <w:bottom w:val="single" w:sz="4" w:space="0" w:color="auto"/>
            </w:tcBorders>
            <w:shd w:val="clear" w:color="auto" w:fill="FFFFFF" w:themeFill="background1"/>
          </w:tcPr>
          <w:p w14:paraId="60CCCBDA" w14:textId="77777777" w:rsidR="00ED6D7E" w:rsidRPr="00993E7F" w:rsidRDefault="00ED6D7E" w:rsidP="004566DC">
            <w:pPr>
              <w:spacing w:before="40" w:after="40" w:line="240" w:lineRule="auto"/>
              <w:jc w:val="center"/>
              <w:rPr>
                <w:rFonts w:ascii="Arial Narrow" w:eastAsia="Times New Roman" w:hAnsi="Arial Narrow"/>
                <w:b/>
                <w:sz w:val="20"/>
                <w:szCs w:val="20"/>
                <w:lang w:eastAsia="en-AU"/>
              </w:rPr>
            </w:pPr>
            <w:r w:rsidRPr="00993E7F">
              <w:rPr>
                <w:rFonts w:ascii="Arial Narrow" w:hAnsi="Arial Narrow"/>
                <w:b/>
                <w:sz w:val="20"/>
                <w:szCs w:val="20"/>
              </w:rPr>
              <w:t>Increment</w:t>
            </w:r>
          </w:p>
        </w:tc>
      </w:tr>
      <w:tr w:rsidR="00ED6D7E" w:rsidRPr="00993E7F" w14:paraId="616F5AD1" w14:textId="77777777" w:rsidTr="00BB2456">
        <w:tc>
          <w:tcPr>
            <w:tcW w:w="1455" w:type="pct"/>
            <w:tcBorders>
              <w:right w:val="nil"/>
            </w:tcBorders>
            <w:shd w:val="clear" w:color="auto" w:fill="F2F2F2" w:themeFill="background1" w:themeFillShade="F2"/>
          </w:tcPr>
          <w:p w14:paraId="68808B14" w14:textId="39D803DD" w:rsidR="00ED6D7E" w:rsidRPr="00993E7F" w:rsidRDefault="00ED6D7E" w:rsidP="00BB2456">
            <w:pPr>
              <w:spacing w:before="40" w:after="40" w:line="240" w:lineRule="auto"/>
              <w:jc w:val="left"/>
              <w:rPr>
                <w:rFonts w:ascii="Arial Narrow" w:hAnsi="Arial Narrow"/>
                <w:i/>
                <w:sz w:val="20"/>
                <w:szCs w:val="20"/>
              </w:rPr>
            </w:pPr>
            <w:r w:rsidRPr="00993E7F">
              <w:rPr>
                <w:rFonts w:ascii="Arial Narrow" w:hAnsi="Arial Narrow"/>
                <w:sz w:val="20"/>
                <w:szCs w:val="20"/>
              </w:rPr>
              <w:t>Model 1</w:t>
            </w:r>
            <w:r w:rsidR="00B677DE">
              <w:rPr>
                <w:rFonts w:ascii="Arial Narrow" w:hAnsi="Arial Narrow"/>
                <w:sz w:val="20"/>
                <w:szCs w:val="20"/>
              </w:rPr>
              <w:t xml:space="preserve"> </w:t>
            </w:r>
            <w:r w:rsidR="00B677DE" w:rsidRPr="00517F92">
              <w:rPr>
                <w:rFonts w:ascii="Arial Narrow" w:hAnsi="Arial Narrow"/>
                <w:i/>
                <w:sz w:val="20"/>
                <w:szCs w:val="20"/>
              </w:rPr>
              <w:t>(</w:t>
            </w:r>
            <w:r w:rsidR="001312C1">
              <w:rPr>
                <w:rFonts w:ascii="Arial Narrow" w:hAnsi="Arial Narrow"/>
                <w:i/>
                <w:sz w:val="20"/>
                <w:szCs w:val="20"/>
              </w:rPr>
              <w:t>P</w:t>
            </w:r>
            <w:r w:rsidR="00B677DE" w:rsidRPr="00517F92">
              <w:rPr>
                <w:rFonts w:ascii="Arial Narrow" w:hAnsi="Arial Narrow"/>
                <w:i/>
                <w:sz w:val="20"/>
                <w:szCs w:val="20"/>
              </w:rPr>
              <w:t xml:space="preserve">arents </w:t>
            </w:r>
            <w:r w:rsidR="00B677DE">
              <w:rPr>
                <w:rFonts w:ascii="Arial Narrow" w:hAnsi="Arial Narrow"/>
                <w:i/>
                <w:sz w:val="20"/>
                <w:szCs w:val="20"/>
              </w:rPr>
              <w:t xml:space="preserve">are </w:t>
            </w:r>
            <w:r w:rsidR="00B677DE" w:rsidRPr="00517F92">
              <w:rPr>
                <w:rFonts w:ascii="Arial Narrow" w:hAnsi="Arial Narrow"/>
                <w:i/>
                <w:sz w:val="20"/>
                <w:szCs w:val="20"/>
              </w:rPr>
              <w:t xml:space="preserve">known </w:t>
            </w:r>
            <w:r w:rsidR="00B677DE">
              <w:rPr>
                <w:rFonts w:ascii="Arial Narrow" w:hAnsi="Arial Narrow"/>
                <w:i/>
                <w:sz w:val="20"/>
                <w:szCs w:val="20"/>
              </w:rPr>
              <w:t xml:space="preserve">CF </w:t>
            </w:r>
            <w:r w:rsidR="00B677DE" w:rsidRPr="00517F92">
              <w:rPr>
                <w:rFonts w:ascii="Arial Narrow" w:hAnsi="Arial Narrow"/>
                <w:i/>
                <w:sz w:val="20"/>
                <w:szCs w:val="20"/>
              </w:rPr>
              <w:t>carriers)</w:t>
            </w:r>
          </w:p>
        </w:tc>
        <w:tc>
          <w:tcPr>
            <w:tcW w:w="1190" w:type="pct"/>
            <w:tcBorders>
              <w:left w:val="nil"/>
              <w:right w:val="nil"/>
            </w:tcBorders>
            <w:shd w:val="clear" w:color="auto" w:fill="F2F2F2" w:themeFill="background1" w:themeFillShade="F2"/>
          </w:tcPr>
          <w:p w14:paraId="26647B19" w14:textId="77777777" w:rsidR="00ED6D7E" w:rsidRPr="00993E7F" w:rsidRDefault="00ED6D7E" w:rsidP="00BB2456">
            <w:pPr>
              <w:spacing w:before="40" w:after="40" w:line="240" w:lineRule="auto"/>
              <w:jc w:val="left"/>
              <w:rPr>
                <w:rFonts w:ascii="Arial Narrow" w:hAnsi="Arial Narrow"/>
                <w:sz w:val="20"/>
                <w:szCs w:val="20"/>
              </w:rPr>
            </w:pPr>
          </w:p>
        </w:tc>
        <w:tc>
          <w:tcPr>
            <w:tcW w:w="1275" w:type="pct"/>
            <w:tcBorders>
              <w:left w:val="nil"/>
              <w:right w:val="nil"/>
            </w:tcBorders>
            <w:shd w:val="clear" w:color="auto" w:fill="F2F2F2" w:themeFill="background1" w:themeFillShade="F2"/>
          </w:tcPr>
          <w:p w14:paraId="77D33915" w14:textId="77777777" w:rsidR="00ED6D7E" w:rsidRPr="00993E7F" w:rsidRDefault="00ED6D7E" w:rsidP="00BB2456">
            <w:pPr>
              <w:spacing w:before="40" w:after="40" w:line="240" w:lineRule="auto"/>
              <w:jc w:val="left"/>
              <w:rPr>
                <w:rFonts w:ascii="Arial Narrow" w:hAnsi="Arial Narrow"/>
                <w:sz w:val="20"/>
                <w:szCs w:val="20"/>
              </w:rPr>
            </w:pPr>
          </w:p>
        </w:tc>
        <w:tc>
          <w:tcPr>
            <w:tcW w:w="1080" w:type="pct"/>
            <w:tcBorders>
              <w:left w:val="nil"/>
            </w:tcBorders>
            <w:shd w:val="clear" w:color="auto" w:fill="F2F2F2" w:themeFill="background1" w:themeFillShade="F2"/>
          </w:tcPr>
          <w:p w14:paraId="7D41D402" w14:textId="77777777" w:rsidR="00ED6D7E" w:rsidRPr="00993E7F" w:rsidRDefault="00ED6D7E" w:rsidP="00BB2456">
            <w:pPr>
              <w:spacing w:before="40" w:after="40" w:line="240" w:lineRule="auto"/>
              <w:jc w:val="left"/>
              <w:rPr>
                <w:rFonts w:ascii="Arial Narrow" w:hAnsi="Arial Narrow"/>
                <w:sz w:val="20"/>
                <w:szCs w:val="20"/>
              </w:rPr>
            </w:pPr>
          </w:p>
        </w:tc>
      </w:tr>
      <w:tr w:rsidR="00ED6D7E" w:rsidRPr="00993E7F" w14:paraId="1BF8005D" w14:textId="77777777" w:rsidTr="00BB2456">
        <w:tc>
          <w:tcPr>
            <w:tcW w:w="1455" w:type="pct"/>
          </w:tcPr>
          <w:p w14:paraId="07FBFB24" w14:textId="77777777" w:rsidR="00ED6D7E" w:rsidRPr="00993E7F" w:rsidRDefault="00ED6D7E" w:rsidP="00BB2456">
            <w:pPr>
              <w:spacing w:before="40" w:after="40" w:line="240" w:lineRule="auto"/>
              <w:jc w:val="left"/>
              <w:rPr>
                <w:rFonts w:ascii="Arial Narrow" w:hAnsi="Arial Narrow"/>
                <w:sz w:val="20"/>
                <w:szCs w:val="20"/>
              </w:rPr>
            </w:pPr>
            <w:r w:rsidRPr="00993E7F">
              <w:rPr>
                <w:rFonts w:ascii="Arial Narrow" w:hAnsi="Arial Narrow"/>
                <w:sz w:val="20"/>
                <w:szCs w:val="20"/>
              </w:rPr>
              <w:t>Cost per diagnosis</w:t>
            </w:r>
          </w:p>
        </w:tc>
        <w:tc>
          <w:tcPr>
            <w:tcW w:w="1190" w:type="pct"/>
          </w:tcPr>
          <w:p w14:paraId="68DE472D"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r w:rsidRPr="00993E7F">
              <w:rPr>
                <w:rFonts w:ascii="Arial Narrow" w:hAnsi="Arial Narrow"/>
                <w:sz w:val="20"/>
                <w:szCs w:val="20"/>
              </w:rPr>
              <w:t>$4,530.47</w:t>
            </w:r>
          </w:p>
        </w:tc>
        <w:tc>
          <w:tcPr>
            <w:tcW w:w="1275" w:type="pct"/>
          </w:tcPr>
          <w:p w14:paraId="325D84E8"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r w:rsidRPr="00993E7F">
              <w:rPr>
                <w:rFonts w:ascii="Arial Narrow" w:hAnsi="Arial Narrow"/>
                <w:sz w:val="20"/>
                <w:szCs w:val="20"/>
              </w:rPr>
              <w:t>$4071.61</w:t>
            </w:r>
          </w:p>
        </w:tc>
        <w:tc>
          <w:tcPr>
            <w:tcW w:w="1080" w:type="pct"/>
          </w:tcPr>
          <w:p w14:paraId="48C07FEA" w14:textId="77777777" w:rsidR="00ED6D7E" w:rsidRPr="00993E7F" w:rsidRDefault="00ED6D7E" w:rsidP="004566DC">
            <w:pPr>
              <w:spacing w:after="0" w:line="240" w:lineRule="auto"/>
              <w:ind w:right="562"/>
              <w:jc w:val="right"/>
              <w:rPr>
                <w:rFonts w:ascii="Arial Narrow" w:eastAsia="Times New Roman" w:hAnsi="Arial Narrow" w:cs="Times New Roman"/>
                <w:color w:val="000000"/>
                <w:sz w:val="20"/>
                <w:szCs w:val="20"/>
                <w:lang w:eastAsia="en-AU"/>
              </w:rPr>
            </w:pPr>
            <w:r w:rsidRPr="00993E7F">
              <w:rPr>
                <w:rFonts w:ascii="Arial Narrow" w:hAnsi="Arial Narrow"/>
                <w:color w:val="000000"/>
                <w:sz w:val="20"/>
                <w:szCs w:val="20"/>
              </w:rPr>
              <w:t>$458.86</w:t>
            </w:r>
          </w:p>
        </w:tc>
      </w:tr>
      <w:tr w:rsidR="00ED6D7E" w:rsidRPr="00993E7F" w14:paraId="3CA12F37" w14:textId="77777777" w:rsidTr="00BB2456">
        <w:tc>
          <w:tcPr>
            <w:tcW w:w="1455" w:type="pct"/>
            <w:tcBorders>
              <w:right w:val="nil"/>
            </w:tcBorders>
            <w:shd w:val="clear" w:color="auto" w:fill="F2F2F2" w:themeFill="background1" w:themeFillShade="F2"/>
          </w:tcPr>
          <w:p w14:paraId="38AAF1C3" w14:textId="7E31E5BA" w:rsidR="00ED6D7E" w:rsidRPr="00993E7F" w:rsidRDefault="00ED6D7E" w:rsidP="00BB2456">
            <w:pPr>
              <w:spacing w:before="40" w:after="40" w:line="240" w:lineRule="auto"/>
              <w:jc w:val="left"/>
              <w:rPr>
                <w:rFonts w:ascii="Arial Narrow" w:hAnsi="Arial Narrow"/>
                <w:sz w:val="20"/>
                <w:szCs w:val="20"/>
              </w:rPr>
            </w:pPr>
            <w:r w:rsidRPr="00993E7F">
              <w:rPr>
                <w:rFonts w:ascii="Arial Narrow" w:hAnsi="Arial Narrow"/>
                <w:sz w:val="20"/>
                <w:szCs w:val="20"/>
              </w:rPr>
              <w:lastRenderedPageBreak/>
              <w:t>Model 2</w:t>
            </w:r>
            <w:r w:rsidR="00B677DE">
              <w:rPr>
                <w:rFonts w:ascii="Arial Narrow" w:hAnsi="Arial Narrow"/>
                <w:sz w:val="20"/>
                <w:szCs w:val="20"/>
              </w:rPr>
              <w:t xml:space="preserve"> </w:t>
            </w:r>
            <w:r w:rsidR="00B677DE" w:rsidRPr="00517F92">
              <w:rPr>
                <w:rFonts w:ascii="Arial Narrow" w:hAnsi="Arial Narrow"/>
                <w:i/>
                <w:sz w:val="20"/>
                <w:szCs w:val="20"/>
              </w:rPr>
              <w:t>(Fetus has FEB)</w:t>
            </w:r>
          </w:p>
        </w:tc>
        <w:tc>
          <w:tcPr>
            <w:tcW w:w="1190" w:type="pct"/>
            <w:tcBorders>
              <w:left w:val="nil"/>
              <w:right w:val="nil"/>
            </w:tcBorders>
            <w:shd w:val="clear" w:color="auto" w:fill="F2F2F2" w:themeFill="background1" w:themeFillShade="F2"/>
          </w:tcPr>
          <w:p w14:paraId="11098FDF"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p>
        </w:tc>
        <w:tc>
          <w:tcPr>
            <w:tcW w:w="1275" w:type="pct"/>
            <w:tcBorders>
              <w:left w:val="nil"/>
              <w:right w:val="nil"/>
            </w:tcBorders>
            <w:shd w:val="clear" w:color="auto" w:fill="F2F2F2" w:themeFill="background1" w:themeFillShade="F2"/>
          </w:tcPr>
          <w:p w14:paraId="36E1232C"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p>
        </w:tc>
        <w:tc>
          <w:tcPr>
            <w:tcW w:w="1080" w:type="pct"/>
            <w:tcBorders>
              <w:left w:val="nil"/>
            </w:tcBorders>
            <w:shd w:val="clear" w:color="auto" w:fill="F2F2F2" w:themeFill="background1" w:themeFillShade="F2"/>
          </w:tcPr>
          <w:p w14:paraId="760F1B8F"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p>
        </w:tc>
      </w:tr>
      <w:tr w:rsidR="00ED6D7E" w:rsidRPr="00993E7F" w14:paraId="4B6070E1" w14:textId="77777777" w:rsidTr="00BB2456">
        <w:tc>
          <w:tcPr>
            <w:tcW w:w="1455" w:type="pct"/>
          </w:tcPr>
          <w:p w14:paraId="0E9D2AF9" w14:textId="77777777" w:rsidR="00ED6D7E" w:rsidRPr="00993E7F" w:rsidRDefault="00ED6D7E" w:rsidP="00BB2456">
            <w:pPr>
              <w:spacing w:before="40" w:after="40" w:line="240" w:lineRule="auto"/>
              <w:jc w:val="left"/>
              <w:rPr>
                <w:rFonts w:ascii="Arial Narrow" w:hAnsi="Arial Narrow"/>
                <w:sz w:val="20"/>
                <w:szCs w:val="20"/>
              </w:rPr>
            </w:pPr>
            <w:r w:rsidRPr="00993E7F">
              <w:rPr>
                <w:rFonts w:ascii="Arial Narrow" w:hAnsi="Arial Narrow"/>
                <w:sz w:val="20"/>
                <w:szCs w:val="20"/>
              </w:rPr>
              <w:t>Cost per diagnosis</w:t>
            </w:r>
          </w:p>
        </w:tc>
        <w:tc>
          <w:tcPr>
            <w:tcW w:w="1190" w:type="pct"/>
          </w:tcPr>
          <w:p w14:paraId="3E864BB4" w14:textId="77777777" w:rsidR="00ED6D7E" w:rsidRPr="00993E7F" w:rsidRDefault="002B5BD6" w:rsidP="004566DC">
            <w:pPr>
              <w:spacing w:before="40" w:after="40" w:line="240" w:lineRule="auto"/>
              <w:ind w:right="562"/>
              <w:jc w:val="right"/>
              <w:rPr>
                <w:rFonts w:ascii="Arial Narrow" w:eastAsia="Times New Roman" w:hAnsi="Arial Narrow"/>
                <w:sz w:val="20"/>
                <w:szCs w:val="20"/>
                <w:lang w:eastAsia="en-AU"/>
              </w:rPr>
            </w:pPr>
            <w:r>
              <w:rPr>
                <w:rFonts w:ascii="Arial Narrow" w:hAnsi="Arial Narrow"/>
                <w:sz w:val="20"/>
                <w:szCs w:val="20"/>
              </w:rPr>
              <w:t>$4,478.91</w:t>
            </w:r>
          </w:p>
        </w:tc>
        <w:tc>
          <w:tcPr>
            <w:tcW w:w="1275" w:type="pct"/>
          </w:tcPr>
          <w:p w14:paraId="4113098A"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r w:rsidRPr="00993E7F">
              <w:rPr>
                <w:rFonts w:ascii="Arial Narrow" w:hAnsi="Arial Narrow"/>
                <w:sz w:val="20"/>
                <w:szCs w:val="20"/>
              </w:rPr>
              <w:t>$3,866.92</w:t>
            </w:r>
          </w:p>
        </w:tc>
        <w:tc>
          <w:tcPr>
            <w:tcW w:w="1080" w:type="pct"/>
          </w:tcPr>
          <w:p w14:paraId="1261C21C" w14:textId="77777777" w:rsidR="00ED6D7E" w:rsidRPr="00993E7F" w:rsidRDefault="00ED6D7E" w:rsidP="004566DC">
            <w:pPr>
              <w:spacing w:before="40" w:after="40" w:line="240" w:lineRule="auto"/>
              <w:ind w:right="562"/>
              <w:jc w:val="right"/>
              <w:rPr>
                <w:rFonts w:ascii="Arial Narrow" w:eastAsia="Times New Roman" w:hAnsi="Arial Narrow"/>
                <w:sz w:val="20"/>
                <w:szCs w:val="20"/>
                <w:lang w:eastAsia="en-AU"/>
              </w:rPr>
            </w:pPr>
            <w:r w:rsidRPr="00993E7F">
              <w:rPr>
                <w:rFonts w:ascii="Arial Narrow" w:hAnsi="Arial Narrow"/>
                <w:sz w:val="20"/>
                <w:szCs w:val="20"/>
              </w:rPr>
              <w:t>$61</w:t>
            </w:r>
            <w:r w:rsidR="002B5BD6">
              <w:rPr>
                <w:rFonts w:ascii="Arial Narrow" w:hAnsi="Arial Narrow"/>
                <w:sz w:val="20"/>
                <w:szCs w:val="20"/>
              </w:rPr>
              <w:t>1.99</w:t>
            </w:r>
          </w:p>
        </w:tc>
      </w:tr>
    </w:tbl>
    <w:p w14:paraId="1A042751" w14:textId="55D00119" w:rsidR="00ED6D7E" w:rsidRDefault="00B677DE" w:rsidP="00ED6D7E">
      <w:pPr>
        <w:pStyle w:val="Tablenotes0"/>
      </w:pPr>
      <w:r w:rsidRPr="004476DC">
        <w:t>FEB = fetal echogenic bowel;</w:t>
      </w:r>
      <w:r>
        <w:t xml:space="preserve"> </w:t>
      </w:r>
      <w:r w:rsidR="00ED6D7E">
        <w:t>CF = cystic fibrosis</w:t>
      </w:r>
    </w:p>
    <w:p w14:paraId="2C651695" w14:textId="77777777" w:rsidR="00ED6D7E" w:rsidRPr="00F57AF2" w:rsidRDefault="00ED6D7E" w:rsidP="00F57AF2">
      <w:pPr>
        <w:pStyle w:val="Caption"/>
      </w:pPr>
      <w:bookmarkStart w:id="622" w:name="_Toc418179506"/>
      <w:r w:rsidRPr="00F57AF2">
        <w:t xml:space="preserve">Table </w:t>
      </w:r>
      <w:fldSimple w:instr=" SEQ Table \* ARABIC ">
        <w:r w:rsidR="00BB0E3E">
          <w:rPr>
            <w:noProof/>
          </w:rPr>
          <w:t>109</w:t>
        </w:r>
      </w:fldSimple>
      <w:r w:rsidRPr="00F57AF2">
        <w:tab/>
        <w:t>ICER, additional scenario 2</w:t>
      </w:r>
      <w:bookmarkEnd w:id="622"/>
    </w:p>
    <w:tbl>
      <w:tblPr>
        <w:tblStyle w:val="TableGrid9"/>
        <w:tblW w:w="5000" w:type="pct"/>
        <w:tblLook w:val="04A0" w:firstRow="1" w:lastRow="0" w:firstColumn="1" w:lastColumn="0" w:noHBand="0" w:noVBand="1"/>
        <w:tblCaption w:val="ICER, additional scenario 2"/>
        <w:tblDescription w:val="ICER, additional scenario 2"/>
      </w:tblPr>
      <w:tblGrid>
        <w:gridCol w:w="4190"/>
        <w:gridCol w:w="2163"/>
        <w:gridCol w:w="2889"/>
      </w:tblGrid>
      <w:tr w:rsidR="00ED6D7E" w:rsidRPr="00517F92" w14:paraId="24867E0A" w14:textId="77777777" w:rsidTr="007C1FC6">
        <w:trPr>
          <w:tblHeader/>
        </w:trPr>
        <w:tc>
          <w:tcPr>
            <w:tcW w:w="2267" w:type="pct"/>
          </w:tcPr>
          <w:p w14:paraId="3D2028E5" w14:textId="77777777" w:rsidR="00ED6D7E" w:rsidRPr="00517F92" w:rsidRDefault="00ED6D7E" w:rsidP="00BB2456">
            <w:pPr>
              <w:spacing w:before="40" w:after="40" w:line="240" w:lineRule="auto"/>
              <w:jc w:val="left"/>
              <w:rPr>
                <w:rFonts w:ascii="Arial Narrow" w:hAnsi="Arial Narrow"/>
                <w:b/>
                <w:sz w:val="20"/>
                <w:szCs w:val="20"/>
              </w:rPr>
            </w:pPr>
            <w:r w:rsidRPr="00517F92">
              <w:rPr>
                <w:rFonts w:ascii="Arial Narrow" w:hAnsi="Arial Narrow"/>
                <w:b/>
                <w:sz w:val="20"/>
                <w:szCs w:val="20"/>
              </w:rPr>
              <w:t>Clinically relevant outcomes</w:t>
            </w:r>
          </w:p>
        </w:tc>
        <w:tc>
          <w:tcPr>
            <w:tcW w:w="1170" w:type="pct"/>
            <w:tcBorders>
              <w:bottom w:val="single" w:sz="4" w:space="0" w:color="auto"/>
            </w:tcBorders>
          </w:tcPr>
          <w:p w14:paraId="114E3514" w14:textId="6C8BF125" w:rsidR="00ED6D7E" w:rsidRPr="00517F92" w:rsidRDefault="00ED6D7E" w:rsidP="00BB2456">
            <w:pPr>
              <w:spacing w:before="40" w:after="40" w:line="240" w:lineRule="auto"/>
              <w:jc w:val="left"/>
              <w:rPr>
                <w:rFonts w:ascii="Arial Narrow" w:hAnsi="Arial Narrow"/>
                <w:b/>
                <w:sz w:val="20"/>
                <w:szCs w:val="20"/>
              </w:rPr>
            </w:pPr>
            <w:r w:rsidRPr="00517F92">
              <w:rPr>
                <w:rFonts w:ascii="Arial Narrow" w:hAnsi="Arial Narrow"/>
                <w:b/>
                <w:sz w:val="20"/>
                <w:szCs w:val="20"/>
              </w:rPr>
              <w:t>Incremental outcomes</w:t>
            </w:r>
            <w:r w:rsidR="002B598F">
              <w:rPr>
                <w:rFonts w:ascii="Arial Narrow" w:hAnsi="Arial Narrow"/>
                <w:b/>
                <w:sz w:val="20"/>
                <w:szCs w:val="20"/>
              </w:rPr>
              <w:br/>
            </w:r>
            <w:r w:rsidRPr="00517F92">
              <w:rPr>
                <w:rFonts w:ascii="Arial Narrow" w:hAnsi="Arial Narrow"/>
                <w:b/>
                <w:sz w:val="20"/>
                <w:szCs w:val="20"/>
              </w:rPr>
              <w:t>(per</w:t>
            </w:r>
            <w:r w:rsidR="00B677DE">
              <w:rPr>
                <w:rFonts w:ascii="Arial Narrow" w:hAnsi="Arial Narrow"/>
                <w:b/>
                <w:sz w:val="20"/>
                <w:szCs w:val="20"/>
              </w:rPr>
              <w:t xml:space="preserve"> </w:t>
            </w:r>
            <w:r w:rsidRPr="00517F92">
              <w:rPr>
                <w:rFonts w:ascii="Arial Narrow" w:hAnsi="Arial Narrow"/>
                <w:b/>
                <w:sz w:val="20"/>
                <w:szCs w:val="20"/>
              </w:rPr>
              <w:t>100 pregnancies)</w:t>
            </w:r>
          </w:p>
        </w:tc>
        <w:tc>
          <w:tcPr>
            <w:tcW w:w="1563" w:type="pct"/>
            <w:tcBorders>
              <w:bottom w:val="single" w:sz="4" w:space="0" w:color="auto"/>
            </w:tcBorders>
          </w:tcPr>
          <w:p w14:paraId="0056FF22" w14:textId="741FD6FF" w:rsidR="00ED6D7E" w:rsidRPr="00517F92" w:rsidRDefault="00ED6D7E" w:rsidP="00BB2456">
            <w:pPr>
              <w:spacing w:before="40" w:after="40" w:line="240" w:lineRule="auto"/>
              <w:jc w:val="left"/>
              <w:rPr>
                <w:rFonts w:ascii="Arial Narrow" w:hAnsi="Arial Narrow"/>
                <w:b/>
                <w:sz w:val="20"/>
                <w:szCs w:val="20"/>
              </w:rPr>
            </w:pPr>
            <w:r w:rsidRPr="00517F92">
              <w:rPr>
                <w:rFonts w:ascii="Arial Narrow" w:hAnsi="Arial Narrow"/>
                <w:b/>
                <w:sz w:val="20"/>
                <w:szCs w:val="20"/>
              </w:rPr>
              <w:t>ICER ($/</w:t>
            </w:r>
            <w:r w:rsidR="001312C1" w:rsidRPr="00517F92">
              <w:rPr>
                <w:rFonts w:ascii="Arial Narrow" w:hAnsi="Arial Narrow"/>
                <w:b/>
                <w:sz w:val="20"/>
                <w:szCs w:val="20"/>
              </w:rPr>
              <w:t>outcome</w:t>
            </w:r>
            <w:r w:rsidRPr="00517F92">
              <w:rPr>
                <w:rFonts w:ascii="Arial Narrow" w:hAnsi="Arial Narrow"/>
                <w:b/>
                <w:sz w:val="20"/>
                <w:szCs w:val="20"/>
              </w:rPr>
              <w:t>)</w:t>
            </w:r>
          </w:p>
        </w:tc>
      </w:tr>
      <w:tr w:rsidR="00ED6D7E" w:rsidRPr="00517F92" w14:paraId="238648B1" w14:textId="77777777" w:rsidTr="00BB2456">
        <w:tc>
          <w:tcPr>
            <w:tcW w:w="2267" w:type="pct"/>
            <w:tcBorders>
              <w:right w:val="single" w:sz="4" w:space="0" w:color="auto"/>
            </w:tcBorders>
          </w:tcPr>
          <w:p w14:paraId="569E126F" w14:textId="4FAEFCC5"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Modelled population 1 (</w:t>
            </w:r>
            <w:r w:rsidR="001312C1">
              <w:rPr>
                <w:rFonts w:ascii="Arial Narrow" w:hAnsi="Arial Narrow"/>
                <w:i/>
                <w:sz w:val="20"/>
                <w:szCs w:val="20"/>
              </w:rPr>
              <w:t>P</w:t>
            </w:r>
            <w:r w:rsidRPr="00517F92">
              <w:rPr>
                <w:rFonts w:ascii="Arial Narrow" w:hAnsi="Arial Narrow"/>
                <w:i/>
                <w:sz w:val="20"/>
                <w:szCs w:val="20"/>
              </w:rPr>
              <w:t xml:space="preserve">arents </w:t>
            </w:r>
            <w:r>
              <w:rPr>
                <w:rFonts w:ascii="Arial Narrow" w:hAnsi="Arial Narrow"/>
                <w:i/>
                <w:sz w:val="20"/>
                <w:szCs w:val="20"/>
              </w:rPr>
              <w:t xml:space="preserve">are </w:t>
            </w:r>
            <w:r w:rsidRPr="00517F92">
              <w:rPr>
                <w:rFonts w:ascii="Arial Narrow" w:hAnsi="Arial Narrow"/>
                <w:i/>
                <w:sz w:val="20"/>
                <w:szCs w:val="20"/>
              </w:rPr>
              <w:t xml:space="preserve">known </w:t>
            </w:r>
            <w:r>
              <w:rPr>
                <w:rFonts w:ascii="Arial Narrow" w:hAnsi="Arial Narrow"/>
                <w:i/>
                <w:sz w:val="20"/>
                <w:szCs w:val="20"/>
              </w:rPr>
              <w:t xml:space="preserve">CF </w:t>
            </w:r>
            <w:r w:rsidRPr="00517F92">
              <w:rPr>
                <w:rFonts w:ascii="Arial Narrow" w:hAnsi="Arial Narrow"/>
                <w:i/>
                <w:sz w:val="20"/>
                <w:szCs w:val="20"/>
              </w:rPr>
              <w:t>carriers)</w:t>
            </w:r>
          </w:p>
        </w:tc>
        <w:tc>
          <w:tcPr>
            <w:tcW w:w="1170" w:type="pct"/>
            <w:tcBorders>
              <w:left w:val="single" w:sz="4" w:space="0" w:color="auto"/>
              <w:right w:val="nil"/>
            </w:tcBorders>
          </w:tcPr>
          <w:p w14:paraId="09361B85" w14:textId="562314BC" w:rsidR="00ED6D7E" w:rsidRPr="00517F92" w:rsidRDefault="00C31333" w:rsidP="00BB2456">
            <w:pPr>
              <w:spacing w:before="40" w:after="40" w:line="240" w:lineRule="auto"/>
              <w:jc w:val="left"/>
              <w:rPr>
                <w:rFonts w:ascii="Arial Narrow" w:hAnsi="Arial Narrow"/>
                <w:i/>
                <w:sz w:val="20"/>
                <w:szCs w:val="20"/>
              </w:rPr>
            </w:pPr>
            <w:r>
              <w:rPr>
                <w:rFonts w:ascii="Arial Narrow" w:hAnsi="Arial Narrow"/>
                <w:i/>
                <w:sz w:val="20"/>
                <w:szCs w:val="20"/>
              </w:rPr>
              <w:t>Incremental cost: $45,886</w:t>
            </w:r>
          </w:p>
        </w:tc>
        <w:tc>
          <w:tcPr>
            <w:tcW w:w="1563" w:type="pct"/>
            <w:tcBorders>
              <w:left w:val="nil"/>
            </w:tcBorders>
          </w:tcPr>
          <w:p w14:paraId="7BCA8612"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2FA60E84" w14:textId="77777777" w:rsidTr="00BB2456">
        <w:tc>
          <w:tcPr>
            <w:tcW w:w="2267" w:type="pct"/>
          </w:tcPr>
          <w:p w14:paraId="719F745B" w14:textId="77777777"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170" w:type="pct"/>
          </w:tcPr>
          <w:p w14:paraId="0D3FC0E5" w14:textId="77777777" w:rsidR="00ED6D7E" w:rsidRDefault="00ED6D7E" w:rsidP="004566DC">
            <w:pPr>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24.94</w:t>
            </w:r>
          </w:p>
        </w:tc>
        <w:tc>
          <w:tcPr>
            <w:tcW w:w="1563" w:type="pct"/>
          </w:tcPr>
          <w:p w14:paraId="61D7D227"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$1,840 / prenatal CF detected</w:t>
            </w:r>
          </w:p>
        </w:tc>
      </w:tr>
      <w:tr w:rsidR="00ED6D7E" w:rsidRPr="00FC4A03" w14:paraId="65ABA678" w14:textId="77777777" w:rsidTr="00BB2456">
        <w:tc>
          <w:tcPr>
            <w:tcW w:w="2267" w:type="pct"/>
          </w:tcPr>
          <w:p w14:paraId="1087AA75" w14:textId="101F0A83"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t>CF birth</w:t>
            </w:r>
            <w:r w:rsidR="001312C1">
              <w:rPr>
                <w:rFonts w:ascii="Arial Narrow" w:hAnsi="Arial Narrow"/>
                <w:sz w:val="20"/>
                <w:szCs w:val="20"/>
              </w:rPr>
              <w:t>s</w:t>
            </w:r>
            <w:r>
              <w:rPr>
                <w:rFonts w:ascii="Arial Narrow" w:hAnsi="Arial Narrow"/>
                <w:sz w:val="20"/>
                <w:szCs w:val="20"/>
              </w:rPr>
              <w:t xml:space="preserve"> averted</w:t>
            </w:r>
          </w:p>
        </w:tc>
        <w:tc>
          <w:tcPr>
            <w:tcW w:w="1170" w:type="pct"/>
          </w:tcPr>
          <w:p w14:paraId="3FA30F70" w14:textId="77777777" w:rsidR="00ED6D7E" w:rsidRDefault="00ED6D7E" w:rsidP="004566DC">
            <w:pPr>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23.72</w:t>
            </w:r>
          </w:p>
        </w:tc>
        <w:tc>
          <w:tcPr>
            <w:tcW w:w="1563" w:type="pct"/>
          </w:tcPr>
          <w:p w14:paraId="6D9419B8"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$1,935 / CF birth averted</w:t>
            </w:r>
          </w:p>
        </w:tc>
      </w:tr>
      <w:tr w:rsidR="00ED6D7E" w:rsidRPr="00FC4A03" w14:paraId="54FC4A3A" w14:textId="77777777" w:rsidTr="00BB2456">
        <w:tc>
          <w:tcPr>
            <w:tcW w:w="2267" w:type="pct"/>
          </w:tcPr>
          <w:p w14:paraId="051E48E7" w14:textId="0723F3CD"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D822F5">
              <w:rPr>
                <w:rFonts w:ascii="Arial Narrow" w:hAnsi="Arial Narrow"/>
                <w:sz w:val="20"/>
                <w:szCs w:val="20"/>
              </w:rPr>
              <w:t>i</w:t>
            </w:r>
            <w:r>
              <w:rPr>
                <w:rFonts w:ascii="Arial Narrow" w:hAnsi="Arial Narrow"/>
                <w:sz w:val="20"/>
                <w:szCs w:val="20"/>
              </w:rPr>
              <w:t>nformed CF birth</w:t>
            </w:r>
          </w:p>
        </w:tc>
        <w:tc>
          <w:tcPr>
            <w:tcW w:w="1170" w:type="pct"/>
            <w:tcBorders>
              <w:bottom w:val="single" w:sz="4" w:space="0" w:color="auto"/>
            </w:tcBorders>
          </w:tcPr>
          <w:p w14:paraId="75DF6A55" w14:textId="77777777" w:rsidR="00ED6D7E" w:rsidRDefault="00ED6D7E" w:rsidP="004566DC">
            <w:pPr>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1.23</w:t>
            </w:r>
          </w:p>
        </w:tc>
        <w:tc>
          <w:tcPr>
            <w:tcW w:w="1563" w:type="pct"/>
            <w:tcBorders>
              <w:bottom w:val="single" w:sz="4" w:space="0" w:color="auto"/>
            </w:tcBorders>
          </w:tcPr>
          <w:p w14:paraId="16FF235C"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$37,397 / pre-informed CF birth</w:t>
            </w:r>
          </w:p>
        </w:tc>
      </w:tr>
      <w:tr w:rsidR="00ED6D7E" w:rsidRPr="00517F92" w14:paraId="3219CB4E" w14:textId="77777777" w:rsidTr="00BB2456">
        <w:tc>
          <w:tcPr>
            <w:tcW w:w="2267" w:type="pct"/>
            <w:tcBorders>
              <w:right w:val="single" w:sz="4" w:space="0" w:color="auto"/>
            </w:tcBorders>
          </w:tcPr>
          <w:p w14:paraId="6DB869AF" w14:textId="77777777"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Modelled population 2 (Fetus has FEB)</w:t>
            </w:r>
          </w:p>
        </w:tc>
        <w:tc>
          <w:tcPr>
            <w:tcW w:w="1170" w:type="pct"/>
            <w:tcBorders>
              <w:left w:val="single" w:sz="4" w:space="0" w:color="auto"/>
              <w:right w:val="nil"/>
            </w:tcBorders>
          </w:tcPr>
          <w:p w14:paraId="56BB5DE0" w14:textId="3FC77791" w:rsidR="00ED6D7E" w:rsidRPr="00517F92" w:rsidRDefault="00ED6D7E" w:rsidP="00C31333">
            <w:pPr>
              <w:spacing w:before="40" w:after="40" w:line="240" w:lineRule="auto"/>
              <w:jc w:val="left"/>
              <w:rPr>
                <w:rFonts w:ascii="Arial Narrow" w:hAnsi="Arial Narrow"/>
                <w:i/>
                <w:sz w:val="20"/>
                <w:szCs w:val="20"/>
              </w:rPr>
            </w:pPr>
            <w:r w:rsidRPr="00517F92">
              <w:rPr>
                <w:rFonts w:ascii="Arial Narrow" w:hAnsi="Arial Narrow"/>
                <w:i/>
                <w:sz w:val="20"/>
                <w:szCs w:val="20"/>
              </w:rPr>
              <w:t>Incremental cost: $</w:t>
            </w:r>
            <w:r>
              <w:rPr>
                <w:rFonts w:ascii="Arial Narrow" w:hAnsi="Arial Narrow"/>
                <w:i/>
                <w:sz w:val="20"/>
                <w:szCs w:val="20"/>
              </w:rPr>
              <w:t>61</w:t>
            </w:r>
            <w:r w:rsidR="00C31333">
              <w:rPr>
                <w:rFonts w:ascii="Arial Narrow" w:hAnsi="Arial Narrow"/>
                <w:i/>
                <w:sz w:val="20"/>
                <w:szCs w:val="20"/>
              </w:rPr>
              <w:t>,199</w:t>
            </w:r>
          </w:p>
        </w:tc>
        <w:tc>
          <w:tcPr>
            <w:tcW w:w="1563" w:type="pct"/>
            <w:tcBorders>
              <w:left w:val="nil"/>
            </w:tcBorders>
          </w:tcPr>
          <w:p w14:paraId="6D0D4B97"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3C89DB23" w14:textId="77777777" w:rsidTr="00BB2456">
        <w:tc>
          <w:tcPr>
            <w:tcW w:w="2267" w:type="pct"/>
          </w:tcPr>
          <w:p w14:paraId="22993519" w14:textId="77777777"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170" w:type="pct"/>
          </w:tcPr>
          <w:p w14:paraId="6A96B7AD" w14:textId="77777777" w:rsidR="00ED6D7E" w:rsidRDefault="00ED6D7E" w:rsidP="004566DC">
            <w:pPr>
              <w:tabs>
                <w:tab w:val="left" w:pos="1339"/>
              </w:tabs>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3.94</w:t>
            </w:r>
          </w:p>
        </w:tc>
        <w:tc>
          <w:tcPr>
            <w:tcW w:w="1563" w:type="pct"/>
          </w:tcPr>
          <w:p w14:paraId="33115F82" w14:textId="77777777"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$15,</w:t>
            </w:r>
            <w:r>
              <w:rPr>
                <w:rFonts w:ascii="Arial Narrow" w:hAnsi="Arial Narrow"/>
                <w:sz w:val="20"/>
                <w:szCs w:val="20"/>
              </w:rPr>
              <w:t>53</w:t>
            </w:r>
            <w:r w:rsidR="002B5BD6">
              <w:rPr>
                <w:rFonts w:ascii="Arial Narrow" w:hAnsi="Arial Narrow"/>
                <w:sz w:val="20"/>
                <w:szCs w:val="20"/>
              </w:rPr>
              <w:t>7</w:t>
            </w:r>
            <w:r>
              <w:rPr>
                <w:rFonts w:ascii="Arial Narrow" w:hAnsi="Arial Narrow"/>
                <w:sz w:val="20"/>
                <w:szCs w:val="20"/>
              </w:rPr>
              <w:t xml:space="preserve"> / prenatal CF detected</w:t>
            </w:r>
          </w:p>
        </w:tc>
      </w:tr>
      <w:tr w:rsidR="00ED6D7E" w:rsidRPr="00FC4A03" w14:paraId="352F09B5" w14:textId="77777777" w:rsidTr="00BB2456">
        <w:tc>
          <w:tcPr>
            <w:tcW w:w="2267" w:type="pct"/>
          </w:tcPr>
          <w:p w14:paraId="0FA8B08C" w14:textId="11E304DB"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CF birth</w:t>
            </w:r>
            <w:r w:rsidR="001312C1">
              <w:rPr>
                <w:rFonts w:ascii="Arial Narrow" w:hAnsi="Arial Narrow"/>
                <w:sz w:val="20"/>
                <w:szCs w:val="20"/>
              </w:rPr>
              <w:t>s</w:t>
            </w:r>
            <w:r>
              <w:rPr>
                <w:rFonts w:ascii="Arial Narrow" w:hAnsi="Arial Narrow"/>
                <w:sz w:val="20"/>
                <w:szCs w:val="20"/>
              </w:rPr>
              <w:t xml:space="preserve"> averted</w:t>
            </w:r>
          </w:p>
        </w:tc>
        <w:tc>
          <w:tcPr>
            <w:tcW w:w="1170" w:type="pct"/>
          </w:tcPr>
          <w:p w14:paraId="5589B4BD" w14:textId="77777777" w:rsidR="00ED6D7E" w:rsidRDefault="00ED6D7E" w:rsidP="004566DC">
            <w:pPr>
              <w:tabs>
                <w:tab w:val="left" w:pos="1339"/>
              </w:tabs>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2.57</w:t>
            </w:r>
          </w:p>
        </w:tc>
        <w:tc>
          <w:tcPr>
            <w:tcW w:w="1563" w:type="pct"/>
          </w:tcPr>
          <w:p w14:paraId="1EE7943F" w14:textId="5ED7C62B"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$23,</w:t>
            </w:r>
            <w:r w:rsidR="00167ACC">
              <w:rPr>
                <w:rFonts w:ascii="Arial Narrow" w:hAnsi="Arial Narrow"/>
                <w:sz w:val="20"/>
                <w:szCs w:val="20"/>
              </w:rPr>
              <w:t>794</w:t>
            </w:r>
            <w:r>
              <w:rPr>
                <w:rFonts w:ascii="Arial Narrow" w:hAnsi="Arial Narrow"/>
                <w:sz w:val="20"/>
                <w:szCs w:val="20"/>
              </w:rPr>
              <w:t xml:space="preserve"> / CF birth averted</w:t>
            </w:r>
          </w:p>
        </w:tc>
      </w:tr>
      <w:tr w:rsidR="00ED6D7E" w:rsidRPr="00FC4A03" w14:paraId="62D3CCD3" w14:textId="77777777" w:rsidTr="00BB2456">
        <w:tc>
          <w:tcPr>
            <w:tcW w:w="2267" w:type="pct"/>
          </w:tcPr>
          <w:p w14:paraId="68942FE8" w14:textId="094CB7F9"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D822F5">
              <w:rPr>
                <w:rFonts w:ascii="Arial Narrow" w:hAnsi="Arial Narrow"/>
                <w:sz w:val="20"/>
                <w:szCs w:val="20"/>
              </w:rPr>
              <w:t>i</w:t>
            </w:r>
            <w:r>
              <w:rPr>
                <w:rFonts w:ascii="Arial Narrow" w:hAnsi="Arial Narrow"/>
                <w:sz w:val="20"/>
                <w:szCs w:val="20"/>
              </w:rPr>
              <w:t>nformed CF birth</w:t>
            </w:r>
          </w:p>
        </w:tc>
        <w:tc>
          <w:tcPr>
            <w:tcW w:w="1170" w:type="pct"/>
          </w:tcPr>
          <w:p w14:paraId="17FEB83E" w14:textId="77777777" w:rsidR="00ED6D7E" w:rsidRDefault="00ED6D7E" w:rsidP="004566DC">
            <w:pPr>
              <w:tabs>
                <w:tab w:val="left" w:pos="1339"/>
              </w:tabs>
              <w:spacing w:before="40" w:after="40" w:line="240" w:lineRule="auto"/>
              <w:ind w:right="608"/>
              <w:jc w:val="right"/>
              <w:rPr>
                <w:rFonts w:ascii="Arial Narrow" w:eastAsia="Times New Roman" w:hAnsi="Arial Narrow"/>
                <w:sz w:val="20"/>
                <w:szCs w:val="20"/>
                <w:lang w:eastAsia="en-AU"/>
              </w:rPr>
            </w:pPr>
            <w:r>
              <w:rPr>
                <w:rFonts w:ascii="Arial Narrow" w:hAnsi="Arial Narrow"/>
                <w:sz w:val="20"/>
                <w:szCs w:val="20"/>
              </w:rPr>
              <w:t>1.37</w:t>
            </w:r>
          </w:p>
        </w:tc>
        <w:tc>
          <w:tcPr>
            <w:tcW w:w="1563" w:type="pct"/>
          </w:tcPr>
          <w:p w14:paraId="21EED7A6" w14:textId="77777777"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$4</w:t>
            </w:r>
            <w:r>
              <w:rPr>
                <w:rFonts w:ascii="Arial Narrow" w:hAnsi="Arial Narrow"/>
                <w:sz w:val="20"/>
                <w:szCs w:val="20"/>
              </w:rPr>
              <w:t>4,7</w:t>
            </w:r>
            <w:r w:rsidR="002B5BD6">
              <w:rPr>
                <w:rFonts w:ascii="Arial Narrow" w:hAnsi="Arial Narrow"/>
                <w:sz w:val="20"/>
                <w:szCs w:val="20"/>
              </w:rPr>
              <w:t>69</w:t>
            </w:r>
            <w:r>
              <w:rPr>
                <w:rFonts w:ascii="Arial Narrow" w:hAnsi="Arial Narrow"/>
                <w:sz w:val="20"/>
                <w:szCs w:val="20"/>
              </w:rPr>
              <w:t xml:space="preserve"> / pre-informed CF birth</w:t>
            </w:r>
          </w:p>
        </w:tc>
      </w:tr>
    </w:tbl>
    <w:p w14:paraId="7265AC77" w14:textId="5F3A7D48" w:rsidR="00ED6D7E" w:rsidRDefault="00ED6D7E" w:rsidP="00ED6D7E">
      <w:pPr>
        <w:pStyle w:val="Tablenotes0"/>
      </w:pPr>
      <w:r>
        <w:t>CF = cystic fibrosis; FEB</w:t>
      </w:r>
      <w:r w:rsidR="001312C1">
        <w:t xml:space="preserve"> </w:t>
      </w:r>
      <w:r>
        <w:t>=</w:t>
      </w:r>
      <w:r w:rsidR="001312C1">
        <w:t xml:space="preserve"> </w:t>
      </w:r>
      <w:r>
        <w:t xml:space="preserve">fetal echogenic bowel; ICER = </w:t>
      </w:r>
      <w:r w:rsidR="00F83279">
        <w:rPr>
          <w:noProof/>
        </w:rPr>
        <w:t>i</w:t>
      </w:r>
      <w:r>
        <w:rPr>
          <w:noProof/>
        </w:rPr>
        <w:t>ncremental cost-effectiveness ratios</w:t>
      </w:r>
    </w:p>
    <w:p w14:paraId="41964E10" w14:textId="77777777" w:rsidR="00ED6D7E" w:rsidRDefault="00ED6D7E" w:rsidP="00ED6D7E"/>
    <w:p w14:paraId="3E3D86F7" w14:textId="61E52B57" w:rsidR="00ED6D7E" w:rsidRDefault="00ED6D7E" w:rsidP="00ED6D7E">
      <w:pPr>
        <w:pStyle w:val="Heading3"/>
      </w:pPr>
      <w:bookmarkStart w:id="623" w:name="_Toc418179988"/>
      <w:r>
        <w:t xml:space="preserve">Additional </w:t>
      </w:r>
      <w:r w:rsidR="00CB4D37">
        <w:t>s</w:t>
      </w:r>
      <w:r>
        <w:t>cenario 3: 32 mutations panel test</w:t>
      </w:r>
      <w:bookmarkEnd w:id="623"/>
    </w:p>
    <w:p w14:paraId="596F92B0" w14:textId="77777777" w:rsidR="00ED6D7E" w:rsidRPr="00FC4A03" w:rsidRDefault="00ED6D7E" w:rsidP="00F57AF2">
      <w:pPr>
        <w:pStyle w:val="Caption"/>
      </w:pPr>
      <w:bookmarkStart w:id="624" w:name="_Toc418179507"/>
      <w:r w:rsidRPr="00FC4A03">
        <w:t xml:space="preserve">Table </w:t>
      </w:r>
      <w:fldSimple w:instr=" SEQ Table \* ARABIC ">
        <w:r w:rsidR="00BB0E3E">
          <w:rPr>
            <w:noProof/>
          </w:rPr>
          <w:t>110</w:t>
        </w:r>
      </w:fldSimple>
      <w:r w:rsidRPr="00FC4A03">
        <w:tab/>
        <w:t xml:space="preserve">Outcome </w:t>
      </w:r>
      <w:r>
        <w:t>and incremental effects (per 100 pregnancies) for</w:t>
      </w:r>
      <w:r w:rsidRPr="00FC4A03">
        <w:t xml:space="preserve"> </w:t>
      </w:r>
      <w:r w:rsidRPr="00611031">
        <w:t>additional scenario</w:t>
      </w:r>
      <w:r>
        <w:t xml:space="preserve"> 3</w:t>
      </w:r>
      <w:bookmarkEnd w:id="624"/>
    </w:p>
    <w:tbl>
      <w:tblPr>
        <w:tblStyle w:val="TableGrid9"/>
        <w:tblW w:w="9016" w:type="dxa"/>
        <w:tblLook w:val="04A0" w:firstRow="1" w:lastRow="0" w:firstColumn="1" w:lastColumn="0" w:noHBand="0" w:noVBand="1"/>
        <w:tblCaption w:val="Outcome and incremental effects (per 100 pregnancies) for additional scenario 3"/>
        <w:tblDescription w:val="Outcome and incremental effects (per 100 pregnancies) for additional scenario 3"/>
      </w:tblPr>
      <w:tblGrid>
        <w:gridCol w:w="2518"/>
        <w:gridCol w:w="1701"/>
        <w:gridCol w:w="1701"/>
        <w:gridCol w:w="1559"/>
        <w:gridCol w:w="1537"/>
      </w:tblGrid>
      <w:tr w:rsidR="004476DC" w:rsidRPr="00C74F21" w14:paraId="10AB982E" w14:textId="77777777" w:rsidTr="007C1FC6">
        <w:trPr>
          <w:tblHeader/>
        </w:trPr>
        <w:tc>
          <w:tcPr>
            <w:tcW w:w="2518" w:type="dxa"/>
            <w:tcBorders>
              <w:bottom w:val="single" w:sz="4" w:space="0" w:color="auto"/>
            </w:tcBorders>
            <w:shd w:val="clear" w:color="auto" w:fill="auto"/>
          </w:tcPr>
          <w:p w14:paraId="285B456D" w14:textId="77777777" w:rsidR="004476DC" w:rsidRPr="00C74F21" w:rsidRDefault="004476DC" w:rsidP="00C74F21">
            <w:pPr>
              <w:pStyle w:val="TableHeading"/>
              <w:jc w:val="left"/>
            </w:pPr>
            <w:r w:rsidRPr="00C74F21">
              <w:t>Outcome</w:t>
            </w:r>
          </w:p>
        </w:tc>
        <w:tc>
          <w:tcPr>
            <w:tcW w:w="1701" w:type="dxa"/>
            <w:tcBorders>
              <w:bottom w:val="single" w:sz="4" w:space="0" w:color="auto"/>
            </w:tcBorders>
            <w:shd w:val="clear" w:color="auto" w:fill="auto"/>
          </w:tcPr>
          <w:p w14:paraId="5083381E" w14:textId="77777777" w:rsidR="004476DC" w:rsidRPr="00C74F21" w:rsidRDefault="004476DC" w:rsidP="004566DC">
            <w:pPr>
              <w:pStyle w:val="TableHeading"/>
              <w:jc w:val="center"/>
              <w:rPr>
                <w:rFonts w:eastAsia="Times New Roman"/>
                <w:lang w:eastAsia="en-AU"/>
              </w:rPr>
            </w:pPr>
            <w:r w:rsidRPr="00C74F21">
              <w:t>Prenatal testing</w:t>
            </w:r>
          </w:p>
        </w:tc>
        <w:tc>
          <w:tcPr>
            <w:tcW w:w="1701" w:type="dxa"/>
            <w:tcBorders>
              <w:bottom w:val="single" w:sz="4" w:space="0" w:color="auto"/>
            </w:tcBorders>
            <w:shd w:val="clear" w:color="auto" w:fill="auto"/>
          </w:tcPr>
          <w:p w14:paraId="550CC8B7" w14:textId="77777777" w:rsidR="004476DC" w:rsidRPr="00C74F21" w:rsidRDefault="004476DC" w:rsidP="004566DC">
            <w:pPr>
              <w:pStyle w:val="TableHeading"/>
              <w:jc w:val="center"/>
              <w:rPr>
                <w:rFonts w:eastAsia="Times New Roman"/>
                <w:lang w:eastAsia="en-AU"/>
              </w:rPr>
            </w:pPr>
            <w:r w:rsidRPr="00C74F21">
              <w:t>No prenatal testing</w:t>
            </w:r>
          </w:p>
        </w:tc>
        <w:tc>
          <w:tcPr>
            <w:tcW w:w="1559" w:type="dxa"/>
            <w:tcBorders>
              <w:bottom w:val="single" w:sz="4" w:space="0" w:color="auto"/>
            </w:tcBorders>
            <w:shd w:val="clear" w:color="auto" w:fill="auto"/>
          </w:tcPr>
          <w:p w14:paraId="667CEAF2" w14:textId="77777777" w:rsidR="004476DC" w:rsidRPr="00C74F21" w:rsidRDefault="004476DC" w:rsidP="004566DC">
            <w:pPr>
              <w:pStyle w:val="TableHeading"/>
              <w:jc w:val="center"/>
              <w:rPr>
                <w:rFonts w:eastAsia="Times New Roman"/>
                <w:lang w:eastAsia="en-AU"/>
              </w:rPr>
            </w:pPr>
            <w:r w:rsidRPr="00C74F21">
              <w:t>Incremental effectiveness</w:t>
            </w:r>
          </w:p>
        </w:tc>
        <w:tc>
          <w:tcPr>
            <w:tcW w:w="1537" w:type="dxa"/>
            <w:tcBorders>
              <w:bottom w:val="single" w:sz="4" w:space="0" w:color="auto"/>
            </w:tcBorders>
          </w:tcPr>
          <w:p w14:paraId="481A57FD" w14:textId="7CD2BC0E" w:rsidR="004476DC" w:rsidRPr="00C74F21" w:rsidRDefault="004476DC" w:rsidP="004566DC">
            <w:pPr>
              <w:pStyle w:val="TableHeading"/>
              <w:jc w:val="center"/>
              <w:rPr>
                <w:rFonts w:eastAsia="Times New Roman"/>
                <w:lang w:eastAsia="en-AU"/>
              </w:rPr>
            </w:pPr>
            <w:r w:rsidRPr="00C74F21">
              <w:t>Nature of effect</w:t>
            </w:r>
          </w:p>
        </w:tc>
      </w:tr>
      <w:tr w:rsidR="004476DC" w:rsidRPr="00E020A8" w14:paraId="4BDF7118" w14:textId="77777777" w:rsidTr="00C74F21">
        <w:tc>
          <w:tcPr>
            <w:tcW w:w="2518" w:type="dxa"/>
            <w:tcBorders>
              <w:right w:val="nil"/>
            </w:tcBorders>
            <w:shd w:val="clear" w:color="auto" w:fill="F2F2F2" w:themeFill="background1" w:themeFillShade="F2"/>
          </w:tcPr>
          <w:p w14:paraId="21F9DA14" w14:textId="6ED751BB" w:rsidR="004476DC" w:rsidRPr="00E020A8" w:rsidRDefault="004476DC" w:rsidP="00BB2456">
            <w:pPr>
              <w:spacing w:before="40" w:after="40" w:line="240" w:lineRule="auto"/>
              <w:jc w:val="left"/>
              <w:rPr>
                <w:rFonts w:ascii="Arial Narrow" w:hAnsi="Arial Narrow"/>
                <w:i/>
                <w:sz w:val="20"/>
                <w:szCs w:val="20"/>
              </w:rPr>
            </w:pPr>
            <w:r w:rsidRPr="00E020A8">
              <w:rPr>
                <w:rFonts w:ascii="Arial Narrow" w:hAnsi="Arial Narrow"/>
                <w:i/>
                <w:sz w:val="20"/>
                <w:szCs w:val="20"/>
              </w:rPr>
              <w:t>Model 1</w:t>
            </w:r>
            <w:r w:rsidR="00C74F21">
              <w:rPr>
                <w:rFonts w:ascii="Arial Narrow" w:hAnsi="Arial Narrow"/>
                <w:i/>
                <w:sz w:val="20"/>
                <w:szCs w:val="20"/>
              </w:rPr>
              <w:t xml:space="preserve"> (P</w:t>
            </w:r>
            <w:r w:rsidR="00C74F21" w:rsidRPr="00517F92">
              <w:rPr>
                <w:rFonts w:ascii="Arial Narrow" w:hAnsi="Arial Narrow"/>
                <w:i/>
                <w:sz w:val="20"/>
                <w:szCs w:val="20"/>
              </w:rPr>
              <w:t xml:space="preserve">arents </w:t>
            </w:r>
            <w:r w:rsidR="00C74F21">
              <w:rPr>
                <w:rFonts w:ascii="Arial Narrow" w:hAnsi="Arial Narrow"/>
                <w:i/>
                <w:sz w:val="20"/>
                <w:szCs w:val="20"/>
              </w:rPr>
              <w:t xml:space="preserve">are </w:t>
            </w:r>
            <w:r w:rsidR="00C74F21" w:rsidRPr="00517F92">
              <w:rPr>
                <w:rFonts w:ascii="Arial Narrow" w:hAnsi="Arial Narrow"/>
                <w:i/>
                <w:sz w:val="20"/>
                <w:szCs w:val="20"/>
              </w:rPr>
              <w:t xml:space="preserve">known </w:t>
            </w:r>
            <w:r w:rsidR="00C74F21">
              <w:rPr>
                <w:rFonts w:ascii="Arial Narrow" w:hAnsi="Arial Narrow"/>
                <w:i/>
                <w:sz w:val="20"/>
                <w:szCs w:val="20"/>
              </w:rPr>
              <w:t xml:space="preserve">CF </w:t>
            </w:r>
            <w:r w:rsidR="00C74F21" w:rsidRPr="00517F92">
              <w:rPr>
                <w:rFonts w:ascii="Arial Narrow" w:hAnsi="Arial Narrow"/>
                <w:i/>
                <w:sz w:val="20"/>
                <w:szCs w:val="20"/>
              </w:rPr>
              <w:t>carriers)</w:t>
            </w:r>
          </w:p>
        </w:tc>
        <w:tc>
          <w:tcPr>
            <w:tcW w:w="1701" w:type="dxa"/>
            <w:tcBorders>
              <w:left w:val="nil"/>
              <w:right w:val="nil"/>
            </w:tcBorders>
            <w:shd w:val="clear" w:color="auto" w:fill="F2F2F2" w:themeFill="background1" w:themeFillShade="F2"/>
          </w:tcPr>
          <w:p w14:paraId="0930020B"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1701" w:type="dxa"/>
            <w:tcBorders>
              <w:left w:val="nil"/>
              <w:right w:val="nil"/>
            </w:tcBorders>
            <w:shd w:val="clear" w:color="auto" w:fill="F2F2F2" w:themeFill="background1" w:themeFillShade="F2"/>
          </w:tcPr>
          <w:p w14:paraId="11CB0C22"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1559" w:type="dxa"/>
            <w:tcBorders>
              <w:left w:val="nil"/>
              <w:right w:val="nil"/>
            </w:tcBorders>
            <w:shd w:val="clear" w:color="auto" w:fill="F2F2F2" w:themeFill="background1" w:themeFillShade="F2"/>
          </w:tcPr>
          <w:p w14:paraId="359D274E" w14:textId="77777777" w:rsidR="004476DC" w:rsidRPr="00E020A8" w:rsidRDefault="004476DC" w:rsidP="00BB2456">
            <w:pPr>
              <w:spacing w:before="40" w:after="40" w:line="240" w:lineRule="auto"/>
              <w:jc w:val="left"/>
              <w:rPr>
                <w:rFonts w:ascii="Arial Narrow" w:hAnsi="Arial Narrow"/>
                <w:color w:val="000000"/>
                <w:sz w:val="20"/>
                <w:szCs w:val="20"/>
              </w:rPr>
            </w:pPr>
          </w:p>
        </w:tc>
        <w:tc>
          <w:tcPr>
            <w:tcW w:w="1537" w:type="dxa"/>
            <w:tcBorders>
              <w:left w:val="nil"/>
              <w:right w:val="nil"/>
            </w:tcBorders>
            <w:shd w:val="clear" w:color="auto" w:fill="F2F2F2" w:themeFill="background1" w:themeFillShade="F2"/>
          </w:tcPr>
          <w:p w14:paraId="7B36D749" w14:textId="77777777" w:rsidR="004476DC" w:rsidRPr="00E020A8" w:rsidRDefault="004476DC" w:rsidP="004476DC">
            <w:pPr>
              <w:pStyle w:val="Tabletext1"/>
            </w:pPr>
          </w:p>
        </w:tc>
      </w:tr>
      <w:tr w:rsidR="004476DC" w:rsidRPr="00E020A8" w14:paraId="19A5682C" w14:textId="77777777" w:rsidTr="00C74F21">
        <w:tc>
          <w:tcPr>
            <w:tcW w:w="2518" w:type="dxa"/>
          </w:tcPr>
          <w:p w14:paraId="56027152"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Prenatal CF diagnosed</w:t>
            </w:r>
          </w:p>
        </w:tc>
        <w:tc>
          <w:tcPr>
            <w:tcW w:w="1701" w:type="dxa"/>
          </w:tcPr>
          <w:p w14:paraId="36C23B32"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24.94</w:t>
            </w:r>
          </w:p>
        </w:tc>
        <w:tc>
          <w:tcPr>
            <w:tcW w:w="1701" w:type="dxa"/>
          </w:tcPr>
          <w:p w14:paraId="5465AFED"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59" w:type="dxa"/>
          </w:tcPr>
          <w:p w14:paraId="5C1AEADE"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24.94</w:t>
            </w:r>
          </w:p>
        </w:tc>
        <w:tc>
          <w:tcPr>
            <w:tcW w:w="1537" w:type="dxa"/>
          </w:tcPr>
          <w:p w14:paraId="213C6CE0" w14:textId="3B85698F" w:rsidR="004476DC" w:rsidRPr="00E020A8" w:rsidRDefault="004476DC" w:rsidP="004476DC">
            <w:pPr>
              <w:pStyle w:val="Tabletext1"/>
            </w:pPr>
            <w:r w:rsidRPr="00194549">
              <w:t>Benefit</w:t>
            </w:r>
          </w:p>
        </w:tc>
      </w:tr>
      <w:tr w:rsidR="004476DC" w:rsidRPr="00E020A8" w14:paraId="3AEAB625" w14:textId="77777777" w:rsidTr="00C74F21">
        <w:tc>
          <w:tcPr>
            <w:tcW w:w="2518" w:type="dxa"/>
            <w:tcBorders>
              <w:bottom w:val="nil"/>
            </w:tcBorders>
          </w:tcPr>
          <w:p w14:paraId="799A0FDC"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births total:</w:t>
            </w:r>
          </w:p>
        </w:tc>
        <w:tc>
          <w:tcPr>
            <w:tcW w:w="1701" w:type="dxa"/>
            <w:tcBorders>
              <w:bottom w:val="nil"/>
            </w:tcBorders>
          </w:tcPr>
          <w:p w14:paraId="265F6DC0"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1701" w:type="dxa"/>
            <w:tcBorders>
              <w:bottom w:val="nil"/>
            </w:tcBorders>
          </w:tcPr>
          <w:p w14:paraId="360217EC"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24.59</w:t>
            </w:r>
          </w:p>
        </w:tc>
        <w:tc>
          <w:tcPr>
            <w:tcW w:w="1559" w:type="dxa"/>
            <w:tcBorders>
              <w:bottom w:val="nil"/>
            </w:tcBorders>
          </w:tcPr>
          <w:p w14:paraId="095C82EB" w14:textId="2FBC8FEF" w:rsidR="004476DC" w:rsidRPr="00E020A8" w:rsidRDefault="00EE7645"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23.36</w:t>
            </w:r>
          </w:p>
        </w:tc>
        <w:tc>
          <w:tcPr>
            <w:tcW w:w="1537" w:type="dxa"/>
            <w:tcBorders>
              <w:bottom w:val="nil"/>
            </w:tcBorders>
          </w:tcPr>
          <w:p w14:paraId="2240E85D" w14:textId="77777777" w:rsidR="004476DC" w:rsidRPr="00E020A8" w:rsidRDefault="004476DC" w:rsidP="004476DC">
            <w:pPr>
              <w:pStyle w:val="Tabletext1"/>
            </w:pPr>
          </w:p>
        </w:tc>
      </w:tr>
      <w:tr w:rsidR="004476DC" w:rsidRPr="00E020A8" w14:paraId="3978C905" w14:textId="77777777" w:rsidTr="00C74F21">
        <w:tc>
          <w:tcPr>
            <w:tcW w:w="2518" w:type="dxa"/>
            <w:tcBorders>
              <w:top w:val="nil"/>
              <w:bottom w:val="nil"/>
            </w:tcBorders>
          </w:tcPr>
          <w:p w14:paraId="595A7618" w14:textId="4DDF0C59" w:rsidR="004476DC" w:rsidRPr="00E020A8" w:rsidRDefault="00F83279"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informed</w:t>
            </w:r>
          </w:p>
        </w:tc>
        <w:tc>
          <w:tcPr>
            <w:tcW w:w="1701" w:type="dxa"/>
            <w:tcBorders>
              <w:top w:val="nil"/>
              <w:bottom w:val="nil"/>
            </w:tcBorders>
          </w:tcPr>
          <w:p w14:paraId="7E714996"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1701" w:type="dxa"/>
            <w:tcBorders>
              <w:top w:val="nil"/>
              <w:bottom w:val="nil"/>
            </w:tcBorders>
          </w:tcPr>
          <w:p w14:paraId="5B20FBA6"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59" w:type="dxa"/>
            <w:tcBorders>
              <w:top w:val="nil"/>
              <w:bottom w:val="nil"/>
            </w:tcBorders>
          </w:tcPr>
          <w:p w14:paraId="1B62E866"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1.23</w:t>
            </w:r>
          </w:p>
        </w:tc>
        <w:tc>
          <w:tcPr>
            <w:tcW w:w="1537" w:type="dxa"/>
            <w:tcBorders>
              <w:top w:val="nil"/>
              <w:bottom w:val="nil"/>
            </w:tcBorders>
          </w:tcPr>
          <w:p w14:paraId="514DEE56" w14:textId="082F7230" w:rsidR="004476DC" w:rsidRPr="00E020A8" w:rsidRDefault="004476DC" w:rsidP="004476DC">
            <w:pPr>
              <w:pStyle w:val="Tabletext1"/>
            </w:pPr>
            <w:r>
              <w:t>B</w:t>
            </w:r>
            <w:r w:rsidRPr="00194549">
              <w:t>enefit</w:t>
            </w:r>
          </w:p>
        </w:tc>
      </w:tr>
      <w:tr w:rsidR="004476DC" w:rsidRPr="00E020A8" w14:paraId="3132A2B8" w14:textId="77777777" w:rsidTr="00C74F21">
        <w:tc>
          <w:tcPr>
            <w:tcW w:w="2518" w:type="dxa"/>
            <w:tcBorders>
              <w:top w:val="nil"/>
            </w:tcBorders>
          </w:tcPr>
          <w:p w14:paraId="69C48F4B" w14:textId="00E9A128" w:rsidR="004476DC" w:rsidRPr="00E020A8" w:rsidRDefault="00F83279"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uninformed</w:t>
            </w:r>
          </w:p>
        </w:tc>
        <w:tc>
          <w:tcPr>
            <w:tcW w:w="1701" w:type="dxa"/>
            <w:tcBorders>
              <w:top w:val="nil"/>
            </w:tcBorders>
          </w:tcPr>
          <w:p w14:paraId="34BA1F37"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0.0</w:t>
            </w:r>
          </w:p>
        </w:tc>
        <w:tc>
          <w:tcPr>
            <w:tcW w:w="1701" w:type="dxa"/>
            <w:tcBorders>
              <w:top w:val="nil"/>
            </w:tcBorders>
          </w:tcPr>
          <w:p w14:paraId="634C5B31"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24.59</w:t>
            </w:r>
          </w:p>
        </w:tc>
        <w:tc>
          <w:tcPr>
            <w:tcW w:w="1559" w:type="dxa"/>
            <w:tcBorders>
              <w:top w:val="nil"/>
            </w:tcBorders>
          </w:tcPr>
          <w:p w14:paraId="03535B51" w14:textId="6FEA89CE" w:rsidR="004476DC" w:rsidRPr="00E020A8" w:rsidRDefault="00EE7645"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24.59</w:t>
            </w:r>
          </w:p>
        </w:tc>
        <w:tc>
          <w:tcPr>
            <w:tcW w:w="1537" w:type="dxa"/>
            <w:tcBorders>
              <w:top w:val="nil"/>
            </w:tcBorders>
          </w:tcPr>
          <w:p w14:paraId="3903DFC8" w14:textId="77777777" w:rsidR="004476DC" w:rsidRPr="00E020A8" w:rsidRDefault="004476DC" w:rsidP="004476DC">
            <w:pPr>
              <w:pStyle w:val="Tabletext1"/>
            </w:pPr>
          </w:p>
        </w:tc>
      </w:tr>
      <w:tr w:rsidR="004476DC" w:rsidRPr="00E020A8" w14:paraId="535F3846" w14:textId="77777777" w:rsidTr="00C74F21">
        <w:tc>
          <w:tcPr>
            <w:tcW w:w="2518" w:type="dxa"/>
            <w:tcBorders>
              <w:top w:val="nil"/>
            </w:tcBorders>
          </w:tcPr>
          <w:p w14:paraId="7E993DFD" w14:textId="538A3E16"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w:t>
            </w:r>
            <w:r w:rsidR="00F83279">
              <w:rPr>
                <w:rFonts w:ascii="Arial Narrow" w:hAnsi="Arial Narrow"/>
                <w:sz w:val="20"/>
                <w:szCs w:val="20"/>
              </w:rPr>
              <w:t>s</w:t>
            </w:r>
            <w:r w:rsidRPr="00E020A8">
              <w:rPr>
                <w:rFonts w:ascii="Arial Narrow" w:hAnsi="Arial Narrow"/>
                <w:sz w:val="20"/>
                <w:szCs w:val="20"/>
              </w:rPr>
              <w:t xml:space="preserve"> averted</w:t>
            </w:r>
          </w:p>
        </w:tc>
        <w:tc>
          <w:tcPr>
            <w:tcW w:w="1701" w:type="dxa"/>
            <w:tcBorders>
              <w:top w:val="nil"/>
            </w:tcBorders>
          </w:tcPr>
          <w:p w14:paraId="57EC083F"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23.71</w:t>
            </w:r>
          </w:p>
        </w:tc>
        <w:tc>
          <w:tcPr>
            <w:tcW w:w="1701" w:type="dxa"/>
            <w:tcBorders>
              <w:top w:val="nil"/>
            </w:tcBorders>
          </w:tcPr>
          <w:p w14:paraId="1505441D"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59" w:type="dxa"/>
            <w:tcBorders>
              <w:top w:val="nil"/>
            </w:tcBorders>
          </w:tcPr>
          <w:p w14:paraId="0612BD3E"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23.71</w:t>
            </w:r>
          </w:p>
        </w:tc>
        <w:tc>
          <w:tcPr>
            <w:tcW w:w="1537" w:type="dxa"/>
            <w:tcBorders>
              <w:top w:val="nil"/>
            </w:tcBorders>
          </w:tcPr>
          <w:p w14:paraId="537092DD" w14:textId="1F3C49BF" w:rsidR="004476DC" w:rsidRPr="00E020A8" w:rsidRDefault="004476DC" w:rsidP="004476DC">
            <w:pPr>
              <w:pStyle w:val="Tabletext1"/>
            </w:pPr>
            <w:r w:rsidRPr="00194549">
              <w:t>Benefit</w:t>
            </w:r>
          </w:p>
        </w:tc>
      </w:tr>
      <w:tr w:rsidR="004476DC" w:rsidRPr="00E020A8" w14:paraId="18BC41AF" w14:textId="77777777" w:rsidTr="00C74F21">
        <w:tc>
          <w:tcPr>
            <w:tcW w:w="2518" w:type="dxa"/>
          </w:tcPr>
          <w:p w14:paraId="06FEBC29"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Fetal loss</w:t>
            </w:r>
          </w:p>
        </w:tc>
        <w:tc>
          <w:tcPr>
            <w:tcW w:w="1701" w:type="dxa"/>
          </w:tcPr>
          <w:p w14:paraId="7585257E"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1.26</w:t>
            </w:r>
          </w:p>
        </w:tc>
        <w:tc>
          <w:tcPr>
            <w:tcW w:w="1701" w:type="dxa"/>
          </w:tcPr>
          <w:p w14:paraId="0FFC403F"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1.65</w:t>
            </w:r>
          </w:p>
        </w:tc>
        <w:tc>
          <w:tcPr>
            <w:tcW w:w="1559" w:type="dxa"/>
          </w:tcPr>
          <w:p w14:paraId="5B3972E6" w14:textId="13B596B4" w:rsidR="004476DC" w:rsidRPr="00E020A8" w:rsidRDefault="00EE7645"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0.39</w:t>
            </w:r>
          </w:p>
        </w:tc>
        <w:tc>
          <w:tcPr>
            <w:tcW w:w="1537" w:type="dxa"/>
          </w:tcPr>
          <w:p w14:paraId="5A93595D" w14:textId="77777777" w:rsidR="004476DC" w:rsidRPr="00E020A8" w:rsidRDefault="004476DC" w:rsidP="004476DC">
            <w:pPr>
              <w:pStyle w:val="Tabletext1"/>
            </w:pPr>
          </w:p>
        </w:tc>
      </w:tr>
      <w:tr w:rsidR="004476DC" w:rsidRPr="00E020A8" w14:paraId="578C7FB1" w14:textId="77777777" w:rsidTr="00C74F21">
        <w:tc>
          <w:tcPr>
            <w:tcW w:w="2518" w:type="dxa"/>
          </w:tcPr>
          <w:p w14:paraId="0930A0C2" w14:textId="38633C66"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Procedure</w:t>
            </w:r>
            <w:r w:rsidR="00A32A62">
              <w:rPr>
                <w:rFonts w:ascii="Arial Narrow" w:hAnsi="Arial Narrow"/>
                <w:sz w:val="20"/>
                <w:szCs w:val="20"/>
              </w:rPr>
              <w:t>-</w:t>
            </w:r>
            <w:r w:rsidRPr="00E020A8">
              <w:rPr>
                <w:rFonts w:ascii="Arial Narrow" w:hAnsi="Arial Narrow"/>
                <w:sz w:val="20"/>
                <w:szCs w:val="20"/>
              </w:rPr>
              <w:t>related fetal loss</w:t>
            </w:r>
          </w:p>
        </w:tc>
        <w:tc>
          <w:tcPr>
            <w:tcW w:w="1701" w:type="dxa"/>
          </w:tcPr>
          <w:p w14:paraId="2993DF36"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0.15</w:t>
            </w:r>
          </w:p>
        </w:tc>
        <w:tc>
          <w:tcPr>
            <w:tcW w:w="1701" w:type="dxa"/>
          </w:tcPr>
          <w:p w14:paraId="28E6DEF4"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w:t>
            </w:r>
          </w:p>
        </w:tc>
        <w:tc>
          <w:tcPr>
            <w:tcW w:w="1559" w:type="dxa"/>
          </w:tcPr>
          <w:p w14:paraId="3C04034B"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0.15</w:t>
            </w:r>
          </w:p>
        </w:tc>
        <w:tc>
          <w:tcPr>
            <w:tcW w:w="1537" w:type="dxa"/>
          </w:tcPr>
          <w:p w14:paraId="3F2C42FB" w14:textId="66E5E19A" w:rsidR="004476DC" w:rsidRPr="00E020A8" w:rsidRDefault="004476DC" w:rsidP="004476DC">
            <w:pPr>
              <w:pStyle w:val="Tabletext1"/>
            </w:pPr>
            <w:r>
              <w:t>Harm</w:t>
            </w:r>
          </w:p>
        </w:tc>
      </w:tr>
      <w:tr w:rsidR="004476DC" w:rsidRPr="00E020A8" w14:paraId="7086A4D1" w14:textId="77777777" w:rsidTr="00C74F21">
        <w:tc>
          <w:tcPr>
            <w:tcW w:w="2518" w:type="dxa"/>
            <w:tcBorders>
              <w:bottom w:val="single" w:sz="4" w:space="0" w:color="auto"/>
            </w:tcBorders>
          </w:tcPr>
          <w:p w14:paraId="440B8251"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No CF</w:t>
            </w:r>
          </w:p>
        </w:tc>
        <w:tc>
          <w:tcPr>
            <w:tcW w:w="1701" w:type="dxa"/>
            <w:tcBorders>
              <w:bottom w:val="single" w:sz="4" w:space="0" w:color="auto"/>
            </w:tcBorders>
          </w:tcPr>
          <w:p w14:paraId="08933AA4"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sz w:val="20"/>
                <w:szCs w:val="20"/>
              </w:rPr>
              <w:t>73.65</w:t>
            </w:r>
          </w:p>
        </w:tc>
        <w:tc>
          <w:tcPr>
            <w:tcW w:w="1701" w:type="dxa"/>
            <w:tcBorders>
              <w:bottom w:val="single" w:sz="4" w:space="0" w:color="auto"/>
            </w:tcBorders>
          </w:tcPr>
          <w:p w14:paraId="133D578F"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sidRPr="00E020A8">
              <w:rPr>
                <w:rFonts w:ascii="Arial Narrow" w:hAnsi="Arial Narrow"/>
                <w:color w:val="000000"/>
                <w:sz w:val="20"/>
                <w:szCs w:val="20"/>
              </w:rPr>
              <w:t>73.76</w:t>
            </w:r>
          </w:p>
        </w:tc>
        <w:tc>
          <w:tcPr>
            <w:tcW w:w="1559" w:type="dxa"/>
            <w:tcBorders>
              <w:bottom w:val="single" w:sz="4" w:space="0" w:color="auto"/>
            </w:tcBorders>
          </w:tcPr>
          <w:p w14:paraId="3354C258" w14:textId="5210FA0F" w:rsidR="004476DC" w:rsidRPr="00E020A8" w:rsidRDefault="00EE7645"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color w:val="000000"/>
                <w:sz w:val="20"/>
                <w:szCs w:val="20"/>
              </w:rPr>
              <w:t>–</w:t>
            </w:r>
            <w:r w:rsidR="004476DC" w:rsidRPr="00E020A8">
              <w:rPr>
                <w:rFonts w:ascii="Arial Narrow" w:hAnsi="Arial Narrow"/>
                <w:color w:val="000000"/>
                <w:sz w:val="20"/>
                <w:szCs w:val="20"/>
              </w:rPr>
              <w:t>0.11</w:t>
            </w:r>
          </w:p>
        </w:tc>
        <w:tc>
          <w:tcPr>
            <w:tcW w:w="1537" w:type="dxa"/>
            <w:tcBorders>
              <w:bottom w:val="single" w:sz="4" w:space="0" w:color="auto"/>
            </w:tcBorders>
          </w:tcPr>
          <w:p w14:paraId="7F1C3E20" w14:textId="1C0CBA26" w:rsidR="004476DC" w:rsidRPr="00E020A8" w:rsidRDefault="004476DC" w:rsidP="004476DC">
            <w:pPr>
              <w:pStyle w:val="Tabletext1"/>
            </w:pPr>
            <w:r>
              <w:t>-</w:t>
            </w:r>
          </w:p>
        </w:tc>
      </w:tr>
      <w:tr w:rsidR="004476DC" w:rsidRPr="00E020A8" w14:paraId="78CE4E92" w14:textId="77777777" w:rsidTr="00C74F21">
        <w:tc>
          <w:tcPr>
            <w:tcW w:w="2518" w:type="dxa"/>
            <w:tcBorders>
              <w:right w:val="nil"/>
            </w:tcBorders>
            <w:shd w:val="clear" w:color="auto" w:fill="F2F2F2" w:themeFill="background1" w:themeFillShade="F2"/>
          </w:tcPr>
          <w:p w14:paraId="786DD1BF" w14:textId="58CF5714" w:rsidR="004476DC" w:rsidRPr="00E020A8" w:rsidRDefault="004476DC" w:rsidP="00BB2456">
            <w:pPr>
              <w:spacing w:before="40" w:after="40" w:line="240" w:lineRule="auto"/>
              <w:jc w:val="left"/>
              <w:rPr>
                <w:rFonts w:ascii="Arial Narrow" w:hAnsi="Arial Narrow"/>
                <w:i/>
                <w:sz w:val="20"/>
                <w:szCs w:val="20"/>
              </w:rPr>
            </w:pPr>
            <w:r w:rsidRPr="00E020A8">
              <w:rPr>
                <w:rFonts w:ascii="Arial Narrow" w:hAnsi="Arial Narrow"/>
                <w:i/>
                <w:sz w:val="20"/>
                <w:szCs w:val="20"/>
              </w:rPr>
              <w:t>Model 2</w:t>
            </w:r>
            <w:r w:rsidR="00C74F21">
              <w:rPr>
                <w:rFonts w:ascii="Arial Narrow" w:hAnsi="Arial Narrow"/>
                <w:i/>
                <w:sz w:val="20"/>
                <w:szCs w:val="20"/>
              </w:rPr>
              <w:t xml:space="preserve"> </w:t>
            </w:r>
            <w:r w:rsidR="00C74F21" w:rsidRPr="00517F92">
              <w:rPr>
                <w:rFonts w:ascii="Arial Narrow" w:hAnsi="Arial Narrow"/>
                <w:i/>
                <w:sz w:val="20"/>
                <w:szCs w:val="20"/>
              </w:rPr>
              <w:t>(Fetus has FEB)</w:t>
            </w:r>
          </w:p>
        </w:tc>
        <w:tc>
          <w:tcPr>
            <w:tcW w:w="1701" w:type="dxa"/>
            <w:tcBorders>
              <w:left w:val="nil"/>
              <w:right w:val="nil"/>
            </w:tcBorders>
            <w:shd w:val="clear" w:color="auto" w:fill="F2F2F2" w:themeFill="background1" w:themeFillShade="F2"/>
          </w:tcPr>
          <w:p w14:paraId="281474EA"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p>
        </w:tc>
        <w:tc>
          <w:tcPr>
            <w:tcW w:w="1701" w:type="dxa"/>
            <w:tcBorders>
              <w:left w:val="nil"/>
              <w:right w:val="nil"/>
            </w:tcBorders>
            <w:shd w:val="clear" w:color="auto" w:fill="F2F2F2" w:themeFill="background1" w:themeFillShade="F2"/>
          </w:tcPr>
          <w:p w14:paraId="33D5F778"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p>
        </w:tc>
        <w:tc>
          <w:tcPr>
            <w:tcW w:w="1559" w:type="dxa"/>
            <w:tcBorders>
              <w:left w:val="nil"/>
              <w:right w:val="nil"/>
            </w:tcBorders>
            <w:shd w:val="clear" w:color="auto" w:fill="F2F2F2" w:themeFill="background1" w:themeFillShade="F2"/>
          </w:tcPr>
          <w:p w14:paraId="328394DB"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p>
        </w:tc>
        <w:tc>
          <w:tcPr>
            <w:tcW w:w="1537" w:type="dxa"/>
            <w:tcBorders>
              <w:left w:val="nil"/>
              <w:right w:val="nil"/>
            </w:tcBorders>
            <w:shd w:val="clear" w:color="auto" w:fill="F2F2F2" w:themeFill="background1" w:themeFillShade="F2"/>
          </w:tcPr>
          <w:p w14:paraId="7A486B55" w14:textId="77777777" w:rsidR="004476DC" w:rsidRPr="00E020A8" w:rsidRDefault="004476DC" w:rsidP="004476DC">
            <w:pPr>
              <w:pStyle w:val="Tabletext1"/>
            </w:pPr>
          </w:p>
        </w:tc>
      </w:tr>
      <w:tr w:rsidR="004476DC" w:rsidRPr="00E020A8" w14:paraId="01FEDBE4" w14:textId="77777777" w:rsidTr="00C74F21">
        <w:tc>
          <w:tcPr>
            <w:tcW w:w="2518" w:type="dxa"/>
          </w:tcPr>
          <w:p w14:paraId="1DA941BC"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Prenatal CF diagnosed</w:t>
            </w:r>
          </w:p>
        </w:tc>
        <w:tc>
          <w:tcPr>
            <w:tcW w:w="1701" w:type="dxa"/>
          </w:tcPr>
          <w:p w14:paraId="014B852B"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4.12</w:t>
            </w:r>
          </w:p>
        </w:tc>
        <w:tc>
          <w:tcPr>
            <w:tcW w:w="1701" w:type="dxa"/>
          </w:tcPr>
          <w:p w14:paraId="49407B1E"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59" w:type="dxa"/>
          </w:tcPr>
          <w:p w14:paraId="49C00617"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4.12</w:t>
            </w:r>
          </w:p>
        </w:tc>
        <w:tc>
          <w:tcPr>
            <w:tcW w:w="1537" w:type="dxa"/>
          </w:tcPr>
          <w:p w14:paraId="1491E089" w14:textId="2F4DF82E" w:rsidR="004476DC" w:rsidRPr="00E020A8" w:rsidRDefault="004476DC" w:rsidP="004476DC">
            <w:pPr>
              <w:pStyle w:val="Tabletext1"/>
            </w:pPr>
            <w:r w:rsidRPr="00194549">
              <w:t>Benefit</w:t>
            </w:r>
          </w:p>
        </w:tc>
      </w:tr>
      <w:tr w:rsidR="004476DC" w:rsidRPr="00E020A8" w14:paraId="22F2E239" w14:textId="77777777" w:rsidTr="00C74F21">
        <w:tc>
          <w:tcPr>
            <w:tcW w:w="2518" w:type="dxa"/>
          </w:tcPr>
          <w:p w14:paraId="29466F1B"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births total:</w:t>
            </w:r>
          </w:p>
        </w:tc>
        <w:tc>
          <w:tcPr>
            <w:tcW w:w="1701" w:type="dxa"/>
          </w:tcPr>
          <w:p w14:paraId="0E2117E9"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1.78</w:t>
            </w:r>
          </w:p>
        </w:tc>
        <w:tc>
          <w:tcPr>
            <w:tcW w:w="1701" w:type="dxa"/>
          </w:tcPr>
          <w:p w14:paraId="269EF97F"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4.44</w:t>
            </w:r>
          </w:p>
        </w:tc>
        <w:tc>
          <w:tcPr>
            <w:tcW w:w="1559" w:type="dxa"/>
          </w:tcPr>
          <w:p w14:paraId="3BD64B4A" w14:textId="7055E597" w:rsidR="004476DC" w:rsidRPr="00E020A8" w:rsidRDefault="00EE7645"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w:t>
            </w:r>
            <w:r w:rsidR="004476DC">
              <w:rPr>
                <w:rFonts w:ascii="Arial Narrow" w:hAnsi="Arial Narrow"/>
                <w:sz w:val="20"/>
                <w:szCs w:val="20"/>
              </w:rPr>
              <w:t>2.66</w:t>
            </w:r>
          </w:p>
        </w:tc>
        <w:tc>
          <w:tcPr>
            <w:tcW w:w="1537" w:type="dxa"/>
          </w:tcPr>
          <w:p w14:paraId="5CB6FE5C" w14:textId="77777777" w:rsidR="004476DC" w:rsidRPr="00E020A8" w:rsidRDefault="004476DC" w:rsidP="004476DC">
            <w:pPr>
              <w:pStyle w:val="Tabletext1"/>
            </w:pPr>
          </w:p>
        </w:tc>
      </w:tr>
      <w:tr w:rsidR="004476DC" w:rsidRPr="00E020A8" w14:paraId="701532F8" w14:textId="77777777" w:rsidTr="00C74F21">
        <w:tc>
          <w:tcPr>
            <w:tcW w:w="2518" w:type="dxa"/>
          </w:tcPr>
          <w:p w14:paraId="5ADD5EDA" w14:textId="1DD82173" w:rsidR="004476DC" w:rsidRPr="00E020A8" w:rsidRDefault="00F83279"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informed</w:t>
            </w:r>
          </w:p>
        </w:tc>
        <w:tc>
          <w:tcPr>
            <w:tcW w:w="1701" w:type="dxa"/>
          </w:tcPr>
          <w:p w14:paraId="798CA93C"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1.43</w:t>
            </w:r>
          </w:p>
        </w:tc>
        <w:tc>
          <w:tcPr>
            <w:tcW w:w="1701" w:type="dxa"/>
          </w:tcPr>
          <w:p w14:paraId="24454D0C"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59" w:type="dxa"/>
          </w:tcPr>
          <w:p w14:paraId="11A98EB8"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1.43</w:t>
            </w:r>
          </w:p>
        </w:tc>
        <w:tc>
          <w:tcPr>
            <w:tcW w:w="1537" w:type="dxa"/>
          </w:tcPr>
          <w:p w14:paraId="52BE77C2" w14:textId="5D36D546" w:rsidR="004476DC" w:rsidRPr="00E020A8" w:rsidRDefault="004476DC" w:rsidP="004476DC">
            <w:pPr>
              <w:pStyle w:val="Tabletext1"/>
            </w:pPr>
            <w:r w:rsidRPr="00194549">
              <w:t>Benefit</w:t>
            </w:r>
          </w:p>
        </w:tc>
      </w:tr>
      <w:tr w:rsidR="004476DC" w:rsidRPr="00E020A8" w14:paraId="413CC02E" w14:textId="77777777" w:rsidTr="00C74F21">
        <w:tc>
          <w:tcPr>
            <w:tcW w:w="2518" w:type="dxa"/>
          </w:tcPr>
          <w:p w14:paraId="785142FC" w14:textId="0787E8D0" w:rsidR="004476DC" w:rsidRPr="00E020A8" w:rsidRDefault="00F83279" w:rsidP="004566DC">
            <w:pPr>
              <w:tabs>
                <w:tab w:val="left" w:pos="284"/>
              </w:tabs>
              <w:spacing w:before="40" w:after="40" w:line="240" w:lineRule="auto"/>
              <w:jc w:val="left"/>
              <w:rPr>
                <w:rFonts w:ascii="Arial Narrow" w:eastAsia="Times New Roman" w:hAnsi="Arial Narrow"/>
                <w:sz w:val="20"/>
                <w:szCs w:val="20"/>
                <w:lang w:eastAsia="en-AU"/>
              </w:rPr>
            </w:pPr>
            <w:r>
              <w:rPr>
                <w:rFonts w:ascii="Arial Narrow" w:hAnsi="Arial Narrow"/>
                <w:sz w:val="20"/>
                <w:szCs w:val="20"/>
              </w:rPr>
              <w:tab/>
            </w:r>
            <w:r w:rsidR="004476DC" w:rsidRPr="00E020A8">
              <w:rPr>
                <w:rFonts w:ascii="Arial Narrow" w:hAnsi="Arial Narrow"/>
                <w:sz w:val="20"/>
                <w:szCs w:val="20"/>
              </w:rPr>
              <w:t>uninformed</w:t>
            </w:r>
          </w:p>
        </w:tc>
        <w:tc>
          <w:tcPr>
            <w:tcW w:w="1701" w:type="dxa"/>
          </w:tcPr>
          <w:p w14:paraId="6083B727"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0.36</w:t>
            </w:r>
          </w:p>
        </w:tc>
        <w:tc>
          <w:tcPr>
            <w:tcW w:w="1701" w:type="dxa"/>
          </w:tcPr>
          <w:p w14:paraId="38164BE1"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4.44</w:t>
            </w:r>
          </w:p>
        </w:tc>
        <w:tc>
          <w:tcPr>
            <w:tcW w:w="1559" w:type="dxa"/>
          </w:tcPr>
          <w:p w14:paraId="4A69C21E" w14:textId="2A55D163" w:rsidR="004476DC" w:rsidRPr="00E020A8" w:rsidRDefault="00EE7645"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w:t>
            </w:r>
            <w:r w:rsidR="004476DC">
              <w:rPr>
                <w:rFonts w:ascii="Arial Narrow" w:hAnsi="Arial Narrow"/>
                <w:sz w:val="20"/>
                <w:szCs w:val="20"/>
              </w:rPr>
              <w:t>4.09</w:t>
            </w:r>
          </w:p>
        </w:tc>
        <w:tc>
          <w:tcPr>
            <w:tcW w:w="1537" w:type="dxa"/>
          </w:tcPr>
          <w:p w14:paraId="0F29F277" w14:textId="77777777" w:rsidR="004476DC" w:rsidRPr="00E020A8" w:rsidRDefault="004476DC" w:rsidP="004476DC">
            <w:pPr>
              <w:pStyle w:val="Tabletext1"/>
            </w:pPr>
          </w:p>
        </w:tc>
      </w:tr>
      <w:tr w:rsidR="004476DC" w:rsidRPr="00E020A8" w14:paraId="13FE9299" w14:textId="77777777" w:rsidTr="00C74F21">
        <w:tc>
          <w:tcPr>
            <w:tcW w:w="2518" w:type="dxa"/>
          </w:tcPr>
          <w:p w14:paraId="52A5775B" w14:textId="03FB1CBD"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CF birth</w:t>
            </w:r>
            <w:r w:rsidR="00F83279">
              <w:rPr>
                <w:rFonts w:ascii="Arial Narrow" w:hAnsi="Arial Narrow"/>
                <w:sz w:val="20"/>
                <w:szCs w:val="20"/>
              </w:rPr>
              <w:t>s</w:t>
            </w:r>
            <w:r w:rsidRPr="00E020A8">
              <w:rPr>
                <w:rFonts w:ascii="Arial Narrow" w:hAnsi="Arial Narrow"/>
                <w:sz w:val="20"/>
                <w:szCs w:val="20"/>
              </w:rPr>
              <w:t xml:space="preserve"> averted</w:t>
            </w:r>
          </w:p>
        </w:tc>
        <w:tc>
          <w:tcPr>
            <w:tcW w:w="1701" w:type="dxa"/>
          </w:tcPr>
          <w:p w14:paraId="30E0C550"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2.69</w:t>
            </w:r>
          </w:p>
        </w:tc>
        <w:tc>
          <w:tcPr>
            <w:tcW w:w="1701" w:type="dxa"/>
          </w:tcPr>
          <w:p w14:paraId="39FE4D14"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59" w:type="dxa"/>
          </w:tcPr>
          <w:p w14:paraId="6BDFC8E3"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2.69</w:t>
            </w:r>
          </w:p>
        </w:tc>
        <w:tc>
          <w:tcPr>
            <w:tcW w:w="1537" w:type="dxa"/>
          </w:tcPr>
          <w:p w14:paraId="6C6CCB63" w14:textId="1BA0D318" w:rsidR="004476DC" w:rsidRPr="00E020A8" w:rsidRDefault="004476DC" w:rsidP="004476DC">
            <w:pPr>
              <w:pStyle w:val="Tabletext1"/>
            </w:pPr>
            <w:r w:rsidRPr="00194549">
              <w:t>Benefit</w:t>
            </w:r>
          </w:p>
        </w:tc>
      </w:tr>
      <w:tr w:rsidR="004476DC" w:rsidRPr="00E020A8" w14:paraId="28CC582C" w14:textId="77777777" w:rsidTr="00C74F21">
        <w:tc>
          <w:tcPr>
            <w:tcW w:w="2518" w:type="dxa"/>
          </w:tcPr>
          <w:p w14:paraId="284AC510"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Fetal loss</w:t>
            </w:r>
          </w:p>
        </w:tc>
        <w:tc>
          <w:tcPr>
            <w:tcW w:w="1701" w:type="dxa"/>
          </w:tcPr>
          <w:p w14:paraId="5776BA3F"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1.24</w:t>
            </w:r>
          </w:p>
        </w:tc>
        <w:tc>
          <w:tcPr>
            <w:tcW w:w="1701" w:type="dxa"/>
          </w:tcPr>
          <w:p w14:paraId="00D3EF03"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sz w:val="20"/>
                <w:szCs w:val="20"/>
              </w:rPr>
              <w:t>1.24</w:t>
            </w:r>
          </w:p>
        </w:tc>
        <w:tc>
          <w:tcPr>
            <w:tcW w:w="1559" w:type="dxa"/>
          </w:tcPr>
          <w:p w14:paraId="5D84FDAF" w14:textId="394E7C49" w:rsidR="004476DC" w:rsidRPr="00E020A8" w:rsidRDefault="00EE7645"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w:t>
            </w:r>
            <w:r w:rsidR="004476DC">
              <w:rPr>
                <w:rFonts w:ascii="Arial Narrow" w:hAnsi="Arial Narrow"/>
                <w:sz w:val="20"/>
                <w:szCs w:val="20"/>
              </w:rPr>
              <w:t>0.03</w:t>
            </w:r>
          </w:p>
        </w:tc>
        <w:tc>
          <w:tcPr>
            <w:tcW w:w="1537" w:type="dxa"/>
          </w:tcPr>
          <w:p w14:paraId="7C55BA5A" w14:textId="77777777" w:rsidR="004476DC" w:rsidRPr="00E020A8" w:rsidRDefault="004476DC" w:rsidP="004476DC">
            <w:pPr>
              <w:pStyle w:val="Tabletext1"/>
            </w:pPr>
          </w:p>
        </w:tc>
      </w:tr>
      <w:tr w:rsidR="004476DC" w:rsidRPr="00E020A8" w14:paraId="0F034722" w14:textId="77777777" w:rsidTr="00C74F21">
        <w:tc>
          <w:tcPr>
            <w:tcW w:w="2518" w:type="dxa"/>
          </w:tcPr>
          <w:p w14:paraId="425F6ACC" w14:textId="1302D4A3"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lastRenderedPageBreak/>
              <w:t>Procedure</w:t>
            </w:r>
            <w:r w:rsidR="00A32A62">
              <w:rPr>
                <w:rFonts w:ascii="Arial Narrow" w:hAnsi="Arial Narrow"/>
                <w:sz w:val="20"/>
                <w:szCs w:val="20"/>
              </w:rPr>
              <w:t>-</w:t>
            </w:r>
            <w:r w:rsidRPr="00E020A8">
              <w:rPr>
                <w:rFonts w:ascii="Arial Narrow" w:hAnsi="Arial Narrow"/>
                <w:sz w:val="20"/>
                <w:szCs w:val="20"/>
              </w:rPr>
              <w:t>related fetal loss</w:t>
            </w:r>
          </w:p>
        </w:tc>
        <w:tc>
          <w:tcPr>
            <w:tcW w:w="1701" w:type="dxa"/>
          </w:tcPr>
          <w:p w14:paraId="6190F3A4"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0.008</w:t>
            </w:r>
          </w:p>
        </w:tc>
        <w:tc>
          <w:tcPr>
            <w:tcW w:w="1701" w:type="dxa"/>
          </w:tcPr>
          <w:p w14:paraId="10DFCB20"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0</w:t>
            </w:r>
          </w:p>
        </w:tc>
        <w:tc>
          <w:tcPr>
            <w:tcW w:w="1559" w:type="dxa"/>
          </w:tcPr>
          <w:p w14:paraId="7480375B"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0.008</w:t>
            </w:r>
          </w:p>
        </w:tc>
        <w:tc>
          <w:tcPr>
            <w:tcW w:w="1537" w:type="dxa"/>
          </w:tcPr>
          <w:p w14:paraId="0E92E4DD" w14:textId="03CF1272" w:rsidR="004476DC" w:rsidRPr="00E020A8" w:rsidRDefault="004476DC" w:rsidP="004476DC">
            <w:pPr>
              <w:pStyle w:val="Tabletext1"/>
            </w:pPr>
            <w:r>
              <w:t>Harm</w:t>
            </w:r>
          </w:p>
        </w:tc>
      </w:tr>
      <w:tr w:rsidR="004476DC" w:rsidRPr="00E020A8" w14:paraId="5BDF3BF4" w14:textId="77777777" w:rsidTr="00C74F21">
        <w:tc>
          <w:tcPr>
            <w:tcW w:w="2518" w:type="dxa"/>
          </w:tcPr>
          <w:p w14:paraId="0BCC8FF0" w14:textId="77777777" w:rsidR="004476DC" w:rsidRPr="00E020A8" w:rsidRDefault="004476DC" w:rsidP="00BB2456">
            <w:pPr>
              <w:spacing w:before="40" w:after="40" w:line="240" w:lineRule="auto"/>
              <w:jc w:val="left"/>
              <w:rPr>
                <w:rFonts w:ascii="Arial Narrow" w:hAnsi="Arial Narrow"/>
                <w:sz w:val="20"/>
                <w:szCs w:val="20"/>
              </w:rPr>
            </w:pPr>
            <w:r w:rsidRPr="00E020A8">
              <w:rPr>
                <w:rFonts w:ascii="Arial Narrow" w:hAnsi="Arial Narrow"/>
                <w:sz w:val="20"/>
                <w:szCs w:val="20"/>
              </w:rPr>
              <w:t>No CF</w:t>
            </w:r>
          </w:p>
        </w:tc>
        <w:tc>
          <w:tcPr>
            <w:tcW w:w="1701" w:type="dxa"/>
          </w:tcPr>
          <w:p w14:paraId="41BAA096" w14:textId="77777777" w:rsidR="004476DC" w:rsidRPr="00E020A8" w:rsidRDefault="004476DC" w:rsidP="004566DC">
            <w:pPr>
              <w:spacing w:before="40" w:after="40" w:line="240" w:lineRule="auto"/>
              <w:ind w:right="459"/>
              <w:jc w:val="right"/>
              <w:rPr>
                <w:rFonts w:ascii="Arial Narrow" w:eastAsia="Times New Roman" w:hAnsi="Arial Narrow"/>
                <w:sz w:val="20"/>
                <w:szCs w:val="20"/>
                <w:lang w:eastAsia="en-AU"/>
              </w:rPr>
            </w:pPr>
            <w:r>
              <w:rPr>
                <w:rFonts w:ascii="Arial Narrow" w:hAnsi="Arial Narrow"/>
                <w:sz w:val="20"/>
                <w:szCs w:val="20"/>
              </w:rPr>
              <w:t>94.28</w:t>
            </w:r>
          </w:p>
        </w:tc>
        <w:tc>
          <w:tcPr>
            <w:tcW w:w="1701" w:type="dxa"/>
          </w:tcPr>
          <w:p w14:paraId="2FAF6F63"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sidRPr="00E020A8">
              <w:rPr>
                <w:rFonts w:ascii="Arial Narrow" w:hAnsi="Arial Narrow"/>
                <w:color w:val="000000"/>
                <w:sz w:val="20"/>
                <w:szCs w:val="20"/>
              </w:rPr>
              <w:t>94.29</w:t>
            </w:r>
          </w:p>
        </w:tc>
        <w:tc>
          <w:tcPr>
            <w:tcW w:w="1559" w:type="dxa"/>
          </w:tcPr>
          <w:p w14:paraId="7850FB15" w14:textId="77777777" w:rsidR="004476DC" w:rsidRPr="00E020A8" w:rsidRDefault="004476DC" w:rsidP="004566DC">
            <w:pPr>
              <w:spacing w:before="40" w:after="40" w:line="240" w:lineRule="auto"/>
              <w:ind w:right="459"/>
              <w:jc w:val="right"/>
              <w:rPr>
                <w:rFonts w:ascii="Arial Narrow" w:eastAsia="Times New Roman" w:hAnsi="Arial Narrow"/>
                <w:color w:val="000000"/>
                <w:sz w:val="20"/>
                <w:szCs w:val="20"/>
                <w:lang w:eastAsia="en-AU"/>
              </w:rPr>
            </w:pPr>
            <w:r>
              <w:rPr>
                <w:rFonts w:ascii="Arial Narrow" w:hAnsi="Arial Narrow"/>
                <w:sz w:val="20"/>
                <w:szCs w:val="20"/>
              </w:rPr>
              <w:t>0.00</w:t>
            </w:r>
          </w:p>
        </w:tc>
        <w:tc>
          <w:tcPr>
            <w:tcW w:w="1537" w:type="dxa"/>
          </w:tcPr>
          <w:p w14:paraId="48EDEAF5" w14:textId="3A0340E8" w:rsidR="004476DC" w:rsidRPr="00E020A8" w:rsidRDefault="004476DC" w:rsidP="004476DC">
            <w:pPr>
              <w:pStyle w:val="Tabletext1"/>
            </w:pPr>
            <w:r>
              <w:t>-</w:t>
            </w:r>
          </w:p>
        </w:tc>
      </w:tr>
    </w:tbl>
    <w:p w14:paraId="1E0BD49D" w14:textId="6EA43C11" w:rsidR="00ED6D7E" w:rsidRPr="00FC4A03" w:rsidRDefault="00ED6D7E" w:rsidP="00ED6D7E">
      <w:pPr>
        <w:widowControl w:val="0"/>
        <w:spacing w:after="120" w:line="240" w:lineRule="auto"/>
        <w:rPr>
          <w:rFonts w:ascii="Arial Narrow" w:hAnsi="Arial Narrow" w:cs="Arial"/>
          <w:snapToGrid w:val="0"/>
          <w:sz w:val="18"/>
          <w:szCs w:val="20"/>
          <w:lang w:eastAsia="en-US"/>
        </w:rPr>
      </w:pPr>
      <w:r w:rsidRPr="00FC4A03">
        <w:rPr>
          <w:rFonts w:ascii="Arial Narrow" w:hAnsi="Arial Narrow" w:cs="Arial"/>
          <w:snapToGrid w:val="0"/>
          <w:sz w:val="18"/>
          <w:szCs w:val="20"/>
          <w:lang w:eastAsia="en-US"/>
        </w:rPr>
        <w:t>CF = cystic fibrosis</w:t>
      </w:r>
      <w:r w:rsidR="00C74F21">
        <w:rPr>
          <w:rFonts w:ascii="Arial Narrow" w:hAnsi="Arial Narrow" w:cs="Arial"/>
          <w:snapToGrid w:val="0"/>
          <w:sz w:val="18"/>
          <w:szCs w:val="20"/>
          <w:lang w:eastAsia="en-US"/>
        </w:rPr>
        <w:t xml:space="preserve">; </w:t>
      </w:r>
      <w:r w:rsidR="00C74F21" w:rsidRPr="00C74F21">
        <w:rPr>
          <w:rFonts w:ascii="Arial Narrow" w:hAnsi="Arial Narrow" w:cs="Arial"/>
          <w:snapToGrid w:val="0"/>
          <w:sz w:val="18"/>
          <w:szCs w:val="20"/>
          <w:lang w:eastAsia="en-US"/>
        </w:rPr>
        <w:t>FEB</w:t>
      </w:r>
      <w:r w:rsidR="008800B8">
        <w:rPr>
          <w:rFonts w:ascii="Arial Narrow" w:hAnsi="Arial Narrow" w:cs="Arial"/>
          <w:snapToGrid w:val="0"/>
          <w:sz w:val="18"/>
          <w:szCs w:val="20"/>
          <w:lang w:eastAsia="en-US"/>
        </w:rPr>
        <w:t xml:space="preserve"> </w:t>
      </w:r>
      <w:r w:rsidR="00C74F21" w:rsidRPr="00C74F21">
        <w:rPr>
          <w:rFonts w:ascii="Arial Narrow" w:hAnsi="Arial Narrow" w:cs="Arial"/>
          <w:snapToGrid w:val="0"/>
          <w:sz w:val="18"/>
          <w:szCs w:val="20"/>
          <w:lang w:eastAsia="en-US"/>
        </w:rPr>
        <w:t>=</w:t>
      </w:r>
      <w:r w:rsidR="008800B8">
        <w:rPr>
          <w:rFonts w:ascii="Arial Narrow" w:hAnsi="Arial Narrow" w:cs="Arial"/>
          <w:snapToGrid w:val="0"/>
          <w:sz w:val="18"/>
          <w:szCs w:val="20"/>
          <w:lang w:eastAsia="en-US"/>
        </w:rPr>
        <w:t xml:space="preserve"> </w:t>
      </w:r>
      <w:r w:rsidR="00C74F21" w:rsidRPr="00C74F21">
        <w:rPr>
          <w:rFonts w:ascii="Arial Narrow" w:hAnsi="Arial Narrow" w:cs="Arial"/>
          <w:snapToGrid w:val="0"/>
          <w:sz w:val="18"/>
          <w:szCs w:val="20"/>
          <w:lang w:eastAsia="en-US"/>
        </w:rPr>
        <w:t>fetal echogenic bowel</w:t>
      </w:r>
    </w:p>
    <w:p w14:paraId="46E83DC3" w14:textId="77777777" w:rsidR="00ED6D7E" w:rsidRDefault="00ED6D7E" w:rsidP="00ED6D7E">
      <w:pPr>
        <w:pStyle w:val="Caption"/>
      </w:pPr>
      <w:bookmarkStart w:id="625" w:name="_Toc418179508"/>
      <w:r>
        <w:t xml:space="preserve">Table </w:t>
      </w:r>
      <w:fldSimple w:instr=" SEQ Table \* ARABIC ">
        <w:r w:rsidR="00BB0E3E">
          <w:rPr>
            <w:noProof/>
          </w:rPr>
          <w:t>111</w:t>
        </w:r>
      </w:fldSimple>
      <w:r>
        <w:tab/>
        <w:t xml:space="preserve">Incremental costs, </w:t>
      </w:r>
      <w:r w:rsidRPr="00611031">
        <w:t>additional scenario</w:t>
      </w:r>
      <w:r>
        <w:rPr>
          <w:b w:val="0"/>
          <w:bCs w:val="0"/>
        </w:rPr>
        <w:t xml:space="preserve"> </w:t>
      </w:r>
      <w:r w:rsidRPr="00DE7EC9">
        <w:rPr>
          <w:bCs w:val="0"/>
        </w:rPr>
        <w:t>3</w:t>
      </w:r>
      <w:bookmarkEnd w:id="625"/>
    </w:p>
    <w:tbl>
      <w:tblPr>
        <w:tblStyle w:val="TableGrid9"/>
        <w:tblW w:w="5000" w:type="pct"/>
        <w:tblLook w:val="04A0" w:firstRow="1" w:lastRow="0" w:firstColumn="1" w:lastColumn="0" w:noHBand="0" w:noVBand="1"/>
        <w:tblCaption w:val="Incremental costs, additional scenario 3"/>
        <w:tblDescription w:val="Incremental costs, additional scenario 3"/>
      </w:tblPr>
      <w:tblGrid>
        <w:gridCol w:w="2689"/>
        <w:gridCol w:w="2200"/>
        <w:gridCol w:w="2357"/>
        <w:gridCol w:w="1996"/>
      </w:tblGrid>
      <w:tr w:rsidR="00ED6D7E" w:rsidRPr="00105D7C" w14:paraId="7C516B37" w14:textId="77777777" w:rsidTr="007C1FC6">
        <w:trPr>
          <w:tblHeader/>
        </w:trPr>
        <w:tc>
          <w:tcPr>
            <w:tcW w:w="1455" w:type="pct"/>
            <w:tcBorders>
              <w:bottom w:val="single" w:sz="4" w:space="0" w:color="auto"/>
            </w:tcBorders>
            <w:shd w:val="clear" w:color="auto" w:fill="FFFFFF" w:themeFill="background1"/>
          </w:tcPr>
          <w:p w14:paraId="56963A8E" w14:textId="77777777" w:rsidR="00ED6D7E" w:rsidRPr="00105D7C" w:rsidRDefault="00ED6D7E" w:rsidP="00BB2456">
            <w:pPr>
              <w:pStyle w:val="TableHeading"/>
              <w:jc w:val="left"/>
            </w:pPr>
            <w:r w:rsidRPr="00105D7C">
              <w:t>Cost</w:t>
            </w:r>
          </w:p>
        </w:tc>
        <w:tc>
          <w:tcPr>
            <w:tcW w:w="1190" w:type="pct"/>
            <w:tcBorders>
              <w:bottom w:val="single" w:sz="4" w:space="0" w:color="auto"/>
            </w:tcBorders>
            <w:shd w:val="clear" w:color="auto" w:fill="FFFFFF" w:themeFill="background1"/>
          </w:tcPr>
          <w:p w14:paraId="5C5135D2" w14:textId="77777777" w:rsidR="00ED6D7E" w:rsidRPr="00105D7C" w:rsidRDefault="00ED6D7E" w:rsidP="004566DC">
            <w:pPr>
              <w:pStyle w:val="TableHeading"/>
              <w:jc w:val="center"/>
              <w:rPr>
                <w:rFonts w:eastAsia="Times New Roman"/>
                <w:lang w:eastAsia="en-AU"/>
              </w:rPr>
            </w:pPr>
            <w:r w:rsidRPr="00105D7C">
              <w:t>Prenatal testing</w:t>
            </w:r>
          </w:p>
        </w:tc>
        <w:tc>
          <w:tcPr>
            <w:tcW w:w="1275" w:type="pct"/>
            <w:tcBorders>
              <w:bottom w:val="single" w:sz="4" w:space="0" w:color="auto"/>
            </w:tcBorders>
            <w:shd w:val="clear" w:color="auto" w:fill="FFFFFF" w:themeFill="background1"/>
          </w:tcPr>
          <w:p w14:paraId="328AAA22" w14:textId="7909D19A" w:rsidR="00ED6D7E" w:rsidRPr="00105D7C" w:rsidRDefault="00ED6D7E" w:rsidP="004566DC">
            <w:pPr>
              <w:pStyle w:val="TableHeading"/>
              <w:jc w:val="center"/>
              <w:rPr>
                <w:rFonts w:eastAsia="Times New Roman"/>
                <w:lang w:eastAsia="en-AU"/>
              </w:rPr>
            </w:pPr>
            <w:r w:rsidRPr="00105D7C">
              <w:t>No prenatal testing</w:t>
            </w:r>
          </w:p>
        </w:tc>
        <w:tc>
          <w:tcPr>
            <w:tcW w:w="1080" w:type="pct"/>
            <w:tcBorders>
              <w:bottom w:val="single" w:sz="4" w:space="0" w:color="auto"/>
            </w:tcBorders>
            <w:shd w:val="clear" w:color="auto" w:fill="FFFFFF" w:themeFill="background1"/>
          </w:tcPr>
          <w:p w14:paraId="0CADA2F6" w14:textId="77777777" w:rsidR="00ED6D7E" w:rsidRPr="00105D7C" w:rsidRDefault="00ED6D7E" w:rsidP="004566DC">
            <w:pPr>
              <w:pStyle w:val="TableHeading"/>
              <w:jc w:val="center"/>
              <w:rPr>
                <w:rFonts w:eastAsia="Times New Roman"/>
                <w:lang w:eastAsia="en-AU"/>
              </w:rPr>
            </w:pPr>
            <w:r w:rsidRPr="00105D7C">
              <w:t>Increment</w:t>
            </w:r>
          </w:p>
        </w:tc>
      </w:tr>
      <w:tr w:rsidR="00ED6D7E" w:rsidRPr="00105D7C" w14:paraId="234E1DB6" w14:textId="77777777" w:rsidTr="00BB2456">
        <w:tc>
          <w:tcPr>
            <w:tcW w:w="1455" w:type="pct"/>
            <w:tcBorders>
              <w:right w:val="nil"/>
            </w:tcBorders>
            <w:shd w:val="clear" w:color="auto" w:fill="F2F2F2" w:themeFill="background1" w:themeFillShade="F2"/>
          </w:tcPr>
          <w:p w14:paraId="5A8B117E" w14:textId="5FA364BE" w:rsidR="00ED6D7E" w:rsidRPr="00105D7C" w:rsidRDefault="00ED6D7E" w:rsidP="00BB2456">
            <w:pPr>
              <w:spacing w:before="40" w:after="40" w:line="240" w:lineRule="auto"/>
              <w:jc w:val="left"/>
              <w:rPr>
                <w:rFonts w:ascii="Arial Narrow" w:hAnsi="Arial Narrow"/>
                <w:i/>
                <w:sz w:val="20"/>
                <w:szCs w:val="20"/>
              </w:rPr>
            </w:pPr>
            <w:r w:rsidRPr="00105D7C">
              <w:rPr>
                <w:rFonts w:ascii="Arial Narrow" w:hAnsi="Arial Narrow"/>
                <w:sz w:val="20"/>
                <w:szCs w:val="20"/>
              </w:rPr>
              <w:t>Model 1</w:t>
            </w:r>
            <w:r w:rsidR="004476DC">
              <w:rPr>
                <w:rFonts w:ascii="Arial Narrow" w:hAnsi="Arial Narrow"/>
                <w:sz w:val="20"/>
                <w:szCs w:val="20"/>
              </w:rPr>
              <w:t xml:space="preserve"> </w:t>
            </w:r>
            <w:r w:rsidR="004476DC">
              <w:rPr>
                <w:rFonts w:ascii="Arial Narrow" w:hAnsi="Arial Narrow"/>
                <w:i/>
                <w:sz w:val="20"/>
                <w:szCs w:val="20"/>
              </w:rPr>
              <w:t>(P</w:t>
            </w:r>
            <w:r w:rsidR="004476DC" w:rsidRPr="00517F92">
              <w:rPr>
                <w:rFonts w:ascii="Arial Narrow" w:hAnsi="Arial Narrow"/>
                <w:i/>
                <w:sz w:val="20"/>
                <w:szCs w:val="20"/>
              </w:rPr>
              <w:t xml:space="preserve">arents </w:t>
            </w:r>
            <w:r w:rsidR="004476DC">
              <w:rPr>
                <w:rFonts w:ascii="Arial Narrow" w:hAnsi="Arial Narrow"/>
                <w:i/>
                <w:sz w:val="20"/>
                <w:szCs w:val="20"/>
              </w:rPr>
              <w:t xml:space="preserve">are </w:t>
            </w:r>
            <w:r w:rsidR="004476DC" w:rsidRPr="00517F92">
              <w:rPr>
                <w:rFonts w:ascii="Arial Narrow" w:hAnsi="Arial Narrow"/>
                <w:i/>
                <w:sz w:val="20"/>
                <w:szCs w:val="20"/>
              </w:rPr>
              <w:t xml:space="preserve">known </w:t>
            </w:r>
            <w:r w:rsidR="004476DC">
              <w:rPr>
                <w:rFonts w:ascii="Arial Narrow" w:hAnsi="Arial Narrow"/>
                <w:i/>
                <w:sz w:val="20"/>
                <w:szCs w:val="20"/>
              </w:rPr>
              <w:t xml:space="preserve">CF </w:t>
            </w:r>
            <w:r w:rsidR="004476DC" w:rsidRPr="00517F92">
              <w:rPr>
                <w:rFonts w:ascii="Arial Narrow" w:hAnsi="Arial Narrow"/>
                <w:i/>
                <w:sz w:val="20"/>
                <w:szCs w:val="20"/>
              </w:rPr>
              <w:t>carriers)</w:t>
            </w:r>
          </w:p>
        </w:tc>
        <w:tc>
          <w:tcPr>
            <w:tcW w:w="1190" w:type="pct"/>
            <w:tcBorders>
              <w:left w:val="nil"/>
              <w:right w:val="nil"/>
            </w:tcBorders>
            <w:shd w:val="clear" w:color="auto" w:fill="F2F2F2" w:themeFill="background1" w:themeFillShade="F2"/>
          </w:tcPr>
          <w:p w14:paraId="242AF9FF" w14:textId="77777777" w:rsidR="00ED6D7E" w:rsidRPr="00105D7C" w:rsidRDefault="00ED6D7E" w:rsidP="00BB2456">
            <w:pPr>
              <w:spacing w:before="40" w:after="40" w:line="240" w:lineRule="auto"/>
              <w:jc w:val="left"/>
              <w:rPr>
                <w:rFonts w:ascii="Arial Narrow" w:hAnsi="Arial Narrow"/>
                <w:sz w:val="20"/>
                <w:szCs w:val="20"/>
              </w:rPr>
            </w:pPr>
          </w:p>
        </w:tc>
        <w:tc>
          <w:tcPr>
            <w:tcW w:w="1275" w:type="pct"/>
            <w:tcBorders>
              <w:left w:val="nil"/>
              <w:right w:val="nil"/>
            </w:tcBorders>
            <w:shd w:val="clear" w:color="auto" w:fill="F2F2F2" w:themeFill="background1" w:themeFillShade="F2"/>
          </w:tcPr>
          <w:p w14:paraId="1FC582B5" w14:textId="77777777" w:rsidR="00ED6D7E" w:rsidRPr="00105D7C" w:rsidRDefault="00ED6D7E" w:rsidP="00BB2456">
            <w:pPr>
              <w:spacing w:before="40" w:after="40" w:line="240" w:lineRule="auto"/>
              <w:jc w:val="left"/>
              <w:rPr>
                <w:rFonts w:ascii="Arial Narrow" w:hAnsi="Arial Narrow"/>
                <w:sz w:val="20"/>
                <w:szCs w:val="20"/>
              </w:rPr>
            </w:pPr>
          </w:p>
        </w:tc>
        <w:tc>
          <w:tcPr>
            <w:tcW w:w="1080" w:type="pct"/>
            <w:tcBorders>
              <w:left w:val="nil"/>
            </w:tcBorders>
            <w:shd w:val="clear" w:color="auto" w:fill="F2F2F2" w:themeFill="background1" w:themeFillShade="F2"/>
          </w:tcPr>
          <w:p w14:paraId="77340FC6" w14:textId="77777777" w:rsidR="00ED6D7E" w:rsidRPr="00105D7C" w:rsidRDefault="00ED6D7E" w:rsidP="00BB2456">
            <w:pPr>
              <w:spacing w:before="40" w:after="40" w:line="240" w:lineRule="auto"/>
              <w:jc w:val="left"/>
              <w:rPr>
                <w:rFonts w:ascii="Arial Narrow" w:hAnsi="Arial Narrow"/>
                <w:sz w:val="20"/>
                <w:szCs w:val="20"/>
              </w:rPr>
            </w:pPr>
          </w:p>
        </w:tc>
      </w:tr>
      <w:tr w:rsidR="00ED6D7E" w:rsidRPr="00105D7C" w14:paraId="5713A821" w14:textId="77777777" w:rsidTr="00BB2456">
        <w:tc>
          <w:tcPr>
            <w:tcW w:w="1455" w:type="pct"/>
          </w:tcPr>
          <w:p w14:paraId="06D68F7C" w14:textId="00987F6B" w:rsidR="00ED6D7E" w:rsidRPr="00105D7C" w:rsidRDefault="00ED6D7E" w:rsidP="00C31333">
            <w:pPr>
              <w:spacing w:before="40" w:after="40" w:line="240" w:lineRule="auto"/>
              <w:jc w:val="left"/>
              <w:rPr>
                <w:rFonts w:ascii="Arial Narrow" w:hAnsi="Arial Narrow"/>
                <w:sz w:val="20"/>
                <w:szCs w:val="20"/>
              </w:rPr>
            </w:pPr>
            <w:r w:rsidRPr="00105D7C">
              <w:rPr>
                <w:rFonts w:ascii="Arial Narrow" w:hAnsi="Arial Narrow"/>
                <w:sz w:val="20"/>
                <w:szCs w:val="20"/>
              </w:rPr>
              <w:t xml:space="preserve">Cost per </w:t>
            </w:r>
            <w:r w:rsidR="00C31333">
              <w:rPr>
                <w:rFonts w:ascii="Arial Narrow" w:hAnsi="Arial Narrow"/>
                <w:sz w:val="20"/>
                <w:szCs w:val="20"/>
              </w:rPr>
              <w:t>pregnancy</w:t>
            </w:r>
          </w:p>
        </w:tc>
        <w:tc>
          <w:tcPr>
            <w:tcW w:w="1190" w:type="pct"/>
          </w:tcPr>
          <w:p w14:paraId="704B3CA5"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r w:rsidRPr="00105D7C">
              <w:rPr>
                <w:rFonts w:ascii="Arial Narrow" w:hAnsi="Arial Narrow"/>
                <w:sz w:val="20"/>
                <w:szCs w:val="20"/>
              </w:rPr>
              <w:t>$4,564.63</w:t>
            </w:r>
          </w:p>
        </w:tc>
        <w:tc>
          <w:tcPr>
            <w:tcW w:w="1275" w:type="pct"/>
          </w:tcPr>
          <w:p w14:paraId="1162736A"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r w:rsidRPr="00105D7C">
              <w:rPr>
                <w:rFonts w:ascii="Arial Narrow" w:hAnsi="Arial Narrow"/>
                <w:sz w:val="20"/>
                <w:szCs w:val="20"/>
              </w:rPr>
              <w:t>$4071.61</w:t>
            </w:r>
          </w:p>
        </w:tc>
        <w:tc>
          <w:tcPr>
            <w:tcW w:w="1080" w:type="pct"/>
          </w:tcPr>
          <w:p w14:paraId="08F26B86" w14:textId="77777777" w:rsidR="00ED6D7E" w:rsidRPr="00105D7C" w:rsidRDefault="00ED6D7E" w:rsidP="004566DC">
            <w:pPr>
              <w:spacing w:after="0" w:line="240" w:lineRule="auto"/>
              <w:ind w:right="562"/>
              <w:jc w:val="right"/>
              <w:rPr>
                <w:rFonts w:ascii="Arial Narrow" w:eastAsia="Times New Roman" w:hAnsi="Arial Narrow" w:cs="Times New Roman"/>
                <w:color w:val="000000"/>
                <w:sz w:val="20"/>
                <w:szCs w:val="20"/>
                <w:lang w:eastAsia="en-AU"/>
              </w:rPr>
            </w:pPr>
            <w:r w:rsidRPr="00105D7C">
              <w:rPr>
                <w:rFonts w:ascii="Arial Narrow" w:hAnsi="Arial Narrow"/>
                <w:color w:val="000000"/>
                <w:sz w:val="20"/>
                <w:szCs w:val="20"/>
              </w:rPr>
              <w:t>$493.02</w:t>
            </w:r>
          </w:p>
        </w:tc>
      </w:tr>
      <w:tr w:rsidR="00ED6D7E" w:rsidRPr="00105D7C" w14:paraId="0D6E0B7C" w14:textId="77777777" w:rsidTr="00BB2456">
        <w:tc>
          <w:tcPr>
            <w:tcW w:w="1455" w:type="pct"/>
            <w:tcBorders>
              <w:right w:val="nil"/>
            </w:tcBorders>
            <w:shd w:val="clear" w:color="auto" w:fill="F2F2F2" w:themeFill="background1" w:themeFillShade="F2"/>
          </w:tcPr>
          <w:p w14:paraId="315AB521" w14:textId="2B2564B3" w:rsidR="00ED6D7E" w:rsidRPr="00105D7C" w:rsidRDefault="00ED6D7E" w:rsidP="00BB2456">
            <w:pPr>
              <w:spacing w:before="40" w:after="40" w:line="240" w:lineRule="auto"/>
              <w:jc w:val="left"/>
              <w:rPr>
                <w:rFonts w:ascii="Arial Narrow" w:hAnsi="Arial Narrow"/>
                <w:sz w:val="20"/>
                <w:szCs w:val="20"/>
              </w:rPr>
            </w:pPr>
            <w:r w:rsidRPr="00105D7C">
              <w:rPr>
                <w:rFonts w:ascii="Arial Narrow" w:hAnsi="Arial Narrow"/>
                <w:sz w:val="20"/>
                <w:szCs w:val="20"/>
              </w:rPr>
              <w:t>Model 2</w:t>
            </w:r>
            <w:r w:rsidR="004476DC">
              <w:rPr>
                <w:rFonts w:ascii="Arial Narrow" w:hAnsi="Arial Narrow"/>
                <w:sz w:val="20"/>
                <w:szCs w:val="20"/>
              </w:rPr>
              <w:t xml:space="preserve"> </w:t>
            </w:r>
            <w:r w:rsidR="004476DC" w:rsidRPr="00517F92">
              <w:rPr>
                <w:rFonts w:ascii="Arial Narrow" w:hAnsi="Arial Narrow"/>
                <w:i/>
                <w:sz w:val="20"/>
                <w:szCs w:val="20"/>
              </w:rPr>
              <w:t>(Fetus has FEB)</w:t>
            </w:r>
          </w:p>
        </w:tc>
        <w:tc>
          <w:tcPr>
            <w:tcW w:w="1190" w:type="pct"/>
            <w:tcBorders>
              <w:left w:val="nil"/>
              <w:right w:val="nil"/>
            </w:tcBorders>
            <w:shd w:val="clear" w:color="auto" w:fill="F2F2F2" w:themeFill="background1" w:themeFillShade="F2"/>
          </w:tcPr>
          <w:p w14:paraId="7FE37AFE"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p>
        </w:tc>
        <w:tc>
          <w:tcPr>
            <w:tcW w:w="1275" w:type="pct"/>
            <w:tcBorders>
              <w:left w:val="nil"/>
              <w:right w:val="nil"/>
            </w:tcBorders>
            <w:shd w:val="clear" w:color="auto" w:fill="F2F2F2" w:themeFill="background1" w:themeFillShade="F2"/>
          </w:tcPr>
          <w:p w14:paraId="54F25177"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p>
        </w:tc>
        <w:tc>
          <w:tcPr>
            <w:tcW w:w="1080" w:type="pct"/>
            <w:tcBorders>
              <w:left w:val="nil"/>
            </w:tcBorders>
            <w:shd w:val="clear" w:color="auto" w:fill="F2F2F2" w:themeFill="background1" w:themeFillShade="F2"/>
          </w:tcPr>
          <w:p w14:paraId="6F2C3159"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p>
        </w:tc>
      </w:tr>
      <w:tr w:rsidR="00ED6D7E" w:rsidRPr="00105D7C" w14:paraId="6391409B" w14:textId="77777777" w:rsidTr="00BB2456">
        <w:tc>
          <w:tcPr>
            <w:tcW w:w="1455" w:type="pct"/>
          </w:tcPr>
          <w:p w14:paraId="51BB5A1B" w14:textId="0FFC4E90" w:rsidR="00ED6D7E" w:rsidRPr="00105D7C" w:rsidRDefault="00ED6D7E" w:rsidP="00BB2456">
            <w:pPr>
              <w:spacing w:before="40" w:after="40" w:line="240" w:lineRule="auto"/>
              <w:jc w:val="left"/>
              <w:rPr>
                <w:rFonts w:ascii="Arial Narrow" w:hAnsi="Arial Narrow"/>
                <w:sz w:val="20"/>
                <w:szCs w:val="20"/>
              </w:rPr>
            </w:pPr>
            <w:r w:rsidRPr="00105D7C">
              <w:rPr>
                <w:rFonts w:ascii="Arial Narrow" w:hAnsi="Arial Narrow"/>
                <w:sz w:val="20"/>
                <w:szCs w:val="20"/>
              </w:rPr>
              <w:t xml:space="preserve">Cost per </w:t>
            </w:r>
            <w:r w:rsidR="00C31333">
              <w:rPr>
                <w:rFonts w:ascii="Arial Narrow" w:hAnsi="Arial Narrow"/>
                <w:sz w:val="20"/>
                <w:szCs w:val="20"/>
              </w:rPr>
              <w:t>pregnancy</w:t>
            </w:r>
          </w:p>
        </w:tc>
        <w:tc>
          <w:tcPr>
            <w:tcW w:w="1190" w:type="pct"/>
          </w:tcPr>
          <w:p w14:paraId="1B7C9148"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r w:rsidRPr="00105D7C">
              <w:rPr>
                <w:rFonts w:ascii="Arial Narrow" w:hAnsi="Arial Narrow"/>
                <w:sz w:val="20"/>
                <w:szCs w:val="20"/>
              </w:rPr>
              <w:t>$4,538.</w:t>
            </w:r>
            <w:r w:rsidR="002B5BD6">
              <w:rPr>
                <w:rFonts w:ascii="Arial Narrow" w:hAnsi="Arial Narrow"/>
                <w:sz w:val="20"/>
                <w:szCs w:val="20"/>
              </w:rPr>
              <w:t>17</w:t>
            </w:r>
          </w:p>
        </w:tc>
        <w:tc>
          <w:tcPr>
            <w:tcW w:w="1275" w:type="pct"/>
          </w:tcPr>
          <w:p w14:paraId="14DE37F9" w14:textId="77777777" w:rsidR="00ED6D7E" w:rsidRPr="00105D7C" w:rsidRDefault="00ED6D7E" w:rsidP="004566DC">
            <w:pPr>
              <w:spacing w:before="40" w:after="40" w:line="240" w:lineRule="auto"/>
              <w:ind w:right="562"/>
              <w:jc w:val="right"/>
              <w:rPr>
                <w:rFonts w:ascii="Arial Narrow" w:eastAsia="Times New Roman" w:hAnsi="Arial Narrow"/>
                <w:sz w:val="20"/>
                <w:szCs w:val="20"/>
                <w:lang w:eastAsia="en-AU"/>
              </w:rPr>
            </w:pPr>
            <w:r w:rsidRPr="00105D7C">
              <w:rPr>
                <w:rFonts w:ascii="Arial Narrow" w:hAnsi="Arial Narrow"/>
                <w:sz w:val="20"/>
                <w:szCs w:val="20"/>
              </w:rPr>
              <w:t>$3,866.92</w:t>
            </w:r>
          </w:p>
        </w:tc>
        <w:tc>
          <w:tcPr>
            <w:tcW w:w="1080" w:type="pct"/>
          </w:tcPr>
          <w:p w14:paraId="2C160381" w14:textId="77777777" w:rsidR="00ED6D7E" w:rsidRPr="00105D7C" w:rsidRDefault="002B5BD6" w:rsidP="004566DC">
            <w:pPr>
              <w:spacing w:before="40" w:after="40" w:line="240" w:lineRule="auto"/>
              <w:ind w:right="562"/>
              <w:jc w:val="right"/>
              <w:rPr>
                <w:rFonts w:ascii="Arial Narrow" w:eastAsia="Times New Roman" w:hAnsi="Arial Narrow"/>
                <w:sz w:val="20"/>
                <w:szCs w:val="20"/>
                <w:lang w:eastAsia="en-AU"/>
              </w:rPr>
            </w:pPr>
            <w:r>
              <w:rPr>
                <w:rFonts w:ascii="Arial Narrow" w:hAnsi="Arial Narrow"/>
                <w:sz w:val="20"/>
                <w:szCs w:val="20"/>
              </w:rPr>
              <w:t>$671.2</w:t>
            </w:r>
            <w:r w:rsidR="00ED6D7E" w:rsidRPr="00105D7C">
              <w:rPr>
                <w:rFonts w:ascii="Arial Narrow" w:hAnsi="Arial Narrow"/>
                <w:sz w:val="20"/>
                <w:szCs w:val="20"/>
              </w:rPr>
              <w:t>5</w:t>
            </w:r>
          </w:p>
        </w:tc>
      </w:tr>
    </w:tbl>
    <w:p w14:paraId="1B9868CB" w14:textId="37A9732F" w:rsidR="00ED6D7E" w:rsidRDefault="00ED6D7E" w:rsidP="00ED6D7E">
      <w:pPr>
        <w:pStyle w:val="Tablenotes0"/>
      </w:pPr>
      <w:r>
        <w:t>CF = cystic fibrosis</w:t>
      </w:r>
      <w:r w:rsidR="0057790B">
        <w:t xml:space="preserve">; </w:t>
      </w:r>
      <w:r w:rsidR="0057790B" w:rsidRPr="00C74F21">
        <w:t>FEB</w:t>
      </w:r>
      <w:r w:rsidR="0057790B">
        <w:t xml:space="preserve"> </w:t>
      </w:r>
      <w:r w:rsidR="0057790B" w:rsidRPr="00C74F21">
        <w:t>=</w:t>
      </w:r>
      <w:r w:rsidR="0057790B">
        <w:t xml:space="preserve"> </w:t>
      </w:r>
      <w:r w:rsidR="0057790B" w:rsidRPr="00C74F21">
        <w:t>fetal echogenic bowel</w:t>
      </w:r>
    </w:p>
    <w:p w14:paraId="40F90498" w14:textId="77777777" w:rsidR="00ED6D7E" w:rsidRDefault="00ED6D7E" w:rsidP="00ED6D7E">
      <w:pPr>
        <w:pStyle w:val="Caption"/>
      </w:pPr>
      <w:bookmarkStart w:id="626" w:name="_Toc418179509"/>
      <w:r>
        <w:t xml:space="preserve">Table </w:t>
      </w:r>
      <w:fldSimple w:instr=" SEQ Table \* ARABIC ">
        <w:r w:rsidR="00BB0E3E">
          <w:rPr>
            <w:noProof/>
          </w:rPr>
          <w:t>112</w:t>
        </w:r>
      </w:fldSimple>
      <w:r>
        <w:rPr>
          <w:noProof/>
        </w:rPr>
        <w:tab/>
        <w:t xml:space="preserve">ICER, </w:t>
      </w:r>
      <w:r w:rsidRPr="00611031">
        <w:t>additional scenario</w:t>
      </w:r>
      <w:r>
        <w:rPr>
          <w:b w:val="0"/>
          <w:bCs w:val="0"/>
        </w:rPr>
        <w:t xml:space="preserve"> </w:t>
      </w:r>
      <w:r w:rsidRPr="00DE7EC9">
        <w:rPr>
          <w:bCs w:val="0"/>
        </w:rPr>
        <w:t>3</w:t>
      </w:r>
      <w:bookmarkEnd w:id="626"/>
    </w:p>
    <w:tbl>
      <w:tblPr>
        <w:tblStyle w:val="TableGrid9"/>
        <w:tblW w:w="5000" w:type="pct"/>
        <w:tblLook w:val="04A0" w:firstRow="1" w:lastRow="0" w:firstColumn="1" w:lastColumn="0" w:noHBand="0" w:noVBand="1"/>
        <w:tblCaption w:val="ICER, additional scenario 3"/>
        <w:tblDescription w:val="ICER, additional scenario 3"/>
      </w:tblPr>
      <w:tblGrid>
        <w:gridCol w:w="4190"/>
        <w:gridCol w:w="2298"/>
        <w:gridCol w:w="2754"/>
      </w:tblGrid>
      <w:tr w:rsidR="00ED6D7E" w:rsidRPr="00517F92" w14:paraId="4BEC5419" w14:textId="77777777" w:rsidTr="007C1FC6">
        <w:trPr>
          <w:tblHeader/>
        </w:trPr>
        <w:tc>
          <w:tcPr>
            <w:tcW w:w="2267" w:type="pct"/>
          </w:tcPr>
          <w:p w14:paraId="2C3214AF" w14:textId="77777777" w:rsidR="00ED6D7E" w:rsidRPr="00517F92" w:rsidRDefault="00ED6D7E" w:rsidP="00BB2456">
            <w:pPr>
              <w:spacing w:before="40" w:after="40" w:line="240" w:lineRule="auto"/>
              <w:jc w:val="left"/>
              <w:rPr>
                <w:rFonts w:ascii="Arial Narrow" w:hAnsi="Arial Narrow"/>
                <w:b/>
                <w:sz w:val="20"/>
                <w:szCs w:val="20"/>
              </w:rPr>
            </w:pPr>
            <w:r w:rsidRPr="00517F92">
              <w:rPr>
                <w:rFonts w:ascii="Arial Narrow" w:hAnsi="Arial Narrow"/>
                <w:b/>
                <w:sz w:val="20"/>
                <w:szCs w:val="20"/>
              </w:rPr>
              <w:t>Clinically relevant outcomes</w:t>
            </w:r>
          </w:p>
        </w:tc>
        <w:tc>
          <w:tcPr>
            <w:tcW w:w="1243" w:type="pct"/>
            <w:tcBorders>
              <w:bottom w:val="single" w:sz="4" w:space="0" w:color="auto"/>
            </w:tcBorders>
          </w:tcPr>
          <w:p w14:paraId="5C841732" w14:textId="2DA143A0" w:rsidR="00ED6D7E" w:rsidRPr="00517F92" w:rsidRDefault="00ED6D7E" w:rsidP="004566DC">
            <w:pPr>
              <w:spacing w:before="40" w:after="40" w:line="240" w:lineRule="auto"/>
              <w:jc w:val="center"/>
              <w:rPr>
                <w:rFonts w:ascii="Arial Narrow" w:eastAsia="Times New Roman" w:hAnsi="Arial Narrow"/>
                <w:b/>
                <w:sz w:val="20"/>
                <w:szCs w:val="20"/>
                <w:lang w:eastAsia="en-AU"/>
              </w:rPr>
            </w:pPr>
            <w:r w:rsidRPr="00517F92">
              <w:rPr>
                <w:rFonts w:ascii="Arial Narrow" w:hAnsi="Arial Narrow"/>
                <w:b/>
                <w:sz w:val="20"/>
                <w:szCs w:val="20"/>
              </w:rPr>
              <w:t>Incremental outcomes</w:t>
            </w:r>
            <w:r w:rsidR="00D822F5" w:rsidRPr="00517F92" w:rsidDel="00A32A62">
              <w:rPr>
                <w:rFonts w:ascii="Arial Narrow" w:hAnsi="Arial Narrow"/>
                <w:b/>
                <w:sz w:val="20"/>
                <w:szCs w:val="20"/>
              </w:rPr>
              <w:t xml:space="preserve"> </w:t>
            </w:r>
            <w:r w:rsidRPr="00517F92">
              <w:rPr>
                <w:rFonts w:ascii="Arial Narrow" w:hAnsi="Arial Narrow"/>
                <w:b/>
                <w:sz w:val="20"/>
                <w:szCs w:val="20"/>
              </w:rPr>
              <w:t>(per</w:t>
            </w:r>
            <w:r w:rsidR="00B677DE">
              <w:rPr>
                <w:rFonts w:ascii="Arial Narrow" w:hAnsi="Arial Narrow"/>
                <w:b/>
                <w:sz w:val="20"/>
                <w:szCs w:val="20"/>
              </w:rPr>
              <w:t xml:space="preserve"> </w:t>
            </w:r>
            <w:r w:rsidRPr="00517F92">
              <w:rPr>
                <w:rFonts w:ascii="Arial Narrow" w:hAnsi="Arial Narrow"/>
                <w:b/>
                <w:sz w:val="20"/>
                <w:szCs w:val="20"/>
              </w:rPr>
              <w:t>100 pregnancies)</w:t>
            </w:r>
          </w:p>
        </w:tc>
        <w:tc>
          <w:tcPr>
            <w:tcW w:w="1490" w:type="pct"/>
            <w:tcBorders>
              <w:bottom w:val="single" w:sz="4" w:space="0" w:color="auto"/>
            </w:tcBorders>
          </w:tcPr>
          <w:p w14:paraId="527ACBE1" w14:textId="63956AFF" w:rsidR="00ED6D7E" w:rsidRPr="00517F92" w:rsidRDefault="00ED6D7E" w:rsidP="004566DC">
            <w:pPr>
              <w:spacing w:before="40" w:after="40" w:line="240" w:lineRule="auto"/>
              <w:jc w:val="center"/>
              <w:rPr>
                <w:rFonts w:ascii="Arial Narrow" w:eastAsia="Times New Roman" w:hAnsi="Arial Narrow"/>
                <w:b/>
                <w:sz w:val="20"/>
                <w:szCs w:val="20"/>
                <w:lang w:eastAsia="en-AU"/>
              </w:rPr>
            </w:pPr>
            <w:r w:rsidRPr="00517F92">
              <w:rPr>
                <w:rFonts w:ascii="Arial Narrow" w:hAnsi="Arial Narrow"/>
                <w:b/>
                <w:sz w:val="20"/>
                <w:szCs w:val="20"/>
              </w:rPr>
              <w:t>ICER ($/</w:t>
            </w:r>
            <w:r w:rsidR="00A32A62" w:rsidRPr="00517F92">
              <w:rPr>
                <w:rFonts w:ascii="Arial Narrow" w:hAnsi="Arial Narrow"/>
                <w:b/>
                <w:sz w:val="20"/>
                <w:szCs w:val="20"/>
              </w:rPr>
              <w:t>outcome</w:t>
            </w:r>
            <w:r w:rsidRPr="00517F92">
              <w:rPr>
                <w:rFonts w:ascii="Arial Narrow" w:hAnsi="Arial Narrow"/>
                <w:b/>
                <w:sz w:val="20"/>
                <w:szCs w:val="20"/>
              </w:rPr>
              <w:t>)</w:t>
            </w:r>
          </w:p>
        </w:tc>
      </w:tr>
      <w:tr w:rsidR="00ED6D7E" w:rsidRPr="00517F92" w14:paraId="24B52DDF" w14:textId="77777777" w:rsidTr="004476DC">
        <w:tc>
          <w:tcPr>
            <w:tcW w:w="2267" w:type="pct"/>
            <w:tcBorders>
              <w:right w:val="single" w:sz="4" w:space="0" w:color="auto"/>
            </w:tcBorders>
          </w:tcPr>
          <w:p w14:paraId="4463295C" w14:textId="2284C09A"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 xml:space="preserve">Modelled </w:t>
            </w:r>
            <w:r w:rsidR="004476DC">
              <w:rPr>
                <w:rFonts w:ascii="Arial Narrow" w:hAnsi="Arial Narrow"/>
                <w:i/>
                <w:sz w:val="20"/>
                <w:szCs w:val="20"/>
              </w:rPr>
              <w:t>population 1 (P</w:t>
            </w:r>
            <w:r w:rsidRPr="00517F92">
              <w:rPr>
                <w:rFonts w:ascii="Arial Narrow" w:hAnsi="Arial Narrow"/>
                <w:i/>
                <w:sz w:val="20"/>
                <w:szCs w:val="20"/>
              </w:rPr>
              <w:t xml:space="preserve">arents </w:t>
            </w:r>
            <w:r>
              <w:rPr>
                <w:rFonts w:ascii="Arial Narrow" w:hAnsi="Arial Narrow"/>
                <w:i/>
                <w:sz w:val="20"/>
                <w:szCs w:val="20"/>
              </w:rPr>
              <w:t xml:space="preserve">are </w:t>
            </w:r>
            <w:r w:rsidRPr="00517F92">
              <w:rPr>
                <w:rFonts w:ascii="Arial Narrow" w:hAnsi="Arial Narrow"/>
                <w:i/>
                <w:sz w:val="20"/>
                <w:szCs w:val="20"/>
              </w:rPr>
              <w:t xml:space="preserve">known </w:t>
            </w:r>
            <w:r>
              <w:rPr>
                <w:rFonts w:ascii="Arial Narrow" w:hAnsi="Arial Narrow"/>
                <w:i/>
                <w:sz w:val="20"/>
                <w:szCs w:val="20"/>
              </w:rPr>
              <w:t xml:space="preserve">CF </w:t>
            </w:r>
            <w:r w:rsidRPr="00517F92">
              <w:rPr>
                <w:rFonts w:ascii="Arial Narrow" w:hAnsi="Arial Narrow"/>
                <w:i/>
                <w:sz w:val="20"/>
                <w:szCs w:val="20"/>
              </w:rPr>
              <w:t>carriers)</w:t>
            </w:r>
          </w:p>
        </w:tc>
        <w:tc>
          <w:tcPr>
            <w:tcW w:w="1243" w:type="pct"/>
            <w:tcBorders>
              <w:left w:val="single" w:sz="4" w:space="0" w:color="auto"/>
              <w:right w:val="nil"/>
            </w:tcBorders>
          </w:tcPr>
          <w:p w14:paraId="2B3685F1" w14:textId="1951D6CE" w:rsidR="00ED6D7E" w:rsidRPr="00517F92" w:rsidRDefault="00ED6D7E" w:rsidP="00BB2456">
            <w:pPr>
              <w:spacing w:before="40" w:after="40" w:line="240" w:lineRule="auto"/>
              <w:jc w:val="left"/>
              <w:rPr>
                <w:rFonts w:ascii="Arial Narrow" w:hAnsi="Arial Narrow"/>
                <w:i/>
                <w:sz w:val="20"/>
                <w:szCs w:val="20"/>
              </w:rPr>
            </w:pPr>
            <w:r>
              <w:rPr>
                <w:rFonts w:ascii="Arial Narrow" w:hAnsi="Arial Narrow"/>
                <w:i/>
                <w:sz w:val="20"/>
                <w:szCs w:val="20"/>
              </w:rPr>
              <w:t>Incremental cost: $49</w:t>
            </w:r>
            <w:r w:rsidR="00C31333">
              <w:rPr>
                <w:rFonts w:ascii="Arial Narrow" w:hAnsi="Arial Narrow"/>
                <w:i/>
                <w:sz w:val="20"/>
                <w:szCs w:val="20"/>
              </w:rPr>
              <w:t>,</w:t>
            </w:r>
            <w:r>
              <w:rPr>
                <w:rFonts w:ascii="Arial Narrow" w:hAnsi="Arial Narrow"/>
                <w:i/>
                <w:sz w:val="20"/>
                <w:szCs w:val="20"/>
              </w:rPr>
              <w:t>3</w:t>
            </w:r>
            <w:r w:rsidR="00C31333">
              <w:rPr>
                <w:rFonts w:ascii="Arial Narrow" w:hAnsi="Arial Narrow"/>
                <w:i/>
                <w:sz w:val="20"/>
                <w:szCs w:val="20"/>
              </w:rPr>
              <w:t>02</w:t>
            </w:r>
          </w:p>
        </w:tc>
        <w:tc>
          <w:tcPr>
            <w:tcW w:w="1490" w:type="pct"/>
            <w:tcBorders>
              <w:left w:val="nil"/>
            </w:tcBorders>
          </w:tcPr>
          <w:p w14:paraId="65BD2805"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7A288212" w14:textId="77777777" w:rsidTr="004476DC">
        <w:tc>
          <w:tcPr>
            <w:tcW w:w="2267" w:type="pct"/>
          </w:tcPr>
          <w:p w14:paraId="55AD869F" w14:textId="77777777"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243" w:type="pct"/>
          </w:tcPr>
          <w:p w14:paraId="7D126DF4"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24.94</w:t>
            </w:r>
          </w:p>
        </w:tc>
        <w:tc>
          <w:tcPr>
            <w:tcW w:w="1490" w:type="pct"/>
          </w:tcPr>
          <w:p w14:paraId="471134EF"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$1,977 / prenatal CF detected</w:t>
            </w:r>
          </w:p>
        </w:tc>
      </w:tr>
      <w:tr w:rsidR="00ED6D7E" w:rsidRPr="00FC4A03" w14:paraId="4A198B26" w14:textId="77777777" w:rsidTr="004476DC">
        <w:tc>
          <w:tcPr>
            <w:tcW w:w="2267" w:type="pct"/>
          </w:tcPr>
          <w:p w14:paraId="7F12F727" w14:textId="29C8BF86" w:rsidR="00ED6D7E" w:rsidRPr="00C10431" w:rsidRDefault="00ED6D7E" w:rsidP="00BB2456">
            <w:pPr>
              <w:spacing w:before="40" w:after="40" w:line="240" w:lineRule="auto"/>
              <w:jc w:val="left"/>
              <w:rPr>
                <w:rFonts w:ascii="Arial Narrow" w:hAnsi="Arial Narrow"/>
                <w:sz w:val="20"/>
                <w:szCs w:val="20"/>
              </w:rPr>
            </w:pPr>
            <w:r>
              <w:rPr>
                <w:rFonts w:ascii="Arial Narrow" w:hAnsi="Arial Narrow"/>
                <w:sz w:val="20"/>
                <w:szCs w:val="20"/>
              </w:rPr>
              <w:t>CF birth</w:t>
            </w:r>
            <w:r w:rsidR="00A32A62">
              <w:rPr>
                <w:rFonts w:ascii="Arial Narrow" w:hAnsi="Arial Narrow"/>
                <w:sz w:val="20"/>
                <w:szCs w:val="20"/>
              </w:rPr>
              <w:t>s</w:t>
            </w:r>
            <w:r>
              <w:rPr>
                <w:rFonts w:ascii="Arial Narrow" w:hAnsi="Arial Narrow"/>
                <w:sz w:val="20"/>
                <w:szCs w:val="20"/>
              </w:rPr>
              <w:t xml:space="preserve"> averted</w:t>
            </w:r>
          </w:p>
        </w:tc>
        <w:tc>
          <w:tcPr>
            <w:tcW w:w="1243" w:type="pct"/>
          </w:tcPr>
          <w:p w14:paraId="15A094DF"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23.71</w:t>
            </w:r>
          </w:p>
        </w:tc>
        <w:tc>
          <w:tcPr>
            <w:tcW w:w="1490" w:type="pct"/>
          </w:tcPr>
          <w:p w14:paraId="4C7BF2AC"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$2,079 / CF birth averted</w:t>
            </w:r>
          </w:p>
        </w:tc>
      </w:tr>
      <w:tr w:rsidR="00ED6D7E" w:rsidRPr="00FC4A03" w14:paraId="6A9EE297" w14:textId="77777777" w:rsidTr="004476DC">
        <w:tc>
          <w:tcPr>
            <w:tcW w:w="2267" w:type="pct"/>
          </w:tcPr>
          <w:p w14:paraId="50FC0267" w14:textId="1EAC16BC"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B21E9F">
              <w:rPr>
                <w:rFonts w:ascii="Arial Narrow" w:hAnsi="Arial Narrow"/>
                <w:sz w:val="20"/>
                <w:szCs w:val="20"/>
              </w:rPr>
              <w:t>i</w:t>
            </w:r>
            <w:r>
              <w:rPr>
                <w:rFonts w:ascii="Arial Narrow" w:hAnsi="Arial Narrow"/>
                <w:sz w:val="20"/>
                <w:szCs w:val="20"/>
              </w:rPr>
              <w:t>nformed CF birth</w:t>
            </w:r>
          </w:p>
        </w:tc>
        <w:tc>
          <w:tcPr>
            <w:tcW w:w="1243" w:type="pct"/>
            <w:tcBorders>
              <w:bottom w:val="single" w:sz="4" w:space="0" w:color="auto"/>
            </w:tcBorders>
          </w:tcPr>
          <w:p w14:paraId="6EF4FBD6"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1.23</w:t>
            </w:r>
          </w:p>
        </w:tc>
        <w:tc>
          <w:tcPr>
            <w:tcW w:w="1490" w:type="pct"/>
            <w:tcBorders>
              <w:bottom w:val="single" w:sz="4" w:space="0" w:color="auto"/>
            </w:tcBorders>
          </w:tcPr>
          <w:p w14:paraId="476E3974" w14:textId="77777777" w:rsidR="00ED6D7E" w:rsidRDefault="00ED6D7E" w:rsidP="00C31333">
            <w:pPr>
              <w:spacing w:before="40" w:after="40" w:line="240" w:lineRule="auto"/>
              <w:jc w:val="right"/>
              <w:rPr>
                <w:rFonts w:ascii="Arial Narrow" w:hAnsi="Arial Narrow"/>
                <w:sz w:val="20"/>
                <w:szCs w:val="20"/>
              </w:rPr>
            </w:pPr>
            <w:r>
              <w:rPr>
                <w:rFonts w:ascii="Arial Narrow" w:hAnsi="Arial Narrow"/>
                <w:sz w:val="20"/>
                <w:szCs w:val="20"/>
              </w:rPr>
              <w:t>$40,181 / pre-informed CF birth</w:t>
            </w:r>
          </w:p>
        </w:tc>
      </w:tr>
      <w:tr w:rsidR="00ED6D7E" w:rsidRPr="00517F92" w14:paraId="4B4D61A4" w14:textId="77777777" w:rsidTr="004476DC">
        <w:tc>
          <w:tcPr>
            <w:tcW w:w="2267" w:type="pct"/>
            <w:tcBorders>
              <w:right w:val="single" w:sz="4" w:space="0" w:color="auto"/>
            </w:tcBorders>
          </w:tcPr>
          <w:p w14:paraId="6C67B7AF" w14:textId="77777777"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Modelled population 2 (Fetus has FEB)</w:t>
            </w:r>
          </w:p>
        </w:tc>
        <w:tc>
          <w:tcPr>
            <w:tcW w:w="1243" w:type="pct"/>
            <w:tcBorders>
              <w:left w:val="single" w:sz="4" w:space="0" w:color="auto"/>
              <w:right w:val="nil"/>
            </w:tcBorders>
          </w:tcPr>
          <w:p w14:paraId="61FEA5F0" w14:textId="0E0BC025" w:rsidR="00ED6D7E" w:rsidRPr="00517F92" w:rsidRDefault="00ED6D7E" w:rsidP="00BB2456">
            <w:pPr>
              <w:spacing w:before="40" w:after="40" w:line="240" w:lineRule="auto"/>
              <w:jc w:val="left"/>
              <w:rPr>
                <w:rFonts w:ascii="Arial Narrow" w:hAnsi="Arial Narrow"/>
                <w:i/>
                <w:sz w:val="20"/>
                <w:szCs w:val="20"/>
              </w:rPr>
            </w:pPr>
            <w:r w:rsidRPr="00517F92">
              <w:rPr>
                <w:rFonts w:ascii="Arial Narrow" w:hAnsi="Arial Narrow"/>
                <w:i/>
                <w:sz w:val="20"/>
                <w:szCs w:val="20"/>
              </w:rPr>
              <w:t>Incremental cost: $</w:t>
            </w:r>
            <w:r>
              <w:rPr>
                <w:rFonts w:ascii="Arial Narrow" w:hAnsi="Arial Narrow"/>
                <w:i/>
                <w:sz w:val="20"/>
                <w:szCs w:val="20"/>
              </w:rPr>
              <w:t>67</w:t>
            </w:r>
            <w:r w:rsidR="00C31333">
              <w:rPr>
                <w:rFonts w:ascii="Arial Narrow" w:hAnsi="Arial Narrow"/>
                <w:i/>
                <w:sz w:val="20"/>
                <w:szCs w:val="20"/>
              </w:rPr>
              <w:t>,</w:t>
            </w:r>
            <w:r>
              <w:rPr>
                <w:rFonts w:ascii="Arial Narrow" w:hAnsi="Arial Narrow"/>
                <w:i/>
                <w:sz w:val="20"/>
                <w:szCs w:val="20"/>
              </w:rPr>
              <w:t>1</w:t>
            </w:r>
            <w:r w:rsidR="00C31333">
              <w:rPr>
                <w:rFonts w:ascii="Arial Narrow" w:hAnsi="Arial Narrow"/>
                <w:i/>
                <w:sz w:val="20"/>
                <w:szCs w:val="20"/>
              </w:rPr>
              <w:t>25</w:t>
            </w:r>
          </w:p>
        </w:tc>
        <w:tc>
          <w:tcPr>
            <w:tcW w:w="1490" w:type="pct"/>
            <w:tcBorders>
              <w:left w:val="nil"/>
            </w:tcBorders>
          </w:tcPr>
          <w:p w14:paraId="0130E1A7" w14:textId="77777777" w:rsidR="00ED6D7E" w:rsidRPr="00517F92" w:rsidRDefault="00ED6D7E" w:rsidP="00BB2456">
            <w:pPr>
              <w:spacing w:before="40" w:after="40" w:line="240" w:lineRule="auto"/>
              <w:jc w:val="left"/>
              <w:rPr>
                <w:rFonts w:ascii="Arial Narrow" w:hAnsi="Arial Narrow"/>
                <w:i/>
                <w:sz w:val="20"/>
                <w:szCs w:val="20"/>
              </w:rPr>
            </w:pPr>
          </w:p>
        </w:tc>
      </w:tr>
      <w:tr w:rsidR="00ED6D7E" w:rsidRPr="00FC4A03" w14:paraId="2E692D26" w14:textId="77777777" w:rsidTr="004476DC">
        <w:tc>
          <w:tcPr>
            <w:tcW w:w="2267" w:type="pct"/>
          </w:tcPr>
          <w:p w14:paraId="72A79D3A" w14:textId="77777777"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Diagnosis of CF in utero</w:t>
            </w:r>
          </w:p>
        </w:tc>
        <w:tc>
          <w:tcPr>
            <w:tcW w:w="1243" w:type="pct"/>
          </w:tcPr>
          <w:p w14:paraId="2347BEC5"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4.12</w:t>
            </w:r>
          </w:p>
        </w:tc>
        <w:tc>
          <w:tcPr>
            <w:tcW w:w="1490" w:type="pct"/>
          </w:tcPr>
          <w:p w14:paraId="126E596C" w14:textId="77777777"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w:t>
            </w:r>
            <w:r w:rsidR="002B5BD6">
              <w:rPr>
                <w:rFonts w:ascii="Arial Narrow" w:hAnsi="Arial Narrow"/>
                <w:sz w:val="20"/>
                <w:szCs w:val="20"/>
              </w:rPr>
              <w:t>16,304</w:t>
            </w:r>
            <w:r>
              <w:rPr>
                <w:rFonts w:ascii="Arial Narrow" w:hAnsi="Arial Narrow"/>
                <w:sz w:val="20"/>
                <w:szCs w:val="20"/>
              </w:rPr>
              <w:t xml:space="preserve"> / prenatal CF detected</w:t>
            </w:r>
          </w:p>
        </w:tc>
      </w:tr>
      <w:tr w:rsidR="00ED6D7E" w:rsidRPr="00FC4A03" w14:paraId="14CE6542" w14:textId="77777777" w:rsidTr="004476DC">
        <w:tc>
          <w:tcPr>
            <w:tcW w:w="2267" w:type="pct"/>
          </w:tcPr>
          <w:p w14:paraId="13F5C507" w14:textId="156845D5"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CF birth</w:t>
            </w:r>
            <w:r w:rsidR="00A32A62">
              <w:rPr>
                <w:rFonts w:ascii="Arial Narrow" w:hAnsi="Arial Narrow"/>
                <w:sz w:val="20"/>
                <w:szCs w:val="20"/>
              </w:rPr>
              <w:t>s</w:t>
            </w:r>
            <w:r>
              <w:rPr>
                <w:rFonts w:ascii="Arial Narrow" w:hAnsi="Arial Narrow"/>
                <w:sz w:val="20"/>
                <w:szCs w:val="20"/>
              </w:rPr>
              <w:t xml:space="preserve"> averted</w:t>
            </w:r>
          </w:p>
        </w:tc>
        <w:tc>
          <w:tcPr>
            <w:tcW w:w="1243" w:type="pct"/>
          </w:tcPr>
          <w:p w14:paraId="56945630"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2.69</w:t>
            </w:r>
          </w:p>
        </w:tc>
        <w:tc>
          <w:tcPr>
            <w:tcW w:w="1490" w:type="pct"/>
          </w:tcPr>
          <w:p w14:paraId="13BB5591" w14:textId="77777777"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w:t>
            </w:r>
            <w:r>
              <w:rPr>
                <w:rFonts w:ascii="Arial Narrow" w:hAnsi="Arial Narrow"/>
                <w:sz w:val="20"/>
                <w:szCs w:val="20"/>
              </w:rPr>
              <w:t>24,</w:t>
            </w:r>
            <w:r w:rsidR="00E24207">
              <w:rPr>
                <w:rFonts w:ascii="Arial Narrow" w:hAnsi="Arial Narrow"/>
                <w:sz w:val="20"/>
                <w:szCs w:val="20"/>
              </w:rPr>
              <w:t>972</w:t>
            </w:r>
            <w:r>
              <w:rPr>
                <w:rFonts w:ascii="Arial Narrow" w:hAnsi="Arial Narrow"/>
                <w:sz w:val="20"/>
                <w:szCs w:val="20"/>
              </w:rPr>
              <w:t xml:space="preserve"> / CF birth averted</w:t>
            </w:r>
          </w:p>
        </w:tc>
      </w:tr>
      <w:tr w:rsidR="00ED6D7E" w:rsidRPr="00FC4A03" w14:paraId="6253CC64" w14:textId="77777777" w:rsidTr="004476DC">
        <w:tc>
          <w:tcPr>
            <w:tcW w:w="2267" w:type="pct"/>
          </w:tcPr>
          <w:p w14:paraId="4D0F56B0" w14:textId="4AF0FA52" w:rsidR="00ED6D7E" w:rsidRDefault="00ED6D7E" w:rsidP="00BB2456">
            <w:pPr>
              <w:spacing w:before="40" w:after="40" w:line="240" w:lineRule="auto"/>
              <w:jc w:val="left"/>
              <w:rPr>
                <w:rFonts w:ascii="Arial Narrow" w:hAnsi="Arial Narrow"/>
                <w:sz w:val="20"/>
                <w:szCs w:val="20"/>
              </w:rPr>
            </w:pPr>
            <w:r>
              <w:rPr>
                <w:rFonts w:ascii="Arial Narrow" w:hAnsi="Arial Narrow"/>
                <w:sz w:val="20"/>
                <w:szCs w:val="20"/>
              </w:rPr>
              <w:t>Pre-</w:t>
            </w:r>
            <w:r w:rsidR="00B21E9F">
              <w:rPr>
                <w:rFonts w:ascii="Arial Narrow" w:hAnsi="Arial Narrow"/>
                <w:sz w:val="20"/>
                <w:szCs w:val="20"/>
              </w:rPr>
              <w:t>i</w:t>
            </w:r>
            <w:r>
              <w:rPr>
                <w:rFonts w:ascii="Arial Narrow" w:hAnsi="Arial Narrow"/>
                <w:sz w:val="20"/>
                <w:szCs w:val="20"/>
              </w:rPr>
              <w:t>nformed CF birth</w:t>
            </w:r>
          </w:p>
        </w:tc>
        <w:tc>
          <w:tcPr>
            <w:tcW w:w="1243" w:type="pct"/>
          </w:tcPr>
          <w:p w14:paraId="607D833D" w14:textId="77777777" w:rsidR="00ED6D7E" w:rsidRDefault="00ED6D7E" w:rsidP="004566DC">
            <w:pPr>
              <w:spacing w:before="40" w:after="40" w:line="240" w:lineRule="auto"/>
              <w:ind w:right="602"/>
              <w:jc w:val="right"/>
              <w:rPr>
                <w:rFonts w:ascii="Arial Narrow" w:eastAsia="Times New Roman" w:hAnsi="Arial Narrow"/>
                <w:sz w:val="20"/>
                <w:szCs w:val="20"/>
                <w:lang w:eastAsia="en-AU"/>
              </w:rPr>
            </w:pPr>
            <w:r>
              <w:rPr>
                <w:rFonts w:ascii="Arial Narrow" w:hAnsi="Arial Narrow"/>
                <w:sz w:val="20"/>
                <w:szCs w:val="20"/>
              </w:rPr>
              <w:t>1.43</w:t>
            </w:r>
          </w:p>
        </w:tc>
        <w:tc>
          <w:tcPr>
            <w:tcW w:w="1490" w:type="pct"/>
          </w:tcPr>
          <w:p w14:paraId="4A20AB2D" w14:textId="77777777" w:rsidR="00ED6D7E" w:rsidRDefault="00ED6D7E" w:rsidP="00C31333">
            <w:pPr>
              <w:spacing w:before="40" w:after="40" w:line="240" w:lineRule="auto"/>
              <w:jc w:val="right"/>
              <w:rPr>
                <w:rFonts w:ascii="Arial Narrow" w:hAnsi="Arial Narrow"/>
                <w:sz w:val="20"/>
                <w:szCs w:val="20"/>
              </w:rPr>
            </w:pPr>
            <w:r w:rsidRPr="00E85BFA">
              <w:rPr>
                <w:rFonts w:ascii="Arial Narrow" w:hAnsi="Arial Narrow"/>
                <w:sz w:val="20"/>
                <w:szCs w:val="20"/>
              </w:rPr>
              <w:t>$</w:t>
            </w:r>
            <w:r>
              <w:rPr>
                <w:rFonts w:ascii="Arial Narrow" w:hAnsi="Arial Narrow"/>
                <w:sz w:val="20"/>
                <w:szCs w:val="20"/>
              </w:rPr>
              <w:t>46,9</w:t>
            </w:r>
            <w:r w:rsidR="002B5BD6">
              <w:rPr>
                <w:rFonts w:ascii="Arial Narrow" w:hAnsi="Arial Narrow"/>
                <w:sz w:val="20"/>
                <w:szCs w:val="20"/>
              </w:rPr>
              <w:t>7</w:t>
            </w:r>
            <w:r w:rsidR="00E24207">
              <w:rPr>
                <w:rFonts w:ascii="Arial Narrow" w:hAnsi="Arial Narrow"/>
                <w:sz w:val="20"/>
                <w:szCs w:val="20"/>
              </w:rPr>
              <w:t>4</w:t>
            </w:r>
            <w:r>
              <w:rPr>
                <w:rFonts w:ascii="Arial Narrow" w:hAnsi="Arial Narrow"/>
                <w:sz w:val="20"/>
                <w:szCs w:val="20"/>
              </w:rPr>
              <w:t xml:space="preserve"> / pre-informed CF birth</w:t>
            </w:r>
          </w:p>
        </w:tc>
      </w:tr>
    </w:tbl>
    <w:p w14:paraId="43D4F983" w14:textId="19BFF555" w:rsidR="00ED6D7E" w:rsidRDefault="00ED6D7E" w:rsidP="00ED6D7E">
      <w:pPr>
        <w:pStyle w:val="Tablenotes0"/>
      </w:pPr>
      <w:r>
        <w:t>CF = cystic fibrosis; FEB</w:t>
      </w:r>
      <w:r w:rsidR="00A32A62">
        <w:t xml:space="preserve"> </w:t>
      </w:r>
      <w:r>
        <w:t>=</w:t>
      </w:r>
      <w:r w:rsidR="00A32A62">
        <w:t xml:space="preserve"> </w:t>
      </w:r>
      <w:r>
        <w:t xml:space="preserve">fetal echogenic bowel; ICER = </w:t>
      </w:r>
      <w:r w:rsidR="00A32A62">
        <w:rPr>
          <w:noProof/>
        </w:rPr>
        <w:t>i</w:t>
      </w:r>
      <w:r>
        <w:rPr>
          <w:noProof/>
        </w:rPr>
        <w:t>ncremental cost-effectiveness ratios</w:t>
      </w:r>
    </w:p>
    <w:p w14:paraId="5C74E09E" w14:textId="77777777" w:rsidR="00ED6D7E" w:rsidRPr="00611031" w:rsidRDefault="00ED6D7E" w:rsidP="00ED6D7E"/>
    <w:p w14:paraId="0AD9F8ED" w14:textId="743373AD" w:rsidR="0008009D" w:rsidRPr="003F5EAF" w:rsidRDefault="0008009D" w:rsidP="00022486">
      <w:pPr>
        <w:pStyle w:val="Heading1"/>
        <w:tabs>
          <w:tab w:val="left" w:pos="2268"/>
        </w:tabs>
        <w:spacing w:line="240" w:lineRule="auto"/>
        <w:ind w:left="2268" w:hanging="2268"/>
      </w:pPr>
      <w:bookmarkStart w:id="627" w:name="_Ref417545909"/>
      <w:bookmarkStart w:id="628" w:name="_Toc418179989"/>
      <w:bookmarkStart w:id="629" w:name="_Toc379118117"/>
      <w:bookmarkStart w:id="630" w:name="_Toc381796514"/>
      <w:r w:rsidRPr="003F5EAF">
        <w:lastRenderedPageBreak/>
        <w:t xml:space="preserve">Appendix </w:t>
      </w:r>
      <w:fldSimple w:instr=" SEQ Appendix \* ALPHABETIC ">
        <w:r w:rsidR="00BB0E3E">
          <w:rPr>
            <w:noProof/>
          </w:rPr>
          <w:t>K</w:t>
        </w:r>
      </w:fldSimple>
      <w:bookmarkEnd w:id="627"/>
      <w:r w:rsidRPr="003F5EAF">
        <w:tab/>
        <w:t xml:space="preserve">Additional </w:t>
      </w:r>
      <w:r w:rsidR="00BF76DA">
        <w:t>I</w:t>
      </w:r>
      <w:r w:rsidRPr="003F5EAF">
        <w:t>nformation for the Financial Implication</w:t>
      </w:r>
      <w:r>
        <w:t xml:space="preserve"> </w:t>
      </w:r>
      <w:r w:rsidRPr="003F5EAF">
        <w:t>Analysis</w:t>
      </w:r>
      <w:bookmarkEnd w:id="628"/>
    </w:p>
    <w:p w14:paraId="672F424F" w14:textId="74E99DB8" w:rsidR="0008009D" w:rsidRPr="0087331E" w:rsidRDefault="0008009D" w:rsidP="00F57AF2">
      <w:pPr>
        <w:pStyle w:val="Caption"/>
      </w:pPr>
      <w:bookmarkStart w:id="631" w:name="_Ref414541423"/>
      <w:bookmarkStart w:id="632" w:name="_Toc416855397"/>
      <w:bookmarkStart w:id="633" w:name="_Toc418179510"/>
      <w:r w:rsidRPr="0087331E">
        <w:t xml:space="preserve">Table </w:t>
      </w:r>
      <w:fldSimple w:instr=" SEQ Table \* ARABIC ">
        <w:r w:rsidR="00BB0E3E">
          <w:rPr>
            <w:noProof/>
          </w:rPr>
          <w:t>113</w:t>
        </w:r>
      </w:fldSimple>
      <w:bookmarkEnd w:id="631"/>
      <w:r w:rsidRPr="0087331E">
        <w:tab/>
        <w:t>Projected number</w:t>
      </w:r>
      <w:r w:rsidR="00D53F19">
        <w:t>s</w:t>
      </w:r>
      <w:r w:rsidRPr="0087331E">
        <w:t xml:space="preserve"> of </w:t>
      </w:r>
      <w:r w:rsidR="00FD37D3" w:rsidRPr="00FD37D3">
        <w:t>CFTR</w:t>
      </w:r>
      <w:r w:rsidRPr="0087331E">
        <w:t xml:space="preserve"> mutation tests, 2012</w:t>
      </w:r>
      <w:r w:rsidR="00D9150E">
        <w:t>–</w:t>
      </w:r>
      <w:r w:rsidRPr="0087331E">
        <w:t>19</w:t>
      </w:r>
      <w:bookmarkEnd w:id="632"/>
      <w:bookmarkEnd w:id="633"/>
    </w:p>
    <w:tbl>
      <w:tblPr>
        <w:tblStyle w:val="TableGrid8"/>
        <w:tblW w:w="0" w:type="auto"/>
        <w:tblInd w:w="108" w:type="dxa"/>
        <w:tblLook w:val="04A0" w:firstRow="1" w:lastRow="0" w:firstColumn="1" w:lastColumn="0" w:noHBand="0" w:noVBand="1"/>
        <w:tblCaption w:val="Projected number of CFTR mutation tests, 2012–19"/>
        <w:tblDescription w:val="Projected number of CFTR mutation tests, 2012–19"/>
      </w:tblPr>
      <w:tblGrid>
        <w:gridCol w:w="1073"/>
        <w:gridCol w:w="895"/>
        <w:gridCol w:w="896"/>
        <w:gridCol w:w="896"/>
        <w:gridCol w:w="895"/>
        <w:gridCol w:w="896"/>
        <w:gridCol w:w="896"/>
        <w:gridCol w:w="895"/>
        <w:gridCol w:w="896"/>
        <w:gridCol w:w="896"/>
      </w:tblGrid>
      <w:tr w:rsidR="0008009D" w:rsidRPr="0087331E" w14:paraId="0187A717" w14:textId="77777777" w:rsidTr="007C1FC6">
        <w:trPr>
          <w:tblHeader/>
        </w:trPr>
        <w:tc>
          <w:tcPr>
            <w:tcW w:w="1073" w:type="dxa"/>
          </w:tcPr>
          <w:p w14:paraId="1B0FC2F8" w14:textId="77777777" w:rsidR="0008009D" w:rsidRPr="0087331E" w:rsidRDefault="0008009D" w:rsidP="005B7F97">
            <w:pPr>
              <w:spacing w:before="40" w:after="120" w:line="240" w:lineRule="auto"/>
              <w:jc w:val="center"/>
              <w:rPr>
                <w:rFonts w:ascii="Arial Narrow" w:hAnsi="Arial Narrow"/>
                <w:b/>
                <w:bCs/>
                <w:sz w:val="20"/>
                <w:szCs w:val="20"/>
              </w:rPr>
            </w:pPr>
          </w:p>
        </w:tc>
        <w:tc>
          <w:tcPr>
            <w:tcW w:w="895" w:type="dxa"/>
            <w:vAlign w:val="bottom"/>
          </w:tcPr>
          <w:p w14:paraId="46B757A5"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2011</w:t>
            </w:r>
          </w:p>
        </w:tc>
        <w:tc>
          <w:tcPr>
            <w:tcW w:w="896" w:type="dxa"/>
            <w:vAlign w:val="bottom"/>
          </w:tcPr>
          <w:p w14:paraId="02AA2D96"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2012</w:t>
            </w:r>
          </w:p>
        </w:tc>
        <w:tc>
          <w:tcPr>
            <w:tcW w:w="896" w:type="dxa"/>
            <w:vAlign w:val="bottom"/>
          </w:tcPr>
          <w:p w14:paraId="55A38265"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2013</w:t>
            </w:r>
          </w:p>
        </w:tc>
        <w:tc>
          <w:tcPr>
            <w:tcW w:w="895" w:type="dxa"/>
            <w:vAlign w:val="bottom"/>
          </w:tcPr>
          <w:p w14:paraId="7CCE51A7"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2014</w:t>
            </w:r>
          </w:p>
        </w:tc>
        <w:tc>
          <w:tcPr>
            <w:tcW w:w="896" w:type="dxa"/>
            <w:vAlign w:val="bottom"/>
          </w:tcPr>
          <w:p w14:paraId="121F7945"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2015</w:t>
            </w:r>
          </w:p>
        </w:tc>
        <w:tc>
          <w:tcPr>
            <w:tcW w:w="896" w:type="dxa"/>
            <w:vAlign w:val="bottom"/>
          </w:tcPr>
          <w:p w14:paraId="5C7BFA72"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2016</w:t>
            </w:r>
          </w:p>
        </w:tc>
        <w:tc>
          <w:tcPr>
            <w:tcW w:w="895" w:type="dxa"/>
            <w:vAlign w:val="bottom"/>
          </w:tcPr>
          <w:p w14:paraId="1B43D1F7"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2017</w:t>
            </w:r>
          </w:p>
        </w:tc>
        <w:tc>
          <w:tcPr>
            <w:tcW w:w="896" w:type="dxa"/>
            <w:vAlign w:val="bottom"/>
          </w:tcPr>
          <w:p w14:paraId="13DAAF73"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2018</w:t>
            </w:r>
          </w:p>
        </w:tc>
        <w:tc>
          <w:tcPr>
            <w:tcW w:w="896" w:type="dxa"/>
            <w:vAlign w:val="bottom"/>
          </w:tcPr>
          <w:p w14:paraId="47898387"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2019</w:t>
            </w:r>
          </w:p>
        </w:tc>
      </w:tr>
      <w:tr w:rsidR="0008009D" w:rsidRPr="0087331E" w14:paraId="05666E0F" w14:textId="77777777" w:rsidTr="005B7F97">
        <w:tc>
          <w:tcPr>
            <w:tcW w:w="1073" w:type="dxa"/>
          </w:tcPr>
          <w:p w14:paraId="4C21D70D"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Diagnostic</w:t>
            </w:r>
          </w:p>
        </w:tc>
        <w:tc>
          <w:tcPr>
            <w:tcW w:w="895" w:type="dxa"/>
            <w:vAlign w:val="bottom"/>
          </w:tcPr>
          <w:p w14:paraId="4943E251"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3,110</w:t>
            </w:r>
          </w:p>
        </w:tc>
        <w:tc>
          <w:tcPr>
            <w:tcW w:w="896" w:type="dxa"/>
            <w:vAlign w:val="bottom"/>
          </w:tcPr>
          <w:p w14:paraId="4C4E2580"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3,577</w:t>
            </w:r>
          </w:p>
        </w:tc>
        <w:tc>
          <w:tcPr>
            <w:tcW w:w="896" w:type="dxa"/>
            <w:vAlign w:val="bottom"/>
          </w:tcPr>
          <w:p w14:paraId="6D0184CD"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4,113</w:t>
            </w:r>
          </w:p>
        </w:tc>
        <w:tc>
          <w:tcPr>
            <w:tcW w:w="895" w:type="dxa"/>
            <w:vAlign w:val="bottom"/>
          </w:tcPr>
          <w:p w14:paraId="6E509C7D"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4,730</w:t>
            </w:r>
          </w:p>
        </w:tc>
        <w:tc>
          <w:tcPr>
            <w:tcW w:w="896" w:type="dxa"/>
            <w:vAlign w:val="bottom"/>
          </w:tcPr>
          <w:p w14:paraId="25905688"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5,439</w:t>
            </w:r>
          </w:p>
        </w:tc>
        <w:tc>
          <w:tcPr>
            <w:tcW w:w="896" w:type="dxa"/>
            <w:vAlign w:val="bottom"/>
          </w:tcPr>
          <w:p w14:paraId="2D546145"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6,255</w:t>
            </w:r>
          </w:p>
        </w:tc>
        <w:tc>
          <w:tcPr>
            <w:tcW w:w="895" w:type="dxa"/>
            <w:vAlign w:val="bottom"/>
          </w:tcPr>
          <w:p w14:paraId="192460F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7,194</w:t>
            </w:r>
          </w:p>
        </w:tc>
        <w:tc>
          <w:tcPr>
            <w:tcW w:w="896" w:type="dxa"/>
            <w:vAlign w:val="bottom"/>
          </w:tcPr>
          <w:p w14:paraId="23A7E554"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8,273</w:t>
            </w:r>
          </w:p>
        </w:tc>
        <w:tc>
          <w:tcPr>
            <w:tcW w:w="896" w:type="dxa"/>
            <w:vAlign w:val="bottom"/>
          </w:tcPr>
          <w:p w14:paraId="7B1590F1"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9,514</w:t>
            </w:r>
          </w:p>
        </w:tc>
      </w:tr>
      <w:tr w:rsidR="0008009D" w:rsidRPr="0087331E" w14:paraId="4EB9E1B9" w14:textId="77777777" w:rsidTr="005B7F97">
        <w:tc>
          <w:tcPr>
            <w:tcW w:w="1073" w:type="dxa"/>
          </w:tcPr>
          <w:p w14:paraId="4598D658"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Predictive</w:t>
            </w:r>
          </w:p>
        </w:tc>
        <w:tc>
          <w:tcPr>
            <w:tcW w:w="895" w:type="dxa"/>
            <w:vAlign w:val="bottom"/>
          </w:tcPr>
          <w:p w14:paraId="1363BDD8"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1,266</w:t>
            </w:r>
          </w:p>
        </w:tc>
        <w:tc>
          <w:tcPr>
            <w:tcW w:w="896" w:type="dxa"/>
            <w:vAlign w:val="bottom"/>
          </w:tcPr>
          <w:p w14:paraId="7476D31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1,456</w:t>
            </w:r>
          </w:p>
        </w:tc>
        <w:tc>
          <w:tcPr>
            <w:tcW w:w="896" w:type="dxa"/>
            <w:vAlign w:val="bottom"/>
          </w:tcPr>
          <w:p w14:paraId="0D8C3DF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1,674</w:t>
            </w:r>
          </w:p>
        </w:tc>
        <w:tc>
          <w:tcPr>
            <w:tcW w:w="895" w:type="dxa"/>
            <w:vAlign w:val="bottom"/>
          </w:tcPr>
          <w:p w14:paraId="58312FAD"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1,925</w:t>
            </w:r>
          </w:p>
        </w:tc>
        <w:tc>
          <w:tcPr>
            <w:tcW w:w="896" w:type="dxa"/>
            <w:vAlign w:val="bottom"/>
          </w:tcPr>
          <w:p w14:paraId="71FED39D"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2,214</w:t>
            </w:r>
          </w:p>
        </w:tc>
        <w:tc>
          <w:tcPr>
            <w:tcW w:w="896" w:type="dxa"/>
            <w:vAlign w:val="bottom"/>
          </w:tcPr>
          <w:p w14:paraId="58093115"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2,546</w:t>
            </w:r>
          </w:p>
        </w:tc>
        <w:tc>
          <w:tcPr>
            <w:tcW w:w="895" w:type="dxa"/>
            <w:vAlign w:val="bottom"/>
          </w:tcPr>
          <w:p w14:paraId="73ACE6FD"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2,928</w:t>
            </w:r>
          </w:p>
        </w:tc>
        <w:tc>
          <w:tcPr>
            <w:tcW w:w="896" w:type="dxa"/>
            <w:vAlign w:val="bottom"/>
          </w:tcPr>
          <w:p w14:paraId="4B267B7C"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3,368</w:t>
            </w:r>
          </w:p>
        </w:tc>
        <w:tc>
          <w:tcPr>
            <w:tcW w:w="896" w:type="dxa"/>
            <w:vAlign w:val="bottom"/>
          </w:tcPr>
          <w:p w14:paraId="1E5C1C64"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3,873</w:t>
            </w:r>
          </w:p>
        </w:tc>
      </w:tr>
      <w:tr w:rsidR="0008009D" w:rsidRPr="0087331E" w14:paraId="15B05A80" w14:textId="77777777" w:rsidTr="005B7F97">
        <w:tc>
          <w:tcPr>
            <w:tcW w:w="1073" w:type="dxa"/>
          </w:tcPr>
          <w:p w14:paraId="4C15554A"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Screening</w:t>
            </w:r>
          </w:p>
        </w:tc>
        <w:tc>
          <w:tcPr>
            <w:tcW w:w="895" w:type="dxa"/>
            <w:vAlign w:val="bottom"/>
          </w:tcPr>
          <w:p w14:paraId="6975E4FA"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10,194</w:t>
            </w:r>
          </w:p>
        </w:tc>
        <w:tc>
          <w:tcPr>
            <w:tcW w:w="896" w:type="dxa"/>
            <w:vAlign w:val="bottom"/>
          </w:tcPr>
          <w:p w14:paraId="6ADE36A4"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11,723</w:t>
            </w:r>
          </w:p>
        </w:tc>
        <w:tc>
          <w:tcPr>
            <w:tcW w:w="896" w:type="dxa"/>
            <w:vAlign w:val="bottom"/>
          </w:tcPr>
          <w:p w14:paraId="69E31A07"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13,482</w:t>
            </w:r>
          </w:p>
        </w:tc>
        <w:tc>
          <w:tcPr>
            <w:tcW w:w="895" w:type="dxa"/>
            <w:vAlign w:val="bottom"/>
          </w:tcPr>
          <w:p w14:paraId="486A6079"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15,504</w:t>
            </w:r>
          </w:p>
        </w:tc>
        <w:tc>
          <w:tcPr>
            <w:tcW w:w="896" w:type="dxa"/>
            <w:vAlign w:val="bottom"/>
          </w:tcPr>
          <w:p w14:paraId="3403EB4F"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17,829</w:t>
            </w:r>
          </w:p>
        </w:tc>
        <w:tc>
          <w:tcPr>
            <w:tcW w:w="896" w:type="dxa"/>
            <w:vAlign w:val="bottom"/>
          </w:tcPr>
          <w:p w14:paraId="1566F804"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20,504</w:t>
            </w:r>
          </w:p>
        </w:tc>
        <w:tc>
          <w:tcPr>
            <w:tcW w:w="895" w:type="dxa"/>
            <w:vAlign w:val="bottom"/>
          </w:tcPr>
          <w:p w14:paraId="2A455B6A"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23,579</w:t>
            </w:r>
          </w:p>
        </w:tc>
        <w:tc>
          <w:tcPr>
            <w:tcW w:w="896" w:type="dxa"/>
            <w:vAlign w:val="bottom"/>
          </w:tcPr>
          <w:p w14:paraId="41D0C08F"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27,116</w:t>
            </w:r>
          </w:p>
        </w:tc>
        <w:tc>
          <w:tcPr>
            <w:tcW w:w="896" w:type="dxa"/>
            <w:vAlign w:val="bottom"/>
          </w:tcPr>
          <w:p w14:paraId="0077F9A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31,184</w:t>
            </w:r>
          </w:p>
        </w:tc>
      </w:tr>
      <w:tr w:rsidR="0008009D" w:rsidRPr="0087331E" w14:paraId="38EA9358" w14:textId="77777777" w:rsidTr="005B7F97">
        <w:tc>
          <w:tcPr>
            <w:tcW w:w="1073" w:type="dxa"/>
          </w:tcPr>
          <w:p w14:paraId="298C9F25"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Prenatal</w:t>
            </w:r>
          </w:p>
        </w:tc>
        <w:tc>
          <w:tcPr>
            <w:tcW w:w="895" w:type="dxa"/>
            <w:vAlign w:val="bottom"/>
          </w:tcPr>
          <w:p w14:paraId="12C207BA"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792</w:t>
            </w:r>
          </w:p>
        </w:tc>
        <w:tc>
          <w:tcPr>
            <w:tcW w:w="896" w:type="dxa"/>
            <w:vAlign w:val="bottom"/>
          </w:tcPr>
          <w:p w14:paraId="38AF2C05"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911</w:t>
            </w:r>
          </w:p>
        </w:tc>
        <w:tc>
          <w:tcPr>
            <w:tcW w:w="896" w:type="dxa"/>
            <w:vAlign w:val="bottom"/>
          </w:tcPr>
          <w:p w14:paraId="33389BEA"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1,047</w:t>
            </w:r>
          </w:p>
        </w:tc>
        <w:tc>
          <w:tcPr>
            <w:tcW w:w="895" w:type="dxa"/>
            <w:vAlign w:val="bottom"/>
          </w:tcPr>
          <w:p w14:paraId="1DC224F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1,205</w:t>
            </w:r>
          </w:p>
        </w:tc>
        <w:tc>
          <w:tcPr>
            <w:tcW w:w="896" w:type="dxa"/>
            <w:vAlign w:val="bottom"/>
          </w:tcPr>
          <w:p w14:paraId="3C100F96"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1,385</w:t>
            </w:r>
          </w:p>
        </w:tc>
        <w:tc>
          <w:tcPr>
            <w:tcW w:w="896" w:type="dxa"/>
            <w:vAlign w:val="bottom"/>
          </w:tcPr>
          <w:p w14:paraId="4F32C5C2"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1,593</w:t>
            </w:r>
          </w:p>
        </w:tc>
        <w:tc>
          <w:tcPr>
            <w:tcW w:w="895" w:type="dxa"/>
            <w:vAlign w:val="bottom"/>
          </w:tcPr>
          <w:p w14:paraId="69D97C44"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1,832</w:t>
            </w:r>
          </w:p>
        </w:tc>
        <w:tc>
          <w:tcPr>
            <w:tcW w:w="896" w:type="dxa"/>
            <w:vAlign w:val="bottom"/>
          </w:tcPr>
          <w:p w14:paraId="57811FE8"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2,107</w:t>
            </w:r>
          </w:p>
        </w:tc>
        <w:tc>
          <w:tcPr>
            <w:tcW w:w="896" w:type="dxa"/>
            <w:vAlign w:val="bottom"/>
          </w:tcPr>
          <w:p w14:paraId="0FB1F401" w14:textId="77777777" w:rsidR="0008009D" w:rsidRPr="0087331E" w:rsidRDefault="0008009D" w:rsidP="004566DC">
            <w:pPr>
              <w:spacing w:before="40" w:after="40" w:line="240" w:lineRule="auto"/>
              <w:ind w:right="17"/>
              <w:jc w:val="right"/>
              <w:rPr>
                <w:rFonts w:ascii="Arial Narrow" w:eastAsia="Times New Roman" w:hAnsi="Arial Narrow"/>
                <w:sz w:val="20"/>
                <w:szCs w:val="20"/>
                <w:lang w:eastAsia="en-AU"/>
              </w:rPr>
            </w:pPr>
            <w:r w:rsidRPr="0087331E">
              <w:rPr>
                <w:rFonts w:ascii="Arial Narrow" w:hAnsi="Arial Narrow"/>
                <w:sz w:val="20"/>
                <w:szCs w:val="20"/>
              </w:rPr>
              <w:t>2,423</w:t>
            </w:r>
          </w:p>
        </w:tc>
      </w:tr>
      <w:tr w:rsidR="0008009D" w:rsidRPr="0087331E" w14:paraId="4208C2AF" w14:textId="77777777" w:rsidTr="005B7F97">
        <w:tc>
          <w:tcPr>
            <w:tcW w:w="1073" w:type="dxa"/>
          </w:tcPr>
          <w:p w14:paraId="1A236DAA" w14:textId="77777777" w:rsidR="0008009D" w:rsidRPr="0087331E" w:rsidRDefault="0008009D" w:rsidP="005B7F97">
            <w:pPr>
              <w:spacing w:before="40" w:after="40" w:line="240" w:lineRule="auto"/>
              <w:rPr>
                <w:rFonts w:ascii="Arial Narrow" w:hAnsi="Arial Narrow"/>
                <w:b/>
                <w:sz w:val="20"/>
                <w:szCs w:val="20"/>
              </w:rPr>
            </w:pPr>
            <w:r w:rsidRPr="0087331E">
              <w:rPr>
                <w:rFonts w:ascii="Arial Narrow" w:hAnsi="Arial Narrow"/>
                <w:b/>
                <w:sz w:val="20"/>
                <w:szCs w:val="20"/>
              </w:rPr>
              <w:t>Total</w:t>
            </w:r>
          </w:p>
        </w:tc>
        <w:tc>
          <w:tcPr>
            <w:tcW w:w="895" w:type="dxa"/>
            <w:vAlign w:val="bottom"/>
          </w:tcPr>
          <w:p w14:paraId="5C32CC4D"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15,362</w:t>
            </w:r>
          </w:p>
        </w:tc>
        <w:tc>
          <w:tcPr>
            <w:tcW w:w="896" w:type="dxa"/>
            <w:vAlign w:val="bottom"/>
          </w:tcPr>
          <w:p w14:paraId="23D492FF"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17,666</w:t>
            </w:r>
          </w:p>
        </w:tc>
        <w:tc>
          <w:tcPr>
            <w:tcW w:w="896" w:type="dxa"/>
            <w:vAlign w:val="bottom"/>
          </w:tcPr>
          <w:p w14:paraId="2D17FF21"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20,316</w:t>
            </w:r>
          </w:p>
        </w:tc>
        <w:tc>
          <w:tcPr>
            <w:tcW w:w="895" w:type="dxa"/>
            <w:vAlign w:val="bottom"/>
          </w:tcPr>
          <w:p w14:paraId="0CA35B33"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23,364</w:t>
            </w:r>
          </w:p>
        </w:tc>
        <w:tc>
          <w:tcPr>
            <w:tcW w:w="896" w:type="dxa"/>
            <w:vAlign w:val="bottom"/>
          </w:tcPr>
          <w:p w14:paraId="71EE6E91"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26,868</w:t>
            </w:r>
          </w:p>
        </w:tc>
        <w:tc>
          <w:tcPr>
            <w:tcW w:w="896" w:type="dxa"/>
            <w:vAlign w:val="bottom"/>
          </w:tcPr>
          <w:p w14:paraId="6314B5F9"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30,898</w:t>
            </w:r>
          </w:p>
        </w:tc>
        <w:tc>
          <w:tcPr>
            <w:tcW w:w="895" w:type="dxa"/>
            <w:vAlign w:val="bottom"/>
          </w:tcPr>
          <w:p w14:paraId="2C95F0B1"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35,533</w:t>
            </w:r>
          </w:p>
        </w:tc>
        <w:tc>
          <w:tcPr>
            <w:tcW w:w="896" w:type="dxa"/>
            <w:vAlign w:val="bottom"/>
          </w:tcPr>
          <w:p w14:paraId="0F3F8AF9"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40,863</w:t>
            </w:r>
          </w:p>
        </w:tc>
        <w:tc>
          <w:tcPr>
            <w:tcW w:w="896" w:type="dxa"/>
            <w:vAlign w:val="bottom"/>
          </w:tcPr>
          <w:p w14:paraId="13C32FAD" w14:textId="77777777" w:rsidR="0008009D" w:rsidRPr="0087331E" w:rsidRDefault="0008009D" w:rsidP="004566DC">
            <w:pPr>
              <w:spacing w:before="40" w:after="40" w:line="240" w:lineRule="auto"/>
              <w:ind w:right="17"/>
              <w:jc w:val="right"/>
              <w:rPr>
                <w:rFonts w:ascii="Arial Narrow" w:eastAsia="Times New Roman" w:hAnsi="Arial Narrow"/>
                <w:b/>
                <w:sz w:val="20"/>
                <w:szCs w:val="20"/>
                <w:lang w:eastAsia="en-AU"/>
              </w:rPr>
            </w:pPr>
            <w:r w:rsidRPr="0087331E">
              <w:rPr>
                <w:rFonts w:ascii="Arial Narrow" w:hAnsi="Arial Narrow"/>
                <w:b/>
                <w:sz w:val="20"/>
                <w:szCs w:val="20"/>
              </w:rPr>
              <w:t>46,993</w:t>
            </w:r>
          </w:p>
        </w:tc>
      </w:tr>
    </w:tbl>
    <w:p w14:paraId="65218E4F" w14:textId="1A0E41B9" w:rsidR="0008009D" w:rsidRPr="0087331E" w:rsidRDefault="00FD37D3" w:rsidP="0008009D">
      <w:pPr>
        <w:pStyle w:val="TableNotes"/>
        <w:ind w:left="0"/>
        <w:rPr>
          <w:sz w:val="18"/>
          <w:szCs w:val="18"/>
        </w:rPr>
      </w:pPr>
      <w:r w:rsidRPr="00FD37D3">
        <w:rPr>
          <w:sz w:val="18"/>
          <w:szCs w:val="18"/>
        </w:rPr>
        <w:t>CFTR</w:t>
      </w:r>
      <w:r w:rsidR="007A005E">
        <w:rPr>
          <w:sz w:val="18"/>
          <w:szCs w:val="18"/>
        </w:rPr>
        <w:t xml:space="preserve"> = cystic fibrosis transmembrane conductance r</w:t>
      </w:r>
      <w:r w:rsidR="0008009D" w:rsidRPr="0087331E">
        <w:rPr>
          <w:sz w:val="18"/>
          <w:szCs w:val="18"/>
        </w:rPr>
        <w:t xml:space="preserve">egulator </w:t>
      </w:r>
    </w:p>
    <w:p w14:paraId="535D6BA0" w14:textId="77777777" w:rsidR="0008009D" w:rsidRPr="0087331E" w:rsidRDefault="0008009D" w:rsidP="0008009D">
      <w:r w:rsidRPr="0087331E">
        <w:t xml:space="preserve">The number of tests and financial implications have been disaggregated as best as possible by proposed indications and are presented below. </w:t>
      </w:r>
    </w:p>
    <w:p w14:paraId="41F6CDCA" w14:textId="7690960A" w:rsidR="0008009D" w:rsidRPr="0087331E" w:rsidRDefault="0008009D" w:rsidP="004566DC">
      <w:pPr>
        <w:spacing w:after="0"/>
        <w:rPr>
          <w:u w:val="single"/>
        </w:rPr>
      </w:pPr>
      <w:r w:rsidRPr="0087331E">
        <w:rPr>
          <w:u w:val="single"/>
        </w:rPr>
        <w:t xml:space="preserve">Populations </w:t>
      </w:r>
      <w:r w:rsidR="007A005E">
        <w:rPr>
          <w:u w:val="single"/>
        </w:rPr>
        <w:t>1b, 1c and 1d</w:t>
      </w:r>
    </w:p>
    <w:p w14:paraId="3441911B" w14:textId="63FF209B" w:rsidR="0008009D" w:rsidRPr="0087331E" w:rsidRDefault="002D0FC4" w:rsidP="004566DC">
      <w:pPr>
        <w:numPr>
          <w:ilvl w:val="0"/>
          <w:numId w:val="70"/>
        </w:numPr>
        <w:contextualSpacing/>
      </w:pPr>
      <w:r>
        <w:t>p</w:t>
      </w:r>
      <w:r w:rsidR="0008009D" w:rsidRPr="0087331E">
        <w:t xml:space="preserve">atients with symptoms of classic </w:t>
      </w:r>
      <w:r w:rsidR="00D53F19">
        <w:t>CF</w:t>
      </w:r>
    </w:p>
    <w:p w14:paraId="526880AA" w14:textId="15098E72" w:rsidR="0008009D" w:rsidRPr="0087331E" w:rsidRDefault="002D0FC4" w:rsidP="004566DC">
      <w:pPr>
        <w:numPr>
          <w:ilvl w:val="0"/>
          <w:numId w:val="70"/>
        </w:numPr>
        <w:contextualSpacing/>
      </w:pPr>
      <w:r>
        <w:t>p</w:t>
      </w:r>
      <w:r w:rsidR="0008009D" w:rsidRPr="0087331E">
        <w:t xml:space="preserve">atients with chronic symptoms of non-classic </w:t>
      </w:r>
      <w:r w:rsidR="00D53F19">
        <w:t>Cf</w:t>
      </w:r>
    </w:p>
    <w:p w14:paraId="0E1CDB05" w14:textId="2AAA767E" w:rsidR="0008009D" w:rsidRPr="0087331E" w:rsidRDefault="002D0FC4" w:rsidP="004566DC">
      <w:pPr>
        <w:numPr>
          <w:ilvl w:val="0"/>
          <w:numId w:val="70"/>
        </w:numPr>
        <w:spacing w:before="120"/>
        <w:contextualSpacing/>
      </w:pPr>
      <w:r>
        <w:t>m</w:t>
      </w:r>
      <w:r w:rsidR="0008009D" w:rsidRPr="0087331E">
        <w:t>en with congenital absence of the vas deferens</w:t>
      </w:r>
    </w:p>
    <w:p w14:paraId="040AF974" w14:textId="11A81E6B" w:rsidR="0008009D" w:rsidRPr="0087331E" w:rsidRDefault="0008009D" w:rsidP="0008009D">
      <w:pPr>
        <w:spacing w:before="240"/>
      </w:pPr>
      <w:r w:rsidRPr="0087331E">
        <w:t>Testing in these indications come</w:t>
      </w:r>
      <w:r w:rsidR="00D53F19">
        <w:t>s</w:t>
      </w:r>
      <w:r w:rsidRPr="0087331E">
        <w:t xml:space="preserve"> under the diagnostic indication. The number</w:t>
      </w:r>
      <w:r w:rsidR="00D53F19">
        <w:t>s</w:t>
      </w:r>
      <w:r w:rsidRPr="0087331E">
        <w:t xml:space="preserve"> of tests and financial implications for these indications are presented in </w:t>
      </w:r>
      <w:r w:rsidRPr="0099139F">
        <w:fldChar w:fldCharType="begin"/>
      </w:r>
      <w:r w:rsidRPr="002F38D0">
        <w:instrText xml:space="preserve"> REF _Ref413932183 \h </w:instrText>
      </w:r>
      <w:r w:rsidRPr="003D5E01">
        <w:instrText xml:space="preserve"> \* MERGEFORMAT </w:instrText>
      </w:r>
      <w:r w:rsidRPr="0099139F">
        <w:fldChar w:fldCharType="separate"/>
      </w:r>
      <w:r w:rsidR="00BB0E3E" w:rsidRPr="00BB0E3E">
        <w:rPr>
          <w:bCs/>
        </w:rPr>
        <w:t xml:space="preserve">Table </w:t>
      </w:r>
      <w:r w:rsidR="00BB0E3E" w:rsidRPr="00BB0E3E">
        <w:rPr>
          <w:bCs/>
          <w:noProof/>
        </w:rPr>
        <w:t>114</w:t>
      </w:r>
      <w:r w:rsidRPr="0099139F">
        <w:fldChar w:fldCharType="end"/>
      </w:r>
      <w:r w:rsidRPr="0087331E">
        <w:t>.</w:t>
      </w:r>
    </w:p>
    <w:p w14:paraId="3410982E" w14:textId="05E3D70C" w:rsidR="0008009D" w:rsidRPr="0087331E" w:rsidRDefault="0008009D" w:rsidP="00F57AF2">
      <w:pPr>
        <w:pStyle w:val="Caption"/>
      </w:pPr>
      <w:bookmarkStart w:id="634" w:name="_Ref413932183"/>
      <w:bookmarkStart w:id="635" w:name="_Toc416855398"/>
      <w:bookmarkStart w:id="636" w:name="_Toc418179511"/>
      <w:r w:rsidRPr="0087331E">
        <w:t xml:space="preserve">Table </w:t>
      </w:r>
      <w:fldSimple w:instr=" SEQ Table \* ARABIC ">
        <w:r w:rsidR="00BB0E3E">
          <w:rPr>
            <w:noProof/>
          </w:rPr>
          <w:t>114</w:t>
        </w:r>
      </w:fldSimple>
      <w:bookmarkEnd w:id="634"/>
      <w:r w:rsidRPr="0087331E">
        <w:tab/>
        <w:t>Estimated number</w:t>
      </w:r>
      <w:r w:rsidR="00D53F19">
        <w:t>s</w:t>
      </w:r>
      <w:r w:rsidRPr="0087331E">
        <w:t xml:space="preserve"> of </w:t>
      </w:r>
      <w:r w:rsidR="00FD37D3" w:rsidRPr="00FD37D3">
        <w:t>CFTR</w:t>
      </w:r>
      <w:r w:rsidRPr="0087331E">
        <w:t xml:space="preserve"> mutation tests and cost implication</w:t>
      </w:r>
      <w:r w:rsidR="00121E4C">
        <w:t>s</w:t>
      </w:r>
      <w:r w:rsidRPr="0087331E">
        <w:t xml:space="preserve"> for diagnostic indications eligible for MBS funding</w:t>
      </w:r>
      <w:bookmarkEnd w:id="635"/>
      <w:bookmarkEnd w:id="636"/>
      <w:r w:rsidR="00AD2954">
        <w:t>, populations 1b, 1c and 1d</w:t>
      </w:r>
    </w:p>
    <w:tbl>
      <w:tblPr>
        <w:tblStyle w:val="TableGrid8"/>
        <w:tblW w:w="4908" w:type="pct"/>
        <w:tblInd w:w="108" w:type="dxa"/>
        <w:tblLayout w:type="fixed"/>
        <w:tblLook w:val="04A0" w:firstRow="1" w:lastRow="0" w:firstColumn="1" w:lastColumn="0" w:noHBand="0" w:noVBand="1"/>
        <w:tblCaption w:val="Estimated numbers of CFTR mutation tests and cost implication for diagnostic indications eligible for MBS funding, populations 1b, 1c and 1d"/>
        <w:tblDescription w:val="Estimated numbers of CFTR mutation tests and cost implication for diagnostic indications eligible for MBS funding, populations 1b, 1c and 1d"/>
      </w:tblPr>
      <w:tblGrid>
        <w:gridCol w:w="2978"/>
        <w:gridCol w:w="1220"/>
        <w:gridCol w:w="1219"/>
        <w:gridCol w:w="1219"/>
        <w:gridCol w:w="1219"/>
        <w:gridCol w:w="1217"/>
      </w:tblGrid>
      <w:tr w:rsidR="0008009D" w:rsidRPr="0087331E" w14:paraId="766C200E" w14:textId="77777777" w:rsidTr="007C1FC6">
        <w:trPr>
          <w:tblHeader/>
        </w:trPr>
        <w:tc>
          <w:tcPr>
            <w:tcW w:w="1641" w:type="pct"/>
          </w:tcPr>
          <w:p w14:paraId="7BAAE9A9" w14:textId="77777777" w:rsidR="0008009D" w:rsidRPr="0087331E" w:rsidRDefault="0008009D" w:rsidP="005B7F97">
            <w:pPr>
              <w:spacing w:before="40" w:after="120" w:line="240" w:lineRule="auto"/>
              <w:jc w:val="center"/>
              <w:rPr>
                <w:rFonts w:ascii="Arial Narrow" w:hAnsi="Arial Narrow"/>
                <w:b/>
                <w:bCs/>
                <w:sz w:val="20"/>
                <w:szCs w:val="20"/>
              </w:rPr>
            </w:pPr>
          </w:p>
        </w:tc>
        <w:tc>
          <w:tcPr>
            <w:tcW w:w="672" w:type="pct"/>
            <w:vAlign w:val="bottom"/>
          </w:tcPr>
          <w:p w14:paraId="66D2E723"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2015</w:t>
            </w:r>
          </w:p>
        </w:tc>
        <w:tc>
          <w:tcPr>
            <w:tcW w:w="672" w:type="pct"/>
            <w:vAlign w:val="bottom"/>
          </w:tcPr>
          <w:p w14:paraId="43FA1589"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2016</w:t>
            </w:r>
          </w:p>
        </w:tc>
        <w:tc>
          <w:tcPr>
            <w:tcW w:w="672" w:type="pct"/>
            <w:vAlign w:val="bottom"/>
          </w:tcPr>
          <w:p w14:paraId="6C191138"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2017</w:t>
            </w:r>
          </w:p>
        </w:tc>
        <w:tc>
          <w:tcPr>
            <w:tcW w:w="672" w:type="pct"/>
            <w:vAlign w:val="bottom"/>
          </w:tcPr>
          <w:p w14:paraId="18B67321"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2018</w:t>
            </w:r>
          </w:p>
        </w:tc>
        <w:tc>
          <w:tcPr>
            <w:tcW w:w="671" w:type="pct"/>
            <w:vAlign w:val="bottom"/>
          </w:tcPr>
          <w:p w14:paraId="2A6B6E1D"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2019</w:t>
            </w:r>
          </w:p>
        </w:tc>
      </w:tr>
      <w:tr w:rsidR="0008009D" w:rsidRPr="0087331E" w14:paraId="2C25CF9D" w14:textId="77777777" w:rsidTr="005B7F97">
        <w:tc>
          <w:tcPr>
            <w:tcW w:w="1641" w:type="pct"/>
          </w:tcPr>
          <w:p w14:paraId="2D16AAE7"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tests</w:t>
            </w:r>
            <w:r w:rsidRPr="0087331E">
              <w:rPr>
                <w:rFonts w:ascii="Arial Narrow" w:hAnsi="Arial Narrow"/>
                <w:sz w:val="20"/>
                <w:szCs w:val="20"/>
                <w:vertAlign w:val="superscript"/>
              </w:rPr>
              <w:t xml:space="preserve"> a</w:t>
            </w:r>
          </w:p>
        </w:tc>
        <w:tc>
          <w:tcPr>
            <w:tcW w:w="672" w:type="pct"/>
            <w:vAlign w:val="bottom"/>
          </w:tcPr>
          <w:p w14:paraId="59A7367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5,395</w:t>
            </w:r>
          </w:p>
        </w:tc>
        <w:tc>
          <w:tcPr>
            <w:tcW w:w="672" w:type="pct"/>
            <w:vAlign w:val="bottom"/>
          </w:tcPr>
          <w:p w14:paraId="7EE11ED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6,204</w:t>
            </w:r>
          </w:p>
        </w:tc>
        <w:tc>
          <w:tcPr>
            <w:tcW w:w="672" w:type="pct"/>
            <w:vAlign w:val="bottom"/>
          </w:tcPr>
          <w:p w14:paraId="1D68ED0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7,134</w:t>
            </w:r>
          </w:p>
        </w:tc>
        <w:tc>
          <w:tcPr>
            <w:tcW w:w="672" w:type="pct"/>
            <w:vAlign w:val="bottom"/>
          </w:tcPr>
          <w:p w14:paraId="5D59238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8,204</w:t>
            </w:r>
          </w:p>
        </w:tc>
        <w:tc>
          <w:tcPr>
            <w:tcW w:w="671" w:type="pct"/>
            <w:vAlign w:val="bottom"/>
          </w:tcPr>
          <w:p w14:paraId="3FB55FB7"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9,435</w:t>
            </w:r>
          </w:p>
        </w:tc>
      </w:tr>
      <w:tr w:rsidR="0008009D" w:rsidRPr="0087331E" w14:paraId="0E4EBCAD" w14:textId="77777777" w:rsidTr="005B7F97">
        <w:tc>
          <w:tcPr>
            <w:tcW w:w="1641" w:type="pct"/>
          </w:tcPr>
          <w:p w14:paraId="419A9599" w14:textId="77777777" w:rsidR="0008009D" w:rsidRPr="0087331E" w:rsidRDefault="0008009D" w:rsidP="005B7F97">
            <w:pPr>
              <w:spacing w:before="40" w:after="40" w:line="240" w:lineRule="auto"/>
              <w:rPr>
                <w:rFonts w:ascii="Arial Narrow" w:hAnsi="Arial Narrow"/>
                <w:sz w:val="20"/>
                <w:szCs w:val="20"/>
              </w:rPr>
            </w:pPr>
            <w:r>
              <w:rPr>
                <w:rFonts w:ascii="Arial Narrow" w:hAnsi="Arial Narrow"/>
                <w:sz w:val="20"/>
                <w:szCs w:val="20"/>
              </w:rPr>
              <w:t>Number of single</w:t>
            </w:r>
            <w:r w:rsidRPr="0087331E">
              <w:rPr>
                <w:rFonts w:ascii="Arial Narrow" w:hAnsi="Arial Narrow"/>
                <w:sz w:val="20"/>
                <w:szCs w:val="20"/>
              </w:rPr>
              <w:t xml:space="preserve"> mutation analys</w:t>
            </w:r>
            <w:r>
              <w:rPr>
                <w:rFonts w:ascii="Arial Narrow" w:hAnsi="Arial Narrow"/>
                <w:sz w:val="20"/>
                <w:szCs w:val="20"/>
              </w:rPr>
              <w:t>e</w:t>
            </w:r>
            <w:r w:rsidRPr="0087331E">
              <w:rPr>
                <w:rFonts w:ascii="Arial Narrow" w:hAnsi="Arial Narrow"/>
                <w:sz w:val="20"/>
                <w:szCs w:val="20"/>
              </w:rPr>
              <w:t>s</w:t>
            </w:r>
          </w:p>
        </w:tc>
        <w:tc>
          <w:tcPr>
            <w:tcW w:w="672" w:type="pct"/>
            <w:vAlign w:val="bottom"/>
          </w:tcPr>
          <w:p w14:paraId="6269E71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13D28B3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0F3453A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6579820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017F5E3B"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09BB2E46" w14:textId="77777777" w:rsidTr="005B7F97">
        <w:tc>
          <w:tcPr>
            <w:tcW w:w="1641" w:type="pct"/>
          </w:tcPr>
          <w:p w14:paraId="7DA8F803" w14:textId="1F866061"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known mutation analys</w:t>
            </w:r>
            <w:r>
              <w:rPr>
                <w:rFonts w:ascii="Arial Narrow" w:hAnsi="Arial Narrow"/>
                <w:sz w:val="20"/>
                <w:szCs w:val="20"/>
              </w:rPr>
              <w:t>e</w:t>
            </w:r>
            <w:r w:rsidRPr="0087331E">
              <w:rPr>
                <w:rFonts w:ascii="Arial Narrow" w:hAnsi="Arial Narrow"/>
                <w:sz w:val="20"/>
                <w:szCs w:val="20"/>
              </w:rPr>
              <w:t>s</w:t>
            </w:r>
          </w:p>
        </w:tc>
        <w:tc>
          <w:tcPr>
            <w:tcW w:w="672" w:type="pct"/>
            <w:vAlign w:val="bottom"/>
          </w:tcPr>
          <w:p w14:paraId="563F752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5B7E242B"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113E7F0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259B2D1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4D1DC27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29F7AB31" w14:textId="77777777" w:rsidTr="005B7F97">
        <w:tc>
          <w:tcPr>
            <w:tcW w:w="1641" w:type="pct"/>
          </w:tcPr>
          <w:p w14:paraId="6CEAE661" w14:textId="77777777" w:rsidR="0008009D" w:rsidRPr="0087331E" w:rsidRDefault="0008009D" w:rsidP="005B7F97">
            <w:pPr>
              <w:spacing w:before="40" w:after="40" w:line="240" w:lineRule="auto"/>
              <w:rPr>
                <w:rFonts w:ascii="Arial Narrow" w:hAnsi="Arial Narrow"/>
                <w:sz w:val="20"/>
                <w:szCs w:val="20"/>
              </w:rPr>
            </w:pPr>
            <w:r>
              <w:rPr>
                <w:rFonts w:ascii="Arial Narrow" w:hAnsi="Arial Narrow"/>
                <w:sz w:val="20"/>
                <w:szCs w:val="20"/>
              </w:rPr>
              <w:t>Number of c</w:t>
            </w:r>
            <w:r w:rsidRPr="0087331E">
              <w:rPr>
                <w:rFonts w:ascii="Arial Narrow" w:hAnsi="Arial Narrow"/>
                <w:sz w:val="20"/>
                <w:szCs w:val="20"/>
              </w:rPr>
              <w:t>ommon mutation panel</w:t>
            </w:r>
            <w:r>
              <w:rPr>
                <w:rFonts w:ascii="Arial Narrow" w:hAnsi="Arial Narrow"/>
                <w:sz w:val="20"/>
                <w:szCs w:val="20"/>
              </w:rPr>
              <w:t>s</w:t>
            </w:r>
          </w:p>
        </w:tc>
        <w:tc>
          <w:tcPr>
            <w:tcW w:w="672" w:type="pct"/>
            <w:vAlign w:val="bottom"/>
          </w:tcPr>
          <w:p w14:paraId="0A9504D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4,495</w:t>
            </w:r>
          </w:p>
        </w:tc>
        <w:tc>
          <w:tcPr>
            <w:tcW w:w="672" w:type="pct"/>
            <w:vAlign w:val="bottom"/>
          </w:tcPr>
          <w:p w14:paraId="11E83BE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5,170</w:t>
            </w:r>
          </w:p>
        </w:tc>
        <w:tc>
          <w:tcPr>
            <w:tcW w:w="672" w:type="pct"/>
            <w:vAlign w:val="bottom"/>
          </w:tcPr>
          <w:p w14:paraId="154DAC9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5,945</w:t>
            </w:r>
          </w:p>
        </w:tc>
        <w:tc>
          <w:tcPr>
            <w:tcW w:w="672" w:type="pct"/>
            <w:vAlign w:val="bottom"/>
          </w:tcPr>
          <w:p w14:paraId="5FE2B069"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6,837</w:t>
            </w:r>
          </w:p>
        </w:tc>
        <w:tc>
          <w:tcPr>
            <w:tcW w:w="671" w:type="pct"/>
            <w:vAlign w:val="bottom"/>
          </w:tcPr>
          <w:p w14:paraId="169695A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7,863</w:t>
            </w:r>
          </w:p>
        </w:tc>
      </w:tr>
      <w:tr w:rsidR="0008009D" w:rsidRPr="0087331E" w14:paraId="203B0366" w14:textId="77777777" w:rsidTr="005B7F97">
        <w:tc>
          <w:tcPr>
            <w:tcW w:w="1641" w:type="pct"/>
          </w:tcPr>
          <w:p w14:paraId="1D6F3EE2" w14:textId="6224D935"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common mutation panel</w:t>
            </w:r>
            <w:r>
              <w:rPr>
                <w:rFonts w:ascii="Arial Narrow" w:hAnsi="Arial Narrow"/>
                <w:sz w:val="20"/>
                <w:szCs w:val="20"/>
              </w:rPr>
              <w:t>s</w:t>
            </w:r>
          </w:p>
        </w:tc>
        <w:tc>
          <w:tcPr>
            <w:tcW w:w="672" w:type="pct"/>
            <w:vAlign w:val="bottom"/>
          </w:tcPr>
          <w:p w14:paraId="4FCC33E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$606,885</w:t>
            </w:r>
          </w:p>
        </w:tc>
        <w:tc>
          <w:tcPr>
            <w:tcW w:w="672" w:type="pct"/>
            <w:vAlign w:val="bottom"/>
          </w:tcPr>
          <w:p w14:paraId="67EFE98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$697,918</w:t>
            </w:r>
          </w:p>
        </w:tc>
        <w:tc>
          <w:tcPr>
            <w:tcW w:w="672" w:type="pct"/>
            <w:vAlign w:val="bottom"/>
          </w:tcPr>
          <w:p w14:paraId="79DFAEB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$802,605</w:t>
            </w:r>
          </w:p>
        </w:tc>
        <w:tc>
          <w:tcPr>
            <w:tcW w:w="672" w:type="pct"/>
            <w:vAlign w:val="bottom"/>
          </w:tcPr>
          <w:p w14:paraId="153FBE2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$922,996</w:t>
            </w:r>
          </w:p>
        </w:tc>
        <w:tc>
          <w:tcPr>
            <w:tcW w:w="671" w:type="pct"/>
            <w:vAlign w:val="bottom"/>
          </w:tcPr>
          <w:p w14:paraId="496E1C2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$1,061,445</w:t>
            </w:r>
          </w:p>
        </w:tc>
      </w:tr>
      <w:tr w:rsidR="0008009D" w:rsidRPr="0087331E" w14:paraId="2864C5ED" w14:textId="77777777" w:rsidTr="005B7F97">
        <w:tc>
          <w:tcPr>
            <w:tcW w:w="1641" w:type="pct"/>
          </w:tcPr>
          <w:p w14:paraId="12FE23DE" w14:textId="77777777" w:rsidR="0008009D" w:rsidRPr="0087331E" w:rsidRDefault="0008009D" w:rsidP="005B7F97">
            <w:pPr>
              <w:spacing w:before="40" w:after="40" w:line="240" w:lineRule="auto"/>
              <w:rPr>
                <w:rFonts w:ascii="Arial Narrow" w:hAnsi="Arial Narrow"/>
                <w:sz w:val="20"/>
                <w:szCs w:val="20"/>
              </w:rPr>
            </w:pPr>
            <w:r>
              <w:rPr>
                <w:rFonts w:ascii="Arial Narrow" w:hAnsi="Arial Narrow"/>
                <w:sz w:val="20"/>
                <w:szCs w:val="20"/>
              </w:rPr>
              <w:t>Number of w</w:t>
            </w:r>
            <w:r w:rsidRPr="0087331E">
              <w:rPr>
                <w:rFonts w:ascii="Arial Narrow" w:hAnsi="Arial Narrow"/>
                <w:sz w:val="20"/>
                <w:szCs w:val="20"/>
              </w:rPr>
              <w:t>hole gene screen</w:t>
            </w:r>
            <w:r>
              <w:rPr>
                <w:rFonts w:ascii="Arial Narrow" w:hAnsi="Arial Narrow"/>
                <w:sz w:val="20"/>
                <w:szCs w:val="20"/>
              </w:rPr>
              <w:t>s</w:t>
            </w:r>
          </w:p>
        </w:tc>
        <w:tc>
          <w:tcPr>
            <w:tcW w:w="672" w:type="pct"/>
            <w:vAlign w:val="bottom"/>
          </w:tcPr>
          <w:p w14:paraId="3AB2BDE3"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899</w:t>
            </w:r>
          </w:p>
        </w:tc>
        <w:tc>
          <w:tcPr>
            <w:tcW w:w="672" w:type="pct"/>
            <w:vAlign w:val="bottom"/>
          </w:tcPr>
          <w:p w14:paraId="762B76D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1,034</w:t>
            </w:r>
          </w:p>
        </w:tc>
        <w:tc>
          <w:tcPr>
            <w:tcW w:w="672" w:type="pct"/>
            <w:vAlign w:val="bottom"/>
          </w:tcPr>
          <w:p w14:paraId="7C7A297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1,189</w:t>
            </w:r>
          </w:p>
        </w:tc>
        <w:tc>
          <w:tcPr>
            <w:tcW w:w="672" w:type="pct"/>
            <w:vAlign w:val="bottom"/>
          </w:tcPr>
          <w:p w14:paraId="75955F5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1,367</w:t>
            </w:r>
          </w:p>
        </w:tc>
        <w:tc>
          <w:tcPr>
            <w:tcW w:w="671" w:type="pct"/>
            <w:vAlign w:val="bottom"/>
          </w:tcPr>
          <w:p w14:paraId="7E76A35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1,573</w:t>
            </w:r>
          </w:p>
        </w:tc>
      </w:tr>
      <w:tr w:rsidR="0008009D" w:rsidRPr="0087331E" w14:paraId="166755CE" w14:textId="77777777" w:rsidTr="005B7F97">
        <w:tc>
          <w:tcPr>
            <w:tcW w:w="1641" w:type="pct"/>
          </w:tcPr>
          <w:p w14:paraId="3D09EB0A" w14:textId="0B21D99A"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whole gene screen</w:t>
            </w:r>
            <w:r>
              <w:rPr>
                <w:rFonts w:ascii="Arial Narrow" w:hAnsi="Arial Narrow"/>
                <w:sz w:val="20"/>
                <w:szCs w:val="20"/>
              </w:rPr>
              <w:t>s</w:t>
            </w:r>
          </w:p>
        </w:tc>
        <w:tc>
          <w:tcPr>
            <w:tcW w:w="672" w:type="pct"/>
            <w:vAlign w:val="bottom"/>
          </w:tcPr>
          <w:p w14:paraId="408AC59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$899,089</w:t>
            </w:r>
          </w:p>
        </w:tc>
        <w:tc>
          <w:tcPr>
            <w:tcW w:w="672" w:type="pct"/>
            <w:vAlign w:val="bottom"/>
          </w:tcPr>
          <w:p w14:paraId="26CAD50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$1,033,952</w:t>
            </w:r>
          </w:p>
        </w:tc>
        <w:tc>
          <w:tcPr>
            <w:tcW w:w="672" w:type="pct"/>
            <w:vAlign w:val="bottom"/>
          </w:tcPr>
          <w:p w14:paraId="4E5A1BB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$1,189,045</w:t>
            </w:r>
          </w:p>
        </w:tc>
        <w:tc>
          <w:tcPr>
            <w:tcW w:w="672" w:type="pct"/>
            <w:vAlign w:val="bottom"/>
          </w:tcPr>
          <w:p w14:paraId="71E7317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$1,367,402</w:t>
            </w:r>
          </w:p>
        </w:tc>
        <w:tc>
          <w:tcPr>
            <w:tcW w:w="671" w:type="pct"/>
            <w:vAlign w:val="bottom"/>
          </w:tcPr>
          <w:p w14:paraId="4D60D20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$1,572,512</w:t>
            </w:r>
          </w:p>
        </w:tc>
      </w:tr>
      <w:tr w:rsidR="0008009D" w:rsidRPr="0087331E" w14:paraId="50099251" w14:textId="77777777" w:rsidTr="005B7F97">
        <w:tc>
          <w:tcPr>
            <w:tcW w:w="1641" w:type="pct"/>
          </w:tcPr>
          <w:p w14:paraId="155376D6" w14:textId="77777777" w:rsidR="0008009D" w:rsidRPr="0087331E" w:rsidRDefault="0008009D" w:rsidP="005B7F97">
            <w:pPr>
              <w:spacing w:before="40" w:after="40" w:line="240" w:lineRule="auto"/>
              <w:rPr>
                <w:rFonts w:ascii="Arial Narrow" w:hAnsi="Arial Narrow"/>
                <w:b/>
                <w:sz w:val="20"/>
                <w:szCs w:val="20"/>
              </w:rPr>
            </w:pPr>
            <w:r w:rsidRPr="0087331E">
              <w:rPr>
                <w:rFonts w:ascii="Arial Narrow" w:hAnsi="Arial Narrow"/>
                <w:b/>
                <w:sz w:val="20"/>
                <w:szCs w:val="20"/>
              </w:rPr>
              <w:t>Total cost</w:t>
            </w:r>
          </w:p>
        </w:tc>
        <w:tc>
          <w:tcPr>
            <w:tcW w:w="672" w:type="pct"/>
            <w:vAlign w:val="bottom"/>
          </w:tcPr>
          <w:p w14:paraId="3E02AFA8" w14:textId="77777777" w:rsidR="0008009D" w:rsidRPr="00203BF1"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$1,505,974</w:t>
            </w:r>
          </w:p>
        </w:tc>
        <w:tc>
          <w:tcPr>
            <w:tcW w:w="672" w:type="pct"/>
            <w:vAlign w:val="bottom"/>
          </w:tcPr>
          <w:p w14:paraId="0819978D" w14:textId="77777777" w:rsidR="0008009D" w:rsidRPr="00203BF1"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$1,731,870</w:t>
            </w:r>
          </w:p>
        </w:tc>
        <w:tc>
          <w:tcPr>
            <w:tcW w:w="672" w:type="pct"/>
            <w:vAlign w:val="bottom"/>
          </w:tcPr>
          <w:p w14:paraId="58D7B5B1" w14:textId="77777777" w:rsidR="0008009D" w:rsidRPr="00203BF1"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$1,991,650</w:t>
            </w:r>
          </w:p>
        </w:tc>
        <w:tc>
          <w:tcPr>
            <w:tcW w:w="672" w:type="pct"/>
            <w:vAlign w:val="bottom"/>
          </w:tcPr>
          <w:p w14:paraId="66622D5A" w14:textId="77777777" w:rsidR="0008009D" w:rsidRPr="00203BF1"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$2,290,398</w:t>
            </w:r>
          </w:p>
        </w:tc>
        <w:tc>
          <w:tcPr>
            <w:tcW w:w="671" w:type="pct"/>
            <w:vAlign w:val="bottom"/>
          </w:tcPr>
          <w:p w14:paraId="5F72BEAB" w14:textId="77777777" w:rsidR="0008009D" w:rsidRPr="00203BF1"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$2,633,957</w:t>
            </w:r>
          </w:p>
        </w:tc>
      </w:tr>
    </w:tbl>
    <w:p w14:paraId="1A3F125B" w14:textId="77777777" w:rsidR="0008009D" w:rsidRPr="0087331E" w:rsidRDefault="0008009D" w:rsidP="004566DC">
      <w:pPr>
        <w:pStyle w:val="TableNotes"/>
        <w:spacing w:after="0" w:line="240" w:lineRule="auto"/>
        <w:ind w:left="0"/>
        <w:rPr>
          <w:sz w:val="18"/>
          <w:szCs w:val="18"/>
        </w:rPr>
      </w:pPr>
      <w:r w:rsidRPr="004566DC">
        <w:rPr>
          <w:sz w:val="18"/>
          <w:szCs w:val="18"/>
          <w:vertAlign w:val="superscript"/>
        </w:rPr>
        <w:t>a</w:t>
      </w:r>
      <w:r w:rsidRPr="0087331E">
        <w:rPr>
          <w:sz w:val="18"/>
          <w:szCs w:val="18"/>
        </w:rPr>
        <w:t xml:space="preserve"> From </w:t>
      </w:r>
      <w:r w:rsidRPr="0087331E">
        <w:rPr>
          <w:sz w:val="18"/>
          <w:szCs w:val="18"/>
        </w:rPr>
        <w:fldChar w:fldCharType="begin"/>
      </w:r>
      <w:r w:rsidRPr="0087331E">
        <w:rPr>
          <w:sz w:val="18"/>
          <w:szCs w:val="18"/>
        </w:rPr>
        <w:instrText xml:space="preserve"> REF _Ref413931707 \h  \* MERGEFORMAT </w:instrText>
      </w:r>
      <w:r w:rsidRPr="0087331E">
        <w:rPr>
          <w:sz w:val="18"/>
          <w:szCs w:val="18"/>
        </w:rPr>
      </w:r>
      <w:r w:rsidRPr="0087331E">
        <w:rPr>
          <w:sz w:val="18"/>
          <w:szCs w:val="18"/>
        </w:rPr>
        <w:fldChar w:fldCharType="separate"/>
      </w:r>
      <w:r w:rsidR="00BB0E3E" w:rsidRPr="00BB0E3E">
        <w:rPr>
          <w:sz w:val="18"/>
          <w:szCs w:val="18"/>
        </w:rPr>
        <w:t>Table 74</w:t>
      </w:r>
      <w:r w:rsidRPr="0087331E">
        <w:rPr>
          <w:sz w:val="18"/>
          <w:szCs w:val="18"/>
        </w:rPr>
        <w:fldChar w:fldCharType="end"/>
      </w:r>
    </w:p>
    <w:p w14:paraId="00AFFA3D" w14:textId="689099C3" w:rsidR="0008009D" w:rsidRDefault="00FD37D3" w:rsidP="004566DC">
      <w:pPr>
        <w:pStyle w:val="TableNotes"/>
        <w:spacing w:after="0" w:line="240" w:lineRule="auto"/>
        <w:ind w:left="0"/>
        <w:rPr>
          <w:sz w:val="18"/>
          <w:szCs w:val="18"/>
        </w:rPr>
      </w:pPr>
      <w:r w:rsidRPr="00FD37D3">
        <w:rPr>
          <w:sz w:val="18"/>
          <w:szCs w:val="18"/>
        </w:rPr>
        <w:t>CFTR</w:t>
      </w:r>
      <w:r w:rsidR="0008009D" w:rsidRPr="0087331E">
        <w:rPr>
          <w:sz w:val="18"/>
          <w:szCs w:val="18"/>
        </w:rPr>
        <w:t xml:space="preserve"> = </w:t>
      </w:r>
      <w:r w:rsidR="007A005E">
        <w:rPr>
          <w:sz w:val="18"/>
          <w:szCs w:val="18"/>
        </w:rPr>
        <w:t>cystic fibrosis transmembrane conductance r</w:t>
      </w:r>
      <w:r w:rsidR="007A005E" w:rsidRPr="0087331E">
        <w:rPr>
          <w:sz w:val="18"/>
          <w:szCs w:val="18"/>
        </w:rPr>
        <w:t>egulator</w:t>
      </w:r>
      <w:r w:rsidR="0008009D">
        <w:rPr>
          <w:sz w:val="18"/>
          <w:szCs w:val="18"/>
        </w:rPr>
        <w:t>; MBS</w:t>
      </w:r>
      <w:r w:rsidR="005C2650">
        <w:rPr>
          <w:sz w:val="18"/>
          <w:szCs w:val="18"/>
        </w:rPr>
        <w:t xml:space="preserve"> = </w:t>
      </w:r>
      <w:r w:rsidR="0008009D">
        <w:rPr>
          <w:sz w:val="18"/>
          <w:szCs w:val="18"/>
        </w:rPr>
        <w:t>Medicare Benefits Schedule</w:t>
      </w:r>
    </w:p>
    <w:p w14:paraId="7A1FAD14" w14:textId="46024372" w:rsidR="0008009D" w:rsidRPr="0087331E" w:rsidRDefault="0008009D" w:rsidP="004566DC">
      <w:pPr>
        <w:keepNext/>
        <w:spacing w:after="0"/>
        <w:rPr>
          <w:u w:val="single"/>
        </w:rPr>
      </w:pPr>
      <w:r w:rsidRPr="0087331E">
        <w:rPr>
          <w:u w:val="single"/>
        </w:rPr>
        <w:lastRenderedPageBreak/>
        <w:t>Population</w:t>
      </w:r>
      <w:r w:rsidR="0078429F">
        <w:rPr>
          <w:u w:val="single"/>
        </w:rPr>
        <w:t>s</w:t>
      </w:r>
      <w:r w:rsidRPr="0087331E">
        <w:rPr>
          <w:u w:val="single"/>
        </w:rPr>
        <w:t xml:space="preserve"> </w:t>
      </w:r>
      <w:r w:rsidR="007A005E">
        <w:rPr>
          <w:u w:val="single"/>
        </w:rPr>
        <w:t>2a and 2b</w:t>
      </w:r>
    </w:p>
    <w:p w14:paraId="2C3FDDF1" w14:textId="3A75E5ED" w:rsidR="0008009D" w:rsidRPr="0087331E" w:rsidRDefault="0032537F" w:rsidP="004566DC">
      <w:pPr>
        <w:numPr>
          <w:ilvl w:val="0"/>
          <w:numId w:val="72"/>
        </w:numPr>
        <w:contextualSpacing/>
      </w:pPr>
      <w:r>
        <w:t>p</w:t>
      </w:r>
      <w:r w:rsidR="0008009D" w:rsidRPr="0087331E">
        <w:t xml:space="preserve">renatal diagnosis of </w:t>
      </w:r>
      <w:r w:rsidR="0008009D">
        <w:t xml:space="preserve">fetuses of </w:t>
      </w:r>
      <w:r w:rsidR="0008009D" w:rsidRPr="0087331E">
        <w:t xml:space="preserve">couples who have a previous child with CF or </w:t>
      </w:r>
      <w:r w:rsidR="00FD37D3" w:rsidRPr="00FD37D3">
        <w:t>CFTR</w:t>
      </w:r>
      <w:r w:rsidR="0008009D" w:rsidRPr="0087331E">
        <w:t xml:space="preserve">-related disorder, or </w:t>
      </w:r>
      <w:r w:rsidR="0008009D">
        <w:t xml:space="preserve">of couples </w:t>
      </w:r>
      <w:r w:rsidR="0008009D" w:rsidRPr="0087331E">
        <w:t xml:space="preserve">who are found to be carriers of a </w:t>
      </w:r>
      <w:r w:rsidR="00FD37D3" w:rsidRPr="00FD37D3">
        <w:t>CFTR</w:t>
      </w:r>
      <w:r w:rsidR="0008009D" w:rsidRPr="0087331E">
        <w:t xml:space="preserve"> mutation</w:t>
      </w:r>
      <w:r w:rsidR="0008009D">
        <w:t xml:space="preserve"> (including testing of the parents)</w:t>
      </w:r>
    </w:p>
    <w:p w14:paraId="2932275E" w14:textId="58028412" w:rsidR="0008009D" w:rsidRPr="0087331E" w:rsidRDefault="0078429F" w:rsidP="004566DC">
      <w:pPr>
        <w:numPr>
          <w:ilvl w:val="0"/>
          <w:numId w:val="72"/>
        </w:numPr>
        <w:contextualSpacing/>
      </w:pPr>
      <w:r>
        <w:t>p</w:t>
      </w:r>
      <w:r w:rsidR="0008009D">
        <w:t>renatal diagnosis of f</w:t>
      </w:r>
      <w:r w:rsidR="0008009D" w:rsidRPr="0087331E">
        <w:t>etuses with an echogenic gut</w:t>
      </w:r>
      <w:r w:rsidR="0008009D">
        <w:t xml:space="preserve"> (including testing of the parents)</w:t>
      </w:r>
    </w:p>
    <w:p w14:paraId="041CF933" w14:textId="69529292" w:rsidR="0008009D" w:rsidRPr="0087331E" w:rsidRDefault="0008009D" w:rsidP="0008009D">
      <w:r w:rsidRPr="0087331E">
        <w:t>Testing in these indications come</w:t>
      </w:r>
      <w:r w:rsidR="00D53F19">
        <w:t>s</w:t>
      </w:r>
      <w:r w:rsidRPr="0087331E">
        <w:t xml:space="preserve"> under the predictive and prenatal indications. The number</w:t>
      </w:r>
      <w:r w:rsidR="00D53F19">
        <w:t>s</w:t>
      </w:r>
      <w:r w:rsidRPr="0087331E">
        <w:t xml:space="preserve"> of tests and financial implications for these indications are presented in </w:t>
      </w:r>
      <w:r w:rsidRPr="003D5E01">
        <w:rPr>
          <w:rFonts w:asciiTheme="minorHAnsi" w:hAnsiTheme="minorHAnsi"/>
        </w:rPr>
        <w:fldChar w:fldCharType="begin"/>
      </w:r>
      <w:r w:rsidRPr="003D5E01">
        <w:rPr>
          <w:rFonts w:asciiTheme="minorHAnsi" w:hAnsiTheme="minorHAnsi"/>
        </w:rPr>
        <w:instrText xml:space="preserve"> REF _Ref413932190 \h </w:instrText>
      </w:r>
      <w:r w:rsidRPr="002F38D0">
        <w:rPr>
          <w:rFonts w:asciiTheme="minorHAnsi" w:hAnsiTheme="minorHAnsi"/>
        </w:rPr>
        <w:instrText xml:space="preserve"> \* MERGEFORMAT </w:instrText>
      </w:r>
      <w:r w:rsidRPr="003D5E01">
        <w:rPr>
          <w:rFonts w:asciiTheme="minorHAnsi" w:hAnsiTheme="minorHAnsi"/>
        </w:rPr>
      </w:r>
      <w:r w:rsidRPr="003D5E01">
        <w:rPr>
          <w:rFonts w:asciiTheme="minorHAnsi" w:hAnsiTheme="minorHAnsi"/>
        </w:rPr>
        <w:fldChar w:fldCharType="separate"/>
      </w:r>
      <w:r w:rsidR="00BB0E3E" w:rsidRPr="00BB0E3E">
        <w:rPr>
          <w:rFonts w:asciiTheme="minorHAnsi" w:hAnsiTheme="minorHAnsi"/>
          <w:bCs/>
        </w:rPr>
        <w:t xml:space="preserve">Table </w:t>
      </w:r>
      <w:r w:rsidR="00BB0E3E" w:rsidRPr="00BB0E3E">
        <w:rPr>
          <w:rFonts w:asciiTheme="minorHAnsi" w:hAnsiTheme="minorHAnsi"/>
          <w:bCs/>
          <w:noProof/>
        </w:rPr>
        <w:t>115</w:t>
      </w:r>
      <w:r w:rsidRPr="003D5E01">
        <w:rPr>
          <w:rFonts w:asciiTheme="minorHAnsi" w:hAnsiTheme="minorHAnsi"/>
        </w:rPr>
        <w:fldChar w:fldCharType="end"/>
      </w:r>
      <w:r w:rsidRPr="0087331E">
        <w:t>.</w:t>
      </w:r>
    </w:p>
    <w:p w14:paraId="6690C7E8" w14:textId="392E220D" w:rsidR="0008009D" w:rsidRPr="0087331E" w:rsidRDefault="0008009D" w:rsidP="00F57AF2">
      <w:pPr>
        <w:pStyle w:val="Caption"/>
      </w:pPr>
      <w:bookmarkStart w:id="637" w:name="_Ref413932190"/>
      <w:bookmarkStart w:id="638" w:name="_Toc416855399"/>
      <w:bookmarkStart w:id="639" w:name="_Toc418179512"/>
      <w:r w:rsidRPr="0087331E">
        <w:t xml:space="preserve">Table </w:t>
      </w:r>
      <w:fldSimple w:instr=" SEQ Table \* ARABIC ">
        <w:r w:rsidR="00BB0E3E">
          <w:rPr>
            <w:noProof/>
          </w:rPr>
          <w:t>115</w:t>
        </w:r>
      </w:fldSimple>
      <w:bookmarkEnd w:id="637"/>
      <w:r w:rsidRPr="0087331E">
        <w:tab/>
        <w:t>Estimated number</w:t>
      </w:r>
      <w:r w:rsidR="00D53F19">
        <w:t>s</w:t>
      </w:r>
      <w:r w:rsidRPr="0087331E">
        <w:t xml:space="preserve"> of </w:t>
      </w:r>
      <w:r w:rsidR="00FD37D3" w:rsidRPr="00FD37D3">
        <w:t>CFTR</w:t>
      </w:r>
      <w:r w:rsidRPr="0087331E">
        <w:t xml:space="preserve"> mutation tests and cost implication</w:t>
      </w:r>
      <w:r w:rsidR="00D53F19">
        <w:t>s</w:t>
      </w:r>
      <w:r w:rsidRPr="0087331E">
        <w:t xml:space="preserve"> for prenatal indications eligible for MBS funding</w:t>
      </w:r>
      <w:bookmarkEnd w:id="638"/>
      <w:bookmarkEnd w:id="639"/>
      <w:r w:rsidR="00AD2954">
        <w:t>, populations 2a and 2b</w:t>
      </w:r>
    </w:p>
    <w:tbl>
      <w:tblPr>
        <w:tblStyle w:val="TableGrid8"/>
        <w:tblW w:w="4908" w:type="pct"/>
        <w:tblInd w:w="108" w:type="dxa"/>
        <w:tblLayout w:type="fixed"/>
        <w:tblLook w:val="04A0" w:firstRow="1" w:lastRow="0" w:firstColumn="1" w:lastColumn="0" w:noHBand="0" w:noVBand="1"/>
        <w:tblCaption w:val="Estimated numbers of CFTR mutation tests and cost implication for prenatal indications eligible for MBS funding, populations 2a and 2b"/>
        <w:tblDescription w:val="Estimated numbers of CFTR mutation tests and cost implication for prenatal indications eligible for MBS funding, populations 2a and 2b"/>
      </w:tblPr>
      <w:tblGrid>
        <w:gridCol w:w="2978"/>
        <w:gridCol w:w="1220"/>
        <w:gridCol w:w="1219"/>
        <w:gridCol w:w="1219"/>
        <w:gridCol w:w="1219"/>
        <w:gridCol w:w="1217"/>
      </w:tblGrid>
      <w:tr w:rsidR="0008009D" w:rsidRPr="0087331E" w14:paraId="2C6A5EB8" w14:textId="77777777" w:rsidTr="007C1FC6">
        <w:trPr>
          <w:tblHeader/>
        </w:trPr>
        <w:tc>
          <w:tcPr>
            <w:tcW w:w="1641" w:type="pct"/>
          </w:tcPr>
          <w:p w14:paraId="5B51F9D4" w14:textId="77777777" w:rsidR="0008009D" w:rsidRPr="0087331E" w:rsidRDefault="0008009D" w:rsidP="005B7F97">
            <w:pPr>
              <w:spacing w:before="40" w:after="120" w:line="240" w:lineRule="auto"/>
              <w:jc w:val="center"/>
              <w:rPr>
                <w:rFonts w:ascii="Arial Narrow" w:hAnsi="Arial Narrow"/>
                <w:b/>
                <w:bCs/>
                <w:sz w:val="20"/>
                <w:szCs w:val="20"/>
              </w:rPr>
            </w:pPr>
          </w:p>
        </w:tc>
        <w:tc>
          <w:tcPr>
            <w:tcW w:w="672" w:type="pct"/>
            <w:vAlign w:val="bottom"/>
          </w:tcPr>
          <w:p w14:paraId="72EA1F17"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2015</w:t>
            </w:r>
          </w:p>
        </w:tc>
        <w:tc>
          <w:tcPr>
            <w:tcW w:w="672" w:type="pct"/>
            <w:vAlign w:val="bottom"/>
          </w:tcPr>
          <w:p w14:paraId="1AB7B6D6"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2016</w:t>
            </w:r>
          </w:p>
        </w:tc>
        <w:tc>
          <w:tcPr>
            <w:tcW w:w="672" w:type="pct"/>
            <w:vAlign w:val="bottom"/>
          </w:tcPr>
          <w:p w14:paraId="14EDDE6D"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2017</w:t>
            </w:r>
          </w:p>
        </w:tc>
        <w:tc>
          <w:tcPr>
            <w:tcW w:w="672" w:type="pct"/>
            <w:vAlign w:val="bottom"/>
          </w:tcPr>
          <w:p w14:paraId="047AB54C"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2018</w:t>
            </w:r>
          </w:p>
        </w:tc>
        <w:tc>
          <w:tcPr>
            <w:tcW w:w="671" w:type="pct"/>
            <w:vAlign w:val="bottom"/>
          </w:tcPr>
          <w:p w14:paraId="7289D2D6"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2019</w:t>
            </w:r>
          </w:p>
        </w:tc>
      </w:tr>
      <w:tr w:rsidR="0008009D" w:rsidRPr="0087331E" w14:paraId="6899B4B0" w14:textId="77777777" w:rsidTr="005B7F97">
        <w:tc>
          <w:tcPr>
            <w:tcW w:w="1641" w:type="pct"/>
          </w:tcPr>
          <w:p w14:paraId="07C07FCE"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tests</w:t>
            </w:r>
            <w:r w:rsidRPr="0087331E">
              <w:rPr>
                <w:rFonts w:ascii="Arial Narrow" w:hAnsi="Arial Narrow"/>
                <w:sz w:val="20"/>
                <w:szCs w:val="20"/>
                <w:vertAlign w:val="superscript"/>
              </w:rPr>
              <w:t xml:space="preserve"> a</w:t>
            </w:r>
          </w:p>
        </w:tc>
        <w:tc>
          <w:tcPr>
            <w:tcW w:w="672" w:type="pct"/>
            <w:vAlign w:val="bottom"/>
          </w:tcPr>
          <w:p w14:paraId="7EF3B5D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2,492</w:t>
            </w:r>
          </w:p>
        </w:tc>
        <w:tc>
          <w:tcPr>
            <w:tcW w:w="672" w:type="pct"/>
            <w:vAlign w:val="bottom"/>
          </w:tcPr>
          <w:p w14:paraId="6693AED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2,866</w:t>
            </w:r>
          </w:p>
        </w:tc>
        <w:tc>
          <w:tcPr>
            <w:tcW w:w="672" w:type="pct"/>
            <w:vAlign w:val="bottom"/>
          </w:tcPr>
          <w:p w14:paraId="4AA6DDF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3,296</w:t>
            </w:r>
          </w:p>
        </w:tc>
        <w:tc>
          <w:tcPr>
            <w:tcW w:w="672" w:type="pct"/>
            <w:vAlign w:val="bottom"/>
          </w:tcPr>
          <w:p w14:paraId="7E9F5773"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3,791</w:t>
            </w:r>
          </w:p>
        </w:tc>
        <w:tc>
          <w:tcPr>
            <w:tcW w:w="671" w:type="pct"/>
            <w:vAlign w:val="bottom"/>
          </w:tcPr>
          <w:p w14:paraId="41EAD27C"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4,359</w:t>
            </w:r>
          </w:p>
        </w:tc>
      </w:tr>
      <w:tr w:rsidR="0008009D" w:rsidRPr="0087331E" w14:paraId="464D68DA" w14:textId="77777777" w:rsidTr="005B7F97">
        <w:tc>
          <w:tcPr>
            <w:tcW w:w="1641" w:type="pct"/>
          </w:tcPr>
          <w:p w14:paraId="6BB5B560"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Number of </w:t>
            </w:r>
            <w:r>
              <w:rPr>
                <w:rFonts w:ascii="Arial Narrow" w:hAnsi="Arial Narrow"/>
                <w:sz w:val="20"/>
                <w:szCs w:val="20"/>
              </w:rPr>
              <w:t>single</w:t>
            </w:r>
            <w:r w:rsidRPr="0087331E">
              <w:rPr>
                <w:rFonts w:ascii="Arial Narrow" w:hAnsi="Arial Narrow"/>
                <w:sz w:val="20"/>
                <w:szCs w:val="20"/>
              </w:rPr>
              <w:t xml:space="preserve"> mutation analyses</w:t>
            </w:r>
          </w:p>
        </w:tc>
        <w:tc>
          <w:tcPr>
            <w:tcW w:w="672" w:type="pct"/>
            <w:vAlign w:val="bottom"/>
          </w:tcPr>
          <w:p w14:paraId="34FC243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720</w:t>
            </w:r>
          </w:p>
        </w:tc>
        <w:tc>
          <w:tcPr>
            <w:tcW w:w="672" w:type="pct"/>
            <w:vAlign w:val="bottom"/>
          </w:tcPr>
          <w:p w14:paraId="4806A4C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828</w:t>
            </w:r>
          </w:p>
        </w:tc>
        <w:tc>
          <w:tcPr>
            <w:tcW w:w="672" w:type="pct"/>
            <w:vAlign w:val="bottom"/>
          </w:tcPr>
          <w:p w14:paraId="41EB583B"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953</w:t>
            </w:r>
          </w:p>
        </w:tc>
        <w:tc>
          <w:tcPr>
            <w:tcW w:w="672" w:type="pct"/>
            <w:vAlign w:val="bottom"/>
          </w:tcPr>
          <w:p w14:paraId="7CA49A49" w14:textId="12D555CF"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w:t>
            </w:r>
            <w:r w:rsidR="008C5578">
              <w:rPr>
                <w:rFonts w:ascii="Arial Narrow" w:hAnsi="Arial Narrow"/>
                <w:sz w:val="20"/>
                <w:szCs w:val="20"/>
              </w:rPr>
              <w:t>,</w:t>
            </w:r>
            <w:r w:rsidRPr="003D5E01">
              <w:rPr>
                <w:rFonts w:ascii="Arial Narrow" w:hAnsi="Arial Narrow"/>
                <w:sz w:val="20"/>
                <w:szCs w:val="20"/>
              </w:rPr>
              <w:t>096</w:t>
            </w:r>
          </w:p>
        </w:tc>
        <w:tc>
          <w:tcPr>
            <w:tcW w:w="671" w:type="pct"/>
            <w:vAlign w:val="bottom"/>
          </w:tcPr>
          <w:p w14:paraId="51BFCDF7" w14:textId="430D09D3"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w:t>
            </w:r>
            <w:r w:rsidR="008C5578">
              <w:rPr>
                <w:rFonts w:ascii="Arial Narrow" w:hAnsi="Arial Narrow"/>
                <w:sz w:val="20"/>
                <w:szCs w:val="20"/>
              </w:rPr>
              <w:t>,</w:t>
            </w:r>
            <w:r w:rsidRPr="003D5E01">
              <w:rPr>
                <w:rFonts w:ascii="Arial Narrow" w:hAnsi="Arial Narrow"/>
                <w:sz w:val="20"/>
                <w:szCs w:val="20"/>
              </w:rPr>
              <w:t>260</w:t>
            </w:r>
          </w:p>
        </w:tc>
      </w:tr>
      <w:tr w:rsidR="0008009D" w:rsidRPr="0087331E" w14:paraId="20369083" w14:textId="77777777" w:rsidTr="005B7F97">
        <w:tc>
          <w:tcPr>
            <w:tcW w:w="1641" w:type="pct"/>
          </w:tcPr>
          <w:p w14:paraId="22BC5128" w14:textId="00047F1F"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known mutation analys</w:t>
            </w:r>
            <w:r>
              <w:rPr>
                <w:rFonts w:ascii="Arial Narrow" w:hAnsi="Arial Narrow"/>
                <w:sz w:val="20"/>
                <w:szCs w:val="20"/>
              </w:rPr>
              <w:t>e</w:t>
            </w:r>
            <w:r w:rsidRPr="0087331E">
              <w:rPr>
                <w:rFonts w:ascii="Arial Narrow" w:hAnsi="Arial Narrow"/>
                <w:sz w:val="20"/>
                <w:szCs w:val="20"/>
              </w:rPr>
              <w:t>s</w:t>
            </w:r>
          </w:p>
        </w:tc>
        <w:tc>
          <w:tcPr>
            <w:tcW w:w="672" w:type="pct"/>
            <w:vAlign w:val="bottom"/>
          </w:tcPr>
          <w:p w14:paraId="2D823CD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$57,625</w:t>
            </w:r>
          </w:p>
        </w:tc>
        <w:tc>
          <w:tcPr>
            <w:tcW w:w="672" w:type="pct"/>
            <w:vAlign w:val="bottom"/>
          </w:tcPr>
          <w:p w14:paraId="78646DEC"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$66,269</w:t>
            </w:r>
          </w:p>
        </w:tc>
        <w:tc>
          <w:tcPr>
            <w:tcW w:w="672" w:type="pct"/>
            <w:vAlign w:val="bottom"/>
          </w:tcPr>
          <w:p w14:paraId="3FD9FFE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$76,209</w:t>
            </w:r>
          </w:p>
        </w:tc>
        <w:tc>
          <w:tcPr>
            <w:tcW w:w="672" w:type="pct"/>
            <w:vAlign w:val="bottom"/>
          </w:tcPr>
          <w:p w14:paraId="293C176B"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$87,640</w:t>
            </w:r>
          </w:p>
        </w:tc>
        <w:tc>
          <w:tcPr>
            <w:tcW w:w="671" w:type="pct"/>
            <w:vAlign w:val="bottom"/>
          </w:tcPr>
          <w:p w14:paraId="015B221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$100,786</w:t>
            </w:r>
          </w:p>
        </w:tc>
      </w:tr>
      <w:tr w:rsidR="0008009D" w:rsidRPr="0087331E" w14:paraId="117E7250" w14:textId="77777777" w:rsidTr="005B7F97">
        <w:tc>
          <w:tcPr>
            <w:tcW w:w="1641" w:type="pct"/>
          </w:tcPr>
          <w:p w14:paraId="6852BD1E"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common mutation panels</w:t>
            </w:r>
          </w:p>
        </w:tc>
        <w:tc>
          <w:tcPr>
            <w:tcW w:w="672" w:type="pct"/>
            <w:vAlign w:val="bottom"/>
          </w:tcPr>
          <w:p w14:paraId="492E10D6" w14:textId="5A4D2199"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w:t>
            </w:r>
            <w:r w:rsidR="008C5578">
              <w:rPr>
                <w:rFonts w:ascii="Arial Narrow" w:hAnsi="Arial Narrow"/>
                <w:sz w:val="20"/>
                <w:szCs w:val="20"/>
              </w:rPr>
              <w:t>,</w:t>
            </w:r>
            <w:r w:rsidRPr="003D5E01">
              <w:rPr>
                <w:rFonts w:ascii="Arial Narrow" w:hAnsi="Arial Narrow"/>
                <w:sz w:val="20"/>
                <w:szCs w:val="20"/>
              </w:rPr>
              <w:t>495</w:t>
            </w:r>
          </w:p>
        </w:tc>
        <w:tc>
          <w:tcPr>
            <w:tcW w:w="672" w:type="pct"/>
            <w:vAlign w:val="bottom"/>
          </w:tcPr>
          <w:p w14:paraId="0748B750" w14:textId="5C0ED72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w:t>
            </w:r>
            <w:r w:rsidR="008C5578">
              <w:rPr>
                <w:rFonts w:ascii="Arial Narrow" w:hAnsi="Arial Narrow"/>
                <w:sz w:val="20"/>
                <w:szCs w:val="20"/>
              </w:rPr>
              <w:t>,</w:t>
            </w:r>
            <w:r w:rsidRPr="003D5E01">
              <w:rPr>
                <w:rFonts w:ascii="Arial Narrow" w:hAnsi="Arial Narrow"/>
                <w:sz w:val="20"/>
                <w:szCs w:val="20"/>
              </w:rPr>
              <w:t>719</w:t>
            </w:r>
          </w:p>
        </w:tc>
        <w:tc>
          <w:tcPr>
            <w:tcW w:w="672" w:type="pct"/>
            <w:vAlign w:val="bottom"/>
          </w:tcPr>
          <w:p w14:paraId="0BAD3C2D" w14:textId="4060D493"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w:t>
            </w:r>
            <w:r w:rsidR="008C5578">
              <w:rPr>
                <w:rFonts w:ascii="Arial Narrow" w:hAnsi="Arial Narrow"/>
                <w:sz w:val="20"/>
                <w:szCs w:val="20"/>
              </w:rPr>
              <w:t>,</w:t>
            </w:r>
            <w:r w:rsidRPr="003D5E01">
              <w:rPr>
                <w:rFonts w:ascii="Arial Narrow" w:hAnsi="Arial Narrow"/>
                <w:sz w:val="20"/>
                <w:szCs w:val="20"/>
              </w:rPr>
              <w:t>977</w:t>
            </w:r>
          </w:p>
        </w:tc>
        <w:tc>
          <w:tcPr>
            <w:tcW w:w="672" w:type="pct"/>
            <w:vAlign w:val="bottom"/>
          </w:tcPr>
          <w:p w14:paraId="0FEA4219" w14:textId="5DC7EA56"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2</w:t>
            </w:r>
            <w:r w:rsidR="008C5578">
              <w:rPr>
                <w:rFonts w:ascii="Arial Narrow" w:hAnsi="Arial Narrow"/>
                <w:sz w:val="20"/>
                <w:szCs w:val="20"/>
              </w:rPr>
              <w:t>,</w:t>
            </w:r>
            <w:r w:rsidRPr="003D5E01">
              <w:rPr>
                <w:rFonts w:ascii="Arial Narrow" w:hAnsi="Arial Narrow"/>
                <w:sz w:val="20"/>
                <w:szCs w:val="20"/>
              </w:rPr>
              <w:t>274</w:t>
            </w:r>
          </w:p>
        </w:tc>
        <w:tc>
          <w:tcPr>
            <w:tcW w:w="671" w:type="pct"/>
            <w:vAlign w:val="bottom"/>
          </w:tcPr>
          <w:p w14:paraId="28F671F4" w14:textId="5975C466"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2</w:t>
            </w:r>
            <w:r w:rsidR="008C5578">
              <w:rPr>
                <w:rFonts w:ascii="Arial Narrow" w:hAnsi="Arial Narrow"/>
                <w:sz w:val="20"/>
                <w:szCs w:val="20"/>
              </w:rPr>
              <w:t>,</w:t>
            </w:r>
            <w:r w:rsidRPr="003D5E01">
              <w:rPr>
                <w:rFonts w:ascii="Arial Narrow" w:hAnsi="Arial Narrow"/>
                <w:sz w:val="20"/>
                <w:szCs w:val="20"/>
              </w:rPr>
              <w:t>615</w:t>
            </w:r>
          </w:p>
        </w:tc>
      </w:tr>
      <w:tr w:rsidR="0008009D" w:rsidRPr="0087331E" w14:paraId="057553CE" w14:textId="77777777" w:rsidTr="005B7F97">
        <w:tc>
          <w:tcPr>
            <w:tcW w:w="1641" w:type="pct"/>
          </w:tcPr>
          <w:p w14:paraId="3AF42448" w14:textId="478D6A0E"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common mutation panel</w:t>
            </w:r>
            <w:r>
              <w:rPr>
                <w:rFonts w:ascii="Arial Narrow" w:hAnsi="Arial Narrow"/>
                <w:sz w:val="20"/>
                <w:szCs w:val="20"/>
              </w:rPr>
              <w:t>s</w:t>
            </w:r>
          </w:p>
        </w:tc>
        <w:tc>
          <w:tcPr>
            <w:tcW w:w="672" w:type="pct"/>
            <w:vAlign w:val="bottom"/>
          </w:tcPr>
          <w:p w14:paraId="4320A0F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$201,822</w:t>
            </w:r>
          </w:p>
        </w:tc>
        <w:tc>
          <w:tcPr>
            <w:tcW w:w="672" w:type="pct"/>
            <w:vAlign w:val="bottom"/>
          </w:tcPr>
          <w:p w14:paraId="55CD0B03"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$232,096</w:t>
            </w:r>
          </w:p>
        </w:tc>
        <w:tc>
          <w:tcPr>
            <w:tcW w:w="672" w:type="pct"/>
            <w:vAlign w:val="bottom"/>
          </w:tcPr>
          <w:p w14:paraId="362C4AA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$266,910</w:t>
            </w:r>
          </w:p>
        </w:tc>
        <w:tc>
          <w:tcPr>
            <w:tcW w:w="672" w:type="pct"/>
            <w:vAlign w:val="bottom"/>
          </w:tcPr>
          <w:p w14:paraId="5C38DD5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$306,947</w:t>
            </w:r>
          </w:p>
        </w:tc>
        <w:tc>
          <w:tcPr>
            <w:tcW w:w="671" w:type="pct"/>
            <w:vAlign w:val="bottom"/>
          </w:tcPr>
          <w:p w14:paraId="0C8FD89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$352,989</w:t>
            </w:r>
          </w:p>
        </w:tc>
      </w:tr>
      <w:tr w:rsidR="0008009D" w:rsidRPr="0087331E" w14:paraId="36645F86" w14:textId="77777777" w:rsidTr="005B7F97">
        <w:tc>
          <w:tcPr>
            <w:tcW w:w="1641" w:type="pct"/>
          </w:tcPr>
          <w:p w14:paraId="011CC0BC"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whole gene screens</w:t>
            </w:r>
          </w:p>
        </w:tc>
        <w:tc>
          <w:tcPr>
            <w:tcW w:w="672" w:type="pct"/>
            <w:vAlign w:val="bottom"/>
          </w:tcPr>
          <w:p w14:paraId="471A96E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277</w:t>
            </w:r>
          </w:p>
        </w:tc>
        <w:tc>
          <w:tcPr>
            <w:tcW w:w="672" w:type="pct"/>
            <w:vAlign w:val="bottom"/>
          </w:tcPr>
          <w:p w14:paraId="621D0FD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319</w:t>
            </w:r>
          </w:p>
        </w:tc>
        <w:tc>
          <w:tcPr>
            <w:tcW w:w="672" w:type="pct"/>
            <w:vAlign w:val="bottom"/>
          </w:tcPr>
          <w:p w14:paraId="0FF669B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366</w:t>
            </w:r>
          </w:p>
        </w:tc>
        <w:tc>
          <w:tcPr>
            <w:tcW w:w="672" w:type="pct"/>
            <w:vAlign w:val="bottom"/>
          </w:tcPr>
          <w:p w14:paraId="7B41DEC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421</w:t>
            </w:r>
          </w:p>
        </w:tc>
        <w:tc>
          <w:tcPr>
            <w:tcW w:w="671" w:type="pct"/>
            <w:vAlign w:val="bottom"/>
          </w:tcPr>
          <w:p w14:paraId="290B6D14"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485</w:t>
            </w:r>
          </w:p>
        </w:tc>
      </w:tr>
      <w:tr w:rsidR="0008009D" w:rsidRPr="0087331E" w14:paraId="66FAC394" w14:textId="77777777" w:rsidTr="005B7F97">
        <w:tc>
          <w:tcPr>
            <w:tcW w:w="1641" w:type="pct"/>
          </w:tcPr>
          <w:p w14:paraId="43B1678E" w14:textId="172A71DB"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78429F">
              <w:rPr>
                <w:rFonts w:ascii="Arial Narrow" w:hAnsi="Arial Narrow"/>
                <w:sz w:val="20"/>
                <w:szCs w:val="20"/>
              </w:rPr>
              <w:t xml:space="preserve">of </w:t>
            </w:r>
            <w:r w:rsidRPr="0087331E">
              <w:rPr>
                <w:rFonts w:ascii="Arial Narrow" w:hAnsi="Arial Narrow"/>
                <w:sz w:val="20"/>
                <w:szCs w:val="20"/>
              </w:rPr>
              <w:t>whole gene screen</w:t>
            </w:r>
            <w:r>
              <w:rPr>
                <w:rFonts w:ascii="Arial Narrow" w:hAnsi="Arial Narrow"/>
                <w:sz w:val="20"/>
                <w:szCs w:val="20"/>
              </w:rPr>
              <w:t>s</w:t>
            </w:r>
          </w:p>
        </w:tc>
        <w:tc>
          <w:tcPr>
            <w:tcW w:w="672" w:type="pct"/>
            <w:vAlign w:val="bottom"/>
          </w:tcPr>
          <w:p w14:paraId="07DE7E3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$277,043</w:t>
            </w:r>
          </w:p>
        </w:tc>
        <w:tc>
          <w:tcPr>
            <w:tcW w:w="672" w:type="pct"/>
            <w:vAlign w:val="bottom"/>
          </w:tcPr>
          <w:p w14:paraId="7D9BDBD7"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$318,599</w:t>
            </w:r>
          </w:p>
        </w:tc>
        <w:tc>
          <w:tcPr>
            <w:tcW w:w="672" w:type="pct"/>
            <w:vAlign w:val="bottom"/>
          </w:tcPr>
          <w:p w14:paraId="5F4DB03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$366,389</w:t>
            </w:r>
          </w:p>
        </w:tc>
        <w:tc>
          <w:tcPr>
            <w:tcW w:w="672" w:type="pct"/>
            <w:vAlign w:val="bottom"/>
          </w:tcPr>
          <w:p w14:paraId="426E9B47"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$421,347</w:t>
            </w:r>
          </w:p>
        </w:tc>
        <w:tc>
          <w:tcPr>
            <w:tcW w:w="671" w:type="pct"/>
            <w:vAlign w:val="bottom"/>
          </w:tcPr>
          <w:p w14:paraId="2847D673"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$484,549</w:t>
            </w:r>
          </w:p>
        </w:tc>
      </w:tr>
      <w:tr w:rsidR="0008009D" w:rsidRPr="0087331E" w14:paraId="11B6BDD3" w14:textId="77777777" w:rsidTr="005B7F97">
        <w:tc>
          <w:tcPr>
            <w:tcW w:w="1641" w:type="pct"/>
          </w:tcPr>
          <w:p w14:paraId="3D2E01BF" w14:textId="77777777" w:rsidR="0008009D" w:rsidRPr="0087331E" w:rsidRDefault="0008009D" w:rsidP="005B7F97">
            <w:pPr>
              <w:spacing w:before="40" w:after="40" w:line="240" w:lineRule="auto"/>
              <w:rPr>
                <w:rFonts w:ascii="Arial Narrow" w:hAnsi="Arial Narrow"/>
                <w:b/>
                <w:sz w:val="20"/>
                <w:szCs w:val="20"/>
              </w:rPr>
            </w:pPr>
            <w:r w:rsidRPr="0087331E">
              <w:rPr>
                <w:rFonts w:ascii="Arial Narrow" w:hAnsi="Arial Narrow"/>
                <w:b/>
                <w:sz w:val="20"/>
                <w:szCs w:val="20"/>
              </w:rPr>
              <w:t>Total cost</w:t>
            </w:r>
          </w:p>
        </w:tc>
        <w:tc>
          <w:tcPr>
            <w:tcW w:w="672" w:type="pct"/>
            <w:vAlign w:val="bottom"/>
          </w:tcPr>
          <w:p w14:paraId="2905D554" w14:textId="77777777" w:rsidR="0008009D" w:rsidRPr="001E6E10"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$536,490</w:t>
            </w:r>
          </w:p>
        </w:tc>
        <w:tc>
          <w:tcPr>
            <w:tcW w:w="672" w:type="pct"/>
            <w:vAlign w:val="bottom"/>
          </w:tcPr>
          <w:p w14:paraId="5FD5C24B" w14:textId="77777777" w:rsidR="0008009D" w:rsidRPr="001E6E10"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$616,963</w:t>
            </w:r>
          </w:p>
        </w:tc>
        <w:tc>
          <w:tcPr>
            <w:tcW w:w="672" w:type="pct"/>
            <w:vAlign w:val="bottom"/>
          </w:tcPr>
          <w:p w14:paraId="268B9BBA" w14:textId="77777777" w:rsidR="0008009D" w:rsidRPr="001E6E10"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$709,508</w:t>
            </w:r>
          </w:p>
        </w:tc>
        <w:tc>
          <w:tcPr>
            <w:tcW w:w="672" w:type="pct"/>
            <w:vAlign w:val="bottom"/>
          </w:tcPr>
          <w:p w14:paraId="54E1F84C" w14:textId="77777777" w:rsidR="0008009D" w:rsidRPr="001E6E10"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$815,934</w:t>
            </w:r>
          </w:p>
        </w:tc>
        <w:tc>
          <w:tcPr>
            <w:tcW w:w="671" w:type="pct"/>
            <w:vAlign w:val="bottom"/>
          </w:tcPr>
          <w:p w14:paraId="7BFF719E" w14:textId="77777777" w:rsidR="0008009D" w:rsidRPr="001E6E10"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$938,324</w:t>
            </w:r>
          </w:p>
        </w:tc>
      </w:tr>
    </w:tbl>
    <w:p w14:paraId="2A9D1235" w14:textId="7391919C" w:rsidR="0008009D" w:rsidRPr="0087331E" w:rsidRDefault="0008009D" w:rsidP="004566DC">
      <w:pPr>
        <w:pStyle w:val="TableNotes"/>
        <w:spacing w:after="0" w:line="240" w:lineRule="auto"/>
        <w:ind w:left="0"/>
        <w:rPr>
          <w:sz w:val="18"/>
          <w:szCs w:val="18"/>
        </w:rPr>
      </w:pPr>
      <w:r w:rsidRPr="004566DC">
        <w:rPr>
          <w:sz w:val="18"/>
          <w:szCs w:val="18"/>
          <w:vertAlign w:val="superscript"/>
        </w:rPr>
        <w:t>a</w:t>
      </w:r>
      <w:r w:rsidRPr="0087331E">
        <w:rPr>
          <w:sz w:val="18"/>
          <w:szCs w:val="18"/>
        </w:rPr>
        <w:t xml:space="preserve"> Sum of prenatal and predictive tests presented in </w:t>
      </w:r>
      <w:r w:rsidRPr="0087331E">
        <w:rPr>
          <w:sz w:val="18"/>
          <w:szCs w:val="18"/>
        </w:rPr>
        <w:fldChar w:fldCharType="begin"/>
      </w:r>
      <w:r w:rsidRPr="0087331E">
        <w:rPr>
          <w:sz w:val="18"/>
          <w:szCs w:val="18"/>
        </w:rPr>
        <w:instrText xml:space="preserve"> REF _Ref413931707 \h  \* MERGEFORMAT </w:instrText>
      </w:r>
      <w:r w:rsidRPr="0087331E">
        <w:rPr>
          <w:sz w:val="18"/>
          <w:szCs w:val="18"/>
        </w:rPr>
      </w:r>
      <w:r w:rsidRPr="0087331E">
        <w:rPr>
          <w:sz w:val="18"/>
          <w:szCs w:val="18"/>
        </w:rPr>
        <w:fldChar w:fldCharType="separate"/>
      </w:r>
      <w:r w:rsidR="00BB0E3E" w:rsidRPr="00BB0E3E">
        <w:rPr>
          <w:sz w:val="18"/>
          <w:szCs w:val="18"/>
        </w:rPr>
        <w:t>Table 74</w:t>
      </w:r>
      <w:r w:rsidRPr="0087331E">
        <w:rPr>
          <w:sz w:val="18"/>
          <w:szCs w:val="18"/>
        </w:rPr>
        <w:fldChar w:fldCharType="end"/>
      </w:r>
    </w:p>
    <w:p w14:paraId="0784CF11" w14:textId="4DE6A3C2" w:rsidR="0054353F" w:rsidRDefault="00FD37D3" w:rsidP="004566DC">
      <w:pPr>
        <w:pStyle w:val="TableNotes"/>
        <w:spacing w:after="0" w:line="240" w:lineRule="auto"/>
        <w:ind w:left="0"/>
        <w:rPr>
          <w:sz w:val="18"/>
          <w:szCs w:val="18"/>
        </w:rPr>
      </w:pPr>
      <w:r w:rsidRPr="00FD37D3">
        <w:rPr>
          <w:sz w:val="18"/>
          <w:szCs w:val="18"/>
        </w:rPr>
        <w:t>CFTR</w:t>
      </w:r>
      <w:r w:rsidR="0008009D" w:rsidRPr="0087331E">
        <w:rPr>
          <w:sz w:val="18"/>
          <w:szCs w:val="18"/>
        </w:rPr>
        <w:t xml:space="preserve"> = </w:t>
      </w:r>
      <w:r w:rsidR="00B31582">
        <w:rPr>
          <w:sz w:val="18"/>
          <w:szCs w:val="18"/>
        </w:rPr>
        <w:t>c</w:t>
      </w:r>
      <w:r w:rsidR="00F9373B">
        <w:rPr>
          <w:sz w:val="18"/>
          <w:szCs w:val="18"/>
        </w:rPr>
        <w:t xml:space="preserve">ystic </w:t>
      </w:r>
      <w:r w:rsidR="00B31582">
        <w:rPr>
          <w:sz w:val="18"/>
          <w:szCs w:val="18"/>
        </w:rPr>
        <w:t>f</w:t>
      </w:r>
      <w:r w:rsidR="00F9373B">
        <w:rPr>
          <w:sz w:val="18"/>
          <w:szCs w:val="18"/>
        </w:rPr>
        <w:t xml:space="preserve">ibrosis </w:t>
      </w:r>
      <w:r w:rsidR="00B31582">
        <w:rPr>
          <w:sz w:val="18"/>
          <w:szCs w:val="18"/>
        </w:rPr>
        <w:t>t</w:t>
      </w:r>
      <w:r w:rsidR="00F9373B">
        <w:rPr>
          <w:sz w:val="18"/>
          <w:szCs w:val="18"/>
        </w:rPr>
        <w:t xml:space="preserve">ransmembrane conductance </w:t>
      </w:r>
      <w:r w:rsidR="00B31582">
        <w:rPr>
          <w:sz w:val="18"/>
          <w:szCs w:val="18"/>
        </w:rPr>
        <w:t>r</w:t>
      </w:r>
      <w:r w:rsidR="00F9373B">
        <w:rPr>
          <w:sz w:val="18"/>
          <w:szCs w:val="18"/>
        </w:rPr>
        <w:t>egulator</w:t>
      </w:r>
      <w:r w:rsidR="0008009D">
        <w:rPr>
          <w:sz w:val="18"/>
          <w:szCs w:val="18"/>
        </w:rPr>
        <w:t>; MBS = Medicare Benefits Schedule</w:t>
      </w:r>
    </w:p>
    <w:p w14:paraId="66D04AD3" w14:textId="2425274A" w:rsidR="0008009D" w:rsidRDefault="0008009D" w:rsidP="004566DC">
      <w:pPr>
        <w:pStyle w:val="TableNotes"/>
        <w:spacing w:after="0" w:line="240" w:lineRule="auto"/>
        <w:ind w:left="0"/>
        <w:rPr>
          <w:sz w:val="18"/>
          <w:szCs w:val="18"/>
        </w:rPr>
      </w:pPr>
    </w:p>
    <w:p w14:paraId="5FD37D1B" w14:textId="14D18475" w:rsidR="0008009D" w:rsidRPr="0087331E" w:rsidRDefault="0008009D" w:rsidP="004566DC">
      <w:pPr>
        <w:spacing w:after="0"/>
        <w:rPr>
          <w:u w:val="single"/>
        </w:rPr>
      </w:pPr>
      <w:r w:rsidRPr="0087331E">
        <w:rPr>
          <w:u w:val="single"/>
        </w:rPr>
        <w:t xml:space="preserve">Population </w:t>
      </w:r>
      <w:r w:rsidR="007A005E">
        <w:rPr>
          <w:u w:val="single"/>
        </w:rPr>
        <w:t>3</w:t>
      </w:r>
    </w:p>
    <w:p w14:paraId="4F7369B2" w14:textId="4061053E" w:rsidR="0008009D" w:rsidRPr="0087331E" w:rsidRDefault="008C5578" w:rsidP="004566DC">
      <w:pPr>
        <w:numPr>
          <w:ilvl w:val="0"/>
          <w:numId w:val="74"/>
        </w:numPr>
        <w:contextualSpacing/>
      </w:pPr>
      <w:r>
        <w:t>p</w:t>
      </w:r>
      <w:r w:rsidR="0008009D" w:rsidRPr="0087331E">
        <w:t xml:space="preserve">artners of someone who is known to have CF or be a carrier of a </w:t>
      </w:r>
      <w:r w:rsidR="00FD37D3" w:rsidRPr="00FD37D3">
        <w:t>CFTR</w:t>
      </w:r>
      <w:r w:rsidR="0008009D" w:rsidRPr="0087331E">
        <w:t xml:space="preserve"> mutation</w:t>
      </w:r>
    </w:p>
    <w:p w14:paraId="19AAB94B" w14:textId="651300AD" w:rsidR="0008009D" w:rsidRPr="0087331E" w:rsidRDefault="0008009D" w:rsidP="0008009D">
      <w:r w:rsidRPr="0087331E">
        <w:t>Testing in this indication comes under the screening indication. The number</w:t>
      </w:r>
      <w:r w:rsidR="00D53F19">
        <w:t>s</w:t>
      </w:r>
      <w:r w:rsidRPr="0087331E">
        <w:t xml:space="preserve"> of tests and financial implications for this indication </w:t>
      </w:r>
      <w:r w:rsidR="00DD3C90">
        <w:t>are</w:t>
      </w:r>
      <w:r w:rsidR="00DD3C90" w:rsidRPr="0087331E">
        <w:t xml:space="preserve"> </w:t>
      </w:r>
      <w:r w:rsidRPr="0087331E">
        <w:t xml:space="preserve">presented in </w:t>
      </w:r>
      <w:r w:rsidRPr="003B5817">
        <w:fldChar w:fldCharType="begin"/>
      </w:r>
      <w:r w:rsidRPr="002F38D0">
        <w:instrText xml:space="preserve"> REF _Ref413932172 \h  \* MERGEFORMAT </w:instrText>
      </w:r>
      <w:r w:rsidRPr="003B5817">
        <w:fldChar w:fldCharType="separate"/>
      </w:r>
      <w:r w:rsidR="00BB0E3E" w:rsidRPr="00BB0E3E">
        <w:rPr>
          <w:bCs/>
        </w:rPr>
        <w:t xml:space="preserve">Table </w:t>
      </w:r>
      <w:r w:rsidR="00BB0E3E" w:rsidRPr="00BB0E3E">
        <w:rPr>
          <w:bCs/>
          <w:noProof/>
        </w:rPr>
        <w:t>116</w:t>
      </w:r>
      <w:r w:rsidRPr="003B5817">
        <w:fldChar w:fldCharType="end"/>
      </w:r>
      <w:r w:rsidRPr="0087331E">
        <w:t>.</w:t>
      </w:r>
    </w:p>
    <w:p w14:paraId="45932DBD" w14:textId="5AB473B5" w:rsidR="0008009D" w:rsidRPr="0087331E" w:rsidRDefault="0008009D" w:rsidP="00F57AF2">
      <w:pPr>
        <w:pStyle w:val="Caption"/>
      </w:pPr>
      <w:bookmarkStart w:id="640" w:name="_Ref413932172"/>
      <w:bookmarkStart w:id="641" w:name="_Toc416855400"/>
      <w:bookmarkStart w:id="642" w:name="_Toc418179513"/>
      <w:r w:rsidRPr="0087331E">
        <w:t xml:space="preserve">Table </w:t>
      </w:r>
      <w:fldSimple w:instr=" SEQ Table \* ARABIC ">
        <w:r w:rsidR="00BB0E3E">
          <w:rPr>
            <w:noProof/>
          </w:rPr>
          <w:t>116</w:t>
        </w:r>
      </w:fldSimple>
      <w:bookmarkEnd w:id="640"/>
      <w:r w:rsidRPr="0087331E">
        <w:tab/>
        <w:t>Estimated number</w:t>
      </w:r>
      <w:r w:rsidR="006B4E2D">
        <w:t>s</w:t>
      </w:r>
      <w:r w:rsidRPr="0087331E">
        <w:t xml:space="preserve"> of </w:t>
      </w:r>
      <w:r w:rsidR="00FD37D3" w:rsidRPr="00FD37D3">
        <w:t>CFTR</w:t>
      </w:r>
      <w:r w:rsidRPr="0087331E">
        <w:t xml:space="preserve"> mutation tests and cost implication</w:t>
      </w:r>
      <w:r w:rsidR="00D53F19">
        <w:t>s</w:t>
      </w:r>
      <w:r w:rsidRPr="0087331E">
        <w:t xml:space="preserve"> for prenatal indications eligible for MBS funding</w:t>
      </w:r>
      <w:bookmarkEnd w:id="641"/>
      <w:bookmarkEnd w:id="642"/>
      <w:r w:rsidR="00AD2954">
        <w:t>, population 3</w:t>
      </w:r>
    </w:p>
    <w:tbl>
      <w:tblPr>
        <w:tblStyle w:val="TableGrid8"/>
        <w:tblW w:w="4908" w:type="pct"/>
        <w:tblInd w:w="108" w:type="dxa"/>
        <w:tblLayout w:type="fixed"/>
        <w:tblLook w:val="04A0" w:firstRow="1" w:lastRow="0" w:firstColumn="1" w:lastColumn="0" w:noHBand="0" w:noVBand="1"/>
        <w:tblCaption w:val="Estimated numbers of CFTR mutation tests and cost implication for prenatal indications eligible for MBS funding, population 3"/>
        <w:tblDescription w:val="Estimated numbers of CFTR mutation tests and cost implication for prenatal indications eligible for MBS funding, population 3"/>
      </w:tblPr>
      <w:tblGrid>
        <w:gridCol w:w="2978"/>
        <w:gridCol w:w="1220"/>
        <w:gridCol w:w="1219"/>
        <w:gridCol w:w="1219"/>
        <w:gridCol w:w="1219"/>
        <w:gridCol w:w="1217"/>
      </w:tblGrid>
      <w:tr w:rsidR="0008009D" w:rsidRPr="0087331E" w14:paraId="57FFF38E" w14:textId="77777777" w:rsidTr="007C1FC6">
        <w:trPr>
          <w:tblHeader/>
        </w:trPr>
        <w:tc>
          <w:tcPr>
            <w:tcW w:w="1641" w:type="pct"/>
          </w:tcPr>
          <w:p w14:paraId="3A4E8E0B" w14:textId="77777777" w:rsidR="0008009D" w:rsidRPr="0087331E" w:rsidRDefault="0008009D" w:rsidP="005B7F97">
            <w:pPr>
              <w:spacing w:before="40" w:after="120" w:line="240" w:lineRule="auto"/>
              <w:jc w:val="center"/>
              <w:rPr>
                <w:rFonts w:ascii="Arial Narrow" w:hAnsi="Arial Narrow"/>
                <w:b/>
                <w:bCs/>
                <w:sz w:val="20"/>
                <w:szCs w:val="20"/>
              </w:rPr>
            </w:pPr>
          </w:p>
        </w:tc>
        <w:tc>
          <w:tcPr>
            <w:tcW w:w="672" w:type="pct"/>
            <w:vAlign w:val="bottom"/>
          </w:tcPr>
          <w:p w14:paraId="72AC026D"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2015</w:t>
            </w:r>
          </w:p>
        </w:tc>
        <w:tc>
          <w:tcPr>
            <w:tcW w:w="672" w:type="pct"/>
            <w:vAlign w:val="bottom"/>
          </w:tcPr>
          <w:p w14:paraId="4BE605E9"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2016</w:t>
            </w:r>
          </w:p>
        </w:tc>
        <w:tc>
          <w:tcPr>
            <w:tcW w:w="672" w:type="pct"/>
            <w:vAlign w:val="bottom"/>
          </w:tcPr>
          <w:p w14:paraId="527D8E4A"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2017</w:t>
            </w:r>
          </w:p>
        </w:tc>
        <w:tc>
          <w:tcPr>
            <w:tcW w:w="672" w:type="pct"/>
            <w:vAlign w:val="bottom"/>
          </w:tcPr>
          <w:p w14:paraId="35C89423"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2018</w:t>
            </w:r>
          </w:p>
        </w:tc>
        <w:tc>
          <w:tcPr>
            <w:tcW w:w="671" w:type="pct"/>
            <w:vAlign w:val="bottom"/>
          </w:tcPr>
          <w:p w14:paraId="6AE7C1BA" w14:textId="77777777" w:rsidR="0008009D" w:rsidRPr="0087331E" w:rsidRDefault="0008009D" w:rsidP="005B7F97">
            <w:pPr>
              <w:spacing w:before="40" w:after="120" w:line="240" w:lineRule="auto"/>
              <w:jc w:val="center"/>
              <w:rPr>
                <w:rFonts w:ascii="Arial Narrow" w:hAnsi="Arial Narrow"/>
                <w:b/>
                <w:bCs/>
                <w:sz w:val="20"/>
                <w:szCs w:val="20"/>
              </w:rPr>
            </w:pPr>
            <w:r w:rsidRPr="0087331E">
              <w:rPr>
                <w:rFonts w:ascii="Arial Narrow" w:hAnsi="Arial Narrow"/>
                <w:b/>
                <w:bCs/>
                <w:sz w:val="20"/>
                <w:szCs w:val="20"/>
              </w:rPr>
              <w:t>2019</w:t>
            </w:r>
          </w:p>
        </w:tc>
      </w:tr>
      <w:tr w:rsidR="0008009D" w:rsidRPr="0087331E" w14:paraId="1968EE1C" w14:textId="77777777" w:rsidTr="005B7F97">
        <w:tc>
          <w:tcPr>
            <w:tcW w:w="1641" w:type="pct"/>
          </w:tcPr>
          <w:p w14:paraId="112F7983"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tests</w:t>
            </w:r>
            <w:r w:rsidRPr="0087331E">
              <w:rPr>
                <w:rFonts w:ascii="Arial Narrow" w:hAnsi="Arial Narrow"/>
                <w:sz w:val="20"/>
                <w:szCs w:val="20"/>
                <w:vertAlign w:val="superscript"/>
              </w:rPr>
              <w:t xml:space="preserve"> a</w:t>
            </w:r>
          </w:p>
        </w:tc>
        <w:tc>
          <w:tcPr>
            <w:tcW w:w="672" w:type="pct"/>
            <w:vAlign w:val="bottom"/>
          </w:tcPr>
          <w:p w14:paraId="655551C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617</w:t>
            </w:r>
          </w:p>
        </w:tc>
        <w:tc>
          <w:tcPr>
            <w:tcW w:w="672" w:type="pct"/>
            <w:vAlign w:val="bottom"/>
          </w:tcPr>
          <w:p w14:paraId="152F528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710</w:t>
            </w:r>
          </w:p>
        </w:tc>
        <w:tc>
          <w:tcPr>
            <w:tcW w:w="672" w:type="pct"/>
            <w:vAlign w:val="bottom"/>
          </w:tcPr>
          <w:p w14:paraId="537DDBF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816</w:t>
            </w:r>
          </w:p>
        </w:tc>
        <w:tc>
          <w:tcPr>
            <w:tcW w:w="672" w:type="pct"/>
            <w:vAlign w:val="bottom"/>
          </w:tcPr>
          <w:p w14:paraId="1E6C3AD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939</w:t>
            </w:r>
          </w:p>
        </w:tc>
        <w:tc>
          <w:tcPr>
            <w:tcW w:w="671" w:type="pct"/>
            <w:vAlign w:val="bottom"/>
          </w:tcPr>
          <w:p w14:paraId="3919449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1,080</w:t>
            </w:r>
          </w:p>
        </w:tc>
      </w:tr>
      <w:tr w:rsidR="0008009D" w:rsidRPr="0087331E" w14:paraId="07CA4CB4" w14:textId="77777777" w:rsidTr="005B7F97">
        <w:tc>
          <w:tcPr>
            <w:tcW w:w="1641" w:type="pct"/>
          </w:tcPr>
          <w:p w14:paraId="698363D0"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Number of </w:t>
            </w:r>
            <w:r>
              <w:rPr>
                <w:rFonts w:ascii="Arial Narrow" w:hAnsi="Arial Narrow"/>
                <w:sz w:val="20"/>
                <w:szCs w:val="20"/>
              </w:rPr>
              <w:t>single</w:t>
            </w:r>
            <w:r w:rsidRPr="0087331E">
              <w:rPr>
                <w:rFonts w:ascii="Arial Narrow" w:hAnsi="Arial Narrow"/>
                <w:sz w:val="20"/>
                <w:szCs w:val="20"/>
              </w:rPr>
              <w:t xml:space="preserve"> mutation analyses</w:t>
            </w:r>
          </w:p>
        </w:tc>
        <w:tc>
          <w:tcPr>
            <w:tcW w:w="672" w:type="pct"/>
            <w:vAlign w:val="bottom"/>
          </w:tcPr>
          <w:p w14:paraId="709912E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3B76264B"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3EA7DC1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48B35E2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24310645"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5A3418DC" w14:textId="77777777" w:rsidTr="005B7F97">
        <w:tc>
          <w:tcPr>
            <w:tcW w:w="1641" w:type="pct"/>
          </w:tcPr>
          <w:p w14:paraId="76ED3B60" w14:textId="5FB05544"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DD3C90">
              <w:rPr>
                <w:rFonts w:ascii="Arial Narrow" w:hAnsi="Arial Narrow"/>
                <w:sz w:val="20"/>
                <w:szCs w:val="20"/>
              </w:rPr>
              <w:t xml:space="preserve">of </w:t>
            </w:r>
            <w:r w:rsidRPr="0087331E">
              <w:rPr>
                <w:rFonts w:ascii="Arial Narrow" w:hAnsi="Arial Narrow"/>
                <w:sz w:val="20"/>
                <w:szCs w:val="20"/>
              </w:rPr>
              <w:t>known mutation analys</w:t>
            </w:r>
            <w:r>
              <w:rPr>
                <w:rFonts w:ascii="Arial Narrow" w:hAnsi="Arial Narrow"/>
                <w:sz w:val="20"/>
                <w:szCs w:val="20"/>
              </w:rPr>
              <w:t>e</w:t>
            </w:r>
            <w:r w:rsidRPr="0087331E">
              <w:rPr>
                <w:rFonts w:ascii="Arial Narrow" w:hAnsi="Arial Narrow"/>
                <w:sz w:val="20"/>
                <w:szCs w:val="20"/>
              </w:rPr>
              <w:t>s</w:t>
            </w:r>
          </w:p>
        </w:tc>
        <w:tc>
          <w:tcPr>
            <w:tcW w:w="672" w:type="pct"/>
            <w:vAlign w:val="bottom"/>
          </w:tcPr>
          <w:p w14:paraId="060BD59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0F0E3503"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2F14732E"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3E93834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3C2107C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6B850C00" w14:textId="77777777" w:rsidTr="005B7F97">
        <w:tc>
          <w:tcPr>
            <w:tcW w:w="1641" w:type="pct"/>
          </w:tcPr>
          <w:p w14:paraId="1BAA9946"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common mutation panels</w:t>
            </w:r>
          </w:p>
        </w:tc>
        <w:tc>
          <w:tcPr>
            <w:tcW w:w="672" w:type="pct"/>
            <w:vAlign w:val="bottom"/>
          </w:tcPr>
          <w:p w14:paraId="7AC6D4BD"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617</w:t>
            </w:r>
          </w:p>
        </w:tc>
        <w:tc>
          <w:tcPr>
            <w:tcW w:w="672" w:type="pct"/>
            <w:vAlign w:val="bottom"/>
          </w:tcPr>
          <w:p w14:paraId="38DC4D59"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710</w:t>
            </w:r>
          </w:p>
        </w:tc>
        <w:tc>
          <w:tcPr>
            <w:tcW w:w="672" w:type="pct"/>
            <w:vAlign w:val="bottom"/>
          </w:tcPr>
          <w:p w14:paraId="76901E6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816</w:t>
            </w:r>
          </w:p>
        </w:tc>
        <w:tc>
          <w:tcPr>
            <w:tcW w:w="672" w:type="pct"/>
            <w:vAlign w:val="bottom"/>
          </w:tcPr>
          <w:p w14:paraId="11EA6148"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939</w:t>
            </w:r>
          </w:p>
        </w:tc>
        <w:tc>
          <w:tcPr>
            <w:tcW w:w="671" w:type="pct"/>
            <w:vAlign w:val="bottom"/>
          </w:tcPr>
          <w:p w14:paraId="67A2CC5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1,080</w:t>
            </w:r>
          </w:p>
        </w:tc>
      </w:tr>
      <w:tr w:rsidR="0008009D" w:rsidRPr="0087331E" w14:paraId="273CAF3F" w14:textId="77777777" w:rsidTr="005B7F97">
        <w:tc>
          <w:tcPr>
            <w:tcW w:w="1641" w:type="pct"/>
          </w:tcPr>
          <w:p w14:paraId="6A2A4E43" w14:textId="08E75702"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DD3C90">
              <w:rPr>
                <w:rFonts w:ascii="Arial Narrow" w:hAnsi="Arial Narrow"/>
                <w:sz w:val="20"/>
                <w:szCs w:val="20"/>
              </w:rPr>
              <w:t xml:space="preserve">of </w:t>
            </w:r>
            <w:r w:rsidRPr="0087331E">
              <w:rPr>
                <w:rFonts w:ascii="Arial Narrow" w:hAnsi="Arial Narrow"/>
                <w:sz w:val="20"/>
                <w:szCs w:val="20"/>
              </w:rPr>
              <w:t>common mutation panel</w:t>
            </w:r>
            <w:r>
              <w:rPr>
                <w:rFonts w:ascii="Arial Narrow" w:hAnsi="Arial Narrow"/>
                <w:sz w:val="20"/>
                <w:szCs w:val="20"/>
              </w:rPr>
              <w:t>s</w:t>
            </w:r>
          </w:p>
        </w:tc>
        <w:tc>
          <w:tcPr>
            <w:tcW w:w="672" w:type="pct"/>
            <w:vAlign w:val="bottom"/>
          </w:tcPr>
          <w:p w14:paraId="740960B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$83,332</w:t>
            </w:r>
          </w:p>
        </w:tc>
        <w:tc>
          <w:tcPr>
            <w:tcW w:w="672" w:type="pct"/>
            <w:vAlign w:val="bottom"/>
          </w:tcPr>
          <w:p w14:paraId="26CF45E9"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$95,832</w:t>
            </w:r>
          </w:p>
        </w:tc>
        <w:tc>
          <w:tcPr>
            <w:tcW w:w="672" w:type="pct"/>
            <w:vAlign w:val="bottom"/>
          </w:tcPr>
          <w:p w14:paraId="78B9CCC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$110,207</w:t>
            </w:r>
          </w:p>
        </w:tc>
        <w:tc>
          <w:tcPr>
            <w:tcW w:w="672" w:type="pct"/>
            <w:vAlign w:val="bottom"/>
          </w:tcPr>
          <w:p w14:paraId="0AF256B9"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$126,738</w:t>
            </w:r>
          </w:p>
        </w:tc>
        <w:tc>
          <w:tcPr>
            <w:tcW w:w="671" w:type="pct"/>
            <w:vAlign w:val="bottom"/>
          </w:tcPr>
          <w:p w14:paraId="0DF5BC1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3D5E01">
              <w:rPr>
                <w:rFonts w:ascii="Arial Narrow" w:hAnsi="Arial Narrow"/>
                <w:sz w:val="20"/>
                <w:szCs w:val="20"/>
              </w:rPr>
              <w:t>$145,749</w:t>
            </w:r>
          </w:p>
        </w:tc>
      </w:tr>
      <w:tr w:rsidR="0008009D" w:rsidRPr="0087331E" w14:paraId="7622D95C" w14:textId="77777777" w:rsidTr="005B7F97">
        <w:tc>
          <w:tcPr>
            <w:tcW w:w="1641" w:type="pct"/>
          </w:tcPr>
          <w:p w14:paraId="5E1BB9E9" w14:textId="7777777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Number of whole gene screens</w:t>
            </w:r>
          </w:p>
        </w:tc>
        <w:tc>
          <w:tcPr>
            <w:tcW w:w="672" w:type="pct"/>
            <w:vAlign w:val="bottom"/>
          </w:tcPr>
          <w:p w14:paraId="68B7F80F"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74B43E2C"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41C21F5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4F380752"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337DA4AA"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68230C91" w14:textId="77777777" w:rsidTr="005B7F97">
        <w:tc>
          <w:tcPr>
            <w:tcW w:w="1641" w:type="pct"/>
          </w:tcPr>
          <w:p w14:paraId="31F982D4" w14:textId="4B8DD6D7" w:rsidR="0008009D" w:rsidRPr="0087331E" w:rsidRDefault="0008009D" w:rsidP="005B7F97">
            <w:pPr>
              <w:spacing w:before="40" w:after="40" w:line="240" w:lineRule="auto"/>
              <w:rPr>
                <w:rFonts w:ascii="Arial Narrow" w:hAnsi="Arial Narrow"/>
                <w:sz w:val="20"/>
                <w:szCs w:val="20"/>
              </w:rPr>
            </w:pPr>
            <w:r w:rsidRPr="0087331E">
              <w:rPr>
                <w:rFonts w:ascii="Arial Narrow" w:hAnsi="Arial Narrow"/>
                <w:sz w:val="20"/>
                <w:szCs w:val="20"/>
              </w:rPr>
              <w:t xml:space="preserve">Cost </w:t>
            </w:r>
            <w:r w:rsidR="00DD3C90">
              <w:rPr>
                <w:rFonts w:ascii="Arial Narrow" w:hAnsi="Arial Narrow"/>
                <w:sz w:val="20"/>
                <w:szCs w:val="20"/>
              </w:rPr>
              <w:t xml:space="preserve">of </w:t>
            </w:r>
            <w:r w:rsidRPr="0087331E">
              <w:rPr>
                <w:rFonts w:ascii="Arial Narrow" w:hAnsi="Arial Narrow"/>
                <w:sz w:val="20"/>
                <w:szCs w:val="20"/>
              </w:rPr>
              <w:t>whole gene screen</w:t>
            </w:r>
            <w:r>
              <w:rPr>
                <w:rFonts w:ascii="Arial Narrow" w:hAnsi="Arial Narrow"/>
                <w:sz w:val="20"/>
                <w:szCs w:val="20"/>
              </w:rPr>
              <w:t>s</w:t>
            </w:r>
          </w:p>
        </w:tc>
        <w:tc>
          <w:tcPr>
            <w:tcW w:w="672" w:type="pct"/>
            <w:vAlign w:val="bottom"/>
          </w:tcPr>
          <w:p w14:paraId="4C1CC1C7"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0642C311"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4A421980"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2" w:type="pct"/>
            <w:vAlign w:val="bottom"/>
          </w:tcPr>
          <w:p w14:paraId="64D9116C"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c>
          <w:tcPr>
            <w:tcW w:w="671" w:type="pct"/>
            <w:vAlign w:val="bottom"/>
          </w:tcPr>
          <w:p w14:paraId="767E58D6" w14:textId="77777777" w:rsidR="0008009D" w:rsidRPr="0087331E" w:rsidRDefault="0008009D" w:rsidP="004566DC">
            <w:pPr>
              <w:spacing w:before="40" w:after="40" w:line="240" w:lineRule="auto"/>
              <w:ind w:right="121"/>
              <w:jc w:val="right"/>
              <w:rPr>
                <w:rFonts w:ascii="Arial Narrow" w:eastAsia="Times New Roman" w:hAnsi="Arial Narrow"/>
                <w:sz w:val="20"/>
                <w:szCs w:val="20"/>
                <w:lang w:eastAsia="en-AU"/>
              </w:rPr>
            </w:pPr>
            <w:r w:rsidRPr="0087331E">
              <w:rPr>
                <w:rFonts w:ascii="Arial Narrow" w:hAnsi="Arial Narrow"/>
                <w:sz w:val="20"/>
                <w:szCs w:val="20"/>
              </w:rPr>
              <w:t>$0</w:t>
            </w:r>
          </w:p>
        </w:tc>
      </w:tr>
      <w:tr w:rsidR="0008009D" w:rsidRPr="0087331E" w14:paraId="292FD0E0" w14:textId="77777777" w:rsidTr="005B7F97">
        <w:tc>
          <w:tcPr>
            <w:tcW w:w="1641" w:type="pct"/>
          </w:tcPr>
          <w:p w14:paraId="23A5F636" w14:textId="77777777" w:rsidR="0008009D" w:rsidRPr="0087331E" w:rsidRDefault="0008009D" w:rsidP="005B7F97">
            <w:pPr>
              <w:spacing w:before="40" w:after="40" w:line="240" w:lineRule="auto"/>
              <w:rPr>
                <w:rFonts w:ascii="Arial Narrow" w:hAnsi="Arial Narrow"/>
                <w:b/>
                <w:sz w:val="20"/>
                <w:szCs w:val="20"/>
              </w:rPr>
            </w:pPr>
            <w:r w:rsidRPr="0087331E">
              <w:rPr>
                <w:rFonts w:ascii="Arial Narrow" w:hAnsi="Arial Narrow"/>
                <w:b/>
                <w:sz w:val="20"/>
                <w:szCs w:val="20"/>
              </w:rPr>
              <w:t>Total cost</w:t>
            </w:r>
          </w:p>
        </w:tc>
        <w:tc>
          <w:tcPr>
            <w:tcW w:w="672" w:type="pct"/>
            <w:vAlign w:val="bottom"/>
          </w:tcPr>
          <w:p w14:paraId="30E33FCC" w14:textId="77777777" w:rsidR="0008009D" w:rsidRPr="003B5817"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$83,332</w:t>
            </w:r>
          </w:p>
        </w:tc>
        <w:tc>
          <w:tcPr>
            <w:tcW w:w="672" w:type="pct"/>
            <w:vAlign w:val="bottom"/>
          </w:tcPr>
          <w:p w14:paraId="19134835" w14:textId="77777777" w:rsidR="0008009D" w:rsidRPr="003B5817"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$95,832</w:t>
            </w:r>
          </w:p>
        </w:tc>
        <w:tc>
          <w:tcPr>
            <w:tcW w:w="672" w:type="pct"/>
            <w:vAlign w:val="bottom"/>
          </w:tcPr>
          <w:p w14:paraId="13C5DD97" w14:textId="77777777" w:rsidR="0008009D" w:rsidRPr="003B5817"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$110,207</w:t>
            </w:r>
          </w:p>
        </w:tc>
        <w:tc>
          <w:tcPr>
            <w:tcW w:w="672" w:type="pct"/>
            <w:vAlign w:val="bottom"/>
          </w:tcPr>
          <w:p w14:paraId="28D2B682" w14:textId="77777777" w:rsidR="0008009D" w:rsidRPr="003B5817"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$126,738</w:t>
            </w:r>
          </w:p>
        </w:tc>
        <w:tc>
          <w:tcPr>
            <w:tcW w:w="671" w:type="pct"/>
            <w:vAlign w:val="bottom"/>
          </w:tcPr>
          <w:p w14:paraId="36B06C19" w14:textId="77777777" w:rsidR="0008009D" w:rsidRPr="003B5817" w:rsidRDefault="0008009D" w:rsidP="004566DC">
            <w:pPr>
              <w:spacing w:before="40" w:after="40" w:line="240" w:lineRule="auto"/>
              <w:ind w:right="121"/>
              <w:jc w:val="right"/>
              <w:rPr>
                <w:rFonts w:ascii="Arial Narrow" w:eastAsia="Times New Roman" w:hAnsi="Arial Narrow"/>
                <w:b/>
                <w:sz w:val="20"/>
                <w:szCs w:val="20"/>
                <w:lang w:eastAsia="en-AU"/>
              </w:rPr>
            </w:pPr>
            <w:r w:rsidRPr="003D5E01">
              <w:rPr>
                <w:rFonts w:ascii="Arial Narrow" w:hAnsi="Arial Narrow"/>
                <w:b/>
                <w:sz w:val="20"/>
                <w:szCs w:val="20"/>
              </w:rPr>
              <w:t>$145,749</w:t>
            </w:r>
          </w:p>
        </w:tc>
      </w:tr>
    </w:tbl>
    <w:p w14:paraId="2A6CFA64" w14:textId="7AC8E556" w:rsidR="0008009D" w:rsidRPr="0087331E" w:rsidRDefault="0008009D" w:rsidP="004566DC">
      <w:pPr>
        <w:pStyle w:val="TableNotes"/>
        <w:spacing w:after="0" w:line="240" w:lineRule="auto"/>
        <w:ind w:left="0"/>
        <w:rPr>
          <w:sz w:val="18"/>
          <w:szCs w:val="18"/>
        </w:rPr>
      </w:pPr>
      <w:r w:rsidRPr="004566DC">
        <w:rPr>
          <w:sz w:val="18"/>
          <w:szCs w:val="18"/>
          <w:vertAlign w:val="superscript"/>
        </w:rPr>
        <w:t>a</w:t>
      </w:r>
      <w:r w:rsidRPr="0087331E">
        <w:rPr>
          <w:sz w:val="18"/>
          <w:szCs w:val="18"/>
        </w:rPr>
        <w:t xml:space="preserve"> From </w:t>
      </w:r>
      <w:r w:rsidRPr="0087331E">
        <w:rPr>
          <w:sz w:val="18"/>
          <w:szCs w:val="18"/>
        </w:rPr>
        <w:fldChar w:fldCharType="begin"/>
      </w:r>
      <w:r w:rsidRPr="0087331E">
        <w:rPr>
          <w:sz w:val="18"/>
          <w:szCs w:val="18"/>
        </w:rPr>
        <w:instrText xml:space="preserve"> REF _Ref413931707 \h  \* MERGEFORMAT </w:instrText>
      </w:r>
      <w:r w:rsidRPr="0087331E">
        <w:rPr>
          <w:sz w:val="18"/>
          <w:szCs w:val="18"/>
        </w:rPr>
      </w:r>
      <w:r w:rsidRPr="0087331E">
        <w:rPr>
          <w:sz w:val="18"/>
          <w:szCs w:val="18"/>
        </w:rPr>
        <w:fldChar w:fldCharType="separate"/>
      </w:r>
      <w:r w:rsidR="00BB0E3E" w:rsidRPr="00BB0E3E">
        <w:rPr>
          <w:sz w:val="18"/>
          <w:szCs w:val="18"/>
        </w:rPr>
        <w:t>Table 74</w:t>
      </w:r>
      <w:r w:rsidRPr="0087331E">
        <w:rPr>
          <w:sz w:val="18"/>
          <w:szCs w:val="18"/>
        </w:rPr>
        <w:fldChar w:fldCharType="end"/>
      </w:r>
      <w:r w:rsidRPr="0087331E">
        <w:rPr>
          <w:sz w:val="18"/>
          <w:szCs w:val="18"/>
        </w:rPr>
        <w:tab/>
      </w:r>
    </w:p>
    <w:p w14:paraId="31CEA013" w14:textId="250DCEEE" w:rsidR="0008009D" w:rsidRDefault="00FD37D3" w:rsidP="004566DC">
      <w:pPr>
        <w:pStyle w:val="TableNotes"/>
        <w:spacing w:after="0" w:line="240" w:lineRule="auto"/>
        <w:ind w:left="0"/>
        <w:rPr>
          <w:sz w:val="18"/>
          <w:szCs w:val="18"/>
        </w:rPr>
      </w:pPr>
      <w:r w:rsidRPr="00FD37D3">
        <w:rPr>
          <w:sz w:val="18"/>
          <w:szCs w:val="18"/>
        </w:rPr>
        <w:t>CFTR</w:t>
      </w:r>
      <w:r w:rsidR="0008009D" w:rsidRPr="0087331E">
        <w:rPr>
          <w:sz w:val="18"/>
          <w:szCs w:val="18"/>
        </w:rPr>
        <w:t xml:space="preserve"> = </w:t>
      </w:r>
      <w:r w:rsidR="007A005E">
        <w:rPr>
          <w:sz w:val="18"/>
          <w:szCs w:val="18"/>
        </w:rPr>
        <w:t>cystic fibrosis transmembrane conductance r</w:t>
      </w:r>
      <w:r w:rsidR="007A005E" w:rsidRPr="0087331E">
        <w:rPr>
          <w:sz w:val="18"/>
          <w:szCs w:val="18"/>
        </w:rPr>
        <w:t>egulator</w:t>
      </w:r>
      <w:r w:rsidR="0008009D">
        <w:rPr>
          <w:sz w:val="18"/>
          <w:szCs w:val="18"/>
        </w:rPr>
        <w:t>; MBS</w:t>
      </w:r>
      <w:r w:rsidR="007A005E">
        <w:rPr>
          <w:sz w:val="18"/>
          <w:szCs w:val="18"/>
        </w:rPr>
        <w:t xml:space="preserve"> </w:t>
      </w:r>
      <w:r w:rsidR="0008009D">
        <w:rPr>
          <w:sz w:val="18"/>
          <w:szCs w:val="18"/>
        </w:rPr>
        <w:t>=</w:t>
      </w:r>
      <w:r w:rsidR="007A005E">
        <w:rPr>
          <w:sz w:val="18"/>
          <w:szCs w:val="18"/>
        </w:rPr>
        <w:t xml:space="preserve"> </w:t>
      </w:r>
      <w:r w:rsidR="0008009D">
        <w:rPr>
          <w:sz w:val="18"/>
          <w:szCs w:val="18"/>
        </w:rPr>
        <w:t>Medicare Benefits Schedule</w:t>
      </w:r>
    </w:p>
    <w:p w14:paraId="5EDFD942" w14:textId="77777777" w:rsidR="006C0851" w:rsidRPr="00FC5EA8" w:rsidRDefault="008F59A8" w:rsidP="001A4A46">
      <w:pPr>
        <w:pStyle w:val="Heading1"/>
      </w:pPr>
      <w:bookmarkStart w:id="643" w:name="_Toc418179990"/>
      <w:r w:rsidRPr="00FC5EA8">
        <w:lastRenderedPageBreak/>
        <w:t>References</w:t>
      </w:r>
      <w:bookmarkEnd w:id="629"/>
      <w:bookmarkEnd w:id="630"/>
      <w:bookmarkEnd w:id="643"/>
      <w:r w:rsidRPr="00FC5EA8">
        <w:t xml:space="preserve"> </w:t>
      </w:r>
    </w:p>
    <w:p w14:paraId="588332BB" w14:textId="28E6FD09" w:rsidR="00B46ABF" w:rsidRPr="004566DC" w:rsidRDefault="002D6F40" w:rsidP="000C5D58">
      <w:pPr>
        <w:pStyle w:val="details"/>
      </w:pPr>
      <w:r w:rsidRPr="00FC5EA8">
        <w:rPr>
          <w:rFonts w:eastAsiaTheme="minorHAnsi"/>
          <w:noProof/>
          <w:lang w:val="en-US" w:eastAsia="en-US"/>
        </w:rPr>
        <w:fldChar w:fldCharType="begin"/>
      </w:r>
      <w:r w:rsidRPr="004566DC">
        <w:instrText xml:space="preserve"> ADDIN EN.REFLIST </w:instrText>
      </w:r>
      <w:r w:rsidRPr="00FC5EA8">
        <w:rPr>
          <w:rFonts w:eastAsiaTheme="minorHAnsi"/>
          <w:noProof/>
          <w:lang w:val="en-US" w:eastAsia="en-US"/>
        </w:rPr>
        <w:fldChar w:fldCharType="separate"/>
      </w:r>
      <w:bookmarkStart w:id="644" w:name="_ENREF_1"/>
      <w:r w:rsidR="00B46ABF" w:rsidRPr="004566DC">
        <w:t xml:space="preserve">Akolekar, R, Beta, J, Picciarelli, G, Ogilvie, C &amp; D'Antonio, F 2015, 'Procedure-related risk of miscarriage following amniocentesis and chorionic villus sampling: a systematic review and meta-analysis', </w:t>
      </w:r>
      <w:r w:rsidR="00B46ABF" w:rsidRPr="004566DC">
        <w:rPr>
          <w:i/>
        </w:rPr>
        <w:t xml:space="preserve">Ultrasound </w:t>
      </w:r>
      <w:r w:rsidR="002B3527">
        <w:rPr>
          <w:i/>
        </w:rPr>
        <w:t xml:space="preserve">in </w:t>
      </w:r>
      <w:r w:rsidR="00B46ABF" w:rsidRPr="004566DC">
        <w:rPr>
          <w:i/>
        </w:rPr>
        <w:t>Obstet</w:t>
      </w:r>
      <w:r w:rsidR="002B3527">
        <w:rPr>
          <w:i/>
        </w:rPr>
        <w:t>rics &amp;</w:t>
      </w:r>
      <w:r w:rsidR="00B46ABF" w:rsidRPr="004566DC">
        <w:rPr>
          <w:i/>
        </w:rPr>
        <w:t xml:space="preserve"> Gynecol</w:t>
      </w:r>
      <w:r w:rsidR="002B3527">
        <w:rPr>
          <w:i/>
        </w:rPr>
        <w:t>ogy</w:t>
      </w:r>
      <w:r w:rsidR="00B46ABF" w:rsidRPr="004566DC">
        <w:t>, vol. 45, no. 1, pp. 16</w:t>
      </w:r>
      <w:r w:rsidR="00212776">
        <w:t>–</w:t>
      </w:r>
      <w:r w:rsidR="00B46ABF" w:rsidRPr="004566DC">
        <w:t>26.</w:t>
      </w:r>
    </w:p>
    <w:p w14:paraId="7B4CBE87" w14:textId="72A0DEF9" w:rsidR="00B46ABF" w:rsidRPr="004566DC" w:rsidRDefault="00B46ABF" w:rsidP="00B46ABF">
      <w:pPr>
        <w:pStyle w:val="EndNoteBibliography"/>
        <w:rPr>
          <w:rFonts w:ascii="Calibri" w:hAnsi="Calibri"/>
        </w:rPr>
      </w:pPr>
      <w:bookmarkStart w:id="645" w:name="_ENREF_2"/>
      <w:bookmarkEnd w:id="644"/>
      <w:r w:rsidRPr="004566DC">
        <w:rPr>
          <w:rFonts w:ascii="Calibri" w:hAnsi="Calibri"/>
        </w:rPr>
        <w:t xml:space="preserve">Aksoy, S 2001, 'Antenatal screening and its possible meaning from unborn baby's perspective', </w:t>
      </w:r>
      <w:r w:rsidRPr="004566DC">
        <w:rPr>
          <w:rFonts w:ascii="Calibri" w:hAnsi="Calibri"/>
          <w:i/>
        </w:rPr>
        <w:t xml:space="preserve">BMC </w:t>
      </w:r>
      <w:r w:rsidR="00212776">
        <w:rPr>
          <w:rFonts w:ascii="Calibri" w:hAnsi="Calibri"/>
          <w:i/>
        </w:rPr>
        <w:t>M</w:t>
      </w:r>
      <w:r w:rsidRPr="004566DC">
        <w:rPr>
          <w:rFonts w:ascii="Calibri" w:hAnsi="Calibri"/>
          <w:i/>
        </w:rPr>
        <w:t xml:space="preserve">edical </w:t>
      </w:r>
      <w:r w:rsidR="00212776">
        <w:rPr>
          <w:rFonts w:ascii="Calibri" w:hAnsi="Calibri"/>
          <w:i/>
        </w:rPr>
        <w:t>E</w:t>
      </w:r>
      <w:r w:rsidRPr="004566DC">
        <w:rPr>
          <w:rFonts w:ascii="Calibri" w:hAnsi="Calibri"/>
          <w:i/>
        </w:rPr>
        <w:t>thics</w:t>
      </w:r>
      <w:r w:rsidRPr="004566DC">
        <w:rPr>
          <w:rFonts w:ascii="Calibri" w:hAnsi="Calibri"/>
        </w:rPr>
        <w:t>, vol. 2, p. E3.</w:t>
      </w:r>
    </w:p>
    <w:p w14:paraId="09671830" w14:textId="2096E5A7" w:rsidR="00B46ABF" w:rsidRPr="004566DC" w:rsidRDefault="00B46ABF" w:rsidP="00B46ABF">
      <w:pPr>
        <w:pStyle w:val="EndNoteBibliography"/>
        <w:rPr>
          <w:rFonts w:ascii="Calibri" w:hAnsi="Calibri"/>
        </w:rPr>
      </w:pPr>
      <w:bookmarkStart w:id="646" w:name="_ENREF_3"/>
      <w:bookmarkEnd w:id="645"/>
      <w:r w:rsidRPr="004566DC">
        <w:rPr>
          <w:rFonts w:ascii="Calibri" w:hAnsi="Calibri"/>
        </w:rPr>
        <w:t xml:space="preserve">Alfirevic, Z, Mujezinovic, F &amp; Sundberg, K 2003, </w:t>
      </w:r>
      <w:r w:rsidRPr="004566DC">
        <w:rPr>
          <w:rFonts w:ascii="Calibri" w:hAnsi="Calibri"/>
          <w:i/>
        </w:rPr>
        <w:t>Amniocentesis and chorionic villus sampling for prenatal diagnosis</w:t>
      </w:r>
      <w:r w:rsidRPr="004566DC">
        <w:rPr>
          <w:rFonts w:ascii="Calibri" w:hAnsi="Calibri"/>
        </w:rPr>
        <w:t xml:space="preserve">, </w:t>
      </w:r>
      <w:r w:rsidR="00863140">
        <w:rPr>
          <w:rFonts w:ascii="Calibri" w:hAnsi="Calibri"/>
        </w:rPr>
        <w:t>Issue 3,</w:t>
      </w:r>
      <w:r w:rsidRPr="004566DC">
        <w:rPr>
          <w:rFonts w:ascii="Calibri" w:hAnsi="Calibri"/>
        </w:rPr>
        <w:t xml:space="preserve"> Art. No.: CD003252, Cochrane Database of Systematic Reviews, TC Collaboration.</w:t>
      </w:r>
    </w:p>
    <w:p w14:paraId="1E65C195" w14:textId="70F9CCE4" w:rsidR="00B46ABF" w:rsidRPr="004566DC" w:rsidRDefault="00B46ABF" w:rsidP="00B46ABF">
      <w:pPr>
        <w:pStyle w:val="EndNoteBibliography"/>
        <w:rPr>
          <w:rFonts w:ascii="Calibri" w:hAnsi="Calibri"/>
        </w:rPr>
      </w:pPr>
      <w:bookmarkStart w:id="647" w:name="_ENREF_4"/>
      <w:bookmarkEnd w:id="646"/>
      <w:r w:rsidRPr="004566DC">
        <w:rPr>
          <w:rFonts w:ascii="Calibri" w:hAnsi="Calibri"/>
        </w:rPr>
        <w:t xml:space="preserve">ALRC 2003, </w:t>
      </w:r>
      <w:r w:rsidRPr="004566DC">
        <w:rPr>
          <w:rFonts w:ascii="Calibri" w:hAnsi="Calibri"/>
          <w:i/>
        </w:rPr>
        <w:t xml:space="preserve">Essentially </w:t>
      </w:r>
      <w:r w:rsidR="00863140">
        <w:rPr>
          <w:rFonts w:ascii="Calibri" w:hAnsi="Calibri"/>
          <w:i/>
        </w:rPr>
        <w:t>y</w:t>
      </w:r>
      <w:r w:rsidRPr="004566DC">
        <w:rPr>
          <w:rFonts w:ascii="Calibri" w:hAnsi="Calibri"/>
          <w:i/>
        </w:rPr>
        <w:t xml:space="preserve">ours: </w:t>
      </w:r>
      <w:r w:rsidR="00863140">
        <w:rPr>
          <w:rFonts w:ascii="Calibri" w:hAnsi="Calibri"/>
          <w:i/>
        </w:rPr>
        <w:t>t</w:t>
      </w:r>
      <w:r w:rsidRPr="004566DC">
        <w:rPr>
          <w:rFonts w:ascii="Calibri" w:hAnsi="Calibri"/>
          <w:i/>
        </w:rPr>
        <w:t xml:space="preserve">he </w:t>
      </w:r>
      <w:r w:rsidR="00863140">
        <w:rPr>
          <w:rFonts w:ascii="Calibri" w:hAnsi="Calibri"/>
          <w:i/>
        </w:rPr>
        <w:t>p</w:t>
      </w:r>
      <w:r w:rsidRPr="004566DC">
        <w:rPr>
          <w:rFonts w:ascii="Calibri" w:hAnsi="Calibri"/>
          <w:i/>
        </w:rPr>
        <w:t xml:space="preserve">rotection of </w:t>
      </w:r>
      <w:r w:rsidR="00863140">
        <w:rPr>
          <w:rFonts w:ascii="Calibri" w:hAnsi="Calibri"/>
          <w:i/>
        </w:rPr>
        <w:t>h</w:t>
      </w:r>
      <w:r w:rsidRPr="004566DC">
        <w:rPr>
          <w:rFonts w:ascii="Calibri" w:hAnsi="Calibri"/>
          <w:i/>
        </w:rPr>
        <w:t xml:space="preserve">uman </w:t>
      </w:r>
      <w:r w:rsidR="00863140">
        <w:rPr>
          <w:rFonts w:ascii="Calibri" w:hAnsi="Calibri"/>
          <w:i/>
        </w:rPr>
        <w:t>g</w:t>
      </w:r>
      <w:r w:rsidRPr="004566DC">
        <w:rPr>
          <w:rFonts w:ascii="Calibri" w:hAnsi="Calibri"/>
          <w:i/>
        </w:rPr>
        <w:t xml:space="preserve">enetic </w:t>
      </w:r>
      <w:r w:rsidR="00863140">
        <w:rPr>
          <w:rFonts w:ascii="Calibri" w:hAnsi="Calibri"/>
          <w:i/>
        </w:rPr>
        <w:t>i</w:t>
      </w:r>
      <w:r w:rsidRPr="004566DC">
        <w:rPr>
          <w:rFonts w:ascii="Calibri" w:hAnsi="Calibri"/>
          <w:i/>
        </w:rPr>
        <w:t>nformation in Australia (ALRC Report 96)</w:t>
      </w:r>
      <w:r w:rsidRPr="004566DC">
        <w:rPr>
          <w:rFonts w:ascii="Calibri" w:hAnsi="Calibri"/>
        </w:rPr>
        <w:t>, Australian Law Reform Commission, Canberra, viewed 3 February 2015, &lt;</w:t>
      </w:r>
      <w:hyperlink r:id="rId116" w:tooltip="link to ALRC 2003" w:history="1">
        <w:r w:rsidRPr="004566DC">
          <w:rPr>
            <w:rStyle w:val="Hyperlink"/>
            <w:rFonts w:ascii="Calibri" w:hAnsi="Calibri"/>
          </w:rPr>
          <w:t>http://www.alrc.gov.au/publications/report-96&gt;</w:t>
        </w:r>
      </w:hyperlink>
      <w:r w:rsidRPr="004566DC">
        <w:rPr>
          <w:rFonts w:ascii="Calibri" w:hAnsi="Calibri"/>
        </w:rPr>
        <w:t>.</w:t>
      </w:r>
    </w:p>
    <w:p w14:paraId="76575625" w14:textId="76568AED" w:rsidR="00B46ABF" w:rsidRPr="004566DC" w:rsidRDefault="00B46ABF" w:rsidP="00B46ABF">
      <w:pPr>
        <w:pStyle w:val="EndNoteBibliography"/>
        <w:rPr>
          <w:rFonts w:ascii="Calibri" w:hAnsi="Calibri"/>
        </w:rPr>
      </w:pPr>
      <w:bookmarkStart w:id="648" w:name="_ENREF_5"/>
      <w:bookmarkEnd w:id="647"/>
      <w:r w:rsidRPr="004566DC">
        <w:rPr>
          <w:rFonts w:ascii="Calibri" w:hAnsi="Calibri"/>
        </w:rPr>
        <w:t xml:space="preserve">Ameratunga, DM, Said, JM, Reidy, K &amp; Palma-Dias, R 2012, 'Perinatal outcomes following the ultrasound diagnosis of echogenic bowel: an Australian perspective', </w:t>
      </w:r>
      <w:r w:rsidRPr="004566DC">
        <w:rPr>
          <w:rFonts w:ascii="Calibri" w:hAnsi="Calibri"/>
          <w:i/>
        </w:rPr>
        <w:t>Fetal Diagn</w:t>
      </w:r>
      <w:r w:rsidR="00EB32CE">
        <w:rPr>
          <w:rFonts w:ascii="Calibri" w:hAnsi="Calibri"/>
          <w:i/>
        </w:rPr>
        <w:t>osis and</w:t>
      </w:r>
      <w:r w:rsidRPr="004566DC">
        <w:rPr>
          <w:rFonts w:ascii="Calibri" w:hAnsi="Calibri"/>
          <w:i/>
        </w:rPr>
        <w:t xml:space="preserve"> Ther</w:t>
      </w:r>
      <w:r w:rsidR="00EB32CE">
        <w:rPr>
          <w:rFonts w:ascii="Calibri" w:hAnsi="Calibri"/>
          <w:i/>
        </w:rPr>
        <w:t>apy</w:t>
      </w:r>
      <w:r w:rsidRPr="004566DC">
        <w:rPr>
          <w:rFonts w:ascii="Calibri" w:hAnsi="Calibri"/>
        </w:rPr>
        <w:t>, vol. 31, no. 3, pp. 179</w:t>
      </w:r>
      <w:r w:rsidR="00EB32CE">
        <w:rPr>
          <w:rFonts w:ascii="Calibri" w:hAnsi="Calibri"/>
        </w:rPr>
        <w:t>–</w:t>
      </w:r>
      <w:r w:rsidRPr="004566DC">
        <w:rPr>
          <w:rFonts w:ascii="Calibri" w:hAnsi="Calibri"/>
        </w:rPr>
        <w:t>184.</w:t>
      </w:r>
    </w:p>
    <w:p w14:paraId="049834C2" w14:textId="65823CA2" w:rsidR="00B46ABF" w:rsidRPr="004566DC" w:rsidRDefault="00B46ABF" w:rsidP="00B46ABF">
      <w:pPr>
        <w:pStyle w:val="EndNoteBibliography"/>
        <w:rPr>
          <w:rFonts w:asciiTheme="minorHAnsi" w:hAnsiTheme="minorHAnsi"/>
        </w:rPr>
      </w:pPr>
      <w:bookmarkStart w:id="649" w:name="_ENREF_6"/>
      <w:bookmarkEnd w:id="648"/>
      <w:r w:rsidRPr="004566DC">
        <w:rPr>
          <w:rFonts w:ascii="Calibri" w:hAnsi="Calibri"/>
        </w:rPr>
        <w:t xml:space="preserve">Andersen, S, Caron, L, Cleret de Langavant, G, Dondorp, W, Gabbay, J, Hagenfeldt, K, Harstall, C, Hofmann, B, Lopez-Argumedo, M &amp; Noorani, H 2005, </w:t>
      </w:r>
      <w:r w:rsidRPr="004566DC">
        <w:rPr>
          <w:rFonts w:ascii="Calibri" w:hAnsi="Calibri"/>
          <w:i/>
        </w:rPr>
        <w:t xml:space="preserve">INAHTA's </w:t>
      </w:r>
      <w:r w:rsidR="00DF0240">
        <w:rPr>
          <w:rFonts w:ascii="Calibri" w:hAnsi="Calibri"/>
          <w:i/>
        </w:rPr>
        <w:t>w</w:t>
      </w:r>
      <w:r w:rsidRPr="004566DC">
        <w:rPr>
          <w:rFonts w:ascii="Calibri" w:hAnsi="Calibri"/>
          <w:i/>
        </w:rPr>
        <w:t xml:space="preserve">orking </w:t>
      </w:r>
      <w:r w:rsidR="00DF0240">
        <w:rPr>
          <w:rFonts w:ascii="Calibri" w:hAnsi="Calibri"/>
          <w:i/>
        </w:rPr>
        <w:t>g</w:t>
      </w:r>
      <w:r w:rsidRPr="004566DC">
        <w:rPr>
          <w:rFonts w:ascii="Calibri" w:hAnsi="Calibri"/>
          <w:i/>
        </w:rPr>
        <w:t xml:space="preserve">roup </w:t>
      </w:r>
      <w:r w:rsidR="00DF0240">
        <w:rPr>
          <w:rFonts w:ascii="Calibri" w:hAnsi="Calibri"/>
          <w:i/>
        </w:rPr>
        <w:t>o</w:t>
      </w:r>
      <w:r w:rsidRPr="004566DC">
        <w:rPr>
          <w:rFonts w:ascii="Calibri" w:hAnsi="Calibri"/>
          <w:i/>
        </w:rPr>
        <w:t xml:space="preserve">n </w:t>
      </w:r>
      <w:r w:rsidR="00DF0240">
        <w:rPr>
          <w:rFonts w:ascii="Calibri" w:hAnsi="Calibri"/>
          <w:i/>
        </w:rPr>
        <w:t>h</w:t>
      </w:r>
      <w:r w:rsidRPr="004566DC">
        <w:rPr>
          <w:rFonts w:ascii="Calibri" w:hAnsi="Calibri"/>
          <w:i/>
        </w:rPr>
        <w:t xml:space="preserve">andling </w:t>
      </w:r>
      <w:r w:rsidR="00DF0240">
        <w:rPr>
          <w:rFonts w:ascii="Calibri" w:hAnsi="Calibri"/>
          <w:i/>
        </w:rPr>
        <w:t>e</w:t>
      </w:r>
      <w:r w:rsidRPr="004566DC">
        <w:rPr>
          <w:rFonts w:ascii="Calibri" w:hAnsi="Calibri"/>
          <w:i/>
        </w:rPr>
        <w:t xml:space="preserve">thical </w:t>
      </w:r>
      <w:r w:rsidR="00DF0240">
        <w:rPr>
          <w:rFonts w:ascii="Calibri" w:hAnsi="Calibri"/>
          <w:i/>
        </w:rPr>
        <w:t>i</w:t>
      </w:r>
      <w:r w:rsidRPr="004566DC">
        <w:rPr>
          <w:rFonts w:ascii="Calibri" w:hAnsi="Calibri"/>
          <w:i/>
        </w:rPr>
        <w:t>ssues</w:t>
      </w:r>
      <w:r w:rsidRPr="004566DC">
        <w:rPr>
          <w:rFonts w:ascii="Calibri" w:hAnsi="Calibri"/>
        </w:rPr>
        <w:t xml:space="preserve">, </w:t>
      </w:r>
      <w:r w:rsidR="006C32F0" w:rsidRPr="004566DC">
        <w:rPr>
          <w:rStyle w:val="st"/>
          <w:rFonts w:asciiTheme="minorHAnsi" w:hAnsiTheme="minorHAnsi"/>
        </w:rPr>
        <w:t>International Network of Agencies for Health Technology Assessment (</w:t>
      </w:r>
      <w:r w:rsidRPr="004566DC">
        <w:rPr>
          <w:rFonts w:asciiTheme="minorHAnsi" w:hAnsiTheme="minorHAnsi"/>
        </w:rPr>
        <w:t>INAHTA</w:t>
      </w:r>
      <w:r w:rsidR="006C32F0" w:rsidRPr="004566DC">
        <w:rPr>
          <w:rFonts w:asciiTheme="minorHAnsi" w:hAnsiTheme="minorHAnsi"/>
        </w:rPr>
        <w:t>)</w:t>
      </w:r>
      <w:r w:rsidRPr="004566DC">
        <w:rPr>
          <w:rFonts w:asciiTheme="minorHAnsi" w:hAnsiTheme="minorHAnsi"/>
        </w:rPr>
        <w:t>.</w:t>
      </w:r>
    </w:p>
    <w:p w14:paraId="095C26F6" w14:textId="1C692081" w:rsidR="00B46ABF" w:rsidRPr="004566DC" w:rsidRDefault="00B46ABF" w:rsidP="00B46ABF">
      <w:pPr>
        <w:pStyle w:val="EndNoteBibliography"/>
        <w:rPr>
          <w:rFonts w:ascii="Calibri" w:hAnsi="Calibri"/>
        </w:rPr>
      </w:pPr>
      <w:bookmarkStart w:id="650" w:name="_ENREF_7"/>
      <w:bookmarkEnd w:id="649"/>
      <w:r w:rsidRPr="004566DC">
        <w:rPr>
          <w:rFonts w:ascii="Calibri" w:hAnsi="Calibri"/>
        </w:rPr>
        <w:t xml:space="preserve">Archibald, AD, Massie, J, Smith, MJ, Dalton, DG, du Sart, D &amp; Amor, DJ 2014, 'Population-based genetic carrier screening for cystic fibrosis in Victoria', </w:t>
      </w:r>
      <w:r w:rsidRPr="004566DC">
        <w:rPr>
          <w:rFonts w:ascii="Calibri" w:hAnsi="Calibri"/>
          <w:i/>
        </w:rPr>
        <w:t>Med</w:t>
      </w:r>
      <w:r w:rsidR="0049712F">
        <w:rPr>
          <w:rFonts w:ascii="Calibri" w:hAnsi="Calibri"/>
          <w:i/>
        </w:rPr>
        <w:t>ical</w:t>
      </w:r>
      <w:r w:rsidRPr="004566DC">
        <w:rPr>
          <w:rFonts w:ascii="Calibri" w:hAnsi="Calibri"/>
          <w:i/>
        </w:rPr>
        <w:t xml:space="preserve"> J</w:t>
      </w:r>
      <w:r w:rsidR="0049712F">
        <w:rPr>
          <w:rFonts w:ascii="Calibri" w:hAnsi="Calibri"/>
          <w:i/>
        </w:rPr>
        <w:t>ournal of</w:t>
      </w:r>
      <w:r w:rsidRPr="004566DC">
        <w:rPr>
          <w:rFonts w:ascii="Calibri" w:hAnsi="Calibri"/>
          <w:i/>
        </w:rPr>
        <w:t xml:space="preserve"> Aust</w:t>
      </w:r>
      <w:r w:rsidR="0049712F">
        <w:rPr>
          <w:rFonts w:ascii="Calibri" w:hAnsi="Calibri"/>
          <w:i/>
        </w:rPr>
        <w:t>ralia</w:t>
      </w:r>
      <w:r w:rsidRPr="004566DC">
        <w:rPr>
          <w:rFonts w:ascii="Calibri" w:hAnsi="Calibri"/>
        </w:rPr>
        <w:t>, vol. 200, no. 4, pp. 205</w:t>
      </w:r>
      <w:r w:rsidR="0049712F">
        <w:rPr>
          <w:rFonts w:ascii="Calibri" w:hAnsi="Calibri"/>
        </w:rPr>
        <w:t>–</w:t>
      </w:r>
      <w:r w:rsidRPr="004566DC">
        <w:rPr>
          <w:rFonts w:ascii="Calibri" w:hAnsi="Calibri"/>
        </w:rPr>
        <w:t>206.</w:t>
      </w:r>
    </w:p>
    <w:p w14:paraId="15E311FC" w14:textId="77777777" w:rsidR="00B46ABF" w:rsidRPr="004566DC" w:rsidRDefault="00B46ABF" w:rsidP="00B46ABF">
      <w:pPr>
        <w:pStyle w:val="EndNoteBibliography"/>
        <w:rPr>
          <w:rFonts w:ascii="Calibri" w:hAnsi="Calibri"/>
        </w:rPr>
      </w:pPr>
      <w:bookmarkStart w:id="651" w:name="_ENREF_8"/>
      <w:bookmarkEnd w:id="650"/>
      <w:r w:rsidRPr="004566DC">
        <w:rPr>
          <w:rFonts w:ascii="Calibri" w:hAnsi="Calibri"/>
        </w:rPr>
        <w:t xml:space="preserve">Armitage, P, Berry, G &amp; Matthews, JNS 2002, </w:t>
      </w:r>
      <w:r w:rsidRPr="004566DC">
        <w:rPr>
          <w:rFonts w:ascii="Calibri" w:hAnsi="Calibri"/>
          <w:i/>
        </w:rPr>
        <w:t>Statistical methods in medical research</w:t>
      </w:r>
      <w:r w:rsidRPr="004566DC">
        <w:rPr>
          <w:rFonts w:ascii="Calibri" w:hAnsi="Calibri"/>
        </w:rPr>
        <w:t>, fourth edn, Blackwell Science, Oxford.</w:t>
      </w:r>
    </w:p>
    <w:p w14:paraId="7039EE4C" w14:textId="78293626" w:rsidR="00B46ABF" w:rsidRPr="004566DC" w:rsidRDefault="00B46ABF" w:rsidP="00B46ABF">
      <w:pPr>
        <w:pStyle w:val="EndNoteBibliography"/>
        <w:rPr>
          <w:rFonts w:ascii="Calibri" w:hAnsi="Calibri"/>
        </w:rPr>
      </w:pPr>
      <w:bookmarkStart w:id="652" w:name="_ENREF_9"/>
      <w:bookmarkEnd w:id="651"/>
      <w:r w:rsidRPr="004566DC">
        <w:rPr>
          <w:rFonts w:ascii="Calibri" w:hAnsi="Calibri"/>
        </w:rPr>
        <w:t xml:space="preserve">Australian Bureau of Statistics 2014, </w:t>
      </w:r>
      <w:r w:rsidRPr="004566DC">
        <w:rPr>
          <w:rFonts w:ascii="Calibri" w:hAnsi="Calibri"/>
          <w:i/>
        </w:rPr>
        <w:t xml:space="preserve">3301.0 </w:t>
      </w:r>
      <w:r w:rsidR="00D82504">
        <w:rPr>
          <w:rFonts w:ascii="Calibri" w:hAnsi="Calibri"/>
          <w:i/>
        </w:rPr>
        <w:t>–</w:t>
      </w:r>
      <w:r w:rsidRPr="004566DC">
        <w:rPr>
          <w:rFonts w:ascii="Calibri" w:hAnsi="Calibri"/>
          <w:i/>
        </w:rPr>
        <w:t xml:space="preserve"> Births, Australia, 2013</w:t>
      </w:r>
      <w:r w:rsidRPr="004566DC">
        <w:rPr>
          <w:rFonts w:ascii="Calibri" w:hAnsi="Calibri"/>
        </w:rPr>
        <w:t>, Commonwealth of Australia, Canberra, viewed Mar</w:t>
      </w:r>
      <w:r w:rsidR="00E54B36" w:rsidRPr="004566DC">
        <w:rPr>
          <w:rFonts w:ascii="Calibri" w:hAnsi="Calibri"/>
        </w:rPr>
        <w:t>ch</w:t>
      </w:r>
      <w:r w:rsidRPr="004566DC">
        <w:rPr>
          <w:rFonts w:ascii="Calibri" w:hAnsi="Calibri"/>
        </w:rPr>
        <w:t xml:space="preserve"> 2015, &lt;</w:t>
      </w:r>
      <w:hyperlink r:id="rId117" w:tooltip="Link to Australian Bureau of Statistics" w:history="1">
        <w:r w:rsidRPr="004566DC">
          <w:rPr>
            <w:rStyle w:val="Hyperlink"/>
            <w:rFonts w:ascii="Calibri" w:hAnsi="Calibri"/>
          </w:rPr>
          <w:t>http://www.abs.gov.au/AUSSTATS/abs@.nsf/DetailsPage/3301.02013?OpenDocument&gt;</w:t>
        </w:r>
      </w:hyperlink>
      <w:r w:rsidRPr="004566DC">
        <w:rPr>
          <w:rFonts w:ascii="Calibri" w:hAnsi="Calibri"/>
        </w:rPr>
        <w:t>.</w:t>
      </w:r>
    </w:p>
    <w:p w14:paraId="78FE346E" w14:textId="036FD3C3" w:rsidR="00B46ABF" w:rsidRPr="004566DC" w:rsidRDefault="00B46ABF" w:rsidP="00B46ABF">
      <w:pPr>
        <w:pStyle w:val="EndNoteBibliography"/>
        <w:rPr>
          <w:rFonts w:ascii="Calibri" w:hAnsi="Calibri"/>
        </w:rPr>
      </w:pPr>
      <w:bookmarkStart w:id="653" w:name="_ENREF_10"/>
      <w:bookmarkEnd w:id="652"/>
      <w:r w:rsidRPr="004566DC">
        <w:rPr>
          <w:rFonts w:ascii="Calibri" w:hAnsi="Calibri"/>
        </w:rPr>
        <w:t xml:space="preserve">Axton, RA &amp; Brock, DJH 1995, 'A single-tube multiplex system for the simultaneous detection of 10 common cystic fibrosis mutations', </w:t>
      </w:r>
      <w:r w:rsidRPr="004566DC">
        <w:rPr>
          <w:rFonts w:ascii="Calibri" w:hAnsi="Calibri"/>
          <w:i/>
        </w:rPr>
        <w:t>Hum</w:t>
      </w:r>
      <w:r w:rsidR="00D82504">
        <w:rPr>
          <w:rFonts w:ascii="Calibri" w:hAnsi="Calibri"/>
          <w:i/>
        </w:rPr>
        <w:t>an</w:t>
      </w:r>
      <w:r w:rsidRPr="004566DC">
        <w:rPr>
          <w:rFonts w:ascii="Calibri" w:hAnsi="Calibri"/>
          <w:i/>
        </w:rPr>
        <w:t xml:space="preserve"> Mutat</w:t>
      </w:r>
      <w:r w:rsidR="00D82504">
        <w:rPr>
          <w:rFonts w:ascii="Calibri" w:hAnsi="Calibri"/>
          <w:i/>
        </w:rPr>
        <w:t>ion</w:t>
      </w:r>
      <w:r w:rsidRPr="004566DC">
        <w:rPr>
          <w:rFonts w:ascii="Calibri" w:hAnsi="Calibri"/>
        </w:rPr>
        <w:t>, vol. 5, no. 3, pp. 260</w:t>
      </w:r>
      <w:r w:rsidR="00D82504">
        <w:rPr>
          <w:rFonts w:ascii="Calibri" w:hAnsi="Calibri"/>
        </w:rPr>
        <w:t>–</w:t>
      </w:r>
      <w:r w:rsidRPr="004566DC">
        <w:rPr>
          <w:rFonts w:ascii="Calibri" w:hAnsi="Calibri"/>
        </w:rPr>
        <w:t>262.</w:t>
      </w:r>
    </w:p>
    <w:p w14:paraId="0CA9813C" w14:textId="741B970F" w:rsidR="00B46ABF" w:rsidRPr="004566DC" w:rsidRDefault="00B46ABF" w:rsidP="00B46ABF">
      <w:pPr>
        <w:pStyle w:val="EndNoteBibliography"/>
        <w:rPr>
          <w:rFonts w:ascii="Calibri" w:hAnsi="Calibri"/>
        </w:rPr>
      </w:pPr>
      <w:bookmarkStart w:id="654" w:name="_ENREF_11"/>
      <w:bookmarkEnd w:id="653"/>
      <w:r w:rsidRPr="004566DC">
        <w:rPr>
          <w:rFonts w:ascii="Calibri" w:hAnsi="Calibri"/>
        </w:rPr>
        <w:t xml:space="preserve">Bareil, C, Guittard, C, Altieri, JP, Templin, C, Claustres, M &amp; Des Georges, M 2007, 'Comprehensive and rapid genotyping of mutations and haplotypes in congenital bilateral absence of the vas deferens and other cystic fibrosis transmembrane conductance regulator-related disorders', </w:t>
      </w:r>
      <w:r w:rsidRPr="004566DC">
        <w:rPr>
          <w:rFonts w:ascii="Calibri" w:hAnsi="Calibri"/>
          <w:i/>
        </w:rPr>
        <w:t>Journal of Molecular Diagnostics</w:t>
      </w:r>
      <w:r w:rsidRPr="004566DC">
        <w:rPr>
          <w:rFonts w:ascii="Calibri" w:hAnsi="Calibri"/>
        </w:rPr>
        <w:t>, vol. 9, no. 5, pp. 582</w:t>
      </w:r>
      <w:r w:rsidR="009E5D53">
        <w:rPr>
          <w:rFonts w:ascii="Calibri" w:hAnsi="Calibri"/>
        </w:rPr>
        <w:t>–</w:t>
      </w:r>
      <w:r w:rsidRPr="004566DC">
        <w:rPr>
          <w:rFonts w:ascii="Calibri" w:hAnsi="Calibri"/>
        </w:rPr>
        <w:t>588.</w:t>
      </w:r>
    </w:p>
    <w:p w14:paraId="578BED26" w14:textId="79273B46" w:rsidR="00B46ABF" w:rsidRPr="004566DC" w:rsidRDefault="00B46ABF" w:rsidP="00B46ABF">
      <w:pPr>
        <w:pStyle w:val="EndNoteBibliography"/>
        <w:rPr>
          <w:rFonts w:ascii="Calibri" w:hAnsi="Calibri"/>
        </w:rPr>
      </w:pPr>
      <w:bookmarkStart w:id="655" w:name="_ENREF_12"/>
      <w:bookmarkEnd w:id="654"/>
      <w:r w:rsidRPr="004566DC">
        <w:rPr>
          <w:rFonts w:ascii="Calibri" w:hAnsi="Calibri"/>
        </w:rPr>
        <w:t xml:space="preserve">Beauchamp, TL &amp; Childress, JF 2001, </w:t>
      </w:r>
      <w:r w:rsidRPr="004566DC">
        <w:rPr>
          <w:rFonts w:ascii="Calibri" w:hAnsi="Calibri"/>
          <w:i/>
        </w:rPr>
        <w:t xml:space="preserve">Principles of </w:t>
      </w:r>
      <w:r w:rsidR="009E5D53">
        <w:rPr>
          <w:rFonts w:ascii="Calibri" w:hAnsi="Calibri"/>
          <w:i/>
        </w:rPr>
        <w:t>b</w:t>
      </w:r>
      <w:r w:rsidRPr="004566DC">
        <w:rPr>
          <w:rFonts w:ascii="Calibri" w:hAnsi="Calibri"/>
          <w:i/>
        </w:rPr>
        <w:t>iomedical</w:t>
      </w:r>
      <w:r w:rsidR="00614829">
        <w:rPr>
          <w:rFonts w:ascii="Calibri" w:hAnsi="Calibri"/>
          <w:i/>
        </w:rPr>
        <w:t xml:space="preserve"> e</w:t>
      </w:r>
      <w:r w:rsidRPr="004566DC">
        <w:rPr>
          <w:rFonts w:ascii="Calibri" w:hAnsi="Calibri"/>
          <w:i/>
        </w:rPr>
        <w:t>thics</w:t>
      </w:r>
      <w:r w:rsidRPr="004566DC">
        <w:rPr>
          <w:rFonts w:ascii="Calibri" w:hAnsi="Calibri"/>
        </w:rPr>
        <w:t xml:space="preserve">, </w:t>
      </w:r>
      <w:r w:rsidR="009E5D53">
        <w:rPr>
          <w:rFonts w:ascii="Calibri" w:hAnsi="Calibri"/>
        </w:rPr>
        <w:t>fif</w:t>
      </w:r>
      <w:r w:rsidRPr="004566DC">
        <w:rPr>
          <w:rFonts w:ascii="Calibri" w:hAnsi="Calibri"/>
        </w:rPr>
        <w:t>th edn, Oxford University Press, New York.</w:t>
      </w:r>
    </w:p>
    <w:p w14:paraId="05B59AC9" w14:textId="0958D9CF" w:rsidR="00B46ABF" w:rsidRPr="004566DC" w:rsidRDefault="00B46ABF" w:rsidP="00B46ABF">
      <w:pPr>
        <w:pStyle w:val="EndNoteBibliography"/>
        <w:rPr>
          <w:rFonts w:ascii="Calibri" w:hAnsi="Calibri"/>
        </w:rPr>
      </w:pPr>
      <w:bookmarkStart w:id="656" w:name="_ENREF_13"/>
      <w:bookmarkEnd w:id="655"/>
      <w:r w:rsidRPr="004566DC">
        <w:rPr>
          <w:rFonts w:ascii="Calibri" w:hAnsi="Calibri"/>
        </w:rPr>
        <w:lastRenderedPageBreak/>
        <w:t xml:space="preserve">Bell, SC, Bye, PT, Cooper, PJ, Martin, AJ, McKay, KO, Robinson, PJ, Ryan, GF &amp; Sims, GC 2011, 'Cystic fibrosis in Australia, 2009: results from a data registry', </w:t>
      </w:r>
      <w:r w:rsidRPr="004566DC">
        <w:rPr>
          <w:rFonts w:ascii="Calibri" w:hAnsi="Calibri"/>
          <w:i/>
        </w:rPr>
        <w:t>Med</w:t>
      </w:r>
      <w:r w:rsidR="009E5D53">
        <w:rPr>
          <w:rFonts w:ascii="Calibri" w:hAnsi="Calibri"/>
          <w:i/>
        </w:rPr>
        <w:t>ical</w:t>
      </w:r>
      <w:r w:rsidRPr="004566DC">
        <w:rPr>
          <w:rFonts w:ascii="Calibri" w:hAnsi="Calibri"/>
          <w:i/>
        </w:rPr>
        <w:t xml:space="preserve"> J</w:t>
      </w:r>
      <w:r w:rsidR="009E5D53">
        <w:rPr>
          <w:rFonts w:ascii="Calibri" w:hAnsi="Calibri"/>
          <w:i/>
        </w:rPr>
        <w:t>ournal of</w:t>
      </w:r>
      <w:r w:rsidRPr="004566DC">
        <w:rPr>
          <w:rFonts w:ascii="Calibri" w:hAnsi="Calibri"/>
          <w:i/>
        </w:rPr>
        <w:t xml:space="preserve"> Aust</w:t>
      </w:r>
      <w:r w:rsidR="009E5D53">
        <w:rPr>
          <w:rFonts w:ascii="Calibri" w:hAnsi="Calibri"/>
          <w:i/>
        </w:rPr>
        <w:t>ralia</w:t>
      </w:r>
      <w:r w:rsidRPr="004566DC">
        <w:rPr>
          <w:rFonts w:ascii="Calibri" w:hAnsi="Calibri"/>
        </w:rPr>
        <w:t>, vol. 195, no. 7, pp. 396</w:t>
      </w:r>
      <w:r w:rsidR="00344D51">
        <w:rPr>
          <w:rFonts w:ascii="Calibri" w:hAnsi="Calibri"/>
        </w:rPr>
        <w:t>–</w:t>
      </w:r>
      <w:r w:rsidRPr="004566DC">
        <w:rPr>
          <w:rFonts w:ascii="Calibri" w:hAnsi="Calibri"/>
        </w:rPr>
        <w:t>400.</w:t>
      </w:r>
    </w:p>
    <w:p w14:paraId="6C349A0D" w14:textId="30A8A0B5" w:rsidR="00B46ABF" w:rsidRPr="004566DC" w:rsidRDefault="00B46ABF" w:rsidP="00B46ABF">
      <w:pPr>
        <w:pStyle w:val="EndNoteBibliography"/>
        <w:rPr>
          <w:rFonts w:ascii="Calibri" w:hAnsi="Calibri"/>
        </w:rPr>
      </w:pPr>
      <w:bookmarkStart w:id="657" w:name="_ENREF_14"/>
      <w:bookmarkEnd w:id="656"/>
      <w:r w:rsidRPr="004566DC">
        <w:rPr>
          <w:rFonts w:ascii="Calibri" w:hAnsi="Calibri"/>
        </w:rPr>
        <w:t>Bernardino, ALF, Lima, CE &amp; Zatz, M 2003, 'Analysis of mutations in the cystic fibrosis transmembrane regulator (</w:t>
      </w:r>
      <w:r w:rsidRPr="004566DC">
        <w:rPr>
          <w:rFonts w:ascii="Calibri" w:hAnsi="Calibri"/>
          <w:i/>
        </w:rPr>
        <w:t>CFTR</w:t>
      </w:r>
      <w:r w:rsidRPr="004566DC">
        <w:rPr>
          <w:rFonts w:ascii="Calibri" w:hAnsi="Calibri"/>
        </w:rPr>
        <w:t xml:space="preserve">) gene in patients with obstructive azoospermia', </w:t>
      </w:r>
      <w:r w:rsidRPr="004566DC">
        <w:rPr>
          <w:rFonts w:ascii="Calibri" w:hAnsi="Calibri"/>
          <w:i/>
        </w:rPr>
        <w:t>Genetics and Molecular Biology</w:t>
      </w:r>
      <w:r w:rsidRPr="004566DC">
        <w:rPr>
          <w:rFonts w:ascii="Calibri" w:hAnsi="Calibri"/>
        </w:rPr>
        <w:t>, vol. 26, no. 1, pp. 1</w:t>
      </w:r>
      <w:r w:rsidR="00581574">
        <w:rPr>
          <w:rFonts w:ascii="Calibri" w:hAnsi="Calibri"/>
        </w:rPr>
        <w:t>–</w:t>
      </w:r>
      <w:r w:rsidRPr="004566DC">
        <w:rPr>
          <w:rFonts w:ascii="Calibri" w:hAnsi="Calibri"/>
        </w:rPr>
        <w:t>3.</w:t>
      </w:r>
    </w:p>
    <w:p w14:paraId="09383972" w14:textId="502A16AC" w:rsidR="00B46ABF" w:rsidRPr="004566DC" w:rsidRDefault="00B46ABF" w:rsidP="00B46ABF">
      <w:pPr>
        <w:pStyle w:val="EndNoteBibliography"/>
        <w:rPr>
          <w:rFonts w:ascii="Calibri" w:hAnsi="Calibri"/>
        </w:rPr>
      </w:pPr>
      <w:bookmarkStart w:id="658" w:name="_ENREF_15"/>
      <w:bookmarkEnd w:id="657"/>
      <w:r w:rsidRPr="004566DC">
        <w:rPr>
          <w:rFonts w:ascii="Calibri" w:hAnsi="Calibri"/>
        </w:rPr>
        <w:t xml:space="preserve">Bickmann, JK, Kamin, W, Wiebel, M, Häuser, F, Wenzel, JJ, Neukirch, C, Stuhrmann, M, Lackner, KJ &amp; Rossmann, H 2009, 'A novel approach to CFTR mutation testing by pyrosequencing-based assay panels adapted to ethnicities', </w:t>
      </w:r>
      <w:r w:rsidRPr="004566DC">
        <w:rPr>
          <w:rFonts w:ascii="Calibri" w:hAnsi="Calibri"/>
          <w:i/>
        </w:rPr>
        <w:t>Clinical Chemistry</w:t>
      </w:r>
      <w:r w:rsidRPr="004566DC">
        <w:rPr>
          <w:rFonts w:ascii="Calibri" w:hAnsi="Calibri"/>
        </w:rPr>
        <w:t>, vol. 55, no. 6, pp. 1083</w:t>
      </w:r>
      <w:r w:rsidR="002C71CD">
        <w:rPr>
          <w:rFonts w:ascii="Calibri" w:hAnsi="Calibri"/>
        </w:rPr>
        <w:t>–</w:t>
      </w:r>
      <w:r w:rsidRPr="004566DC">
        <w:rPr>
          <w:rFonts w:ascii="Calibri" w:hAnsi="Calibri"/>
        </w:rPr>
        <w:t>1091.</w:t>
      </w:r>
    </w:p>
    <w:p w14:paraId="3630F67B" w14:textId="3F7E8C67" w:rsidR="00B46ABF" w:rsidRPr="004566DC" w:rsidRDefault="00B46ABF" w:rsidP="00B46ABF">
      <w:pPr>
        <w:pStyle w:val="EndNoteBibliography"/>
        <w:rPr>
          <w:rFonts w:ascii="Calibri" w:hAnsi="Calibri"/>
        </w:rPr>
      </w:pPr>
      <w:bookmarkStart w:id="659" w:name="_ENREF_16"/>
      <w:bookmarkEnd w:id="658"/>
      <w:r w:rsidRPr="004566DC">
        <w:rPr>
          <w:rFonts w:ascii="Calibri" w:hAnsi="Calibri"/>
        </w:rPr>
        <w:t xml:space="preserve">Bonizzato, A, Bisceglia, L, Marigo, C, Nicolis, E, Bombieri, C, Castellani, C, Borgo, G, Zelante, L, Mastella, G, Cabrini, G, Gasparini, P &amp; Pignatti, PF 1995, 'Analysis of the complete coding region of the </w:t>
      </w:r>
      <w:r w:rsidRPr="004566DC">
        <w:rPr>
          <w:rFonts w:ascii="Calibri" w:hAnsi="Calibri"/>
          <w:i/>
        </w:rPr>
        <w:t xml:space="preserve">CFTR </w:t>
      </w:r>
      <w:r w:rsidRPr="004566DC">
        <w:rPr>
          <w:rFonts w:ascii="Calibri" w:hAnsi="Calibri"/>
        </w:rPr>
        <w:t xml:space="preserve">gene in a cohort of CF patients from </w:t>
      </w:r>
      <w:r w:rsidR="00EA1F00">
        <w:rPr>
          <w:rFonts w:ascii="Calibri" w:hAnsi="Calibri"/>
        </w:rPr>
        <w:t>n</w:t>
      </w:r>
      <w:r w:rsidRPr="004566DC">
        <w:rPr>
          <w:rFonts w:ascii="Calibri" w:hAnsi="Calibri"/>
        </w:rPr>
        <w:t>orth-</w:t>
      </w:r>
      <w:r w:rsidR="00EA1F00">
        <w:rPr>
          <w:rFonts w:ascii="Calibri" w:hAnsi="Calibri"/>
        </w:rPr>
        <w:t>e</w:t>
      </w:r>
      <w:r w:rsidRPr="004566DC">
        <w:rPr>
          <w:rFonts w:ascii="Calibri" w:hAnsi="Calibri"/>
        </w:rPr>
        <w:t xml:space="preserve">astern Italy: </w:t>
      </w:r>
      <w:r w:rsidR="00581574">
        <w:rPr>
          <w:rFonts w:ascii="Calibri" w:hAnsi="Calibri"/>
        </w:rPr>
        <w:t>i</w:t>
      </w:r>
      <w:r w:rsidRPr="004566DC">
        <w:rPr>
          <w:rFonts w:ascii="Calibri" w:hAnsi="Calibri"/>
        </w:rPr>
        <w:t xml:space="preserve">dentification of 90% of the mutations', </w:t>
      </w:r>
      <w:r w:rsidRPr="004566DC">
        <w:rPr>
          <w:rFonts w:ascii="Calibri" w:hAnsi="Calibri"/>
          <w:i/>
        </w:rPr>
        <w:t>Human Genetics</w:t>
      </w:r>
      <w:r w:rsidRPr="004566DC">
        <w:rPr>
          <w:rFonts w:ascii="Calibri" w:hAnsi="Calibri"/>
        </w:rPr>
        <w:t>, vol. 95, no. 4, pp. 397</w:t>
      </w:r>
      <w:r w:rsidR="004E5FF1">
        <w:rPr>
          <w:rFonts w:ascii="Calibri" w:hAnsi="Calibri"/>
        </w:rPr>
        <w:t>–</w:t>
      </w:r>
      <w:r w:rsidRPr="004566DC">
        <w:rPr>
          <w:rFonts w:ascii="Calibri" w:hAnsi="Calibri"/>
        </w:rPr>
        <w:t>402.</w:t>
      </w:r>
    </w:p>
    <w:p w14:paraId="2F5B8D90" w14:textId="74DD155F" w:rsidR="00B46ABF" w:rsidRPr="004566DC" w:rsidRDefault="00B46ABF" w:rsidP="00B46ABF">
      <w:pPr>
        <w:pStyle w:val="EndNoteBibliography"/>
        <w:rPr>
          <w:rFonts w:ascii="Calibri" w:hAnsi="Calibri"/>
        </w:rPr>
      </w:pPr>
      <w:bookmarkStart w:id="660" w:name="_ENREF_17"/>
      <w:bookmarkEnd w:id="659"/>
      <w:r w:rsidRPr="004566DC">
        <w:rPr>
          <w:rFonts w:ascii="Calibri" w:hAnsi="Calibri"/>
        </w:rPr>
        <w:t xml:space="preserve">Bonizzato, A, Rolfini, R &amp; Cabrini, G 1999, 'Detection of cystic fibrosis mutations by reverse dot-blot hybridization', </w:t>
      </w:r>
      <w:r w:rsidRPr="004566DC">
        <w:rPr>
          <w:rFonts w:ascii="Calibri" w:hAnsi="Calibri"/>
          <w:i/>
        </w:rPr>
        <w:t>European Journal of Laboratory Medicine</w:t>
      </w:r>
      <w:r w:rsidRPr="004566DC">
        <w:rPr>
          <w:rFonts w:ascii="Calibri" w:hAnsi="Calibri"/>
        </w:rPr>
        <w:t>, vol. 7, no. 3, pp. 117</w:t>
      </w:r>
      <w:r w:rsidR="00EA1F00">
        <w:rPr>
          <w:rFonts w:ascii="Calibri" w:hAnsi="Calibri"/>
        </w:rPr>
        <w:t>–</w:t>
      </w:r>
      <w:r w:rsidRPr="004566DC">
        <w:rPr>
          <w:rFonts w:ascii="Calibri" w:hAnsi="Calibri"/>
        </w:rPr>
        <w:t>122.</w:t>
      </w:r>
    </w:p>
    <w:p w14:paraId="30792EFB" w14:textId="7B5933DD" w:rsidR="007D709E" w:rsidRPr="004566DC" w:rsidRDefault="007D709E" w:rsidP="00B46ABF">
      <w:pPr>
        <w:pStyle w:val="EndNoteBibliography"/>
        <w:rPr>
          <w:rFonts w:asciiTheme="minorHAnsi" w:hAnsiTheme="minorHAnsi"/>
        </w:rPr>
      </w:pPr>
      <w:bookmarkStart w:id="661" w:name="_ENREF_18"/>
      <w:bookmarkEnd w:id="660"/>
      <w:r w:rsidRPr="004566DC">
        <w:rPr>
          <w:rFonts w:asciiTheme="minorHAnsi" w:hAnsiTheme="minorHAnsi"/>
        </w:rPr>
        <w:t xml:space="preserve">Buiter, HD, Holswilder-Olde Scholtenhuis, MA, Bouman, K, van Baren, R, Bilardo, CM &amp; Bos, AF 2013, 'Outcome of infants presenting with echogenic bowel in the second trimester of pregnancy', </w:t>
      </w:r>
      <w:r w:rsidRPr="004566DC">
        <w:rPr>
          <w:rFonts w:asciiTheme="minorHAnsi" w:hAnsiTheme="minorHAnsi"/>
          <w:i/>
        </w:rPr>
        <w:t>Archives of Disease in Childhood. Fetal and Neonatal Edition</w:t>
      </w:r>
      <w:r w:rsidRPr="004566DC">
        <w:rPr>
          <w:rFonts w:asciiTheme="minorHAnsi" w:hAnsiTheme="minorHAnsi"/>
        </w:rPr>
        <w:t xml:space="preserve">, vol. 98, no. 3, </w:t>
      </w:r>
      <w:r w:rsidR="00553344" w:rsidRPr="004566DC">
        <w:rPr>
          <w:rFonts w:asciiTheme="minorHAnsi" w:hAnsiTheme="minorHAnsi"/>
        </w:rPr>
        <w:t>pp. F256–</w:t>
      </w:r>
      <w:r w:rsidRPr="004566DC">
        <w:rPr>
          <w:rFonts w:asciiTheme="minorHAnsi" w:hAnsiTheme="minorHAnsi"/>
        </w:rPr>
        <w:t>259.</w:t>
      </w:r>
    </w:p>
    <w:p w14:paraId="7F0517BA" w14:textId="6089D911" w:rsidR="00B46ABF" w:rsidRPr="004566DC" w:rsidRDefault="00B46ABF" w:rsidP="00B46ABF">
      <w:pPr>
        <w:pStyle w:val="EndNoteBibliography"/>
        <w:rPr>
          <w:rFonts w:ascii="Calibri" w:hAnsi="Calibri"/>
        </w:rPr>
      </w:pPr>
      <w:r w:rsidRPr="004566DC">
        <w:rPr>
          <w:rFonts w:ascii="Calibri" w:hAnsi="Calibri"/>
        </w:rPr>
        <w:t xml:space="preserve">Burke, W &amp; Press, N 2006, 'Genetics as a tool to improve cancer outcomes: ethics and policy', </w:t>
      </w:r>
      <w:r w:rsidRPr="004566DC">
        <w:rPr>
          <w:rFonts w:ascii="Calibri" w:hAnsi="Calibri"/>
          <w:i/>
        </w:rPr>
        <w:t>Nat</w:t>
      </w:r>
      <w:r w:rsidR="00E5201D">
        <w:rPr>
          <w:rFonts w:ascii="Calibri" w:hAnsi="Calibri"/>
          <w:i/>
        </w:rPr>
        <w:t>ure</w:t>
      </w:r>
      <w:r w:rsidRPr="004566DC">
        <w:rPr>
          <w:rFonts w:ascii="Calibri" w:hAnsi="Calibri"/>
          <w:i/>
        </w:rPr>
        <w:t xml:space="preserve"> Rev</w:t>
      </w:r>
      <w:r w:rsidR="00E5201D">
        <w:rPr>
          <w:rFonts w:ascii="Calibri" w:hAnsi="Calibri"/>
          <w:i/>
        </w:rPr>
        <w:t>iews</w:t>
      </w:r>
      <w:r w:rsidRPr="004566DC">
        <w:rPr>
          <w:rFonts w:ascii="Calibri" w:hAnsi="Calibri"/>
          <w:i/>
        </w:rPr>
        <w:t xml:space="preserve"> Cancer</w:t>
      </w:r>
      <w:r w:rsidRPr="004566DC">
        <w:rPr>
          <w:rFonts w:ascii="Calibri" w:hAnsi="Calibri"/>
        </w:rPr>
        <w:t>, vol. 6, no. 6, pp. 476</w:t>
      </w:r>
      <w:r w:rsidR="00E5201D">
        <w:rPr>
          <w:rFonts w:ascii="Calibri" w:hAnsi="Calibri"/>
        </w:rPr>
        <w:t>–</w:t>
      </w:r>
      <w:r w:rsidRPr="004566DC">
        <w:rPr>
          <w:rFonts w:ascii="Calibri" w:hAnsi="Calibri"/>
        </w:rPr>
        <w:t>482.</w:t>
      </w:r>
    </w:p>
    <w:p w14:paraId="07074FE2" w14:textId="23594F3F" w:rsidR="00B46ABF" w:rsidRPr="004566DC" w:rsidRDefault="00B46ABF" w:rsidP="00B46ABF">
      <w:pPr>
        <w:pStyle w:val="EndNoteBibliography"/>
        <w:rPr>
          <w:rFonts w:ascii="Calibri" w:hAnsi="Calibri"/>
        </w:rPr>
      </w:pPr>
      <w:bookmarkStart w:id="662" w:name="_ENREF_19"/>
      <w:bookmarkEnd w:id="661"/>
      <w:r w:rsidRPr="004566DC">
        <w:rPr>
          <w:rFonts w:ascii="Calibri" w:hAnsi="Calibri"/>
        </w:rPr>
        <w:t xml:space="preserve">Campbell, K 2004, 'Disclosure of non-paternity', </w:t>
      </w:r>
      <w:r w:rsidRPr="004566DC">
        <w:rPr>
          <w:rFonts w:ascii="Calibri" w:hAnsi="Calibri"/>
          <w:i/>
        </w:rPr>
        <w:t>Lancet</w:t>
      </w:r>
      <w:r w:rsidRPr="004566DC">
        <w:rPr>
          <w:rFonts w:ascii="Calibri" w:hAnsi="Calibri"/>
        </w:rPr>
        <w:t xml:space="preserve">, vol. 364, no. 9431, p. 327; author reply </w:t>
      </w:r>
      <w:r w:rsidR="006F4A41">
        <w:rPr>
          <w:rFonts w:ascii="Calibri" w:hAnsi="Calibri"/>
        </w:rPr>
        <w:t xml:space="preserve">p. </w:t>
      </w:r>
      <w:r w:rsidRPr="004566DC">
        <w:rPr>
          <w:rFonts w:ascii="Calibri" w:hAnsi="Calibri"/>
        </w:rPr>
        <w:t>328.</w:t>
      </w:r>
    </w:p>
    <w:p w14:paraId="00C4AAE9" w14:textId="61B5857E" w:rsidR="00B46ABF" w:rsidRPr="004566DC" w:rsidRDefault="00B46ABF" w:rsidP="00B46ABF">
      <w:pPr>
        <w:pStyle w:val="EndNoteBibliography"/>
        <w:rPr>
          <w:rFonts w:ascii="Calibri" w:hAnsi="Calibri"/>
        </w:rPr>
      </w:pPr>
      <w:bookmarkStart w:id="663" w:name="_ENREF_20"/>
      <w:bookmarkEnd w:id="662"/>
      <w:r w:rsidRPr="004566DC">
        <w:rPr>
          <w:rFonts w:ascii="Calibri" w:hAnsi="Calibri"/>
        </w:rPr>
        <w:t xml:space="preserve">Carcopino, X, Chaumoitre, K, Shojai, R, Akkawi, R, Panuel, M, Boubli, L &amp; D'Ercole, C 2007, 'Foetal magnetic resonance imaging and echogenic bowel', </w:t>
      </w:r>
      <w:r w:rsidRPr="004566DC">
        <w:rPr>
          <w:rFonts w:ascii="Calibri" w:hAnsi="Calibri"/>
          <w:i/>
        </w:rPr>
        <w:t>Prenat</w:t>
      </w:r>
      <w:r w:rsidR="006F4A41">
        <w:rPr>
          <w:rFonts w:ascii="Calibri" w:hAnsi="Calibri"/>
          <w:i/>
        </w:rPr>
        <w:t>al</w:t>
      </w:r>
      <w:r w:rsidRPr="004566DC">
        <w:rPr>
          <w:rFonts w:ascii="Calibri" w:hAnsi="Calibri"/>
          <w:i/>
        </w:rPr>
        <w:t xml:space="preserve"> Diagn</w:t>
      </w:r>
      <w:r w:rsidR="006F4A41">
        <w:rPr>
          <w:rFonts w:ascii="Calibri" w:hAnsi="Calibri"/>
          <w:i/>
        </w:rPr>
        <w:t>osis</w:t>
      </w:r>
      <w:r w:rsidRPr="004566DC">
        <w:rPr>
          <w:rFonts w:ascii="Calibri" w:hAnsi="Calibri"/>
        </w:rPr>
        <w:t>, vol. 27, no. 3, pp. 272</w:t>
      </w:r>
      <w:r w:rsidR="006F4A41">
        <w:rPr>
          <w:rFonts w:ascii="Calibri" w:hAnsi="Calibri"/>
        </w:rPr>
        <w:t>–</w:t>
      </w:r>
      <w:r w:rsidRPr="004566DC">
        <w:rPr>
          <w:rFonts w:ascii="Calibri" w:hAnsi="Calibri"/>
        </w:rPr>
        <w:t>278.</w:t>
      </w:r>
    </w:p>
    <w:p w14:paraId="2BA90013" w14:textId="1AE11873" w:rsidR="00B46ABF" w:rsidRPr="004566DC" w:rsidRDefault="00B46ABF" w:rsidP="00B46ABF">
      <w:pPr>
        <w:pStyle w:val="EndNoteBibliography"/>
        <w:rPr>
          <w:rFonts w:ascii="Calibri" w:hAnsi="Calibri"/>
        </w:rPr>
      </w:pPr>
      <w:bookmarkStart w:id="664" w:name="_ENREF_21"/>
      <w:bookmarkEnd w:id="663"/>
      <w:r w:rsidRPr="004566DC">
        <w:rPr>
          <w:rFonts w:ascii="Calibri" w:hAnsi="Calibri"/>
        </w:rPr>
        <w:t xml:space="preserve">Castaldo, G, Martinelli, P, Massa, C, Fuccio, A, Grosso, M, Rippa, E, Paladini, D &amp; Salvatore, F 2000, 'Prenatal diagnosis of cystic fibrosis: </w:t>
      </w:r>
      <w:r w:rsidR="00745D35">
        <w:rPr>
          <w:rFonts w:ascii="Calibri" w:hAnsi="Calibri"/>
        </w:rPr>
        <w:t>a</w:t>
      </w:r>
      <w:r w:rsidRPr="004566DC">
        <w:rPr>
          <w:rFonts w:ascii="Calibri" w:hAnsi="Calibri"/>
        </w:rPr>
        <w:t xml:space="preserve"> case of twin pregnancy diagnosis and a review of 5 years' experience', </w:t>
      </w:r>
      <w:r w:rsidRPr="004566DC">
        <w:rPr>
          <w:rFonts w:ascii="Calibri" w:hAnsi="Calibri"/>
          <w:i/>
        </w:rPr>
        <w:t>Clinica Chimica Acta</w:t>
      </w:r>
      <w:r w:rsidRPr="004566DC">
        <w:rPr>
          <w:rFonts w:ascii="Calibri" w:hAnsi="Calibri"/>
        </w:rPr>
        <w:t>, vol. 298, no. 1</w:t>
      </w:r>
      <w:r w:rsidR="00745D35">
        <w:rPr>
          <w:rFonts w:ascii="Calibri" w:hAnsi="Calibri"/>
        </w:rPr>
        <w:t>–</w:t>
      </w:r>
      <w:r w:rsidRPr="004566DC">
        <w:rPr>
          <w:rFonts w:ascii="Calibri" w:hAnsi="Calibri"/>
        </w:rPr>
        <w:t>2, pp. 121</w:t>
      </w:r>
      <w:r w:rsidR="00745D35">
        <w:rPr>
          <w:rFonts w:ascii="Calibri" w:hAnsi="Calibri"/>
        </w:rPr>
        <w:t>–</w:t>
      </w:r>
      <w:r w:rsidRPr="004566DC">
        <w:rPr>
          <w:rFonts w:ascii="Calibri" w:hAnsi="Calibri"/>
        </w:rPr>
        <w:t>133.</w:t>
      </w:r>
    </w:p>
    <w:p w14:paraId="42E53A47" w14:textId="1A00A1F9" w:rsidR="00B46ABF" w:rsidRPr="004566DC" w:rsidRDefault="00B46ABF" w:rsidP="00B46ABF">
      <w:pPr>
        <w:pStyle w:val="EndNoteBibliography"/>
        <w:rPr>
          <w:rFonts w:ascii="Calibri" w:hAnsi="Calibri"/>
        </w:rPr>
      </w:pPr>
      <w:bookmarkStart w:id="665" w:name="_ENREF_22"/>
      <w:bookmarkEnd w:id="664"/>
      <w:r w:rsidRPr="004566DC">
        <w:rPr>
          <w:rFonts w:ascii="Calibri" w:hAnsi="Calibri"/>
        </w:rPr>
        <w:t xml:space="preserve">Castellani, C, Cuppens, H, Macek, M, Jr., Cassiman, JJ, Kerem, E, Durie, P, Tullis, E, Assael, BM, Bombieri, C, Brown, A, Casals, T, Claustres, M, Cutting, GR, Dequeker, E, Dodge, J, Doull, I, Farrell, P, Ferec, C, Girodon, E, Johannesson, M, Kerem, B, Knowles, M, Munck, A, Pignatti, PF, Radojkovic, D, Rizzotti, P, Schwarz, M, Stuhrmann, M, Tzetis, M, Zielenski, J &amp; Elborn, JS 2008, 'Consensus on the use and interpretation of cystic fibrosis mutation analysis in clinical practice', </w:t>
      </w:r>
      <w:r w:rsidRPr="004566DC">
        <w:rPr>
          <w:rFonts w:ascii="Calibri" w:hAnsi="Calibri"/>
          <w:i/>
        </w:rPr>
        <w:t>J</w:t>
      </w:r>
      <w:r w:rsidR="00745D35">
        <w:rPr>
          <w:rFonts w:ascii="Calibri" w:hAnsi="Calibri"/>
          <w:i/>
        </w:rPr>
        <w:t>ournal of</w:t>
      </w:r>
      <w:r w:rsidRPr="004566DC">
        <w:rPr>
          <w:rFonts w:ascii="Calibri" w:hAnsi="Calibri"/>
          <w:i/>
        </w:rPr>
        <w:t xml:space="preserve"> Cyst</w:t>
      </w:r>
      <w:r w:rsidR="00745D35">
        <w:rPr>
          <w:rFonts w:ascii="Calibri" w:hAnsi="Calibri"/>
          <w:i/>
        </w:rPr>
        <w:t>ic</w:t>
      </w:r>
      <w:r w:rsidRPr="004566DC">
        <w:rPr>
          <w:rFonts w:ascii="Calibri" w:hAnsi="Calibri"/>
          <w:i/>
        </w:rPr>
        <w:t xml:space="preserve"> Fibros</w:t>
      </w:r>
      <w:r w:rsidR="00745D35">
        <w:rPr>
          <w:rFonts w:ascii="Calibri" w:hAnsi="Calibri"/>
          <w:i/>
        </w:rPr>
        <w:t>is</w:t>
      </w:r>
      <w:r w:rsidRPr="004566DC">
        <w:rPr>
          <w:rFonts w:ascii="Calibri" w:hAnsi="Calibri"/>
        </w:rPr>
        <w:t>, vol. 7, no. 3, pp. 179</w:t>
      </w:r>
      <w:r w:rsidR="00745D35">
        <w:rPr>
          <w:rFonts w:ascii="Calibri" w:hAnsi="Calibri"/>
        </w:rPr>
        <w:t>–</w:t>
      </w:r>
      <w:r w:rsidRPr="004566DC">
        <w:rPr>
          <w:rFonts w:ascii="Calibri" w:hAnsi="Calibri"/>
        </w:rPr>
        <w:t>196.</w:t>
      </w:r>
    </w:p>
    <w:p w14:paraId="41A94662" w14:textId="25529F5B" w:rsidR="00B46ABF" w:rsidRPr="004566DC" w:rsidRDefault="00B46ABF" w:rsidP="00B46ABF">
      <w:pPr>
        <w:pStyle w:val="EndNoteBibliography"/>
        <w:rPr>
          <w:rFonts w:ascii="Calibri" w:hAnsi="Calibri"/>
        </w:rPr>
      </w:pPr>
      <w:bookmarkStart w:id="666" w:name="_ENREF_23"/>
      <w:bookmarkEnd w:id="665"/>
      <w:r w:rsidRPr="004566DC">
        <w:rPr>
          <w:rFonts w:ascii="Calibri" w:hAnsi="Calibri"/>
        </w:rPr>
        <w:t xml:space="preserve">Claustres, M, Guittard, C, Bozon, D, Chevalier, F, Verlingue, C, Ferec, C, Girodon, E, Cazeneuve, C, Bienvenu, T, Lalau, G, Dumur, V, Feldmann, D, Bieth, E, Blayau, M, Clavel, C, Creveaux, I, Malinge, MC, Monnier, N, Malzac, P, Mittre, H, Chomel, JC, Bonnefont, JP, Iron, A, Chery, M &amp; Georges, MD 2000, 'Spectrum of CFTR mutations in cystic fibrosis and in congenital absence of the vas deferens in France', </w:t>
      </w:r>
      <w:r w:rsidRPr="004566DC">
        <w:rPr>
          <w:rFonts w:ascii="Calibri" w:hAnsi="Calibri"/>
          <w:i/>
        </w:rPr>
        <w:t>Hum</w:t>
      </w:r>
      <w:r w:rsidR="00420A35">
        <w:rPr>
          <w:rFonts w:ascii="Calibri" w:hAnsi="Calibri"/>
          <w:i/>
        </w:rPr>
        <w:t>an</w:t>
      </w:r>
      <w:r w:rsidRPr="004566DC">
        <w:rPr>
          <w:rFonts w:ascii="Calibri" w:hAnsi="Calibri"/>
          <w:i/>
        </w:rPr>
        <w:t xml:space="preserve"> Mutat</w:t>
      </w:r>
      <w:r w:rsidR="00420A35">
        <w:rPr>
          <w:rFonts w:ascii="Calibri" w:hAnsi="Calibri"/>
          <w:i/>
        </w:rPr>
        <w:t>ion</w:t>
      </w:r>
      <w:r w:rsidRPr="004566DC">
        <w:rPr>
          <w:rFonts w:ascii="Calibri" w:hAnsi="Calibri"/>
        </w:rPr>
        <w:t>, vol. 16, no. 2, pp. 143</w:t>
      </w:r>
      <w:r w:rsidR="00420A35">
        <w:rPr>
          <w:rFonts w:ascii="Calibri" w:hAnsi="Calibri"/>
        </w:rPr>
        <w:t>–</w:t>
      </w:r>
      <w:r w:rsidRPr="004566DC">
        <w:rPr>
          <w:rFonts w:ascii="Calibri" w:hAnsi="Calibri"/>
        </w:rPr>
        <w:t>156.</w:t>
      </w:r>
    </w:p>
    <w:p w14:paraId="5F054FE7" w14:textId="4B082A80" w:rsidR="00B46ABF" w:rsidRPr="004566DC" w:rsidRDefault="00B46ABF" w:rsidP="00B46ABF">
      <w:pPr>
        <w:pStyle w:val="EndNoteBibliography"/>
        <w:rPr>
          <w:rFonts w:ascii="Calibri" w:hAnsi="Calibri"/>
        </w:rPr>
      </w:pPr>
      <w:bookmarkStart w:id="667" w:name="_ENREF_24"/>
      <w:bookmarkEnd w:id="666"/>
      <w:r w:rsidRPr="004566DC">
        <w:rPr>
          <w:rFonts w:ascii="Calibri" w:hAnsi="Calibri"/>
        </w:rPr>
        <w:lastRenderedPageBreak/>
        <w:t>Collazo, T, Lopez, I, Clark, Y, Piloto, Y, Gonzalez, L, Gomez, M, Garcia, M, Reyes, L &amp; Rodriguez, F 2014, 'Antenatal testing for cystic fibrosis in cuba, 1988</w:t>
      </w:r>
      <w:r w:rsidR="00420A35">
        <w:rPr>
          <w:rFonts w:ascii="Calibri" w:hAnsi="Calibri"/>
        </w:rPr>
        <w:t>–</w:t>
      </w:r>
      <w:r w:rsidRPr="004566DC">
        <w:rPr>
          <w:rFonts w:ascii="Calibri" w:hAnsi="Calibri"/>
        </w:rPr>
        <w:t xml:space="preserve">2011', </w:t>
      </w:r>
      <w:r w:rsidRPr="004566DC">
        <w:rPr>
          <w:rFonts w:ascii="Calibri" w:hAnsi="Calibri"/>
          <w:i/>
        </w:rPr>
        <w:t>MEDICC Rev</w:t>
      </w:r>
      <w:r w:rsidR="00420A35">
        <w:rPr>
          <w:rFonts w:ascii="Calibri" w:hAnsi="Calibri"/>
          <w:i/>
        </w:rPr>
        <w:t>iew</w:t>
      </w:r>
      <w:r w:rsidRPr="004566DC">
        <w:rPr>
          <w:rFonts w:ascii="Calibri" w:hAnsi="Calibri"/>
        </w:rPr>
        <w:t>, vol. 16, no. 3</w:t>
      </w:r>
      <w:r w:rsidR="00420A35">
        <w:rPr>
          <w:rFonts w:ascii="Calibri" w:hAnsi="Calibri"/>
        </w:rPr>
        <w:t>–</w:t>
      </w:r>
      <w:r w:rsidRPr="004566DC">
        <w:rPr>
          <w:rFonts w:ascii="Calibri" w:hAnsi="Calibri"/>
        </w:rPr>
        <w:t>4, pp. 18</w:t>
      </w:r>
      <w:r w:rsidR="00420A35">
        <w:rPr>
          <w:rFonts w:ascii="Calibri" w:hAnsi="Calibri"/>
        </w:rPr>
        <w:t>–</w:t>
      </w:r>
      <w:r w:rsidRPr="004566DC">
        <w:rPr>
          <w:rFonts w:ascii="Calibri" w:hAnsi="Calibri"/>
        </w:rPr>
        <w:t>21.</w:t>
      </w:r>
    </w:p>
    <w:p w14:paraId="1C28084A" w14:textId="13535C2D" w:rsidR="00B46ABF" w:rsidRPr="004566DC" w:rsidRDefault="00B46ABF" w:rsidP="00B46ABF">
      <w:pPr>
        <w:pStyle w:val="EndNoteBibliography"/>
        <w:rPr>
          <w:rFonts w:ascii="Calibri" w:hAnsi="Calibri"/>
        </w:rPr>
      </w:pPr>
      <w:bookmarkStart w:id="668" w:name="_ENREF_25"/>
      <w:bookmarkEnd w:id="667"/>
      <w:r w:rsidRPr="004566DC">
        <w:rPr>
          <w:rFonts w:ascii="Calibri" w:hAnsi="Calibri"/>
        </w:rPr>
        <w:t xml:space="preserve">Cuppens, H &amp; Cassiman, JJ 2004, 'CFTR mutations and polymorphisms in male infertility', </w:t>
      </w:r>
      <w:r w:rsidRPr="004566DC">
        <w:rPr>
          <w:rFonts w:ascii="Calibri" w:hAnsi="Calibri"/>
          <w:i/>
        </w:rPr>
        <w:t>International Journal of Andrology</w:t>
      </w:r>
      <w:r w:rsidRPr="004566DC">
        <w:rPr>
          <w:rFonts w:ascii="Calibri" w:hAnsi="Calibri"/>
        </w:rPr>
        <w:t>, vol. 27, no. 5, pp. 251</w:t>
      </w:r>
      <w:r w:rsidR="00EB6C4E">
        <w:rPr>
          <w:rFonts w:ascii="Calibri" w:hAnsi="Calibri"/>
        </w:rPr>
        <w:t>–</w:t>
      </w:r>
      <w:r w:rsidRPr="004566DC">
        <w:rPr>
          <w:rFonts w:ascii="Calibri" w:hAnsi="Calibri"/>
        </w:rPr>
        <w:t>256.</w:t>
      </w:r>
    </w:p>
    <w:p w14:paraId="19503F41" w14:textId="3389378F" w:rsidR="00B46ABF" w:rsidRPr="004566DC" w:rsidRDefault="00B46ABF" w:rsidP="00B46ABF">
      <w:pPr>
        <w:pStyle w:val="EndNoteBibliography"/>
        <w:rPr>
          <w:rFonts w:ascii="Calibri" w:hAnsi="Calibri"/>
        </w:rPr>
      </w:pPr>
      <w:bookmarkStart w:id="669" w:name="_ENREF_26"/>
      <w:bookmarkEnd w:id="668"/>
      <w:r w:rsidRPr="004566DC">
        <w:rPr>
          <w:rFonts w:ascii="Calibri" w:hAnsi="Calibri"/>
        </w:rPr>
        <w:t xml:space="preserve">Cystic Fibrosis </w:t>
      </w:r>
      <w:r w:rsidR="00075CEF">
        <w:rPr>
          <w:rFonts w:ascii="Calibri" w:hAnsi="Calibri"/>
        </w:rPr>
        <w:t xml:space="preserve">(CF) </w:t>
      </w:r>
      <w:r w:rsidRPr="004566DC">
        <w:rPr>
          <w:rFonts w:ascii="Calibri" w:hAnsi="Calibri"/>
        </w:rPr>
        <w:t xml:space="preserve">Australia 2013, </w:t>
      </w:r>
      <w:r w:rsidRPr="004566DC">
        <w:rPr>
          <w:rFonts w:ascii="Calibri" w:hAnsi="Calibri"/>
          <w:i/>
        </w:rPr>
        <w:t xml:space="preserve">Cystic </w:t>
      </w:r>
      <w:r w:rsidR="00075CEF">
        <w:rPr>
          <w:rFonts w:ascii="Calibri" w:hAnsi="Calibri"/>
          <w:i/>
        </w:rPr>
        <w:t>f</w:t>
      </w:r>
      <w:r w:rsidRPr="004566DC">
        <w:rPr>
          <w:rFonts w:ascii="Calibri" w:hAnsi="Calibri"/>
          <w:i/>
        </w:rPr>
        <w:t>ibrosis in Australia 2012. 15th Annual Report</w:t>
      </w:r>
      <w:r w:rsidR="00EB6C4E">
        <w:rPr>
          <w:rFonts w:ascii="Calibri" w:hAnsi="Calibri"/>
          <w:i/>
        </w:rPr>
        <w:t>,</w:t>
      </w:r>
      <w:r w:rsidRPr="004566DC">
        <w:rPr>
          <w:rFonts w:ascii="Calibri" w:hAnsi="Calibri"/>
          <w:i/>
        </w:rPr>
        <w:t xml:space="preserve"> Australian Cystic Fibrosis Data Registry</w:t>
      </w:r>
      <w:r w:rsidRPr="004566DC">
        <w:rPr>
          <w:rFonts w:ascii="Calibri" w:hAnsi="Calibri"/>
        </w:rPr>
        <w:t>, CF Australia, Baulkham Hills</w:t>
      </w:r>
      <w:r w:rsidR="00075CEF">
        <w:rPr>
          <w:rFonts w:ascii="Calibri" w:hAnsi="Calibri"/>
        </w:rPr>
        <w:t>,</w:t>
      </w:r>
      <w:r w:rsidRPr="004566DC">
        <w:rPr>
          <w:rFonts w:ascii="Calibri" w:hAnsi="Calibri"/>
        </w:rPr>
        <w:t xml:space="preserve"> N</w:t>
      </w:r>
      <w:r w:rsidR="00EB6C4E">
        <w:rPr>
          <w:rFonts w:ascii="Calibri" w:hAnsi="Calibri"/>
        </w:rPr>
        <w:t xml:space="preserve">ew </w:t>
      </w:r>
      <w:r w:rsidRPr="004566DC">
        <w:rPr>
          <w:rFonts w:ascii="Calibri" w:hAnsi="Calibri"/>
        </w:rPr>
        <w:t>S</w:t>
      </w:r>
      <w:r w:rsidR="00EB6C4E">
        <w:rPr>
          <w:rFonts w:ascii="Calibri" w:hAnsi="Calibri"/>
        </w:rPr>
        <w:t xml:space="preserve">outh </w:t>
      </w:r>
      <w:r w:rsidRPr="004566DC">
        <w:rPr>
          <w:rFonts w:ascii="Calibri" w:hAnsi="Calibri"/>
        </w:rPr>
        <w:t>W</w:t>
      </w:r>
      <w:r w:rsidR="00EB6C4E">
        <w:rPr>
          <w:rFonts w:ascii="Calibri" w:hAnsi="Calibri"/>
        </w:rPr>
        <w:t>ales</w:t>
      </w:r>
      <w:r w:rsidRPr="004566DC">
        <w:rPr>
          <w:rFonts w:ascii="Calibri" w:hAnsi="Calibri"/>
        </w:rPr>
        <w:t>.</w:t>
      </w:r>
    </w:p>
    <w:p w14:paraId="160E7B87" w14:textId="3225485F" w:rsidR="00B46ABF" w:rsidRPr="004566DC" w:rsidRDefault="00B46ABF" w:rsidP="00B46ABF">
      <w:pPr>
        <w:pStyle w:val="EndNoteBibliography"/>
        <w:rPr>
          <w:rFonts w:ascii="Calibri" w:hAnsi="Calibri"/>
        </w:rPr>
      </w:pPr>
      <w:bookmarkStart w:id="670" w:name="_ENREF_27"/>
      <w:bookmarkEnd w:id="669"/>
      <w:r w:rsidRPr="004566DC">
        <w:rPr>
          <w:rFonts w:ascii="Calibri" w:hAnsi="Calibri"/>
        </w:rPr>
        <w:t xml:space="preserve">Danziger, KL, Black, LD, Keiles, SB, Kammesheidt, A &amp; Turek, PJ 2004, 'Improved detection of cystic fibrosis mutations in infertility patients with DNA sequence analysis', </w:t>
      </w:r>
      <w:r w:rsidRPr="004566DC">
        <w:rPr>
          <w:rFonts w:ascii="Calibri" w:hAnsi="Calibri"/>
          <w:i/>
        </w:rPr>
        <w:t>Human Reproduction</w:t>
      </w:r>
      <w:r w:rsidRPr="004566DC">
        <w:rPr>
          <w:rFonts w:ascii="Calibri" w:hAnsi="Calibri"/>
        </w:rPr>
        <w:t>, vol. 19, no. 3, pp. 540</w:t>
      </w:r>
      <w:r w:rsidR="00432FAC">
        <w:rPr>
          <w:rFonts w:ascii="Calibri" w:hAnsi="Calibri"/>
        </w:rPr>
        <w:t>–</w:t>
      </w:r>
      <w:r w:rsidRPr="004566DC">
        <w:rPr>
          <w:rFonts w:ascii="Calibri" w:hAnsi="Calibri"/>
        </w:rPr>
        <w:t>546.</w:t>
      </w:r>
    </w:p>
    <w:p w14:paraId="5E4EA81A" w14:textId="1598F055" w:rsidR="00B46ABF" w:rsidRPr="004566DC" w:rsidRDefault="00B46ABF" w:rsidP="00B46ABF">
      <w:pPr>
        <w:pStyle w:val="EndNoteBibliography"/>
        <w:rPr>
          <w:rFonts w:ascii="Calibri" w:hAnsi="Calibri"/>
        </w:rPr>
      </w:pPr>
      <w:bookmarkStart w:id="671" w:name="_ENREF_28"/>
      <w:bookmarkEnd w:id="670"/>
      <w:r w:rsidRPr="004566DC">
        <w:rPr>
          <w:rFonts w:ascii="Calibri" w:hAnsi="Calibri"/>
        </w:rPr>
        <w:t xml:space="preserve">Davies, V, Gledhill, J, McFadyen, A, Whitlow, B &amp; Economides, D 2005, 'Psychological outcome in women undergoing termination of pregnancy for ultrasound-detected fetal anomaly in the first and second trimesters: a pilot study', </w:t>
      </w:r>
      <w:r w:rsidRPr="004566DC">
        <w:rPr>
          <w:rFonts w:ascii="Calibri" w:hAnsi="Calibri"/>
          <w:i/>
        </w:rPr>
        <w:t xml:space="preserve">Ultrasound </w:t>
      </w:r>
      <w:r w:rsidR="00432FAC">
        <w:rPr>
          <w:rFonts w:ascii="Calibri" w:hAnsi="Calibri"/>
          <w:i/>
        </w:rPr>
        <w:t xml:space="preserve">in </w:t>
      </w:r>
      <w:r w:rsidRPr="004566DC">
        <w:rPr>
          <w:rFonts w:ascii="Calibri" w:hAnsi="Calibri"/>
          <w:i/>
        </w:rPr>
        <w:t>Obstet</w:t>
      </w:r>
      <w:r w:rsidR="00432FAC">
        <w:rPr>
          <w:rFonts w:ascii="Calibri" w:hAnsi="Calibri"/>
          <w:i/>
        </w:rPr>
        <w:t>rics and</w:t>
      </w:r>
      <w:r w:rsidRPr="004566DC">
        <w:rPr>
          <w:rFonts w:ascii="Calibri" w:hAnsi="Calibri"/>
          <w:i/>
        </w:rPr>
        <w:t xml:space="preserve"> Gynecol</w:t>
      </w:r>
      <w:r w:rsidR="00432FAC">
        <w:rPr>
          <w:rFonts w:ascii="Calibri" w:hAnsi="Calibri"/>
          <w:i/>
        </w:rPr>
        <w:t>ogy</w:t>
      </w:r>
      <w:r w:rsidRPr="004566DC">
        <w:rPr>
          <w:rFonts w:ascii="Calibri" w:hAnsi="Calibri"/>
        </w:rPr>
        <w:t>, vol. 25, no. 4, pp. 389</w:t>
      </w:r>
      <w:r w:rsidR="00432FAC">
        <w:rPr>
          <w:rFonts w:ascii="Calibri" w:hAnsi="Calibri"/>
        </w:rPr>
        <w:t>–</w:t>
      </w:r>
      <w:r w:rsidRPr="004566DC">
        <w:rPr>
          <w:rFonts w:ascii="Calibri" w:hAnsi="Calibri"/>
        </w:rPr>
        <w:t>392.</w:t>
      </w:r>
    </w:p>
    <w:p w14:paraId="6EA4DAED" w14:textId="2AAF388A" w:rsidR="00B46ABF" w:rsidRPr="004566DC" w:rsidRDefault="00B46ABF" w:rsidP="00B46ABF">
      <w:pPr>
        <w:pStyle w:val="EndNoteBibliography"/>
        <w:rPr>
          <w:rFonts w:ascii="Calibri" w:hAnsi="Calibri"/>
        </w:rPr>
      </w:pPr>
      <w:bookmarkStart w:id="672" w:name="_ENREF_29"/>
      <w:bookmarkEnd w:id="671"/>
      <w:r w:rsidRPr="004566DC">
        <w:rPr>
          <w:rFonts w:ascii="Calibri" w:hAnsi="Calibri"/>
        </w:rPr>
        <w:t xml:space="preserve">de Becdelievre, A, Costa, C, Jouannic, JM, LeFloch, A, Giurgea, I, Martin, J, Medina, R, Boissier, B, Gameiro, C, Muller, F, Goossens, M, Alberti, C &amp; Girodon, E 2011, 'Comprehensive description of CFTR genotypes and ultrasound patterns in 694 cases of fetal bowel anomalies: a revised strategy', </w:t>
      </w:r>
      <w:r w:rsidRPr="004566DC">
        <w:rPr>
          <w:rFonts w:ascii="Calibri" w:hAnsi="Calibri"/>
          <w:i/>
        </w:rPr>
        <w:t>Hum</w:t>
      </w:r>
      <w:r w:rsidR="00432FAC">
        <w:rPr>
          <w:rFonts w:ascii="Calibri" w:hAnsi="Calibri"/>
          <w:i/>
        </w:rPr>
        <w:t>an</w:t>
      </w:r>
      <w:r w:rsidRPr="004566DC">
        <w:rPr>
          <w:rFonts w:ascii="Calibri" w:hAnsi="Calibri"/>
          <w:i/>
        </w:rPr>
        <w:t xml:space="preserve"> Genet</w:t>
      </w:r>
      <w:r w:rsidR="00432FAC">
        <w:rPr>
          <w:rFonts w:ascii="Calibri" w:hAnsi="Calibri"/>
          <w:i/>
        </w:rPr>
        <w:t>ics</w:t>
      </w:r>
      <w:r w:rsidRPr="004566DC">
        <w:rPr>
          <w:rFonts w:ascii="Calibri" w:hAnsi="Calibri"/>
        </w:rPr>
        <w:t>, vol. 129, no. 4, pp. 387</w:t>
      </w:r>
      <w:r w:rsidR="00432FAC">
        <w:rPr>
          <w:rFonts w:ascii="Calibri" w:hAnsi="Calibri"/>
        </w:rPr>
        <w:t>–</w:t>
      </w:r>
      <w:r w:rsidRPr="004566DC">
        <w:rPr>
          <w:rFonts w:ascii="Calibri" w:hAnsi="Calibri"/>
        </w:rPr>
        <w:t>396.</w:t>
      </w:r>
    </w:p>
    <w:p w14:paraId="6C2F8BBF" w14:textId="15DCC195" w:rsidR="00B46ABF" w:rsidRPr="004566DC" w:rsidRDefault="00B46ABF" w:rsidP="00B46ABF">
      <w:pPr>
        <w:pStyle w:val="EndNoteBibliography"/>
        <w:rPr>
          <w:rFonts w:ascii="Calibri" w:hAnsi="Calibri"/>
        </w:rPr>
      </w:pPr>
      <w:bookmarkStart w:id="673" w:name="_ENREF_30"/>
      <w:bookmarkEnd w:id="672"/>
      <w:r w:rsidRPr="004566DC">
        <w:rPr>
          <w:rFonts w:ascii="Calibri" w:hAnsi="Calibri"/>
        </w:rPr>
        <w:t xml:space="preserve">de Jong, A &amp; de Wert, GM 2015, 'Prenatal screening: an ethical agenda for the near future', </w:t>
      </w:r>
      <w:r w:rsidRPr="004566DC">
        <w:rPr>
          <w:rFonts w:ascii="Calibri" w:hAnsi="Calibri"/>
          <w:i/>
        </w:rPr>
        <w:t>Bioethics</w:t>
      </w:r>
      <w:r w:rsidRPr="004566DC">
        <w:rPr>
          <w:rFonts w:ascii="Calibri" w:hAnsi="Calibri"/>
        </w:rPr>
        <w:t>, vol. 29, no. 1, pp. 46</w:t>
      </w:r>
      <w:r w:rsidR="0019508F">
        <w:rPr>
          <w:rFonts w:ascii="Calibri" w:hAnsi="Calibri"/>
        </w:rPr>
        <w:t>–</w:t>
      </w:r>
      <w:r w:rsidRPr="004566DC">
        <w:rPr>
          <w:rFonts w:ascii="Calibri" w:hAnsi="Calibri"/>
        </w:rPr>
        <w:t>55.</w:t>
      </w:r>
    </w:p>
    <w:p w14:paraId="242E7DE8" w14:textId="272742CE" w:rsidR="00B46ABF" w:rsidRPr="004566DC" w:rsidRDefault="00B46ABF" w:rsidP="00B46ABF">
      <w:pPr>
        <w:pStyle w:val="EndNoteBibliography"/>
        <w:rPr>
          <w:rFonts w:ascii="Calibri" w:hAnsi="Calibri"/>
        </w:rPr>
      </w:pPr>
      <w:bookmarkStart w:id="674" w:name="_ENREF_31"/>
      <w:bookmarkEnd w:id="673"/>
      <w:r w:rsidRPr="004566DC">
        <w:rPr>
          <w:rFonts w:ascii="Calibri" w:hAnsi="Calibri"/>
        </w:rPr>
        <w:t xml:space="preserve">de Jong, A, Dondorp, WJ, Frints, SGM, de Die-Smulders, CEM &amp; de Wert, G 2011, 'Advances in prenatal screening: the ethical dimension', </w:t>
      </w:r>
      <w:r w:rsidRPr="004566DC">
        <w:rPr>
          <w:rFonts w:ascii="Calibri" w:hAnsi="Calibri"/>
          <w:i/>
        </w:rPr>
        <w:t>Nature Reviews Genetics</w:t>
      </w:r>
      <w:r w:rsidRPr="004566DC">
        <w:rPr>
          <w:rFonts w:ascii="Calibri" w:hAnsi="Calibri"/>
        </w:rPr>
        <w:t>, vol. 12, no. 9, pp. 657</w:t>
      </w:r>
      <w:r w:rsidR="0019508F">
        <w:rPr>
          <w:rFonts w:ascii="Calibri" w:hAnsi="Calibri"/>
        </w:rPr>
        <w:t>–</w:t>
      </w:r>
      <w:r w:rsidR="00C25533">
        <w:rPr>
          <w:rFonts w:ascii="Calibri" w:hAnsi="Calibri"/>
        </w:rPr>
        <w:t>663</w:t>
      </w:r>
      <w:r w:rsidRPr="004566DC">
        <w:rPr>
          <w:rFonts w:ascii="Calibri" w:hAnsi="Calibri"/>
        </w:rPr>
        <w:t>.</w:t>
      </w:r>
    </w:p>
    <w:p w14:paraId="750A769C" w14:textId="0E653C81" w:rsidR="00B46ABF" w:rsidRPr="004566DC" w:rsidRDefault="00015CA6" w:rsidP="00B46ABF">
      <w:pPr>
        <w:pStyle w:val="EndNoteBibliography"/>
        <w:rPr>
          <w:rFonts w:ascii="Calibri" w:hAnsi="Calibri"/>
        </w:rPr>
      </w:pPr>
      <w:bookmarkStart w:id="675" w:name="_ENREF_32"/>
      <w:bookmarkEnd w:id="674"/>
      <w:r w:rsidRPr="00FC5EA8">
        <w:rPr>
          <w:rFonts w:ascii="Calibri" w:hAnsi="Calibri"/>
        </w:rPr>
        <w:t>d</w:t>
      </w:r>
      <w:r w:rsidR="00B46ABF" w:rsidRPr="004566DC">
        <w:rPr>
          <w:rFonts w:ascii="Calibri" w:hAnsi="Calibri"/>
        </w:rPr>
        <w:t>e Jong, A, Maya, I &amp; Van Lith, JMM 2015, '</w:t>
      </w:r>
      <w:r w:rsidR="005716C9">
        <w:rPr>
          <w:rFonts w:ascii="Calibri" w:hAnsi="Calibri"/>
        </w:rPr>
        <w:t>P</w:t>
      </w:r>
      <w:r w:rsidR="005716C9" w:rsidRPr="005716C9">
        <w:rPr>
          <w:rFonts w:ascii="Calibri" w:hAnsi="Calibri"/>
        </w:rPr>
        <w:t>renatal screening: current practice, new developments, ethical challenges</w:t>
      </w:r>
      <w:r w:rsidR="00B46ABF" w:rsidRPr="004566DC">
        <w:rPr>
          <w:rFonts w:ascii="Calibri" w:hAnsi="Calibri"/>
        </w:rPr>
        <w:t xml:space="preserve">', </w:t>
      </w:r>
      <w:r w:rsidR="00B46ABF" w:rsidRPr="004566DC">
        <w:rPr>
          <w:rFonts w:ascii="Calibri" w:hAnsi="Calibri"/>
          <w:i/>
        </w:rPr>
        <w:t>Bioethics</w:t>
      </w:r>
      <w:r w:rsidR="00B46ABF" w:rsidRPr="004566DC">
        <w:rPr>
          <w:rFonts w:ascii="Calibri" w:hAnsi="Calibri"/>
        </w:rPr>
        <w:t>, vol. 29, no. 1, pp. 1</w:t>
      </w:r>
      <w:r w:rsidR="005716C9">
        <w:rPr>
          <w:rFonts w:ascii="Calibri" w:hAnsi="Calibri"/>
        </w:rPr>
        <w:t>–</w:t>
      </w:r>
      <w:r w:rsidR="00B46ABF" w:rsidRPr="004566DC">
        <w:rPr>
          <w:rFonts w:ascii="Calibri" w:hAnsi="Calibri"/>
        </w:rPr>
        <w:t>8.</w:t>
      </w:r>
    </w:p>
    <w:p w14:paraId="0B83B373" w14:textId="3CD64904" w:rsidR="00B46ABF" w:rsidRPr="004566DC" w:rsidRDefault="00B46ABF" w:rsidP="00B46ABF">
      <w:pPr>
        <w:pStyle w:val="EndNoteBibliography"/>
        <w:rPr>
          <w:rFonts w:ascii="Calibri" w:hAnsi="Calibri"/>
        </w:rPr>
      </w:pPr>
      <w:bookmarkStart w:id="676" w:name="_ENREF_33"/>
      <w:bookmarkEnd w:id="675"/>
      <w:r w:rsidRPr="004566DC">
        <w:rPr>
          <w:rFonts w:ascii="Calibri" w:hAnsi="Calibri"/>
        </w:rPr>
        <w:t xml:space="preserve">Deeks, JJ 2001, 'Systematic reviews of evaluations of diagnostic and screening tests', in M Egger, G Davey Smith &amp; DG Altman (eds), </w:t>
      </w:r>
      <w:r w:rsidRPr="004566DC">
        <w:rPr>
          <w:rFonts w:ascii="Calibri" w:hAnsi="Calibri"/>
          <w:i/>
        </w:rPr>
        <w:t xml:space="preserve">Systematic </w:t>
      </w:r>
      <w:r w:rsidR="001D5C50">
        <w:rPr>
          <w:rFonts w:ascii="Calibri" w:hAnsi="Calibri"/>
          <w:i/>
        </w:rPr>
        <w:t>r</w:t>
      </w:r>
      <w:r w:rsidRPr="004566DC">
        <w:rPr>
          <w:rFonts w:ascii="Calibri" w:hAnsi="Calibri"/>
          <w:i/>
        </w:rPr>
        <w:t xml:space="preserve">eviews in </w:t>
      </w:r>
      <w:r w:rsidR="001D5C50">
        <w:rPr>
          <w:rFonts w:ascii="Calibri" w:hAnsi="Calibri"/>
          <w:i/>
        </w:rPr>
        <w:t>h</w:t>
      </w:r>
      <w:r w:rsidRPr="004566DC">
        <w:rPr>
          <w:rFonts w:ascii="Calibri" w:hAnsi="Calibri"/>
          <w:i/>
        </w:rPr>
        <w:t xml:space="preserve">ealthcare: </w:t>
      </w:r>
      <w:r w:rsidR="001D5C50">
        <w:rPr>
          <w:rFonts w:ascii="Calibri" w:hAnsi="Calibri"/>
          <w:i/>
        </w:rPr>
        <w:t>m</w:t>
      </w:r>
      <w:r w:rsidRPr="004566DC">
        <w:rPr>
          <w:rFonts w:ascii="Calibri" w:hAnsi="Calibri"/>
          <w:i/>
        </w:rPr>
        <w:t>eta-</w:t>
      </w:r>
      <w:r w:rsidR="001D5C50">
        <w:rPr>
          <w:rFonts w:ascii="Calibri" w:hAnsi="Calibri"/>
          <w:i/>
        </w:rPr>
        <w:t>a</w:t>
      </w:r>
      <w:r w:rsidRPr="004566DC">
        <w:rPr>
          <w:rFonts w:ascii="Calibri" w:hAnsi="Calibri"/>
          <w:i/>
        </w:rPr>
        <w:t xml:space="preserve">nalysis in </w:t>
      </w:r>
      <w:r w:rsidR="001D5C50">
        <w:rPr>
          <w:rFonts w:ascii="Calibri" w:hAnsi="Calibri"/>
          <w:i/>
        </w:rPr>
        <w:t>c</w:t>
      </w:r>
      <w:r w:rsidRPr="004566DC">
        <w:rPr>
          <w:rFonts w:ascii="Calibri" w:hAnsi="Calibri"/>
          <w:i/>
        </w:rPr>
        <w:t>ontext</w:t>
      </w:r>
      <w:r w:rsidRPr="004566DC">
        <w:rPr>
          <w:rFonts w:ascii="Calibri" w:hAnsi="Calibri"/>
        </w:rPr>
        <w:t>, second edn, BMJ Publishing Group, London, pp. 248–282.</w:t>
      </w:r>
    </w:p>
    <w:p w14:paraId="53E2AD23" w14:textId="03BBE20B" w:rsidR="00B46ABF" w:rsidRPr="004566DC" w:rsidRDefault="00B46ABF" w:rsidP="00B46ABF">
      <w:pPr>
        <w:pStyle w:val="EndNoteBibliography"/>
        <w:rPr>
          <w:rFonts w:ascii="Calibri" w:hAnsi="Calibri"/>
        </w:rPr>
      </w:pPr>
      <w:bookmarkStart w:id="677" w:name="_ENREF_34"/>
      <w:bookmarkEnd w:id="676"/>
      <w:r w:rsidRPr="004566DC">
        <w:rPr>
          <w:rFonts w:ascii="Calibri" w:hAnsi="Calibri"/>
        </w:rPr>
        <w:t xml:space="preserve">Donat, R, McNeill, AS, Fitzpatrick, DR &amp; Hargreave, TB 1997, 'The incidence of cystic fibrosis gene mutations in patients with congenital bilateral absence of the vas deferens in Scotland', </w:t>
      </w:r>
      <w:r w:rsidRPr="004566DC">
        <w:rPr>
          <w:rFonts w:ascii="Calibri" w:hAnsi="Calibri"/>
          <w:i/>
        </w:rPr>
        <w:t>British Journal of Urology</w:t>
      </w:r>
      <w:r w:rsidRPr="004566DC">
        <w:rPr>
          <w:rFonts w:ascii="Calibri" w:hAnsi="Calibri"/>
        </w:rPr>
        <w:t>, vol. 79, no. 1, pp. 74</w:t>
      </w:r>
      <w:r w:rsidR="001D5C50">
        <w:rPr>
          <w:rFonts w:ascii="Calibri" w:hAnsi="Calibri"/>
        </w:rPr>
        <w:t>–</w:t>
      </w:r>
      <w:r w:rsidRPr="004566DC">
        <w:rPr>
          <w:rFonts w:ascii="Calibri" w:hAnsi="Calibri"/>
        </w:rPr>
        <w:t>77.</w:t>
      </w:r>
    </w:p>
    <w:p w14:paraId="4702BED3" w14:textId="51FE053C" w:rsidR="00B46ABF" w:rsidRPr="004566DC" w:rsidRDefault="00B46ABF" w:rsidP="00B46ABF">
      <w:pPr>
        <w:pStyle w:val="EndNoteBibliography"/>
        <w:rPr>
          <w:rFonts w:ascii="Calibri" w:hAnsi="Calibri"/>
        </w:rPr>
      </w:pPr>
      <w:bookmarkStart w:id="678" w:name="_ENREF_35"/>
      <w:bookmarkEnd w:id="677"/>
      <w:r w:rsidRPr="004566DC">
        <w:rPr>
          <w:rFonts w:ascii="Calibri" w:hAnsi="Calibri"/>
        </w:rPr>
        <w:t xml:space="preserve">Dugueperoux, I, Scotet, V, Audrezet, MP, Saliou, AH, Collet, M, Blayau, M, Schmitt, S, Kitzis, A, Fresquet, F, Muller, F &amp; Ferec, C 2012, 'Nonvisualization of fetal gallbladder increases the risk of cystic fibrosis', </w:t>
      </w:r>
      <w:r w:rsidRPr="004566DC">
        <w:rPr>
          <w:rFonts w:ascii="Calibri" w:hAnsi="Calibri"/>
          <w:i/>
        </w:rPr>
        <w:t>Prenat</w:t>
      </w:r>
      <w:r w:rsidR="001D5C50">
        <w:rPr>
          <w:rFonts w:ascii="Calibri" w:hAnsi="Calibri"/>
          <w:i/>
        </w:rPr>
        <w:t>al</w:t>
      </w:r>
      <w:r w:rsidRPr="004566DC">
        <w:rPr>
          <w:rFonts w:ascii="Calibri" w:hAnsi="Calibri"/>
          <w:i/>
        </w:rPr>
        <w:t xml:space="preserve"> Diagn</w:t>
      </w:r>
      <w:r w:rsidR="001D5C50">
        <w:rPr>
          <w:rFonts w:ascii="Calibri" w:hAnsi="Calibri"/>
          <w:i/>
        </w:rPr>
        <w:t>osis</w:t>
      </w:r>
      <w:r w:rsidRPr="004566DC">
        <w:rPr>
          <w:rFonts w:ascii="Calibri" w:hAnsi="Calibri"/>
        </w:rPr>
        <w:t>, vol. 32, no. 1, pp. 21</w:t>
      </w:r>
      <w:r w:rsidR="001D5C50">
        <w:rPr>
          <w:rFonts w:ascii="Calibri" w:hAnsi="Calibri"/>
        </w:rPr>
        <w:t>–</w:t>
      </w:r>
      <w:r w:rsidRPr="004566DC">
        <w:rPr>
          <w:rFonts w:ascii="Calibri" w:hAnsi="Calibri"/>
        </w:rPr>
        <w:t>28.</w:t>
      </w:r>
    </w:p>
    <w:p w14:paraId="3090CC6A" w14:textId="191BA0D9" w:rsidR="00B46ABF" w:rsidRPr="004566DC" w:rsidRDefault="00B46ABF" w:rsidP="00B46ABF">
      <w:pPr>
        <w:pStyle w:val="EndNoteBibliography"/>
        <w:rPr>
          <w:rFonts w:ascii="Calibri" w:hAnsi="Calibri"/>
        </w:rPr>
      </w:pPr>
      <w:bookmarkStart w:id="679" w:name="_ENREF_36"/>
      <w:bookmarkEnd w:id="678"/>
      <w:r w:rsidRPr="004566DC">
        <w:rPr>
          <w:rFonts w:ascii="Calibri" w:hAnsi="Calibri"/>
        </w:rPr>
        <w:t xml:space="preserve">Durieu, I, Bey-Omar, F, Rollet, J, Calemard, L, Boggio, D, Lejeune, H, Gilly, R, Morel, Y &amp; Durand, DV 1995, 'Diagnostic criteria for cystic fibrosis in men with congenital absence of the vas deferens', </w:t>
      </w:r>
      <w:r w:rsidRPr="004566DC">
        <w:rPr>
          <w:rFonts w:ascii="Calibri" w:hAnsi="Calibri"/>
          <w:i/>
        </w:rPr>
        <w:t>Medicine</w:t>
      </w:r>
      <w:r w:rsidRPr="004566DC">
        <w:rPr>
          <w:rFonts w:ascii="Calibri" w:hAnsi="Calibri"/>
        </w:rPr>
        <w:t>, vol. 74, no. 1, pp. 42</w:t>
      </w:r>
      <w:r w:rsidR="00EB6C4E">
        <w:rPr>
          <w:rFonts w:ascii="Calibri" w:hAnsi="Calibri"/>
        </w:rPr>
        <w:t>–</w:t>
      </w:r>
      <w:r w:rsidRPr="004566DC">
        <w:rPr>
          <w:rFonts w:ascii="Calibri" w:hAnsi="Calibri"/>
        </w:rPr>
        <w:t>47.</w:t>
      </w:r>
    </w:p>
    <w:p w14:paraId="639D437A" w14:textId="3ACF49B2" w:rsidR="00B46ABF" w:rsidRPr="004566DC" w:rsidRDefault="00B46ABF" w:rsidP="00B46ABF">
      <w:pPr>
        <w:pStyle w:val="EndNoteBibliography"/>
        <w:rPr>
          <w:rFonts w:ascii="Calibri" w:hAnsi="Calibri"/>
        </w:rPr>
      </w:pPr>
      <w:bookmarkStart w:id="680" w:name="_ENREF_37"/>
      <w:bookmarkEnd w:id="679"/>
      <w:r w:rsidRPr="004566DC">
        <w:rPr>
          <w:rFonts w:ascii="Calibri" w:hAnsi="Calibri"/>
        </w:rPr>
        <w:lastRenderedPageBreak/>
        <w:t xml:space="preserve">Edelmann, L, Hashmi, G, Song, Y, Han, Y, Kornreich, R &amp; Desnick, RJ 2004, 'Cystic fibrosis carrier screening: </w:t>
      </w:r>
      <w:r w:rsidR="00AE0F6C">
        <w:rPr>
          <w:rFonts w:ascii="Calibri" w:hAnsi="Calibri"/>
        </w:rPr>
        <w:t>v</w:t>
      </w:r>
      <w:r w:rsidRPr="004566DC">
        <w:rPr>
          <w:rFonts w:ascii="Calibri" w:hAnsi="Calibri"/>
        </w:rPr>
        <w:t xml:space="preserve">alidation of a novel method using BeadChip technology', </w:t>
      </w:r>
      <w:r w:rsidRPr="004566DC">
        <w:rPr>
          <w:rFonts w:ascii="Calibri" w:hAnsi="Calibri"/>
          <w:i/>
        </w:rPr>
        <w:t xml:space="preserve">Genetics in </w:t>
      </w:r>
      <w:r w:rsidR="00EB6C4E">
        <w:rPr>
          <w:rFonts w:ascii="Calibri" w:hAnsi="Calibri"/>
          <w:i/>
        </w:rPr>
        <w:t>M</w:t>
      </w:r>
      <w:r w:rsidRPr="004566DC">
        <w:rPr>
          <w:rFonts w:ascii="Calibri" w:hAnsi="Calibri"/>
          <w:i/>
        </w:rPr>
        <w:t>edicine</w:t>
      </w:r>
      <w:r w:rsidRPr="004566DC">
        <w:rPr>
          <w:rFonts w:ascii="Calibri" w:hAnsi="Calibri"/>
        </w:rPr>
        <w:t>, vol. 6, no. 5, pp. 431</w:t>
      </w:r>
      <w:r w:rsidR="00AE0F6C">
        <w:rPr>
          <w:rFonts w:ascii="Calibri" w:hAnsi="Calibri"/>
        </w:rPr>
        <w:t>–</w:t>
      </w:r>
      <w:r w:rsidRPr="004566DC">
        <w:rPr>
          <w:rFonts w:ascii="Calibri" w:hAnsi="Calibri"/>
        </w:rPr>
        <w:t>438.</w:t>
      </w:r>
    </w:p>
    <w:p w14:paraId="42CBEDC1" w14:textId="4FB662D3" w:rsidR="00B46ABF" w:rsidRPr="004566DC" w:rsidRDefault="00B46ABF" w:rsidP="00B46ABF">
      <w:pPr>
        <w:pStyle w:val="EndNoteBibliography"/>
        <w:rPr>
          <w:rFonts w:ascii="Calibri" w:hAnsi="Calibri"/>
        </w:rPr>
      </w:pPr>
      <w:bookmarkStart w:id="681" w:name="_ENREF_38"/>
      <w:bookmarkEnd w:id="680"/>
      <w:r w:rsidRPr="004566DC">
        <w:rPr>
          <w:rFonts w:ascii="Calibri" w:hAnsi="Calibri"/>
        </w:rPr>
        <w:t xml:space="preserve">Farrell, PM, Rosenstein, BJ, White, TB, Accurso, FJ, Castellani, C, Cutting, GR, Durie, PR, Legrys, VA, Massie, J, Parad, RB, Rock, MJ, Campbell, PW </w:t>
      </w:r>
      <w:r w:rsidR="00AE0F6C">
        <w:rPr>
          <w:rFonts w:ascii="Calibri" w:hAnsi="Calibri"/>
        </w:rPr>
        <w:t>III</w:t>
      </w:r>
      <w:r w:rsidRPr="004566DC">
        <w:rPr>
          <w:rFonts w:ascii="Calibri" w:hAnsi="Calibri"/>
        </w:rPr>
        <w:t xml:space="preserve"> &amp; Cystic Fibrosis F</w:t>
      </w:r>
      <w:r w:rsidR="00AE0F6C">
        <w:rPr>
          <w:rFonts w:ascii="Calibri" w:hAnsi="Calibri"/>
        </w:rPr>
        <w:t>oundation</w:t>
      </w:r>
      <w:r w:rsidRPr="004566DC">
        <w:rPr>
          <w:rFonts w:ascii="Calibri" w:hAnsi="Calibri"/>
        </w:rPr>
        <w:t xml:space="preserve"> 2008, 'Guidelines for diagnosis of cystic fibrosis in newborns through older adults: Cystic Fibrosis Foundation consensus report', </w:t>
      </w:r>
      <w:r w:rsidRPr="004566DC">
        <w:rPr>
          <w:rFonts w:ascii="Calibri" w:hAnsi="Calibri"/>
          <w:i/>
        </w:rPr>
        <w:t>J</w:t>
      </w:r>
      <w:r w:rsidR="00AE0F6C">
        <w:rPr>
          <w:rFonts w:ascii="Calibri" w:hAnsi="Calibri"/>
          <w:i/>
        </w:rPr>
        <w:t>ournal of</w:t>
      </w:r>
      <w:r w:rsidRPr="004566DC">
        <w:rPr>
          <w:rFonts w:ascii="Calibri" w:hAnsi="Calibri"/>
          <w:i/>
        </w:rPr>
        <w:t xml:space="preserve"> Pediatr</w:t>
      </w:r>
      <w:r w:rsidR="00AE0F6C">
        <w:rPr>
          <w:rFonts w:ascii="Calibri" w:hAnsi="Calibri"/>
          <w:i/>
        </w:rPr>
        <w:t>ics</w:t>
      </w:r>
      <w:r w:rsidRPr="004566DC">
        <w:rPr>
          <w:rFonts w:ascii="Calibri" w:hAnsi="Calibri"/>
        </w:rPr>
        <w:t>, vol. 153, no. 2, pp. S4</w:t>
      </w:r>
      <w:r w:rsidR="00AE0F6C">
        <w:rPr>
          <w:rFonts w:ascii="Calibri" w:hAnsi="Calibri"/>
        </w:rPr>
        <w:t>–</w:t>
      </w:r>
      <w:r w:rsidRPr="004566DC">
        <w:rPr>
          <w:rFonts w:ascii="Calibri" w:hAnsi="Calibri"/>
        </w:rPr>
        <w:t>S14.</w:t>
      </w:r>
    </w:p>
    <w:p w14:paraId="36C7E0EE" w14:textId="6CC712E9" w:rsidR="00B46ABF" w:rsidRPr="004566DC" w:rsidRDefault="00B46ABF" w:rsidP="00B46ABF">
      <w:pPr>
        <w:pStyle w:val="EndNoteBibliography"/>
        <w:rPr>
          <w:rFonts w:ascii="Calibri" w:hAnsi="Calibri"/>
        </w:rPr>
      </w:pPr>
      <w:bookmarkStart w:id="682" w:name="_ENREF_39"/>
      <w:bookmarkEnd w:id="681"/>
      <w:r w:rsidRPr="004566DC">
        <w:rPr>
          <w:rFonts w:ascii="Calibri" w:hAnsi="Calibri"/>
        </w:rPr>
        <w:t xml:space="preserve">Frenţescu, L &amp; Budişan, L 2009, 'Screening for common cystic fibrosis mutations in Romanian patients: </w:t>
      </w:r>
      <w:r w:rsidR="00880146">
        <w:rPr>
          <w:rFonts w:ascii="Calibri" w:hAnsi="Calibri"/>
        </w:rPr>
        <w:t>a</w:t>
      </w:r>
      <w:r w:rsidRPr="004566DC">
        <w:rPr>
          <w:rFonts w:ascii="Calibri" w:hAnsi="Calibri"/>
        </w:rPr>
        <w:t xml:space="preserve">nalysis of twenty-one cases', </w:t>
      </w:r>
      <w:r w:rsidRPr="004566DC">
        <w:rPr>
          <w:rFonts w:ascii="Calibri" w:hAnsi="Calibri"/>
          <w:i/>
        </w:rPr>
        <w:t>Revista Romana de Medicina de Laborator</w:t>
      </w:r>
      <w:r w:rsidRPr="004566DC">
        <w:rPr>
          <w:rFonts w:ascii="Calibri" w:hAnsi="Calibri"/>
        </w:rPr>
        <w:t>, vol. 17, no. 4, pp. 25</w:t>
      </w:r>
      <w:r w:rsidR="00880146">
        <w:rPr>
          <w:rFonts w:ascii="Calibri" w:hAnsi="Calibri"/>
        </w:rPr>
        <w:t>–</w:t>
      </w:r>
      <w:r w:rsidRPr="004566DC">
        <w:rPr>
          <w:rFonts w:ascii="Calibri" w:hAnsi="Calibri"/>
        </w:rPr>
        <w:t>30.</w:t>
      </w:r>
    </w:p>
    <w:p w14:paraId="11F50524" w14:textId="65E0067A" w:rsidR="00B46ABF" w:rsidRPr="004566DC" w:rsidRDefault="00B46ABF" w:rsidP="00B46ABF">
      <w:pPr>
        <w:pStyle w:val="EndNoteBibliography"/>
        <w:rPr>
          <w:rFonts w:ascii="Calibri" w:hAnsi="Calibri"/>
        </w:rPr>
      </w:pPr>
      <w:bookmarkStart w:id="683" w:name="_ENREF_40"/>
      <w:bookmarkEnd w:id="682"/>
      <w:r w:rsidRPr="004566DC">
        <w:rPr>
          <w:rFonts w:ascii="Calibri" w:hAnsi="Calibri"/>
        </w:rPr>
        <w:t>Gallati, S, Hess, S, Galié-Wunder, D, Berger-Menz, E &amp; Böhlen, D 2009, 'Cystic fibrosis transmembrane conductance regulator mutations in azoospermic and oligospermi</w:t>
      </w:r>
      <w:r w:rsidR="00216306">
        <w:rPr>
          <w:rFonts w:ascii="Calibri" w:hAnsi="Calibri"/>
        </w:rPr>
        <w:t>c</w:t>
      </w:r>
      <w:r w:rsidRPr="004566DC">
        <w:rPr>
          <w:rFonts w:ascii="Calibri" w:hAnsi="Calibri"/>
        </w:rPr>
        <w:t xml:space="preserve"> men and their partners', </w:t>
      </w:r>
      <w:r w:rsidRPr="004566DC">
        <w:rPr>
          <w:rFonts w:ascii="Calibri" w:hAnsi="Calibri"/>
          <w:i/>
        </w:rPr>
        <w:t>Reproductive BioMedicine Online</w:t>
      </w:r>
      <w:r w:rsidRPr="004566DC">
        <w:rPr>
          <w:rFonts w:ascii="Calibri" w:hAnsi="Calibri"/>
        </w:rPr>
        <w:t>, vol. 19, no. 5, pp. 685</w:t>
      </w:r>
      <w:r w:rsidR="00216306">
        <w:rPr>
          <w:rFonts w:ascii="Calibri" w:hAnsi="Calibri"/>
        </w:rPr>
        <w:t>–</w:t>
      </w:r>
      <w:r w:rsidRPr="004566DC">
        <w:rPr>
          <w:rFonts w:ascii="Calibri" w:hAnsi="Calibri"/>
        </w:rPr>
        <w:t>694.</w:t>
      </w:r>
    </w:p>
    <w:p w14:paraId="26154A34" w14:textId="700EA312" w:rsidR="00B46ABF" w:rsidRPr="004566DC" w:rsidRDefault="00B46ABF" w:rsidP="00B46ABF">
      <w:pPr>
        <w:pStyle w:val="EndNoteBibliography"/>
        <w:rPr>
          <w:rFonts w:ascii="Calibri" w:hAnsi="Calibri"/>
        </w:rPr>
      </w:pPr>
      <w:bookmarkStart w:id="684" w:name="_ENREF_41"/>
      <w:bookmarkEnd w:id="683"/>
      <w:r w:rsidRPr="004566DC">
        <w:rPr>
          <w:rFonts w:ascii="Calibri" w:hAnsi="Calibri"/>
        </w:rPr>
        <w:t xml:space="preserve">Gasparini, P, Marigo, C, Bisceglia, G, Nicolis, E, Zelante, L, Bombieri, C, Borgo, G, Pignatti, PF &amp; Cabrini, G 1993, 'Screening of 62 mutations in a cohort of cystic fibrosis patients from north eastern Italy: </w:t>
      </w:r>
      <w:r w:rsidR="00216306">
        <w:rPr>
          <w:rFonts w:ascii="Calibri" w:hAnsi="Calibri"/>
        </w:rPr>
        <w:t>t</w:t>
      </w:r>
      <w:r w:rsidRPr="004566DC">
        <w:rPr>
          <w:rFonts w:ascii="Calibri" w:hAnsi="Calibri"/>
        </w:rPr>
        <w:t xml:space="preserve">heir incidence and clinical features of defined genotypes', </w:t>
      </w:r>
      <w:r w:rsidRPr="004566DC">
        <w:rPr>
          <w:rFonts w:ascii="Calibri" w:hAnsi="Calibri"/>
          <w:i/>
        </w:rPr>
        <w:t>Hum</w:t>
      </w:r>
      <w:r w:rsidR="00216306">
        <w:rPr>
          <w:rFonts w:ascii="Calibri" w:hAnsi="Calibri"/>
          <w:i/>
        </w:rPr>
        <w:t>an</w:t>
      </w:r>
      <w:r w:rsidRPr="004566DC">
        <w:rPr>
          <w:rFonts w:ascii="Calibri" w:hAnsi="Calibri"/>
          <w:i/>
        </w:rPr>
        <w:t xml:space="preserve"> Mutat</w:t>
      </w:r>
      <w:r w:rsidR="00216306">
        <w:rPr>
          <w:rFonts w:ascii="Calibri" w:hAnsi="Calibri"/>
          <w:i/>
        </w:rPr>
        <w:t>ion</w:t>
      </w:r>
      <w:r w:rsidRPr="004566DC">
        <w:rPr>
          <w:rFonts w:ascii="Calibri" w:hAnsi="Calibri"/>
        </w:rPr>
        <w:t>, vol. 2, no. 5, pp. 389</w:t>
      </w:r>
      <w:r w:rsidR="00216306">
        <w:rPr>
          <w:rFonts w:ascii="Calibri" w:hAnsi="Calibri"/>
        </w:rPr>
        <w:t>–</w:t>
      </w:r>
      <w:r w:rsidRPr="004566DC">
        <w:rPr>
          <w:rFonts w:ascii="Calibri" w:hAnsi="Calibri"/>
        </w:rPr>
        <w:t>394.</w:t>
      </w:r>
    </w:p>
    <w:p w14:paraId="689713CB" w14:textId="2B9F49E1" w:rsidR="00B46ABF" w:rsidRPr="004566DC" w:rsidRDefault="00B46ABF" w:rsidP="00B46ABF">
      <w:pPr>
        <w:pStyle w:val="EndNoteBibliography"/>
        <w:rPr>
          <w:rFonts w:ascii="Calibri" w:hAnsi="Calibri"/>
        </w:rPr>
      </w:pPr>
      <w:bookmarkStart w:id="685" w:name="_ENREF_42"/>
      <w:bookmarkEnd w:id="684"/>
      <w:r w:rsidRPr="004566DC">
        <w:rPr>
          <w:rFonts w:ascii="Calibri" w:hAnsi="Calibri"/>
        </w:rPr>
        <w:t xml:space="preserve">Geerinck-Vercammen, CR &amp; Kanhai, HH 2003, 'Coping with termination of pregnancy for fetal abnormality in a supportive environment', </w:t>
      </w:r>
      <w:r w:rsidRPr="004566DC">
        <w:rPr>
          <w:rFonts w:ascii="Calibri" w:hAnsi="Calibri"/>
          <w:i/>
        </w:rPr>
        <w:t>Prenat</w:t>
      </w:r>
      <w:r w:rsidR="00216306">
        <w:rPr>
          <w:rFonts w:ascii="Calibri" w:hAnsi="Calibri"/>
          <w:i/>
        </w:rPr>
        <w:t>al</w:t>
      </w:r>
      <w:r w:rsidRPr="004566DC">
        <w:rPr>
          <w:rFonts w:ascii="Calibri" w:hAnsi="Calibri"/>
          <w:i/>
        </w:rPr>
        <w:t xml:space="preserve"> Diagn</w:t>
      </w:r>
      <w:r w:rsidR="00216306">
        <w:rPr>
          <w:rFonts w:ascii="Calibri" w:hAnsi="Calibri"/>
          <w:i/>
        </w:rPr>
        <w:t>osis</w:t>
      </w:r>
      <w:r w:rsidRPr="004566DC">
        <w:rPr>
          <w:rFonts w:ascii="Calibri" w:hAnsi="Calibri"/>
        </w:rPr>
        <w:t>, vol. 23, no. 7, pp. 543</w:t>
      </w:r>
      <w:r w:rsidR="00216306">
        <w:rPr>
          <w:rFonts w:ascii="Calibri" w:hAnsi="Calibri"/>
        </w:rPr>
        <w:t>–</w:t>
      </w:r>
      <w:r w:rsidRPr="004566DC">
        <w:rPr>
          <w:rFonts w:ascii="Calibri" w:hAnsi="Calibri"/>
        </w:rPr>
        <w:t>548.</w:t>
      </w:r>
    </w:p>
    <w:p w14:paraId="41A7AB6F" w14:textId="2FAF354F" w:rsidR="00B46ABF" w:rsidRPr="004566DC" w:rsidRDefault="00B46ABF" w:rsidP="00B46ABF">
      <w:pPr>
        <w:pStyle w:val="EndNoteBibliography"/>
        <w:rPr>
          <w:rFonts w:ascii="Calibri" w:hAnsi="Calibri"/>
        </w:rPr>
      </w:pPr>
      <w:bookmarkStart w:id="686" w:name="_ENREF_43"/>
      <w:bookmarkEnd w:id="685"/>
      <w:r w:rsidRPr="004566DC">
        <w:rPr>
          <w:rFonts w:ascii="Calibri" w:hAnsi="Calibri"/>
        </w:rPr>
        <w:t xml:space="preserve">Ghose, I, Mason, GC, Martinez, D, Harrison, KL, Evans, JA, Ferriman, EL &amp; Stringer, MD 2000, 'Hyperechogenic fetal bowel: a prospective analysis of sixty consecutive cases', </w:t>
      </w:r>
      <w:r w:rsidRPr="004566DC">
        <w:rPr>
          <w:rFonts w:ascii="Calibri" w:hAnsi="Calibri"/>
          <w:i/>
        </w:rPr>
        <w:t>B</w:t>
      </w:r>
      <w:r w:rsidRPr="004566DC">
        <w:rPr>
          <w:rFonts w:ascii="Calibri" w:hAnsi="Calibri"/>
          <w:i/>
          <w:caps/>
        </w:rPr>
        <w:t>jog</w:t>
      </w:r>
      <w:r w:rsidRPr="004566DC">
        <w:rPr>
          <w:rFonts w:ascii="Calibri" w:hAnsi="Calibri"/>
        </w:rPr>
        <w:t>, vol. 107, no. 3, pp. 426</w:t>
      </w:r>
      <w:r w:rsidR="00216306">
        <w:rPr>
          <w:rFonts w:ascii="Calibri" w:hAnsi="Calibri"/>
        </w:rPr>
        <w:t>–</w:t>
      </w:r>
      <w:r w:rsidRPr="004566DC">
        <w:rPr>
          <w:rFonts w:ascii="Calibri" w:hAnsi="Calibri"/>
        </w:rPr>
        <w:t>429.</w:t>
      </w:r>
    </w:p>
    <w:p w14:paraId="55568FBD" w14:textId="6B464EA7" w:rsidR="00B46ABF" w:rsidRPr="004566DC" w:rsidRDefault="00B46ABF" w:rsidP="00B46ABF">
      <w:pPr>
        <w:pStyle w:val="EndNoteBibliography"/>
        <w:rPr>
          <w:rFonts w:ascii="Calibri" w:hAnsi="Calibri"/>
        </w:rPr>
      </w:pPr>
      <w:bookmarkStart w:id="687" w:name="_ENREF_44"/>
      <w:bookmarkEnd w:id="686"/>
      <w:r w:rsidRPr="004566DC">
        <w:rPr>
          <w:rFonts w:ascii="Calibri" w:hAnsi="Calibri"/>
        </w:rPr>
        <w:t>Giarelli, E 2001, 'Ethical issues in genetic testing</w:t>
      </w:r>
      <w:r w:rsidR="00216306">
        <w:rPr>
          <w:rFonts w:ascii="Calibri" w:hAnsi="Calibri"/>
        </w:rPr>
        <w:t>:</w:t>
      </w:r>
      <w:r w:rsidRPr="004566DC">
        <w:rPr>
          <w:rFonts w:ascii="Calibri" w:hAnsi="Calibri"/>
        </w:rPr>
        <w:t xml:space="preserve"> </w:t>
      </w:r>
      <w:r w:rsidR="00216306">
        <w:rPr>
          <w:rFonts w:ascii="Calibri" w:hAnsi="Calibri"/>
        </w:rPr>
        <w:t>t</w:t>
      </w:r>
      <w:r w:rsidRPr="004566DC">
        <w:rPr>
          <w:rFonts w:ascii="Calibri" w:hAnsi="Calibri"/>
        </w:rPr>
        <w:t xml:space="preserve">he experiences of one family diagnosed with an inherited cancer syndrome', </w:t>
      </w:r>
      <w:r w:rsidRPr="004566DC">
        <w:rPr>
          <w:rFonts w:ascii="Calibri" w:hAnsi="Calibri"/>
          <w:i/>
        </w:rPr>
        <w:t xml:space="preserve">Journal of </w:t>
      </w:r>
      <w:r w:rsidR="00216306">
        <w:rPr>
          <w:rFonts w:ascii="Calibri" w:hAnsi="Calibri"/>
          <w:i/>
        </w:rPr>
        <w:t>I</w:t>
      </w:r>
      <w:r w:rsidRPr="004566DC">
        <w:rPr>
          <w:rFonts w:ascii="Calibri" w:hAnsi="Calibri"/>
          <w:i/>
        </w:rPr>
        <w:t xml:space="preserve">nfusion </w:t>
      </w:r>
      <w:r w:rsidR="00216306">
        <w:rPr>
          <w:rFonts w:ascii="Calibri" w:hAnsi="Calibri"/>
          <w:i/>
        </w:rPr>
        <w:t>N</w:t>
      </w:r>
      <w:r w:rsidRPr="004566DC">
        <w:rPr>
          <w:rFonts w:ascii="Calibri" w:hAnsi="Calibri"/>
          <w:i/>
        </w:rPr>
        <w:t>ursing</w:t>
      </w:r>
      <w:r w:rsidRPr="004566DC">
        <w:rPr>
          <w:rFonts w:ascii="Calibri" w:hAnsi="Calibri"/>
        </w:rPr>
        <w:t>, vol. 24, no. 5, pp. 301</w:t>
      </w:r>
      <w:r w:rsidR="00216306">
        <w:rPr>
          <w:rFonts w:ascii="Calibri" w:hAnsi="Calibri"/>
        </w:rPr>
        <w:t>–</w:t>
      </w:r>
      <w:r w:rsidRPr="004566DC">
        <w:rPr>
          <w:rFonts w:ascii="Calibri" w:hAnsi="Calibri"/>
        </w:rPr>
        <w:t>310.</w:t>
      </w:r>
    </w:p>
    <w:p w14:paraId="5B9C30B3" w14:textId="03445F0C" w:rsidR="00B46ABF" w:rsidRPr="004566DC" w:rsidRDefault="00B46ABF" w:rsidP="007962EC">
      <w:pPr>
        <w:pStyle w:val="EndNoteBibliography"/>
        <w:rPr>
          <w:rFonts w:ascii="Calibri" w:hAnsi="Calibri"/>
        </w:rPr>
      </w:pPr>
      <w:bookmarkStart w:id="688" w:name="_ENREF_45"/>
      <w:bookmarkEnd w:id="687"/>
      <w:r w:rsidRPr="004566DC">
        <w:rPr>
          <w:rFonts w:ascii="Calibri" w:hAnsi="Calibri"/>
        </w:rPr>
        <w:t xml:space="preserve">Giuliani, R, Antonucci, I, Torrente, I, Grammatico, P, Palka, G &amp; Stuppia, L 2010, 'Identification of the second CFTR mutation in patients with congenital bilateral absence of vas deferens undergoing ART protocols', </w:t>
      </w:r>
      <w:r w:rsidRPr="004566DC">
        <w:rPr>
          <w:rFonts w:ascii="Calibri" w:hAnsi="Calibri"/>
          <w:i/>
        </w:rPr>
        <w:t>Asian Journal of Andrology</w:t>
      </w:r>
      <w:r w:rsidRPr="004566DC">
        <w:rPr>
          <w:rFonts w:ascii="Calibri" w:hAnsi="Calibri"/>
        </w:rPr>
        <w:t>, vol. 12, no. 6, pp. 819</w:t>
      </w:r>
      <w:r w:rsidR="00216306">
        <w:rPr>
          <w:rFonts w:ascii="Calibri" w:hAnsi="Calibri"/>
        </w:rPr>
        <w:t>–</w:t>
      </w:r>
      <w:r w:rsidRPr="004566DC">
        <w:rPr>
          <w:rFonts w:ascii="Calibri" w:hAnsi="Calibri"/>
        </w:rPr>
        <w:t>826.</w:t>
      </w:r>
    </w:p>
    <w:p w14:paraId="5D532A35" w14:textId="70877055" w:rsidR="00B46ABF" w:rsidRPr="004566DC" w:rsidRDefault="00B46ABF" w:rsidP="00B46ABF">
      <w:pPr>
        <w:pStyle w:val="EndNoteBibliography"/>
        <w:rPr>
          <w:rFonts w:ascii="Calibri" w:hAnsi="Calibri"/>
        </w:rPr>
      </w:pPr>
      <w:bookmarkStart w:id="689" w:name="_ENREF_46"/>
      <w:bookmarkEnd w:id="688"/>
      <w:r w:rsidRPr="004566DC">
        <w:rPr>
          <w:rFonts w:ascii="Calibri" w:hAnsi="Calibri"/>
        </w:rPr>
        <w:t xml:space="preserve">Goetzinger, KR, Cahill, AG, Macones, GA &amp; Odibo, AO 2011, 'Echogenic </w:t>
      </w:r>
      <w:r w:rsidR="00ED210E">
        <w:rPr>
          <w:rFonts w:ascii="Calibri" w:hAnsi="Calibri"/>
        </w:rPr>
        <w:t>b</w:t>
      </w:r>
      <w:r w:rsidRPr="004566DC">
        <w:rPr>
          <w:rFonts w:ascii="Calibri" w:hAnsi="Calibri"/>
        </w:rPr>
        <w:t xml:space="preserve">owel on </w:t>
      </w:r>
      <w:r w:rsidR="00ED210E">
        <w:rPr>
          <w:rFonts w:ascii="Calibri" w:hAnsi="Calibri"/>
        </w:rPr>
        <w:t>s</w:t>
      </w:r>
      <w:r w:rsidRPr="004566DC">
        <w:rPr>
          <w:rFonts w:ascii="Calibri" w:hAnsi="Calibri"/>
        </w:rPr>
        <w:t>econd-</w:t>
      </w:r>
      <w:r w:rsidR="00ED210E">
        <w:rPr>
          <w:rFonts w:ascii="Calibri" w:hAnsi="Calibri"/>
        </w:rPr>
        <w:t>t</w:t>
      </w:r>
      <w:r w:rsidRPr="004566DC">
        <w:rPr>
          <w:rFonts w:ascii="Calibri" w:hAnsi="Calibri"/>
        </w:rPr>
        <w:t xml:space="preserve">rimester </w:t>
      </w:r>
      <w:r w:rsidR="00ED210E">
        <w:rPr>
          <w:rFonts w:ascii="Calibri" w:hAnsi="Calibri"/>
        </w:rPr>
        <w:t>u</w:t>
      </w:r>
      <w:r w:rsidRPr="004566DC">
        <w:rPr>
          <w:rFonts w:ascii="Calibri" w:hAnsi="Calibri"/>
        </w:rPr>
        <w:t xml:space="preserve">ltrasound: </w:t>
      </w:r>
      <w:r w:rsidR="00ED210E">
        <w:rPr>
          <w:rFonts w:ascii="Calibri" w:hAnsi="Calibri"/>
        </w:rPr>
        <w:t>e</w:t>
      </w:r>
      <w:r w:rsidRPr="004566DC">
        <w:rPr>
          <w:rFonts w:ascii="Calibri" w:hAnsi="Calibri"/>
        </w:rPr>
        <w:t xml:space="preserve">valuating the </w:t>
      </w:r>
      <w:r w:rsidR="00ED210E">
        <w:rPr>
          <w:rFonts w:ascii="Calibri" w:hAnsi="Calibri"/>
        </w:rPr>
        <w:t>r</w:t>
      </w:r>
      <w:r w:rsidRPr="004566DC">
        <w:rPr>
          <w:rFonts w:ascii="Calibri" w:hAnsi="Calibri"/>
        </w:rPr>
        <w:t xml:space="preserve">isk of </w:t>
      </w:r>
      <w:r w:rsidR="00ED210E">
        <w:rPr>
          <w:rFonts w:ascii="Calibri" w:hAnsi="Calibri"/>
        </w:rPr>
        <w:t>a</w:t>
      </w:r>
      <w:r w:rsidRPr="004566DC">
        <w:rPr>
          <w:rFonts w:ascii="Calibri" w:hAnsi="Calibri"/>
        </w:rPr>
        <w:t xml:space="preserve">dverse </w:t>
      </w:r>
      <w:r w:rsidR="00ED210E">
        <w:rPr>
          <w:rFonts w:ascii="Calibri" w:hAnsi="Calibri"/>
        </w:rPr>
        <w:t>p</w:t>
      </w:r>
      <w:r w:rsidRPr="004566DC">
        <w:rPr>
          <w:rFonts w:ascii="Calibri" w:hAnsi="Calibri"/>
        </w:rPr>
        <w:t xml:space="preserve">regnancy </w:t>
      </w:r>
      <w:r w:rsidR="00ED210E">
        <w:rPr>
          <w:rFonts w:ascii="Calibri" w:hAnsi="Calibri"/>
        </w:rPr>
        <w:t>o</w:t>
      </w:r>
      <w:r w:rsidRPr="004566DC">
        <w:rPr>
          <w:rFonts w:ascii="Calibri" w:hAnsi="Calibri"/>
        </w:rPr>
        <w:t xml:space="preserve">utcome', </w:t>
      </w:r>
      <w:r w:rsidRPr="004566DC">
        <w:rPr>
          <w:rFonts w:ascii="Calibri" w:hAnsi="Calibri"/>
          <w:i/>
        </w:rPr>
        <w:t xml:space="preserve">Obstetrics and </w:t>
      </w:r>
      <w:r w:rsidR="00ED210E">
        <w:rPr>
          <w:rFonts w:ascii="Calibri" w:hAnsi="Calibri"/>
          <w:i/>
        </w:rPr>
        <w:t>G</w:t>
      </w:r>
      <w:r w:rsidRPr="004566DC">
        <w:rPr>
          <w:rFonts w:ascii="Calibri" w:hAnsi="Calibri"/>
          <w:i/>
        </w:rPr>
        <w:t>ynecology</w:t>
      </w:r>
      <w:r w:rsidRPr="004566DC">
        <w:rPr>
          <w:rFonts w:ascii="Calibri" w:hAnsi="Calibri"/>
        </w:rPr>
        <w:t>, vol. 117, no. 6, pp. 1341</w:t>
      </w:r>
      <w:r w:rsidR="00ED210E">
        <w:rPr>
          <w:rFonts w:ascii="Calibri" w:hAnsi="Calibri"/>
        </w:rPr>
        <w:t>–</w:t>
      </w:r>
      <w:r w:rsidRPr="004566DC">
        <w:rPr>
          <w:rFonts w:ascii="Calibri" w:hAnsi="Calibri"/>
        </w:rPr>
        <w:t>1348.</w:t>
      </w:r>
    </w:p>
    <w:p w14:paraId="68351083" w14:textId="2D565230" w:rsidR="00B46ABF" w:rsidRPr="004566DC" w:rsidRDefault="00B46ABF" w:rsidP="00B46ABF">
      <w:pPr>
        <w:pStyle w:val="EndNoteBibliography"/>
        <w:rPr>
          <w:rFonts w:ascii="Calibri" w:hAnsi="Calibri"/>
        </w:rPr>
      </w:pPr>
      <w:bookmarkStart w:id="690" w:name="_ENREF_47"/>
      <w:bookmarkEnd w:id="689"/>
      <w:r w:rsidRPr="004566DC">
        <w:rPr>
          <w:rFonts w:ascii="Calibri" w:hAnsi="Calibri"/>
        </w:rPr>
        <w:t xml:space="preserve">Groman, JD, Hefferon, TW, Casals, T, Bassas, L, Estivill, X, Des Georges, M, Guittard, C, Koudova, M, Fallin, MD, Nemeth, K, Fekete, G, Kadasi, L, Friedman, K, Schwarz, M, Bombieri, C, Pignatti, PF, Kanavakis, E, Tzetis, M, Schwartz, M, Novelli, G, D'Apice, MR, Sobczynska-Tomaszewska, A, Bal, J, Stuhrmann, M, Macek, M, Jr., Claustres, M &amp; Cutting, GR 2004, 'Variation in a repeat sequence determines whether a common variant of the cystic fibrosis transmembrane conductance regulator gene is pathogenic or benign', </w:t>
      </w:r>
      <w:r w:rsidRPr="004566DC">
        <w:rPr>
          <w:rFonts w:ascii="Calibri" w:hAnsi="Calibri"/>
          <w:i/>
        </w:rPr>
        <w:t>Am</w:t>
      </w:r>
      <w:r w:rsidR="006C7419">
        <w:rPr>
          <w:rFonts w:ascii="Calibri" w:hAnsi="Calibri"/>
          <w:i/>
        </w:rPr>
        <w:t>erican</w:t>
      </w:r>
      <w:r w:rsidRPr="004566DC">
        <w:rPr>
          <w:rFonts w:ascii="Calibri" w:hAnsi="Calibri"/>
          <w:i/>
        </w:rPr>
        <w:t xml:space="preserve"> J</w:t>
      </w:r>
      <w:r w:rsidR="006C7419">
        <w:rPr>
          <w:rFonts w:ascii="Calibri" w:hAnsi="Calibri"/>
          <w:i/>
        </w:rPr>
        <w:t>ournal of</w:t>
      </w:r>
      <w:r w:rsidRPr="004566DC">
        <w:rPr>
          <w:rFonts w:ascii="Calibri" w:hAnsi="Calibri"/>
          <w:i/>
        </w:rPr>
        <w:t xml:space="preserve"> Hum</w:t>
      </w:r>
      <w:r w:rsidR="006C7419">
        <w:rPr>
          <w:rFonts w:ascii="Calibri" w:hAnsi="Calibri"/>
          <w:i/>
        </w:rPr>
        <w:t>an</w:t>
      </w:r>
      <w:r w:rsidRPr="004566DC">
        <w:rPr>
          <w:rFonts w:ascii="Calibri" w:hAnsi="Calibri"/>
          <w:i/>
        </w:rPr>
        <w:t xml:space="preserve"> Genet</w:t>
      </w:r>
      <w:r w:rsidR="006C7419">
        <w:rPr>
          <w:rFonts w:ascii="Calibri" w:hAnsi="Calibri"/>
          <w:i/>
        </w:rPr>
        <w:t>ics</w:t>
      </w:r>
      <w:r w:rsidRPr="004566DC">
        <w:rPr>
          <w:rFonts w:ascii="Calibri" w:hAnsi="Calibri"/>
        </w:rPr>
        <w:t>, vol. 74, no. 1, pp. 176</w:t>
      </w:r>
      <w:r w:rsidR="006C7419">
        <w:rPr>
          <w:rFonts w:ascii="Calibri" w:hAnsi="Calibri"/>
        </w:rPr>
        <w:t>–</w:t>
      </w:r>
      <w:r w:rsidRPr="004566DC">
        <w:rPr>
          <w:rFonts w:ascii="Calibri" w:hAnsi="Calibri"/>
        </w:rPr>
        <w:t>179.</w:t>
      </w:r>
    </w:p>
    <w:p w14:paraId="17160E8F" w14:textId="639BC8C3" w:rsidR="00B46ABF" w:rsidRPr="004566DC" w:rsidRDefault="00B46ABF" w:rsidP="00B46ABF">
      <w:pPr>
        <w:pStyle w:val="EndNoteBibliography"/>
        <w:rPr>
          <w:rFonts w:ascii="Calibri" w:hAnsi="Calibri"/>
        </w:rPr>
      </w:pPr>
      <w:bookmarkStart w:id="691" w:name="_ENREF_48"/>
      <w:bookmarkEnd w:id="690"/>
      <w:r w:rsidRPr="004566DC">
        <w:rPr>
          <w:rFonts w:ascii="Calibri" w:hAnsi="Calibri"/>
        </w:rPr>
        <w:t xml:space="preserve">Heim, RA, Sugarman, EA &amp; Allitto, BA 2001, 'Improved detection of cystic fibrosis mutations in the heterogeneous U.S. population using an expanded, pan-ethnic mutation panel', </w:t>
      </w:r>
      <w:r w:rsidRPr="004566DC">
        <w:rPr>
          <w:rFonts w:ascii="Calibri" w:hAnsi="Calibri"/>
          <w:i/>
        </w:rPr>
        <w:t>Genetics in Medicine</w:t>
      </w:r>
      <w:r w:rsidRPr="004566DC">
        <w:rPr>
          <w:rFonts w:ascii="Calibri" w:hAnsi="Calibri"/>
        </w:rPr>
        <w:t>, vol. 3, no. 3, pp. 168</w:t>
      </w:r>
      <w:r w:rsidR="00A07573">
        <w:rPr>
          <w:rFonts w:ascii="Calibri" w:hAnsi="Calibri"/>
        </w:rPr>
        <w:t>–</w:t>
      </w:r>
      <w:r w:rsidRPr="004566DC">
        <w:rPr>
          <w:rFonts w:ascii="Calibri" w:hAnsi="Calibri"/>
        </w:rPr>
        <w:t>176.</w:t>
      </w:r>
    </w:p>
    <w:p w14:paraId="09148E9D" w14:textId="47CCE65C" w:rsidR="00B46ABF" w:rsidRPr="004566DC" w:rsidRDefault="00B46ABF" w:rsidP="00B46ABF">
      <w:pPr>
        <w:pStyle w:val="EndNoteBibliography"/>
        <w:rPr>
          <w:rFonts w:ascii="Calibri" w:hAnsi="Calibri"/>
        </w:rPr>
      </w:pPr>
      <w:bookmarkStart w:id="692" w:name="_ENREF_49"/>
      <w:bookmarkEnd w:id="691"/>
      <w:r w:rsidRPr="004566DC">
        <w:rPr>
          <w:rFonts w:ascii="Calibri" w:hAnsi="Calibri"/>
        </w:rPr>
        <w:lastRenderedPageBreak/>
        <w:t xml:space="preserve">Hildt, E 2002, 'Autonomy and freedom of choice in prenatal genetic diagnosis', </w:t>
      </w:r>
      <w:r w:rsidRPr="004566DC">
        <w:rPr>
          <w:rFonts w:ascii="Calibri" w:hAnsi="Calibri"/>
          <w:i/>
        </w:rPr>
        <w:t xml:space="preserve">Medicine, </w:t>
      </w:r>
      <w:r w:rsidR="00A07573">
        <w:rPr>
          <w:rFonts w:ascii="Calibri" w:hAnsi="Calibri"/>
          <w:i/>
        </w:rPr>
        <w:t>H</w:t>
      </w:r>
      <w:r w:rsidRPr="004566DC">
        <w:rPr>
          <w:rFonts w:ascii="Calibri" w:hAnsi="Calibri"/>
          <w:i/>
        </w:rPr>
        <w:t xml:space="preserve">ealth </w:t>
      </w:r>
      <w:r w:rsidR="00A07573">
        <w:rPr>
          <w:rFonts w:ascii="Calibri" w:hAnsi="Calibri"/>
          <w:i/>
        </w:rPr>
        <w:t>C</w:t>
      </w:r>
      <w:r w:rsidRPr="004566DC">
        <w:rPr>
          <w:rFonts w:ascii="Calibri" w:hAnsi="Calibri"/>
          <w:i/>
        </w:rPr>
        <w:t xml:space="preserve">are and </w:t>
      </w:r>
      <w:r w:rsidR="00A07573">
        <w:rPr>
          <w:rFonts w:ascii="Calibri" w:hAnsi="Calibri"/>
          <w:i/>
        </w:rPr>
        <w:t>P</w:t>
      </w:r>
      <w:r w:rsidRPr="004566DC">
        <w:rPr>
          <w:rFonts w:ascii="Calibri" w:hAnsi="Calibri"/>
          <w:i/>
        </w:rPr>
        <w:t>hilosophy</w:t>
      </w:r>
      <w:r w:rsidRPr="004566DC">
        <w:rPr>
          <w:rFonts w:ascii="Calibri" w:hAnsi="Calibri"/>
        </w:rPr>
        <w:t>, vol. 5, no. 1, pp. 65</w:t>
      </w:r>
      <w:r w:rsidR="00A07573">
        <w:rPr>
          <w:rFonts w:ascii="Calibri" w:hAnsi="Calibri"/>
        </w:rPr>
        <w:t>–</w:t>
      </w:r>
      <w:r w:rsidRPr="004566DC">
        <w:rPr>
          <w:rFonts w:ascii="Calibri" w:hAnsi="Calibri"/>
        </w:rPr>
        <w:t>71.</w:t>
      </w:r>
    </w:p>
    <w:p w14:paraId="457C0A01" w14:textId="1AAE3263" w:rsidR="00B46ABF" w:rsidRPr="004566DC" w:rsidRDefault="00B46ABF" w:rsidP="00B46ABF">
      <w:pPr>
        <w:pStyle w:val="EndNoteBibliography"/>
        <w:rPr>
          <w:rFonts w:ascii="Calibri" w:hAnsi="Calibri"/>
        </w:rPr>
      </w:pPr>
      <w:bookmarkStart w:id="693" w:name="_ENREF_50"/>
      <w:bookmarkEnd w:id="692"/>
      <w:r w:rsidRPr="004566DC">
        <w:rPr>
          <w:rFonts w:ascii="Calibri" w:hAnsi="Calibri"/>
        </w:rPr>
        <w:t xml:space="preserve">Hill, J 2004, 'More than I wanted to know', </w:t>
      </w:r>
      <w:r w:rsidRPr="004566DC">
        <w:rPr>
          <w:rFonts w:ascii="Calibri" w:hAnsi="Calibri"/>
          <w:i/>
        </w:rPr>
        <w:t>Lancet</w:t>
      </w:r>
      <w:r w:rsidRPr="004566DC">
        <w:rPr>
          <w:rFonts w:ascii="Calibri" w:hAnsi="Calibri"/>
        </w:rPr>
        <w:t>, vol. 363, no. 9421, p. 1654.</w:t>
      </w:r>
    </w:p>
    <w:p w14:paraId="3FD49E6F" w14:textId="6914E5D6" w:rsidR="00B46ABF" w:rsidRPr="004566DC" w:rsidRDefault="00B46ABF" w:rsidP="00B46ABF">
      <w:pPr>
        <w:pStyle w:val="EndNoteBibliography"/>
        <w:rPr>
          <w:rFonts w:ascii="Calibri" w:hAnsi="Calibri"/>
        </w:rPr>
      </w:pPr>
      <w:bookmarkStart w:id="694" w:name="_ENREF_51"/>
      <w:bookmarkEnd w:id="693"/>
      <w:r w:rsidRPr="004566DC">
        <w:rPr>
          <w:rFonts w:ascii="Calibri" w:hAnsi="Calibri"/>
        </w:rPr>
        <w:t xml:space="preserve">Hill, M, Compton, C, Karunaratna, M, Lewis, C &amp; Chitty, L 2014, 'Client views and attitudes to non-invasive prenatal diagnosis for sickle cell disease, thalassaemia and cystic fibrosis', </w:t>
      </w:r>
      <w:r w:rsidRPr="004566DC">
        <w:rPr>
          <w:rFonts w:ascii="Calibri" w:hAnsi="Calibri"/>
          <w:i/>
        </w:rPr>
        <w:t>J</w:t>
      </w:r>
      <w:r w:rsidR="00A07573">
        <w:rPr>
          <w:rFonts w:ascii="Calibri" w:hAnsi="Calibri"/>
          <w:i/>
        </w:rPr>
        <w:t>ournal of</w:t>
      </w:r>
      <w:r w:rsidRPr="004566DC">
        <w:rPr>
          <w:rFonts w:ascii="Calibri" w:hAnsi="Calibri"/>
          <w:i/>
        </w:rPr>
        <w:t xml:space="preserve"> Genet</w:t>
      </w:r>
      <w:r w:rsidR="00A07573">
        <w:rPr>
          <w:rFonts w:ascii="Calibri" w:hAnsi="Calibri"/>
          <w:i/>
        </w:rPr>
        <w:t>ic</w:t>
      </w:r>
      <w:r w:rsidRPr="004566DC">
        <w:rPr>
          <w:rFonts w:ascii="Calibri" w:hAnsi="Calibri"/>
          <w:i/>
        </w:rPr>
        <w:t xml:space="preserve"> Couns</w:t>
      </w:r>
      <w:r w:rsidR="00A07573">
        <w:rPr>
          <w:rFonts w:ascii="Calibri" w:hAnsi="Calibri"/>
          <w:i/>
        </w:rPr>
        <w:t>eling</w:t>
      </w:r>
      <w:r w:rsidRPr="004566DC">
        <w:rPr>
          <w:rFonts w:ascii="Calibri" w:hAnsi="Calibri"/>
        </w:rPr>
        <w:t>, vol. 23, no. 6, pp. 1012</w:t>
      </w:r>
      <w:r w:rsidR="00A07573">
        <w:rPr>
          <w:rFonts w:ascii="Calibri" w:hAnsi="Calibri"/>
        </w:rPr>
        <w:t>–</w:t>
      </w:r>
      <w:r w:rsidRPr="004566DC">
        <w:rPr>
          <w:rFonts w:ascii="Calibri" w:hAnsi="Calibri"/>
        </w:rPr>
        <w:t>1021.</w:t>
      </w:r>
    </w:p>
    <w:p w14:paraId="5F8ACC47" w14:textId="1E2CF314" w:rsidR="00B46ABF" w:rsidRPr="004566DC" w:rsidRDefault="00B46ABF" w:rsidP="00B46ABF">
      <w:pPr>
        <w:pStyle w:val="EndNoteBibliography"/>
        <w:rPr>
          <w:rFonts w:ascii="Calibri" w:hAnsi="Calibri"/>
        </w:rPr>
      </w:pPr>
      <w:bookmarkStart w:id="695" w:name="_ENREF_52"/>
      <w:bookmarkEnd w:id="694"/>
      <w:r w:rsidRPr="004566DC">
        <w:rPr>
          <w:rFonts w:ascii="Calibri" w:hAnsi="Calibri"/>
        </w:rPr>
        <w:t xml:space="preserve">Hillier, S, Grimmer-Somers, K, Merlin, T, Middleton, P, Salisbury, J, Tooher, R &amp; Weston, A 2011, 'FORM: an Australian method for formulating and grading recommendations in evidence-based clinical guidelines', </w:t>
      </w:r>
      <w:r w:rsidRPr="004566DC">
        <w:rPr>
          <w:rFonts w:ascii="Calibri" w:hAnsi="Calibri"/>
          <w:i/>
        </w:rPr>
        <w:t>BMC Med</w:t>
      </w:r>
      <w:r w:rsidR="00614747">
        <w:rPr>
          <w:rFonts w:ascii="Calibri" w:hAnsi="Calibri"/>
          <w:i/>
        </w:rPr>
        <w:t>ical</w:t>
      </w:r>
      <w:r w:rsidRPr="004566DC">
        <w:rPr>
          <w:rFonts w:ascii="Calibri" w:hAnsi="Calibri"/>
          <w:i/>
        </w:rPr>
        <w:t xml:space="preserve"> Res</w:t>
      </w:r>
      <w:r w:rsidR="00614747">
        <w:rPr>
          <w:rFonts w:ascii="Calibri" w:hAnsi="Calibri"/>
          <w:i/>
        </w:rPr>
        <w:t>earch</w:t>
      </w:r>
      <w:r w:rsidRPr="004566DC">
        <w:rPr>
          <w:rFonts w:ascii="Calibri" w:hAnsi="Calibri"/>
          <w:i/>
        </w:rPr>
        <w:t xml:space="preserve"> Methodol</w:t>
      </w:r>
      <w:r w:rsidR="00614747">
        <w:rPr>
          <w:rFonts w:ascii="Calibri" w:hAnsi="Calibri"/>
          <w:i/>
        </w:rPr>
        <w:t>ogy</w:t>
      </w:r>
      <w:r w:rsidRPr="004566DC">
        <w:rPr>
          <w:rFonts w:ascii="Calibri" w:hAnsi="Calibri"/>
        </w:rPr>
        <w:t>, vol. 11, p. 23.</w:t>
      </w:r>
    </w:p>
    <w:p w14:paraId="7DAAAE51" w14:textId="73A919EE" w:rsidR="00B46ABF" w:rsidRPr="004566DC" w:rsidRDefault="00B46ABF" w:rsidP="00B46ABF">
      <w:pPr>
        <w:pStyle w:val="EndNoteBibliography"/>
        <w:rPr>
          <w:rFonts w:ascii="Calibri" w:hAnsi="Calibri"/>
        </w:rPr>
      </w:pPr>
      <w:bookmarkStart w:id="696" w:name="_ENREF_53"/>
      <w:bookmarkEnd w:id="695"/>
      <w:r w:rsidRPr="004566DC">
        <w:rPr>
          <w:rFonts w:ascii="Calibri" w:hAnsi="Calibri"/>
        </w:rPr>
        <w:t xml:space="preserve">Hodge, SE, Lebo, RV, Yesley, AR, Cheney, SM, Angle, H &amp; Milunsky, J 1999, 'Calculating posterior cystic fibrosis risk with echogenic bowel and one characterized cystic fibrosis mutation: avoiding pitfalls in the risk calculations', </w:t>
      </w:r>
      <w:r w:rsidRPr="004566DC">
        <w:rPr>
          <w:rFonts w:ascii="Calibri" w:hAnsi="Calibri"/>
          <w:i/>
        </w:rPr>
        <w:t>Am</w:t>
      </w:r>
      <w:r w:rsidR="00614747">
        <w:rPr>
          <w:rFonts w:ascii="Calibri" w:hAnsi="Calibri"/>
          <w:i/>
        </w:rPr>
        <w:t>erican</w:t>
      </w:r>
      <w:r w:rsidRPr="004566DC">
        <w:rPr>
          <w:rFonts w:ascii="Calibri" w:hAnsi="Calibri"/>
          <w:i/>
        </w:rPr>
        <w:t xml:space="preserve"> J</w:t>
      </w:r>
      <w:r w:rsidR="00614747">
        <w:rPr>
          <w:rFonts w:ascii="Calibri" w:hAnsi="Calibri"/>
          <w:i/>
        </w:rPr>
        <w:t>ournal of</w:t>
      </w:r>
      <w:r w:rsidRPr="004566DC">
        <w:rPr>
          <w:rFonts w:ascii="Calibri" w:hAnsi="Calibri"/>
          <w:i/>
        </w:rPr>
        <w:t xml:space="preserve"> Med</w:t>
      </w:r>
      <w:r w:rsidR="00614747">
        <w:rPr>
          <w:rFonts w:ascii="Calibri" w:hAnsi="Calibri"/>
          <w:i/>
        </w:rPr>
        <w:t>ical</w:t>
      </w:r>
      <w:r w:rsidRPr="004566DC">
        <w:rPr>
          <w:rFonts w:ascii="Calibri" w:hAnsi="Calibri"/>
          <w:i/>
        </w:rPr>
        <w:t xml:space="preserve"> Genet</w:t>
      </w:r>
      <w:r w:rsidR="00614747">
        <w:rPr>
          <w:rFonts w:ascii="Calibri" w:hAnsi="Calibri"/>
          <w:i/>
        </w:rPr>
        <w:t>ics</w:t>
      </w:r>
      <w:r w:rsidRPr="004566DC">
        <w:rPr>
          <w:rFonts w:ascii="Calibri" w:hAnsi="Calibri"/>
        </w:rPr>
        <w:t>, vol. 82, no. 4, pp. 329</w:t>
      </w:r>
      <w:r w:rsidR="00614747">
        <w:rPr>
          <w:rFonts w:ascii="Calibri" w:hAnsi="Calibri"/>
        </w:rPr>
        <w:t>–</w:t>
      </w:r>
      <w:r w:rsidRPr="004566DC">
        <w:rPr>
          <w:rFonts w:ascii="Calibri" w:hAnsi="Calibri"/>
        </w:rPr>
        <w:t>335.</w:t>
      </w:r>
    </w:p>
    <w:p w14:paraId="708F549F" w14:textId="77777777" w:rsidR="00B16DDD" w:rsidRPr="00AB744C" w:rsidRDefault="00B16DDD" w:rsidP="00B16DDD">
      <w:pPr>
        <w:pStyle w:val="EndNoteBibliography"/>
        <w:rPr>
          <w:rFonts w:asciiTheme="minorHAnsi" w:hAnsiTheme="minorHAnsi"/>
        </w:rPr>
      </w:pPr>
      <w:bookmarkStart w:id="697" w:name="_ENREF_54"/>
      <w:bookmarkEnd w:id="696"/>
      <w:r w:rsidRPr="00AB744C">
        <w:rPr>
          <w:rFonts w:asciiTheme="minorHAnsi" w:hAnsiTheme="minorHAnsi"/>
        </w:rPr>
        <w:t xml:space="preserve">Hofmann, B 2005, 'Toward a procedure for integrating moral issues in health technology assessment', </w:t>
      </w:r>
      <w:r w:rsidRPr="00AB744C">
        <w:rPr>
          <w:rFonts w:asciiTheme="minorHAnsi" w:hAnsiTheme="minorHAnsi"/>
          <w:i/>
        </w:rPr>
        <w:t>International Journal of Technology Assessment in Health Care</w:t>
      </w:r>
      <w:r w:rsidRPr="00AB744C">
        <w:rPr>
          <w:rFonts w:asciiTheme="minorHAnsi" w:hAnsiTheme="minorHAnsi"/>
        </w:rPr>
        <w:t>, vol. 21, no. 3,</w:t>
      </w:r>
      <w:r>
        <w:rPr>
          <w:rFonts w:asciiTheme="minorHAnsi" w:hAnsiTheme="minorHAnsi"/>
        </w:rPr>
        <w:t xml:space="preserve"> pp. 312–</w:t>
      </w:r>
      <w:r w:rsidRPr="00AB744C">
        <w:rPr>
          <w:rFonts w:asciiTheme="minorHAnsi" w:hAnsiTheme="minorHAnsi"/>
        </w:rPr>
        <w:t>318.</w:t>
      </w:r>
    </w:p>
    <w:p w14:paraId="6C62DC70" w14:textId="3954AFA1" w:rsidR="00B46ABF" w:rsidRPr="004566DC" w:rsidRDefault="00B46ABF" w:rsidP="00B46ABF">
      <w:pPr>
        <w:pStyle w:val="EndNoteBibliography"/>
        <w:rPr>
          <w:rFonts w:ascii="Calibri" w:hAnsi="Calibri"/>
        </w:rPr>
      </w:pPr>
      <w:r w:rsidRPr="004566DC">
        <w:rPr>
          <w:rFonts w:ascii="Calibri" w:hAnsi="Calibri"/>
        </w:rPr>
        <w:t xml:space="preserve">Houdayer, C, Cazeneuve, C, Cougoureux, E, Magnier, C, Tredano, M, Aymard, P, Goossens, M &amp; Feldmann, D 1998, 'Clinical evaluation of the CF(12)m cystic fibrosis DNA diagnostic kit', </w:t>
      </w:r>
      <w:r w:rsidRPr="004566DC">
        <w:rPr>
          <w:rFonts w:ascii="Calibri" w:hAnsi="Calibri"/>
          <w:i/>
        </w:rPr>
        <w:t>Clinical Chemistry</w:t>
      </w:r>
      <w:r w:rsidRPr="004566DC">
        <w:rPr>
          <w:rFonts w:ascii="Calibri" w:hAnsi="Calibri"/>
        </w:rPr>
        <w:t>, vol. 44, no. 6, pp. 1346</w:t>
      </w:r>
      <w:r w:rsidR="00614747">
        <w:rPr>
          <w:rFonts w:ascii="Calibri" w:hAnsi="Calibri"/>
        </w:rPr>
        <w:t>–</w:t>
      </w:r>
      <w:r w:rsidRPr="004566DC">
        <w:rPr>
          <w:rFonts w:ascii="Calibri" w:hAnsi="Calibri"/>
        </w:rPr>
        <w:t>1348.</w:t>
      </w:r>
    </w:p>
    <w:p w14:paraId="6A4A5C6E" w14:textId="0DDBE69F" w:rsidR="00B46ABF" w:rsidRPr="004566DC" w:rsidRDefault="00B46ABF" w:rsidP="00B46ABF">
      <w:pPr>
        <w:pStyle w:val="EndNoteBibliography"/>
        <w:rPr>
          <w:rFonts w:ascii="Calibri" w:hAnsi="Calibri"/>
        </w:rPr>
      </w:pPr>
      <w:bookmarkStart w:id="698" w:name="_ENREF_55"/>
      <w:bookmarkEnd w:id="697"/>
      <w:r w:rsidRPr="004566DC">
        <w:rPr>
          <w:rFonts w:ascii="Calibri" w:hAnsi="Calibri"/>
        </w:rPr>
        <w:t xml:space="preserve">Iles, S &amp; Gath, D 1993, 'Psychiatric outcome of termination of pregnancy for foetal abnormality', </w:t>
      </w:r>
      <w:r w:rsidRPr="004566DC">
        <w:rPr>
          <w:rFonts w:ascii="Calibri" w:hAnsi="Calibri"/>
          <w:i/>
        </w:rPr>
        <w:t>Psychol</w:t>
      </w:r>
      <w:r w:rsidR="00614747">
        <w:rPr>
          <w:rFonts w:ascii="Calibri" w:hAnsi="Calibri"/>
          <w:i/>
        </w:rPr>
        <w:t>ogical</w:t>
      </w:r>
      <w:r w:rsidRPr="004566DC">
        <w:rPr>
          <w:rFonts w:ascii="Calibri" w:hAnsi="Calibri"/>
          <w:i/>
        </w:rPr>
        <w:t xml:space="preserve"> Med</w:t>
      </w:r>
      <w:r w:rsidR="00614747">
        <w:rPr>
          <w:rFonts w:ascii="Calibri" w:hAnsi="Calibri"/>
          <w:i/>
        </w:rPr>
        <w:t>icine</w:t>
      </w:r>
      <w:r w:rsidRPr="004566DC">
        <w:rPr>
          <w:rFonts w:ascii="Calibri" w:hAnsi="Calibri"/>
        </w:rPr>
        <w:t>, vol. 23, no. 2, pp. 407</w:t>
      </w:r>
      <w:r w:rsidR="00614747">
        <w:rPr>
          <w:rFonts w:ascii="Calibri" w:hAnsi="Calibri"/>
        </w:rPr>
        <w:t>–</w:t>
      </w:r>
      <w:r w:rsidRPr="004566DC">
        <w:rPr>
          <w:rFonts w:ascii="Calibri" w:hAnsi="Calibri"/>
        </w:rPr>
        <w:t>413.</w:t>
      </w:r>
    </w:p>
    <w:p w14:paraId="333F9162" w14:textId="3ABA813A" w:rsidR="00B46ABF" w:rsidRPr="004566DC" w:rsidRDefault="00B46ABF" w:rsidP="00B46ABF">
      <w:pPr>
        <w:pStyle w:val="EndNoteBibliography"/>
        <w:rPr>
          <w:rFonts w:ascii="Calibri" w:hAnsi="Calibri"/>
        </w:rPr>
      </w:pPr>
      <w:bookmarkStart w:id="699" w:name="_ENREF_56"/>
      <w:bookmarkEnd w:id="698"/>
      <w:r w:rsidRPr="004566DC">
        <w:rPr>
          <w:rFonts w:ascii="Calibri" w:hAnsi="Calibri"/>
        </w:rPr>
        <w:t xml:space="preserve">Ioannou, L, McClaren, BJ, Massie, J, Lewis, S, Metcalfe, SA, Forrest, L &amp; Delatycki, MB 2014, 'Population-based carrier screening for cystic fibrosis: a systematic review of 23 years of research', </w:t>
      </w:r>
      <w:r w:rsidRPr="004566DC">
        <w:rPr>
          <w:rFonts w:ascii="Calibri" w:hAnsi="Calibri"/>
          <w:i/>
        </w:rPr>
        <w:t>Genet</w:t>
      </w:r>
      <w:r w:rsidR="00614747">
        <w:rPr>
          <w:rFonts w:ascii="Calibri" w:hAnsi="Calibri"/>
          <w:i/>
        </w:rPr>
        <w:t>ics in</w:t>
      </w:r>
      <w:r w:rsidRPr="004566DC">
        <w:rPr>
          <w:rFonts w:ascii="Calibri" w:hAnsi="Calibri"/>
          <w:i/>
        </w:rPr>
        <w:t xml:space="preserve"> Med</w:t>
      </w:r>
      <w:r w:rsidR="00614747">
        <w:rPr>
          <w:rFonts w:ascii="Calibri" w:hAnsi="Calibri"/>
          <w:i/>
        </w:rPr>
        <w:t>icine</w:t>
      </w:r>
      <w:r w:rsidRPr="004566DC">
        <w:rPr>
          <w:rFonts w:ascii="Calibri" w:hAnsi="Calibri"/>
        </w:rPr>
        <w:t>, vol. 16, no. 3, pp. 207</w:t>
      </w:r>
      <w:r w:rsidR="00614747">
        <w:rPr>
          <w:rFonts w:ascii="Calibri" w:hAnsi="Calibri"/>
        </w:rPr>
        <w:t>–</w:t>
      </w:r>
      <w:r w:rsidRPr="004566DC">
        <w:rPr>
          <w:rFonts w:ascii="Calibri" w:hAnsi="Calibri"/>
        </w:rPr>
        <w:t>216.</w:t>
      </w:r>
    </w:p>
    <w:p w14:paraId="0B2D52E4" w14:textId="306D6FDA" w:rsidR="00B46ABF" w:rsidRPr="004566DC" w:rsidRDefault="00B46ABF" w:rsidP="00B46ABF">
      <w:pPr>
        <w:pStyle w:val="EndNoteBibliography"/>
        <w:rPr>
          <w:rFonts w:ascii="Calibri" w:hAnsi="Calibri"/>
        </w:rPr>
      </w:pPr>
      <w:bookmarkStart w:id="700" w:name="_ENREF_57"/>
      <w:bookmarkEnd w:id="699"/>
      <w:r w:rsidRPr="004566DC">
        <w:rPr>
          <w:rFonts w:ascii="Calibri" w:hAnsi="Calibri"/>
        </w:rPr>
        <w:t xml:space="preserve">Kanavakis, E, Efthymiadou, A, Strofalis, S, Doudounakis, S, Traeger-Synodinos, J &amp; Tzetis, M 2003, 'Cystic fibrosis in Greece: </w:t>
      </w:r>
      <w:r w:rsidR="00614747">
        <w:rPr>
          <w:rFonts w:ascii="Calibri" w:hAnsi="Calibri"/>
        </w:rPr>
        <w:t>m</w:t>
      </w:r>
      <w:r w:rsidRPr="004566DC">
        <w:rPr>
          <w:rFonts w:ascii="Calibri" w:hAnsi="Calibri"/>
        </w:rPr>
        <w:t xml:space="preserve">olecular diagnosis, haplotypes, prenatal diagnosis and carrier identification amongst high-risk individuals', </w:t>
      </w:r>
      <w:r w:rsidRPr="004566DC">
        <w:rPr>
          <w:rFonts w:ascii="Calibri" w:hAnsi="Calibri"/>
          <w:i/>
        </w:rPr>
        <w:t>Clinical Genetics</w:t>
      </w:r>
      <w:r w:rsidRPr="004566DC">
        <w:rPr>
          <w:rFonts w:ascii="Calibri" w:hAnsi="Calibri"/>
        </w:rPr>
        <w:t>, vol. 63, no. 5, pp. 400</w:t>
      </w:r>
      <w:r w:rsidR="00614747">
        <w:rPr>
          <w:rFonts w:ascii="Calibri" w:hAnsi="Calibri"/>
        </w:rPr>
        <w:t>–</w:t>
      </w:r>
      <w:r w:rsidRPr="004566DC">
        <w:rPr>
          <w:rFonts w:ascii="Calibri" w:hAnsi="Calibri"/>
        </w:rPr>
        <w:t>409.</w:t>
      </w:r>
    </w:p>
    <w:p w14:paraId="6FED7ED1" w14:textId="5EA79DC4" w:rsidR="00B46ABF" w:rsidRPr="004566DC" w:rsidRDefault="00B46ABF" w:rsidP="00B46ABF">
      <w:pPr>
        <w:pStyle w:val="EndNoteBibliography"/>
        <w:rPr>
          <w:rFonts w:ascii="Calibri" w:hAnsi="Calibri"/>
        </w:rPr>
      </w:pPr>
      <w:bookmarkStart w:id="701" w:name="_ENREF_58"/>
      <w:bookmarkEnd w:id="700"/>
      <w:r w:rsidRPr="004566DC">
        <w:rPr>
          <w:rFonts w:ascii="Calibri" w:hAnsi="Calibri"/>
        </w:rPr>
        <w:t xml:space="preserve">Kapp, N, Whyte, P, Tang, J, Jackson, E &amp; Brahmi, D 2013, 'A review of evidence for safe abortion care', </w:t>
      </w:r>
      <w:r w:rsidRPr="004566DC">
        <w:rPr>
          <w:rFonts w:ascii="Calibri" w:hAnsi="Calibri"/>
          <w:i/>
        </w:rPr>
        <w:t>Contraception</w:t>
      </w:r>
      <w:r w:rsidRPr="004566DC">
        <w:rPr>
          <w:rFonts w:ascii="Calibri" w:hAnsi="Calibri"/>
        </w:rPr>
        <w:t>, vol. 88, no. 3, pp. 350</w:t>
      </w:r>
      <w:r w:rsidR="00614747">
        <w:rPr>
          <w:rFonts w:ascii="Calibri" w:hAnsi="Calibri"/>
        </w:rPr>
        <w:t>–</w:t>
      </w:r>
      <w:r w:rsidRPr="004566DC">
        <w:rPr>
          <w:rFonts w:ascii="Calibri" w:hAnsi="Calibri"/>
        </w:rPr>
        <w:t>363.</w:t>
      </w:r>
    </w:p>
    <w:p w14:paraId="4171F267" w14:textId="206E1BF6" w:rsidR="00B46ABF" w:rsidRPr="004566DC" w:rsidRDefault="00B46ABF" w:rsidP="00B46ABF">
      <w:pPr>
        <w:pStyle w:val="EndNoteBibliography"/>
        <w:rPr>
          <w:rFonts w:ascii="Calibri" w:hAnsi="Calibri"/>
        </w:rPr>
      </w:pPr>
      <w:bookmarkStart w:id="702" w:name="_ENREF_59"/>
      <w:bookmarkEnd w:id="701"/>
      <w:r w:rsidRPr="004566DC">
        <w:rPr>
          <w:rFonts w:ascii="Calibri" w:hAnsi="Calibri"/>
        </w:rPr>
        <w:t>Kersting, A, Dorsch, M, Kreulich, C, Reutemann, M, Ohrmann, P, Baez, E &amp; Arolt, V 2005, 'Trauma and grief 2</w:t>
      </w:r>
      <w:r w:rsidR="00EB6C4E">
        <w:rPr>
          <w:rFonts w:ascii="Calibri" w:hAnsi="Calibri"/>
        </w:rPr>
        <w:t>–</w:t>
      </w:r>
      <w:r w:rsidRPr="004566DC">
        <w:rPr>
          <w:rFonts w:ascii="Calibri" w:hAnsi="Calibri"/>
        </w:rPr>
        <w:t>7 years after termination of pregnancy because of fetal anomalies</w:t>
      </w:r>
      <w:r w:rsidR="00614747">
        <w:rPr>
          <w:rFonts w:ascii="Calibri" w:hAnsi="Calibri"/>
        </w:rPr>
        <w:t xml:space="preserve">: </w:t>
      </w:r>
      <w:r w:rsidRPr="004566DC">
        <w:rPr>
          <w:rFonts w:ascii="Calibri" w:hAnsi="Calibri"/>
        </w:rPr>
        <w:t xml:space="preserve">a pilot study', </w:t>
      </w:r>
      <w:r w:rsidRPr="004566DC">
        <w:rPr>
          <w:rFonts w:ascii="Calibri" w:hAnsi="Calibri"/>
          <w:i/>
        </w:rPr>
        <w:t>J</w:t>
      </w:r>
      <w:r w:rsidR="00614747">
        <w:rPr>
          <w:rFonts w:ascii="Calibri" w:hAnsi="Calibri"/>
          <w:i/>
        </w:rPr>
        <w:t>ournal of</w:t>
      </w:r>
      <w:r w:rsidRPr="004566DC">
        <w:rPr>
          <w:rFonts w:ascii="Calibri" w:hAnsi="Calibri"/>
          <w:i/>
        </w:rPr>
        <w:t xml:space="preserve"> Psychosom</w:t>
      </w:r>
      <w:r w:rsidR="00614747">
        <w:rPr>
          <w:rFonts w:ascii="Calibri" w:hAnsi="Calibri"/>
          <w:i/>
        </w:rPr>
        <w:t>atic</w:t>
      </w:r>
      <w:r w:rsidRPr="004566DC">
        <w:rPr>
          <w:rFonts w:ascii="Calibri" w:hAnsi="Calibri"/>
          <w:i/>
        </w:rPr>
        <w:t xml:space="preserve"> Obstet</w:t>
      </w:r>
      <w:r w:rsidR="00614747">
        <w:rPr>
          <w:rFonts w:ascii="Calibri" w:hAnsi="Calibri"/>
          <w:i/>
        </w:rPr>
        <w:t>rics &amp;</w:t>
      </w:r>
      <w:r w:rsidRPr="004566DC">
        <w:rPr>
          <w:rFonts w:ascii="Calibri" w:hAnsi="Calibri"/>
          <w:i/>
        </w:rPr>
        <w:t xml:space="preserve"> Gynaecol</w:t>
      </w:r>
      <w:r w:rsidR="00614747">
        <w:rPr>
          <w:rFonts w:ascii="Calibri" w:hAnsi="Calibri"/>
          <w:i/>
        </w:rPr>
        <w:t>ogy</w:t>
      </w:r>
      <w:r w:rsidRPr="004566DC">
        <w:rPr>
          <w:rFonts w:ascii="Calibri" w:hAnsi="Calibri"/>
        </w:rPr>
        <w:t>, vol. 26, no. 1, pp. 9</w:t>
      </w:r>
      <w:r w:rsidR="00614747">
        <w:rPr>
          <w:rFonts w:ascii="Calibri" w:hAnsi="Calibri"/>
        </w:rPr>
        <w:t>–</w:t>
      </w:r>
      <w:r w:rsidRPr="004566DC">
        <w:rPr>
          <w:rFonts w:ascii="Calibri" w:hAnsi="Calibri"/>
        </w:rPr>
        <w:t>14.</w:t>
      </w:r>
    </w:p>
    <w:p w14:paraId="085E32F9" w14:textId="681F9C7F" w:rsidR="00B46ABF" w:rsidRPr="004566DC" w:rsidRDefault="00B46ABF" w:rsidP="00B46ABF">
      <w:pPr>
        <w:pStyle w:val="EndNoteBibliography"/>
        <w:rPr>
          <w:rFonts w:ascii="Calibri" w:hAnsi="Calibri"/>
        </w:rPr>
      </w:pPr>
      <w:bookmarkStart w:id="703" w:name="_ENREF_60"/>
      <w:bookmarkEnd w:id="702"/>
      <w:r w:rsidRPr="004566DC">
        <w:rPr>
          <w:rFonts w:ascii="Calibri" w:hAnsi="Calibri"/>
        </w:rPr>
        <w:t>Kersting, A, Kroker, K, Steinhard, J, Hoernig-Franz, I, Wesselmann, U, Luedorff, K, Ohrmann, P, Arolt, V &amp; Suslow, T 2009, 'Psychological impact on women after second and third trimester termination of pregnancy due to fetal anomalies versus women after preterm birth</w:t>
      </w:r>
      <w:r w:rsidR="009B6509">
        <w:rPr>
          <w:rFonts w:ascii="Calibri" w:hAnsi="Calibri"/>
        </w:rPr>
        <w:t xml:space="preserve">: </w:t>
      </w:r>
      <w:r w:rsidRPr="004566DC">
        <w:rPr>
          <w:rFonts w:ascii="Calibri" w:hAnsi="Calibri"/>
        </w:rPr>
        <w:t xml:space="preserve">a 14-month follow up study', </w:t>
      </w:r>
      <w:r w:rsidRPr="004566DC">
        <w:rPr>
          <w:rFonts w:ascii="Calibri" w:hAnsi="Calibri"/>
          <w:i/>
        </w:rPr>
        <w:t>Arch</w:t>
      </w:r>
      <w:r w:rsidR="009B6509">
        <w:rPr>
          <w:rFonts w:ascii="Calibri" w:hAnsi="Calibri"/>
          <w:i/>
        </w:rPr>
        <w:t>ives of</w:t>
      </w:r>
      <w:r w:rsidRPr="004566DC">
        <w:rPr>
          <w:rFonts w:ascii="Calibri" w:hAnsi="Calibri"/>
          <w:i/>
        </w:rPr>
        <w:t xml:space="preserve"> Women</w:t>
      </w:r>
      <w:r w:rsidR="009B6509">
        <w:rPr>
          <w:rFonts w:ascii="Calibri" w:hAnsi="Calibri"/>
          <w:i/>
        </w:rPr>
        <w:t>'</w:t>
      </w:r>
      <w:r w:rsidRPr="004566DC">
        <w:rPr>
          <w:rFonts w:ascii="Calibri" w:hAnsi="Calibri"/>
          <w:i/>
        </w:rPr>
        <w:t>s Men</w:t>
      </w:r>
      <w:r w:rsidR="00EB6C4E">
        <w:rPr>
          <w:rFonts w:ascii="Calibri" w:hAnsi="Calibri"/>
          <w:i/>
        </w:rPr>
        <w:t>t</w:t>
      </w:r>
      <w:r w:rsidR="009B6509">
        <w:rPr>
          <w:rFonts w:ascii="Calibri" w:hAnsi="Calibri"/>
          <w:i/>
        </w:rPr>
        <w:t>al</w:t>
      </w:r>
      <w:r w:rsidRPr="004566DC">
        <w:rPr>
          <w:rFonts w:ascii="Calibri" w:hAnsi="Calibri"/>
          <w:i/>
        </w:rPr>
        <w:t xml:space="preserve"> Health</w:t>
      </w:r>
      <w:r w:rsidRPr="004566DC">
        <w:rPr>
          <w:rFonts w:ascii="Calibri" w:hAnsi="Calibri"/>
        </w:rPr>
        <w:t>, vol. 12, no. 4, pp. 193</w:t>
      </w:r>
      <w:r w:rsidR="009B6509">
        <w:rPr>
          <w:rFonts w:ascii="Calibri" w:hAnsi="Calibri"/>
        </w:rPr>
        <w:t>–</w:t>
      </w:r>
      <w:r w:rsidRPr="004566DC">
        <w:rPr>
          <w:rFonts w:ascii="Calibri" w:hAnsi="Calibri"/>
        </w:rPr>
        <w:t>201.</w:t>
      </w:r>
    </w:p>
    <w:p w14:paraId="7523558A" w14:textId="2CFC6F0E" w:rsidR="00B46ABF" w:rsidRPr="004566DC" w:rsidRDefault="00B46ABF" w:rsidP="00B46ABF">
      <w:pPr>
        <w:pStyle w:val="EndNoteBibliography"/>
        <w:rPr>
          <w:rFonts w:ascii="Calibri" w:hAnsi="Calibri"/>
        </w:rPr>
      </w:pPr>
      <w:bookmarkStart w:id="704" w:name="_ENREF_61"/>
      <w:bookmarkEnd w:id="703"/>
      <w:r w:rsidRPr="004566DC">
        <w:rPr>
          <w:rFonts w:ascii="Calibri" w:hAnsi="Calibri"/>
        </w:rPr>
        <w:t xml:space="preserve">Kinder, BK 1998, 'Genetic and biochemical screening for endocrine disease: II. Ethical issues', </w:t>
      </w:r>
      <w:r w:rsidRPr="004566DC">
        <w:rPr>
          <w:rFonts w:ascii="Calibri" w:hAnsi="Calibri"/>
          <w:i/>
        </w:rPr>
        <w:t>World J</w:t>
      </w:r>
      <w:r w:rsidR="00DB38F9">
        <w:rPr>
          <w:rFonts w:ascii="Calibri" w:hAnsi="Calibri"/>
          <w:i/>
        </w:rPr>
        <w:t>ournal of</w:t>
      </w:r>
      <w:r w:rsidRPr="004566DC">
        <w:rPr>
          <w:rFonts w:ascii="Calibri" w:hAnsi="Calibri"/>
          <w:i/>
        </w:rPr>
        <w:t xml:space="preserve"> Surg</w:t>
      </w:r>
      <w:r w:rsidR="00DB38F9">
        <w:rPr>
          <w:rFonts w:ascii="Calibri" w:hAnsi="Calibri"/>
          <w:i/>
        </w:rPr>
        <w:t>ery</w:t>
      </w:r>
      <w:r w:rsidRPr="004566DC">
        <w:rPr>
          <w:rFonts w:ascii="Calibri" w:hAnsi="Calibri"/>
        </w:rPr>
        <w:t>, vol. 22, no. 12, pp. 1208</w:t>
      </w:r>
      <w:r w:rsidR="00DB38F9">
        <w:rPr>
          <w:rFonts w:ascii="Calibri" w:hAnsi="Calibri"/>
        </w:rPr>
        <w:t>–</w:t>
      </w:r>
      <w:r w:rsidRPr="004566DC">
        <w:rPr>
          <w:rFonts w:ascii="Calibri" w:hAnsi="Calibri"/>
        </w:rPr>
        <w:t>1211.</w:t>
      </w:r>
    </w:p>
    <w:p w14:paraId="032CDE15" w14:textId="282C2CB8" w:rsidR="00B46ABF" w:rsidRPr="004566DC" w:rsidRDefault="00B46ABF" w:rsidP="00B46ABF">
      <w:pPr>
        <w:pStyle w:val="EndNoteBibliography"/>
        <w:rPr>
          <w:rFonts w:ascii="Calibri" w:hAnsi="Calibri"/>
        </w:rPr>
      </w:pPr>
      <w:bookmarkStart w:id="705" w:name="_ENREF_62"/>
      <w:bookmarkEnd w:id="704"/>
      <w:r w:rsidRPr="004566DC">
        <w:rPr>
          <w:rFonts w:ascii="Calibri" w:hAnsi="Calibri"/>
        </w:rPr>
        <w:lastRenderedPageBreak/>
        <w:t xml:space="preserve">Knowles, MR &amp; Durie, PR 2002, 'What is cystic fibrosis?', </w:t>
      </w:r>
      <w:r w:rsidRPr="004566DC">
        <w:rPr>
          <w:rFonts w:ascii="Calibri" w:hAnsi="Calibri"/>
          <w:i/>
        </w:rPr>
        <w:t>N</w:t>
      </w:r>
      <w:r w:rsidR="00DB38F9">
        <w:rPr>
          <w:rFonts w:ascii="Calibri" w:hAnsi="Calibri"/>
          <w:i/>
        </w:rPr>
        <w:t>ew</w:t>
      </w:r>
      <w:r w:rsidRPr="004566DC">
        <w:rPr>
          <w:rFonts w:ascii="Calibri" w:hAnsi="Calibri"/>
          <w:i/>
        </w:rPr>
        <w:t xml:space="preserve"> Engl</w:t>
      </w:r>
      <w:r w:rsidR="00DB38F9">
        <w:rPr>
          <w:rFonts w:ascii="Calibri" w:hAnsi="Calibri"/>
          <w:i/>
        </w:rPr>
        <w:t>and</w:t>
      </w:r>
      <w:r w:rsidRPr="004566DC">
        <w:rPr>
          <w:rFonts w:ascii="Calibri" w:hAnsi="Calibri"/>
          <w:i/>
        </w:rPr>
        <w:t xml:space="preserve"> J</w:t>
      </w:r>
      <w:r w:rsidR="00DB38F9">
        <w:rPr>
          <w:rFonts w:ascii="Calibri" w:hAnsi="Calibri"/>
          <w:i/>
        </w:rPr>
        <w:t>ournal of</w:t>
      </w:r>
      <w:r w:rsidRPr="004566DC">
        <w:rPr>
          <w:rFonts w:ascii="Calibri" w:hAnsi="Calibri"/>
          <w:i/>
        </w:rPr>
        <w:t xml:space="preserve"> Med</w:t>
      </w:r>
      <w:r w:rsidR="00DB38F9">
        <w:rPr>
          <w:rFonts w:ascii="Calibri" w:hAnsi="Calibri"/>
          <w:i/>
        </w:rPr>
        <w:t>icine</w:t>
      </w:r>
      <w:r w:rsidRPr="004566DC">
        <w:rPr>
          <w:rFonts w:ascii="Calibri" w:hAnsi="Calibri"/>
        </w:rPr>
        <w:t>, vol. 347, no. 6, pp. 439</w:t>
      </w:r>
      <w:r w:rsidR="00DB38F9">
        <w:rPr>
          <w:rFonts w:ascii="Calibri" w:hAnsi="Calibri"/>
        </w:rPr>
        <w:t>–</w:t>
      </w:r>
      <w:r w:rsidRPr="004566DC">
        <w:rPr>
          <w:rFonts w:ascii="Calibri" w:hAnsi="Calibri"/>
        </w:rPr>
        <w:t>442.</w:t>
      </w:r>
    </w:p>
    <w:p w14:paraId="1BD95ADB" w14:textId="73A157E6" w:rsidR="00B46ABF" w:rsidRPr="004566DC" w:rsidRDefault="00B46ABF" w:rsidP="00B46ABF">
      <w:pPr>
        <w:pStyle w:val="EndNoteBibliography"/>
        <w:rPr>
          <w:rFonts w:ascii="Calibri" w:hAnsi="Calibri"/>
        </w:rPr>
      </w:pPr>
      <w:bookmarkStart w:id="706" w:name="_ENREF_63"/>
      <w:bookmarkEnd w:id="705"/>
      <w:r w:rsidRPr="004566DC">
        <w:rPr>
          <w:rFonts w:ascii="Calibri" w:hAnsi="Calibri"/>
        </w:rPr>
        <w:t xml:space="preserve">Korenromp, MJ, Christiaens, GC, van den Bout, J, Mulder, EJ, Hunfeld, JA, Bilardo, CM, Offermans, JP &amp; Visser, GH 2005, 'Long-term psychological consequences of pregnancy termination for fetal abnormality: a cross-sectional study', </w:t>
      </w:r>
      <w:r w:rsidRPr="004566DC">
        <w:rPr>
          <w:rFonts w:ascii="Calibri" w:hAnsi="Calibri"/>
          <w:i/>
        </w:rPr>
        <w:t>Prenat</w:t>
      </w:r>
      <w:r w:rsidR="003576B5">
        <w:rPr>
          <w:rFonts w:ascii="Calibri" w:hAnsi="Calibri"/>
          <w:i/>
        </w:rPr>
        <w:t>al</w:t>
      </w:r>
      <w:r w:rsidRPr="004566DC">
        <w:rPr>
          <w:rFonts w:ascii="Calibri" w:hAnsi="Calibri"/>
          <w:i/>
        </w:rPr>
        <w:t xml:space="preserve"> Diagn</w:t>
      </w:r>
      <w:r w:rsidR="003576B5">
        <w:rPr>
          <w:rFonts w:ascii="Calibri" w:hAnsi="Calibri"/>
          <w:i/>
        </w:rPr>
        <w:t>osis</w:t>
      </w:r>
      <w:r w:rsidRPr="004566DC">
        <w:rPr>
          <w:rFonts w:ascii="Calibri" w:hAnsi="Calibri"/>
        </w:rPr>
        <w:t>, vol. 25, no. 3, pp. 253</w:t>
      </w:r>
      <w:r w:rsidR="003576B5">
        <w:rPr>
          <w:rFonts w:ascii="Calibri" w:hAnsi="Calibri"/>
        </w:rPr>
        <w:t>–</w:t>
      </w:r>
      <w:r w:rsidRPr="004566DC">
        <w:rPr>
          <w:rFonts w:ascii="Calibri" w:hAnsi="Calibri"/>
        </w:rPr>
        <w:t>260.</w:t>
      </w:r>
    </w:p>
    <w:p w14:paraId="2A0D7D7A" w14:textId="5625B7CB" w:rsidR="00B46ABF" w:rsidRPr="004566DC" w:rsidRDefault="00B46ABF" w:rsidP="00B46ABF">
      <w:pPr>
        <w:pStyle w:val="EndNoteBibliography"/>
        <w:rPr>
          <w:rFonts w:ascii="Calibri" w:hAnsi="Calibri"/>
        </w:rPr>
      </w:pPr>
      <w:bookmarkStart w:id="707" w:name="_ENREF_64"/>
      <w:bookmarkEnd w:id="706"/>
      <w:r w:rsidRPr="004566DC">
        <w:rPr>
          <w:rFonts w:ascii="Calibri" w:hAnsi="Calibri"/>
        </w:rPr>
        <w:t xml:space="preserve">Korenromp, MJ, Page-Christiaens, GC, van den Bout, J, Mulder, EJ, Hunfeld, JA, Bilardo, CM, Offermans, JP &amp; Visser, GH 2005, 'Psychological consequences of termination of pregnancy for fetal anomaly: similarities and differences between partners', </w:t>
      </w:r>
      <w:r w:rsidRPr="004566DC">
        <w:rPr>
          <w:rFonts w:ascii="Calibri" w:hAnsi="Calibri"/>
          <w:i/>
        </w:rPr>
        <w:t>Prenat</w:t>
      </w:r>
      <w:r w:rsidR="00AE2455">
        <w:rPr>
          <w:rFonts w:ascii="Calibri" w:hAnsi="Calibri"/>
          <w:i/>
        </w:rPr>
        <w:t>al</w:t>
      </w:r>
      <w:r w:rsidRPr="004566DC">
        <w:rPr>
          <w:rFonts w:ascii="Calibri" w:hAnsi="Calibri"/>
          <w:i/>
        </w:rPr>
        <w:t xml:space="preserve"> Diagn</w:t>
      </w:r>
      <w:r w:rsidR="00AE2455">
        <w:rPr>
          <w:rFonts w:ascii="Calibri" w:hAnsi="Calibri"/>
          <w:i/>
        </w:rPr>
        <w:t>osis</w:t>
      </w:r>
      <w:r w:rsidRPr="004566DC">
        <w:rPr>
          <w:rFonts w:ascii="Calibri" w:hAnsi="Calibri"/>
        </w:rPr>
        <w:t>, vol. 25, no. 13, pp. 1226</w:t>
      </w:r>
      <w:r w:rsidR="00AE2455">
        <w:rPr>
          <w:rFonts w:ascii="Calibri" w:hAnsi="Calibri"/>
        </w:rPr>
        <w:t>–</w:t>
      </w:r>
      <w:r w:rsidRPr="004566DC">
        <w:rPr>
          <w:rFonts w:ascii="Calibri" w:hAnsi="Calibri"/>
        </w:rPr>
        <w:t>1233.</w:t>
      </w:r>
    </w:p>
    <w:p w14:paraId="1F6D64F3" w14:textId="3793BBFB" w:rsidR="00B46ABF" w:rsidRPr="004566DC" w:rsidRDefault="00B46ABF" w:rsidP="00B46ABF">
      <w:pPr>
        <w:pStyle w:val="EndNoteBibliography"/>
        <w:rPr>
          <w:rFonts w:ascii="Calibri" w:hAnsi="Calibri"/>
        </w:rPr>
      </w:pPr>
      <w:bookmarkStart w:id="708" w:name="_ENREF_65"/>
      <w:bookmarkEnd w:id="707"/>
      <w:r w:rsidRPr="004566DC">
        <w:rPr>
          <w:rFonts w:ascii="Calibri" w:hAnsi="Calibri"/>
        </w:rPr>
        <w:t>Korenromp, MJ, Page-Christiaens, GC, van den Bout, J, Mulder, EJ, Hunfeld, JA, Potters, CM, Erwich, JJ, van Binsbergen, CJ, Brons, JT, Beekhuis, JR, Omtzigt, AW &amp; Visser, GH 2007, 'A prospective study on parental coping 4</w:t>
      </w:r>
      <w:r w:rsidR="00AE2455">
        <w:rPr>
          <w:rFonts w:ascii="Calibri" w:hAnsi="Calibri"/>
        </w:rPr>
        <w:t> </w:t>
      </w:r>
      <w:r w:rsidRPr="004566DC">
        <w:rPr>
          <w:rFonts w:ascii="Calibri" w:hAnsi="Calibri"/>
        </w:rPr>
        <w:t xml:space="preserve">months after termination of pregnancy for fetal anomalies', </w:t>
      </w:r>
      <w:r w:rsidRPr="004566DC">
        <w:rPr>
          <w:rFonts w:ascii="Calibri" w:hAnsi="Calibri"/>
          <w:i/>
        </w:rPr>
        <w:t>Prenat</w:t>
      </w:r>
      <w:r w:rsidR="00AE2455">
        <w:rPr>
          <w:rFonts w:ascii="Calibri" w:hAnsi="Calibri"/>
          <w:i/>
        </w:rPr>
        <w:t>al</w:t>
      </w:r>
      <w:r w:rsidRPr="004566DC">
        <w:rPr>
          <w:rFonts w:ascii="Calibri" w:hAnsi="Calibri"/>
          <w:i/>
        </w:rPr>
        <w:t xml:space="preserve"> Diagn</w:t>
      </w:r>
      <w:r w:rsidR="00AE2455">
        <w:rPr>
          <w:rFonts w:ascii="Calibri" w:hAnsi="Calibri"/>
          <w:i/>
        </w:rPr>
        <w:t>osis</w:t>
      </w:r>
      <w:r w:rsidRPr="004566DC">
        <w:rPr>
          <w:rFonts w:ascii="Calibri" w:hAnsi="Calibri"/>
        </w:rPr>
        <w:t>, vol. 27, no. 8, pp. 709</w:t>
      </w:r>
      <w:r w:rsidR="00AE2455">
        <w:rPr>
          <w:rFonts w:ascii="Calibri" w:hAnsi="Calibri"/>
        </w:rPr>
        <w:t>–</w:t>
      </w:r>
      <w:r w:rsidRPr="004566DC">
        <w:rPr>
          <w:rFonts w:ascii="Calibri" w:hAnsi="Calibri"/>
        </w:rPr>
        <w:t>716.</w:t>
      </w:r>
    </w:p>
    <w:p w14:paraId="6F2832F9" w14:textId="3B06C567" w:rsidR="00B46ABF" w:rsidRPr="004566DC" w:rsidRDefault="00B46ABF" w:rsidP="00B46ABF">
      <w:pPr>
        <w:pStyle w:val="EndNoteBibliography"/>
        <w:rPr>
          <w:rFonts w:ascii="Calibri" w:hAnsi="Calibri"/>
        </w:rPr>
      </w:pPr>
      <w:bookmarkStart w:id="709" w:name="_ENREF_66"/>
      <w:bookmarkEnd w:id="708"/>
      <w:r w:rsidRPr="004566DC">
        <w:rPr>
          <w:rFonts w:ascii="Calibri" w:hAnsi="Calibri"/>
        </w:rPr>
        <w:t>Korenromp, MJ, Page-Christiaens, GC, van den Bout, J, Mulder, EJ &amp; Visser, GH 2009, 'Adjustment to termination of pregnancy for fetal anomaly: a longitudinal study in women at 4, 8, and 16</w:t>
      </w:r>
      <w:r w:rsidR="00AE2455">
        <w:rPr>
          <w:rFonts w:ascii="Calibri" w:hAnsi="Calibri"/>
        </w:rPr>
        <w:t> </w:t>
      </w:r>
      <w:r w:rsidRPr="004566DC">
        <w:rPr>
          <w:rFonts w:ascii="Calibri" w:hAnsi="Calibri"/>
        </w:rPr>
        <w:t xml:space="preserve">months', </w:t>
      </w:r>
      <w:r w:rsidRPr="004566DC">
        <w:rPr>
          <w:rFonts w:ascii="Calibri" w:hAnsi="Calibri"/>
          <w:i/>
        </w:rPr>
        <w:t>Am</w:t>
      </w:r>
      <w:r w:rsidR="00AE2455">
        <w:rPr>
          <w:rFonts w:ascii="Calibri" w:hAnsi="Calibri"/>
          <w:i/>
        </w:rPr>
        <w:t>erican</w:t>
      </w:r>
      <w:r w:rsidRPr="004566DC">
        <w:rPr>
          <w:rFonts w:ascii="Calibri" w:hAnsi="Calibri"/>
          <w:i/>
        </w:rPr>
        <w:t xml:space="preserve"> J</w:t>
      </w:r>
      <w:r w:rsidR="00AE2455">
        <w:rPr>
          <w:rFonts w:ascii="Calibri" w:hAnsi="Calibri"/>
          <w:i/>
        </w:rPr>
        <w:t>ournal of</w:t>
      </w:r>
      <w:r w:rsidRPr="004566DC">
        <w:rPr>
          <w:rFonts w:ascii="Calibri" w:hAnsi="Calibri"/>
          <w:i/>
        </w:rPr>
        <w:t xml:space="preserve"> Obstet</w:t>
      </w:r>
      <w:r w:rsidR="00AE2455">
        <w:rPr>
          <w:rFonts w:ascii="Calibri" w:hAnsi="Calibri"/>
          <w:i/>
        </w:rPr>
        <w:t>rics &amp;</w:t>
      </w:r>
      <w:r w:rsidRPr="004566DC">
        <w:rPr>
          <w:rFonts w:ascii="Calibri" w:hAnsi="Calibri"/>
          <w:i/>
        </w:rPr>
        <w:t xml:space="preserve"> Gynecol</w:t>
      </w:r>
      <w:r w:rsidR="00AE2455">
        <w:rPr>
          <w:rFonts w:ascii="Calibri" w:hAnsi="Calibri"/>
          <w:i/>
        </w:rPr>
        <w:t>ogy</w:t>
      </w:r>
      <w:r w:rsidRPr="004566DC">
        <w:rPr>
          <w:rFonts w:ascii="Calibri" w:hAnsi="Calibri"/>
        </w:rPr>
        <w:t>, vol. 201, no. 2, pp. 160</w:t>
      </w:r>
      <w:r w:rsidR="00330C3C">
        <w:rPr>
          <w:rFonts w:ascii="Calibri" w:hAnsi="Calibri"/>
        </w:rPr>
        <w:t>.</w:t>
      </w:r>
      <w:r w:rsidRPr="004566DC">
        <w:rPr>
          <w:rFonts w:ascii="Calibri" w:hAnsi="Calibri"/>
        </w:rPr>
        <w:t>e1</w:t>
      </w:r>
      <w:r w:rsidR="00AE2455">
        <w:rPr>
          <w:rFonts w:ascii="Calibri" w:hAnsi="Calibri"/>
        </w:rPr>
        <w:t>–</w:t>
      </w:r>
      <w:r w:rsidRPr="004566DC">
        <w:rPr>
          <w:rFonts w:ascii="Calibri" w:hAnsi="Calibri"/>
        </w:rPr>
        <w:t>7.</w:t>
      </w:r>
    </w:p>
    <w:p w14:paraId="6A0FFDA9" w14:textId="77777777" w:rsidR="00B46ABF" w:rsidRPr="004566DC" w:rsidRDefault="00B46ABF" w:rsidP="00B46ABF">
      <w:pPr>
        <w:pStyle w:val="EndNoteBibliography"/>
        <w:rPr>
          <w:rFonts w:ascii="Calibri" w:hAnsi="Calibri"/>
        </w:rPr>
      </w:pPr>
      <w:bookmarkStart w:id="710" w:name="_ENREF_67"/>
      <w:bookmarkEnd w:id="709"/>
      <w:r w:rsidRPr="004566DC">
        <w:rPr>
          <w:rFonts w:ascii="Calibri" w:hAnsi="Calibri"/>
        </w:rPr>
        <w:t xml:space="preserve">Kulier, R, Fekih, A, Hofmeyr, GJ &amp; Campana, A 2001, 'Surgical methods for first trimester termination of pregnancy', </w:t>
      </w:r>
      <w:r w:rsidRPr="004566DC">
        <w:rPr>
          <w:rFonts w:ascii="Calibri" w:hAnsi="Calibri"/>
          <w:i/>
        </w:rPr>
        <w:t>Cochrane Database Syst Rev</w:t>
      </w:r>
      <w:r w:rsidRPr="004566DC">
        <w:rPr>
          <w:rFonts w:ascii="Calibri" w:hAnsi="Calibri"/>
        </w:rPr>
        <w:t>, no. 4, p. CD002900.</w:t>
      </w:r>
    </w:p>
    <w:p w14:paraId="7D0AA917" w14:textId="40C8712D" w:rsidR="00B46ABF" w:rsidRPr="004566DC" w:rsidRDefault="00B46ABF" w:rsidP="00B46ABF">
      <w:pPr>
        <w:pStyle w:val="EndNoteBibliography"/>
        <w:rPr>
          <w:rFonts w:ascii="Calibri" w:hAnsi="Calibri"/>
        </w:rPr>
      </w:pPr>
      <w:bookmarkStart w:id="711" w:name="_ENREF_68"/>
      <w:bookmarkEnd w:id="710"/>
      <w:r w:rsidRPr="004566DC">
        <w:rPr>
          <w:rFonts w:ascii="Calibri" w:hAnsi="Calibri"/>
        </w:rPr>
        <w:t xml:space="preserve">Kulier, R, Kapp, N, Gulmezoglu, AM, Hofmeyr, GJ, Cheng, L &amp; Campana, A 2011, 'Medical methods for first trimester abortion', </w:t>
      </w:r>
      <w:r w:rsidRPr="004566DC">
        <w:rPr>
          <w:rFonts w:ascii="Calibri" w:hAnsi="Calibri"/>
          <w:i/>
        </w:rPr>
        <w:t xml:space="preserve">Cochrane Database </w:t>
      </w:r>
      <w:r w:rsidR="00C83AAD">
        <w:rPr>
          <w:rFonts w:ascii="Calibri" w:hAnsi="Calibri"/>
          <w:i/>
        </w:rPr>
        <w:t xml:space="preserve">of </w:t>
      </w:r>
      <w:r w:rsidRPr="004566DC">
        <w:rPr>
          <w:rFonts w:ascii="Calibri" w:hAnsi="Calibri"/>
          <w:i/>
        </w:rPr>
        <w:t>Syst</w:t>
      </w:r>
      <w:r w:rsidR="00C83AAD">
        <w:rPr>
          <w:rFonts w:ascii="Calibri" w:hAnsi="Calibri"/>
          <w:i/>
        </w:rPr>
        <w:t>ematic</w:t>
      </w:r>
      <w:r w:rsidRPr="004566DC">
        <w:rPr>
          <w:rFonts w:ascii="Calibri" w:hAnsi="Calibri"/>
          <w:i/>
        </w:rPr>
        <w:t xml:space="preserve"> Rev</w:t>
      </w:r>
      <w:r w:rsidR="00C83AAD">
        <w:rPr>
          <w:rFonts w:ascii="Calibri" w:hAnsi="Calibri"/>
          <w:i/>
        </w:rPr>
        <w:t>iews</w:t>
      </w:r>
      <w:r w:rsidRPr="004566DC">
        <w:rPr>
          <w:rFonts w:ascii="Calibri" w:hAnsi="Calibri"/>
        </w:rPr>
        <w:t>, no. 11, p. CD002855.</w:t>
      </w:r>
    </w:p>
    <w:p w14:paraId="26A592A0" w14:textId="7679CFBD" w:rsidR="00B46ABF" w:rsidRPr="004566DC" w:rsidRDefault="00B46ABF" w:rsidP="00B46ABF">
      <w:pPr>
        <w:pStyle w:val="EndNoteBibliography"/>
        <w:rPr>
          <w:rFonts w:ascii="Calibri" w:hAnsi="Calibri"/>
        </w:rPr>
      </w:pPr>
      <w:bookmarkStart w:id="712" w:name="_ENREF_69"/>
      <w:bookmarkEnd w:id="711"/>
      <w:r w:rsidRPr="004566DC">
        <w:rPr>
          <w:rFonts w:ascii="Calibri" w:hAnsi="Calibri"/>
        </w:rPr>
        <w:t xml:space="preserve">Lay-Son, G, Puga, A, Astudillo, P &amp; Repetto, GM 2011, 'Cystic fibrosis in Chilean patients: </w:t>
      </w:r>
      <w:r w:rsidR="00C83AAD">
        <w:rPr>
          <w:rFonts w:ascii="Calibri" w:hAnsi="Calibri"/>
        </w:rPr>
        <w:t>a</w:t>
      </w:r>
      <w:r w:rsidRPr="004566DC">
        <w:rPr>
          <w:rFonts w:ascii="Calibri" w:hAnsi="Calibri"/>
        </w:rPr>
        <w:t xml:space="preserve">nalysis of 36 common </w:t>
      </w:r>
      <w:r w:rsidRPr="004566DC">
        <w:rPr>
          <w:rFonts w:ascii="Calibri" w:hAnsi="Calibri"/>
          <w:i/>
        </w:rPr>
        <w:t xml:space="preserve">CFTR </w:t>
      </w:r>
      <w:r w:rsidRPr="004566DC">
        <w:rPr>
          <w:rFonts w:ascii="Calibri" w:hAnsi="Calibri"/>
        </w:rPr>
        <w:t xml:space="preserve">gene mutations', </w:t>
      </w:r>
      <w:r w:rsidRPr="004566DC">
        <w:rPr>
          <w:rFonts w:ascii="Calibri" w:hAnsi="Calibri"/>
          <w:i/>
        </w:rPr>
        <w:t>Journal of Cystic Fibrosis</w:t>
      </w:r>
      <w:r w:rsidRPr="004566DC">
        <w:rPr>
          <w:rFonts w:ascii="Calibri" w:hAnsi="Calibri"/>
        </w:rPr>
        <w:t>, vol. 10, no. 1, pp. 66</w:t>
      </w:r>
      <w:r w:rsidR="00C83AAD">
        <w:rPr>
          <w:rFonts w:ascii="Calibri" w:hAnsi="Calibri"/>
        </w:rPr>
        <w:t>–</w:t>
      </w:r>
      <w:r w:rsidRPr="004566DC">
        <w:rPr>
          <w:rFonts w:ascii="Calibri" w:hAnsi="Calibri"/>
        </w:rPr>
        <w:t>70.</w:t>
      </w:r>
    </w:p>
    <w:p w14:paraId="6B715538" w14:textId="0B895462" w:rsidR="00AC247A" w:rsidRPr="004566DC" w:rsidRDefault="00AC247A" w:rsidP="00B46ABF">
      <w:pPr>
        <w:pStyle w:val="EndNoteBibliography"/>
        <w:rPr>
          <w:rFonts w:asciiTheme="minorHAnsi" w:hAnsiTheme="minorHAnsi"/>
        </w:rPr>
      </w:pPr>
      <w:bookmarkStart w:id="713" w:name="_ENREF_70"/>
      <w:bookmarkEnd w:id="712"/>
      <w:r w:rsidRPr="004566DC">
        <w:rPr>
          <w:rFonts w:asciiTheme="minorHAnsi" w:hAnsiTheme="minorHAnsi"/>
        </w:rPr>
        <w:t xml:space="preserve">Liberati, A, Altman, DG, Tetzlaff, J, Mulrow, C, Gøtzsche, PC, Ioannidis, JPA et al. 2009, The PRISMA statement for reporting systematic reviews and meta-analyses of studies that evaluate health care interventions: explanation and elaboration. </w:t>
      </w:r>
      <w:r w:rsidRPr="004566DC">
        <w:rPr>
          <w:rFonts w:asciiTheme="minorHAnsi" w:hAnsiTheme="minorHAnsi"/>
          <w:i/>
        </w:rPr>
        <w:t>PLoS Med</w:t>
      </w:r>
      <w:r w:rsidR="00A701DB" w:rsidRPr="004566DC">
        <w:rPr>
          <w:rFonts w:asciiTheme="minorHAnsi" w:hAnsiTheme="minorHAnsi"/>
          <w:i/>
        </w:rPr>
        <w:t>icine,</w:t>
      </w:r>
      <w:r w:rsidRPr="004566DC">
        <w:rPr>
          <w:rFonts w:asciiTheme="minorHAnsi" w:hAnsiTheme="minorHAnsi"/>
        </w:rPr>
        <w:t xml:space="preserve"> </w:t>
      </w:r>
      <w:r w:rsidR="00A701DB" w:rsidRPr="004566DC">
        <w:rPr>
          <w:rFonts w:asciiTheme="minorHAnsi" w:hAnsiTheme="minorHAnsi"/>
        </w:rPr>
        <w:t xml:space="preserve">vol. </w:t>
      </w:r>
      <w:r w:rsidRPr="004566DC">
        <w:rPr>
          <w:rFonts w:asciiTheme="minorHAnsi" w:hAnsiTheme="minorHAnsi"/>
        </w:rPr>
        <w:t>6</w:t>
      </w:r>
      <w:r w:rsidR="00A701DB" w:rsidRPr="004566DC">
        <w:rPr>
          <w:rFonts w:asciiTheme="minorHAnsi" w:hAnsiTheme="minorHAnsi"/>
        </w:rPr>
        <w:t>, no. 7,</w:t>
      </w:r>
      <w:r w:rsidRPr="004566DC">
        <w:rPr>
          <w:rFonts w:asciiTheme="minorHAnsi" w:hAnsiTheme="minorHAnsi"/>
        </w:rPr>
        <w:t xml:space="preserve"> e1000100. doi:10.1371/journal.pmed.1000100.</w:t>
      </w:r>
    </w:p>
    <w:p w14:paraId="7F2EFD8A" w14:textId="75DF3BF4" w:rsidR="00B46ABF" w:rsidRPr="004566DC" w:rsidRDefault="00B46ABF" w:rsidP="00B46ABF">
      <w:pPr>
        <w:pStyle w:val="EndNoteBibliography"/>
        <w:rPr>
          <w:rFonts w:ascii="Calibri" w:hAnsi="Calibri"/>
        </w:rPr>
      </w:pPr>
      <w:r w:rsidRPr="004566DC">
        <w:rPr>
          <w:rFonts w:ascii="Calibri" w:hAnsi="Calibri"/>
        </w:rPr>
        <w:t xml:space="preserve">Lohr, PA, Hayes, JL &amp; Gemzell-Danielsson, K 2008, 'Surgical versus medical methods for second trimester induced abortion', </w:t>
      </w:r>
      <w:r w:rsidRPr="004566DC">
        <w:rPr>
          <w:rFonts w:ascii="Calibri" w:hAnsi="Calibri"/>
          <w:i/>
        </w:rPr>
        <w:t xml:space="preserve">Cochrane Database </w:t>
      </w:r>
      <w:r w:rsidR="00C83AAD">
        <w:rPr>
          <w:rFonts w:ascii="Calibri" w:hAnsi="Calibri"/>
          <w:i/>
        </w:rPr>
        <w:t xml:space="preserve">of </w:t>
      </w:r>
      <w:r w:rsidRPr="004566DC">
        <w:rPr>
          <w:rFonts w:ascii="Calibri" w:hAnsi="Calibri"/>
          <w:i/>
        </w:rPr>
        <w:t>Syst</w:t>
      </w:r>
      <w:r w:rsidR="00C83AAD">
        <w:rPr>
          <w:rFonts w:ascii="Calibri" w:hAnsi="Calibri"/>
          <w:i/>
        </w:rPr>
        <w:t>ematic</w:t>
      </w:r>
      <w:r w:rsidRPr="004566DC">
        <w:rPr>
          <w:rFonts w:ascii="Calibri" w:hAnsi="Calibri"/>
          <w:i/>
        </w:rPr>
        <w:t xml:space="preserve"> Rev</w:t>
      </w:r>
      <w:r w:rsidR="00C83AAD">
        <w:rPr>
          <w:rFonts w:ascii="Calibri" w:hAnsi="Calibri"/>
          <w:i/>
        </w:rPr>
        <w:t>iews</w:t>
      </w:r>
      <w:r w:rsidRPr="004566DC">
        <w:rPr>
          <w:rFonts w:ascii="Calibri" w:hAnsi="Calibri"/>
        </w:rPr>
        <w:t>, no. 1, p. CD006714.</w:t>
      </w:r>
    </w:p>
    <w:p w14:paraId="2675AA70" w14:textId="1A542011" w:rsidR="00B46ABF" w:rsidRPr="004566DC" w:rsidRDefault="00B46ABF" w:rsidP="00B46ABF">
      <w:pPr>
        <w:pStyle w:val="EndNoteBibliography"/>
        <w:rPr>
          <w:rFonts w:ascii="Calibri" w:hAnsi="Calibri"/>
        </w:rPr>
      </w:pPr>
      <w:bookmarkStart w:id="714" w:name="_ENREF_71"/>
      <w:bookmarkEnd w:id="713"/>
      <w:r w:rsidRPr="004566DC">
        <w:rPr>
          <w:rFonts w:ascii="Calibri" w:hAnsi="Calibri"/>
        </w:rPr>
        <w:t>Mailath-Pokorny, M, Klein, K, Klebermass-Schrehof, K, Hachemian, N &amp; Bettelheim, D 2012, 'Are fetuses with isolated echogenic bowel at higher risk for an adverse pregnancy outcome?</w:t>
      </w:r>
      <w:r w:rsidR="00DB714C">
        <w:rPr>
          <w:rFonts w:ascii="Calibri" w:hAnsi="Calibri"/>
        </w:rPr>
        <w:t>:</w:t>
      </w:r>
      <w:r w:rsidRPr="004566DC">
        <w:rPr>
          <w:rFonts w:ascii="Calibri" w:hAnsi="Calibri"/>
        </w:rPr>
        <w:t xml:space="preserve"> </w:t>
      </w:r>
      <w:r w:rsidR="00DB714C">
        <w:rPr>
          <w:rFonts w:ascii="Calibri" w:hAnsi="Calibri"/>
        </w:rPr>
        <w:t>e</w:t>
      </w:r>
      <w:r w:rsidRPr="004566DC">
        <w:rPr>
          <w:rFonts w:ascii="Calibri" w:hAnsi="Calibri"/>
        </w:rPr>
        <w:t xml:space="preserve">xperiences from a tertiary referral center', </w:t>
      </w:r>
      <w:r w:rsidRPr="004566DC">
        <w:rPr>
          <w:rFonts w:ascii="Calibri" w:hAnsi="Calibri"/>
          <w:i/>
        </w:rPr>
        <w:t>Prenat</w:t>
      </w:r>
      <w:r w:rsidR="00EA7860">
        <w:rPr>
          <w:rFonts w:ascii="Calibri" w:hAnsi="Calibri"/>
          <w:i/>
        </w:rPr>
        <w:t>al</w:t>
      </w:r>
      <w:r w:rsidRPr="004566DC">
        <w:rPr>
          <w:rFonts w:ascii="Calibri" w:hAnsi="Calibri"/>
          <w:i/>
        </w:rPr>
        <w:t xml:space="preserve"> Diagn</w:t>
      </w:r>
      <w:r w:rsidR="00EA7860">
        <w:rPr>
          <w:rFonts w:ascii="Calibri" w:hAnsi="Calibri"/>
          <w:i/>
        </w:rPr>
        <w:t>osis</w:t>
      </w:r>
      <w:r w:rsidRPr="004566DC">
        <w:rPr>
          <w:rFonts w:ascii="Calibri" w:hAnsi="Calibri"/>
        </w:rPr>
        <w:t>, vol. 32, no. 13, pp. 1295</w:t>
      </w:r>
      <w:r w:rsidR="00EA7860">
        <w:rPr>
          <w:rFonts w:ascii="Calibri" w:hAnsi="Calibri"/>
        </w:rPr>
        <w:t>–</w:t>
      </w:r>
      <w:r w:rsidRPr="004566DC">
        <w:rPr>
          <w:rFonts w:ascii="Calibri" w:hAnsi="Calibri"/>
        </w:rPr>
        <w:t>1299.</w:t>
      </w:r>
    </w:p>
    <w:p w14:paraId="5A57BCA5" w14:textId="5AEA9903" w:rsidR="00B46ABF" w:rsidRPr="004566DC" w:rsidRDefault="00B46ABF" w:rsidP="00B46ABF">
      <w:pPr>
        <w:pStyle w:val="EndNoteBibliography"/>
        <w:rPr>
          <w:rFonts w:ascii="Calibri" w:hAnsi="Calibri"/>
        </w:rPr>
      </w:pPr>
      <w:bookmarkStart w:id="715" w:name="_ENREF_72"/>
      <w:bookmarkEnd w:id="714"/>
      <w:r w:rsidRPr="004566DC">
        <w:rPr>
          <w:rFonts w:ascii="Calibri" w:hAnsi="Calibri"/>
        </w:rPr>
        <w:t xml:space="preserve">Massie, J, Forbes, R, Dusart, D, Bankier, A &amp; Delatycki, MB 2007, 'Community-wide screening for cystic fibrosis carriers could replace newborn screening for the diagnosis of cystic fibrosis', </w:t>
      </w:r>
      <w:r w:rsidRPr="004566DC">
        <w:rPr>
          <w:rFonts w:ascii="Calibri" w:hAnsi="Calibri"/>
          <w:i/>
        </w:rPr>
        <w:t>J</w:t>
      </w:r>
      <w:r w:rsidR="00EA7860">
        <w:rPr>
          <w:rFonts w:ascii="Calibri" w:hAnsi="Calibri"/>
          <w:i/>
        </w:rPr>
        <w:t>ournal of</w:t>
      </w:r>
      <w:r w:rsidRPr="004566DC">
        <w:rPr>
          <w:rFonts w:ascii="Calibri" w:hAnsi="Calibri"/>
          <w:i/>
        </w:rPr>
        <w:t xml:space="preserve"> Paediatr</w:t>
      </w:r>
      <w:r w:rsidR="00EA7860">
        <w:rPr>
          <w:rFonts w:ascii="Calibri" w:hAnsi="Calibri"/>
          <w:i/>
        </w:rPr>
        <w:t>ic &amp;</w:t>
      </w:r>
      <w:r w:rsidRPr="004566DC">
        <w:rPr>
          <w:rFonts w:ascii="Calibri" w:hAnsi="Calibri"/>
          <w:i/>
        </w:rPr>
        <w:t xml:space="preserve"> Child Health</w:t>
      </w:r>
      <w:r w:rsidRPr="004566DC">
        <w:rPr>
          <w:rFonts w:ascii="Calibri" w:hAnsi="Calibri"/>
        </w:rPr>
        <w:t>, vol. 43, no. 11, pp. 721</w:t>
      </w:r>
      <w:r w:rsidR="00EA7860">
        <w:rPr>
          <w:rFonts w:ascii="Calibri" w:hAnsi="Calibri"/>
        </w:rPr>
        <w:t>–</w:t>
      </w:r>
      <w:r w:rsidRPr="004566DC">
        <w:rPr>
          <w:rFonts w:ascii="Calibri" w:hAnsi="Calibri"/>
        </w:rPr>
        <w:t>723.</w:t>
      </w:r>
    </w:p>
    <w:p w14:paraId="37FB60C4" w14:textId="24C4B583" w:rsidR="00B46ABF" w:rsidRPr="004566DC" w:rsidRDefault="00B46ABF" w:rsidP="00B46ABF">
      <w:pPr>
        <w:pStyle w:val="EndNoteBibliography"/>
        <w:rPr>
          <w:rFonts w:ascii="Calibri" w:hAnsi="Calibri"/>
        </w:rPr>
      </w:pPr>
      <w:bookmarkStart w:id="716" w:name="_ENREF_73"/>
      <w:bookmarkEnd w:id="715"/>
      <w:r w:rsidRPr="004566DC">
        <w:rPr>
          <w:rFonts w:ascii="Calibri" w:hAnsi="Calibri"/>
        </w:rPr>
        <w:t xml:space="preserve">Massie, J, Ioannou, L &amp; Delatycki, M 2014, 'Prenatal and preconception population carrier screening for cystic fibrosis in Australia: where are we up to?', </w:t>
      </w:r>
      <w:r w:rsidRPr="004566DC">
        <w:rPr>
          <w:rFonts w:ascii="Calibri" w:hAnsi="Calibri"/>
          <w:i/>
        </w:rPr>
        <w:t>Aust</w:t>
      </w:r>
      <w:r w:rsidR="00EA7860">
        <w:rPr>
          <w:rFonts w:ascii="Calibri" w:hAnsi="Calibri"/>
          <w:i/>
        </w:rPr>
        <w:t>ralian</w:t>
      </w:r>
      <w:r w:rsidRPr="004566DC">
        <w:rPr>
          <w:rFonts w:ascii="Calibri" w:hAnsi="Calibri"/>
          <w:i/>
        </w:rPr>
        <w:t xml:space="preserve"> </w:t>
      </w:r>
      <w:r w:rsidR="00EA7860">
        <w:rPr>
          <w:rFonts w:ascii="Calibri" w:hAnsi="Calibri"/>
          <w:i/>
        </w:rPr>
        <w:t xml:space="preserve">and </w:t>
      </w:r>
      <w:r w:rsidRPr="004566DC">
        <w:rPr>
          <w:rFonts w:ascii="Calibri" w:hAnsi="Calibri"/>
          <w:i/>
        </w:rPr>
        <w:t>N</w:t>
      </w:r>
      <w:r w:rsidR="00EA7860">
        <w:rPr>
          <w:rFonts w:ascii="Calibri" w:hAnsi="Calibri"/>
          <w:i/>
        </w:rPr>
        <w:t>ew</w:t>
      </w:r>
      <w:r w:rsidRPr="004566DC">
        <w:rPr>
          <w:rFonts w:ascii="Calibri" w:hAnsi="Calibri"/>
          <w:i/>
        </w:rPr>
        <w:t xml:space="preserve"> Z</w:t>
      </w:r>
      <w:r w:rsidR="00EA7860">
        <w:rPr>
          <w:rFonts w:ascii="Calibri" w:hAnsi="Calibri"/>
          <w:i/>
        </w:rPr>
        <w:t>ealand</w:t>
      </w:r>
      <w:r w:rsidRPr="004566DC">
        <w:rPr>
          <w:rFonts w:ascii="Calibri" w:hAnsi="Calibri"/>
          <w:i/>
        </w:rPr>
        <w:t xml:space="preserve"> J</w:t>
      </w:r>
      <w:r w:rsidR="00EA7860">
        <w:rPr>
          <w:rFonts w:ascii="Calibri" w:hAnsi="Calibri"/>
          <w:i/>
        </w:rPr>
        <w:t>ournal of</w:t>
      </w:r>
      <w:r w:rsidRPr="004566DC">
        <w:rPr>
          <w:rFonts w:ascii="Calibri" w:hAnsi="Calibri"/>
          <w:i/>
        </w:rPr>
        <w:t xml:space="preserve"> Obstet</w:t>
      </w:r>
      <w:r w:rsidR="00217218">
        <w:rPr>
          <w:rFonts w:ascii="Calibri" w:hAnsi="Calibri"/>
          <w:i/>
        </w:rPr>
        <w:t>rics and</w:t>
      </w:r>
      <w:r w:rsidRPr="004566DC">
        <w:rPr>
          <w:rFonts w:ascii="Calibri" w:hAnsi="Calibri"/>
          <w:i/>
        </w:rPr>
        <w:t xml:space="preserve"> Gynaecol</w:t>
      </w:r>
      <w:r w:rsidR="00EA7860">
        <w:rPr>
          <w:rFonts w:ascii="Calibri" w:hAnsi="Calibri"/>
          <w:i/>
        </w:rPr>
        <w:t>ogy</w:t>
      </w:r>
      <w:r w:rsidRPr="004566DC">
        <w:rPr>
          <w:rFonts w:ascii="Calibri" w:hAnsi="Calibri"/>
        </w:rPr>
        <w:t>, vol. 54, no. 6, pp. 503</w:t>
      </w:r>
      <w:r w:rsidR="00EA7860">
        <w:rPr>
          <w:rFonts w:ascii="Calibri" w:hAnsi="Calibri"/>
        </w:rPr>
        <w:t>–</w:t>
      </w:r>
      <w:r w:rsidRPr="004566DC">
        <w:rPr>
          <w:rFonts w:ascii="Calibri" w:hAnsi="Calibri"/>
        </w:rPr>
        <w:t>509.</w:t>
      </w:r>
    </w:p>
    <w:p w14:paraId="47AA0051" w14:textId="20071256" w:rsidR="00B46ABF" w:rsidRPr="004566DC" w:rsidRDefault="00B46ABF" w:rsidP="00B46ABF">
      <w:pPr>
        <w:pStyle w:val="EndNoteBibliography"/>
        <w:rPr>
          <w:rFonts w:ascii="Calibri" w:hAnsi="Calibri"/>
        </w:rPr>
      </w:pPr>
      <w:bookmarkStart w:id="717" w:name="_ENREF_74"/>
      <w:bookmarkEnd w:id="716"/>
      <w:r w:rsidRPr="004566DC">
        <w:rPr>
          <w:rFonts w:ascii="Calibri" w:hAnsi="Calibri"/>
        </w:rPr>
        <w:lastRenderedPageBreak/>
        <w:t>Massie, J, Petrou, V, Forbes, R, Curnow, L, Ioannou, L, Dusart, D, Bankier, A &amp; Delatycki, M 2009, 'Population-based carrier screening for cystic fibrosis in Victoria: the first three years</w:t>
      </w:r>
      <w:r w:rsidR="008117EE">
        <w:rPr>
          <w:rFonts w:ascii="Calibri" w:hAnsi="Calibri"/>
        </w:rPr>
        <w:t>'</w:t>
      </w:r>
      <w:r w:rsidRPr="004566DC">
        <w:rPr>
          <w:rFonts w:ascii="Calibri" w:hAnsi="Calibri"/>
        </w:rPr>
        <w:t xml:space="preserve"> experience', </w:t>
      </w:r>
      <w:r w:rsidR="00EA7860" w:rsidRPr="00D1710C">
        <w:rPr>
          <w:rFonts w:ascii="Calibri" w:hAnsi="Calibri"/>
          <w:i/>
        </w:rPr>
        <w:t>Aust</w:t>
      </w:r>
      <w:r w:rsidR="00EA7860">
        <w:rPr>
          <w:rFonts w:ascii="Calibri" w:hAnsi="Calibri"/>
          <w:i/>
        </w:rPr>
        <w:t>ralian</w:t>
      </w:r>
      <w:r w:rsidR="00EA7860" w:rsidRPr="00D1710C">
        <w:rPr>
          <w:rFonts w:ascii="Calibri" w:hAnsi="Calibri"/>
          <w:i/>
        </w:rPr>
        <w:t xml:space="preserve"> </w:t>
      </w:r>
      <w:r w:rsidR="00EA7860">
        <w:rPr>
          <w:rFonts w:ascii="Calibri" w:hAnsi="Calibri"/>
          <w:i/>
        </w:rPr>
        <w:t xml:space="preserve">and </w:t>
      </w:r>
      <w:r w:rsidR="00EA7860" w:rsidRPr="00D1710C">
        <w:rPr>
          <w:rFonts w:ascii="Calibri" w:hAnsi="Calibri"/>
          <w:i/>
        </w:rPr>
        <w:t>N</w:t>
      </w:r>
      <w:r w:rsidR="00EA7860">
        <w:rPr>
          <w:rFonts w:ascii="Calibri" w:hAnsi="Calibri"/>
          <w:i/>
        </w:rPr>
        <w:t>ew</w:t>
      </w:r>
      <w:r w:rsidR="00EA7860" w:rsidRPr="00D1710C">
        <w:rPr>
          <w:rFonts w:ascii="Calibri" w:hAnsi="Calibri"/>
          <w:i/>
        </w:rPr>
        <w:t xml:space="preserve"> Z</w:t>
      </w:r>
      <w:r w:rsidR="00EA7860">
        <w:rPr>
          <w:rFonts w:ascii="Calibri" w:hAnsi="Calibri"/>
          <w:i/>
        </w:rPr>
        <w:t>ealand</w:t>
      </w:r>
      <w:r w:rsidR="00EA7860" w:rsidRPr="00D1710C">
        <w:rPr>
          <w:rFonts w:ascii="Calibri" w:hAnsi="Calibri"/>
          <w:i/>
        </w:rPr>
        <w:t xml:space="preserve"> J</w:t>
      </w:r>
      <w:r w:rsidR="00EA7860">
        <w:rPr>
          <w:rFonts w:ascii="Calibri" w:hAnsi="Calibri"/>
          <w:i/>
        </w:rPr>
        <w:t>ournal of</w:t>
      </w:r>
      <w:r w:rsidR="00EA7860" w:rsidRPr="00D1710C">
        <w:rPr>
          <w:rFonts w:ascii="Calibri" w:hAnsi="Calibri"/>
          <w:i/>
        </w:rPr>
        <w:t xml:space="preserve"> Obstet</w:t>
      </w:r>
      <w:r w:rsidR="00217218">
        <w:rPr>
          <w:rFonts w:ascii="Calibri" w:hAnsi="Calibri"/>
          <w:i/>
        </w:rPr>
        <w:t>rics and</w:t>
      </w:r>
      <w:r w:rsidR="00EA7860" w:rsidRPr="00D1710C">
        <w:rPr>
          <w:rFonts w:ascii="Calibri" w:hAnsi="Calibri"/>
          <w:i/>
        </w:rPr>
        <w:t xml:space="preserve"> Gynaecol</w:t>
      </w:r>
      <w:r w:rsidR="00EA7860">
        <w:rPr>
          <w:rFonts w:ascii="Calibri" w:hAnsi="Calibri"/>
          <w:i/>
        </w:rPr>
        <w:t>ogy</w:t>
      </w:r>
      <w:r w:rsidRPr="004566DC">
        <w:rPr>
          <w:rFonts w:ascii="Calibri" w:hAnsi="Calibri"/>
        </w:rPr>
        <w:t>, vol. 49, no. 5, pp. 484</w:t>
      </w:r>
      <w:r w:rsidR="00EA7860">
        <w:rPr>
          <w:rFonts w:ascii="Calibri" w:hAnsi="Calibri"/>
        </w:rPr>
        <w:t>–</w:t>
      </w:r>
      <w:r w:rsidRPr="004566DC">
        <w:rPr>
          <w:rFonts w:ascii="Calibri" w:hAnsi="Calibri"/>
        </w:rPr>
        <w:t>489.</w:t>
      </w:r>
    </w:p>
    <w:p w14:paraId="1876FA93" w14:textId="0F045CB0" w:rsidR="00B46ABF" w:rsidRPr="004566DC" w:rsidRDefault="00B46ABF" w:rsidP="00B46ABF">
      <w:pPr>
        <w:pStyle w:val="EndNoteBibliography"/>
        <w:rPr>
          <w:rFonts w:ascii="Calibri" w:hAnsi="Calibri"/>
        </w:rPr>
      </w:pPr>
      <w:bookmarkStart w:id="718" w:name="_ENREF_75"/>
      <w:bookmarkEnd w:id="717"/>
      <w:r w:rsidRPr="004566DC">
        <w:rPr>
          <w:rFonts w:ascii="Calibri" w:hAnsi="Calibri"/>
        </w:rPr>
        <w:t xml:space="preserve">Massie, JH, Curnow, L, Glazner, J, Armstrong, DS &amp; Francis, I 2012, 'Lessons learned from 20 years of newborn screening for cystic fibrosis', </w:t>
      </w:r>
      <w:r w:rsidRPr="004566DC">
        <w:rPr>
          <w:rFonts w:ascii="Calibri" w:hAnsi="Calibri"/>
          <w:i/>
        </w:rPr>
        <w:t>Medical Journal of Australia</w:t>
      </w:r>
      <w:r w:rsidRPr="004566DC">
        <w:rPr>
          <w:rFonts w:ascii="Calibri" w:hAnsi="Calibri"/>
        </w:rPr>
        <w:t>, vol. 196, no. 1, pp. 67</w:t>
      </w:r>
      <w:r w:rsidR="00217218">
        <w:rPr>
          <w:rFonts w:ascii="Calibri" w:hAnsi="Calibri"/>
        </w:rPr>
        <w:t>–</w:t>
      </w:r>
      <w:r w:rsidRPr="004566DC">
        <w:rPr>
          <w:rFonts w:ascii="Calibri" w:hAnsi="Calibri"/>
        </w:rPr>
        <w:t>70.</w:t>
      </w:r>
    </w:p>
    <w:p w14:paraId="60BADADE" w14:textId="67511AB4" w:rsidR="00B46ABF" w:rsidRPr="004566DC" w:rsidRDefault="00B46ABF" w:rsidP="00B46ABF">
      <w:pPr>
        <w:pStyle w:val="EndNoteBibliography"/>
        <w:rPr>
          <w:rFonts w:ascii="Calibri" w:hAnsi="Calibri"/>
        </w:rPr>
      </w:pPr>
      <w:bookmarkStart w:id="719" w:name="_ENREF_76"/>
      <w:bookmarkEnd w:id="718"/>
      <w:r w:rsidRPr="004566DC">
        <w:rPr>
          <w:rFonts w:ascii="Calibri" w:hAnsi="Calibri"/>
        </w:rPr>
        <w:t>Maxwell, S, Brameld, K, Youngs, L, Geelhoed, E &amp; O'Leary, P 2010, 'Informing policy for the Australian context</w:t>
      </w:r>
      <w:r w:rsidR="00217218">
        <w:rPr>
          <w:rFonts w:ascii="Calibri" w:hAnsi="Calibri"/>
        </w:rPr>
        <w:t>:</w:t>
      </w:r>
      <w:r w:rsidRPr="004566DC">
        <w:rPr>
          <w:rFonts w:ascii="Calibri" w:hAnsi="Calibri"/>
        </w:rPr>
        <w:t xml:space="preserve"> </w:t>
      </w:r>
      <w:r w:rsidR="00217218">
        <w:rPr>
          <w:rFonts w:ascii="Calibri" w:hAnsi="Calibri"/>
        </w:rPr>
        <w:t>c</w:t>
      </w:r>
      <w:r w:rsidRPr="004566DC">
        <w:rPr>
          <w:rFonts w:ascii="Calibri" w:hAnsi="Calibri"/>
        </w:rPr>
        <w:t xml:space="preserve">osts, outcomes and cost savings of prenatal carrier screening for cystic fibrosis', </w:t>
      </w:r>
      <w:r w:rsidR="00217218" w:rsidRPr="00D1710C">
        <w:rPr>
          <w:rFonts w:ascii="Calibri" w:hAnsi="Calibri"/>
          <w:i/>
        </w:rPr>
        <w:t>Aust</w:t>
      </w:r>
      <w:r w:rsidR="00217218">
        <w:rPr>
          <w:rFonts w:ascii="Calibri" w:hAnsi="Calibri"/>
          <w:i/>
        </w:rPr>
        <w:t>ralian</w:t>
      </w:r>
      <w:r w:rsidR="00217218" w:rsidRPr="00D1710C">
        <w:rPr>
          <w:rFonts w:ascii="Calibri" w:hAnsi="Calibri"/>
          <w:i/>
        </w:rPr>
        <w:t xml:space="preserve"> </w:t>
      </w:r>
      <w:r w:rsidR="00217218">
        <w:rPr>
          <w:rFonts w:ascii="Calibri" w:hAnsi="Calibri"/>
          <w:i/>
        </w:rPr>
        <w:t xml:space="preserve">and </w:t>
      </w:r>
      <w:r w:rsidR="00217218" w:rsidRPr="00D1710C">
        <w:rPr>
          <w:rFonts w:ascii="Calibri" w:hAnsi="Calibri"/>
          <w:i/>
        </w:rPr>
        <w:t>N</w:t>
      </w:r>
      <w:r w:rsidR="00217218">
        <w:rPr>
          <w:rFonts w:ascii="Calibri" w:hAnsi="Calibri"/>
          <w:i/>
        </w:rPr>
        <w:t>ew</w:t>
      </w:r>
      <w:r w:rsidR="00217218" w:rsidRPr="00D1710C">
        <w:rPr>
          <w:rFonts w:ascii="Calibri" w:hAnsi="Calibri"/>
          <w:i/>
        </w:rPr>
        <w:t xml:space="preserve"> Z</w:t>
      </w:r>
      <w:r w:rsidR="00217218">
        <w:rPr>
          <w:rFonts w:ascii="Calibri" w:hAnsi="Calibri"/>
          <w:i/>
        </w:rPr>
        <w:t>ealand</w:t>
      </w:r>
      <w:r w:rsidR="00217218" w:rsidRPr="00D1710C">
        <w:rPr>
          <w:rFonts w:ascii="Calibri" w:hAnsi="Calibri"/>
          <w:i/>
        </w:rPr>
        <w:t xml:space="preserve"> J</w:t>
      </w:r>
      <w:r w:rsidR="00217218">
        <w:rPr>
          <w:rFonts w:ascii="Calibri" w:hAnsi="Calibri"/>
          <w:i/>
        </w:rPr>
        <w:t>ournal of</w:t>
      </w:r>
      <w:r w:rsidR="00217218" w:rsidRPr="00D1710C">
        <w:rPr>
          <w:rFonts w:ascii="Calibri" w:hAnsi="Calibri"/>
          <w:i/>
        </w:rPr>
        <w:t xml:space="preserve"> Obstet</w:t>
      </w:r>
      <w:r w:rsidR="00217218">
        <w:rPr>
          <w:rFonts w:ascii="Calibri" w:hAnsi="Calibri"/>
          <w:i/>
        </w:rPr>
        <w:t>rics and</w:t>
      </w:r>
      <w:r w:rsidR="00217218" w:rsidRPr="00D1710C">
        <w:rPr>
          <w:rFonts w:ascii="Calibri" w:hAnsi="Calibri"/>
          <w:i/>
        </w:rPr>
        <w:t xml:space="preserve"> Gynaecol</w:t>
      </w:r>
      <w:r w:rsidR="00217218">
        <w:rPr>
          <w:rFonts w:ascii="Calibri" w:hAnsi="Calibri"/>
          <w:i/>
        </w:rPr>
        <w:t>ogy</w:t>
      </w:r>
      <w:r w:rsidRPr="004566DC">
        <w:rPr>
          <w:rFonts w:ascii="Calibri" w:hAnsi="Calibri"/>
        </w:rPr>
        <w:t>, vol. 50, no. 1, pp. 51</w:t>
      </w:r>
      <w:r w:rsidR="00217218">
        <w:rPr>
          <w:rFonts w:ascii="Calibri" w:hAnsi="Calibri"/>
        </w:rPr>
        <w:t>–</w:t>
      </w:r>
      <w:r w:rsidRPr="004566DC">
        <w:rPr>
          <w:rFonts w:ascii="Calibri" w:hAnsi="Calibri"/>
        </w:rPr>
        <w:t>59.</w:t>
      </w:r>
    </w:p>
    <w:p w14:paraId="517F6561" w14:textId="6180DD57" w:rsidR="00B46ABF" w:rsidRPr="004566DC" w:rsidRDefault="00B46ABF" w:rsidP="00B46ABF">
      <w:pPr>
        <w:pStyle w:val="EndNoteBibliography"/>
        <w:rPr>
          <w:rFonts w:ascii="Calibri" w:hAnsi="Calibri"/>
        </w:rPr>
      </w:pPr>
      <w:bookmarkStart w:id="720" w:name="_ENREF_77"/>
      <w:bookmarkEnd w:id="719"/>
      <w:r w:rsidRPr="004566DC">
        <w:rPr>
          <w:rFonts w:ascii="Calibri" w:hAnsi="Calibri"/>
        </w:rPr>
        <w:t xml:space="preserve">Merlin, T, Weston, A &amp; Tooher, R 2009, 'Extending an evidence hierarchy to include topics other than treatment: revising the Australian 'levels of evidence'', </w:t>
      </w:r>
      <w:r w:rsidRPr="004566DC">
        <w:rPr>
          <w:rFonts w:ascii="Calibri" w:hAnsi="Calibri"/>
          <w:i/>
        </w:rPr>
        <w:t>BMC Med</w:t>
      </w:r>
      <w:r w:rsidR="001461CE">
        <w:rPr>
          <w:rFonts w:ascii="Calibri" w:hAnsi="Calibri"/>
          <w:i/>
        </w:rPr>
        <w:t>ical</w:t>
      </w:r>
      <w:r w:rsidRPr="004566DC">
        <w:rPr>
          <w:rFonts w:ascii="Calibri" w:hAnsi="Calibri"/>
          <w:i/>
        </w:rPr>
        <w:t xml:space="preserve"> Res</w:t>
      </w:r>
      <w:r w:rsidR="001461CE">
        <w:rPr>
          <w:rFonts w:ascii="Calibri" w:hAnsi="Calibri"/>
          <w:i/>
        </w:rPr>
        <w:t>earch</w:t>
      </w:r>
      <w:r w:rsidRPr="004566DC">
        <w:rPr>
          <w:rFonts w:ascii="Calibri" w:hAnsi="Calibri"/>
          <w:i/>
        </w:rPr>
        <w:t xml:space="preserve"> Methodol</w:t>
      </w:r>
      <w:r w:rsidR="001461CE">
        <w:rPr>
          <w:rFonts w:ascii="Calibri" w:hAnsi="Calibri"/>
          <w:i/>
        </w:rPr>
        <w:t>ogy</w:t>
      </w:r>
      <w:r w:rsidRPr="004566DC">
        <w:rPr>
          <w:rFonts w:ascii="Calibri" w:hAnsi="Calibri"/>
        </w:rPr>
        <w:t>, vol. 9, p. 34.</w:t>
      </w:r>
    </w:p>
    <w:p w14:paraId="7B9091E9" w14:textId="32B279B7" w:rsidR="00B46ABF" w:rsidRPr="004566DC" w:rsidRDefault="00B46ABF" w:rsidP="00B46ABF">
      <w:pPr>
        <w:pStyle w:val="EndNoteBibliography"/>
        <w:rPr>
          <w:rFonts w:ascii="Calibri" w:hAnsi="Calibri"/>
        </w:rPr>
      </w:pPr>
      <w:bookmarkStart w:id="721" w:name="_ENREF_78"/>
      <w:bookmarkEnd w:id="720"/>
      <w:r w:rsidRPr="004566DC">
        <w:rPr>
          <w:rFonts w:ascii="Calibri" w:hAnsi="Calibri"/>
        </w:rPr>
        <w:t xml:space="preserve">Mishra, A, Greaves, R &amp; Massie, J 2005, 'The </w:t>
      </w:r>
      <w:r w:rsidR="001461CE">
        <w:rPr>
          <w:rFonts w:ascii="Calibri" w:hAnsi="Calibri"/>
        </w:rPr>
        <w:t>r</w:t>
      </w:r>
      <w:r w:rsidRPr="004566DC">
        <w:rPr>
          <w:rFonts w:ascii="Calibri" w:hAnsi="Calibri"/>
        </w:rPr>
        <w:t xml:space="preserve">elevance of </w:t>
      </w:r>
      <w:r w:rsidR="001461CE">
        <w:rPr>
          <w:rFonts w:ascii="Calibri" w:hAnsi="Calibri"/>
        </w:rPr>
        <w:t>s</w:t>
      </w:r>
      <w:r w:rsidRPr="004566DC">
        <w:rPr>
          <w:rFonts w:ascii="Calibri" w:hAnsi="Calibri"/>
        </w:rPr>
        <w:t xml:space="preserve">weat </w:t>
      </w:r>
      <w:r w:rsidR="001461CE">
        <w:rPr>
          <w:rFonts w:ascii="Calibri" w:hAnsi="Calibri"/>
        </w:rPr>
        <w:t>t</w:t>
      </w:r>
      <w:r w:rsidRPr="004566DC">
        <w:rPr>
          <w:rFonts w:ascii="Calibri" w:hAnsi="Calibri"/>
        </w:rPr>
        <w:t xml:space="preserve">esting for the </w:t>
      </w:r>
      <w:r w:rsidR="001461CE">
        <w:rPr>
          <w:rFonts w:ascii="Calibri" w:hAnsi="Calibri"/>
        </w:rPr>
        <w:t>d</w:t>
      </w:r>
      <w:r w:rsidRPr="004566DC">
        <w:rPr>
          <w:rFonts w:ascii="Calibri" w:hAnsi="Calibri"/>
        </w:rPr>
        <w:t xml:space="preserve">iagnosis of </w:t>
      </w:r>
      <w:r w:rsidR="001461CE">
        <w:rPr>
          <w:rFonts w:ascii="Calibri" w:hAnsi="Calibri"/>
        </w:rPr>
        <w:t>c</w:t>
      </w:r>
      <w:r w:rsidRPr="004566DC">
        <w:rPr>
          <w:rFonts w:ascii="Calibri" w:hAnsi="Calibri"/>
        </w:rPr>
        <w:t xml:space="preserve">ystic </w:t>
      </w:r>
      <w:r w:rsidR="001461CE">
        <w:rPr>
          <w:rFonts w:ascii="Calibri" w:hAnsi="Calibri"/>
        </w:rPr>
        <w:t>f</w:t>
      </w:r>
      <w:r w:rsidRPr="004566DC">
        <w:rPr>
          <w:rFonts w:ascii="Calibri" w:hAnsi="Calibri"/>
        </w:rPr>
        <w:t xml:space="preserve">ibrosis in the </w:t>
      </w:r>
      <w:r w:rsidR="001461CE">
        <w:rPr>
          <w:rFonts w:ascii="Calibri" w:hAnsi="Calibri"/>
        </w:rPr>
        <w:t>g</w:t>
      </w:r>
      <w:r w:rsidRPr="004566DC">
        <w:rPr>
          <w:rFonts w:ascii="Calibri" w:hAnsi="Calibri"/>
        </w:rPr>
        <w:t xml:space="preserve">enomic </w:t>
      </w:r>
      <w:r w:rsidR="001461CE">
        <w:rPr>
          <w:rFonts w:ascii="Calibri" w:hAnsi="Calibri"/>
        </w:rPr>
        <w:t>e</w:t>
      </w:r>
      <w:r w:rsidRPr="004566DC">
        <w:rPr>
          <w:rFonts w:ascii="Calibri" w:hAnsi="Calibri"/>
        </w:rPr>
        <w:t xml:space="preserve">ra', </w:t>
      </w:r>
      <w:r w:rsidRPr="004566DC">
        <w:rPr>
          <w:rFonts w:ascii="Calibri" w:hAnsi="Calibri"/>
          <w:i/>
        </w:rPr>
        <w:t xml:space="preserve">The Clinical </w:t>
      </w:r>
      <w:r w:rsidR="000A00E0">
        <w:rPr>
          <w:rFonts w:ascii="Calibri" w:hAnsi="Calibri"/>
          <w:i/>
        </w:rPr>
        <w:t>B</w:t>
      </w:r>
      <w:r w:rsidRPr="004566DC">
        <w:rPr>
          <w:rFonts w:ascii="Calibri" w:hAnsi="Calibri"/>
          <w:i/>
        </w:rPr>
        <w:t>iochemist Reviews</w:t>
      </w:r>
      <w:r w:rsidRPr="004566DC">
        <w:rPr>
          <w:rFonts w:ascii="Calibri" w:hAnsi="Calibri"/>
        </w:rPr>
        <w:t>, vol. 26, no. 4, pp. 135</w:t>
      </w:r>
      <w:r w:rsidR="000A00E0">
        <w:rPr>
          <w:rFonts w:ascii="Calibri" w:hAnsi="Calibri"/>
        </w:rPr>
        <w:t>–</w:t>
      </w:r>
      <w:r w:rsidRPr="004566DC">
        <w:rPr>
          <w:rFonts w:ascii="Calibri" w:hAnsi="Calibri"/>
        </w:rPr>
        <w:t>153.</w:t>
      </w:r>
    </w:p>
    <w:p w14:paraId="1990C1F1" w14:textId="77777777" w:rsidR="00B46ABF" w:rsidRPr="004566DC" w:rsidRDefault="00B46ABF" w:rsidP="00B46ABF">
      <w:pPr>
        <w:pStyle w:val="EndNoteBibliography"/>
        <w:rPr>
          <w:rFonts w:ascii="Calibri" w:hAnsi="Calibri"/>
        </w:rPr>
      </w:pPr>
      <w:bookmarkStart w:id="722" w:name="_ENREF_79"/>
      <w:bookmarkEnd w:id="721"/>
      <w:r w:rsidRPr="004566DC">
        <w:rPr>
          <w:rFonts w:ascii="Calibri" w:hAnsi="Calibri"/>
        </w:rPr>
        <w:t xml:space="preserve">Moga, C, Guo, B, Schopflocher, D &amp; Harstall, C 2012, </w:t>
      </w:r>
      <w:r w:rsidRPr="004566DC">
        <w:rPr>
          <w:rFonts w:ascii="Calibri" w:hAnsi="Calibri"/>
          <w:i/>
        </w:rPr>
        <w:t>Development of a quality appraisal tool for case series studies using a modified Delphi technique</w:t>
      </w:r>
      <w:r w:rsidRPr="004566DC">
        <w:rPr>
          <w:rFonts w:ascii="Calibri" w:hAnsi="Calibri"/>
        </w:rPr>
        <w:t>, Institute of Health Economics, Alberta, Canada.</w:t>
      </w:r>
    </w:p>
    <w:p w14:paraId="10FE1272" w14:textId="543FE22F" w:rsidR="00B46ABF" w:rsidRPr="004566DC" w:rsidRDefault="00B46ABF" w:rsidP="00B46ABF">
      <w:pPr>
        <w:pStyle w:val="EndNoteBibliography"/>
        <w:rPr>
          <w:rFonts w:ascii="Calibri" w:hAnsi="Calibri"/>
        </w:rPr>
      </w:pPr>
      <w:bookmarkStart w:id="723" w:name="_ENREF_80"/>
      <w:bookmarkEnd w:id="722"/>
      <w:r w:rsidRPr="004566DC">
        <w:rPr>
          <w:rFonts w:ascii="Calibri" w:hAnsi="Calibri"/>
        </w:rPr>
        <w:t xml:space="preserve">Moreira, C, Muggli, E &amp; Halliday, J 2007, </w:t>
      </w:r>
      <w:r w:rsidRPr="004566DC">
        <w:rPr>
          <w:rFonts w:ascii="Calibri" w:hAnsi="Calibri"/>
          <w:i/>
        </w:rPr>
        <w:t xml:space="preserve">Report on </w:t>
      </w:r>
      <w:r w:rsidR="00E41232">
        <w:rPr>
          <w:rFonts w:ascii="Calibri" w:hAnsi="Calibri"/>
          <w:i/>
        </w:rPr>
        <w:t>p</w:t>
      </w:r>
      <w:r w:rsidRPr="004566DC">
        <w:rPr>
          <w:rFonts w:ascii="Calibri" w:hAnsi="Calibri"/>
          <w:i/>
        </w:rPr>
        <w:t xml:space="preserve">renatal </w:t>
      </w:r>
      <w:r w:rsidR="00E41232">
        <w:rPr>
          <w:rFonts w:ascii="Calibri" w:hAnsi="Calibri"/>
          <w:i/>
        </w:rPr>
        <w:t>d</w:t>
      </w:r>
      <w:r w:rsidRPr="004566DC">
        <w:rPr>
          <w:rFonts w:ascii="Calibri" w:hAnsi="Calibri"/>
          <w:i/>
        </w:rPr>
        <w:t xml:space="preserve">iagnostic </w:t>
      </w:r>
      <w:r w:rsidR="00E41232">
        <w:rPr>
          <w:rFonts w:ascii="Calibri" w:hAnsi="Calibri"/>
          <w:i/>
        </w:rPr>
        <w:t>t</w:t>
      </w:r>
      <w:r w:rsidRPr="004566DC">
        <w:rPr>
          <w:rFonts w:ascii="Calibri" w:hAnsi="Calibri"/>
          <w:i/>
        </w:rPr>
        <w:t>esting in Victoria</w:t>
      </w:r>
      <w:r w:rsidRPr="004566DC">
        <w:rPr>
          <w:rFonts w:ascii="Calibri" w:hAnsi="Calibri"/>
        </w:rPr>
        <w:t>, Murdoch Childrens Research Institute.</w:t>
      </w:r>
    </w:p>
    <w:p w14:paraId="20FBF053" w14:textId="526112E5" w:rsidR="00B46ABF" w:rsidRPr="004566DC" w:rsidRDefault="00B46ABF" w:rsidP="00B46ABF">
      <w:pPr>
        <w:pStyle w:val="EndNoteBibliography"/>
        <w:rPr>
          <w:rFonts w:ascii="Calibri" w:hAnsi="Calibri"/>
        </w:rPr>
      </w:pPr>
      <w:bookmarkStart w:id="724" w:name="_ENREF_81"/>
      <w:bookmarkEnd w:id="723"/>
      <w:r w:rsidRPr="004566DC">
        <w:rPr>
          <w:rFonts w:ascii="Calibri" w:hAnsi="Calibri"/>
        </w:rPr>
        <w:t xml:space="preserve">Moskowitz, SM, Chmiel, JF, Sternen, DL, Cheng, E, Gibson, RL, Marshall, SG &amp; Cutting, GR 2008, 'Clinical practice and genetic counseling for cystic fibrosis and CFTR-related disorders', </w:t>
      </w:r>
      <w:r w:rsidRPr="004566DC">
        <w:rPr>
          <w:rFonts w:ascii="Calibri" w:hAnsi="Calibri"/>
          <w:i/>
        </w:rPr>
        <w:t>Genet</w:t>
      </w:r>
      <w:r w:rsidR="00E41232">
        <w:rPr>
          <w:rFonts w:ascii="Calibri" w:hAnsi="Calibri"/>
          <w:i/>
        </w:rPr>
        <w:t>ics in</w:t>
      </w:r>
      <w:r w:rsidRPr="004566DC">
        <w:rPr>
          <w:rFonts w:ascii="Calibri" w:hAnsi="Calibri"/>
          <w:i/>
        </w:rPr>
        <w:t xml:space="preserve"> Med</w:t>
      </w:r>
      <w:r w:rsidR="00E41232">
        <w:rPr>
          <w:rFonts w:ascii="Calibri" w:hAnsi="Calibri"/>
          <w:i/>
        </w:rPr>
        <w:t>icine</w:t>
      </w:r>
      <w:r w:rsidRPr="004566DC">
        <w:rPr>
          <w:rFonts w:ascii="Calibri" w:hAnsi="Calibri"/>
        </w:rPr>
        <w:t>, vol. 10, no. 12, pp. 851</w:t>
      </w:r>
      <w:r w:rsidR="00E41232">
        <w:rPr>
          <w:rFonts w:ascii="Calibri" w:hAnsi="Calibri"/>
        </w:rPr>
        <w:t>–</w:t>
      </w:r>
      <w:r w:rsidRPr="004566DC">
        <w:rPr>
          <w:rFonts w:ascii="Calibri" w:hAnsi="Calibri"/>
        </w:rPr>
        <w:t>868.</w:t>
      </w:r>
    </w:p>
    <w:p w14:paraId="6BDE2F84" w14:textId="77777777" w:rsidR="00B46ABF" w:rsidRPr="004566DC" w:rsidRDefault="00B46ABF" w:rsidP="00B46ABF">
      <w:pPr>
        <w:pStyle w:val="EndNoteBibliography"/>
        <w:rPr>
          <w:rFonts w:ascii="Calibri" w:hAnsi="Calibri"/>
        </w:rPr>
      </w:pPr>
      <w:bookmarkStart w:id="725" w:name="_ENREF_82"/>
      <w:bookmarkEnd w:id="724"/>
      <w:r w:rsidRPr="004566DC">
        <w:rPr>
          <w:rFonts w:ascii="Calibri" w:hAnsi="Calibri"/>
        </w:rPr>
        <w:t xml:space="preserve">MSAC 2005, </w:t>
      </w:r>
      <w:r w:rsidRPr="004566DC">
        <w:rPr>
          <w:rFonts w:ascii="Calibri" w:hAnsi="Calibri"/>
          <w:i/>
        </w:rPr>
        <w:t>Guidelines for the assessment of diagnostic technologies</w:t>
      </w:r>
      <w:r w:rsidRPr="004566DC">
        <w:rPr>
          <w:rFonts w:ascii="Calibri" w:hAnsi="Calibri"/>
        </w:rPr>
        <w:t>, Commonwealth of Australia, Canberra, ACT.</w:t>
      </w:r>
    </w:p>
    <w:p w14:paraId="7375E371" w14:textId="44CE4627" w:rsidR="00B46ABF" w:rsidRPr="004566DC" w:rsidRDefault="00B46ABF" w:rsidP="00B46ABF">
      <w:pPr>
        <w:pStyle w:val="EndNoteBibliography"/>
        <w:rPr>
          <w:rFonts w:ascii="Calibri" w:hAnsi="Calibri"/>
        </w:rPr>
      </w:pPr>
      <w:bookmarkStart w:id="726" w:name="_ENREF_83"/>
      <w:bookmarkEnd w:id="725"/>
      <w:r w:rsidRPr="004566DC">
        <w:rPr>
          <w:rFonts w:ascii="Calibri" w:hAnsi="Calibri"/>
        </w:rPr>
        <w:t xml:space="preserve">Mujezinovic, F &amp; Alfirevic, Z 2007, 'Procedure-related complications of amniocentesis and chorionic villous sampling: a systematic review', </w:t>
      </w:r>
      <w:r w:rsidRPr="004566DC">
        <w:rPr>
          <w:rFonts w:ascii="Calibri" w:hAnsi="Calibri"/>
          <w:i/>
        </w:rPr>
        <w:t>Obstet</w:t>
      </w:r>
      <w:r w:rsidR="0023000B">
        <w:rPr>
          <w:rFonts w:ascii="Calibri" w:hAnsi="Calibri"/>
          <w:i/>
        </w:rPr>
        <w:t>rics &amp;</w:t>
      </w:r>
      <w:r w:rsidRPr="004566DC">
        <w:rPr>
          <w:rFonts w:ascii="Calibri" w:hAnsi="Calibri"/>
          <w:i/>
        </w:rPr>
        <w:t xml:space="preserve"> Gynecol</w:t>
      </w:r>
      <w:r w:rsidR="0023000B">
        <w:rPr>
          <w:rFonts w:ascii="Calibri" w:hAnsi="Calibri"/>
          <w:i/>
        </w:rPr>
        <w:t>ogy</w:t>
      </w:r>
      <w:r w:rsidRPr="004566DC">
        <w:rPr>
          <w:rFonts w:ascii="Calibri" w:hAnsi="Calibri"/>
        </w:rPr>
        <w:t>, vol. 110, no. 3, pp. 687</w:t>
      </w:r>
      <w:r w:rsidR="0023000B">
        <w:rPr>
          <w:rFonts w:ascii="Calibri" w:hAnsi="Calibri"/>
        </w:rPr>
        <w:t>–</w:t>
      </w:r>
      <w:r w:rsidRPr="004566DC">
        <w:rPr>
          <w:rFonts w:ascii="Calibri" w:hAnsi="Calibri"/>
        </w:rPr>
        <w:t>694.</w:t>
      </w:r>
    </w:p>
    <w:p w14:paraId="413BE97B" w14:textId="732F2AC8" w:rsidR="00B46ABF" w:rsidRPr="004566DC" w:rsidRDefault="00B46ABF" w:rsidP="00B46ABF">
      <w:pPr>
        <w:pStyle w:val="EndNoteBibliography"/>
        <w:rPr>
          <w:rFonts w:ascii="Calibri" w:hAnsi="Calibri"/>
        </w:rPr>
      </w:pPr>
      <w:bookmarkStart w:id="727" w:name="_ENREF_84"/>
      <w:bookmarkEnd w:id="726"/>
      <w:r w:rsidRPr="004566DC">
        <w:rPr>
          <w:rFonts w:ascii="Calibri" w:hAnsi="Calibri"/>
        </w:rPr>
        <w:t>Mulherin, SA &amp; Miller, WC 2002, 'Spectrum bias or spectrum effect?</w:t>
      </w:r>
      <w:r w:rsidR="00913EE8">
        <w:rPr>
          <w:rFonts w:ascii="Calibri" w:hAnsi="Calibri"/>
        </w:rPr>
        <w:t>:</w:t>
      </w:r>
      <w:r w:rsidRPr="004566DC">
        <w:rPr>
          <w:rFonts w:ascii="Calibri" w:hAnsi="Calibri"/>
        </w:rPr>
        <w:t xml:space="preserve"> </w:t>
      </w:r>
      <w:r w:rsidR="00913EE8">
        <w:rPr>
          <w:rFonts w:ascii="Calibri" w:hAnsi="Calibri"/>
        </w:rPr>
        <w:t>s</w:t>
      </w:r>
      <w:r w:rsidRPr="004566DC">
        <w:rPr>
          <w:rFonts w:ascii="Calibri" w:hAnsi="Calibri"/>
        </w:rPr>
        <w:t xml:space="preserve">ubgroup variation in diagnostic test evaluation', </w:t>
      </w:r>
      <w:r w:rsidRPr="004566DC">
        <w:rPr>
          <w:rFonts w:ascii="Calibri" w:hAnsi="Calibri"/>
          <w:i/>
        </w:rPr>
        <w:t>Annals of Internal Medicine</w:t>
      </w:r>
      <w:r w:rsidRPr="004566DC">
        <w:rPr>
          <w:rFonts w:ascii="Calibri" w:hAnsi="Calibri"/>
        </w:rPr>
        <w:t>, vol. 137, no. 7, pp. 598</w:t>
      </w:r>
      <w:r w:rsidR="000A33DB">
        <w:rPr>
          <w:rFonts w:ascii="Calibri" w:hAnsi="Calibri"/>
        </w:rPr>
        <w:t>–</w:t>
      </w:r>
      <w:r w:rsidRPr="004566DC">
        <w:rPr>
          <w:rFonts w:ascii="Calibri" w:hAnsi="Calibri"/>
        </w:rPr>
        <w:t>602.</w:t>
      </w:r>
    </w:p>
    <w:p w14:paraId="1EC24C57" w14:textId="736472ED" w:rsidR="00B46ABF" w:rsidRPr="004566DC" w:rsidRDefault="00B46ABF" w:rsidP="00B46ABF">
      <w:pPr>
        <w:pStyle w:val="EndNoteBibliography"/>
        <w:rPr>
          <w:rFonts w:ascii="Calibri" w:hAnsi="Calibri"/>
        </w:rPr>
      </w:pPr>
      <w:bookmarkStart w:id="728" w:name="_ENREF_85"/>
      <w:bookmarkEnd w:id="727"/>
      <w:r w:rsidRPr="004566DC">
        <w:rPr>
          <w:rFonts w:ascii="Calibri" w:hAnsi="Calibri"/>
        </w:rPr>
        <w:t xml:space="preserve">Muller, F, Simon-Bouy, B, Girodon, E, Monnier, N, Malinge, MC &amp; Serre, JL 2002, 'Predicting the risk of cystic fibrosis with abnormal ultrasound signs of fetal bowel: results of a French molecular collaborative study based on 641 prospective cases', </w:t>
      </w:r>
      <w:r w:rsidRPr="004566DC">
        <w:rPr>
          <w:rFonts w:ascii="Calibri" w:hAnsi="Calibri"/>
          <w:i/>
        </w:rPr>
        <w:t>Am</w:t>
      </w:r>
      <w:r w:rsidR="000A33DB">
        <w:rPr>
          <w:rFonts w:ascii="Calibri" w:hAnsi="Calibri"/>
          <w:i/>
        </w:rPr>
        <w:t>erican</w:t>
      </w:r>
      <w:r w:rsidRPr="004566DC">
        <w:rPr>
          <w:rFonts w:ascii="Calibri" w:hAnsi="Calibri"/>
          <w:i/>
        </w:rPr>
        <w:t xml:space="preserve"> J</w:t>
      </w:r>
      <w:r w:rsidR="000A33DB">
        <w:rPr>
          <w:rFonts w:ascii="Calibri" w:hAnsi="Calibri"/>
          <w:i/>
        </w:rPr>
        <w:t>ournal of</w:t>
      </w:r>
      <w:r w:rsidRPr="004566DC">
        <w:rPr>
          <w:rFonts w:ascii="Calibri" w:hAnsi="Calibri"/>
          <w:i/>
        </w:rPr>
        <w:t xml:space="preserve"> Med</w:t>
      </w:r>
      <w:r w:rsidR="000A33DB">
        <w:rPr>
          <w:rFonts w:ascii="Calibri" w:hAnsi="Calibri"/>
          <w:i/>
        </w:rPr>
        <w:t>ical</w:t>
      </w:r>
      <w:r w:rsidRPr="004566DC">
        <w:rPr>
          <w:rFonts w:ascii="Calibri" w:hAnsi="Calibri"/>
          <w:i/>
        </w:rPr>
        <w:t xml:space="preserve"> Genet</w:t>
      </w:r>
      <w:r w:rsidR="000A33DB">
        <w:rPr>
          <w:rFonts w:ascii="Calibri" w:hAnsi="Calibri"/>
          <w:i/>
        </w:rPr>
        <w:t>ics</w:t>
      </w:r>
      <w:r w:rsidRPr="004566DC">
        <w:rPr>
          <w:rFonts w:ascii="Calibri" w:hAnsi="Calibri"/>
        </w:rPr>
        <w:t>, vol. 110, no. 2, pp. 109</w:t>
      </w:r>
      <w:r w:rsidR="000A33DB">
        <w:rPr>
          <w:rFonts w:ascii="Calibri" w:hAnsi="Calibri"/>
        </w:rPr>
        <w:t>–</w:t>
      </w:r>
      <w:r w:rsidRPr="004566DC">
        <w:rPr>
          <w:rFonts w:ascii="Calibri" w:hAnsi="Calibri"/>
        </w:rPr>
        <w:t>115.</w:t>
      </w:r>
    </w:p>
    <w:p w14:paraId="7CFBDEA1" w14:textId="3D0FFBAC" w:rsidR="00B46ABF" w:rsidRPr="004566DC" w:rsidRDefault="00B46ABF" w:rsidP="00B46ABF">
      <w:pPr>
        <w:pStyle w:val="EndNoteBibliography"/>
        <w:rPr>
          <w:rFonts w:ascii="Calibri" w:hAnsi="Calibri"/>
        </w:rPr>
      </w:pPr>
      <w:bookmarkStart w:id="729" w:name="_ENREF_86"/>
      <w:bookmarkEnd w:id="728"/>
      <w:r w:rsidRPr="004566DC">
        <w:rPr>
          <w:rFonts w:ascii="Calibri" w:hAnsi="Calibri"/>
        </w:rPr>
        <w:t xml:space="preserve">Munson, R 2000, </w:t>
      </w:r>
      <w:r w:rsidRPr="004566DC">
        <w:rPr>
          <w:rFonts w:ascii="Calibri" w:hAnsi="Calibri"/>
          <w:i/>
        </w:rPr>
        <w:t xml:space="preserve">Intervention and </w:t>
      </w:r>
      <w:r w:rsidR="000A33DB">
        <w:rPr>
          <w:rFonts w:ascii="Calibri" w:hAnsi="Calibri"/>
          <w:i/>
        </w:rPr>
        <w:t>r</w:t>
      </w:r>
      <w:r w:rsidRPr="004566DC">
        <w:rPr>
          <w:rFonts w:ascii="Calibri" w:hAnsi="Calibri"/>
          <w:i/>
        </w:rPr>
        <w:t xml:space="preserve">eflection: </w:t>
      </w:r>
      <w:r w:rsidR="000A33DB">
        <w:rPr>
          <w:rFonts w:ascii="Calibri" w:hAnsi="Calibri"/>
          <w:i/>
        </w:rPr>
        <w:t>b</w:t>
      </w:r>
      <w:r w:rsidRPr="004566DC">
        <w:rPr>
          <w:rFonts w:ascii="Calibri" w:hAnsi="Calibri"/>
          <w:i/>
        </w:rPr>
        <w:t xml:space="preserve">asic </w:t>
      </w:r>
      <w:r w:rsidR="000A33DB">
        <w:rPr>
          <w:rFonts w:ascii="Calibri" w:hAnsi="Calibri"/>
          <w:i/>
        </w:rPr>
        <w:t>i</w:t>
      </w:r>
      <w:r w:rsidRPr="004566DC">
        <w:rPr>
          <w:rFonts w:ascii="Calibri" w:hAnsi="Calibri"/>
          <w:i/>
        </w:rPr>
        <w:t xml:space="preserve">ssues in </w:t>
      </w:r>
      <w:r w:rsidR="000A33DB">
        <w:rPr>
          <w:rFonts w:ascii="Calibri" w:hAnsi="Calibri"/>
          <w:i/>
        </w:rPr>
        <w:t>m</w:t>
      </w:r>
      <w:r w:rsidRPr="004566DC">
        <w:rPr>
          <w:rFonts w:ascii="Calibri" w:hAnsi="Calibri"/>
          <w:i/>
        </w:rPr>
        <w:t xml:space="preserve">edical </w:t>
      </w:r>
      <w:r w:rsidR="000A33DB">
        <w:rPr>
          <w:rFonts w:ascii="Calibri" w:hAnsi="Calibri"/>
          <w:i/>
        </w:rPr>
        <w:t>e</w:t>
      </w:r>
      <w:r w:rsidRPr="004566DC">
        <w:rPr>
          <w:rFonts w:ascii="Calibri" w:hAnsi="Calibri"/>
          <w:i/>
        </w:rPr>
        <w:t>thics</w:t>
      </w:r>
      <w:r w:rsidRPr="004566DC">
        <w:rPr>
          <w:rFonts w:ascii="Calibri" w:hAnsi="Calibri"/>
        </w:rPr>
        <w:t xml:space="preserve">, </w:t>
      </w:r>
      <w:r w:rsidR="000A33DB">
        <w:rPr>
          <w:rFonts w:ascii="Calibri" w:hAnsi="Calibri"/>
        </w:rPr>
        <w:t>six</w:t>
      </w:r>
      <w:r w:rsidRPr="004566DC">
        <w:rPr>
          <w:rFonts w:ascii="Calibri" w:hAnsi="Calibri"/>
        </w:rPr>
        <w:t>th edn, Wadsworth Thomson Learning, Belmont.</w:t>
      </w:r>
    </w:p>
    <w:p w14:paraId="07B67B26" w14:textId="22C32444" w:rsidR="00B46ABF" w:rsidRPr="004566DC" w:rsidRDefault="00B46ABF" w:rsidP="00B46ABF">
      <w:pPr>
        <w:pStyle w:val="EndNoteBibliography"/>
        <w:rPr>
          <w:rFonts w:ascii="Calibri" w:hAnsi="Calibri"/>
        </w:rPr>
      </w:pPr>
      <w:bookmarkStart w:id="730" w:name="_ENREF_87"/>
      <w:bookmarkEnd w:id="729"/>
      <w:r w:rsidRPr="004566DC">
        <w:rPr>
          <w:rFonts w:ascii="Calibri" w:hAnsi="Calibri"/>
        </w:rPr>
        <w:t>Munthe, C 2015, '</w:t>
      </w:r>
      <w:r w:rsidR="000A33DB">
        <w:rPr>
          <w:rFonts w:ascii="Calibri" w:hAnsi="Calibri"/>
        </w:rPr>
        <w:t>A</w:t>
      </w:r>
      <w:r w:rsidR="000A33DB" w:rsidRPr="00CC3D81">
        <w:rPr>
          <w:rFonts w:ascii="Calibri" w:hAnsi="Calibri"/>
        </w:rPr>
        <w:t xml:space="preserve"> new ethical landscape of prenatal testing: individualizing choice to serve autonomy and promote public health: a radical proposal</w:t>
      </w:r>
      <w:r w:rsidRPr="004566DC">
        <w:rPr>
          <w:rFonts w:ascii="Calibri" w:hAnsi="Calibri"/>
        </w:rPr>
        <w:t xml:space="preserve">', </w:t>
      </w:r>
      <w:r w:rsidRPr="004566DC">
        <w:rPr>
          <w:rFonts w:ascii="Calibri" w:hAnsi="Calibri"/>
          <w:i/>
        </w:rPr>
        <w:t>Bioethics</w:t>
      </w:r>
      <w:r w:rsidRPr="004566DC">
        <w:rPr>
          <w:rFonts w:ascii="Calibri" w:hAnsi="Calibri"/>
        </w:rPr>
        <w:t>, vol. 29, no. 1, pp. 36</w:t>
      </w:r>
      <w:r w:rsidR="00CC3D81">
        <w:rPr>
          <w:rFonts w:ascii="Calibri" w:hAnsi="Calibri"/>
        </w:rPr>
        <w:t>–</w:t>
      </w:r>
      <w:r w:rsidRPr="004566DC">
        <w:rPr>
          <w:rFonts w:ascii="Calibri" w:hAnsi="Calibri"/>
        </w:rPr>
        <w:t>45.</w:t>
      </w:r>
    </w:p>
    <w:p w14:paraId="6C99A7DF" w14:textId="335310C2" w:rsidR="00B46ABF" w:rsidRPr="004566DC" w:rsidRDefault="00B46ABF" w:rsidP="00B46ABF">
      <w:pPr>
        <w:pStyle w:val="EndNoteBibliography"/>
        <w:rPr>
          <w:rFonts w:ascii="Calibri" w:hAnsi="Calibri"/>
        </w:rPr>
      </w:pPr>
      <w:bookmarkStart w:id="731" w:name="_ENREF_88"/>
      <w:bookmarkEnd w:id="730"/>
      <w:r w:rsidRPr="004566DC">
        <w:rPr>
          <w:rFonts w:ascii="Calibri" w:hAnsi="Calibri"/>
        </w:rPr>
        <w:t xml:space="preserve">Nagy, B, Richárd Nagy, G, Lázár, L, Bán, Z &amp; Papp, Z 2007, 'Detection of ΔF508del using quantitative real-time PCR, comparison of the results obtained by fluorescent PCR', </w:t>
      </w:r>
      <w:r w:rsidRPr="004566DC">
        <w:rPr>
          <w:rFonts w:ascii="Calibri" w:hAnsi="Calibri"/>
          <w:i/>
        </w:rPr>
        <w:t>Fetal Diagn</w:t>
      </w:r>
      <w:r w:rsidR="00CC3D81">
        <w:rPr>
          <w:rFonts w:ascii="Calibri" w:hAnsi="Calibri"/>
          <w:i/>
        </w:rPr>
        <w:t>osis and</w:t>
      </w:r>
      <w:r w:rsidRPr="004566DC">
        <w:rPr>
          <w:rFonts w:ascii="Calibri" w:hAnsi="Calibri"/>
          <w:i/>
        </w:rPr>
        <w:t xml:space="preserve"> Ther</w:t>
      </w:r>
      <w:r w:rsidR="00CC3D81">
        <w:rPr>
          <w:rFonts w:ascii="Calibri" w:hAnsi="Calibri"/>
          <w:i/>
        </w:rPr>
        <w:t>apy</w:t>
      </w:r>
      <w:r w:rsidRPr="004566DC">
        <w:rPr>
          <w:rFonts w:ascii="Calibri" w:hAnsi="Calibri"/>
        </w:rPr>
        <w:t>, vol. 22, no. 1, pp. 63</w:t>
      </w:r>
      <w:r w:rsidR="00CC3D81">
        <w:rPr>
          <w:rFonts w:ascii="Calibri" w:hAnsi="Calibri"/>
        </w:rPr>
        <w:t>–</w:t>
      </w:r>
      <w:r w:rsidRPr="004566DC">
        <w:rPr>
          <w:rFonts w:ascii="Calibri" w:hAnsi="Calibri"/>
        </w:rPr>
        <w:t>67.</w:t>
      </w:r>
    </w:p>
    <w:p w14:paraId="7A0B049B" w14:textId="77777777" w:rsidR="00B46ABF" w:rsidRPr="004566DC" w:rsidRDefault="00B46ABF" w:rsidP="00B46ABF">
      <w:pPr>
        <w:pStyle w:val="EndNoteBibliography"/>
        <w:rPr>
          <w:rFonts w:ascii="Calibri" w:hAnsi="Calibri"/>
        </w:rPr>
      </w:pPr>
      <w:bookmarkStart w:id="732" w:name="_ENREF_89"/>
      <w:bookmarkEnd w:id="731"/>
      <w:r w:rsidRPr="004566DC">
        <w:rPr>
          <w:rFonts w:ascii="Calibri" w:hAnsi="Calibri"/>
        </w:rPr>
        <w:lastRenderedPageBreak/>
        <w:t xml:space="preserve">NHMRC 2000, </w:t>
      </w:r>
      <w:r w:rsidRPr="004566DC">
        <w:rPr>
          <w:rFonts w:ascii="Calibri" w:hAnsi="Calibri"/>
          <w:i/>
        </w:rPr>
        <w:t>How to use the evidence: assessment and application of scientific evidence</w:t>
      </w:r>
      <w:r w:rsidRPr="004566DC">
        <w:rPr>
          <w:rFonts w:ascii="Calibri" w:hAnsi="Calibri"/>
        </w:rPr>
        <w:t>, Handbook series on preparing clinical practice guidelines, National Health and Medical Research Council, Canberra.</w:t>
      </w:r>
    </w:p>
    <w:p w14:paraId="3537B46C" w14:textId="6B5B38F6" w:rsidR="00B46ABF" w:rsidRPr="004566DC" w:rsidRDefault="00B46ABF" w:rsidP="00B46ABF">
      <w:pPr>
        <w:pStyle w:val="EndNoteBibliography"/>
        <w:rPr>
          <w:rFonts w:ascii="Calibri" w:hAnsi="Calibri"/>
        </w:rPr>
      </w:pPr>
      <w:bookmarkStart w:id="733" w:name="_ENREF_90"/>
      <w:bookmarkEnd w:id="732"/>
      <w:r w:rsidRPr="004566DC">
        <w:rPr>
          <w:rFonts w:ascii="Calibri" w:hAnsi="Calibri"/>
        </w:rPr>
        <w:t xml:space="preserve">NHMRC 2007, </w:t>
      </w:r>
      <w:r w:rsidR="00CC3D81">
        <w:rPr>
          <w:rFonts w:ascii="Calibri" w:hAnsi="Calibri"/>
        </w:rPr>
        <w:t>'</w:t>
      </w:r>
      <w:r w:rsidRPr="004566DC">
        <w:rPr>
          <w:rFonts w:ascii="Calibri" w:hAnsi="Calibri"/>
        </w:rPr>
        <w:t xml:space="preserve">Newborn </w:t>
      </w:r>
      <w:r w:rsidR="00CC3D81" w:rsidRPr="004566DC">
        <w:rPr>
          <w:rFonts w:ascii="Calibri" w:hAnsi="Calibri"/>
        </w:rPr>
        <w:t>s</w:t>
      </w:r>
      <w:r w:rsidRPr="004566DC">
        <w:rPr>
          <w:rFonts w:ascii="Calibri" w:hAnsi="Calibri"/>
        </w:rPr>
        <w:t>creening</w:t>
      </w:r>
      <w:r w:rsidR="00CC3D81">
        <w:rPr>
          <w:rFonts w:ascii="Calibri" w:hAnsi="Calibri"/>
        </w:rPr>
        <w:t>'</w:t>
      </w:r>
      <w:r w:rsidRPr="004566DC">
        <w:rPr>
          <w:rFonts w:ascii="Calibri" w:hAnsi="Calibri"/>
        </w:rPr>
        <w:t xml:space="preserve">, </w:t>
      </w:r>
      <w:r w:rsidR="00CC3D81">
        <w:rPr>
          <w:rFonts w:ascii="Calibri" w:hAnsi="Calibri"/>
        </w:rPr>
        <w:t>in</w:t>
      </w:r>
      <w:r w:rsidRPr="004566DC">
        <w:rPr>
          <w:rFonts w:ascii="Calibri" w:hAnsi="Calibri"/>
        </w:rPr>
        <w:t xml:space="preserve"> </w:t>
      </w:r>
      <w:r w:rsidRPr="004566DC">
        <w:rPr>
          <w:rFonts w:ascii="Calibri" w:hAnsi="Calibri"/>
          <w:i/>
        </w:rPr>
        <w:t xml:space="preserve">Genetics in </w:t>
      </w:r>
      <w:r w:rsidR="00CC3D81">
        <w:rPr>
          <w:rFonts w:ascii="Calibri" w:hAnsi="Calibri"/>
          <w:i/>
        </w:rPr>
        <w:t>f</w:t>
      </w:r>
      <w:r w:rsidRPr="004566DC">
        <w:rPr>
          <w:rFonts w:ascii="Calibri" w:hAnsi="Calibri"/>
          <w:i/>
        </w:rPr>
        <w:t xml:space="preserve">amily </w:t>
      </w:r>
      <w:r w:rsidR="00CC3D81">
        <w:rPr>
          <w:rFonts w:ascii="Calibri" w:hAnsi="Calibri"/>
          <w:i/>
        </w:rPr>
        <w:t>m</w:t>
      </w:r>
      <w:r w:rsidRPr="004566DC">
        <w:rPr>
          <w:rFonts w:ascii="Calibri" w:hAnsi="Calibri"/>
          <w:i/>
        </w:rPr>
        <w:t xml:space="preserve">edicine: </w:t>
      </w:r>
      <w:r w:rsidR="00CC3D81">
        <w:rPr>
          <w:rFonts w:ascii="Calibri" w:hAnsi="Calibri"/>
          <w:i/>
        </w:rPr>
        <w:t>t</w:t>
      </w:r>
      <w:r w:rsidRPr="004566DC">
        <w:rPr>
          <w:rFonts w:ascii="Calibri" w:hAnsi="Calibri"/>
          <w:i/>
        </w:rPr>
        <w:t xml:space="preserve">he Australian </w:t>
      </w:r>
      <w:r w:rsidR="00CC3D81">
        <w:rPr>
          <w:rFonts w:ascii="Calibri" w:hAnsi="Calibri"/>
          <w:i/>
        </w:rPr>
        <w:t>h</w:t>
      </w:r>
      <w:r w:rsidRPr="004566DC">
        <w:rPr>
          <w:rFonts w:ascii="Calibri" w:hAnsi="Calibri"/>
          <w:i/>
        </w:rPr>
        <w:t xml:space="preserve">andbook for </w:t>
      </w:r>
      <w:r w:rsidR="00CC3D81">
        <w:rPr>
          <w:rFonts w:ascii="Calibri" w:hAnsi="Calibri"/>
          <w:i/>
        </w:rPr>
        <w:t>g</w:t>
      </w:r>
      <w:r w:rsidRPr="004566DC">
        <w:rPr>
          <w:rFonts w:ascii="Calibri" w:hAnsi="Calibri"/>
          <w:i/>
        </w:rPr>
        <w:t xml:space="preserve">eneral </w:t>
      </w:r>
      <w:r w:rsidR="00CC3D81">
        <w:rPr>
          <w:rFonts w:ascii="Calibri" w:hAnsi="Calibri"/>
          <w:i/>
        </w:rPr>
        <w:t>p</w:t>
      </w:r>
      <w:r w:rsidRPr="004566DC">
        <w:rPr>
          <w:rFonts w:ascii="Calibri" w:hAnsi="Calibri"/>
          <w:i/>
        </w:rPr>
        <w:t>ractitioners</w:t>
      </w:r>
      <w:r w:rsidRPr="004566DC">
        <w:rPr>
          <w:rFonts w:ascii="Calibri" w:hAnsi="Calibri"/>
        </w:rPr>
        <w:t>, Australian Government</w:t>
      </w:r>
      <w:r w:rsidR="00CC3D81">
        <w:rPr>
          <w:rFonts w:ascii="Calibri" w:hAnsi="Calibri"/>
        </w:rPr>
        <w:t>,</w:t>
      </w:r>
      <w:r w:rsidRPr="004566DC">
        <w:rPr>
          <w:rFonts w:ascii="Calibri" w:hAnsi="Calibri"/>
        </w:rPr>
        <w:t xml:space="preserve"> National Health and Medical Research Council, Canberra.</w:t>
      </w:r>
    </w:p>
    <w:p w14:paraId="4FD0829B" w14:textId="49E0436F" w:rsidR="00B46ABF" w:rsidRPr="004566DC" w:rsidRDefault="00B46ABF" w:rsidP="00B46ABF">
      <w:pPr>
        <w:pStyle w:val="EndNoteBibliography"/>
        <w:rPr>
          <w:rFonts w:ascii="Calibri" w:hAnsi="Calibri"/>
        </w:rPr>
      </w:pPr>
      <w:bookmarkStart w:id="734" w:name="_ENREF_91"/>
      <w:bookmarkEnd w:id="733"/>
      <w:r w:rsidRPr="004566DC">
        <w:rPr>
          <w:rFonts w:ascii="Calibri" w:hAnsi="Calibri"/>
        </w:rPr>
        <w:t xml:space="preserve">Nicholls, CM, Nelson, PV, Poplawski, NK, Chin, SJ, Fong, BA, Solly, PB, Fietz, MJ &amp; Fletcher, JM 2003, 'Analysis of CFTR mutation screening in cases of isolated fetal echogenic bowel in the South Australian population', </w:t>
      </w:r>
      <w:r w:rsidRPr="004566DC">
        <w:rPr>
          <w:rFonts w:ascii="Calibri" w:hAnsi="Calibri"/>
          <w:i/>
        </w:rPr>
        <w:t>Prenat</w:t>
      </w:r>
      <w:r w:rsidR="00C6542B">
        <w:rPr>
          <w:rFonts w:ascii="Calibri" w:hAnsi="Calibri"/>
          <w:i/>
        </w:rPr>
        <w:t>al</w:t>
      </w:r>
      <w:r w:rsidRPr="004566DC">
        <w:rPr>
          <w:rFonts w:ascii="Calibri" w:hAnsi="Calibri"/>
          <w:i/>
        </w:rPr>
        <w:t xml:space="preserve"> Diagn</w:t>
      </w:r>
      <w:r w:rsidR="00C6542B">
        <w:rPr>
          <w:rFonts w:ascii="Calibri" w:hAnsi="Calibri"/>
          <w:i/>
        </w:rPr>
        <w:t>osis</w:t>
      </w:r>
      <w:r w:rsidRPr="004566DC">
        <w:rPr>
          <w:rFonts w:ascii="Calibri" w:hAnsi="Calibri"/>
        </w:rPr>
        <w:t>, vol. 23, no. 12, pp. 1023</w:t>
      </w:r>
      <w:r w:rsidR="00C6542B">
        <w:rPr>
          <w:rFonts w:ascii="Calibri" w:hAnsi="Calibri"/>
        </w:rPr>
        <w:t>–</w:t>
      </w:r>
      <w:r w:rsidRPr="004566DC">
        <w:rPr>
          <w:rFonts w:ascii="Calibri" w:hAnsi="Calibri"/>
        </w:rPr>
        <w:t>1025.</w:t>
      </w:r>
    </w:p>
    <w:p w14:paraId="151A6D35" w14:textId="6297BCA1" w:rsidR="00B46ABF" w:rsidRPr="004566DC" w:rsidRDefault="00B46ABF" w:rsidP="00B46ABF">
      <w:pPr>
        <w:pStyle w:val="EndNoteBibliography"/>
        <w:rPr>
          <w:rFonts w:ascii="Calibri" w:hAnsi="Calibri"/>
        </w:rPr>
      </w:pPr>
      <w:bookmarkStart w:id="735" w:name="_ENREF_92"/>
      <w:bookmarkEnd w:id="734"/>
      <w:r w:rsidRPr="004566DC">
        <w:rPr>
          <w:rFonts w:ascii="Calibri" w:hAnsi="Calibri"/>
        </w:rPr>
        <w:t xml:space="preserve">Norman, R, van Gool, K, Hall, J, Delatycki, M &amp; Massie, J 2012, 'Cost-effectiveness of carrier screening for cystic fibrosis in Australia', </w:t>
      </w:r>
      <w:r w:rsidRPr="004566DC">
        <w:rPr>
          <w:rFonts w:ascii="Calibri" w:hAnsi="Calibri"/>
          <w:i/>
        </w:rPr>
        <w:t>J</w:t>
      </w:r>
      <w:r w:rsidR="00924A6A">
        <w:rPr>
          <w:rFonts w:ascii="Calibri" w:hAnsi="Calibri"/>
          <w:i/>
        </w:rPr>
        <w:t>ournal of</w:t>
      </w:r>
      <w:r w:rsidRPr="004566DC">
        <w:rPr>
          <w:rFonts w:ascii="Calibri" w:hAnsi="Calibri"/>
          <w:i/>
        </w:rPr>
        <w:t xml:space="preserve"> Cyst</w:t>
      </w:r>
      <w:r w:rsidR="00924A6A">
        <w:rPr>
          <w:rFonts w:ascii="Calibri" w:hAnsi="Calibri"/>
          <w:i/>
        </w:rPr>
        <w:t>ic</w:t>
      </w:r>
      <w:r w:rsidRPr="004566DC">
        <w:rPr>
          <w:rFonts w:ascii="Calibri" w:hAnsi="Calibri"/>
          <w:i/>
        </w:rPr>
        <w:t xml:space="preserve"> Fibros</w:t>
      </w:r>
      <w:r w:rsidR="00924A6A">
        <w:rPr>
          <w:rFonts w:ascii="Calibri" w:hAnsi="Calibri"/>
          <w:i/>
        </w:rPr>
        <w:t>is</w:t>
      </w:r>
      <w:r w:rsidRPr="004566DC">
        <w:rPr>
          <w:rFonts w:ascii="Calibri" w:hAnsi="Calibri"/>
        </w:rPr>
        <w:t>, vol. 11, no. 4, pp. 281</w:t>
      </w:r>
      <w:r w:rsidR="00924A6A">
        <w:rPr>
          <w:rFonts w:ascii="Calibri" w:hAnsi="Calibri"/>
        </w:rPr>
        <w:t>–</w:t>
      </w:r>
      <w:r w:rsidRPr="004566DC">
        <w:rPr>
          <w:rFonts w:ascii="Calibri" w:hAnsi="Calibri"/>
        </w:rPr>
        <w:t>287.</w:t>
      </w:r>
    </w:p>
    <w:p w14:paraId="29F10F44" w14:textId="77777777" w:rsidR="00B46ABF" w:rsidRPr="004566DC" w:rsidRDefault="00B46ABF" w:rsidP="00B46ABF">
      <w:pPr>
        <w:pStyle w:val="EndNoteBibliography"/>
        <w:rPr>
          <w:rFonts w:ascii="Calibri" w:hAnsi="Calibri"/>
        </w:rPr>
      </w:pPr>
      <w:bookmarkStart w:id="736" w:name="_ENREF_93"/>
      <w:bookmarkEnd w:id="735"/>
      <w:r w:rsidRPr="004566DC">
        <w:rPr>
          <w:rFonts w:ascii="Calibri" w:hAnsi="Calibri"/>
        </w:rPr>
        <w:t xml:space="preserve">NPAAC 2013, </w:t>
      </w:r>
      <w:r w:rsidRPr="004566DC">
        <w:rPr>
          <w:rFonts w:ascii="Calibri" w:hAnsi="Calibri"/>
          <w:i/>
        </w:rPr>
        <w:t>Requirements for medical testing of human nucleic acids</w:t>
      </w:r>
      <w:r w:rsidRPr="004566DC">
        <w:rPr>
          <w:rFonts w:ascii="Calibri" w:hAnsi="Calibri"/>
        </w:rPr>
        <w:t>, National Pathology Accreditation Advisory Council.</w:t>
      </w:r>
    </w:p>
    <w:p w14:paraId="0747661A" w14:textId="2A7B54B2" w:rsidR="00B46ABF" w:rsidRPr="004566DC" w:rsidRDefault="00B46ABF" w:rsidP="00B46ABF">
      <w:pPr>
        <w:pStyle w:val="EndNoteBibliography"/>
        <w:rPr>
          <w:rFonts w:ascii="Calibri" w:hAnsi="Calibri"/>
        </w:rPr>
      </w:pPr>
      <w:bookmarkStart w:id="737" w:name="_ENREF_94"/>
      <w:bookmarkEnd w:id="736"/>
      <w:r w:rsidRPr="004566DC">
        <w:rPr>
          <w:rFonts w:ascii="Calibri" w:hAnsi="Calibri"/>
        </w:rPr>
        <w:t xml:space="preserve">Ogino, S, Wilson, RB, Gold, B, Hawley, P &amp; Grody, WW 2004, 'Bayesian analysis for cystic fibrosis risks in prenatal and carrier screening', </w:t>
      </w:r>
      <w:r w:rsidRPr="004566DC">
        <w:rPr>
          <w:rFonts w:ascii="Calibri" w:hAnsi="Calibri"/>
          <w:i/>
        </w:rPr>
        <w:t>Genet</w:t>
      </w:r>
      <w:r w:rsidR="00924A6A">
        <w:rPr>
          <w:rFonts w:ascii="Calibri" w:hAnsi="Calibri"/>
          <w:i/>
        </w:rPr>
        <w:t>ics in</w:t>
      </w:r>
      <w:r w:rsidRPr="004566DC">
        <w:rPr>
          <w:rFonts w:ascii="Calibri" w:hAnsi="Calibri"/>
          <w:i/>
        </w:rPr>
        <w:t xml:space="preserve"> Med</w:t>
      </w:r>
      <w:r w:rsidR="00924A6A">
        <w:rPr>
          <w:rFonts w:ascii="Calibri" w:hAnsi="Calibri"/>
          <w:i/>
        </w:rPr>
        <w:t>icine</w:t>
      </w:r>
      <w:r w:rsidRPr="004566DC">
        <w:rPr>
          <w:rFonts w:ascii="Calibri" w:hAnsi="Calibri"/>
        </w:rPr>
        <w:t>, vol. 6, no. 5, pp. 439</w:t>
      </w:r>
      <w:r w:rsidR="00924A6A">
        <w:rPr>
          <w:rFonts w:ascii="Calibri" w:hAnsi="Calibri"/>
        </w:rPr>
        <w:t>–</w:t>
      </w:r>
      <w:r w:rsidRPr="004566DC">
        <w:rPr>
          <w:rFonts w:ascii="Calibri" w:hAnsi="Calibri"/>
        </w:rPr>
        <w:t>449.</w:t>
      </w:r>
    </w:p>
    <w:p w14:paraId="5A248678" w14:textId="65703FA0" w:rsidR="00B46ABF" w:rsidRPr="004566DC" w:rsidRDefault="00B46ABF" w:rsidP="00B46ABF">
      <w:pPr>
        <w:pStyle w:val="EndNoteBibliography"/>
        <w:rPr>
          <w:rFonts w:ascii="Calibri" w:hAnsi="Calibri"/>
        </w:rPr>
      </w:pPr>
      <w:bookmarkStart w:id="738" w:name="_ENREF_95"/>
      <w:bookmarkEnd w:id="737"/>
      <w:r w:rsidRPr="004566DC">
        <w:rPr>
          <w:rFonts w:ascii="Calibri" w:hAnsi="Calibri"/>
        </w:rPr>
        <w:t xml:space="preserve">Quittner, AL, Goldbeck, L, Abbott, J, Duff, A, Lambrecht, P, Sole, A, Tibosch, MM, Bergsten Brucefors, A, Yuksel, H, Catastini, P, Blackwell, L &amp; Barker, D 2014, 'Prevalence of depression and anxiety in patients with cystic fibrosis and parent caregivers: results of The International Depression Epidemiological Study across nine countries', </w:t>
      </w:r>
      <w:r w:rsidRPr="004566DC">
        <w:rPr>
          <w:rFonts w:ascii="Calibri" w:hAnsi="Calibri"/>
          <w:i/>
        </w:rPr>
        <w:t>Thorax</w:t>
      </w:r>
      <w:r w:rsidRPr="004566DC">
        <w:rPr>
          <w:rFonts w:ascii="Calibri" w:hAnsi="Calibri"/>
        </w:rPr>
        <w:t>, vol. 69, no. 12, pp. 1090</w:t>
      </w:r>
      <w:r w:rsidR="00924A6A">
        <w:rPr>
          <w:rFonts w:ascii="Calibri" w:hAnsi="Calibri"/>
        </w:rPr>
        <w:t>–</w:t>
      </w:r>
      <w:r w:rsidRPr="004566DC">
        <w:rPr>
          <w:rFonts w:ascii="Calibri" w:hAnsi="Calibri"/>
        </w:rPr>
        <w:t>1097.</w:t>
      </w:r>
    </w:p>
    <w:p w14:paraId="05452442" w14:textId="518D65D2" w:rsidR="00D61FD9" w:rsidRPr="004566DC" w:rsidRDefault="00B46ABF" w:rsidP="00B46ABF">
      <w:pPr>
        <w:pStyle w:val="EndNoteBibliography"/>
        <w:rPr>
          <w:rFonts w:ascii="Calibri" w:hAnsi="Calibri"/>
        </w:rPr>
      </w:pPr>
      <w:bookmarkStart w:id="739" w:name="_ENREF_96"/>
      <w:bookmarkEnd w:id="738"/>
      <w:r w:rsidRPr="004566DC">
        <w:rPr>
          <w:rFonts w:ascii="Calibri" w:hAnsi="Calibri"/>
        </w:rPr>
        <w:t xml:space="preserve">Radhakrishnan, M, van Gool, K, Hall, J, Delatycki, M &amp; Massie, J 2008, 'Economic evaluation of cystic fibrosis screening: a review of the literature', </w:t>
      </w:r>
      <w:r w:rsidRPr="004566DC">
        <w:rPr>
          <w:rFonts w:ascii="Calibri" w:hAnsi="Calibri"/>
          <w:i/>
        </w:rPr>
        <w:t>Health Policy</w:t>
      </w:r>
      <w:r w:rsidRPr="004566DC">
        <w:rPr>
          <w:rFonts w:ascii="Calibri" w:hAnsi="Calibri"/>
        </w:rPr>
        <w:t>, vol. 85, no. 2, pp. 133</w:t>
      </w:r>
      <w:r w:rsidR="00924A6A">
        <w:rPr>
          <w:rFonts w:ascii="Calibri" w:hAnsi="Calibri"/>
        </w:rPr>
        <w:t>–</w:t>
      </w:r>
      <w:r w:rsidRPr="004566DC">
        <w:rPr>
          <w:rFonts w:ascii="Calibri" w:hAnsi="Calibri"/>
        </w:rPr>
        <w:t>147.</w:t>
      </w:r>
    </w:p>
    <w:p w14:paraId="6108F0F9" w14:textId="5781FCEA" w:rsidR="00B46ABF" w:rsidRPr="004566DC" w:rsidRDefault="00B46ABF" w:rsidP="00B46ABF">
      <w:pPr>
        <w:pStyle w:val="EndNoteBibliography"/>
        <w:rPr>
          <w:rFonts w:ascii="Calibri" w:hAnsi="Calibri"/>
        </w:rPr>
      </w:pPr>
      <w:bookmarkStart w:id="740" w:name="_ENREF_97"/>
      <w:bookmarkEnd w:id="739"/>
      <w:r w:rsidRPr="004566DC">
        <w:rPr>
          <w:rFonts w:ascii="Calibri" w:hAnsi="Calibri"/>
        </w:rPr>
        <w:t xml:space="preserve">Ranieri, E, Lewis, BD, Gerace, RL, Ryall, RG, Morris, CP, Nelson, PV, Carey, WF &amp; Robertson, EF 1994, 'Neonatal screening for cystic fibrosis using immunoreactive trypsinogen and direct gene analysis: four years' experience', </w:t>
      </w:r>
      <w:r w:rsidRPr="004566DC">
        <w:rPr>
          <w:rFonts w:ascii="Calibri" w:hAnsi="Calibri"/>
          <w:i/>
        </w:rPr>
        <w:t>British Medical Journal</w:t>
      </w:r>
      <w:r w:rsidRPr="004566DC">
        <w:rPr>
          <w:rFonts w:ascii="Calibri" w:hAnsi="Calibri"/>
        </w:rPr>
        <w:t>, vol. 308, no. 6942, pp. 1469</w:t>
      </w:r>
      <w:r w:rsidR="00924A6A">
        <w:rPr>
          <w:rFonts w:ascii="Calibri" w:hAnsi="Calibri"/>
        </w:rPr>
        <w:t>–</w:t>
      </w:r>
      <w:r w:rsidRPr="004566DC">
        <w:rPr>
          <w:rFonts w:ascii="Calibri" w:hAnsi="Calibri"/>
        </w:rPr>
        <w:t>1472.</w:t>
      </w:r>
    </w:p>
    <w:p w14:paraId="13366329" w14:textId="4A0A21E1" w:rsidR="00B46ABF" w:rsidRPr="004566DC" w:rsidRDefault="00B46ABF" w:rsidP="00B46ABF">
      <w:pPr>
        <w:pStyle w:val="EndNoteBibliography"/>
        <w:rPr>
          <w:rFonts w:ascii="Calibri" w:hAnsi="Calibri"/>
        </w:rPr>
      </w:pPr>
      <w:bookmarkStart w:id="741" w:name="_ENREF_98"/>
      <w:bookmarkEnd w:id="740"/>
      <w:r w:rsidRPr="004566DC">
        <w:rPr>
          <w:rFonts w:ascii="Calibri" w:hAnsi="Calibri"/>
        </w:rPr>
        <w:t xml:space="preserve">Ratjen, F &amp; Doring, G 2003, 'Cystic fibrosis', </w:t>
      </w:r>
      <w:r w:rsidRPr="004566DC">
        <w:rPr>
          <w:rFonts w:ascii="Calibri" w:hAnsi="Calibri"/>
          <w:i/>
        </w:rPr>
        <w:t>Lancet</w:t>
      </w:r>
      <w:r w:rsidRPr="004566DC">
        <w:rPr>
          <w:rFonts w:ascii="Calibri" w:hAnsi="Calibri"/>
        </w:rPr>
        <w:t>, vol. 361, no. 9358, pp. 681</w:t>
      </w:r>
      <w:r w:rsidR="00A14322">
        <w:rPr>
          <w:rFonts w:ascii="Calibri" w:hAnsi="Calibri"/>
        </w:rPr>
        <w:t>–</w:t>
      </w:r>
      <w:r w:rsidRPr="004566DC">
        <w:rPr>
          <w:rFonts w:ascii="Calibri" w:hAnsi="Calibri"/>
        </w:rPr>
        <w:t>689.</w:t>
      </w:r>
    </w:p>
    <w:p w14:paraId="307D8C48" w14:textId="46A30C09" w:rsidR="00B46ABF" w:rsidRPr="004566DC" w:rsidRDefault="00B46ABF" w:rsidP="00B46ABF">
      <w:pPr>
        <w:pStyle w:val="EndNoteBibliography"/>
        <w:rPr>
          <w:rFonts w:ascii="Calibri" w:hAnsi="Calibri"/>
        </w:rPr>
      </w:pPr>
      <w:bookmarkStart w:id="742" w:name="_ENREF_99"/>
      <w:bookmarkEnd w:id="741"/>
      <w:r w:rsidRPr="004566DC">
        <w:rPr>
          <w:rFonts w:ascii="Calibri" w:hAnsi="Calibri"/>
        </w:rPr>
        <w:t xml:space="preserve">Ratjen, F &amp; Tullis, E 2008, 'Cystic </w:t>
      </w:r>
      <w:r w:rsidR="00D61FD9">
        <w:rPr>
          <w:rFonts w:ascii="Calibri" w:hAnsi="Calibri"/>
        </w:rPr>
        <w:t>f</w:t>
      </w:r>
      <w:r w:rsidRPr="004566DC">
        <w:rPr>
          <w:rFonts w:ascii="Calibri" w:hAnsi="Calibri"/>
        </w:rPr>
        <w:t xml:space="preserve">ibrosis', </w:t>
      </w:r>
      <w:r w:rsidR="00BD7B77">
        <w:rPr>
          <w:rFonts w:ascii="Calibri" w:hAnsi="Calibri"/>
        </w:rPr>
        <w:t xml:space="preserve">in </w:t>
      </w:r>
      <w:r w:rsidRPr="004566DC">
        <w:rPr>
          <w:rFonts w:ascii="Calibri" w:hAnsi="Calibri"/>
          <w:i/>
        </w:rPr>
        <w:t xml:space="preserve">Clinical </w:t>
      </w:r>
      <w:r w:rsidR="00BD7B77">
        <w:rPr>
          <w:rFonts w:ascii="Calibri" w:hAnsi="Calibri"/>
          <w:i/>
        </w:rPr>
        <w:t>r</w:t>
      </w:r>
      <w:r w:rsidRPr="004566DC">
        <w:rPr>
          <w:rFonts w:ascii="Calibri" w:hAnsi="Calibri"/>
          <w:i/>
        </w:rPr>
        <w:t xml:space="preserve">espiratory </w:t>
      </w:r>
      <w:r w:rsidR="00BD7B77">
        <w:rPr>
          <w:rFonts w:ascii="Calibri" w:hAnsi="Calibri"/>
          <w:i/>
        </w:rPr>
        <w:t>m</w:t>
      </w:r>
      <w:r w:rsidRPr="004566DC">
        <w:rPr>
          <w:rFonts w:ascii="Calibri" w:hAnsi="Calibri"/>
          <w:i/>
        </w:rPr>
        <w:t xml:space="preserve">edicine, </w:t>
      </w:r>
      <w:r w:rsidR="00A14322">
        <w:rPr>
          <w:rFonts w:ascii="Calibri" w:hAnsi="Calibri"/>
        </w:rPr>
        <w:t>t</w:t>
      </w:r>
      <w:r w:rsidRPr="004566DC">
        <w:rPr>
          <w:rFonts w:ascii="Calibri" w:hAnsi="Calibri"/>
        </w:rPr>
        <w:t xml:space="preserve">hird </w:t>
      </w:r>
      <w:r w:rsidR="00A14322">
        <w:rPr>
          <w:rFonts w:ascii="Calibri" w:hAnsi="Calibri"/>
        </w:rPr>
        <w:t>e</w:t>
      </w:r>
      <w:r w:rsidRPr="004566DC">
        <w:rPr>
          <w:rFonts w:ascii="Calibri" w:hAnsi="Calibri"/>
        </w:rPr>
        <w:t>dn, Elsevier, Philadelphia, PA, pp. 593</w:t>
      </w:r>
      <w:r w:rsidR="00A14322">
        <w:rPr>
          <w:rFonts w:ascii="Calibri" w:hAnsi="Calibri"/>
        </w:rPr>
        <w:t>–</w:t>
      </w:r>
      <w:r w:rsidRPr="004566DC">
        <w:rPr>
          <w:rFonts w:ascii="Calibri" w:hAnsi="Calibri"/>
        </w:rPr>
        <w:t>604.</w:t>
      </w:r>
    </w:p>
    <w:p w14:paraId="56B1A022" w14:textId="78117F5F" w:rsidR="00B46ABF" w:rsidRPr="004566DC" w:rsidRDefault="00B46ABF" w:rsidP="00B46ABF">
      <w:pPr>
        <w:pStyle w:val="EndNoteBibliography"/>
        <w:rPr>
          <w:rFonts w:ascii="Calibri" w:hAnsi="Calibri"/>
        </w:rPr>
      </w:pPr>
      <w:bookmarkStart w:id="743" w:name="_ENREF_100"/>
      <w:bookmarkEnd w:id="742"/>
      <w:r w:rsidRPr="004566DC">
        <w:rPr>
          <w:rFonts w:ascii="Calibri" w:hAnsi="Calibri"/>
        </w:rPr>
        <w:t xml:space="preserve">Ravnik-Glavač, M, Atkinson, A, Glavač, D &amp; Dean, M 2002, 'DHPLC screening of cystic fibrosis gene mutations', </w:t>
      </w:r>
      <w:r w:rsidRPr="004566DC">
        <w:rPr>
          <w:rFonts w:ascii="Calibri" w:hAnsi="Calibri"/>
          <w:i/>
        </w:rPr>
        <w:t>Hum</w:t>
      </w:r>
      <w:r w:rsidR="00A14322">
        <w:rPr>
          <w:rFonts w:ascii="Calibri" w:hAnsi="Calibri"/>
          <w:i/>
        </w:rPr>
        <w:t>an</w:t>
      </w:r>
      <w:r w:rsidRPr="004566DC">
        <w:rPr>
          <w:rFonts w:ascii="Calibri" w:hAnsi="Calibri"/>
          <w:i/>
        </w:rPr>
        <w:t xml:space="preserve"> Mutat</w:t>
      </w:r>
      <w:r w:rsidR="00A14322">
        <w:rPr>
          <w:rFonts w:ascii="Calibri" w:hAnsi="Calibri"/>
          <w:i/>
        </w:rPr>
        <w:t>ion</w:t>
      </w:r>
      <w:r w:rsidRPr="004566DC">
        <w:rPr>
          <w:rFonts w:ascii="Calibri" w:hAnsi="Calibri"/>
        </w:rPr>
        <w:t>, vol. 19, no. 4, pp. 374</w:t>
      </w:r>
      <w:r w:rsidR="00A14322">
        <w:rPr>
          <w:rFonts w:ascii="Calibri" w:hAnsi="Calibri"/>
        </w:rPr>
        <w:t>–</w:t>
      </w:r>
      <w:r w:rsidRPr="004566DC">
        <w:rPr>
          <w:rFonts w:ascii="Calibri" w:hAnsi="Calibri"/>
        </w:rPr>
        <w:t>383.</w:t>
      </w:r>
    </w:p>
    <w:p w14:paraId="73D20099" w14:textId="52505200" w:rsidR="00B46ABF" w:rsidRPr="004566DC" w:rsidRDefault="00B46ABF" w:rsidP="00B46ABF">
      <w:pPr>
        <w:pStyle w:val="EndNoteBibliography"/>
        <w:rPr>
          <w:rFonts w:ascii="Calibri" w:hAnsi="Calibri"/>
        </w:rPr>
      </w:pPr>
      <w:bookmarkStart w:id="744" w:name="_ENREF_101"/>
      <w:bookmarkEnd w:id="743"/>
      <w:r w:rsidRPr="004566DC">
        <w:rPr>
          <w:rFonts w:ascii="Calibri" w:hAnsi="Calibri"/>
        </w:rPr>
        <w:t xml:space="preserve">Ravnik-Glavač, M, Glavač, D &amp; Dean, M 1994, 'Sensitivity of single-strand conformation polymorphism and heteroduplex method for mutation detection in the cystic fibrosis gene', </w:t>
      </w:r>
      <w:r w:rsidRPr="004566DC">
        <w:rPr>
          <w:rFonts w:ascii="Calibri" w:hAnsi="Calibri"/>
          <w:i/>
        </w:rPr>
        <w:t>Human Molecular Genetics</w:t>
      </w:r>
      <w:r w:rsidRPr="004566DC">
        <w:rPr>
          <w:rFonts w:ascii="Calibri" w:hAnsi="Calibri"/>
        </w:rPr>
        <w:t>, vol. 3, no. 5, pp. 801</w:t>
      </w:r>
      <w:r w:rsidR="00BD7B77">
        <w:rPr>
          <w:rFonts w:ascii="Calibri" w:hAnsi="Calibri"/>
        </w:rPr>
        <w:t>–</w:t>
      </w:r>
      <w:r w:rsidRPr="004566DC">
        <w:rPr>
          <w:rFonts w:ascii="Calibri" w:hAnsi="Calibri"/>
        </w:rPr>
        <w:t>807.</w:t>
      </w:r>
    </w:p>
    <w:p w14:paraId="2F202E25" w14:textId="58CDBD11" w:rsidR="00B46ABF" w:rsidRPr="004566DC" w:rsidRDefault="00B46ABF" w:rsidP="00B46ABF">
      <w:pPr>
        <w:pStyle w:val="EndNoteBibliography"/>
        <w:rPr>
          <w:rFonts w:ascii="Calibri" w:hAnsi="Calibri"/>
        </w:rPr>
      </w:pPr>
      <w:bookmarkStart w:id="745" w:name="_ENREF_102"/>
      <w:bookmarkEnd w:id="744"/>
      <w:r w:rsidRPr="004566DC">
        <w:rPr>
          <w:rFonts w:ascii="Calibri" w:hAnsi="Calibri"/>
        </w:rPr>
        <w:t>Reid, DW, Blizzard, CL, Shugg, DM, Flowers, C, Cash, C &amp; Greville, HM 2011, 'Changes in cystic fibrosis mortality in Australia, 1979</w:t>
      </w:r>
      <w:r w:rsidR="00CB7A43">
        <w:rPr>
          <w:rFonts w:ascii="Calibri" w:hAnsi="Calibri"/>
        </w:rPr>
        <w:t>–</w:t>
      </w:r>
      <w:r w:rsidRPr="004566DC">
        <w:rPr>
          <w:rFonts w:ascii="Calibri" w:hAnsi="Calibri"/>
        </w:rPr>
        <w:t xml:space="preserve">2005', </w:t>
      </w:r>
      <w:r w:rsidRPr="004566DC">
        <w:rPr>
          <w:rFonts w:ascii="Calibri" w:hAnsi="Calibri"/>
          <w:i/>
        </w:rPr>
        <w:t>Med</w:t>
      </w:r>
      <w:r w:rsidR="00CB7A43">
        <w:rPr>
          <w:rFonts w:ascii="Calibri" w:hAnsi="Calibri"/>
          <w:i/>
        </w:rPr>
        <w:t>ical</w:t>
      </w:r>
      <w:r w:rsidRPr="004566DC">
        <w:rPr>
          <w:rFonts w:ascii="Calibri" w:hAnsi="Calibri"/>
          <w:i/>
        </w:rPr>
        <w:t xml:space="preserve"> J</w:t>
      </w:r>
      <w:r w:rsidR="00CB7A43">
        <w:rPr>
          <w:rFonts w:ascii="Calibri" w:hAnsi="Calibri"/>
          <w:i/>
        </w:rPr>
        <w:t>ournal of</w:t>
      </w:r>
      <w:r w:rsidRPr="004566DC">
        <w:rPr>
          <w:rFonts w:ascii="Calibri" w:hAnsi="Calibri"/>
          <w:i/>
        </w:rPr>
        <w:t xml:space="preserve"> Aust</w:t>
      </w:r>
      <w:r w:rsidR="00CB7A43">
        <w:rPr>
          <w:rFonts w:ascii="Calibri" w:hAnsi="Calibri"/>
          <w:i/>
        </w:rPr>
        <w:t>ralia</w:t>
      </w:r>
      <w:r w:rsidRPr="004566DC">
        <w:rPr>
          <w:rFonts w:ascii="Calibri" w:hAnsi="Calibri"/>
        </w:rPr>
        <w:t>, vol. 195, no. 7, pp. 392</w:t>
      </w:r>
      <w:r w:rsidR="00CB7A43">
        <w:rPr>
          <w:rFonts w:ascii="Calibri" w:hAnsi="Calibri"/>
        </w:rPr>
        <w:t>–</w:t>
      </w:r>
      <w:r w:rsidRPr="004566DC">
        <w:rPr>
          <w:rFonts w:ascii="Calibri" w:hAnsi="Calibri"/>
        </w:rPr>
        <w:t>395.</w:t>
      </w:r>
    </w:p>
    <w:p w14:paraId="0A42BCC8" w14:textId="03F51EBF" w:rsidR="00B46ABF" w:rsidRPr="004566DC" w:rsidRDefault="00B46ABF" w:rsidP="00B46ABF">
      <w:pPr>
        <w:pStyle w:val="EndNoteBibliography"/>
        <w:rPr>
          <w:rFonts w:ascii="Calibri" w:hAnsi="Calibri"/>
        </w:rPr>
      </w:pPr>
      <w:bookmarkStart w:id="746" w:name="_ENREF_103"/>
      <w:bookmarkEnd w:id="745"/>
      <w:r w:rsidRPr="004566DC">
        <w:rPr>
          <w:rFonts w:ascii="Calibri" w:hAnsi="Calibri"/>
        </w:rPr>
        <w:t xml:space="preserve">Rogers, WA &amp; Braunack-Mayer, AJ 2004, </w:t>
      </w:r>
      <w:r w:rsidRPr="004566DC">
        <w:rPr>
          <w:rFonts w:ascii="Calibri" w:hAnsi="Calibri"/>
          <w:i/>
        </w:rPr>
        <w:t xml:space="preserve">Practical </w:t>
      </w:r>
      <w:r w:rsidR="00CB7A43">
        <w:rPr>
          <w:rFonts w:ascii="Calibri" w:hAnsi="Calibri"/>
          <w:i/>
        </w:rPr>
        <w:t>e</w:t>
      </w:r>
      <w:r w:rsidRPr="004566DC">
        <w:rPr>
          <w:rFonts w:ascii="Calibri" w:hAnsi="Calibri"/>
          <w:i/>
        </w:rPr>
        <w:t xml:space="preserve">thics for </w:t>
      </w:r>
      <w:r w:rsidR="00CB7A43">
        <w:rPr>
          <w:rFonts w:ascii="Calibri" w:hAnsi="Calibri"/>
          <w:i/>
        </w:rPr>
        <w:t>g</w:t>
      </w:r>
      <w:r w:rsidRPr="004566DC">
        <w:rPr>
          <w:rFonts w:ascii="Calibri" w:hAnsi="Calibri"/>
          <w:i/>
        </w:rPr>
        <w:t xml:space="preserve">eneral </w:t>
      </w:r>
      <w:r w:rsidR="00CB7A43">
        <w:rPr>
          <w:rFonts w:ascii="Calibri" w:hAnsi="Calibri"/>
          <w:i/>
        </w:rPr>
        <w:t>p</w:t>
      </w:r>
      <w:r w:rsidRPr="004566DC">
        <w:rPr>
          <w:rFonts w:ascii="Calibri" w:hAnsi="Calibri"/>
          <w:i/>
        </w:rPr>
        <w:t>ractice</w:t>
      </w:r>
      <w:r w:rsidRPr="004566DC">
        <w:rPr>
          <w:rFonts w:ascii="Calibri" w:hAnsi="Calibri"/>
        </w:rPr>
        <w:t>, Oxford University Press, Oxford.</w:t>
      </w:r>
    </w:p>
    <w:p w14:paraId="0126174F" w14:textId="0F30F0E2" w:rsidR="00B46ABF" w:rsidRPr="004566DC" w:rsidRDefault="00B46ABF" w:rsidP="00B46ABF">
      <w:pPr>
        <w:pStyle w:val="EndNoteBibliography"/>
        <w:rPr>
          <w:rFonts w:ascii="Calibri" w:hAnsi="Calibri"/>
        </w:rPr>
      </w:pPr>
      <w:bookmarkStart w:id="747" w:name="_ENREF_104"/>
      <w:bookmarkEnd w:id="746"/>
      <w:r w:rsidRPr="004566DC">
        <w:rPr>
          <w:rFonts w:ascii="Calibri" w:hAnsi="Calibri"/>
        </w:rPr>
        <w:lastRenderedPageBreak/>
        <w:t xml:space="preserve">Rowe, SM, Miller, S &amp; Sorscher, EJ 2005, 'Cystic fibrosis', </w:t>
      </w:r>
      <w:r w:rsidRPr="004566DC">
        <w:rPr>
          <w:rFonts w:ascii="Calibri" w:hAnsi="Calibri"/>
          <w:i/>
        </w:rPr>
        <w:t>N</w:t>
      </w:r>
      <w:r w:rsidR="00717378">
        <w:rPr>
          <w:rFonts w:ascii="Calibri" w:hAnsi="Calibri"/>
          <w:i/>
        </w:rPr>
        <w:t>ew</w:t>
      </w:r>
      <w:r w:rsidRPr="004566DC">
        <w:rPr>
          <w:rFonts w:ascii="Calibri" w:hAnsi="Calibri"/>
          <w:i/>
        </w:rPr>
        <w:t xml:space="preserve"> Engl</w:t>
      </w:r>
      <w:r w:rsidR="00717378">
        <w:rPr>
          <w:rFonts w:ascii="Calibri" w:hAnsi="Calibri"/>
          <w:i/>
        </w:rPr>
        <w:t>and</w:t>
      </w:r>
      <w:r w:rsidRPr="004566DC">
        <w:rPr>
          <w:rFonts w:ascii="Calibri" w:hAnsi="Calibri"/>
          <w:i/>
        </w:rPr>
        <w:t xml:space="preserve"> J</w:t>
      </w:r>
      <w:r w:rsidR="00717378">
        <w:rPr>
          <w:rFonts w:ascii="Calibri" w:hAnsi="Calibri"/>
          <w:i/>
        </w:rPr>
        <w:t>ournal of</w:t>
      </w:r>
      <w:r w:rsidRPr="004566DC">
        <w:rPr>
          <w:rFonts w:ascii="Calibri" w:hAnsi="Calibri"/>
          <w:i/>
        </w:rPr>
        <w:t xml:space="preserve"> Med</w:t>
      </w:r>
      <w:r w:rsidR="00717378">
        <w:rPr>
          <w:rFonts w:ascii="Calibri" w:hAnsi="Calibri"/>
          <w:i/>
        </w:rPr>
        <w:t>icine</w:t>
      </w:r>
      <w:r w:rsidRPr="004566DC">
        <w:rPr>
          <w:rFonts w:ascii="Calibri" w:hAnsi="Calibri"/>
        </w:rPr>
        <w:t>, vol. 352, no. 19, pp. 1992</w:t>
      </w:r>
      <w:r w:rsidR="00717378">
        <w:rPr>
          <w:rFonts w:ascii="Calibri" w:hAnsi="Calibri"/>
        </w:rPr>
        <w:t>–</w:t>
      </w:r>
      <w:r w:rsidRPr="004566DC">
        <w:rPr>
          <w:rFonts w:ascii="Calibri" w:hAnsi="Calibri"/>
        </w:rPr>
        <w:t>2001.</w:t>
      </w:r>
    </w:p>
    <w:p w14:paraId="788B172C" w14:textId="6395D103" w:rsidR="00B46ABF" w:rsidRPr="004566DC" w:rsidRDefault="00B46ABF" w:rsidP="00B46ABF">
      <w:pPr>
        <w:pStyle w:val="EndNoteBibliography"/>
        <w:rPr>
          <w:rFonts w:ascii="Calibri" w:hAnsi="Calibri"/>
        </w:rPr>
      </w:pPr>
      <w:bookmarkStart w:id="748" w:name="_ENREF_105"/>
      <w:bookmarkEnd w:id="747"/>
      <w:r w:rsidRPr="004566DC">
        <w:rPr>
          <w:rFonts w:ascii="Calibri" w:hAnsi="Calibri"/>
        </w:rPr>
        <w:t xml:space="preserve">Sackett, DL &amp; Haynes, RB 2002, 'The architecture of diagnostic research', </w:t>
      </w:r>
      <w:r w:rsidRPr="004566DC">
        <w:rPr>
          <w:rFonts w:ascii="Calibri" w:hAnsi="Calibri"/>
          <w:i/>
        </w:rPr>
        <w:t>British Medical Journal</w:t>
      </w:r>
      <w:r w:rsidRPr="004566DC">
        <w:rPr>
          <w:rFonts w:ascii="Calibri" w:hAnsi="Calibri"/>
        </w:rPr>
        <w:t>, vol. 324, pp. 539</w:t>
      </w:r>
      <w:r w:rsidR="00717378">
        <w:rPr>
          <w:rFonts w:ascii="Calibri" w:hAnsi="Calibri"/>
        </w:rPr>
        <w:t>–</w:t>
      </w:r>
      <w:r w:rsidRPr="004566DC">
        <w:rPr>
          <w:rFonts w:ascii="Calibri" w:hAnsi="Calibri"/>
        </w:rPr>
        <w:t>541.</w:t>
      </w:r>
    </w:p>
    <w:p w14:paraId="52BEB33A" w14:textId="058041CD" w:rsidR="00B46ABF" w:rsidRPr="004566DC" w:rsidRDefault="00B46ABF" w:rsidP="00B46ABF">
      <w:pPr>
        <w:pStyle w:val="EndNoteBibliography"/>
        <w:rPr>
          <w:rFonts w:ascii="Calibri" w:hAnsi="Calibri"/>
        </w:rPr>
      </w:pPr>
      <w:bookmarkStart w:id="749" w:name="_ENREF_106"/>
      <w:bookmarkEnd w:id="748"/>
      <w:r w:rsidRPr="004566DC">
        <w:rPr>
          <w:rFonts w:ascii="Calibri" w:hAnsi="Calibri"/>
        </w:rPr>
        <w:t xml:space="preserve">Saker, A, Benachi, A, Bonnefont, JP, Munnich, A, Dumez, Y, Lacour, B &amp; Paterlini-Brechot, P 2006, 'Genetic characterisation of circulating fetal cells allows non-invasive prenatal diagnosis of cystic fibrosis', </w:t>
      </w:r>
      <w:r w:rsidRPr="004566DC">
        <w:rPr>
          <w:rFonts w:ascii="Calibri" w:hAnsi="Calibri"/>
          <w:i/>
        </w:rPr>
        <w:t>Prenat</w:t>
      </w:r>
      <w:r w:rsidR="00717378">
        <w:rPr>
          <w:rFonts w:ascii="Calibri" w:hAnsi="Calibri"/>
          <w:i/>
        </w:rPr>
        <w:t>al</w:t>
      </w:r>
      <w:r w:rsidRPr="004566DC">
        <w:rPr>
          <w:rFonts w:ascii="Calibri" w:hAnsi="Calibri"/>
          <w:i/>
        </w:rPr>
        <w:t xml:space="preserve"> Diagn</w:t>
      </w:r>
      <w:r w:rsidR="00717378">
        <w:rPr>
          <w:rFonts w:ascii="Calibri" w:hAnsi="Calibri"/>
          <w:i/>
        </w:rPr>
        <w:t>osis</w:t>
      </w:r>
      <w:r w:rsidRPr="004566DC">
        <w:rPr>
          <w:rFonts w:ascii="Calibri" w:hAnsi="Calibri"/>
        </w:rPr>
        <w:t>, vol. 26, no. 10, pp. 906</w:t>
      </w:r>
      <w:r w:rsidR="00717378">
        <w:rPr>
          <w:rFonts w:ascii="Calibri" w:hAnsi="Calibri"/>
        </w:rPr>
        <w:t>–</w:t>
      </w:r>
      <w:r w:rsidRPr="004566DC">
        <w:rPr>
          <w:rFonts w:ascii="Calibri" w:hAnsi="Calibri"/>
        </w:rPr>
        <w:t>916.</w:t>
      </w:r>
    </w:p>
    <w:p w14:paraId="1C5AFD55" w14:textId="6BBA2D42" w:rsidR="00B46ABF" w:rsidRPr="004566DC" w:rsidRDefault="00B46ABF" w:rsidP="00B46ABF">
      <w:pPr>
        <w:pStyle w:val="EndNoteBibliography"/>
        <w:rPr>
          <w:rFonts w:ascii="Calibri" w:hAnsi="Calibri"/>
        </w:rPr>
      </w:pPr>
      <w:bookmarkStart w:id="750" w:name="_ENREF_107"/>
      <w:bookmarkEnd w:id="749"/>
      <w:r w:rsidRPr="004566DC">
        <w:rPr>
          <w:rFonts w:ascii="Calibri" w:hAnsi="Calibri"/>
        </w:rPr>
        <w:t xml:space="preserve">Salvesen, KA, Oyen, L, Schmidt, N, Malt, UF &amp; Eik-Nes, SH 1997, 'Comparison of long-term psychological responses of women after pregnancy termination due to fetal anomalies and after perinatal loss', </w:t>
      </w:r>
      <w:r w:rsidRPr="004566DC">
        <w:rPr>
          <w:rFonts w:ascii="Calibri" w:hAnsi="Calibri"/>
          <w:i/>
        </w:rPr>
        <w:t xml:space="preserve">Ultrasound </w:t>
      </w:r>
      <w:r w:rsidR="00717378">
        <w:rPr>
          <w:rFonts w:ascii="Calibri" w:hAnsi="Calibri"/>
          <w:i/>
        </w:rPr>
        <w:t xml:space="preserve">in </w:t>
      </w:r>
      <w:r w:rsidRPr="004566DC">
        <w:rPr>
          <w:rFonts w:ascii="Calibri" w:hAnsi="Calibri"/>
          <w:i/>
        </w:rPr>
        <w:t>Obstet</w:t>
      </w:r>
      <w:r w:rsidR="00717378">
        <w:rPr>
          <w:rFonts w:ascii="Calibri" w:hAnsi="Calibri"/>
          <w:i/>
        </w:rPr>
        <w:t>rics &amp;</w:t>
      </w:r>
      <w:r w:rsidRPr="004566DC">
        <w:rPr>
          <w:rFonts w:ascii="Calibri" w:hAnsi="Calibri"/>
          <w:i/>
        </w:rPr>
        <w:t xml:space="preserve"> Gynecol</w:t>
      </w:r>
      <w:r w:rsidR="00717378">
        <w:rPr>
          <w:rFonts w:ascii="Calibri" w:hAnsi="Calibri"/>
          <w:i/>
        </w:rPr>
        <w:t>ogy</w:t>
      </w:r>
      <w:r w:rsidRPr="004566DC">
        <w:rPr>
          <w:rFonts w:ascii="Calibri" w:hAnsi="Calibri"/>
        </w:rPr>
        <w:t>, vol. 9, no. 2, pp. 80</w:t>
      </w:r>
      <w:r w:rsidR="00717378">
        <w:rPr>
          <w:rFonts w:ascii="Calibri" w:hAnsi="Calibri"/>
        </w:rPr>
        <w:t>–</w:t>
      </w:r>
      <w:r w:rsidRPr="004566DC">
        <w:rPr>
          <w:rFonts w:ascii="Calibri" w:hAnsi="Calibri"/>
        </w:rPr>
        <w:t>85.</w:t>
      </w:r>
    </w:p>
    <w:p w14:paraId="3C87E394" w14:textId="48486F56" w:rsidR="00B46ABF" w:rsidRPr="004566DC" w:rsidRDefault="00B46ABF" w:rsidP="00B46ABF">
      <w:pPr>
        <w:pStyle w:val="EndNoteBibliography"/>
        <w:rPr>
          <w:rFonts w:ascii="Calibri" w:hAnsi="Calibri"/>
        </w:rPr>
      </w:pPr>
      <w:bookmarkStart w:id="751" w:name="_ENREF_108"/>
      <w:bookmarkEnd w:id="750"/>
      <w:r w:rsidRPr="004566DC">
        <w:rPr>
          <w:rFonts w:ascii="Calibri" w:hAnsi="Calibri"/>
        </w:rPr>
        <w:t xml:space="preserve">Say, L, Kulier, R, Gulmezoglu, M &amp; Campana, A 2005, 'Medical versus surgical methods for first trimester termination of pregnancy', </w:t>
      </w:r>
      <w:r w:rsidRPr="004566DC">
        <w:rPr>
          <w:rFonts w:ascii="Calibri" w:hAnsi="Calibri"/>
          <w:i/>
        </w:rPr>
        <w:t xml:space="preserve">Cochrane Database </w:t>
      </w:r>
      <w:r w:rsidR="000F53CB">
        <w:rPr>
          <w:rFonts w:ascii="Calibri" w:hAnsi="Calibri"/>
          <w:i/>
        </w:rPr>
        <w:t xml:space="preserve">of </w:t>
      </w:r>
      <w:r w:rsidRPr="004566DC">
        <w:rPr>
          <w:rFonts w:ascii="Calibri" w:hAnsi="Calibri"/>
          <w:i/>
        </w:rPr>
        <w:t>Syst</w:t>
      </w:r>
      <w:r w:rsidR="000F53CB">
        <w:rPr>
          <w:rFonts w:ascii="Calibri" w:hAnsi="Calibri"/>
          <w:i/>
        </w:rPr>
        <w:t>ematic</w:t>
      </w:r>
      <w:r w:rsidRPr="004566DC">
        <w:rPr>
          <w:rFonts w:ascii="Calibri" w:hAnsi="Calibri"/>
          <w:i/>
        </w:rPr>
        <w:t xml:space="preserve"> Rev</w:t>
      </w:r>
      <w:r w:rsidR="000F53CB">
        <w:rPr>
          <w:rFonts w:ascii="Calibri" w:hAnsi="Calibri"/>
          <w:i/>
        </w:rPr>
        <w:t>iews</w:t>
      </w:r>
      <w:r w:rsidRPr="004566DC">
        <w:rPr>
          <w:rFonts w:ascii="Calibri" w:hAnsi="Calibri"/>
        </w:rPr>
        <w:t>, no. 1, p. CD003037.</w:t>
      </w:r>
    </w:p>
    <w:p w14:paraId="5FD161BA" w14:textId="720AB1D2" w:rsidR="00B46ABF" w:rsidRPr="004566DC" w:rsidRDefault="00B46ABF" w:rsidP="00B46ABF">
      <w:pPr>
        <w:pStyle w:val="EndNoteBibliography"/>
        <w:rPr>
          <w:rFonts w:ascii="Calibri" w:hAnsi="Calibri"/>
        </w:rPr>
      </w:pPr>
      <w:bookmarkStart w:id="752" w:name="_ENREF_109"/>
      <w:bookmarkEnd w:id="751"/>
      <w:r w:rsidRPr="004566DC">
        <w:rPr>
          <w:rFonts w:ascii="Calibri" w:hAnsi="Calibri"/>
        </w:rPr>
        <w:t xml:space="preserve">Schmitz, D 2013, 'A new era in prenatal testing: are we prepared?', </w:t>
      </w:r>
      <w:r w:rsidRPr="004566DC">
        <w:rPr>
          <w:rFonts w:ascii="Calibri" w:hAnsi="Calibri"/>
          <w:i/>
        </w:rPr>
        <w:t>Medicine Health Care and Philosophy</w:t>
      </w:r>
      <w:r w:rsidRPr="004566DC">
        <w:rPr>
          <w:rFonts w:ascii="Calibri" w:hAnsi="Calibri"/>
        </w:rPr>
        <w:t>, vol. 16, no. 3, pp. 357</w:t>
      </w:r>
      <w:r w:rsidR="000F53CB">
        <w:rPr>
          <w:rFonts w:ascii="Calibri" w:hAnsi="Calibri"/>
        </w:rPr>
        <w:t>–</w:t>
      </w:r>
      <w:r w:rsidRPr="004566DC">
        <w:rPr>
          <w:rFonts w:ascii="Calibri" w:hAnsi="Calibri"/>
        </w:rPr>
        <w:t>364.</w:t>
      </w:r>
    </w:p>
    <w:p w14:paraId="169A8D4C" w14:textId="0ED94A9A" w:rsidR="00B46ABF" w:rsidRPr="004566DC" w:rsidRDefault="00B46ABF" w:rsidP="00B46ABF">
      <w:pPr>
        <w:pStyle w:val="EndNoteBibliography"/>
        <w:rPr>
          <w:rFonts w:ascii="Calibri" w:hAnsi="Calibri"/>
        </w:rPr>
      </w:pPr>
      <w:bookmarkStart w:id="753" w:name="_ENREF_110"/>
      <w:bookmarkEnd w:id="752"/>
      <w:r w:rsidRPr="004566DC">
        <w:rPr>
          <w:rFonts w:ascii="Calibri" w:hAnsi="Calibri"/>
        </w:rPr>
        <w:t xml:space="preserve">Scotet, V, Audrezet, MP, Roussey, M, Rault, G, Blayau, M, De Braekeleer, M &amp; Ferec, C 2003, 'Impact of public health strategies on the birth prevalence of cystic fibrosis in Brittany, France', </w:t>
      </w:r>
      <w:r w:rsidRPr="004566DC">
        <w:rPr>
          <w:rFonts w:ascii="Calibri" w:hAnsi="Calibri"/>
          <w:i/>
        </w:rPr>
        <w:t>Hum</w:t>
      </w:r>
      <w:r w:rsidR="000F53CB">
        <w:rPr>
          <w:rFonts w:ascii="Calibri" w:hAnsi="Calibri"/>
          <w:i/>
        </w:rPr>
        <w:t>an</w:t>
      </w:r>
      <w:r w:rsidRPr="004566DC">
        <w:rPr>
          <w:rFonts w:ascii="Calibri" w:hAnsi="Calibri"/>
          <w:i/>
        </w:rPr>
        <w:t xml:space="preserve"> Genet</w:t>
      </w:r>
      <w:r w:rsidR="000F53CB">
        <w:rPr>
          <w:rFonts w:ascii="Calibri" w:hAnsi="Calibri"/>
          <w:i/>
        </w:rPr>
        <w:t>ics</w:t>
      </w:r>
      <w:r w:rsidRPr="004566DC">
        <w:rPr>
          <w:rFonts w:ascii="Calibri" w:hAnsi="Calibri"/>
        </w:rPr>
        <w:t>, vol. 113, no. 3, pp. 280</w:t>
      </w:r>
      <w:r w:rsidR="000F53CB">
        <w:rPr>
          <w:rFonts w:ascii="Calibri" w:hAnsi="Calibri"/>
        </w:rPr>
        <w:t>–</w:t>
      </w:r>
      <w:r w:rsidRPr="004566DC">
        <w:rPr>
          <w:rFonts w:ascii="Calibri" w:hAnsi="Calibri"/>
        </w:rPr>
        <w:t>285.</w:t>
      </w:r>
    </w:p>
    <w:p w14:paraId="1DA89B5C" w14:textId="6BAC3940" w:rsidR="00B46ABF" w:rsidRPr="004566DC" w:rsidRDefault="00B46ABF" w:rsidP="00B46ABF">
      <w:pPr>
        <w:pStyle w:val="EndNoteBibliography"/>
        <w:rPr>
          <w:rFonts w:ascii="Calibri" w:hAnsi="Calibri"/>
        </w:rPr>
      </w:pPr>
      <w:bookmarkStart w:id="754" w:name="_ENREF_111"/>
      <w:bookmarkEnd w:id="753"/>
      <w:r w:rsidRPr="004566DC">
        <w:rPr>
          <w:rFonts w:ascii="Calibri" w:hAnsi="Calibri"/>
        </w:rPr>
        <w:t xml:space="preserve">Scotet, V, </w:t>
      </w:r>
      <w:r w:rsidR="00FC5EA8">
        <w:rPr>
          <w:rFonts w:ascii="Calibri" w:hAnsi="Calibri"/>
        </w:rPr>
        <w:t>d</w:t>
      </w:r>
      <w:r w:rsidRPr="004566DC">
        <w:rPr>
          <w:rFonts w:ascii="Calibri" w:hAnsi="Calibri"/>
        </w:rPr>
        <w:t>e Braekeleer, M, Audrezet, MP, Quere, I, Mercier, B, Dugueperoux, I, Andrieux, J, Blayau, M &amp; Ferec, C 2002, 'Prenatal detection of cystic fibrosis by ultrasonography: a retrospective study of more than 346</w:t>
      </w:r>
      <w:r w:rsidR="00116184">
        <w:rPr>
          <w:rFonts w:ascii="Calibri" w:hAnsi="Calibri"/>
        </w:rPr>
        <w:t>,</w:t>
      </w:r>
      <w:r w:rsidRPr="004566DC">
        <w:rPr>
          <w:rFonts w:ascii="Calibri" w:hAnsi="Calibri"/>
        </w:rPr>
        <w:t xml:space="preserve">000 pregnancies', </w:t>
      </w:r>
      <w:r w:rsidRPr="004566DC">
        <w:rPr>
          <w:rFonts w:ascii="Calibri" w:hAnsi="Calibri"/>
          <w:i/>
        </w:rPr>
        <w:t>J</w:t>
      </w:r>
      <w:r w:rsidR="00116184">
        <w:rPr>
          <w:rFonts w:ascii="Calibri" w:hAnsi="Calibri"/>
          <w:i/>
        </w:rPr>
        <w:t>ournal of</w:t>
      </w:r>
      <w:r w:rsidRPr="004566DC">
        <w:rPr>
          <w:rFonts w:ascii="Calibri" w:hAnsi="Calibri"/>
          <w:i/>
        </w:rPr>
        <w:t xml:space="preserve"> Med</w:t>
      </w:r>
      <w:r w:rsidR="00116184">
        <w:rPr>
          <w:rFonts w:ascii="Calibri" w:hAnsi="Calibri"/>
          <w:i/>
        </w:rPr>
        <w:t>ical</w:t>
      </w:r>
      <w:r w:rsidRPr="004566DC">
        <w:rPr>
          <w:rFonts w:ascii="Calibri" w:hAnsi="Calibri"/>
          <w:i/>
        </w:rPr>
        <w:t xml:space="preserve"> Genet</w:t>
      </w:r>
      <w:r w:rsidR="00116184">
        <w:rPr>
          <w:rFonts w:ascii="Calibri" w:hAnsi="Calibri"/>
          <w:i/>
        </w:rPr>
        <w:t>ics</w:t>
      </w:r>
      <w:r w:rsidRPr="004566DC">
        <w:rPr>
          <w:rFonts w:ascii="Calibri" w:hAnsi="Calibri"/>
        </w:rPr>
        <w:t>, vol. 39, no. 6, pp. 443</w:t>
      </w:r>
      <w:r w:rsidR="00116184">
        <w:rPr>
          <w:rFonts w:ascii="Calibri" w:hAnsi="Calibri"/>
        </w:rPr>
        <w:t>–</w:t>
      </w:r>
      <w:r w:rsidRPr="004566DC">
        <w:rPr>
          <w:rFonts w:ascii="Calibri" w:hAnsi="Calibri"/>
        </w:rPr>
        <w:t>448.</w:t>
      </w:r>
    </w:p>
    <w:p w14:paraId="7048C123" w14:textId="6F07C411" w:rsidR="00B46ABF" w:rsidRPr="004566DC" w:rsidRDefault="00B46ABF" w:rsidP="00B46ABF">
      <w:pPr>
        <w:pStyle w:val="EndNoteBibliography"/>
        <w:rPr>
          <w:rFonts w:ascii="Calibri" w:hAnsi="Calibri"/>
        </w:rPr>
      </w:pPr>
      <w:bookmarkStart w:id="755" w:name="_ENREF_112"/>
      <w:bookmarkEnd w:id="754"/>
      <w:r w:rsidRPr="004566DC">
        <w:rPr>
          <w:rFonts w:ascii="Calibri" w:hAnsi="Calibri"/>
        </w:rPr>
        <w:t xml:space="preserve">Scotet, V, Dugueperoux, I, Audrezet, MP, Audebert-Bellanger, S, Muller, M, Blayau, M &amp; Ferec, C 2010, 'Focus on cystic fibrosis and other disorders evidenced in fetuses with sonographic finding of echogenic bowel: 16-year report from Brittany, France', </w:t>
      </w:r>
      <w:r w:rsidRPr="004566DC">
        <w:rPr>
          <w:rFonts w:ascii="Calibri" w:hAnsi="Calibri"/>
          <w:i/>
        </w:rPr>
        <w:t>Am</w:t>
      </w:r>
      <w:r w:rsidR="00116184">
        <w:rPr>
          <w:rFonts w:ascii="Calibri" w:hAnsi="Calibri"/>
          <w:i/>
        </w:rPr>
        <w:t>erican</w:t>
      </w:r>
      <w:r w:rsidRPr="004566DC">
        <w:rPr>
          <w:rFonts w:ascii="Calibri" w:hAnsi="Calibri"/>
          <w:i/>
        </w:rPr>
        <w:t xml:space="preserve"> J</w:t>
      </w:r>
      <w:r w:rsidR="00116184">
        <w:rPr>
          <w:rFonts w:ascii="Calibri" w:hAnsi="Calibri"/>
          <w:i/>
        </w:rPr>
        <w:t>ournal of</w:t>
      </w:r>
      <w:r w:rsidRPr="004566DC">
        <w:rPr>
          <w:rFonts w:ascii="Calibri" w:hAnsi="Calibri"/>
          <w:i/>
        </w:rPr>
        <w:t xml:space="preserve"> Obstet</w:t>
      </w:r>
      <w:r w:rsidR="00116184">
        <w:rPr>
          <w:rFonts w:ascii="Calibri" w:hAnsi="Calibri"/>
          <w:i/>
        </w:rPr>
        <w:t>rics &amp;</w:t>
      </w:r>
      <w:r w:rsidRPr="004566DC">
        <w:rPr>
          <w:rFonts w:ascii="Calibri" w:hAnsi="Calibri"/>
          <w:i/>
        </w:rPr>
        <w:t xml:space="preserve"> Gynecol</w:t>
      </w:r>
      <w:r w:rsidR="00116184">
        <w:rPr>
          <w:rFonts w:ascii="Calibri" w:hAnsi="Calibri"/>
          <w:i/>
        </w:rPr>
        <w:t>ogy</w:t>
      </w:r>
      <w:r w:rsidRPr="004566DC">
        <w:rPr>
          <w:rFonts w:ascii="Calibri" w:hAnsi="Calibri"/>
        </w:rPr>
        <w:t>, vol. 203, no. 6, pp. 592.e1</w:t>
      </w:r>
      <w:r w:rsidR="00DA6DE0">
        <w:rPr>
          <w:rFonts w:ascii="Calibri" w:hAnsi="Calibri"/>
        </w:rPr>
        <w:t>–</w:t>
      </w:r>
      <w:r w:rsidRPr="004566DC">
        <w:rPr>
          <w:rFonts w:ascii="Calibri" w:hAnsi="Calibri"/>
        </w:rPr>
        <w:t>6.</w:t>
      </w:r>
    </w:p>
    <w:p w14:paraId="35D62DAC" w14:textId="60709347" w:rsidR="00B46ABF" w:rsidRPr="004566DC" w:rsidRDefault="00B46ABF" w:rsidP="00B46ABF">
      <w:pPr>
        <w:pStyle w:val="EndNoteBibliography"/>
        <w:rPr>
          <w:rFonts w:ascii="Calibri" w:hAnsi="Calibri"/>
        </w:rPr>
      </w:pPr>
      <w:bookmarkStart w:id="756" w:name="_ENREF_113"/>
      <w:bookmarkEnd w:id="755"/>
      <w:r w:rsidRPr="004566DC">
        <w:rPr>
          <w:rFonts w:ascii="Calibri" w:hAnsi="Calibri"/>
        </w:rPr>
        <w:t xml:space="preserve">Scotet, V, Dugueperoux, I, Audrezet, MP, Blayau, M, Boisseau, P, Journel, H, Parent, P &amp; Ferec, C 2008, 'Prenatal diagnosis of cystic fibrosis: the 18-year experience of Brittany (western France)', </w:t>
      </w:r>
      <w:r w:rsidRPr="004566DC">
        <w:rPr>
          <w:rFonts w:ascii="Calibri" w:hAnsi="Calibri"/>
          <w:i/>
        </w:rPr>
        <w:t>Prenat</w:t>
      </w:r>
      <w:r w:rsidR="00DA6DE0">
        <w:rPr>
          <w:rFonts w:ascii="Calibri" w:hAnsi="Calibri"/>
          <w:i/>
        </w:rPr>
        <w:t>al</w:t>
      </w:r>
      <w:r w:rsidRPr="004566DC">
        <w:rPr>
          <w:rFonts w:ascii="Calibri" w:hAnsi="Calibri"/>
          <w:i/>
        </w:rPr>
        <w:t xml:space="preserve"> Diagn</w:t>
      </w:r>
      <w:r w:rsidR="00DA6DE0">
        <w:rPr>
          <w:rFonts w:ascii="Calibri" w:hAnsi="Calibri"/>
          <w:i/>
        </w:rPr>
        <w:t>osis</w:t>
      </w:r>
      <w:r w:rsidRPr="004566DC">
        <w:rPr>
          <w:rFonts w:ascii="Calibri" w:hAnsi="Calibri"/>
        </w:rPr>
        <w:t>, vol. 28, no. 3, pp. 197</w:t>
      </w:r>
      <w:r w:rsidR="00DA6DE0">
        <w:rPr>
          <w:rFonts w:ascii="Calibri" w:hAnsi="Calibri"/>
        </w:rPr>
        <w:t>–</w:t>
      </w:r>
      <w:r w:rsidRPr="004566DC">
        <w:rPr>
          <w:rFonts w:ascii="Calibri" w:hAnsi="Calibri"/>
        </w:rPr>
        <w:t>202.</w:t>
      </w:r>
    </w:p>
    <w:p w14:paraId="645E07A0" w14:textId="4AAC85F0" w:rsidR="00B46ABF" w:rsidRPr="004566DC" w:rsidRDefault="00B46ABF" w:rsidP="00B46ABF">
      <w:pPr>
        <w:pStyle w:val="EndNoteBibliography"/>
        <w:rPr>
          <w:rFonts w:ascii="Calibri" w:hAnsi="Calibri"/>
        </w:rPr>
      </w:pPr>
      <w:bookmarkStart w:id="757" w:name="_ENREF_114"/>
      <w:bookmarkEnd w:id="756"/>
      <w:r w:rsidRPr="004566DC">
        <w:rPr>
          <w:rFonts w:ascii="Calibri" w:hAnsi="Calibri"/>
        </w:rPr>
        <w:t xml:space="preserve">Simon-Bouy, B, Satre, V, Ferec, C, Malinge, MC, Girodon, E, Denamur, E, Leporrier, N, Lewin, P, Forestier, F &amp; Muller, F 2003, 'Hyperechogenic fetal bowel: a large French collaborative study of 682 cases', </w:t>
      </w:r>
      <w:r w:rsidRPr="004566DC">
        <w:rPr>
          <w:rFonts w:ascii="Calibri" w:hAnsi="Calibri"/>
          <w:i/>
        </w:rPr>
        <w:t>Am</w:t>
      </w:r>
      <w:r w:rsidR="006C2E3E">
        <w:rPr>
          <w:rFonts w:ascii="Calibri" w:hAnsi="Calibri"/>
          <w:i/>
        </w:rPr>
        <w:t>erican</w:t>
      </w:r>
      <w:r w:rsidRPr="004566DC">
        <w:rPr>
          <w:rFonts w:ascii="Calibri" w:hAnsi="Calibri"/>
          <w:i/>
        </w:rPr>
        <w:t xml:space="preserve"> J</w:t>
      </w:r>
      <w:r w:rsidR="006C2E3E">
        <w:rPr>
          <w:rFonts w:ascii="Calibri" w:hAnsi="Calibri"/>
          <w:i/>
        </w:rPr>
        <w:t>ournal of</w:t>
      </w:r>
      <w:r w:rsidRPr="004566DC">
        <w:rPr>
          <w:rFonts w:ascii="Calibri" w:hAnsi="Calibri"/>
          <w:i/>
        </w:rPr>
        <w:t xml:space="preserve"> Med</w:t>
      </w:r>
      <w:r w:rsidR="006C2E3E">
        <w:rPr>
          <w:rFonts w:ascii="Calibri" w:hAnsi="Calibri"/>
          <w:i/>
        </w:rPr>
        <w:t>ical</w:t>
      </w:r>
      <w:r w:rsidRPr="004566DC">
        <w:rPr>
          <w:rFonts w:ascii="Calibri" w:hAnsi="Calibri"/>
          <w:i/>
        </w:rPr>
        <w:t xml:space="preserve"> Genet</w:t>
      </w:r>
      <w:r w:rsidR="006C2E3E">
        <w:rPr>
          <w:rFonts w:ascii="Calibri" w:hAnsi="Calibri"/>
          <w:i/>
        </w:rPr>
        <w:t>ics</w:t>
      </w:r>
      <w:r w:rsidRPr="004566DC">
        <w:rPr>
          <w:rFonts w:ascii="Calibri" w:hAnsi="Calibri"/>
          <w:i/>
        </w:rPr>
        <w:t xml:space="preserve"> A</w:t>
      </w:r>
      <w:r w:rsidRPr="004566DC">
        <w:rPr>
          <w:rFonts w:ascii="Calibri" w:hAnsi="Calibri"/>
        </w:rPr>
        <w:t>, vol. 121</w:t>
      </w:r>
      <w:r w:rsidR="006C2E3E">
        <w:rPr>
          <w:rFonts w:ascii="Calibri" w:hAnsi="Calibri"/>
        </w:rPr>
        <w:t>A</w:t>
      </w:r>
      <w:r w:rsidRPr="004566DC">
        <w:rPr>
          <w:rFonts w:ascii="Calibri" w:hAnsi="Calibri"/>
        </w:rPr>
        <w:t>, no. 3, pp. 209</w:t>
      </w:r>
      <w:r w:rsidR="006C2E3E">
        <w:rPr>
          <w:rFonts w:ascii="Calibri" w:hAnsi="Calibri"/>
        </w:rPr>
        <w:t>–</w:t>
      </w:r>
      <w:r w:rsidRPr="004566DC">
        <w:rPr>
          <w:rFonts w:ascii="Calibri" w:hAnsi="Calibri"/>
        </w:rPr>
        <w:t>213.</w:t>
      </w:r>
    </w:p>
    <w:p w14:paraId="0015B71D" w14:textId="75A33625" w:rsidR="00B46ABF" w:rsidRPr="004566DC" w:rsidRDefault="00B46ABF" w:rsidP="00B46ABF">
      <w:pPr>
        <w:pStyle w:val="EndNoteBibliography"/>
        <w:rPr>
          <w:rFonts w:ascii="Calibri" w:hAnsi="Calibri"/>
        </w:rPr>
      </w:pPr>
      <w:bookmarkStart w:id="758" w:name="_ENREF_115"/>
      <w:bookmarkEnd w:id="757"/>
      <w:r w:rsidRPr="004566DC">
        <w:rPr>
          <w:rFonts w:ascii="Calibri" w:hAnsi="Calibri"/>
        </w:rPr>
        <w:t xml:space="preserve">Skirton, H, Goldsmith, L &amp; Chitty, LS 2014, 'An easy test but a hard decision: ethical issues concerning non-invasive prenatal testing for autosomal recessive disorders', </w:t>
      </w:r>
      <w:r w:rsidRPr="004566DC">
        <w:rPr>
          <w:rFonts w:ascii="Calibri" w:hAnsi="Calibri"/>
          <w:i/>
        </w:rPr>
        <w:t>Eur</w:t>
      </w:r>
      <w:r w:rsidR="006C2E3E">
        <w:rPr>
          <w:rFonts w:ascii="Calibri" w:hAnsi="Calibri"/>
          <w:i/>
        </w:rPr>
        <w:t>opean</w:t>
      </w:r>
      <w:r w:rsidRPr="004566DC">
        <w:rPr>
          <w:rFonts w:ascii="Calibri" w:hAnsi="Calibri"/>
          <w:i/>
        </w:rPr>
        <w:t xml:space="preserve"> J</w:t>
      </w:r>
      <w:r w:rsidR="006C2E3E">
        <w:rPr>
          <w:rFonts w:ascii="Calibri" w:hAnsi="Calibri"/>
          <w:i/>
        </w:rPr>
        <w:t>ournal of</w:t>
      </w:r>
      <w:r w:rsidRPr="004566DC">
        <w:rPr>
          <w:rFonts w:ascii="Calibri" w:hAnsi="Calibri"/>
          <w:i/>
        </w:rPr>
        <w:t xml:space="preserve"> Hum</w:t>
      </w:r>
      <w:r w:rsidR="006C2E3E">
        <w:rPr>
          <w:rFonts w:ascii="Calibri" w:hAnsi="Calibri"/>
          <w:i/>
        </w:rPr>
        <w:t>an</w:t>
      </w:r>
      <w:r w:rsidRPr="004566DC">
        <w:rPr>
          <w:rFonts w:ascii="Calibri" w:hAnsi="Calibri"/>
          <w:i/>
        </w:rPr>
        <w:t xml:space="preserve"> Genet</w:t>
      </w:r>
      <w:r w:rsidR="006C2E3E">
        <w:rPr>
          <w:rFonts w:ascii="Calibri" w:hAnsi="Calibri"/>
          <w:i/>
        </w:rPr>
        <w:t>ics</w:t>
      </w:r>
      <w:r w:rsidRPr="004566DC">
        <w:rPr>
          <w:rFonts w:ascii="Calibri" w:hAnsi="Calibri"/>
        </w:rPr>
        <w:t>,</w:t>
      </w:r>
      <w:r w:rsidR="00BD7B77">
        <w:rPr>
          <w:rFonts w:ascii="Calibri" w:hAnsi="Calibri"/>
        </w:rPr>
        <w:t xml:space="preserve"> </w:t>
      </w:r>
      <w:r w:rsidR="006C2E3E" w:rsidRPr="004566DC">
        <w:rPr>
          <w:rStyle w:val="st"/>
          <w:rFonts w:asciiTheme="minorHAnsi" w:hAnsiTheme="minorHAnsi"/>
        </w:rPr>
        <w:t>doi:10.1038/ejhg.2014.238</w:t>
      </w:r>
      <w:r w:rsidRPr="004566DC">
        <w:rPr>
          <w:rFonts w:ascii="Calibri" w:hAnsi="Calibri"/>
        </w:rPr>
        <w:t>.</w:t>
      </w:r>
    </w:p>
    <w:p w14:paraId="63F72F49" w14:textId="5354610E" w:rsidR="00B46ABF" w:rsidRPr="004566DC" w:rsidRDefault="00B46ABF" w:rsidP="00B46ABF">
      <w:pPr>
        <w:pStyle w:val="EndNoteBibliography"/>
        <w:rPr>
          <w:rFonts w:ascii="Calibri" w:hAnsi="Calibri"/>
        </w:rPr>
      </w:pPr>
      <w:bookmarkStart w:id="759" w:name="_ENREF_116"/>
      <w:bookmarkEnd w:id="758"/>
      <w:r w:rsidRPr="004566DC">
        <w:rPr>
          <w:rFonts w:ascii="Calibri" w:hAnsi="Calibri"/>
        </w:rPr>
        <w:t xml:space="preserve">Slotnick, RN &amp; Abuhamad, AZ 1996, 'Prognostic implications of fetal echogenic bowel', </w:t>
      </w:r>
      <w:r w:rsidRPr="004566DC">
        <w:rPr>
          <w:rFonts w:ascii="Calibri" w:hAnsi="Calibri"/>
          <w:i/>
        </w:rPr>
        <w:t>Lancet</w:t>
      </w:r>
      <w:r w:rsidRPr="004566DC">
        <w:rPr>
          <w:rFonts w:ascii="Calibri" w:hAnsi="Calibri"/>
        </w:rPr>
        <w:t>, vol. 347, no. 8994, pp. 85</w:t>
      </w:r>
      <w:r w:rsidR="00D15629">
        <w:rPr>
          <w:rFonts w:ascii="Calibri" w:hAnsi="Calibri"/>
        </w:rPr>
        <w:t>–</w:t>
      </w:r>
      <w:r w:rsidRPr="004566DC">
        <w:rPr>
          <w:rFonts w:ascii="Calibri" w:hAnsi="Calibri"/>
        </w:rPr>
        <w:t>87.</w:t>
      </w:r>
    </w:p>
    <w:p w14:paraId="7BFAE329" w14:textId="416431E1" w:rsidR="00B46ABF" w:rsidRPr="004566DC" w:rsidRDefault="00B46ABF" w:rsidP="00B46ABF">
      <w:pPr>
        <w:pStyle w:val="EndNoteBibliography"/>
        <w:rPr>
          <w:rFonts w:ascii="Calibri" w:hAnsi="Calibri"/>
        </w:rPr>
      </w:pPr>
      <w:bookmarkStart w:id="760" w:name="_ENREF_117"/>
      <w:bookmarkEnd w:id="759"/>
      <w:r w:rsidRPr="004566DC">
        <w:rPr>
          <w:rFonts w:ascii="Calibri" w:hAnsi="Calibri"/>
        </w:rPr>
        <w:t xml:space="preserve">Smidt-Jensen, S, Permin, M, Philip, J, Lundsteen, C, Zachary, JM, Fowler, SE &amp; Gruning, K 1992, 'Randomised comparison of amniocentesis and transabdominal and transcervical chorionic villus sampling', </w:t>
      </w:r>
      <w:r w:rsidRPr="004566DC">
        <w:rPr>
          <w:rFonts w:ascii="Calibri" w:hAnsi="Calibri"/>
          <w:i/>
        </w:rPr>
        <w:t>Lancet</w:t>
      </w:r>
      <w:r w:rsidRPr="004566DC">
        <w:rPr>
          <w:rFonts w:ascii="Calibri" w:hAnsi="Calibri"/>
        </w:rPr>
        <w:t>, vol. 340, no. 8830, pp. 1237</w:t>
      </w:r>
      <w:r w:rsidR="0042743A">
        <w:rPr>
          <w:rFonts w:ascii="Calibri" w:hAnsi="Calibri"/>
        </w:rPr>
        <w:t>–</w:t>
      </w:r>
      <w:r w:rsidRPr="004566DC">
        <w:rPr>
          <w:rFonts w:ascii="Calibri" w:hAnsi="Calibri"/>
        </w:rPr>
        <w:t>1244.</w:t>
      </w:r>
    </w:p>
    <w:p w14:paraId="43C1377E" w14:textId="3BDA5D9B" w:rsidR="00B46ABF" w:rsidRPr="004566DC" w:rsidRDefault="00B46ABF" w:rsidP="00B46ABF">
      <w:pPr>
        <w:pStyle w:val="EndNoteBibliography"/>
        <w:rPr>
          <w:rFonts w:ascii="Calibri" w:hAnsi="Calibri"/>
        </w:rPr>
      </w:pPr>
      <w:bookmarkStart w:id="761" w:name="_ENREF_118"/>
      <w:bookmarkEnd w:id="760"/>
      <w:r w:rsidRPr="004566DC">
        <w:rPr>
          <w:rFonts w:ascii="Calibri" w:hAnsi="Calibri"/>
        </w:rPr>
        <w:lastRenderedPageBreak/>
        <w:t xml:space="preserve">Strom, CM, Clark, DD, Hantash, FM, Rea, L, Anderson, B, Maul, D, Huang, D, Traul, D, Tubman, CC, Garcia, R, Hess, PP, Wang, H, Crossley, B, Woodruff, E, Chen, R, Killeen, M, Sun, W, Beer, J, Avens, H, Polisky, B &amp; Jenison, RD 2004, 'Direct visualization of cystic fibrosis transmembrane regulator mutations in the clinical laboratory setting', </w:t>
      </w:r>
      <w:r w:rsidRPr="004566DC">
        <w:rPr>
          <w:rFonts w:ascii="Calibri" w:hAnsi="Calibri"/>
          <w:i/>
        </w:rPr>
        <w:t>Clinical Chemistry</w:t>
      </w:r>
      <w:r w:rsidRPr="004566DC">
        <w:rPr>
          <w:rFonts w:ascii="Calibri" w:hAnsi="Calibri"/>
        </w:rPr>
        <w:t>, vol. 50, no. 5, pp. 836</w:t>
      </w:r>
      <w:r w:rsidR="0042743A">
        <w:rPr>
          <w:rFonts w:ascii="Calibri" w:hAnsi="Calibri"/>
        </w:rPr>
        <w:t>–</w:t>
      </w:r>
      <w:r w:rsidRPr="004566DC">
        <w:rPr>
          <w:rFonts w:ascii="Calibri" w:hAnsi="Calibri"/>
        </w:rPr>
        <w:t>845.</w:t>
      </w:r>
    </w:p>
    <w:p w14:paraId="4C482F26" w14:textId="66F4B27F" w:rsidR="00B46ABF" w:rsidRPr="004566DC" w:rsidRDefault="00B46ABF" w:rsidP="00B46ABF">
      <w:pPr>
        <w:pStyle w:val="EndNoteBibliography"/>
        <w:rPr>
          <w:rFonts w:ascii="Calibri" w:hAnsi="Calibri"/>
        </w:rPr>
      </w:pPr>
      <w:bookmarkStart w:id="762" w:name="_ENREF_119"/>
      <w:bookmarkEnd w:id="761"/>
      <w:r w:rsidRPr="004566DC">
        <w:rPr>
          <w:rFonts w:ascii="Calibri" w:hAnsi="Calibri"/>
        </w:rPr>
        <w:t xml:space="preserve">Strom, CM, Huang, D, Chen, C, Buller, A, Peng, M, Quan, F, Redman, J &amp; Sun, W 2003, 'Extensive sequencing of the cystic fibrosis transmembrane regulator gene: </w:t>
      </w:r>
      <w:r w:rsidR="00BD7B77">
        <w:rPr>
          <w:rFonts w:ascii="Calibri" w:hAnsi="Calibri"/>
        </w:rPr>
        <w:t>a</w:t>
      </w:r>
      <w:r w:rsidRPr="004566DC">
        <w:rPr>
          <w:rFonts w:ascii="Calibri" w:hAnsi="Calibri"/>
        </w:rPr>
        <w:t xml:space="preserve">ssay validation and unexpected benefits of developing a comprehensive test', </w:t>
      </w:r>
      <w:r w:rsidRPr="004566DC">
        <w:rPr>
          <w:rFonts w:ascii="Calibri" w:hAnsi="Calibri"/>
          <w:i/>
        </w:rPr>
        <w:t>Genetics in Medicine</w:t>
      </w:r>
      <w:r w:rsidRPr="004566DC">
        <w:rPr>
          <w:rFonts w:ascii="Calibri" w:hAnsi="Calibri"/>
        </w:rPr>
        <w:t>, vol. 5, no. 1, pp. 9</w:t>
      </w:r>
      <w:r w:rsidR="0042743A">
        <w:rPr>
          <w:rFonts w:ascii="Calibri" w:hAnsi="Calibri"/>
        </w:rPr>
        <w:t>–</w:t>
      </w:r>
      <w:r w:rsidRPr="004566DC">
        <w:rPr>
          <w:rFonts w:ascii="Calibri" w:hAnsi="Calibri"/>
        </w:rPr>
        <w:t>14.</w:t>
      </w:r>
    </w:p>
    <w:p w14:paraId="6B1CA851" w14:textId="7FFE21BA" w:rsidR="00B46ABF" w:rsidRPr="004566DC" w:rsidRDefault="00B46ABF" w:rsidP="00B46ABF">
      <w:pPr>
        <w:pStyle w:val="EndNoteBibliography"/>
        <w:rPr>
          <w:rFonts w:ascii="Calibri" w:hAnsi="Calibri"/>
        </w:rPr>
      </w:pPr>
      <w:bookmarkStart w:id="763" w:name="_ENREF_120"/>
      <w:bookmarkEnd w:id="762"/>
      <w:r w:rsidRPr="004566DC">
        <w:rPr>
          <w:rFonts w:ascii="Calibri" w:hAnsi="Calibri"/>
        </w:rPr>
        <w:t xml:space="preserve">Suthers, GK, McCusker, EA &amp; Wake, SA 2011, 'Alerting genetic relatives to a risk of serious inherited disease without a patient's consent', </w:t>
      </w:r>
      <w:r w:rsidRPr="004566DC">
        <w:rPr>
          <w:rFonts w:ascii="Calibri" w:hAnsi="Calibri"/>
          <w:i/>
        </w:rPr>
        <w:t>Med</w:t>
      </w:r>
      <w:r w:rsidR="0042743A">
        <w:rPr>
          <w:rFonts w:ascii="Calibri" w:hAnsi="Calibri"/>
          <w:i/>
        </w:rPr>
        <w:t>ical</w:t>
      </w:r>
      <w:r w:rsidRPr="004566DC">
        <w:rPr>
          <w:rFonts w:ascii="Calibri" w:hAnsi="Calibri"/>
          <w:i/>
        </w:rPr>
        <w:t xml:space="preserve"> J</w:t>
      </w:r>
      <w:r w:rsidR="0042743A">
        <w:rPr>
          <w:rFonts w:ascii="Calibri" w:hAnsi="Calibri"/>
          <w:i/>
        </w:rPr>
        <w:t>ournal of</w:t>
      </w:r>
      <w:r w:rsidRPr="004566DC">
        <w:rPr>
          <w:rFonts w:ascii="Calibri" w:hAnsi="Calibri"/>
          <w:i/>
        </w:rPr>
        <w:t xml:space="preserve"> Aust</w:t>
      </w:r>
      <w:r w:rsidR="0042743A">
        <w:rPr>
          <w:rFonts w:ascii="Calibri" w:hAnsi="Calibri"/>
          <w:i/>
        </w:rPr>
        <w:t>ralia</w:t>
      </w:r>
      <w:r w:rsidRPr="004566DC">
        <w:rPr>
          <w:rFonts w:ascii="Calibri" w:hAnsi="Calibri"/>
        </w:rPr>
        <w:t>, vol. 194, no. 8, pp. 385</w:t>
      </w:r>
      <w:r w:rsidR="0042743A">
        <w:rPr>
          <w:rFonts w:ascii="Calibri" w:hAnsi="Calibri"/>
        </w:rPr>
        <w:t>–</w:t>
      </w:r>
      <w:r w:rsidRPr="004566DC">
        <w:rPr>
          <w:rFonts w:ascii="Calibri" w:hAnsi="Calibri"/>
        </w:rPr>
        <w:t>386.</w:t>
      </w:r>
    </w:p>
    <w:p w14:paraId="45059702" w14:textId="43D4C2C4" w:rsidR="00B46ABF" w:rsidRPr="004566DC" w:rsidRDefault="00B46ABF" w:rsidP="00B46ABF">
      <w:pPr>
        <w:pStyle w:val="EndNoteBibliography"/>
        <w:rPr>
          <w:rFonts w:ascii="Calibri" w:hAnsi="Calibri"/>
        </w:rPr>
      </w:pPr>
      <w:bookmarkStart w:id="764" w:name="_ENREF_121"/>
      <w:bookmarkEnd w:id="763"/>
      <w:r w:rsidRPr="004566DC">
        <w:rPr>
          <w:rFonts w:ascii="Calibri" w:hAnsi="Calibri"/>
        </w:rPr>
        <w:t xml:space="preserve">Tabor, A, Philip, J, Madsen, M, Bang, J, Obel, EB &amp; Norgaard-Pedersen, B 1986, 'Randomised controlled trial of genetic amniocentesis in 4606 low-risk women', </w:t>
      </w:r>
      <w:r w:rsidRPr="004566DC">
        <w:rPr>
          <w:rFonts w:ascii="Calibri" w:hAnsi="Calibri"/>
          <w:i/>
        </w:rPr>
        <w:t>Lancet</w:t>
      </w:r>
      <w:r w:rsidRPr="004566DC">
        <w:rPr>
          <w:rFonts w:ascii="Calibri" w:hAnsi="Calibri"/>
        </w:rPr>
        <w:t>, vol. 1, no. 8493, pp. 1287</w:t>
      </w:r>
      <w:r w:rsidR="0042743A">
        <w:rPr>
          <w:rFonts w:ascii="Calibri" w:hAnsi="Calibri"/>
        </w:rPr>
        <w:t>–</w:t>
      </w:r>
      <w:r w:rsidRPr="004566DC">
        <w:rPr>
          <w:rFonts w:ascii="Calibri" w:hAnsi="Calibri"/>
        </w:rPr>
        <w:t>1293.</w:t>
      </w:r>
    </w:p>
    <w:p w14:paraId="1A61967B" w14:textId="512FDE05" w:rsidR="00B46ABF" w:rsidRPr="004566DC" w:rsidRDefault="00B46ABF" w:rsidP="00B46ABF">
      <w:pPr>
        <w:pStyle w:val="EndNoteBibliography"/>
        <w:rPr>
          <w:rFonts w:ascii="Calibri" w:hAnsi="Calibri"/>
        </w:rPr>
      </w:pPr>
      <w:bookmarkStart w:id="765" w:name="_ENREF_122"/>
      <w:bookmarkEnd w:id="764"/>
      <w:r w:rsidRPr="004566DC">
        <w:rPr>
          <w:rFonts w:ascii="Calibri" w:hAnsi="Calibri"/>
        </w:rPr>
        <w:t xml:space="preserve">Tabor, A, Vestergaard, CH &amp; Lidegaard, O 2009, 'Fetal loss rate after chorionic villus sampling and amniocentesis: an 11-year national registry study', </w:t>
      </w:r>
      <w:r w:rsidRPr="004566DC">
        <w:rPr>
          <w:rFonts w:ascii="Calibri" w:hAnsi="Calibri"/>
          <w:i/>
        </w:rPr>
        <w:t xml:space="preserve">Ultrasound </w:t>
      </w:r>
      <w:r w:rsidR="0042743A">
        <w:rPr>
          <w:rFonts w:ascii="Calibri" w:hAnsi="Calibri"/>
          <w:i/>
        </w:rPr>
        <w:t xml:space="preserve">in </w:t>
      </w:r>
      <w:r w:rsidRPr="004566DC">
        <w:rPr>
          <w:rFonts w:ascii="Calibri" w:hAnsi="Calibri"/>
          <w:i/>
        </w:rPr>
        <w:t>Obstet</w:t>
      </w:r>
      <w:r w:rsidR="0042743A">
        <w:rPr>
          <w:rFonts w:ascii="Calibri" w:hAnsi="Calibri"/>
          <w:i/>
        </w:rPr>
        <w:t>rics &amp;</w:t>
      </w:r>
      <w:r w:rsidRPr="004566DC">
        <w:rPr>
          <w:rFonts w:ascii="Calibri" w:hAnsi="Calibri"/>
          <w:i/>
        </w:rPr>
        <w:t xml:space="preserve"> Gynecol</w:t>
      </w:r>
      <w:r w:rsidR="0042743A">
        <w:rPr>
          <w:rFonts w:ascii="Calibri" w:hAnsi="Calibri"/>
          <w:i/>
        </w:rPr>
        <w:t>ogy</w:t>
      </w:r>
      <w:r w:rsidRPr="004566DC">
        <w:rPr>
          <w:rFonts w:ascii="Calibri" w:hAnsi="Calibri"/>
        </w:rPr>
        <w:t>, vol. 34, no. 1, pp. 19</w:t>
      </w:r>
      <w:r w:rsidR="0042743A">
        <w:rPr>
          <w:rFonts w:ascii="Calibri" w:hAnsi="Calibri"/>
        </w:rPr>
        <w:t>–</w:t>
      </w:r>
      <w:r w:rsidRPr="004566DC">
        <w:rPr>
          <w:rFonts w:ascii="Calibri" w:hAnsi="Calibri"/>
        </w:rPr>
        <w:t>24.</w:t>
      </w:r>
    </w:p>
    <w:p w14:paraId="1FA01D42" w14:textId="2DDFE3D5" w:rsidR="00B46ABF" w:rsidRPr="004566DC" w:rsidRDefault="00B46ABF" w:rsidP="00B46ABF">
      <w:pPr>
        <w:pStyle w:val="EndNoteBibliography"/>
        <w:rPr>
          <w:rFonts w:ascii="Calibri" w:hAnsi="Calibri"/>
        </w:rPr>
      </w:pPr>
      <w:bookmarkStart w:id="766" w:name="_ENREF_123"/>
      <w:bookmarkEnd w:id="765"/>
      <w:r w:rsidRPr="004566DC">
        <w:rPr>
          <w:rFonts w:ascii="Calibri" w:hAnsi="Calibri"/>
        </w:rPr>
        <w:t xml:space="preserve">Tomaiuolo, R, Nardiello, P, Martinelli, P, Sacchetti, L, Salvatore, F &amp; Castaldo, G 2013, 'Prenatal diagnosis of cystic fibrosis: </w:t>
      </w:r>
      <w:r w:rsidR="0042743A">
        <w:rPr>
          <w:rFonts w:ascii="Calibri" w:hAnsi="Calibri"/>
        </w:rPr>
        <w:t>a</w:t>
      </w:r>
      <w:r w:rsidRPr="004566DC">
        <w:rPr>
          <w:rFonts w:ascii="Calibri" w:hAnsi="Calibri"/>
        </w:rPr>
        <w:t xml:space="preserve">n experience of 181 cases', </w:t>
      </w:r>
      <w:r w:rsidRPr="004566DC">
        <w:rPr>
          <w:rFonts w:ascii="Calibri" w:hAnsi="Calibri"/>
          <w:i/>
        </w:rPr>
        <w:t>Clinical Chemistry and Laboratory Medicine</w:t>
      </w:r>
      <w:r w:rsidRPr="004566DC">
        <w:rPr>
          <w:rFonts w:ascii="Calibri" w:hAnsi="Calibri"/>
        </w:rPr>
        <w:t>, vol. 51, no. 12, pp. 2227</w:t>
      </w:r>
      <w:r w:rsidR="0042743A">
        <w:rPr>
          <w:rFonts w:ascii="Calibri" w:hAnsi="Calibri"/>
        </w:rPr>
        <w:t>–</w:t>
      </w:r>
      <w:r w:rsidRPr="004566DC">
        <w:rPr>
          <w:rFonts w:ascii="Calibri" w:hAnsi="Calibri"/>
        </w:rPr>
        <w:t>2232.</w:t>
      </w:r>
    </w:p>
    <w:p w14:paraId="3C7BCBED" w14:textId="473718B8" w:rsidR="00B46ABF" w:rsidRPr="004566DC" w:rsidRDefault="00B46ABF" w:rsidP="00B46ABF">
      <w:pPr>
        <w:pStyle w:val="EndNoteBibliography"/>
        <w:rPr>
          <w:rFonts w:ascii="Calibri" w:hAnsi="Calibri"/>
        </w:rPr>
      </w:pPr>
      <w:bookmarkStart w:id="767" w:name="_ENREF_124"/>
      <w:bookmarkEnd w:id="766"/>
      <w:r w:rsidRPr="004566DC">
        <w:rPr>
          <w:rFonts w:ascii="Calibri" w:hAnsi="Calibri"/>
        </w:rPr>
        <w:t xml:space="preserve">Tomaiuolo, R, Spina, M &amp; Castaldo, G 2003, 'Molecular diagnosis of cystic fibrosis: </w:t>
      </w:r>
      <w:r w:rsidR="0042743A">
        <w:rPr>
          <w:rFonts w:ascii="Calibri" w:hAnsi="Calibri"/>
        </w:rPr>
        <w:t>c</w:t>
      </w:r>
      <w:r w:rsidRPr="004566DC">
        <w:rPr>
          <w:rFonts w:ascii="Calibri" w:hAnsi="Calibri"/>
        </w:rPr>
        <w:t xml:space="preserve">omparison of four analytical procedures', </w:t>
      </w:r>
      <w:r w:rsidRPr="004566DC">
        <w:rPr>
          <w:rFonts w:ascii="Calibri" w:hAnsi="Calibri"/>
          <w:i/>
        </w:rPr>
        <w:t>Clinical Chemistry and Laboratory Medicine</w:t>
      </w:r>
      <w:r w:rsidRPr="004566DC">
        <w:rPr>
          <w:rFonts w:ascii="Calibri" w:hAnsi="Calibri"/>
        </w:rPr>
        <w:t>, vol. 41, no. 1, pp. 26</w:t>
      </w:r>
      <w:r w:rsidR="0042743A">
        <w:rPr>
          <w:rFonts w:ascii="Calibri" w:hAnsi="Calibri"/>
        </w:rPr>
        <w:t>–</w:t>
      </w:r>
      <w:r w:rsidRPr="004566DC">
        <w:rPr>
          <w:rFonts w:ascii="Calibri" w:hAnsi="Calibri"/>
        </w:rPr>
        <w:t>32.</w:t>
      </w:r>
    </w:p>
    <w:p w14:paraId="46A9CEF7" w14:textId="7A4DAE62" w:rsidR="00B46ABF" w:rsidRPr="004566DC" w:rsidRDefault="00B46ABF" w:rsidP="00B46ABF">
      <w:pPr>
        <w:pStyle w:val="EndNoteBibliography"/>
        <w:rPr>
          <w:rFonts w:ascii="Calibri" w:hAnsi="Calibri"/>
        </w:rPr>
      </w:pPr>
      <w:bookmarkStart w:id="768" w:name="_ENREF_125"/>
      <w:bookmarkEnd w:id="767"/>
      <w:r w:rsidRPr="004566DC">
        <w:rPr>
          <w:rFonts w:ascii="Calibri" w:hAnsi="Calibri"/>
        </w:rPr>
        <w:t xml:space="preserve">Van Gool, K, Norman, R, Delatycki, MB, Hall, J &amp; Massie, J 2013, 'Understanding the costs of care for cystic fibrosis: </w:t>
      </w:r>
      <w:r w:rsidR="0042743A">
        <w:rPr>
          <w:rFonts w:ascii="Calibri" w:hAnsi="Calibri"/>
        </w:rPr>
        <w:t>a</w:t>
      </w:r>
      <w:r w:rsidRPr="004566DC">
        <w:rPr>
          <w:rFonts w:ascii="Calibri" w:hAnsi="Calibri"/>
        </w:rPr>
        <w:t xml:space="preserve">n analysis by age and health state', </w:t>
      </w:r>
      <w:r w:rsidRPr="004566DC">
        <w:rPr>
          <w:rFonts w:ascii="Calibri" w:hAnsi="Calibri"/>
          <w:i/>
        </w:rPr>
        <w:t>Value in Health</w:t>
      </w:r>
      <w:r w:rsidRPr="004566DC">
        <w:rPr>
          <w:rFonts w:ascii="Calibri" w:hAnsi="Calibri"/>
        </w:rPr>
        <w:t>, vol. 16, no. 2, pp. 345</w:t>
      </w:r>
      <w:r w:rsidR="0042743A">
        <w:rPr>
          <w:rFonts w:ascii="Calibri" w:hAnsi="Calibri"/>
        </w:rPr>
        <w:t>–</w:t>
      </w:r>
      <w:r w:rsidRPr="004566DC">
        <w:rPr>
          <w:rFonts w:ascii="Calibri" w:hAnsi="Calibri"/>
        </w:rPr>
        <w:t>355.</w:t>
      </w:r>
    </w:p>
    <w:p w14:paraId="2CA94714" w14:textId="1127EF8C" w:rsidR="00B46ABF" w:rsidRPr="004566DC" w:rsidRDefault="00B46ABF" w:rsidP="00B46ABF">
      <w:pPr>
        <w:pStyle w:val="EndNoteBibliography"/>
        <w:rPr>
          <w:rFonts w:ascii="Calibri" w:hAnsi="Calibri"/>
        </w:rPr>
      </w:pPr>
      <w:bookmarkStart w:id="769" w:name="_ENREF_126"/>
      <w:bookmarkEnd w:id="768"/>
      <w:r w:rsidRPr="004566DC">
        <w:rPr>
          <w:rFonts w:ascii="Calibri" w:hAnsi="Calibri"/>
        </w:rPr>
        <w:t xml:space="preserve">Wall, J, Cai, S &amp; Chehab, FF 1995, 'A 31-mutation assay for cystic fibrosis testing in the clinical molecular diagnostics laboratory', </w:t>
      </w:r>
      <w:r w:rsidRPr="004566DC">
        <w:rPr>
          <w:rFonts w:ascii="Calibri" w:hAnsi="Calibri"/>
          <w:i/>
        </w:rPr>
        <w:t>Hum</w:t>
      </w:r>
      <w:r w:rsidR="0042743A">
        <w:rPr>
          <w:rFonts w:ascii="Calibri" w:hAnsi="Calibri"/>
          <w:i/>
        </w:rPr>
        <w:t>an</w:t>
      </w:r>
      <w:r w:rsidRPr="004566DC">
        <w:rPr>
          <w:rFonts w:ascii="Calibri" w:hAnsi="Calibri"/>
          <w:i/>
        </w:rPr>
        <w:t xml:space="preserve"> Mutat</w:t>
      </w:r>
      <w:r w:rsidR="0042743A">
        <w:rPr>
          <w:rFonts w:ascii="Calibri" w:hAnsi="Calibri"/>
          <w:i/>
        </w:rPr>
        <w:t>ion</w:t>
      </w:r>
      <w:r w:rsidRPr="004566DC">
        <w:rPr>
          <w:rFonts w:ascii="Calibri" w:hAnsi="Calibri"/>
        </w:rPr>
        <w:t>, vol. 5, no. 4, pp. 333</w:t>
      </w:r>
      <w:r w:rsidR="0042743A">
        <w:rPr>
          <w:rFonts w:ascii="Calibri" w:hAnsi="Calibri"/>
        </w:rPr>
        <w:t>–</w:t>
      </w:r>
      <w:r w:rsidRPr="004566DC">
        <w:rPr>
          <w:rFonts w:ascii="Calibri" w:hAnsi="Calibri"/>
        </w:rPr>
        <w:t>338.</w:t>
      </w:r>
    </w:p>
    <w:p w14:paraId="32BBAA92" w14:textId="441D90C5" w:rsidR="00B46ABF" w:rsidRPr="004566DC" w:rsidRDefault="00B46ABF" w:rsidP="00B46ABF">
      <w:pPr>
        <w:pStyle w:val="EndNoteBibliography"/>
        <w:rPr>
          <w:rFonts w:ascii="Calibri" w:hAnsi="Calibri"/>
        </w:rPr>
      </w:pPr>
      <w:bookmarkStart w:id="770" w:name="_ENREF_127"/>
      <w:bookmarkEnd w:id="769"/>
      <w:r w:rsidRPr="004566DC">
        <w:rPr>
          <w:rFonts w:ascii="Calibri" w:hAnsi="Calibri"/>
        </w:rPr>
        <w:t xml:space="preserve">Wang, Z, Milunsky, J, Yamin, M, Maher, T, Oates, R &amp; Milunsky, A 2002, 'Analysis by mass spectrometry of 100 cystic fibrosis gene mutations in 92 patients with congenital bilateral absence of the vas deferens', </w:t>
      </w:r>
      <w:r w:rsidRPr="004566DC">
        <w:rPr>
          <w:rFonts w:ascii="Calibri" w:hAnsi="Calibri"/>
          <w:i/>
        </w:rPr>
        <w:t>Human Reproduction</w:t>
      </w:r>
      <w:r w:rsidRPr="004566DC">
        <w:rPr>
          <w:rFonts w:ascii="Calibri" w:hAnsi="Calibri"/>
        </w:rPr>
        <w:t>, vol. 17, no. 8, pp. 2066</w:t>
      </w:r>
      <w:r w:rsidR="0042743A">
        <w:rPr>
          <w:rFonts w:ascii="Calibri" w:hAnsi="Calibri"/>
        </w:rPr>
        <w:t>–</w:t>
      </w:r>
      <w:r w:rsidRPr="004566DC">
        <w:rPr>
          <w:rFonts w:ascii="Calibri" w:hAnsi="Calibri"/>
        </w:rPr>
        <w:t>2072.</w:t>
      </w:r>
    </w:p>
    <w:p w14:paraId="05217F1F" w14:textId="034ECCE1" w:rsidR="00B46ABF" w:rsidRPr="004566DC" w:rsidRDefault="00B46ABF" w:rsidP="00B46ABF">
      <w:pPr>
        <w:pStyle w:val="EndNoteBibliography"/>
        <w:rPr>
          <w:rFonts w:ascii="Calibri" w:hAnsi="Calibri"/>
        </w:rPr>
      </w:pPr>
      <w:bookmarkStart w:id="771" w:name="_ENREF_128"/>
      <w:bookmarkEnd w:id="770"/>
      <w:r w:rsidRPr="004566DC">
        <w:rPr>
          <w:rFonts w:ascii="Calibri" w:hAnsi="Calibri"/>
        </w:rPr>
        <w:t>Whiting P</w:t>
      </w:r>
      <w:r w:rsidR="0053395F">
        <w:rPr>
          <w:rFonts w:ascii="Calibri" w:hAnsi="Calibri"/>
        </w:rPr>
        <w:t>F</w:t>
      </w:r>
      <w:r w:rsidRPr="004566DC">
        <w:rPr>
          <w:rFonts w:ascii="Calibri" w:hAnsi="Calibri"/>
        </w:rPr>
        <w:t>, R</w:t>
      </w:r>
      <w:r w:rsidR="0053395F">
        <w:rPr>
          <w:rFonts w:ascii="Calibri" w:hAnsi="Calibri"/>
        </w:rPr>
        <w:t xml:space="preserve">utjes, </w:t>
      </w:r>
      <w:r w:rsidRPr="004566DC">
        <w:rPr>
          <w:rFonts w:ascii="Calibri" w:hAnsi="Calibri"/>
        </w:rPr>
        <w:t>A</w:t>
      </w:r>
      <w:r w:rsidR="004D06E7">
        <w:rPr>
          <w:rFonts w:ascii="Calibri" w:hAnsi="Calibri"/>
        </w:rPr>
        <w:t>W</w:t>
      </w:r>
      <w:r w:rsidRPr="004566DC">
        <w:rPr>
          <w:rFonts w:ascii="Calibri" w:hAnsi="Calibri"/>
        </w:rPr>
        <w:t xml:space="preserve">, Reitsma JB, Bossuyt PM, Kleijnen J. 2003, 'The development of QUADAS: a tool for the quality assessment of studies of diagnostic accuracy included in systematic reviews', </w:t>
      </w:r>
      <w:r w:rsidRPr="004566DC">
        <w:rPr>
          <w:rFonts w:ascii="Calibri" w:hAnsi="Calibri"/>
          <w:i/>
        </w:rPr>
        <w:t>BMC Med</w:t>
      </w:r>
      <w:r w:rsidR="0042743A">
        <w:rPr>
          <w:rFonts w:ascii="Calibri" w:hAnsi="Calibri"/>
          <w:i/>
        </w:rPr>
        <w:t>ical</w:t>
      </w:r>
      <w:r w:rsidRPr="004566DC">
        <w:rPr>
          <w:rFonts w:ascii="Calibri" w:hAnsi="Calibri"/>
          <w:i/>
        </w:rPr>
        <w:t xml:space="preserve"> Res</w:t>
      </w:r>
      <w:r w:rsidR="0042743A">
        <w:rPr>
          <w:rFonts w:ascii="Calibri" w:hAnsi="Calibri"/>
          <w:i/>
        </w:rPr>
        <w:t>earch</w:t>
      </w:r>
      <w:r w:rsidRPr="004566DC">
        <w:rPr>
          <w:rFonts w:ascii="Calibri" w:hAnsi="Calibri"/>
          <w:i/>
        </w:rPr>
        <w:t xml:space="preserve"> Methodol</w:t>
      </w:r>
      <w:r w:rsidR="0042743A">
        <w:rPr>
          <w:rFonts w:ascii="Calibri" w:hAnsi="Calibri"/>
          <w:i/>
        </w:rPr>
        <w:t>ogy</w:t>
      </w:r>
      <w:r w:rsidRPr="004566DC">
        <w:rPr>
          <w:rFonts w:ascii="Calibri" w:hAnsi="Calibri"/>
        </w:rPr>
        <w:t>, vol. 3, no. 1, p. 25.</w:t>
      </w:r>
    </w:p>
    <w:p w14:paraId="4ECB4783" w14:textId="56A1CDEC" w:rsidR="00B46ABF" w:rsidRPr="004566DC" w:rsidRDefault="00B46ABF" w:rsidP="00B46ABF">
      <w:pPr>
        <w:pStyle w:val="EndNoteBibliography"/>
        <w:rPr>
          <w:rFonts w:ascii="Calibri" w:hAnsi="Calibri"/>
        </w:rPr>
      </w:pPr>
      <w:bookmarkStart w:id="772" w:name="_ENREF_129"/>
      <w:bookmarkEnd w:id="771"/>
      <w:r w:rsidRPr="004566DC">
        <w:rPr>
          <w:rFonts w:ascii="Calibri" w:hAnsi="Calibri"/>
        </w:rPr>
        <w:t xml:space="preserve">Whiting, PF, Rutjes, AW, Westwood, ME, Mallett, S, Deeks, JJ, Reitsma, JB, Leeflang, MM, Sterne, JA &amp; Bossuyt, PM 2011, 'QUADAS-2: a revised tool for the quality assessment of diagnostic accuracy studies', </w:t>
      </w:r>
      <w:r w:rsidRPr="004566DC">
        <w:rPr>
          <w:rFonts w:ascii="Calibri" w:hAnsi="Calibri"/>
          <w:i/>
        </w:rPr>
        <w:t>Ann</w:t>
      </w:r>
      <w:r w:rsidR="0042743A">
        <w:rPr>
          <w:rFonts w:ascii="Calibri" w:hAnsi="Calibri"/>
          <w:i/>
        </w:rPr>
        <w:t>als of</w:t>
      </w:r>
      <w:r w:rsidRPr="004566DC">
        <w:rPr>
          <w:rFonts w:ascii="Calibri" w:hAnsi="Calibri"/>
          <w:i/>
        </w:rPr>
        <w:t xml:space="preserve"> Intern</w:t>
      </w:r>
      <w:r w:rsidR="0042743A">
        <w:rPr>
          <w:rFonts w:ascii="Calibri" w:hAnsi="Calibri"/>
          <w:i/>
        </w:rPr>
        <w:t>al</w:t>
      </w:r>
      <w:r w:rsidRPr="004566DC">
        <w:rPr>
          <w:rFonts w:ascii="Calibri" w:hAnsi="Calibri"/>
          <w:i/>
        </w:rPr>
        <w:t xml:space="preserve"> Med</w:t>
      </w:r>
      <w:r w:rsidR="0042743A">
        <w:rPr>
          <w:rFonts w:ascii="Calibri" w:hAnsi="Calibri"/>
          <w:i/>
        </w:rPr>
        <w:t>icine</w:t>
      </w:r>
      <w:r w:rsidRPr="004566DC">
        <w:rPr>
          <w:rFonts w:ascii="Calibri" w:hAnsi="Calibri"/>
        </w:rPr>
        <w:t>, vol. 155, no. 8, pp. 529</w:t>
      </w:r>
      <w:r w:rsidR="00C16114">
        <w:rPr>
          <w:rFonts w:ascii="Calibri" w:hAnsi="Calibri"/>
        </w:rPr>
        <w:t>–</w:t>
      </w:r>
      <w:r w:rsidRPr="004566DC">
        <w:rPr>
          <w:rFonts w:ascii="Calibri" w:hAnsi="Calibri"/>
        </w:rPr>
        <w:t>536.</w:t>
      </w:r>
    </w:p>
    <w:p w14:paraId="22E2085B" w14:textId="1865C759" w:rsidR="00B46ABF" w:rsidRPr="004566DC" w:rsidRDefault="00B46ABF" w:rsidP="00B46ABF">
      <w:pPr>
        <w:pStyle w:val="EndNoteBibliography"/>
        <w:rPr>
          <w:rFonts w:ascii="Calibri" w:hAnsi="Calibri"/>
        </w:rPr>
      </w:pPr>
      <w:bookmarkStart w:id="773" w:name="_ENREF_130"/>
      <w:bookmarkEnd w:id="772"/>
      <w:r w:rsidRPr="004566DC">
        <w:rPr>
          <w:rFonts w:ascii="Calibri" w:hAnsi="Calibri"/>
        </w:rPr>
        <w:t xml:space="preserve">Wilcken, B 2011, 'Ethical issues in genetics', </w:t>
      </w:r>
      <w:r w:rsidRPr="004566DC">
        <w:rPr>
          <w:rFonts w:ascii="Calibri" w:hAnsi="Calibri"/>
          <w:i/>
        </w:rPr>
        <w:t>Journal of Paediatrics and Child Health</w:t>
      </w:r>
      <w:r w:rsidRPr="004566DC">
        <w:rPr>
          <w:rFonts w:ascii="Calibri" w:hAnsi="Calibri"/>
        </w:rPr>
        <w:t>, vol. 47, no. 9, pp. 668</w:t>
      </w:r>
      <w:r w:rsidR="00C16114">
        <w:rPr>
          <w:rFonts w:ascii="Calibri" w:hAnsi="Calibri"/>
        </w:rPr>
        <w:t>–</w:t>
      </w:r>
      <w:r w:rsidRPr="004566DC">
        <w:rPr>
          <w:rFonts w:ascii="Calibri" w:hAnsi="Calibri"/>
        </w:rPr>
        <w:t>671.</w:t>
      </w:r>
    </w:p>
    <w:p w14:paraId="4A325368" w14:textId="18B6B940" w:rsidR="00B46ABF" w:rsidRPr="004566DC" w:rsidRDefault="00B46ABF" w:rsidP="00B46ABF">
      <w:pPr>
        <w:pStyle w:val="EndNoteBibliography"/>
        <w:rPr>
          <w:rFonts w:ascii="Calibri" w:hAnsi="Calibri"/>
        </w:rPr>
      </w:pPr>
      <w:bookmarkStart w:id="774" w:name="_ENREF_131"/>
      <w:bookmarkEnd w:id="773"/>
      <w:r w:rsidRPr="004566DC">
        <w:rPr>
          <w:rFonts w:ascii="Calibri" w:hAnsi="Calibri"/>
        </w:rPr>
        <w:t xml:space="preserve">Wilcken, B, Wiley, V, Sherry, G &amp; Bayliss, U 1995, 'Neonatal screening for cystic fibrosis: a comparison of two strategies for case detection in 1.2 million babies', </w:t>
      </w:r>
      <w:r w:rsidRPr="004566DC">
        <w:rPr>
          <w:rFonts w:ascii="Calibri" w:hAnsi="Calibri"/>
          <w:i/>
        </w:rPr>
        <w:t>J</w:t>
      </w:r>
      <w:r w:rsidR="00C16114">
        <w:rPr>
          <w:rFonts w:ascii="Calibri" w:hAnsi="Calibri"/>
          <w:i/>
        </w:rPr>
        <w:t>ournal of</w:t>
      </w:r>
      <w:r w:rsidRPr="004566DC">
        <w:rPr>
          <w:rFonts w:ascii="Calibri" w:hAnsi="Calibri"/>
          <w:i/>
        </w:rPr>
        <w:t xml:space="preserve"> Pediatr</w:t>
      </w:r>
      <w:r w:rsidR="00C16114">
        <w:rPr>
          <w:rFonts w:ascii="Calibri" w:hAnsi="Calibri"/>
          <w:i/>
        </w:rPr>
        <w:t>ics</w:t>
      </w:r>
      <w:r w:rsidRPr="004566DC">
        <w:rPr>
          <w:rFonts w:ascii="Calibri" w:hAnsi="Calibri"/>
        </w:rPr>
        <w:t>, vol. 127, no. 6, pp. 965</w:t>
      </w:r>
      <w:r w:rsidR="00C16114">
        <w:rPr>
          <w:rFonts w:ascii="Calibri" w:hAnsi="Calibri"/>
        </w:rPr>
        <w:t>–</w:t>
      </w:r>
      <w:r w:rsidRPr="004566DC">
        <w:rPr>
          <w:rFonts w:ascii="Calibri" w:hAnsi="Calibri"/>
        </w:rPr>
        <w:t>970.</w:t>
      </w:r>
    </w:p>
    <w:p w14:paraId="0A73B0EA" w14:textId="59650282" w:rsidR="00B46ABF" w:rsidRPr="004566DC" w:rsidRDefault="00B46ABF" w:rsidP="00B46ABF">
      <w:pPr>
        <w:pStyle w:val="EndNoteBibliography"/>
        <w:rPr>
          <w:rFonts w:ascii="Calibri" w:hAnsi="Calibri"/>
        </w:rPr>
      </w:pPr>
      <w:bookmarkStart w:id="775" w:name="_ENREF_132"/>
      <w:bookmarkEnd w:id="774"/>
      <w:r w:rsidRPr="004566DC">
        <w:rPr>
          <w:rFonts w:ascii="Calibri" w:hAnsi="Calibri"/>
        </w:rPr>
        <w:lastRenderedPageBreak/>
        <w:t xml:space="preserve">Wildschut, H, Both, MI, Medema, S, Thomee, E, Wildhagen, MF &amp; Kapp, N 2011, 'Medical methods for mid-trimester termination of pregnancy', </w:t>
      </w:r>
      <w:r w:rsidRPr="004566DC">
        <w:rPr>
          <w:rFonts w:ascii="Calibri" w:hAnsi="Calibri"/>
          <w:i/>
        </w:rPr>
        <w:t>Cochrane Database</w:t>
      </w:r>
      <w:r w:rsidR="00C16114">
        <w:rPr>
          <w:rFonts w:ascii="Calibri" w:hAnsi="Calibri"/>
          <w:i/>
        </w:rPr>
        <w:t xml:space="preserve"> of</w:t>
      </w:r>
      <w:r w:rsidRPr="004566DC">
        <w:rPr>
          <w:rFonts w:ascii="Calibri" w:hAnsi="Calibri"/>
          <w:i/>
        </w:rPr>
        <w:t xml:space="preserve"> Syst</w:t>
      </w:r>
      <w:r w:rsidR="00C16114">
        <w:rPr>
          <w:rFonts w:ascii="Calibri" w:hAnsi="Calibri"/>
          <w:i/>
        </w:rPr>
        <w:t>ematic</w:t>
      </w:r>
      <w:r w:rsidRPr="004566DC">
        <w:rPr>
          <w:rFonts w:ascii="Calibri" w:hAnsi="Calibri"/>
          <w:i/>
        </w:rPr>
        <w:t xml:space="preserve"> Rev</w:t>
      </w:r>
      <w:r w:rsidR="00C16114">
        <w:rPr>
          <w:rFonts w:ascii="Calibri" w:hAnsi="Calibri"/>
          <w:i/>
        </w:rPr>
        <w:t>iews</w:t>
      </w:r>
      <w:r w:rsidRPr="004566DC">
        <w:rPr>
          <w:rFonts w:ascii="Calibri" w:hAnsi="Calibri"/>
        </w:rPr>
        <w:t>, no. 1, p. CD005216.</w:t>
      </w:r>
    </w:p>
    <w:p w14:paraId="345B3638" w14:textId="34ED81F9" w:rsidR="00B46ABF" w:rsidRPr="004566DC" w:rsidRDefault="00B46ABF" w:rsidP="00B46ABF">
      <w:pPr>
        <w:pStyle w:val="EndNoteBibliography"/>
        <w:rPr>
          <w:rFonts w:ascii="Calibri" w:hAnsi="Calibri"/>
        </w:rPr>
      </w:pPr>
      <w:bookmarkStart w:id="776" w:name="_ENREF_133"/>
      <w:bookmarkEnd w:id="775"/>
      <w:r w:rsidRPr="004566DC">
        <w:rPr>
          <w:rFonts w:ascii="Calibri" w:hAnsi="Calibri"/>
        </w:rPr>
        <w:t xml:space="preserve">Winslow, ER, Kodner, IJ &amp; Dietz, DW 2005, 'Ethics and genetic testing', </w:t>
      </w:r>
      <w:r w:rsidRPr="004566DC">
        <w:rPr>
          <w:rFonts w:ascii="Calibri" w:hAnsi="Calibri"/>
          <w:i/>
        </w:rPr>
        <w:t>Seminars in Colon and Rectal Surgery</w:t>
      </w:r>
      <w:r w:rsidRPr="004566DC">
        <w:rPr>
          <w:rFonts w:ascii="Calibri" w:hAnsi="Calibri"/>
        </w:rPr>
        <w:t>, vol. 15, no. 3, pp. 186</w:t>
      </w:r>
      <w:r w:rsidR="00767C83">
        <w:rPr>
          <w:rFonts w:ascii="Calibri" w:hAnsi="Calibri"/>
        </w:rPr>
        <w:t>–</w:t>
      </w:r>
      <w:r w:rsidRPr="004566DC">
        <w:rPr>
          <w:rFonts w:ascii="Calibri" w:hAnsi="Calibri"/>
        </w:rPr>
        <w:t>190.</w:t>
      </w:r>
    </w:p>
    <w:p w14:paraId="2375E126" w14:textId="15A090A3" w:rsidR="00B46ABF" w:rsidRPr="004566DC" w:rsidRDefault="00B46ABF" w:rsidP="00B46ABF">
      <w:pPr>
        <w:pStyle w:val="EndNoteBibliography"/>
        <w:rPr>
          <w:rFonts w:ascii="Calibri" w:hAnsi="Calibri"/>
        </w:rPr>
      </w:pPr>
      <w:bookmarkStart w:id="777" w:name="_ENREF_134"/>
      <w:bookmarkEnd w:id="776"/>
      <w:r w:rsidRPr="004566DC">
        <w:rPr>
          <w:rFonts w:ascii="Calibri" w:hAnsi="Calibri"/>
        </w:rPr>
        <w:t xml:space="preserve">Wool, C 2011, 'Systematic review of the literature: parental outcomes after diagnosis of fetal anomaly', </w:t>
      </w:r>
      <w:r w:rsidRPr="004566DC">
        <w:rPr>
          <w:rFonts w:ascii="Calibri" w:hAnsi="Calibri"/>
          <w:i/>
        </w:rPr>
        <w:t>Adv</w:t>
      </w:r>
      <w:r w:rsidR="00767C83">
        <w:rPr>
          <w:rFonts w:ascii="Calibri" w:hAnsi="Calibri"/>
          <w:i/>
        </w:rPr>
        <w:t>ances in</w:t>
      </w:r>
      <w:r w:rsidRPr="004566DC">
        <w:rPr>
          <w:rFonts w:ascii="Calibri" w:hAnsi="Calibri"/>
          <w:i/>
        </w:rPr>
        <w:t xml:space="preserve"> Neonatal Care</w:t>
      </w:r>
      <w:r w:rsidRPr="004566DC">
        <w:rPr>
          <w:rFonts w:ascii="Calibri" w:hAnsi="Calibri"/>
        </w:rPr>
        <w:t>, vol. 11, no. 3, pp. 182</w:t>
      </w:r>
      <w:r w:rsidR="00767C83">
        <w:rPr>
          <w:rFonts w:ascii="Calibri" w:hAnsi="Calibri"/>
        </w:rPr>
        <w:t>–</w:t>
      </w:r>
      <w:r w:rsidRPr="004566DC">
        <w:rPr>
          <w:rFonts w:ascii="Calibri" w:hAnsi="Calibri"/>
        </w:rPr>
        <w:t>192.</w:t>
      </w:r>
    </w:p>
    <w:p w14:paraId="1ABDE5D5" w14:textId="4D6FA365" w:rsidR="00B46ABF" w:rsidRPr="004566DC" w:rsidRDefault="00B46ABF" w:rsidP="00B46ABF">
      <w:pPr>
        <w:pStyle w:val="EndNoteBibliography"/>
        <w:rPr>
          <w:rFonts w:ascii="Calibri" w:hAnsi="Calibri"/>
        </w:rPr>
      </w:pPr>
      <w:bookmarkStart w:id="778" w:name="_ENREF_135"/>
      <w:bookmarkEnd w:id="777"/>
      <w:r w:rsidRPr="004566DC">
        <w:rPr>
          <w:rFonts w:ascii="Calibri" w:hAnsi="Calibri"/>
        </w:rPr>
        <w:t>Zeanah, CH, Dailey, JV, Rosenblatt, MJ &amp; Saller, DN, Jr. 1993, 'Do women grieve after terminating pregnancies because of fetal anomalies?</w:t>
      </w:r>
      <w:r w:rsidR="003F63F2">
        <w:rPr>
          <w:rFonts w:ascii="Calibri" w:hAnsi="Calibri"/>
        </w:rPr>
        <w:t>:</w:t>
      </w:r>
      <w:r w:rsidRPr="004566DC">
        <w:rPr>
          <w:rFonts w:ascii="Calibri" w:hAnsi="Calibri"/>
        </w:rPr>
        <w:t xml:space="preserve"> </w:t>
      </w:r>
      <w:r w:rsidR="003F63F2">
        <w:rPr>
          <w:rFonts w:ascii="Calibri" w:hAnsi="Calibri"/>
        </w:rPr>
        <w:t>a</w:t>
      </w:r>
      <w:r w:rsidRPr="004566DC">
        <w:rPr>
          <w:rFonts w:ascii="Calibri" w:hAnsi="Calibri"/>
        </w:rPr>
        <w:t xml:space="preserve"> controlled investigation', </w:t>
      </w:r>
      <w:r w:rsidRPr="004566DC">
        <w:rPr>
          <w:rFonts w:ascii="Calibri" w:hAnsi="Calibri"/>
          <w:i/>
        </w:rPr>
        <w:t>Obstet</w:t>
      </w:r>
      <w:r w:rsidR="00767C83">
        <w:rPr>
          <w:rFonts w:ascii="Calibri" w:hAnsi="Calibri"/>
          <w:i/>
        </w:rPr>
        <w:t>rics &amp;</w:t>
      </w:r>
      <w:r w:rsidRPr="004566DC">
        <w:rPr>
          <w:rFonts w:ascii="Calibri" w:hAnsi="Calibri"/>
          <w:i/>
        </w:rPr>
        <w:t xml:space="preserve"> Gynecol</w:t>
      </w:r>
      <w:r w:rsidR="00767C83">
        <w:rPr>
          <w:rFonts w:ascii="Calibri" w:hAnsi="Calibri"/>
          <w:i/>
        </w:rPr>
        <w:t>ogy</w:t>
      </w:r>
      <w:r w:rsidRPr="004566DC">
        <w:rPr>
          <w:rFonts w:ascii="Calibri" w:hAnsi="Calibri"/>
        </w:rPr>
        <w:t>, vol. 82, no. 2, pp. 270</w:t>
      </w:r>
      <w:r w:rsidR="00767C83">
        <w:rPr>
          <w:rFonts w:ascii="Calibri" w:hAnsi="Calibri"/>
        </w:rPr>
        <w:t>–</w:t>
      </w:r>
      <w:r w:rsidRPr="004566DC">
        <w:rPr>
          <w:rFonts w:ascii="Calibri" w:hAnsi="Calibri"/>
        </w:rPr>
        <w:t>275.</w:t>
      </w:r>
    </w:p>
    <w:bookmarkEnd w:id="778"/>
    <w:p w14:paraId="42D30B1D" w14:textId="0226CFDC" w:rsidR="0093426A" w:rsidRPr="00183E4D" w:rsidRDefault="002D6F40" w:rsidP="00DF343F">
      <w:pPr>
        <w:pStyle w:val="References"/>
        <w:ind w:left="0" w:firstLine="0"/>
      </w:pPr>
      <w:r w:rsidRPr="00FC5EA8">
        <w:fldChar w:fldCharType="end"/>
      </w:r>
    </w:p>
    <w:sectPr w:rsidR="0093426A" w:rsidRPr="00183E4D" w:rsidSect="000D04B6">
      <w:pgSz w:w="11906" w:h="16838"/>
      <w:pgMar w:top="1440" w:right="1440" w:bottom="1440" w:left="1440" w:header="720" w:footer="720" w:gutter="0"/>
      <w:paperSrc w:first="7" w:other="7"/>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22C185" w15:done="0"/>
  <w15:commentEx w15:paraId="5C6715A2" w15:done="0"/>
  <w15:commentEx w15:paraId="79B5CDAD" w15:done="0"/>
  <w15:commentEx w15:paraId="4EA06048" w15:done="0"/>
  <w15:commentEx w15:paraId="799A7C80" w15:done="0"/>
  <w15:commentEx w15:paraId="36A72C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09ACB" w14:textId="77777777" w:rsidR="00292065" w:rsidRDefault="00292065" w:rsidP="00A23645">
      <w:r>
        <w:separator/>
      </w:r>
    </w:p>
  </w:endnote>
  <w:endnote w:type="continuationSeparator" w:id="0">
    <w:p w14:paraId="5B8FD10C" w14:textId="77777777" w:rsidR="00292065" w:rsidRDefault="00292065"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vEPSTIM">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03221" w14:textId="77777777" w:rsidR="00447183" w:rsidRPr="00C843FF" w:rsidRDefault="00447183"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214</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0177" w14:textId="2EBACD1E" w:rsidR="00447183" w:rsidRPr="009A3655" w:rsidRDefault="00447183" w:rsidP="007B0482">
    <w:pPr>
      <w:pStyle w:val="Footer"/>
      <w:tabs>
        <w:tab w:val="clear" w:pos="9000"/>
        <w:tab w:val="right" w:pos="8930"/>
      </w:tabs>
      <w:rPr>
        <w:rStyle w:val="PageNumber"/>
        <w:rFonts w:ascii="Arial" w:hAnsi="Arial" w:cs="Arial"/>
        <w:sz w:val="20"/>
      </w:rPr>
    </w:pPr>
    <w:r w:rsidRPr="00884ECB">
      <w:t xml:space="preserve">Testing for mutations in the </w:t>
    </w:r>
    <w:r w:rsidRPr="00A21FD9">
      <w:rPr>
        <w:i/>
      </w:rPr>
      <w:t>CFTR</w:t>
    </w:r>
    <w:r w:rsidRPr="00884ECB">
      <w:t xml:space="preserve"> gene – MSAC CA 1216</w:t>
    </w:r>
    <w:r w:rsidRPr="009A3655">
      <w:tab/>
    </w:r>
    <w:r>
      <w:fldChar w:fldCharType="begin"/>
    </w:r>
    <w:r>
      <w:instrText xml:space="preserve"> PAGE </w:instrText>
    </w:r>
    <w:r>
      <w:fldChar w:fldCharType="separate"/>
    </w:r>
    <w:r w:rsidR="00BE5FDA">
      <w:rPr>
        <w:noProof/>
      </w:rPr>
      <w:t>153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4F15" w14:textId="753363F8" w:rsidR="00447183" w:rsidRPr="009A3655" w:rsidRDefault="00447183" w:rsidP="00ED13E5">
    <w:pPr>
      <w:pStyle w:val="Footer"/>
      <w:tabs>
        <w:tab w:val="clear" w:pos="9000"/>
        <w:tab w:val="left" w:pos="6962"/>
        <w:tab w:val="left" w:pos="8505"/>
        <w:tab w:val="right" w:pos="13608"/>
      </w:tabs>
      <w:rPr>
        <w:rStyle w:val="PageNumber"/>
        <w:rFonts w:ascii="Arial" w:hAnsi="Arial" w:cs="Arial"/>
        <w:sz w:val="20"/>
      </w:rPr>
    </w:pPr>
    <w:r w:rsidRPr="00884ECB">
      <w:t xml:space="preserve">Testing for mutations in the </w:t>
    </w:r>
    <w:r w:rsidRPr="00A21FD9">
      <w:rPr>
        <w:i/>
      </w:rPr>
      <w:t>CFTR</w:t>
    </w:r>
    <w:r w:rsidRPr="00884ECB">
      <w:t xml:space="preserve"> gene – MSAC CA 1216</w:t>
    </w:r>
    <w:r w:rsidRPr="009A3655">
      <w:tab/>
    </w:r>
    <w:r>
      <w:tab/>
    </w:r>
    <w:r>
      <w:fldChar w:fldCharType="begin"/>
    </w:r>
    <w:r>
      <w:instrText xml:space="preserve"> PAGE </w:instrText>
    </w:r>
    <w:r>
      <w:fldChar w:fldCharType="separate"/>
    </w:r>
    <w:r w:rsidR="00BE5FDA">
      <w:rPr>
        <w:noProof/>
      </w:rPr>
      <w:t>194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8C8B2" w14:textId="77777777" w:rsidR="00447183" w:rsidRDefault="00447183">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p w14:paraId="414830D3" w14:textId="77777777" w:rsidR="00447183" w:rsidRDefault="0044718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C1FC4" w14:textId="4F6C451A" w:rsidR="00447183" w:rsidRPr="009A3655" w:rsidRDefault="00447183" w:rsidP="0077418B">
    <w:pPr>
      <w:pStyle w:val="Footer"/>
      <w:tabs>
        <w:tab w:val="clear" w:pos="9000"/>
        <w:tab w:val="right" w:pos="8930"/>
      </w:tabs>
      <w:rPr>
        <w:rStyle w:val="PageNumber"/>
        <w:rFonts w:ascii="Arial" w:hAnsi="Arial" w:cs="Arial"/>
        <w:sz w:val="20"/>
      </w:rPr>
    </w:pPr>
    <w:r w:rsidRPr="00884ECB">
      <w:t xml:space="preserve">Testing for mutations in the </w:t>
    </w:r>
    <w:r w:rsidRPr="00A21FD9">
      <w:rPr>
        <w:i/>
      </w:rPr>
      <w:t>CFTR</w:t>
    </w:r>
    <w:r w:rsidRPr="00884ECB">
      <w:t xml:space="preserve"> gene – MSAC CA 1216</w:t>
    </w:r>
    <w:r w:rsidRPr="009A3655">
      <w:tab/>
    </w:r>
    <w:r>
      <w:fldChar w:fldCharType="begin"/>
    </w:r>
    <w:r>
      <w:instrText xml:space="preserve"> PAGE </w:instrText>
    </w:r>
    <w:r>
      <w:fldChar w:fldCharType="separate"/>
    </w:r>
    <w:r w:rsidR="00BE5FDA">
      <w:rPr>
        <w:noProof/>
      </w:rPr>
      <w:t>216</w:t>
    </w:r>
    <w:r>
      <w:rPr>
        <w:noProof/>
      </w:rPr>
      <w:fldChar w:fldCharType="end"/>
    </w:r>
  </w:p>
  <w:p w14:paraId="477BA268" w14:textId="77777777" w:rsidR="00447183" w:rsidRDefault="004471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533C" w14:textId="72071C19" w:rsidR="00447183" w:rsidRPr="00C843FF" w:rsidRDefault="00447183" w:rsidP="00B426FF">
    <w:pPr>
      <w:pStyle w:val="Footer"/>
      <w:tabs>
        <w:tab w:val="clear" w:pos="9000"/>
        <w:tab w:val="right" w:pos="8931"/>
      </w:tabs>
      <w:rPr>
        <w:rStyle w:val="PageNumber"/>
        <w:rFonts w:ascii="Arial" w:hAnsi="Arial" w:cs="Arial"/>
        <w:sz w:val="20"/>
      </w:rPr>
    </w:pPr>
    <w:r>
      <w:t xml:space="preserve">Testing for mutations in the </w:t>
    </w:r>
    <w:r w:rsidRPr="00A21FD9">
      <w:rPr>
        <w:i/>
      </w:rPr>
      <w:t>CFTR</w:t>
    </w:r>
    <w:r>
      <w:t xml:space="preserve"> gene – MSAC CA 1216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E5FDA">
      <w:rPr>
        <w:rStyle w:val="PageNumber"/>
        <w:rFonts w:ascii="Arial" w:hAnsi="Arial" w:cs="Arial"/>
        <w:noProof/>
        <w:sz w:val="20"/>
      </w:rPr>
      <w:t>xiv</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032BE" w14:textId="77777777" w:rsidR="00447183" w:rsidRPr="00C843FF" w:rsidRDefault="00447183"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214</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59242" w14:textId="14C8A3B9" w:rsidR="00447183" w:rsidRPr="00C843FF" w:rsidRDefault="00447183" w:rsidP="00B426FF">
    <w:pPr>
      <w:pStyle w:val="Footer"/>
      <w:tabs>
        <w:tab w:val="clear" w:pos="9000"/>
        <w:tab w:val="right" w:pos="8931"/>
      </w:tabs>
      <w:rPr>
        <w:rStyle w:val="PageNumber"/>
        <w:rFonts w:ascii="Arial" w:hAnsi="Arial" w:cs="Arial"/>
        <w:sz w:val="20"/>
      </w:rPr>
    </w:pPr>
    <w:r>
      <w:t xml:space="preserve">Testing for mutations in the </w:t>
    </w:r>
    <w:r w:rsidRPr="00A21FD9">
      <w:rPr>
        <w:i/>
      </w:rPr>
      <w:t>CFTR</w:t>
    </w:r>
    <w:r>
      <w:t xml:space="preserve"> gene – MSAC CA 1216</w:t>
    </w:r>
    <w: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E5FDA">
      <w:rPr>
        <w:rStyle w:val="PageNumber"/>
        <w:rFonts w:ascii="Arial" w:hAnsi="Arial" w:cs="Arial"/>
        <w:noProof/>
        <w:sz w:val="20"/>
      </w:rPr>
      <w:t>xxviii</w:t>
    </w:r>
    <w:r w:rsidRPr="00C843FF">
      <w:rPr>
        <w:rStyle w:val="PageNumber"/>
        <w:rFonts w:ascii="Arial" w:hAnsi="Arial" w:cs="Arial"/>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19A7D" w14:textId="42E2534B" w:rsidR="00447183" w:rsidRPr="0050226F" w:rsidRDefault="00447183" w:rsidP="00884ECB">
    <w:pPr>
      <w:pBdr>
        <w:top w:val="single" w:sz="4" w:space="1" w:color="auto"/>
      </w:pBdr>
      <w:ind w:right="-1"/>
      <w:rPr>
        <w:rStyle w:val="PageNumber"/>
        <w:rFonts w:cs="Calibri"/>
        <w:b w:val="0"/>
        <w:sz w:val="20"/>
      </w:rPr>
    </w:pPr>
    <w:r w:rsidRPr="00884ECB">
      <w:rPr>
        <w:rFonts w:ascii="Arial" w:hAnsi="Arial"/>
        <w:b/>
        <w:sz w:val="20"/>
      </w:rPr>
      <w:t xml:space="preserve">Testing for mutations in the </w:t>
    </w:r>
    <w:r w:rsidRPr="00A21FD9">
      <w:rPr>
        <w:rFonts w:ascii="Arial" w:hAnsi="Arial"/>
        <w:b/>
        <w:i/>
        <w:sz w:val="20"/>
      </w:rPr>
      <w:t>CFTR</w:t>
    </w:r>
    <w:r w:rsidRPr="00BC6914">
      <w:rPr>
        <w:rFonts w:ascii="Arial" w:hAnsi="Arial"/>
        <w:b/>
        <w:i/>
        <w:sz w:val="20"/>
      </w:rPr>
      <w:t xml:space="preserve"> </w:t>
    </w:r>
    <w:r w:rsidRPr="00884ECB">
      <w:rPr>
        <w:rFonts w:ascii="Arial" w:hAnsi="Arial"/>
        <w:b/>
        <w:sz w:val="20"/>
      </w:rPr>
      <w:t>gene – MSAC CA 1216</w:t>
    </w:r>
    <w:r>
      <w:rPr>
        <w:rFonts w:ascii="Arial" w:hAnsi="Arial"/>
        <w:b/>
        <w:sz w:val="20"/>
      </w:rPr>
      <w:t xml:space="preserve"> </w:t>
    </w:r>
    <w:r w:rsidRPr="00D60FAC">
      <w:rPr>
        <w:rStyle w:val="PageNumber"/>
        <w:rFonts w:cs="Calibri"/>
        <w:b w:val="0"/>
        <w:sz w:val="20"/>
      </w:rPr>
      <w:fldChar w:fldCharType="begin"/>
    </w:r>
    <w:r w:rsidRPr="00D60FAC">
      <w:rPr>
        <w:rStyle w:val="PageNumber"/>
        <w:rFonts w:cs="Calibri"/>
        <w:b w:val="0"/>
        <w:sz w:val="20"/>
      </w:rPr>
      <w:instrText xml:space="preserve"> PAGE </w:instrText>
    </w:r>
    <w:r w:rsidRPr="00D60FAC">
      <w:rPr>
        <w:rStyle w:val="PageNumber"/>
        <w:rFonts w:cs="Calibri"/>
        <w:b w:val="0"/>
        <w:sz w:val="20"/>
      </w:rPr>
      <w:fldChar w:fldCharType="separate"/>
    </w:r>
    <w:r w:rsidR="00BE5FDA">
      <w:rPr>
        <w:rStyle w:val="PageNumber"/>
        <w:rFonts w:cs="Calibri"/>
        <w:b w:val="0"/>
        <w:noProof/>
        <w:sz w:val="20"/>
      </w:rPr>
      <w:t>32</w:t>
    </w:r>
    <w:r w:rsidRPr="00D60FAC">
      <w:rPr>
        <w:rStyle w:val="PageNumber"/>
        <w:rFonts w:cs="Calibri"/>
        <w:b w:val="0"/>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0598C" w14:textId="37C17B70" w:rsidR="00447183" w:rsidRPr="00730C7A" w:rsidRDefault="00447183" w:rsidP="00B426FF">
    <w:pPr>
      <w:pStyle w:val="Footer"/>
      <w:tabs>
        <w:tab w:val="clear" w:pos="9000"/>
        <w:tab w:val="right" w:pos="8930"/>
      </w:tabs>
      <w:rPr>
        <w:rStyle w:val="PageNumber"/>
      </w:rPr>
    </w:pPr>
    <w:r w:rsidRPr="00884ECB">
      <w:t xml:space="preserve">Testing for mutations in the </w:t>
    </w:r>
    <w:r w:rsidRPr="00A21FD9">
      <w:rPr>
        <w:i/>
      </w:rPr>
      <w:t>CFTR</w:t>
    </w:r>
    <w:r w:rsidRPr="00884ECB">
      <w:t xml:space="preserve"> gene – MSAC CA 1216</w:t>
    </w:r>
    <w:r>
      <w:tab/>
    </w:r>
    <w:r>
      <w:rPr>
        <w:snapToGrid w:val="0"/>
        <w:lang w:eastAsia="en-US"/>
      </w:rPr>
      <w:fldChar w:fldCharType="begin"/>
    </w:r>
    <w:r>
      <w:rPr>
        <w:snapToGrid w:val="0"/>
        <w:lang w:eastAsia="en-US"/>
      </w:rPr>
      <w:instrText xml:space="preserve"> PAGE </w:instrText>
    </w:r>
    <w:r>
      <w:rPr>
        <w:snapToGrid w:val="0"/>
        <w:lang w:eastAsia="en-US"/>
      </w:rPr>
      <w:fldChar w:fldCharType="separate"/>
    </w:r>
    <w:r w:rsidR="006428B5">
      <w:rPr>
        <w:noProof/>
        <w:snapToGrid w:val="0"/>
        <w:lang w:eastAsia="en-US"/>
      </w:rPr>
      <w:t>62</w:t>
    </w:r>
    <w:r>
      <w:rPr>
        <w:snapToGrid w:val="0"/>
        <w:lang w:eastAsia="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2C129" w14:textId="77777777" w:rsidR="00447183" w:rsidRPr="00F568FA" w:rsidRDefault="00447183"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214</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0167C" w14:textId="67F83FDE" w:rsidR="00447183" w:rsidRPr="009A3655" w:rsidRDefault="00447183" w:rsidP="004D4530">
    <w:pPr>
      <w:pStyle w:val="Footer"/>
      <w:tabs>
        <w:tab w:val="clear" w:pos="9000"/>
        <w:tab w:val="left" w:pos="8647"/>
        <w:tab w:val="right" w:pos="13608"/>
      </w:tabs>
      <w:rPr>
        <w:rStyle w:val="PageNumber"/>
        <w:rFonts w:cs="Arial"/>
      </w:rPr>
    </w:pPr>
    <w:r w:rsidRPr="00884ECB">
      <w:t xml:space="preserve">Testing for mutations in the </w:t>
    </w:r>
    <w:r w:rsidRPr="00A21FD9">
      <w:rPr>
        <w:i/>
      </w:rPr>
      <w:t>CFTR</w:t>
    </w:r>
    <w:r w:rsidRPr="00884ECB">
      <w:t xml:space="preserve"> gene – MSAC CA 1216</w:t>
    </w:r>
    <w:r>
      <w:tab/>
    </w:r>
    <w:r>
      <w:fldChar w:fldCharType="begin"/>
    </w:r>
    <w:r>
      <w:instrText xml:space="preserve"> PAGE </w:instrText>
    </w:r>
    <w:r>
      <w:fldChar w:fldCharType="separate"/>
    </w:r>
    <w:r w:rsidR="00BE5FDA">
      <w:rPr>
        <w:noProof/>
      </w:rPr>
      <w:t>109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0418" w14:textId="77777777" w:rsidR="00447183" w:rsidRPr="00F568FA" w:rsidRDefault="00447183"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214</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0861C" w14:textId="77777777" w:rsidR="00292065" w:rsidRDefault="00292065" w:rsidP="00A23645">
      <w:r>
        <w:separator/>
      </w:r>
    </w:p>
  </w:footnote>
  <w:footnote w:type="continuationSeparator" w:id="0">
    <w:p w14:paraId="4EAB5CA4" w14:textId="77777777" w:rsidR="00292065" w:rsidRDefault="00292065" w:rsidP="00A23645">
      <w:r>
        <w:continuationSeparator/>
      </w:r>
    </w:p>
  </w:footnote>
  <w:footnote w:id="1">
    <w:p w14:paraId="12310783" w14:textId="289A9E4B" w:rsidR="00447183" w:rsidRDefault="00447183" w:rsidP="00015B7B">
      <w:pPr>
        <w:pStyle w:val="FootnoteText"/>
      </w:pPr>
      <w:r>
        <w:rPr>
          <w:rStyle w:val="FootnoteReference"/>
        </w:rPr>
        <w:footnoteRef/>
      </w:r>
      <w:r>
        <w:t xml:space="preserve"> PICO = population, </w:t>
      </w:r>
      <w:r w:rsidRPr="000B5A5D">
        <w:t>intervention (investigation/index test), comparator</w:t>
      </w:r>
      <w:r>
        <w:t>, outcomes</w:t>
      </w:r>
    </w:p>
  </w:footnote>
  <w:footnote w:id="2">
    <w:p w14:paraId="182A918E" w14:textId="133B0D52" w:rsidR="00447183" w:rsidRPr="009F4A35" w:rsidRDefault="00447183" w:rsidP="0010004D">
      <w:pPr>
        <w:pStyle w:val="FootnoteText"/>
        <w:spacing w:line="240" w:lineRule="auto"/>
        <w:rPr>
          <w:rFonts w:asciiTheme="minorHAnsi" w:hAnsiTheme="minorHAnsi"/>
        </w:rPr>
      </w:pPr>
      <w:r w:rsidRPr="009F4A35">
        <w:rPr>
          <w:rStyle w:val="FootnoteReference"/>
          <w:rFonts w:asciiTheme="minorHAnsi" w:hAnsiTheme="minorHAnsi"/>
        </w:rPr>
        <w:footnoteRef/>
      </w:r>
      <w:r w:rsidRPr="009F4A35">
        <w:rPr>
          <w:rFonts w:asciiTheme="minorHAnsi" w:hAnsiTheme="minorHAnsi"/>
        </w:rPr>
        <w:t xml:space="preserve"> Available from</w:t>
      </w:r>
      <w:r>
        <w:rPr>
          <w:rFonts w:asciiTheme="minorHAnsi" w:hAnsiTheme="minorHAnsi"/>
        </w:rPr>
        <w:t xml:space="preserve"> &lt;</w:t>
      </w:r>
      <w:hyperlink r:id="rId1" w:tooltip="link to Cystic Fibrosis Mutation Database" w:history="1">
        <w:r w:rsidRPr="009F4A35">
          <w:rPr>
            <w:rStyle w:val="Hyperlink"/>
            <w:rFonts w:asciiTheme="minorHAnsi" w:hAnsiTheme="minorHAnsi"/>
          </w:rPr>
          <w:t>http://www.genet.sickkids.on.ca/StatisticsPage.html</w:t>
        </w:r>
      </w:hyperlink>
      <w:r>
        <w:rPr>
          <w:rStyle w:val="Hyperlink"/>
          <w:rFonts w:asciiTheme="minorHAnsi" w:hAnsiTheme="minorHAnsi"/>
        </w:rPr>
        <w:t>&gt;</w:t>
      </w:r>
      <w:r w:rsidRPr="009F4A35">
        <w:rPr>
          <w:rFonts w:asciiTheme="minorHAnsi" w:hAnsiTheme="minorHAnsi"/>
        </w:rPr>
        <w:t xml:space="preserve"> (accessed 27 January 2015)</w:t>
      </w:r>
    </w:p>
  </w:footnote>
  <w:footnote w:id="3">
    <w:p w14:paraId="341EA0CB" w14:textId="3135549E" w:rsidR="00447183" w:rsidRDefault="00447183" w:rsidP="0085355F">
      <w:pPr>
        <w:pStyle w:val="FootnoteText"/>
        <w:spacing w:line="240" w:lineRule="auto"/>
      </w:pPr>
      <w:r>
        <w:rPr>
          <w:rStyle w:val="FootnoteReference"/>
        </w:rPr>
        <w:footnoteRef/>
      </w:r>
      <w:r>
        <w:t xml:space="preserve"> Statistics extrapolated from RCPA Genetic Testing Survey 2011 raw data. Received via email on 19 November 2014.</w:t>
      </w:r>
    </w:p>
  </w:footnote>
  <w:footnote w:id="4">
    <w:p w14:paraId="160B6C08" w14:textId="7B8DC2F2" w:rsidR="00447183" w:rsidRDefault="00447183" w:rsidP="0085355F">
      <w:pPr>
        <w:pStyle w:val="FootnoteText"/>
        <w:spacing w:line="240" w:lineRule="auto"/>
      </w:pPr>
      <w:r>
        <w:rPr>
          <w:rStyle w:val="FootnoteReference"/>
        </w:rPr>
        <w:footnoteRef/>
      </w:r>
      <w:r>
        <w:t xml:space="preserve"> Available from &lt;</w:t>
      </w:r>
      <w:hyperlink r:id="rId2" w:tooltip="link to the RCPA ‘Catalogue of Genetic Tests and Laboratories’ website" w:history="1">
        <w:r w:rsidRPr="006B7A6C">
          <w:rPr>
            <w:rStyle w:val="Hyperlink"/>
          </w:rPr>
          <w:t>http://genetictesting.rcpa.edu.au/</w:t>
        </w:r>
      </w:hyperlink>
      <w:r>
        <w:rPr>
          <w:rStyle w:val="Hyperlink"/>
        </w:rPr>
        <w:t>&gt;</w:t>
      </w:r>
      <w:r>
        <w:t xml:space="preserve"> (accessed 3 February 2015).</w:t>
      </w:r>
    </w:p>
  </w:footnote>
  <w:footnote w:id="5">
    <w:p w14:paraId="4F3C320B" w14:textId="228F7D95" w:rsidR="00447183" w:rsidRDefault="00447183" w:rsidP="0085355F">
      <w:pPr>
        <w:pStyle w:val="FootnoteText"/>
        <w:spacing w:line="240" w:lineRule="auto"/>
      </w:pPr>
      <w:r>
        <w:rPr>
          <w:rStyle w:val="FootnoteReference"/>
        </w:rPr>
        <w:footnoteRef/>
      </w:r>
      <w:r>
        <w:t xml:space="preserve"> CF network, </w:t>
      </w:r>
      <w:r w:rsidRPr="00F03D95">
        <w:t>Biomedical Q</w:t>
      </w:r>
      <w:r>
        <w:t>uality Assurance Research Unit,</w:t>
      </w:r>
      <w:r w:rsidRPr="00F03D95">
        <w:t xml:space="preserve"> Department of Public Health and Primary Care, Catholic University Leuven, Leuven, Belgium. Pers</w:t>
      </w:r>
      <w:r>
        <w:t>.</w:t>
      </w:r>
      <w:r w:rsidRPr="00F03D95">
        <w:t xml:space="preserve"> comm</w:t>
      </w:r>
      <w:r>
        <w:t>.</w:t>
      </w:r>
      <w:r w:rsidRPr="00F03D95">
        <w:t xml:space="preserve"> via email on 31</w:t>
      </w:r>
      <w:r>
        <w:t xml:space="preserve"> January </w:t>
      </w:r>
      <w:r w:rsidRPr="00F03D95">
        <w:t>2015</w:t>
      </w:r>
      <w:r>
        <w:t>.</w:t>
      </w:r>
    </w:p>
  </w:footnote>
  <w:footnote w:id="6">
    <w:p w14:paraId="5358A03E" w14:textId="7F32D7F8" w:rsidR="00447183" w:rsidRDefault="00447183" w:rsidP="0085355F">
      <w:pPr>
        <w:pStyle w:val="FootnoteText"/>
        <w:spacing w:line="240" w:lineRule="auto"/>
      </w:pPr>
      <w:r>
        <w:rPr>
          <w:rStyle w:val="FootnoteReference"/>
        </w:rPr>
        <w:footnoteRef/>
      </w:r>
      <w:r>
        <w:t xml:space="preserve"> Available from &lt;</w:t>
      </w:r>
      <w:hyperlink r:id="rId3" w:tooltip="Link to document CFTR2_22July2013.pdf" w:history="1">
        <w:r>
          <w:rPr>
            <w:rStyle w:val="Hyperlink"/>
          </w:rPr>
          <w:t>http://www.</w:t>
        </w:r>
        <w:r w:rsidRPr="00465145">
          <w:rPr>
            <w:rStyle w:val="Hyperlink"/>
          </w:rPr>
          <w:t>CFTR2.org/files/CFTR2_22July2013.</w:t>
        </w:r>
        <w:r>
          <w:rPr>
            <w:rStyle w:val="Hyperlink"/>
          </w:rPr>
          <w:t>pdf</w:t>
        </w:r>
      </w:hyperlink>
      <w:r>
        <w:rPr>
          <w:rStyle w:val="Hyperlink"/>
        </w:rPr>
        <w:t>&gt;</w:t>
      </w:r>
      <w:r>
        <w:t xml:space="preserve"> (accessed 4 February 2015).</w:t>
      </w:r>
    </w:p>
  </w:footnote>
  <w:footnote w:id="7">
    <w:p w14:paraId="0A0858F9" w14:textId="39893312" w:rsidR="00447183" w:rsidRDefault="00447183" w:rsidP="0085355F">
      <w:pPr>
        <w:pStyle w:val="FootnoteText"/>
        <w:spacing w:line="240" w:lineRule="auto"/>
      </w:pPr>
      <w:r>
        <w:rPr>
          <w:rStyle w:val="FootnoteReference"/>
        </w:rPr>
        <w:footnoteRef/>
      </w:r>
      <w:r>
        <w:t xml:space="preserve"> Statistics extrapolated from RCPA Genetic Testing Survey 2011 Raw Data. Received via email on 19 November 2014</w:t>
      </w:r>
    </w:p>
  </w:footnote>
  <w:footnote w:id="8">
    <w:p w14:paraId="7D49F1E4" w14:textId="43F5E2C8" w:rsidR="00447183" w:rsidRDefault="00447183" w:rsidP="008429B9">
      <w:pPr>
        <w:spacing w:line="240" w:lineRule="auto"/>
      </w:pPr>
      <w:r>
        <w:rPr>
          <w:rStyle w:val="FootnoteReference"/>
        </w:rPr>
        <w:footnoteRef/>
      </w:r>
      <w:r>
        <w:t xml:space="preserve"> </w:t>
      </w:r>
      <w:r w:rsidRPr="00102713">
        <w:rPr>
          <w:sz w:val="20"/>
        </w:rPr>
        <w:t xml:space="preserve">Available from </w:t>
      </w:r>
      <w:r>
        <w:rPr>
          <w:sz w:val="20"/>
        </w:rPr>
        <w:t>&lt;</w:t>
      </w:r>
      <w:r w:rsidRPr="00102713">
        <w:rPr>
          <w:sz w:val="20"/>
        </w:rPr>
        <w:t>http://www.health.gov.au/internet/main/publishing.nsf/Content/MC14-000305-pharmaceutical-benefits-scheme-listing-of-kalydeco</w:t>
      </w:r>
      <w:r>
        <w:rPr>
          <w:sz w:val="20"/>
        </w:rPr>
        <w:t>&gt;</w:t>
      </w:r>
      <w:r w:rsidRPr="00102713">
        <w:rPr>
          <w:sz w:val="20"/>
        </w:rPr>
        <w:t xml:space="preserve"> (accessed 3 February 2015).</w:t>
      </w:r>
    </w:p>
  </w:footnote>
  <w:footnote w:id="9">
    <w:p w14:paraId="18D1A2D4" w14:textId="14B86666" w:rsidR="00447183" w:rsidRPr="00215764" w:rsidRDefault="00447183" w:rsidP="001A75CA">
      <w:pPr>
        <w:pStyle w:val="FootnoteText"/>
        <w:spacing w:line="240" w:lineRule="auto"/>
        <w:rPr>
          <w:rFonts w:asciiTheme="minorHAnsi" w:hAnsiTheme="minorHAnsi"/>
        </w:rPr>
      </w:pPr>
      <w:r w:rsidRPr="00215764">
        <w:rPr>
          <w:rStyle w:val="FootnoteReference"/>
          <w:rFonts w:asciiTheme="minorHAnsi" w:hAnsiTheme="minorHAnsi"/>
        </w:rPr>
        <w:footnoteRef/>
      </w:r>
      <w:r w:rsidRPr="00215764">
        <w:rPr>
          <w:rFonts w:asciiTheme="minorHAnsi" w:hAnsiTheme="minorHAnsi"/>
        </w:rPr>
        <w:t xml:space="preserve"> Available from </w:t>
      </w:r>
      <w:r>
        <w:rPr>
          <w:rFonts w:asciiTheme="minorHAnsi" w:hAnsiTheme="minorHAnsi"/>
        </w:rPr>
        <w:t>&lt;</w:t>
      </w:r>
      <w:hyperlink r:id="rId4" w:tooltip="link to Cystic Fibrosis Mutation Database" w:history="1">
        <w:r w:rsidRPr="00215764">
          <w:rPr>
            <w:rStyle w:val="Hyperlink"/>
            <w:rFonts w:asciiTheme="minorHAnsi" w:hAnsiTheme="minorHAnsi"/>
          </w:rPr>
          <w:t>http://www.genet.sickkids.on.ca/StatisticsPage.html</w:t>
        </w:r>
      </w:hyperlink>
      <w:r>
        <w:rPr>
          <w:rStyle w:val="Hyperlink"/>
          <w:rFonts w:asciiTheme="minorHAnsi" w:hAnsiTheme="minorHAnsi"/>
        </w:rPr>
        <w:t>&gt;</w:t>
      </w:r>
      <w:r w:rsidRPr="00215764">
        <w:rPr>
          <w:rFonts w:asciiTheme="minorHAnsi" w:hAnsiTheme="minorHAnsi"/>
        </w:rPr>
        <w:t xml:space="preserve"> (accessed 27 January 2015)</w:t>
      </w:r>
    </w:p>
  </w:footnote>
  <w:footnote w:id="10">
    <w:p w14:paraId="3D60612E" w14:textId="33E57AD7" w:rsidR="00447183" w:rsidRPr="00F03D95" w:rsidRDefault="00447183" w:rsidP="001A75CA">
      <w:pPr>
        <w:spacing w:line="240" w:lineRule="auto"/>
        <w:rPr>
          <w:color w:val="4F81BD"/>
          <w:sz w:val="18"/>
          <w:szCs w:val="18"/>
          <w:lang w:val="en-GB" w:eastAsia="nl-BE"/>
        </w:rPr>
      </w:pPr>
      <w:r>
        <w:rPr>
          <w:rStyle w:val="FootnoteReference"/>
        </w:rPr>
        <w:footnoteRef/>
      </w:r>
      <w:r>
        <w:t xml:space="preserve"> </w:t>
      </w:r>
      <w:r w:rsidRPr="00F03D95">
        <w:rPr>
          <w:sz w:val="20"/>
        </w:rPr>
        <w:t>CF network, Biomedical Quality Assurance Research Unit</w:t>
      </w:r>
      <w:r>
        <w:rPr>
          <w:sz w:val="20"/>
        </w:rPr>
        <w:t>,</w:t>
      </w:r>
      <w:r w:rsidRPr="00F03D95">
        <w:rPr>
          <w:sz w:val="20"/>
        </w:rPr>
        <w:t xml:space="preserve"> Department of Public Health and Primary Care, Catholic University Leuven, Leuven, Belgium. Pers</w:t>
      </w:r>
      <w:r>
        <w:rPr>
          <w:sz w:val="20"/>
        </w:rPr>
        <w:t>.</w:t>
      </w:r>
      <w:r w:rsidRPr="00F03D95">
        <w:rPr>
          <w:sz w:val="20"/>
        </w:rPr>
        <w:t xml:space="preserve"> comm</w:t>
      </w:r>
      <w:r>
        <w:rPr>
          <w:sz w:val="20"/>
        </w:rPr>
        <w:t>.</w:t>
      </w:r>
      <w:r w:rsidRPr="00F03D95">
        <w:rPr>
          <w:sz w:val="20"/>
        </w:rPr>
        <w:t xml:space="preserve"> via email on 31</w:t>
      </w:r>
      <w:r>
        <w:rPr>
          <w:sz w:val="20"/>
        </w:rPr>
        <w:t xml:space="preserve"> January </w:t>
      </w:r>
      <w:r w:rsidRPr="00F03D95">
        <w:rPr>
          <w:sz w:val="20"/>
        </w:rPr>
        <w:t>2015.</w:t>
      </w:r>
      <w:r>
        <w:rPr>
          <w:color w:val="4F81BD"/>
          <w:sz w:val="18"/>
          <w:szCs w:val="18"/>
          <w:lang w:val="en-GB" w:eastAsia="nl-BE"/>
        </w:rPr>
        <w:t xml:space="preserve"> </w:t>
      </w:r>
    </w:p>
  </w:footnote>
  <w:footnote w:id="11">
    <w:p w14:paraId="73F3E554" w14:textId="47F88F50" w:rsidR="00447183" w:rsidRPr="00375164" w:rsidRDefault="00447183" w:rsidP="008C3709">
      <w:pPr>
        <w:pStyle w:val="FootnoteText"/>
        <w:spacing w:after="0" w:line="240" w:lineRule="auto"/>
        <w:rPr>
          <w:lang w:val="en-US"/>
        </w:rPr>
      </w:pPr>
      <w:r>
        <w:rPr>
          <w:rStyle w:val="FootnoteReference"/>
        </w:rPr>
        <w:footnoteRef/>
      </w:r>
      <w:r>
        <w:t xml:space="preserve"> &lt;</w:t>
      </w:r>
      <w:hyperlink r:id="rId5" w:tooltip="Link to hgsa CFTR report 1282" w:history="1">
        <w:r w:rsidRPr="00203D30">
          <w:rPr>
            <w:rStyle w:val="Hyperlink"/>
          </w:rPr>
          <w:t>http://www.hgsa.org.au/documents/item/1282</w:t>
        </w:r>
      </w:hyperlink>
      <w:r>
        <w:rPr>
          <w:rStyle w:val="Hyperlink"/>
        </w:rPr>
        <w:t>&gt;</w:t>
      </w:r>
      <w:r>
        <w:t>; accessed on 1 April 2015</w:t>
      </w:r>
    </w:p>
  </w:footnote>
  <w:footnote w:id="12">
    <w:p w14:paraId="6EB1BA74" w14:textId="77777777" w:rsidR="00447183" w:rsidRDefault="00447183" w:rsidP="008C3709">
      <w:pPr>
        <w:pStyle w:val="FootnoteText"/>
        <w:spacing w:line="240" w:lineRule="auto"/>
      </w:pPr>
      <w:r>
        <w:rPr>
          <w:rStyle w:val="FootnoteReference"/>
        </w:rPr>
        <w:footnoteRef/>
      </w:r>
      <w:r>
        <w:t xml:space="preserve"> Protocol Advisory Sub-Committee</w:t>
      </w:r>
    </w:p>
  </w:footnote>
  <w:footnote w:id="13">
    <w:p w14:paraId="1EFF264E" w14:textId="255A9F45" w:rsidR="00447183" w:rsidRDefault="00447183" w:rsidP="008C7123">
      <w:pPr>
        <w:pStyle w:val="FootnoteText"/>
        <w:spacing w:line="240" w:lineRule="auto"/>
      </w:pPr>
      <w:r>
        <w:rPr>
          <w:rStyle w:val="FootnoteReference"/>
        </w:rPr>
        <w:footnoteRef/>
      </w:r>
      <w:r>
        <w:t xml:space="preserve"> &lt;</w:t>
      </w:r>
      <w:r w:rsidRPr="003D53E5">
        <w:t>http://www.rba.gov.au/calculator/annualDecimal.html</w:t>
      </w:r>
      <w:r>
        <w:t>&gt;</w:t>
      </w:r>
    </w:p>
  </w:footnote>
  <w:footnote w:id="14">
    <w:p w14:paraId="6F0D3DE3" w14:textId="03431804" w:rsidR="00447183" w:rsidRDefault="00447183" w:rsidP="00FE63E6">
      <w:pPr>
        <w:pStyle w:val="FootnoteText"/>
        <w:spacing w:line="240" w:lineRule="auto"/>
      </w:pPr>
      <w:r>
        <w:rPr>
          <w:rStyle w:val="FootnoteReference"/>
        </w:rPr>
        <w:footnoteRef/>
      </w:r>
      <w:r>
        <w:t xml:space="preserve"> &lt;</w:t>
      </w:r>
      <w:hyperlink r:id="rId6" w:tooltip="Link to ABS web site" w:history="1">
        <w:r w:rsidRPr="005B1423">
          <w:rPr>
            <w:rStyle w:val="Hyperlink"/>
          </w:rPr>
          <w:t>http://www.abs.gov.au/ausstats/abs@.nsf/Lookup/3303.0main+features100062012</w:t>
        </w:r>
      </w:hyperlink>
      <w:r>
        <w:t>&gt;, accessed on 12 January 2015</w:t>
      </w:r>
    </w:p>
  </w:footnote>
  <w:footnote w:id="15">
    <w:p w14:paraId="6A0C1550" w14:textId="478319F6" w:rsidR="00447183" w:rsidRDefault="00447183" w:rsidP="00FE63E6">
      <w:pPr>
        <w:pStyle w:val="FootnoteText"/>
        <w:spacing w:line="240" w:lineRule="auto"/>
      </w:pPr>
      <w:r>
        <w:rPr>
          <w:rStyle w:val="FootnoteReference"/>
        </w:rPr>
        <w:footnoteRef/>
      </w:r>
      <w:r>
        <w:t xml:space="preserve"> &lt;</w:t>
      </w:r>
      <w:hyperlink r:id="rId7" w:tooltip="Linkt o healthscope pthology cystic fibosis screening information" w:history="1">
        <w:r w:rsidRPr="0012751B">
          <w:rPr>
            <w:rStyle w:val="Hyperlink"/>
          </w:rPr>
          <w:t>http://www.healthscopepathology.com.au/index.php/general-pathology/self-sampling/cystic-fibrosis-carrier-screening/</w:t>
        </w:r>
      </w:hyperlink>
      <w:r>
        <w:rPr>
          <w:rStyle w:val="Hyperlink"/>
        </w:rPr>
        <w:t>&gt;</w:t>
      </w:r>
      <w:r>
        <w:t>, accessed on 13 March 2015</w:t>
      </w:r>
    </w:p>
  </w:footnote>
  <w:footnote w:id="16">
    <w:p w14:paraId="6C9A94F9" w14:textId="091A118D" w:rsidR="00447183" w:rsidRDefault="00447183" w:rsidP="00FE63E6">
      <w:pPr>
        <w:pStyle w:val="FootnoteText"/>
        <w:spacing w:line="240" w:lineRule="auto"/>
      </w:pPr>
      <w:r>
        <w:rPr>
          <w:rStyle w:val="FootnoteReference"/>
        </w:rPr>
        <w:footnoteRef/>
      </w:r>
      <w:r>
        <w:t xml:space="preserve"> Pers. comm. from applicant, received 12 January 2015</w:t>
      </w:r>
    </w:p>
  </w:footnote>
  <w:footnote w:id="17">
    <w:p w14:paraId="0151F86A" w14:textId="4090FC67" w:rsidR="00447183" w:rsidRDefault="00447183" w:rsidP="00FE63E6">
      <w:pPr>
        <w:pStyle w:val="FootnoteText"/>
        <w:spacing w:after="0" w:line="240" w:lineRule="auto"/>
      </w:pPr>
      <w:r>
        <w:rPr>
          <w:rStyle w:val="FootnoteReference"/>
        </w:rPr>
        <w:footnoteRef/>
      </w:r>
      <w:r>
        <w:t xml:space="preserve"> Pers. comm. with an HESP member, received 26 March 2015</w:t>
      </w:r>
    </w:p>
  </w:footnote>
  <w:footnote w:id="18">
    <w:p w14:paraId="40B3B9F9" w14:textId="69231EFB" w:rsidR="00447183" w:rsidRDefault="00447183" w:rsidP="00FE63E6">
      <w:pPr>
        <w:pStyle w:val="FootnoteText"/>
        <w:spacing w:after="0" w:line="240" w:lineRule="auto"/>
      </w:pPr>
      <w:r>
        <w:rPr>
          <w:rStyle w:val="FootnoteReference"/>
        </w:rPr>
        <w:footnoteRef/>
      </w:r>
      <w:r>
        <w:t xml:space="preserve"> Pers. comm. with an HESP member, received 26 March 2015</w:t>
      </w:r>
    </w:p>
  </w:footnote>
  <w:footnote w:id="19">
    <w:p w14:paraId="49F25987" w14:textId="57AB4AFF" w:rsidR="00447183" w:rsidRDefault="00447183" w:rsidP="00FE63E6">
      <w:pPr>
        <w:pStyle w:val="FootnoteText"/>
        <w:spacing w:after="0" w:line="240" w:lineRule="auto"/>
      </w:pPr>
      <w:r>
        <w:rPr>
          <w:rStyle w:val="FootnoteReference"/>
        </w:rPr>
        <w:footnoteRef/>
      </w:r>
      <w:r>
        <w:t xml:space="preserve"> Pers. comm. with </w:t>
      </w:r>
      <w:r w:rsidRPr="00950469">
        <w:rPr>
          <w:bCs/>
        </w:rPr>
        <w:t>Victorian Clinical Genetics Services</w:t>
      </w:r>
      <w:r>
        <w:t>, received 27 March 2015</w:t>
      </w:r>
    </w:p>
  </w:footnote>
  <w:footnote w:id="20">
    <w:p w14:paraId="71616DB3" w14:textId="1136AEFD" w:rsidR="00447183" w:rsidRDefault="00447183" w:rsidP="00FE63E6">
      <w:pPr>
        <w:pStyle w:val="FootnoteText"/>
        <w:spacing w:line="240" w:lineRule="auto"/>
      </w:pPr>
      <w:r>
        <w:rPr>
          <w:rStyle w:val="FootnoteReference"/>
        </w:rPr>
        <w:footnoteRef/>
      </w:r>
      <w:r>
        <w:t xml:space="preserve"> Pers. comm. with an HESP member, received 26 March 2015</w:t>
      </w:r>
    </w:p>
  </w:footnote>
  <w:footnote w:id="21">
    <w:p w14:paraId="41BA6E2E" w14:textId="49C48785" w:rsidR="00447183" w:rsidRDefault="00447183" w:rsidP="00FE63E6">
      <w:pPr>
        <w:pStyle w:val="FootnoteText"/>
        <w:spacing w:line="240" w:lineRule="auto"/>
      </w:pPr>
      <w:r>
        <w:rPr>
          <w:rStyle w:val="FootnoteReference"/>
        </w:rPr>
        <w:footnoteRef/>
      </w:r>
      <w:r>
        <w:t xml:space="preserve"> Costs were reported in 2009 USD and are c</w:t>
      </w:r>
      <w:r w:rsidRPr="00185AEB">
        <w:t xml:space="preserve">onverted to </w:t>
      </w:r>
      <w:r>
        <w:t xml:space="preserve">2014 AUD </w:t>
      </w:r>
      <w:r w:rsidRPr="00185AEB">
        <w:t xml:space="preserve">using the Campbell and Cochrane Economics Methods Group (CCEMG) – </w:t>
      </w:r>
      <w:r>
        <w:t>‘</w:t>
      </w:r>
      <w:r w:rsidRPr="00185AEB">
        <w:t xml:space="preserve">Evidence for </w:t>
      </w:r>
      <w:r>
        <w:t>p</w:t>
      </w:r>
      <w:r w:rsidRPr="00185AEB">
        <w:t xml:space="preserve">olicy and </w:t>
      </w:r>
      <w:r>
        <w:t>p</w:t>
      </w:r>
      <w:r w:rsidRPr="00185AEB">
        <w:t xml:space="preserve">ractice </w:t>
      </w:r>
      <w:r>
        <w:t>i</w:t>
      </w:r>
      <w:r w:rsidRPr="00185AEB">
        <w:t xml:space="preserve">nformation and </w:t>
      </w:r>
      <w:r>
        <w:t>c</w:t>
      </w:r>
      <w:r w:rsidRPr="00185AEB">
        <w:t xml:space="preserve">o-ordination (EPPI)-Centre </w:t>
      </w:r>
      <w:r>
        <w:t>c</w:t>
      </w:r>
      <w:r w:rsidRPr="00185AEB">
        <w:t xml:space="preserve">ost </w:t>
      </w:r>
      <w:r>
        <w:t>c</w:t>
      </w:r>
      <w:r w:rsidRPr="00185AEB">
        <w:t>onverter</w:t>
      </w:r>
      <w:r>
        <w:t>. &lt;</w:t>
      </w:r>
      <w:hyperlink r:id="rId8" w:tooltip="Link to Campbell and Cochrane Economics Methods Group (CCEMG) – Evidence for Policy and Practice Information and Co-ordination (EPPI)-Centre Cost Converter" w:history="1">
        <w:r w:rsidRPr="00340918">
          <w:rPr>
            <w:rStyle w:val="Hyperlink"/>
          </w:rPr>
          <w:t>http://eppi.ioe.ac.uk/costconversion/default.aspx</w:t>
        </w:r>
      </w:hyperlink>
      <w:r>
        <w:rPr>
          <w:rStyle w:val="Hyperlink"/>
        </w:rPr>
        <w:t>&gt;</w:t>
      </w:r>
      <w:r>
        <w:t>, accessed on 8 April 2015</w:t>
      </w:r>
      <w:r w:rsidRPr="00185AEB">
        <w:t>.</w:t>
      </w:r>
    </w:p>
  </w:footnote>
  <w:footnote w:id="22">
    <w:p w14:paraId="589861AE" w14:textId="5A009F30" w:rsidR="00447183" w:rsidRDefault="00447183">
      <w:pPr>
        <w:pStyle w:val="FootnoteText"/>
      </w:pPr>
      <w:r>
        <w:rPr>
          <w:rStyle w:val="FootnoteReference"/>
        </w:rPr>
        <w:footnoteRef/>
      </w:r>
      <w:r>
        <w:t xml:space="preserve"> Pers. comm. with an HESP member, received 26 March 2015</w:t>
      </w:r>
    </w:p>
  </w:footnote>
  <w:footnote w:id="23">
    <w:p w14:paraId="2821A1D2" w14:textId="0D71A58E" w:rsidR="00447183" w:rsidRDefault="00447183" w:rsidP="00970499">
      <w:pPr>
        <w:pStyle w:val="FootnoteText"/>
        <w:spacing w:line="240" w:lineRule="auto"/>
      </w:pPr>
      <w:r>
        <w:rPr>
          <w:rStyle w:val="FootnoteReference"/>
        </w:rPr>
        <w:footnoteRef/>
      </w:r>
      <w:r>
        <w:t xml:space="preserve"> Pers. comm., received 17 March 2015</w:t>
      </w:r>
    </w:p>
  </w:footnote>
  <w:footnote w:id="24">
    <w:p w14:paraId="2D49B73A" w14:textId="700BBB4A" w:rsidR="00447183" w:rsidRDefault="00447183" w:rsidP="00970499">
      <w:pPr>
        <w:pStyle w:val="FootnoteText"/>
        <w:spacing w:line="240" w:lineRule="auto"/>
      </w:pPr>
      <w:r>
        <w:rPr>
          <w:rStyle w:val="FootnoteReference"/>
        </w:rPr>
        <w:footnoteRef/>
      </w:r>
      <w:r>
        <w:t xml:space="preserve"> Pers. comm., received 16 March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4B96E" w14:textId="5B3FB35A" w:rsidR="00447183" w:rsidRDefault="00447183" w:rsidP="00B426FF">
    <w:pPr>
      <w:pStyle w:val="Header"/>
      <w:tabs>
        <w:tab w:val="clear" w:pos="8306"/>
        <w:tab w:val="right" w:pos="893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C011" w14:textId="153C17D3" w:rsidR="00447183" w:rsidRDefault="004471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C455D" w14:textId="47E1D46B" w:rsidR="00447183" w:rsidRDefault="0044718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AA8EC" w14:textId="42B9C30E" w:rsidR="00447183" w:rsidRDefault="0044718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38B56" w14:textId="6B7CBF22" w:rsidR="00447183" w:rsidRDefault="0044718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0ED22" w14:textId="3D6ABBF7" w:rsidR="00447183" w:rsidRDefault="004471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50C89" w14:textId="1D1A80B4" w:rsidR="00447183" w:rsidRDefault="0044718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0675B" w14:textId="1CC83808" w:rsidR="00447183" w:rsidRDefault="004471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D1ED0" w14:textId="2BBD6D65" w:rsidR="00447183" w:rsidRDefault="0044718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9B0E" w14:textId="36BD4EE3" w:rsidR="00447183" w:rsidRDefault="0044718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BD5B0" w14:textId="17883A27" w:rsidR="00447183" w:rsidRDefault="00447183" w:rsidP="00664598">
    <w:pPr>
      <w:pStyle w:val="Header"/>
      <w:tabs>
        <w:tab w:val="clear" w:pos="8306"/>
        <w:tab w:val="right" w:pos="893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82462" w14:textId="42B99662" w:rsidR="00447183" w:rsidRDefault="00447183" w:rsidP="00B426FF">
    <w:pPr>
      <w:pStyle w:val="Header"/>
      <w:tabs>
        <w:tab w:val="clear" w:pos="8306"/>
        <w:tab w:val="right" w:pos="8931"/>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78AD" w14:textId="481A5F0D" w:rsidR="00447183" w:rsidRDefault="004471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B6E9C" w14:textId="04097797" w:rsidR="00447183" w:rsidRDefault="0044718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79179" w14:textId="7A3DA0F0" w:rsidR="00447183" w:rsidRDefault="0044718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0E775" w14:textId="602B9BEB" w:rsidR="00447183" w:rsidRDefault="0044718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5FC98" w14:textId="170A0BFF" w:rsidR="00447183" w:rsidRDefault="0044718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B6FC" w14:textId="777AEFC7" w:rsidR="00447183" w:rsidRDefault="004471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70637" w14:textId="29540329" w:rsidR="00447183" w:rsidRDefault="0044718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BE57" w14:textId="378DCDFD" w:rsidR="00447183" w:rsidRDefault="00447183">
    <w:pPr>
      <w:pStyle w:val="Header"/>
    </w:pPr>
  </w:p>
  <w:p w14:paraId="3F9DE7B9" w14:textId="77777777" w:rsidR="00447183" w:rsidRDefault="0044718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47DE5" w14:textId="56243315" w:rsidR="00447183" w:rsidRDefault="00447183" w:rsidP="00006961">
    <w:pPr>
      <w:pStyle w:val="Header"/>
    </w:pPr>
  </w:p>
  <w:p w14:paraId="67BEA629" w14:textId="77777777" w:rsidR="00447183" w:rsidRDefault="0044718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8B866" w14:textId="424DA3B2" w:rsidR="00447183" w:rsidRDefault="004471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BE5D8" w14:textId="17812CD9" w:rsidR="00447183" w:rsidRDefault="00447183"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11910" w14:textId="51A2362E" w:rsidR="00447183" w:rsidRDefault="00447183" w:rsidP="00B426FF">
    <w:pPr>
      <w:pStyle w:val="Header"/>
      <w:tabs>
        <w:tab w:val="clear" w:pos="8306"/>
        <w:tab w:val="right" w:pos="893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ACD6D" w14:textId="35D06A0C" w:rsidR="00447183" w:rsidRDefault="00447183"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8DF66" w14:textId="059F492C" w:rsidR="00447183" w:rsidRDefault="00447183"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72628" w14:textId="4AC6CE36" w:rsidR="00447183" w:rsidRDefault="00447183" w:rsidP="00B426FF">
    <w:pPr>
      <w:pStyle w:val="Header"/>
      <w:tabs>
        <w:tab w:val="clear" w:pos="8306"/>
        <w:tab w:val="right" w:pos="89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1D321" w14:textId="57056923" w:rsidR="00447183" w:rsidRDefault="00447183"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87397" w14:textId="3D9EEECE" w:rsidR="00447183" w:rsidRDefault="004471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EB6"/>
    <w:multiLevelType w:val="hybridMultilevel"/>
    <w:tmpl w:val="3962CDA2"/>
    <w:lvl w:ilvl="0" w:tplc="0EFC49F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03F62501"/>
    <w:multiLevelType w:val="multilevel"/>
    <w:tmpl w:val="44DE87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794313"/>
    <w:multiLevelType w:val="hybridMultilevel"/>
    <w:tmpl w:val="E8BE4F0A"/>
    <w:lvl w:ilvl="0" w:tplc="CFC2D87E">
      <w:start w:val="1"/>
      <w:numFmt w:val="bullet"/>
      <w:lvlText w:val="-"/>
      <w:lvlJc w:val="left"/>
      <w:pPr>
        <w:ind w:left="720" w:hanging="360"/>
      </w:pPr>
      <w:rPr>
        <w:rFonts w:ascii="Tahoma" w:eastAsia="SimSun" w:hAnsi="Tahoma" w:cs="Tahom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B533D8"/>
    <w:multiLevelType w:val="hybridMultilevel"/>
    <w:tmpl w:val="2C68D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ED36F5"/>
    <w:multiLevelType w:val="hybridMultilevel"/>
    <w:tmpl w:val="0A7A4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6F5B1E"/>
    <w:multiLevelType w:val="hybridMultilevel"/>
    <w:tmpl w:val="A70C29E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7DB0CB6"/>
    <w:multiLevelType w:val="hybridMultilevel"/>
    <w:tmpl w:val="CD28379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5B16F5"/>
    <w:multiLevelType w:val="hybridMultilevel"/>
    <w:tmpl w:val="37029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B073647"/>
    <w:multiLevelType w:val="hybridMultilevel"/>
    <w:tmpl w:val="1B5A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704A02"/>
    <w:multiLevelType w:val="hybridMultilevel"/>
    <w:tmpl w:val="CC5E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944C32"/>
    <w:multiLevelType w:val="hybridMultilevel"/>
    <w:tmpl w:val="2F98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36553"/>
    <w:multiLevelType w:val="hybridMultilevel"/>
    <w:tmpl w:val="F698D272"/>
    <w:lvl w:ilvl="0" w:tplc="B5260396">
      <w:start w:val="1"/>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E532ED6"/>
    <w:multiLevelType w:val="hybridMultilevel"/>
    <w:tmpl w:val="C81E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C52FD"/>
    <w:multiLevelType w:val="hybridMultilevel"/>
    <w:tmpl w:val="835E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496347"/>
    <w:multiLevelType w:val="hybridMultilevel"/>
    <w:tmpl w:val="ACA6FCD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16">
    <w:nsid w:val="1273749F"/>
    <w:multiLevelType w:val="hybridMultilevel"/>
    <w:tmpl w:val="A8DA1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4F07AFD"/>
    <w:multiLevelType w:val="hybridMultilevel"/>
    <w:tmpl w:val="3B7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3D0330"/>
    <w:multiLevelType w:val="multilevel"/>
    <w:tmpl w:val="13DE7BB0"/>
    <w:lvl w:ilvl="0">
      <w:numFmt w:val="bullet"/>
      <w:lvlText w:val="-"/>
      <w:lvlJc w:val="left"/>
      <w:pPr>
        <w:ind w:left="720" w:hanging="360"/>
      </w:pPr>
      <w:rPr>
        <w:rFonts w:ascii="Arial Narrow" w:eastAsia="Times New Roman" w:hAnsi="Arial Narrow" w:cs="Arial Narro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7430932"/>
    <w:multiLevelType w:val="hybridMultilevel"/>
    <w:tmpl w:val="8D8472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036A0A"/>
    <w:multiLevelType w:val="hybridMultilevel"/>
    <w:tmpl w:val="C30AEC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F745F53"/>
    <w:multiLevelType w:val="multilevel"/>
    <w:tmpl w:val="220EDAD0"/>
    <w:lvl w:ilvl="0">
      <w:start w:val="1"/>
      <w:numFmt w:val="bullet"/>
      <w:lvlText w:val="-"/>
      <w:lvlJc w:val="left"/>
      <w:pPr>
        <w:ind w:left="720" w:hanging="360"/>
      </w:pPr>
      <w:rPr>
        <w:rFonts w:ascii="Tahoma" w:eastAsia="SimSun"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20A07EC"/>
    <w:multiLevelType w:val="singleLevel"/>
    <w:tmpl w:val="FC24B238"/>
    <w:lvl w:ilvl="0">
      <w:start w:val="1"/>
      <w:numFmt w:val="decimal"/>
      <w:pStyle w:val="ESNumberedSectionHeading"/>
      <w:lvlText w:val="A.%1"/>
      <w:lvlJc w:val="left"/>
      <w:pPr>
        <w:ind w:left="360" w:hanging="360"/>
      </w:pPr>
      <w:rPr>
        <w:rFonts w:ascii="Calibri" w:hAnsi="Calibri" w:hint="default"/>
        <w:b/>
        <w:i w:val="0"/>
        <w:color w:val="auto"/>
        <w:sz w:val="24"/>
      </w:rPr>
    </w:lvl>
  </w:abstractNum>
  <w:abstractNum w:abstractNumId="23">
    <w:nsid w:val="221E09DA"/>
    <w:multiLevelType w:val="multilevel"/>
    <w:tmpl w:val="1AD01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2566855"/>
    <w:multiLevelType w:val="hybridMultilevel"/>
    <w:tmpl w:val="44DE87C2"/>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6">
    <w:nsid w:val="254E5749"/>
    <w:multiLevelType w:val="hybridMultilevel"/>
    <w:tmpl w:val="4F5C0BB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27C15C25"/>
    <w:multiLevelType w:val="hybridMultilevel"/>
    <w:tmpl w:val="3E709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99578E9"/>
    <w:multiLevelType w:val="hybridMultilevel"/>
    <w:tmpl w:val="C68A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443F78"/>
    <w:multiLevelType w:val="multilevel"/>
    <w:tmpl w:val="7C9C09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78E799C"/>
    <w:multiLevelType w:val="hybridMultilevel"/>
    <w:tmpl w:val="44A6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6E777E"/>
    <w:multiLevelType w:val="hybridMultilevel"/>
    <w:tmpl w:val="EC1E0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A0056A7"/>
    <w:multiLevelType w:val="hybridMultilevel"/>
    <w:tmpl w:val="3C9C7B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A19032C"/>
    <w:multiLevelType w:val="hybridMultilevel"/>
    <w:tmpl w:val="C746582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C792CD4"/>
    <w:multiLevelType w:val="multilevel"/>
    <w:tmpl w:val="FEE071C8"/>
    <w:numStyleLink w:val="ESSectionheading-numbered"/>
  </w:abstractNum>
  <w:abstractNum w:abstractNumId="35">
    <w:nsid w:val="3D21553F"/>
    <w:multiLevelType w:val="multilevel"/>
    <w:tmpl w:val="13DE7BB0"/>
    <w:lvl w:ilvl="0">
      <w:numFmt w:val="bullet"/>
      <w:lvlText w:val="-"/>
      <w:lvlJc w:val="left"/>
      <w:pPr>
        <w:ind w:left="720" w:hanging="360"/>
      </w:pPr>
      <w:rPr>
        <w:rFonts w:ascii="Arial Narrow" w:eastAsia="Times New Roman" w:hAnsi="Arial Narrow" w:cs="Arial Narro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F320FF6"/>
    <w:multiLevelType w:val="hybridMultilevel"/>
    <w:tmpl w:val="E90AA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2172D06"/>
    <w:multiLevelType w:val="hybridMultilevel"/>
    <w:tmpl w:val="DC74E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3D04A7C"/>
    <w:multiLevelType w:val="hybridMultilevel"/>
    <w:tmpl w:val="E2FC7A46"/>
    <w:lvl w:ilvl="0" w:tplc="D3DE8F74">
      <w:start w:val="1"/>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45047C31"/>
    <w:multiLevelType w:val="hybridMultilevel"/>
    <w:tmpl w:val="98A2FB20"/>
    <w:lvl w:ilvl="0" w:tplc="04090013">
      <w:start w:val="1"/>
      <w:numFmt w:val="upperRoman"/>
      <w:lvlText w:val="%1."/>
      <w:lvlJc w:val="right"/>
      <w:pPr>
        <w:ind w:left="54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686381B"/>
    <w:multiLevelType w:val="hybridMultilevel"/>
    <w:tmpl w:val="4EB2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BE3D17"/>
    <w:multiLevelType w:val="multilevel"/>
    <w:tmpl w:val="44DE87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BB52094"/>
    <w:multiLevelType w:val="hybridMultilevel"/>
    <w:tmpl w:val="FBB86FBC"/>
    <w:lvl w:ilvl="0" w:tplc="CFC2D87E">
      <w:start w:val="1"/>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BBE0946"/>
    <w:multiLevelType w:val="hybridMultilevel"/>
    <w:tmpl w:val="89A897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CA653A8"/>
    <w:multiLevelType w:val="hybridMultilevel"/>
    <w:tmpl w:val="42A66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D823ACB"/>
    <w:multiLevelType w:val="hybridMultilevel"/>
    <w:tmpl w:val="3962CDA2"/>
    <w:lvl w:ilvl="0" w:tplc="0EFC49F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nsid w:val="4F506B31"/>
    <w:multiLevelType w:val="hybridMultilevel"/>
    <w:tmpl w:val="220EDAD0"/>
    <w:lvl w:ilvl="0" w:tplc="CFC2D87E">
      <w:start w:val="1"/>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05A41DD"/>
    <w:multiLevelType w:val="hybridMultilevel"/>
    <w:tmpl w:val="F33C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45003A"/>
    <w:multiLevelType w:val="hybridMultilevel"/>
    <w:tmpl w:val="C144D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23C06B9"/>
    <w:multiLevelType w:val="hybridMultilevel"/>
    <w:tmpl w:val="B600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3C62C41"/>
    <w:multiLevelType w:val="hybridMultilevel"/>
    <w:tmpl w:val="E71E2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6891D8A"/>
    <w:multiLevelType w:val="multilevel"/>
    <w:tmpl w:val="FEE071C8"/>
    <w:numStyleLink w:val="ESSectionheading-numbered"/>
  </w:abstractNum>
  <w:abstractNum w:abstractNumId="52">
    <w:nsid w:val="599F0272"/>
    <w:multiLevelType w:val="hybridMultilevel"/>
    <w:tmpl w:val="13DE7BB0"/>
    <w:lvl w:ilvl="0" w:tplc="D1DEC2FA">
      <w:numFmt w:val="bullet"/>
      <w:lvlText w:val="-"/>
      <w:lvlJc w:val="left"/>
      <w:pPr>
        <w:ind w:left="720" w:hanging="360"/>
      </w:pPr>
      <w:rPr>
        <w:rFonts w:ascii="Arial Narrow" w:eastAsia="Times New Roman" w:hAnsi="Arial Narrow"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6A26CF"/>
    <w:multiLevelType w:val="hybridMultilevel"/>
    <w:tmpl w:val="22AEC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C7D7E2E"/>
    <w:multiLevelType w:val="hybridMultilevel"/>
    <w:tmpl w:val="1A28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56">
    <w:nsid w:val="5F3070F9"/>
    <w:multiLevelType w:val="hybridMultilevel"/>
    <w:tmpl w:val="1AD01B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F760DD9"/>
    <w:multiLevelType w:val="hybridMultilevel"/>
    <w:tmpl w:val="9D38F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FF04144"/>
    <w:multiLevelType w:val="hybridMultilevel"/>
    <w:tmpl w:val="F922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962627"/>
    <w:multiLevelType w:val="hybridMultilevel"/>
    <w:tmpl w:val="BB400DE6"/>
    <w:lvl w:ilvl="0" w:tplc="CFC2D87E">
      <w:start w:val="1"/>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22207F8"/>
    <w:multiLevelType w:val="hybridMultilevel"/>
    <w:tmpl w:val="B2C2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62">
    <w:nsid w:val="657C0AC0"/>
    <w:multiLevelType w:val="hybridMultilevel"/>
    <w:tmpl w:val="52B8BD8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81410AB"/>
    <w:multiLevelType w:val="hybridMultilevel"/>
    <w:tmpl w:val="58006F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68833ADA"/>
    <w:multiLevelType w:val="hybridMultilevel"/>
    <w:tmpl w:val="D62AB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68B538FB"/>
    <w:multiLevelType w:val="hybridMultilevel"/>
    <w:tmpl w:val="53847292"/>
    <w:lvl w:ilvl="0" w:tplc="CFC2D87E">
      <w:start w:val="1"/>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A7F474D"/>
    <w:multiLevelType w:val="hybridMultilevel"/>
    <w:tmpl w:val="2180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035598"/>
    <w:multiLevelType w:val="hybridMultilevel"/>
    <w:tmpl w:val="CCA44E28"/>
    <w:lvl w:ilvl="0" w:tplc="B6F2E73E">
      <w:start w:val="1"/>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6D5A5C22"/>
    <w:multiLevelType w:val="hybridMultilevel"/>
    <w:tmpl w:val="7C9C09CA"/>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F3E74B8"/>
    <w:multiLevelType w:val="hybridMultilevel"/>
    <w:tmpl w:val="030A080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nsid w:val="762D7557"/>
    <w:multiLevelType w:val="hybridMultilevel"/>
    <w:tmpl w:val="CA06F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C0067A2"/>
    <w:multiLevelType w:val="multilevel"/>
    <w:tmpl w:val="13DE7BB0"/>
    <w:lvl w:ilvl="0">
      <w:numFmt w:val="bullet"/>
      <w:lvlText w:val="-"/>
      <w:lvlJc w:val="left"/>
      <w:pPr>
        <w:ind w:left="720" w:hanging="360"/>
      </w:pPr>
      <w:rPr>
        <w:rFonts w:ascii="Arial Narrow" w:eastAsia="Times New Roman" w:hAnsi="Arial Narrow" w:cs="Arial Narro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73">
    <w:nsid w:val="7D5E4138"/>
    <w:multiLevelType w:val="hybridMultilevel"/>
    <w:tmpl w:val="D8DAAE46"/>
    <w:lvl w:ilvl="0" w:tplc="BD027B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55"/>
  </w:num>
  <w:num w:numId="2">
    <w:abstractNumId w:val="15"/>
  </w:num>
  <w:num w:numId="3">
    <w:abstractNumId w:val="74"/>
  </w:num>
  <w:num w:numId="4">
    <w:abstractNumId w:val="61"/>
  </w:num>
  <w:num w:numId="5">
    <w:abstractNumId w:val="25"/>
  </w:num>
  <w:num w:numId="6">
    <w:abstractNumId w:val="72"/>
  </w:num>
  <w:num w:numId="7">
    <w:abstractNumId w:val="22"/>
  </w:num>
  <w:num w:numId="8">
    <w:abstractNumId w:val="34"/>
  </w:num>
  <w:num w:numId="9">
    <w:abstractNumId w:val="51"/>
  </w:num>
  <w:num w:numId="10">
    <w:abstractNumId w:val="19"/>
  </w:num>
  <w:num w:numId="11">
    <w:abstractNumId w:val="56"/>
  </w:num>
  <w:num w:numId="12">
    <w:abstractNumId w:val="2"/>
  </w:num>
  <w:num w:numId="13">
    <w:abstractNumId w:val="59"/>
  </w:num>
  <w:num w:numId="14">
    <w:abstractNumId w:val="42"/>
  </w:num>
  <w:num w:numId="15">
    <w:abstractNumId w:val="67"/>
  </w:num>
  <w:num w:numId="16">
    <w:abstractNumId w:val="38"/>
  </w:num>
  <w:num w:numId="17">
    <w:abstractNumId w:val="11"/>
  </w:num>
  <w:num w:numId="18">
    <w:abstractNumId w:val="43"/>
  </w:num>
  <w:num w:numId="19">
    <w:abstractNumId w:val="57"/>
  </w:num>
  <w:num w:numId="20">
    <w:abstractNumId w:val="48"/>
  </w:num>
  <w:num w:numId="21">
    <w:abstractNumId w:val="44"/>
  </w:num>
  <w:num w:numId="22">
    <w:abstractNumId w:val="50"/>
  </w:num>
  <w:num w:numId="23">
    <w:abstractNumId w:val="49"/>
  </w:num>
  <w:num w:numId="24">
    <w:abstractNumId w:val="53"/>
  </w:num>
  <w:num w:numId="25">
    <w:abstractNumId w:val="31"/>
  </w:num>
  <w:num w:numId="26">
    <w:abstractNumId w:val="37"/>
  </w:num>
  <w:num w:numId="27">
    <w:abstractNumId w:val="13"/>
  </w:num>
  <w:num w:numId="28">
    <w:abstractNumId w:val="8"/>
  </w:num>
  <w:num w:numId="29">
    <w:abstractNumId w:val="9"/>
  </w:num>
  <w:num w:numId="30">
    <w:abstractNumId w:val="0"/>
  </w:num>
  <w:num w:numId="31">
    <w:abstractNumId w:val="65"/>
  </w:num>
  <w:num w:numId="32">
    <w:abstractNumId w:val="45"/>
  </w:num>
  <w:num w:numId="33">
    <w:abstractNumId w:val="46"/>
  </w:num>
  <w:num w:numId="34">
    <w:abstractNumId w:val="54"/>
  </w:num>
  <w:num w:numId="35">
    <w:abstractNumId w:val="63"/>
  </w:num>
  <w:num w:numId="36">
    <w:abstractNumId w:val="52"/>
  </w:num>
  <w:num w:numId="37">
    <w:abstractNumId w:val="4"/>
  </w:num>
  <w:num w:numId="38">
    <w:abstractNumId w:val="33"/>
  </w:num>
  <w:num w:numId="39">
    <w:abstractNumId w:val="16"/>
  </w:num>
  <w:num w:numId="40">
    <w:abstractNumId w:val="70"/>
  </w:num>
  <w:num w:numId="41">
    <w:abstractNumId w:val="20"/>
  </w:num>
  <w:num w:numId="42">
    <w:abstractNumId w:val="69"/>
  </w:num>
  <w:num w:numId="43">
    <w:abstractNumId w:val="5"/>
  </w:num>
  <w:num w:numId="44">
    <w:abstractNumId w:val="64"/>
  </w:num>
  <w:num w:numId="45">
    <w:abstractNumId w:val="28"/>
  </w:num>
  <w:num w:numId="46">
    <w:abstractNumId w:val="22"/>
  </w:num>
  <w:num w:numId="47">
    <w:abstractNumId w:val="26"/>
  </w:num>
  <w:num w:numId="48">
    <w:abstractNumId w:val="27"/>
  </w:num>
  <w:num w:numId="49">
    <w:abstractNumId w:val="3"/>
  </w:num>
  <w:num w:numId="50">
    <w:abstractNumId w:val="36"/>
  </w:num>
  <w:num w:numId="51">
    <w:abstractNumId w:val="23"/>
  </w:num>
  <w:num w:numId="52">
    <w:abstractNumId w:val="24"/>
  </w:num>
  <w:num w:numId="53">
    <w:abstractNumId w:val="68"/>
  </w:num>
  <w:num w:numId="54">
    <w:abstractNumId w:val="29"/>
  </w:num>
  <w:num w:numId="55">
    <w:abstractNumId w:val="1"/>
  </w:num>
  <w:num w:numId="56">
    <w:abstractNumId w:val="39"/>
  </w:num>
  <w:num w:numId="57">
    <w:abstractNumId w:val="41"/>
  </w:num>
  <w:num w:numId="58">
    <w:abstractNumId w:val="60"/>
  </w:num>
  <w:num w:numId="59">
    <w:abstractNumId w:val="58"/>
  </w:num>
  <w:num w:numId="60">
    <w:abstractNumId w:val="21"/>
  </w:num>
  <w:num w:numId="61">
    <w:abstractNumId w:val="32"/>
  </w:num>
  <w:num w:numId="62">
    <w:abstractNumId w:val="17"/>
  </w:num>
  <w:num w:numId="63">
    <w:abstractNumId w:val="66"/>
  </w:num>
  <w:num w:numId="64">
    <w:abstractNumId w:val="12"/>
  </w:num>
  <w:num w:numId="65">
    <w:abstractNumId w:val="30"/>
  </w:num>
  <w:num w:numId="66">
    <w:abstractNumId w:val="7"/>
  </w:num>
  <w:num w:numId="67">
    <w:abstractNumId w:val="47"/>
  </w:num>
  <w:num w:numId="68">
    <w:abstractNumId w:val="10"/>
  </w:num>
  <w:num w:numId="69">
    <w:abstractNumId w:val="71"/>
  </w:num>
  <w:num w:numId="70">
    <w:abstractNumId w:val="14"/>
  </w:num>
  <w:num w:numId="71">
    <w:abstractNumId w:val="18"/>
  </w:num>
  <w:num w:numId="72">
    <w:abstractNumId w:val="62"/>
  </w:num>
  <w:num w:numId="73">
    <w:abstractNumId w:val="35"/>
  </w:num>
  <w:num w:numId="74">
    <w:abstractNumId w:val="6"/>
  </w:num>
  <w:num w:numId="75">
    <w:abstractNumId w:val="40"/>
  </w:num>
  <w:num w:numId="76">
    <w:abstractNumId w:val="73"/>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ye Newton">
    <w15:presenceInfo w15:providerId="Windows Live" w15:userId="4b6ff61208f345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 &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arffa0acae2voep5w3vv9rypas2tr522eef&quot;&gt;CFTR_Clinical_And_Economics&lt;record-ids&gt;&lt;item&gt;4&lt;/item&gt;&lt;item&gt;13&lt;/item&gt;&lt;item&gt;14&lt;/item&gt;&lt;item&gt;15&lt;/item&gt;&lt;item&gt;22&lt;/item&gt;&lt;item&gt;23&lt;/item&gt;&lt;item&gt;25&lt;/item&gt;&lt;item&gt;34&lt;/item&gt;&lt;item&gt;37&lt;/item&gt;&lt;item&gt;38&lt;/item&gt;&lt;item&gt;41&lt;/item&gt;&lt;item&gt;44&lt;/item&gt;&lt;item&gt;45&lt;/item&gt;&lt;item&gt;46&lt;/item&gt;&lt;item&gt;49&lt;/item&gt;&lt;item&gt;54&lt;/item&gt;&lt;item&gt;55&lt;/item&gt;&lt;item&gt;56&lt;/item&gt;&lt;item&gt;63&lt;/item&gt;&lt;item&gt;65&lt;/item&gt;&lt;item&gt;72&lt;/item&gt;&lt;item&gt;73&lt;/item&gt;&lt;item&gt;74&lt;/item&gt;&lt;item&gt;77&lt;/item&gt;&lt;item&gt;88&lt;/item&gt;&lt;item&gt;138&lt;/item&gt;&lt;item&gt;163&lt;/item&gt;&lt;item&gt;326&lt;/item&gt;&lt;item&gt;395&lt;/item&gt;&lt;item&gt;396&lt;/item&gt;&lt;item&gt;398&lt;/item&gt;&lt;item&gt;452&lt;/item&gt;&lt;item&gt;485&lt;/item&gt;&lt;item&gt;598&lt;/item&gt;&lt;item&gt;663&lt;/item&gt;&lt;item&gt;664&lt;/item&gt;&lt;item&gt;674&lt;/item&gt;&lt;item&gt;681&lt;/item&gt;&lt;item&gt;685&lt;/item&gt;&lt;item&gt;687&lt;/item&gt;&lt;item&gt;698&lt;/item&gt;&lt;item&gt;714&lt;/item&gt;&lt;item&gt;715&lt;/item&gt;&lt;item&gt;718&lt;/item&gt;&lt;item&gt;721&lt;/item&gt;&lt;item&gt;724&lt;/item&gt;&lt;item&gt;729&lt;/item&gt;&lt;item&gt;743&lt;/item&gt;&lt;item&gt;748&lt;/item&gt;&lt;item&gt;751&lt;/item&gt;&lt;item&gt;777&lt;/item&gt;&lt;item&gt;781&lt;/item&gt;&lt;item&gt;784&lt;/item&gt;&lt;item&gt;801&lt;/item&gt;&lt;item&gt;811&lt;/item&gt;&lt;item&gt;814&lt;/item&gt;&lt;item&gt;817&lt;/item&gt;&lt;item&gt;822&lt;/item&gt;&lt;item&gt;825&lt;/item&gt;&lt;item&gt;826&lt;/item&gt;&lt;item&gt;832&lt;/item&gt;&lt;item&gt;841&lt;/item&gt;&lt;item&gt;842&lt;/item&gt;&lt;item&gt;843&lt;/item&gt;&lt;item&gt;860&lt;/item&gt;&lt;item&gt;865&lt;/item&gt;&lt;item&gt;869&lt;/item&gt;&lt;item&gt;873&lt;/item&gt;&lt;item&gt;890&lt;/item&gt;&lt;item&gt;893&lt;/item&gt;&lt;item&gt;894&lt;/item&gt;&lt;item&gt;895&lt;/item&gt;&lt;item&gt;899&lt;/item&gt;&lt;item&gt;904&lt;/item&gt;&lt;item&gt;917&lt;/item&gt;&lt;item&gt;921&lt;/item&gt;&lt;item&gt;922&lt;/item&gt;&lt;item&gt;926&lt;/item&gt;&lt;item&gt;927&lt;/item&gt;&lt;item&gt;928&lt;/item&gt;&lt;item&gt;929&lt;/item&gt;&lt;item&gt;930&lt;/item&gt;&lt;item&gt;931&lt;/item&gt;&lt;item&gt;945&lt;/item&gt;&lt;item&gt;975&lt;/item&gt;&lt;item&gt;979&lt;/item&gt;&lt;item&gt;980&lt;/item&gt;&lt;item&gt;982&lt;/item&gt;&lt;item&gt;988&lt;/item&gt;&lt;item&gt;990&lt;/item&gt;&lt;item&gt;1005&lt;/item&gt;&lt;item&gt;1006&lt;/item&gt;&lt;item&gt;1013&lt;/item&gt;&lt;item&gt;1021&lt;/item&gt;&lt;item&gt;1025&lt;/item&gt;&lt;item&gt;1037&lt;/item&gt;&lt;item&gt;1040&lt;/item&gt;&lt;item&gt;1049&lt;/item&gt;&lt;item&gt;1050&lt;/item&gt;&lt;item&gt;1058&lt;/item&gt;&lt;item&gt;1059&lt;/item&gt;&lt;item&gt;1064&lt;/item&gt;&lt;item&gt;1078&lt;/item&gt;&lt;item&gt;1082&lt;/item&gt;&lt;item&gt;1088&lt;/item&gt;&lt;item&gt;1093&lt;/item&gt;&lt;item&gt;1095&lt;/item&gt;&lt;item&gt;1100&lt;/item&gt;&lt;item&gt;1105&lt;/item&gt;&lt;/record-ids&gt;&lt;/item&gt;&lt;/Libraries&gt;"/>
  </w:docVars>
  <w:rsids>
    <w:rsidRoot w:val="00A07D35"/>
    <w:rsid w:val="000006B5"/>
    <w:rsid w:val="00000B9C"/>
    <w:rsid w:val="00000BEB"/>
    <w:rsid w:val="00000C42"/>
    <w:rsid w:val="00000FA9"/>
    <w:rsid w:val="0000127D"/>
    <w:rsid w:val="0000136D"/>
    <w:rsid w:val="000013DF"/>
    <w:rsid w:val="0000190C"/>
    <w:rsid w:val="00001C3C"/>
    <w:rsid w:val="00001D8D"/>
    <w:rsid w:val="00001E31"/>
    <w:rsid w:val="00001F98"/>
    <w:rsid w:val="0000226A"/>
    <w:rsid w:val="0000228D"/>
    <w:rsid w:val="00002552"/>
    <w:rsid w:val="000029F2"/>
    <w:rsid w:val="00002D52"/>
    <w:rsid w:val="00003017"/>
    <w:rsid w:val="00003287"/>
    <w:rsid w:val="00003796"/>
    <w:rsid w:val="00003F89"/>
    <w:rsid w:val="0000430A"/>
    <w:rsid w:val="00004D16"/>
    <w:rsid w:val="00005109"/>
    <w:rsid w:val="00005257"/>
    <w:rsid w:val="0000536A"/>
    <w:rsid w:val="000055D4"/>
    <w:rsid w:val="00005666"/>
    <w:rsid w:val="000056FA"/>
    <w:rsid w:val="00006341"/>
    <w:rsid w:val="00006627"/>
    <w:rsid w:val="00006641"/>
    <w:rsid w:val="000066C8"/>
    <w:rsid w:val="0000673F"/>
    <w:rsid w:val="000068C2"/>
    <w:rsid w:val="00006961"/>
    <w:rsid w:val="000069A7"/>
    <w:rsid w:val="00006C74"/>
    <w:rsid w:val="00007293"/>
    <w:rsid w:val="000078F6"/>
    <w:rsid w:val="00007948"/>
    <w:rsid w:val="00007A44"/>
    <w:rsid w:val="00007A4C"/>
    <w:rsid w:val="00007BE0"/>
    <w:rsid w:val="00007D81"/>
    <w:rsid w:val="00007DC0"/>
    <w:rsid w:val="000106F7"/>
    <w:rsid w:val="0001085B"/>
    <w:rsid w:val="0001088E"/>
    <w:rsid w:val="000108EE"/>
    <w:rsid w:val="000109F3"/>
    <w:rsid w:val="00010BF8"/>
    <w:rsid w:val="00010FB8"/>
    <w:rsid w:val="00011134"/>
    <w:rsid w:val="000111D2"/>
    <w:rsid w:val="00011550"/>
    <w:rsid w:val="00011684"/>
    <w:rsid w:val="00011758"/>
    <w:rsid w:val="00011772"/>
    <w:rsid w:val="00011901"/>
    <w:rsid w:val="00011989"/>
    <w:rsid w:val="00011AC8"/>
    <w:rsid w:val="00011BE2"/>
    <w:rsid w:val="0001264A"/>
    <w:rsid w:val="0001291C"/>
    <w:rsid w:val="00012E76"/>
    <w:rsid w:val="00012EA4"/>
    <w:rsid w:val="00012EA6"/>
    <w:rsid w:val="0001307B"/>
    <w:rsid w:val="000130D3"/>
    <w:rsid w:val="000133F9"/>
    <w:rsid w:val="000134C1"/>
    <w:rsid w:val="0001357B"/>
    <w:rsid w:val="00013791"/>
    <w:rsid w:val="0001388D"/>
    <w:rsid w:val="00013934"/>
    <w:rsid w:val="000139D1"/>
    <w:rsid w:val="000139EB"/>
    <w:rsid w:val="00013B0C"/>
    <w:rsid w:val="00013B46"/>
    <w:rsid w:val="00013FA1"/>
    <w:rsid w:val="00014736"/>
    <w:rsid w:val="00014776"/>
    <w:rsid w:val="00014917"/>
    <w:rsid w:val="000149C2"/>
    <w:rsid w:val="00014A66"/>
    <w:rsid w:val="00014D6D"/>
    <w:rsid w:val="00014EC1"/>
    <w:rsid w:val="000150B4"/>
    <w:rsid w:val="00015282"/>
    <w:rsid w:val="000155E6"/>
    <w:rsid w:val="00015621"/>
    <w:rsid w:val="0001563F"/>
    <w:rsid w:val="00015787"/>
    <w:rsid w:val="00015B7B"/>
    <w:rsid w:val="00015C26"/>
    <w:rsid w:val="00015CA6"/>
    <w:rsid w:val="00015E03"/>
    <w:rsid w:val="00015F6A"/>
    <w:rsid w:val="000160B3"/>
    <w:rsid w:val="00016333"/>
    <w:rsid w:val="0001667E"/>
    <w:rsid w:val="00016792"/>
    <w:rsid w:val="000169F7"/>
    <w:rsid w:val="00016EF1"/>
    <w:rsid w:val="00016FDF"/>
    <w:rsid w:val="000171FD"/>
    <w:rsid w:val="00017499"/>
    <w:rsid w:val="00017737"/>
    <w:rsid w:val="00017B2B"/>
    <w:rsid w:val="00017D44"/>
    <w:rsid w:val="00020A61"/>
    <w:rsid w:val="00020C59"/>
    <w:rsid w:val="00020F15"/>
    <w:rsid w:val="00021005"/>
    <w:rsid w:val="00021072"/>
    <w:rsid w:val="00021847"/>
    <w:rsid w:val="00021FDC"/>
    <w:rsid w:val="0002230A"/>
    <w:rsid w:val="00022486"/>
    <w:rsid w:val="0002265C"/>
    <w:rsid w:val="000227A0"/>
    <w:rsid w:val="00023360"/>
    <w:rsid w:val="000236CF"/>
    <w:rsid w:val="00023792"/>
    <w:rsid w:val="000237A1"/>
    <w:rsid w:val="0002384F"/>
    <w:rsid w:val="0002412A"/>
    <w:rsid w:val="0002446C"/>
    <w:rsid w:val="00024819"/>
    <w:rsid w:val="00025324"/>
    <w:rsid w:val="00025679"/>
    <w:rsid w:val="0002581D"/>
    <w:rsid w:val="00025847"/>
    <w:rsid w:val="00025D96"/>
    <w:rsid w:val="00025EE3"/>
    <w:rsid w:val="00025F1A"/>
    <w:rsid w:val="000266AD"/>
    <w:rsid w:val="0002695E"/>
    <w:rsid w:val="00026D2F"/>
    <w:rsid w:val="00026D6A"/>
    <w:rsid w:val="00027055"/>
    <w:rsid w:val="0002707D"/>
    <w:rsid w:val="00027329"/>
    <w:rsid w:val="0002749F"/>
    <w:rsid w:val="00027611"/>
    <w:rsid w:val="00027A5C"/>
    <w:rsid w:val="00027B53"/>
    <w:rsid w:val="00027D71"/>
    <w:rsid w:val="00027DDF"/>
    <w:rsid w:val="00027F1B"/>
    <w:rsid w:val="00030A51"/>
    <w:rsid w:val="00030C76"/>
    <w:rsid w:val="00030D79"/>
    <w:rsid w:val="00030DD9"/>
    <w:rsid w:val="00030E6F"/>
    <w:rsid w:val="00030F3B"/>
    <w:rsid w:val="00030FB4"/>
    <w:rsid w:val="000311A8"/>
    <w:rsid w:val="00031330"/>
    <w:rsid w:val="0003136E"/>
    <w:rsid w:val="000313F3"/>
    <w:rsid w:val="000314E2"/>
    <w:rsid w:val="00031849"/>
    <w:rsid w:val="00031A2C"/>
    <w:rsid w:val="000321D9"/>
    <w:rsid w:val="0003260D"/>
    <w:rsid w:val="00032C39"/>
    <w:rsid w:val="0003386E"/>
    <w:rsid w:val="00033E27"/>
    <w:rsid w:val="000340BA"/>
    <w:rsid w:val="000345EB"/>
    <w:rsid w:val="0003495F"/>
    <w:rsid w:val="00034AE9"/>
    <w:rsid w:val="00034CFE"/>
    <w:rsid w:val="00035390"/>
    <w:rsid w:val="000354AC"/>
    <w:rsid w:val="0003587F"/>
    <w:rsid w:val="0003595E"/>
    <w:rsid w:val="00035BA2"/>
    <w:rsid w:val="00035FF2"/>
    <w:rsid w:val="00036221"/>
    <w:rsid w:val="0003639B"/>
    <w:rsid w:val="0003669F"/>
    <w:rsid w:val="000368B9"/>
    <w:rsid w:val="00036954"/>
    <w:rsid w:val="00036DAC"/>
    <w:rsid w:val="00036F0B"/>
    <w:rsid w:val="000373D6"/>
    <w:rsid w:val="000373E8"/>
    <w:rsid w:val="00037504"/>
    <w:rsid w:val="00037729"/>
    <w:rsid w:val="00037963"/>
    <w:rsid w:val="00037B2B"/>
    <w:rsid w:val="0004024A"/>
    <w:rsid w:val="00040305"/>
    <w:rsid w:val="00040635"/>
    <w:rsid w:val="000406B4"/>
    <w:rsid w:val="000407E3"/>
    <w:rsid w:val="00040D41"/>
    <w:rsid w:val="00040DD2"/>
    <w:rsid w:val="00040EAF"/>
    <w:rsid w:val="0004109F"/>
    <w:rsid w:val="0004165A"/>
    <w:rsid w:val="00041867"/>
    <w:rsid w:val="00041ADB"/>
    <w:rsid w:val="00041B23"/>
    <w:rsid w:val="00041C6F"/>
    <w:rsid w:val="00041F2B"/>
    <w:rsid w:val="000421CB"/>
    <w:rsid w:val="000424B4"/>
    <w:rsid w:val="000425B1"/>
    <w:rsid w:val="000427F8"/>
    <w:rsid w:val="00043293"/>
    <w:rsid w:val="00043C04"/>
    <w:rsid w:val="0004468B"/>
    <w:rsid w:val="00044B7A"/>
    <w:rsid w:val="0004536B"/>
    <w:rsid w:val="00045613"/>
    <w:rsid w:val="00045C50"/>
    <w:rsid w:val="0004642F"/>
    <w:rsid w:val="000464C3"/>
    <w:rsid w:val="0004658F"/>
    <w:rsid w:val="00046BEE"/>
    <w:rsid w:val="00046C45"/>
    <w:rsid w:val="00046E1D"/>
    <w:rsid w:val="000472D9"/>
    <w:rsid w:val="00047B10"/>
    <w:rsid w:val="00050356"/>
    <w:rsid w:val="00050628"/>
    <w:rsid w:val="000508A4"/>
    <w:rsid w:val="00050DAA"/>
    <w:rsid w:val="00051060"/>
    <w:rsid w:val="00051085"/>
    <w:rsid w:val="000512A0"/>
    <w:rsid w:val="0005156D"/>
    <w:rsid w:val="00051666"/>
    <w:rsid w:val="00051A96"/>
    <w:rsid w:val="00051AE7"/>
    <w:rsid w:val="0005232D"/>
    <w:rsid w:val="00052385"/>
    <w:rsid w:val="00052434"/>
    <w:rsid w:val="0005272E"/>
    <w:rsid w:val="00052741"/>
    <w:rsid w:val="0005281F"/>
    <w:rsid w:val="0005287C"/>
    <w:rsid w:val="00052935"/>
    <w:rsid w:val="00052E3F"/>
    <w:rsid w:val="00052FBC"/>
    <w:rsid w:val="00053A89"/>
    <w:rsid w:val="00053B5D"/>
    <w:rsid w:val="00053DB9"/>
    <w:rsid w:val="00054C69"/>
    <w:rsid w:val="000554AA"/>
    <w:rsid w:val="00055631"/>
    <w:rsid w:val="00055E08"/>
    <w:rsid w:val="00056684"/>
    <w:rsid w:val="00056BE2"/>
    <w:rsid w:val="00056DC4"/>
    <w:rsid w:val="00056ED1"/>
    <w:rsid w:val="0005725A"/>
    <w:rsid w:val="00057324"/>
    <w:rsid w:val="00057366"/>
    <w:rsid w:val="00057834"/>
    <w:rsid w:val="00057C35"/>
    <w:rsid w:val="00057FA0"/>
    <w:rsid w:val="00060875"/>
    <w:rsid w:val="000608FD"/>
    <w:rsid w:val="000609A2"/>
    <w:rsid w:val="00060B82"/>
    <w:rsid w:val="00060E4F"/>
    <w:rsid w:val="00060E70"/>
    <w:rsid w:val="00061304"/>
    <w:rsid w:val="0006137D"/>
    <w:rsid w:val="000613E7"/>
    <w:rsid w:val="000619EB"/>
    <w:rsid w:val="00061A1C"/>
    <w:rsid w:val="00061AF5"/>
    <w:rsid w:val="00061DB6"/>
    <w:rsid w:val="00062064"/>
    <w:rsid w:val="000625F7"/>
    <w:rsid w:val="000629F4"/>
    <w:rsid w:val="00062F2F"/>
    <w:rsid w:val="00063167"/>
    <w:rsid w:val="00063311"/>
    <w:rsid w:val="0006384B"/>
    <w:rsid w:val="00063A3A"/>
    <w:rsid w:val="00063C88"/>
    <w:rsid w:val="00063CC4"/>
    <w:rsid w:val="00063F44"/>
    <w:rsid w:val="00063FE3"/>
    <w:rsid w:val="0006406E"/>
    <w:rsid w:val="000641F3"/>
    <w:rsid w:val="0006420B"/>
    <w:rsid w:val="0006422B"/>
    <w:rsid w:val="00064791"/>
    <w:rsid w:val="00065094"/>
    <w:rsid w:val="000650CB"/>
    <w:rsid w:val="0006531D"/>
    <w:rsid w:val="00065368"/>
    <w:rsid w:val="00065DD7"/>
    <w:rsid w:val="00065E22"/>
    <w:rsid w:val="000665A4"/>
    <w:rsid w:val="00066CD5"/>
    <w:rsid w:val="00066F5D"/>
    <w:rsid w:val="00067A30"/>
    <w:rsid w:val="00067BF6"/>
    <w:rsid w:val="0007021D"/>
    <w:rsid w:val="000708AD"/>
    <w:rsid w:val="00070B84"/>
    <w:rsid w:val="00070D91"/>
    <w:rsid w:val="00070FB4"/>
    <w:rsid w:val="00070FEA"/>
    <w:rsid w:val="000715CB"/>
    <w:rsid w:val="000716D7"/>
    <w:rsid w:val="00071963"/>
    <w:rsid w:val="00071B67"/>
    <w:rsid w:val="00071BA0"/>
    <w:rsid w:val="00072199"/>
    <w:rsid w:val="0007284B"/>
    <w:rsid w:val="00072A22"/>
    <w:rsid w:val="00072D20"/>
    <w:rsid w:val="00072DC0"/>
    <w:rsid w:val="00073235"/>
    <w:rsid w:val="0007323B"/>
    <w:rsid w:val="00073267"/>
    <w:rsid w:val="00073300"/>
    <w:rsid w:val="00073339"/>
    <w:rsid w:val="00073376"/>
    <w:rsid w:val="00073636"/>
    <w:rsid w:val="0007379A"/>
    <w:rsid w:val="00073882"/>
    <w:rsid w:val="000739E5"/>
    <w:rsid w:val="00073A8D"/>
    <w:rsid w:val="00073EC5"/>
    <w:rsid w:val="00074214"/>
    <w:rsid w:val="00074ABF"/>
    <w:rsid w:val="00074F92"/>
    <w:rsid w:val="00075A7C"/>
    <w:rsid w:val="00075C24"/>
    <w:rsid w:val="00075C33"/>
    <w:rsid w:val="00075CEF"/>
    <w:rsid w:val="000767E5"/>
    <w:rsid w:val="000767FE"/>
    <w:rsid w:val="000768BB"/>
    <w:rsid w:val="00076932"/>
    <w:rsid w:val="00076A45"/>
    <w:rsid w:val="00076A70"/>
    <w:rsid w:val="00076B84"/>
    <w:rsid w:val="00076F32"/>
    <w:rsid w:val="00077247"/>
    <w:rsid w:val="000774DB"/>
    <w:rsid w:val="00077880"/>
    <w:rsid w:val="00077A9E"/>
    <w:rsid w:val="00077D75"/>
    <w:rsid w:val="0008009D"/>
    <w:rsid w:val="000800BF"/>
    <w:rsid w:val="0008033F"/>
    <w:rsid w:val="00080706"/>
    <w:rsid w:val="00080986"/>
    <w:rsid w:val="000809D5"/>
    <w:rsid w:val="0008122C"/>
    <w:rsid w:val="0008168D"/>
    <w:rsid w:val="000819E2"/>
    <w:rsid w:val="000821BD"/>
    <w:rsid w:val="000822EA"/>
    <w:rsid w:val="0008260B"/>
    <w:rsid w:val="00082712"/>
    <w:rsid w:val="00082977"/>
    <w:rsid w:val="00082C5A"/>
    <w:rsid w:val="00082CDD"/>
    <w:rsid w:val="00082E66"/>
    <w:rsid w:val="00082EC5"/>
    <w:rsid w:val="00083155"/>
    <w:rsid w:val="00083216"/>
    <w:rsid w:val="0008335F"/>
    <w:rsid w:val="00083498"/>
    <w:rsid w:val="0008367E"/>
    <w:rsid w:val="000838C2"/>
    <w:rsid w:val="00083FB8"/>
    <w:rsid w:val="00084047"/>
    <w:rsid w:val="000840DA"/>
    <w:rsid w:val="00084CE9"/>
    <w:rsid w:val="00084F83"/>
    <w:rsid w:val="0008506C"/>
    <w:rsid w:val="00085282"/>
    <w:rsid w:val="00085400"/>
    <w:rsid w:val="00085716"/>
    <w:rsid w:val="00085981"/>
    <w:rsid w:val="00085C31"/>
    <w:rsid w:val="0008612D"/>
    <w:rsid w:val="000861FA"/>
    <w:rsid w:val="00086491"/>
    <w:rsid w:val="000868BD"/>
    <w:rsid w:val="000869F6"/>
    <w:rsid w:val="00086D44"/>
    <w:rsid w:val="00086DB8"/>
    <w:rsid w:val="000879D4"/>
    <w:rsid w:val="00087AEE"/>
    <w:rsid w:val="00087DA5"/>
    <w:rsid w:val="00087F4E"/>
    <w:rsid w:val="00090330"/>
    <w:rsid w:val="000903F9"/>
    <w:rsid w:val="0009054B"/>
    <w:rsid w:val="000905F4"/>
    <w:rsid w:val="00090904"/>
    <w:rsid w:val="0009092C"/>
    <w:rsid w:val="00090AA3"/>
    <w:rsid w:val="00090BD2"/>
    <w:rsid w:val="00090DDE"/>
    <w:rsid w:val="00090EF8"/>
    <w:rsid w:val="00091296"/>
    <w:rsid w:val="00091667"/>
    <w:rsid w:val="000917C7"/>
    <w:rsid w:val="00091989"/>
    <w:rsid w:val="00091A27"/>
    <w:rsid w:val="00091A2F"/>
    <w:rsid w:val="00091A85"/>
    <w:rsid w:val="00092116"/>
    <w:rsid w:val="00092200"/>
    <w:rsid w:val="00092A35"/>
    <w:rsid w:val="00092CBE"/>
    <w:rsid w:val="00092CFA"/>
    <w:rsid w:val="00092F22"/>
    <w:rsid w:val="000933E6"/>
    <w:rsid w:val="00093443"/>
    <w:rsid w:val="000935F4"/>
    <w:rsid w:val="000937B3"/>
    <w:rsid w:val="0009386C"/>
    <w:rsid w:val="000939B9"/>
    <w:rsid w:val="00093AB4"/>
    <w:rsid w:val="00093C9A"/>
    <w:rsid w:val="00093CE9"/>
    <w:rsid w:val="00093DC4"/>
    <w:rsid w:val="00094977"/>
    <w:rsid w:val="00094DBD"/>
    <w:rsid w:val="000950D4"/>
    <w:rsid w:val="000956B1"/>
    <w:rsid w:val="00095AD3"/>
    <w:rsid w:val="00096B92"/>
    <w:rsid w:val="00096BD5"/>
    <w:rsid w:val="00096EBE"/>
    <w:rsid w:val="00097589"/>
    <w:rsid w:val="0009770B"/>
    <w:rsid w:val="00097AAC"/>
    <w:rsid w:val="000A00E0"/>
    <w:rsid w:val="000A0146"/>
    <w:rsid w:val="000A051D"/>
    <w:rsid w:val="000A0719"/>
    <w:rsid w:val="000A0790"/>
    <w:rsid w:val="000A07CB"/>
    <w:rsid w:val="000A0C9C"/>
    <w:rsid w:val="000A0D18"/>
    <w:rsid w:val="000A1298"/>
    <w:rsid w:val="000A13F7"/>
    <w:rsid w:val="000A1508"/>
    <w:rsid w:val="000A1957"/>
    <w:rsid w:val="000A1A2C"/>
    <w:rsid w:val="000A1D85"/>
    <w:rsid w:val="000A20BD"/>
    <w:rsid w:val="000A2278"/>
    <w:rsid w:val="000A2445"/>
    <w:rsid w:val="000A272A"/>
    <w:rsid w:val="000A295F"/>
    <w:rsid w:val="000A2C9E"/>
    <w:rsid w:val="000A2EC6"/>
    <w:rsid w:val="000A3021"/>
    <w:rsid w:val="000A3383"/>
    <w:rsid w:val="000A33DB"/>
    <w:rsid w:val="000A341B"/>
    <w:rsid w:val="000A375A"/>
    <w:rsid w:val="000A39F4"/>
    <w:rsid w:val="000A3AAF"/>
    <w:rsid w:val="000A3B88"/>
    <w:rsid w:val="000A3E60"/>
    <w:rsid w:val="000A3F8D"/>
    <w:rsid w:val="000A42D8"/>
    <w:rsid w:val="000A4C32"/>
    <w:rsid w:val="000A4DF3"/>
    <w:rsid w:val="000A546E"/>
    <w:rsid w:val="000A54AD"/>
    <w:rsid w:val="000A5544"/>
    <w:rsid w:val="000A55B4"/>
    <w:rsid w:val="000A5CE8"/>
    <w:rsid w:val="000A5DB5"/>
    <w:rsid w:val="000A612B"/>
    <w:rsid w:val="000A6967"/>
    <w:rsid w:val="000A6C01"/>
    <w:rsid w:val="000A7356"/>
    <w:rsid w:val="000A77C8"/>
    <w:rsid w:val="000A7943"/>
    <w:rsid w:val="000A7D0A"/>
    <w:rsid w:val="000B0364"/>
    <w:rsid w:val="000B06C4"/>
    <w:rsid w:val="000B0993"/>
    <w:rsid w:val="000B0F0F"/>
    <w:rsid w:val="000B1434"/>
    <w:rsid w:val="000B164F"/>
    <w:rsid w:val="000B1F56"/>
    <w:rsid w:val="000B21CB"/>
    <w:rsid w:val="000B21FF"/>
    <w:rsid w:val="000B23EA"/>
    <w:rsid w:val="000B2675"/>
    <w:rsid w:val="000B274D"/>
    <w:rsid w:val="000B28E7"/>
    <w:rsid w:val="000B2DCA"/>
    <w:rsid w:val="000B2E4B"/>
    <w:rsid w:val="000B30A2"/>
    <w:rsid w:val="000B3610"/>
    <w:rsid w:val="000B3CA5"/>
    <w:rsid w:val="000B40C1"/>
    <w:rsid w:val="000B4253"/>
    <w:rsid w:val="000B4A87"/>
    <w:rsid w:val="000B4BDC"/>
    <w:rsid w:val="000B4CAD"/>
    <w:rsid w:val="000B508C"/>
    <w:rsid w:val="000B525C"/>
    <w:rsid w:val="000B5A5D"/>
    <w:rsid w:val="000B5C7B"/>
    <w:rsid w:val="000B5D81"/>
    <w:rsid w:val="000B60F6"/>
    <w:rsid w:val="000B63E1"/>
    <w:rsid w:val="000B640F"/>
    <w:rsid w:val="000B688F"/>
    <w:rsid w:val="000B68AE"/>
    <w:rsid w:val="000B6EC0"/>
    <w:rsid w:val="000B77E2"/>
    <w:rsid w:val="000B7A2F"/>
    <w:rsid w:val="000B7B78"/>
    <w:rsid w:val="000B7DFE"/>
    <w:rsid w:val="000B7EE2"/>
    <w:rsid w:val="000B7EE7"/>
    <w:rsid w:val="000B7F5D"/>
    <w:rsid w:val="000C0089"/>
    <w:rsid w:val="000C0364"/>
    <w:rsid w:val="000C0493"/>
    <w:rsid w:val="000C04C1"/>
    <w:rsid w:val="000C0684"/>
    <w:rsid w:val="000C0FF2"/>
    <w:rsid w:val="000C10BA"/>
    <w:rsid w:val="000C139C"/>
    <w:rsid w:val="000C14EF"/>
    <w:rsid w:val="000C1599"/>
    <w:rsid w:val="000C1714"/>
    <w:rsid w:val="000C1747"/>
    <w:rsid w:val="000C1AFE"/>
    <w:rsid w:val="000C1EC7"/>
    <w:rsid w:val="000C226B"/>
    <w:rsid w:val="000C32A4"/>
    <w:rsid w:val="000C332B"/>
    <w:rsid w:val="000C3AFD"/>
    <w:rsid w:val="000C3CDE"/>
    <w:rsid w:val="000C3EB4"/>
    <w:rsid w:val="000C4137"/>
    <w:rsid w:val="000C4404"/>
    <w:rsid w:val="000C44CA"/>
    <w:rsid w:val="000C4692"/>
    <w:rsid w:val="000C4A35"/>
    <w:rsid w:val="000C519C"/>
    <w:rsid w:val="000C5343"/>
    <w:rsid w:val="000C53B8"/>
    <w:rsid w:val="000C5752"/>
    <w:rsid w:val="000C5A70"/>
    <w:rsid w:val="000C5D0A"/>
    <w:rsid w:val="000C5D58"/>
    <w:rsid w:val="000C5F36"/>
    <w:rsid w:val="000C5FED"/>
    <w:rsid w:val="000C61C5"/>
    <w:rsid w:val="000C651F"/>
    <w:rsid w:val="000C680B"/>
    <w:rsid w:val="000C6D10"/>
    <w:rsid w:val="000C702F"/>
    <w:rsid w:val="000C7359"/>
    <w:rsid w:val="000C769F"/>
    <w:rsid w:val="000C76C2"/>
    <w:rsid w:val="000C7C44"/>
    <w:rsid w:val="000C7D08"/>
    <w:rsid w:val="000C7E64"/>
    <w:rsid w:val="000C7F6A"/>
    <w:rsid w:val="000D0128"/>
    <w:rsid w:val="000D02CC"/>
    <w:rsid w:val="000D04B6"/>
    <w:rsid w:val="000D04E9"/>
    <w:rsid w:val="000D04F4"/>
    <w:rsid w:val="000D0813"/>
    <w:rsid w:val="000D0C4D"/>
    <w:rsid w:val="000D1300"/>
    <w:rsid w:val="000D13CD"/>
    <w:rsid w:val="000D180A"/>
    <w:rsid w:val="000D186C"/>
    <w:rsid w:val="000D18A2"/>
    <w:rsid w:val="000D1C4C"/>
    <w:rsid w:val="000D2D78"/>
    <w:rsid w:val="000D2D89"/>
    <w:rsid w:val="000D2E96"/>
    <w:rsid w:val="000D2EB6"/>
    <w:rsid w:val="000D3024"/>
    <w:rsid w:val="000D328F"/>
    <w:rsid w:val="000D3317"/>
    <w:rsid w:val="000D337C"/>
    <w:rsid w:val="000D33CE"/>
    <w:rsid w:val="000D34EB"/>
    <w:rsid w:val="000D3AD0"/>
    <w:rsid w:val="000D3B89"/>
    <w:rsid w:val="000D3E93"/>
    <w:rsid w:val="000D4203"/>
    <w:rsid w:val="000D4324"/>
    <w:rsid w:val="000D4905"/>
    <w:rsid w:val="000D4AB6"/>
    <w:rsid w:val="000D4B54"/>
    <w:rsid w:val="000D4D6A"/>
    <w:rsid w:val="000D4DFE"/>
    <w:rsid w:val="000D4E07"/>
    <w:rsid w:val="000D4F8C"/>
    <w:rsid w:val="000D4FCE"/>
    <w:rsid w:val="000D50CD"/>
    <w:rsid w:val="000D554F"/>
    <w:rsid w:val="000D584C"/>
    <w:rsid w:val="000D5A53"/>
    <w:rsid w:val="000D5AF8"/>
    <w:rsid w:val="000D60AA"/>
    <w:rsid w:val="000D63E0"/>
    <w:rsid w:val="000D641D"/>
    <w:rsid w:val="000D6684"/>
    <w:rsid w:val="000D6840"/>
    <w:rsid w:val="000D708E"/>
    <w:rsid w:val="000E0042"/>
    <w:rsid w:val="000E013B"/>
    <w:rsid w:val="000E02D8"/>
    <w:rsid w:val="000E073C"/>
    <w:rsid w:val="000E09A4"/>
    <w:rsid w:val="000E0B6A"/>
    <w:rsid w:val="000E0D09"/>
    <w:rsid w:val="000E125E"/>
    <w:rsid w:val="000E1439"/>
    <w:rsid w:val="000E145B"/>
    <w:rsid w:val="000E1520"/>
    <w:rsid w:val="000E160C"/>
    <w:rsid w:val="000E1C9D"/>
    <w:rsid w:val="000E1D12"/>
    <w:rsid w:val="000E21A2"/>
    <w:rsid w:val="000E2864"/>
    <w:rsid w:val="000E295E"/>
    <w:rsid w:val="000E2EEF"/>
    <w:rsid w:val="000E362B"/>
    <w:rsid w:val="000E38C9"/>
    <w:rsid w:val="000E38D4"/>
    <w:rsid w:val="000E398C"/>
    <w:rsid w:val="000E3D82"/>
    <w:rsid w:val="000E455E"/>
    <w:rsid w:val="000E4855"/>
    <w:rsid w:val="000E4D70"/>
    <w:rsid w:val="000E5096"/>
    <w:rsid w:val="000E50DC"/>
    <w:rsid w:val="000E551B"/>
    <w:rsid w:val="000E587A"/>
    <w:rsid w:val="000E5E5C"/>
    <w:rsid w:val="000E5EAC"/>
    <w:rsid w:val="000E6179"/>
    <w:rsid w:val="000E63DD"/>
    <w:rsid w:val="000E6891"/>
    <w:rsid w:val="000E68DF"/>
    <w:rsid w:val="000E6A1B"/>
    <w:rsid w:val="000E6C55"/>
    <w:rsid w:val="000E6FE6"/>
    <w:rsid w:val="000E76AE"/>
    <w:rsid w:val="000E7851"/>
    <w:rsid w:val="000E7969"/>
    <w:rsid w:val="000E7A69"/>
    <w:rsid w:val="000E7A82"/>
    <w:rsid w:val="000E7AC3"/>
    <w:rsid w:val="000E7B84"/>
    <w:rsid w:val="000E7BDF"/>
    <w:rsid w:val="000E7BEC"/>
    <w:rsid w:val="000E7E95"/>
    <w:rsid w:val="000F0088"/>
    <w:rsid w:val="000F0975"/>
    <w:rsid w:val="000F0BF9"/>
    <w:rsid w:val="000F0C54"/>
    <w:rsid w:val="000F0C9A"/>
    <w:rsid w:val="000F0D08"/>
    <w:rsid w:val="000F1835"/>
    <w:rsid w:val="000F1FA8"/>
    <w:rsid w:val="000F204E"/>
    <w:rsid w:val="000F219E"/>
    <w:rsid w:val="000F236B"/>
    <w:rsid w:val="000F285B"/>
    <w:rsid w:val="000F2B90"/>
    <w:rsid w:val="000F3426"/>
    <w:rsid w:val="000F3B50"/>
    <w:rsid w:val="000F4655"/>
    <w:rsid w:val="000F4CB0"/>
    <w:rsid w:val="000F4F1E"/>
    <w:rsid w:val="000F508A"/>
    <w:rsid w:val="000F50C5"/>
    <w:rsid w:val="000F53CB"/>
    <w:rsid w:val="000F5FC9"/>
    <w:rsid w:val="000F6118"/>
    <w:rsid w:val="000F640C"/>
    <w:rsid w:val="000F66F8"/>
    <w:rsid w:val="000F6D1C"/>
    <w:rsid w:val="000F7361"/>
    <w:rsid w:val="000F73B8"/>
    <w:rsid w:val="000F76EF"/>
    <w:rsid w:val="000F7A58"/>
    <w:rsid w:val="000F7C32"/>
    <w:rsid w:val="000F7E7A"/>
    <w:rsid w:val="000F7FD2"/>
    <w:rsid w:val="0010004D"/>
    <w:rsid w:val="00100186"/>
    <w:rsid w:val="001001F0"/>
    <w:rsid w:val="00100281"/>
    <w:rsid w:val="00100568"/>
    <w:rsid w:val="00100570"/>
    <w:rsid w:val="001005AA"/>
    <w:rsid w:val="00100DE3"/>
    <w:rsid w:val="0010159E"/>
    <w:rsid w:val="00101616"/>
    <w:rsid w:val="00101813"/>
    <w:rsid w:val="00101999"/>
    <w:rsid w:val="001019F6"/>
    <w:rsid w:val="00101DAF"/>
    <w:rsid w:val="00101EA6"/>
    <w:rsid w:val="00102351"/>
    <w:rsid w:val="001024C0"/>
    <w:rsid w:val="001024C1"/>
    <w:rsid w:val="001024FC"/>
    <w:rsid w:val="001024FE"/>
    <w:rsid w:val="0010258C"/>
    <w:rsid w:val="00102713"/>
    <w:rsid w:val="0010271E"/>
    <w:rsid w:val="00102752"/>
    <w:rsid w:val="00102ACE"/>
    <w:rsid w:val="00102B6C"/>
    <w:rsid w:val="00102C26"/>
    <w:rsid w:val="00103470"/>
    <w:rsid w:val="0010375C"/>
    <w:rsid w:val="0010377A"/>
    <w:rsid w:val="00103ACE"/>
    <w:rsid w:val="00103FE2"/>
    <w:rsid w:val="0010407C"/>
    <w:rsid w:val="00104268"/>
    <w:rsid w:val="001046FD"/>
    <w:rsid w:val="001047AE"/>
    <w:rsid w:val="001053AD"/>
    <w:rsid w:val="001059C5"/>
    <w:rsid w:val="00105DC1"/>
    <w:rsid w:val="0010618E"/>
    <w:rsid w:val="001064DF"/>
    <w:rsid w:val="001064E2"/>
    <w:rsid w:val="00106567"/>
    <w:rsid w:val="00106705"/>
    <w:rsid w:val="0010693A"/>
    <w:rsid w:val="00106CAC"/>
    <w:rsid w:val="00106D47"/>
    <w:rsid w:val="00106D5A"/>
    <w:rsid w:val="001070CF"/>
    <w:rsid w:val="00107317"/>
    <w:rsid w:val="00107497"/>
    <w:rsid w:val="00107E45"/>
    <w:rsid w:val="001106E0"/>
    <w:rsid w:val="00110763"/>
    <w:rsid w:val="00110908"/>
    <w:rsid w:val="0011096E"/>
    <w:rsid w:val="00110A0A"/>
    <w:rsid w:val="00110A66"/>
    <w:rsid w:val="00110B93"/>
    <w:rsid w:val="00110E04"/>
    <w:rsid w:val="0011109C"/>
    <w:rsid w:val="0011120F"/>
    <w:rsid w:val="0011141B"/>
    <w:rsid w:val="00111437"/>
    <w:rsid w:val="00111444"/>
    <w:rsid w:val="00111A9D"/>
    <w:rsid w:val="00111FD8"/>
    <w:rsid w:val="00112B81"/>
    <w:rsid w:val="001131C7"/>
    <w:rsid w:val="001134B2"/>
    <w:rsid w:val="001140D8"/>
    <w:rsid w:val="00114341"/>
    <w:rsid w:val="00114A80"/>
    <w:rsid w:val="00114A88"/>
    <w:rsid w:val="00114BC5"/>
    <w:rsid w:val="00114D75"/>
    <w:rsid w:val="00114E6B"/>
    <w:rsid w:val="0011532F"/>
    <w:rsid w:val="0011561F"/>
    <w:rsid w:val="001158F0"/>
    <w:rsid w:val="00115DB6"/>
    <w:rsid w:val="0011617C"/>
    <w:rsid w:val="00116184"/>
    <w:rsid w:val="001162B6"/>
    <w:rsid w:val="00116F9A"/>
    <w:rsid w:val="00116FF7"/>
    <w:rsid w:val="00117291"/>
    <w:rsid w:val="0011739B"/>
    <w:rsid w:val="00117514"/>
    <w:rsid w:val="001176B4"/>
    <w:rsid w:val="00117796"/>
    <w:rsid w:val="001178D8"/>
    <w:rsid w:val="00117C27"/>
    <w:rsid w:val="00117D72"/>
    <w:rsid w:val="001205AE"/>
    <w:rsid w:val="00120EA6"/>
    <w:rsid w:val="001213DF"/>
    <w:rsid w:val="001214B2"/>
    <w:rsid w:val="001214FB"/>
    <w:rsid w:val="001217CB"/>
    <w:rsid w:val="00121E37"/>
    <w:rsid w:val="00121E4C"/>
    <w:rsid w:val="0012201A"/>
    <w:rsid w:val="00122253"/>
    <w:rsid w:val="00122BFE"/>
    <w:rsid w:val="0012306C"/>
    <w:rsid w:val="0012321E"/>
    <w:rsid w:val="00123707"/>
    <w:rsid w:val="00123935"/>
    <w:rsid w:val="00123994"/>
    <w:rsid w:val="00123A06"/>
    <w:rsid w:val="00123BAF"/>
    <w:rsid w:val="00123F1D"/>
    <w:rsid w:val="001246F3"/>
    <w:rsid w:val="00124B78"/>
    <w:rsid w:val="00124D5D"/>
    <w:rsid w:val="00124EA4"/>
    <w:rsid w:val="00124F76"/>
    <w:rsid w:val="00124FA7"/>
    <w:rsid w:val="00125441"/>
    <w:rsid w:val="00125879"/>
    <w:rsid w:val="00125C85"/>
    <w:rsid w:val="00125D53"/>
    <w:rsid w:val="00125FE7"/>
    <w:rsid w:val="0012607A"/>
    <w:rsid w:val="00126478"/>
    <w:rsid w:val="00126943"/>
    <w:rsid w:val="00126DE3"/>
    <w:rsid w:val="00126EFA"/>
    <w:rsid w:val="00127363"/>
    <w:rsid w:val="001273C4"/>
    <w:rsid w:val="001279B1"/>
    <w:rsid w:val="00127CA9"/>
    <w:rsid w:val="001302CC"/>
    <w:rsid w:val="0013042C"/>
    <w:rsid w:val="00130648"/>
    <w:rsid w:val="001307A6"/>
    <w:rsid w:val="00130AD5"/>
    <w:rsid w:val="00130C28"/>
    <w:rsid w:val="00130D24"/>
    <w:rsid w:val="00130E09"/>
    <w:rsid w:val="0013111A"/>
    <w:rsid w:val="00131140"/>
    <w:rsid w:val="001312C1"/>
    <w:rsid w:val="00131895"/>
    <w:rsid w:val="00131B02"/>
    <w:rsid w:val="00131DCC"/>
    <w:rsid w:val="00131ED5"/>
    <w:rsid w:val="001320D4"/>
    <w:rsid w:val="001324AF"/>
    <w:rsid w:val="001324EC"/>
    <w:rsid w:val="0013267E"/>
    <w:rsid w:val="00133128"/>
    <w:rsid w:val="001333E5"/>
    <w:rsid w:val="00133825"/>
    <w:rsid w:val="00133A8D"/>
    <w:rsid w:val="001341F5"/>
    <w:rsid w:val="0013468D"/>
    <w:rsid w:val="001346B4"/>
    <w:rsid w:val="00134783"/>
    <w:rsid w:val="001349E0"/>
    <w:rsid w:val="00134B1F"/>
    <w:rsid w:val="00134FEC"/>
    <w:rsid w:val="00135298"/>
    <w:rsid w:val="00135321"/>
    <w:rsid w:val="001353E6"/>
    <w:rsid w:val="00135585"/>
    <w:rsid w:val="001358F1"/>
    <w:rsid w:val="00135C9B"/>
    <w:rsid w:val="00135D1B"/>
    <w:rsid w:val="00135E02"/>
    <w:rsid w:val="00136F29"/>
    <w:rsid w:val="00137029"/>
    <w:rsid w:val="0013708B"/>
    <w:rsid w:val="001372D7"/>
    <w:rsid w:val="001377AF"/>
    <w:rsid w:val="00137928"/>
    <w:rsid w:val="00137B1B"/>
    <w:rsid w:val="00137CA8"/>
    <w:rsid w:val="00137F23"/>
    <w:rsid w:val="00140185"/>
    <w:rsid w:val="00140229"/>
    <w:rsid w:val="0014024C"/>
    <w:rsid w:val="00140573"/>
    <w:rsid w:val="00140654"/>
    <w:rsid w:val="00140C12"/>
    <w:rsid w:val="00140D15"/>
    <w:rsid w:val="00140E14"/>
    <w:rsid w:val="00140F50"/>
    <w:rsid w:val="00141059"/>
    <w:rsid w:val="0014117B"/>
    <w:rsid w:val="00141210"/>
    <w:rsid w:val="001412E5"/>
    <w:rsid w:val="001415B8"/>
    <w:rsid w:val="0014188E"/>
    <w:rsid w:val="00141B06"/>
    <w:rsid w:val="00141D60"/>
    <w:rsid w:val="0014200D"/>
    <w:rsid w:val="0014254D"/>
    <w:rsid w:val="001428F3"/>
    <w:rsid w:val="001429FA"/>
    <w:rsid w:val="00142BE7"/>
    <w:rsid w:val="00142FAB"/>
    <w:rsid w:val="00143063"/>
    <w:rsid w:val="001431A4"/>
    <w:rsid w:val="001433BE"/>
    <w:rsid w:val="00143A51"/>
    <w:rsid w:val="00143A58"/>
    <w:rsid w:val="00143DB1"/>
    <w:rsid w:val="00143DDC"/>
    <w:rsid w:val="00143DEB"/>
    <w:rsid w:val="001442D6"/>
    <w:rsid w:val="001442F1"/>
    <w:rsid w:val="0014444E"/>
    <w:rsid w:val="0014499A"/>
    <w:rsid w:val="00144A0B"/>
    <w:rsid w:val="00144D58"/>
    <w:rsid w:val="0014524F"/>
    <w:rsid w:val="00145259"/>
    <w:rsid w:val="001456F6"/>
    <w:rsid w:val="00145798"/>
    <w:rsid w:val="001458BC"/>
    <w:rsid w:val="001459B6"/>
    <w:rsid w:val="00145A91"/>
    <w:rsid w:val="00145AE0"/>
    <w:rsid w:val="001460B0"/>
    <w:rsid w:val="001461CE"/>
    <w:rsid w:val="001465EA"/>
    <w:rsid w:val="00146A50"/>
    <w:rsid w:val="00146C81"/>
    <w:rsid w:val="00146CD6"/>
    <w:rsid w:val="0014710C"/>
    <w:rsid w:val="0014750D"/>
    <w:rsid w:val="00147598"/>
    <w:rsid w:val="001479B1"/>
    <w:rsid w:val="00147BE1"/>
    <w:rsid w:val="00147BFF"/>
    <w:rsid w:val="00147FB2"/>
    <w:rsid w:val="00150300"/>
    <w:rsid w:val="0015033A"/>
    <w:rsid w:val="001503B1"/>
    <w:rsid w:val="00150675"/>
    <w:rsid w:val="0015178B"/>
    <w:rsid w:val="001518BD"/>
    <w:rsid w:val="00151ABF"/>
    <w:rsid w:val="00151D89"/>
    <w:rsid w:val="00152100"/>
    <w:rsid w:val="001521A4"/>
    <w:rsid w:val="001525DB"/>
    <w:rsid w:val="0015290E"/>
    <w:rsid w:val="001530D6"/>
    <w:rsid w:val="00153514"/>
    <w:rsid w:val="00153BBF"/>
    <w:rsid w:val="00153C4D"/>
    <w:rsid w:val="00153FD2"/>
    <w:rsid w:val="001544FF"/>
    <w:rsid w:val="00154913"/>
    <w:rsid w:val="00154B49"/>
    <w:rsid w:val="00154BD1"/>
    <w:rsid w:val="001550E8"/>
    <w:rsid w:val="00155135"/>
    <w:rsid w:val="001555D6"/>
    <w:rsid w:val="001558FA"/>
    <w:rsid w:val="001559E5"/>
    <w:rsid w:val="00156816"/>
    <w:rsid w:val="00156859"/>
    <w:rsid w:val="0015692D"/>
    <w:rsid w:val="00156D16"/>
    <w:rsid w:val="0015712D"/>
    <w:rsid w:val="00157BEF"/>
    <w:rsid w:val="00157D08"/>
    <w:rsid w:val="00157DCC"/>
    <w:rsid w:val="001603FF"/>
    <w:rsid w:val="00160452"/>
    <w:rsid w:val="00160761"/>
    <w:rsid w:val="00160D13"/>
    <w:rsid w:val="00160E43"/>
    <w:rsid w:val="00161324"/>
    <w:rsid w:val="00161B4A"/>
    <w:rsid w:val="00161B8B"/>
    <w:rsid w:val="00162196"/>
    <w:rsid w:val="0016230E"/>
    <w:rsid w:val="0016247E"/>
    <w:rsid w:val="001624A7"/>
    <w:rsid w:val="00162928"/>
    <w:rsid w:val="00162B88"/>
    <w:rsid w:val="0016314A"/>
    <w:rsid w:val="00163F13"/>
    <w:rsid w:val="00164018"/>
    <w:rsid w:val="00164176"/>
    <w:rsid w:val="001645B3"/>
    <w:rsid w:val="001647C1"/>
    <w:rsid w:val="00164EDF"/>
    <w:rsid w:val="00165002"/>
    <w:rsid w:val="00165021"/>
    <w:rsid w:val="00165078"/>
    <w:rsid w:val="001654F6"/>
    <w:rsid w:val="00165813"/>
    <w:rsid w:val="00165FE0"/>
    <w:rsid w:val="001663B4"/>
    <w:rsid w:val="00166692"/>
    <w:rsid w:val="0016686F"/>
    <w:rsid w:val="00166D8C"/>
    <w:rsid w:val="00166EE0"/>
    <w:rsid w:val="0016779B"/>
    <w:rsid w:val="00167A14"/>
    <w:rsid w:val="00167ACC"/>
    <w:rsid w:val="00167B2A"/>
    <w:rsid w:val="00167E78"/>
    <w:rsid w:val="001702C4"/>
    <w:rsid w:val="001705B7"/>
    <w:rsid w:val="0017093A"/>
    <w:rsid w:val="00170CD1"/>
    <w:rsid w:val="00170CEB"/>
    <w:rsid w:val="00171806"/>
    <w:rsid w:val="001719B3"/>
    <w:rsid w:val="00171A53"/>
    <w:rsid w:val="00171B8C"/>
    <w:rsid w:val="00171CFA"/>
    <w:rsid w:val="00171FC7"/>
    <w:rsid w:val="001728A5"/>
    <w:rsid w:val="00172D3B"/>
    <w:rsid w:val="00172F26"/>
    <w:rsid w:val="00172FA1"/>
    <w:rsid w:val="00173048"/>
    <w:rsid w:val="0017367D"/>
    <w:rsid w:val="001743ED"/>
    <w:rsid w:val="00174A82"/>
    <w:rsid w:val="00174C1E"/>
    <w:rsid w:val="00174CBB"/>
    <w:rsid w:val="001750C6"/>
    <w:rsid w:val="00175429"/>
    <w:rsid w:val="001755CA"/>
    <w:rsid w:val="00175691"/>
    <w:rsid w:val="00175788"/>
    <w:rsid w:val="00175A9C"/>
    <w:rsid w:val="00175AFF"/>
    <w:rsid w:val="0017608E"/>
    <w:rsid w:val="00176377"/>
    <w:rsid w:val="00176716"/>
    <w:rsid w:val="00176BA6"/>
    <w:rsid w:val="00176C84"/>
    <w:rsid w:val="00177987"/>
    <w:rsid w:val="00177A89"/>
    <w:rsid w:val="00177ADF"/>
    <w:rsid w:val="00177BE4"/>
    <w:rsid w:val="00177F42"/>
    <w:rsid w:val="00177FF7"/>
    <w:rsid w:val="00180295"/>
    <w:rsid w:val="0018045A"/>
    <w:rsid w:val="00180611"/>
    <w:rsid w:val="00180A95"/>
    <w:rsid w:val="00180A96"/>
    <w:rsid w:val="001810C7"/>
    <w:rsid w:val="001814EC"/>
    <w:rsid w:val="00181640"/>
    <w:rsid w:val="00181942"/>
    <w:rsid w:val="00181AB2"/>
    <w:rsid w:val="00181ADE"/>
    <w:rsid w:val="00181B0D"/>
    <w:rsid w:val="00181B39"/>
    <w:rsid w:val="00181DF1"/>
    <w:rsid w:val="001822C4"/>
    <w:rsid w:val="00182984"/>
    <w:rsid w:val="00182C18"/>
    <w:rsid w:val="00182D1F"/>
    <w:rsid w:val="00182ED0"/>
    <w:rsid w:val="0018308E"/>
    <w:rsid w:val="0018337A"/>
    <w:rsid w:val="00183A45"/>
    <w:rsid w:val="00183B2F"/>
    <w:rsid w:val="00183D90"/>
    <w:rsid w:val="00183E37"/>
    <w:rsid w:val="00183E3B"/>
    <w:rsid w:val="00183E4D"/>
    <w:rsid w:val="00183EE5"/>
    <w:rsid w:val="00183FF4"/>
    <w:rsid w:val="00184148"/>
    <w:rsid w:val="0018480C"/>
    <w:rsid w:val="001850C0"/>
    <w:rsid w:val="00185497"/>
    <w:rsid w:val="001859B0"/>
    <w:rsid w:val="00185A14"/>
    <w:rsid w:val="00185AAE"/>
    <w:rsid w:val="00185AEB"/>
    <w:rsid w:val="00185D5F"/>
    <w:rsid w:val="00185DC1"/>
    <w:rsid w:val="00185E19"/>
    <w:rsid w:val="00186246"/>
    <w:rsid w:val="001866BF"/>
    <w:rsid w:val="001867EB"/>
    <w:rsid w:val="00186A92"/>
    <w:rsid w:val="00186AA4"/>
    <w:rsid w:val="00186C9F"/>
    <w:rsid w:val="00186EF4"/>
    <w:rsid w:val="00187020"/>
    <w:rsid w:val="001870D1"/>
    <w:rsid w:val="00187B4D"/>
    <w:rsid w:val="00187BE6"/>
    <w:rsid w:val="00187CF5"/>
    <w:rsid w:val="00190556"/>
    <w:rsid w:val="00190D6F"/>
    <w:rsid w:val="00190E47"/>
    <w:rsid w:val="00190E57"/>
    <w:rsid w:val="001912B4"/>
    <w:rsid w:val="001912BA"/>
    <w:rsid w:val="00191502"/>
    <w:rsid w:val="00191577"/>
    <w:rsid w:val="00191822"/>
    <w:rsid w:val="00192555"/>
    <w:rsid w:val="001926D6"/>
    <w:rsid w:val="001926EA"/>
    <w:rsid w:val="00192AA4"/>
    <w:rsid w:val="00192AE0"/>
    <w:rsid w:val="00192B76"/>
    <w:rsid w:val="00192F46"/>
    <w:rsid w:val="001930AF"/>
    <w:rsid w:val="001932BF"/>
    <w:rsid w:val="001937F6"/>
    <w:rsid w:val="00193AB1"/>
    <w:rsid w:val="00193B87"/>
    <w:rsid w:val="00193DE2"/>
    <w:rsid w:val="00193E3B"/>
    <w:rsid w:val="00193EC8"/>
    <w:rsid w:val="00193FD1"/>
    <w:rsid w:val="00194025"/>
    <w:rsid w:val="0019403F"/>
    <w:rsid w:val="001941FC"/>
    <w:rsid w:val="0019508F"/>
    <w:rsid w:val="001950BC"/>
    <w:rsid w:val="0019554C"/>
    <w:rsid w:val="00196EED"/>
    <w:rsid w:val="00196F63"/>
    <w:rsid w:val="00196FD6"/>
    <w:rsid w:val="001974A0"/>
    <w:rsid w:val="001979FE"/>
    <w:rsid w:val="001A0148"/>
    <w:rsid w:val="001A08FA"/>
    <w:rsid w:val="001A0CAB"/>
    <w:rsid w:val="001A12A4"/>
    <w:rsid w:val="001A1623"/>
    <w:rsid w:val="001A1860"/>
    <w:rsid w:val="001A1C91"/>
    <w:rsid w:val="001A1E0A"/>
    <w:rsid w:val="001A2CC1"/>
    <w:rsid w:val="001A3113"/>
    <w:rsid w:val="001A31BB"/>
    <w:rsid w:val="001A3319"/>
    <w:rsid w:val="001A343C"/>
    <w:rsid w:val="001A361C"/>
    <w:rsid w:val="001A3889"/>
    <w:rsid w:val="001A412D"/>
    <w:rsid w:val="001A41E3"/>
    <w:rsid w:val="001A43AC"/>
    <w:rsid w:val="001A4444"/>
    <w:rsid w:val="001A4625"/>
    <w:rsid w:val="001A4A46"/>
    <w:rsid w:val="001A4BD8"/>
    <w:rsid w:val="001A4CA6"/>
    <w:rsid w:val="001A4FAC"/>
    <w:rsid w:val="001A4FD5"/>
    <w:rsid w:val="001A532C"/>
    <w:rsid w:val="001A589C"/>
    <w:rsid w:val="001A5972"/>
    <w:rsid w:val="001A5ABE"/>
    <w:rsid w:val="001A5C3F"/>
    <w:rsid w:val="001A5EF8"/>
    <w:rsid w:val="001A5F35"/>
    <w:rsid w:val="001A652C"/>
    <w:rsid w:val="001A6B50"/>
    <w:rsid w:val="001A6B5E"/>
    <w:rsid w:val="001A6B84"/>
    <w:rsid w:val="001A73C9"/>
    <w:rsid w:val="001A75CA"/>
    <w:rsid w:val="001B00E6"/>
    <w:rsid w:val="001B0A4C"/>
    <w:rsid w:val="001B0D83"/>
    <w:rsid w:val="001B24A7"/>
    <w:rsid w:val="001B24A8"/>
    <w:rsid w:val="001B25F4"/>
    <w:rsid w:val="001B279B"/>
    <w:rsid w:val="001B2A0B"/>
    <w:rsid w:val="001B2A7E"/>
    <w:rsid w:val="001B2DC6"/>
    <w:rsid w:val="001B30D6"/>
    <w:rsid w:val="001B33AE"/>
    <w:rsid w:val="001B35B1"/>
    <w:rsid w:val="001B3A2C"/>
    <w:rsid w:val="001B3A9D"/>
    <w:rsid w:val="001B41DF"/>
    <w:rsid w:val="001B45BF"/>
    <w:rsid w:val="001B470A"/>
    <w:rsid w:val="001B49CC"/>
    <w:rsid w:val="001B4CC7"/>
    <w:rsid w:val="001B4DDE"/>
    <w:rsid w:val="001B4E96"/>
    <w:rsid w:val="001B51C9"/>
    <w:rsid w:val="001B527E"/>
    <w:rsid w:val="001B55C1"/>
    <w:rsid w:val="001B5EDE"/>
    <w:rsid w:val="001B600A"/>
    <w:rsid w:val="001B601D"/>
    <w:rsid w:val="001B60C6"/>
    <w:rsid w:val="001B6A10"/>
    <w:rsid w:val="001B6D1F"/>
    <w:rsid w:val="001B6D49"/>
    <w:rsid w:val="001B7309"/>
    <w:rsid w:val="001B7522"/>
    <w:rsid w:val="001C0441"/>
    <w:rsid w:val="001C0511"/>
    <w:rsid w:val="001C067F"/>
    <w:rsid w:val="001C0761"/>
    <w:rsid w:val="001C0CEF"/>
    <w:rsid w:val="001C0F83"/>
    <w:rsid w:val="001C0F86"/>
    <w:rsid w:val="001C197E"/>
    <w:rsid w:val="001C1A17"/>
    <w:rsid w:val="001C20FD"/>
    <w:rsid w:val="001C2991"/>
    <w:rsid w:val="001C2D9A"/>
    <w:rsid w:val="001C2E1E"/>
    <w:rsid w:val="001C3383"/>
    <w:rsid w:val="001C3A68"/>
    <w:rsid w:val="001C3C5F"/>
    <w:rsid w:val="001C3E29"/>
    <w:rsid w:val="001C3EB8"/>
    <w:rsid w:val="001C467D"/>
    <w:rsid w:val="001C4A9A"/>
    <w:rsid w:val="001C58AF"/>
    <w:rsid w:val="001C62B6"/>
    <w:rsid w:val="001C67AA"/>
    <w:rsid w:val="001C69A9"/>
    <w:rsid w:val="001C69AC"/>
    <w:rsid w:val="001C6A22"/>
    <w:rsid w:val="001C6D80"/>
    <w:rsid w:val="001C75A6"/>
    <w:rsid w:val="001C7741"/>
    <w:rsid w:val="001C7B87"/>
    <w:rsid w:val="001D011E"/>
    <w:rsid w:val="001D0548"/>
    <w:rsid w:val="001D08EE"/>
    <w:rsid w:val="001D0931"/>
    <w:rsid w:val="001D102B"/>
    <w:rsid w:val="001D1319"/>
    <w:rsid w:val="001D152F"/>
    <w:rsid w:val="001D1546"/>
    <w:rsid w:val="001D15E7"/>
    <w:rsid w:val="001D169C"/>
    <w:rsid w:val="001D1AD6"/>
    <w:rsid w:val="001D1B6F"/>
    <w:rsid w:val="001D1CC7"/>
    <w:rsid w:val="001D1DDF"/>
    <w:rsid w:val="001D1F4E"/>
    <w:rsid w:val="001D22EB"/>
    <w:rsid w:val="001D269C"/>
    <w:rsid w:val="001D2A62"/>
    <w:rsid w:val="001D2BAE"/>
    <w:rsid w:val="001D3018"/>
    <w:rsid w:val="001D396E"/>
    <w:rsid w:val="001D3A9B"/>
    <w:rsid w:val="001D3AA3"/>
    <w:rsid w:val="001D48F3"/>
    <w:rsid w:val="001D4FD2"/>
    <w:rsid w:val="001D5263"/>
    <w:rsid w:val="001D5380"/>
    <w:rsid w:val="001D53A0"/>
    <w:rsid w:val="001D565B"/>
    <w:rsid w:val="001D5676"/>
    <w:rsid w:val="001D56BC"/>
    <w:rsid w:val="001D5C50"/>
    <w:rsid w:val="001D5D4F"/>
    <w:rsid w:val="001D62B4"/>
    <w:rsid w:val="001D6423"/>
    <w:rsid w:val="001D646C"/>
    <w:rsid w:val="001D64B5"/>
    <w:rsid w:val="001D6A28"/>
    <w:rsid w:val="001D6BA0"/>
    <w:rsid w:val="001D6C21"/>
    <w:rsid w:val="001D6D9D"/>
    <w:rsid w:val="001D71B7"/>
    <w:rsid w:val="001D7A0B"/>
    <w:rsid w:val="001D7B2F"/>
    <w:rsid w:val="001D7CCE"/>
    <w:rsid w:val="001D7D4A"/>
    <w:rsid w:val="001E009C"/>
    <w:rsid w:val="001E025C"/>
    <w:rsid w:val="001E02A7"/>
    <w:rsid w:val="001E050E"/>
    <w:rsid w:val="001E0C2D"/>
    <w:rsid w:val="001E0EA2"/>
    <w:rsid w:val="001E0EBE"/>
    <w:rsid w:val="001E0FEF"/>
    <w:rsid w:val="001E170A"/>
    <w:rsid w:val="001E17C1"/>
    <w:rsid w:val="001E1B6F"/>
    <w:rsid w:val="001E1C8F"/>
    <w:rsid w:val="001E20E9"/>
    <w:rsid w:val="001E25DF"/>
    <w:rsid w:val="001E261D"/>
    <w:rsid w:val="001E287C"/>
    <w:rsid w:val="001E28D2"/>
    <w:rsid w:val="001E2942"/>
    <w:rsid w:val="001E2D6D"/>
    <w:rsid w:val="001E2DEF"/>
    <w:rsid w:val="001E2DFB"/>
    <w:rsid w:val="001E31F3"/>
    <w:rsid w:val="001E32B9"/>
    <w:rsid w:val="001E3578"/>
    <w:rsid w:val="001E35A5"/>
    <w:rsid w:val="001E3620"/>
    <w:rsid w:val="001E3645"/>
    <w:rsid w:val="001E384A"/>
    <w:rsid w:val="001E3946"/>
    <w:rsid w:val="001E3963"/>
    <w:rsid w:val="001E3AA0"/>
    <w:rsid w:val="001E4BD6"/>
    <w:rsid w:val="001E4F09"/>
    <w:rsid w:val="001E5397"/>
    <w:rsid w:val="001E54C8"/>
    <w:rsid w:val="001E55A8"/>
    <w:rsid w:val="001E55CD"/>
    <w:rsid w:val="001E5A4C"/>
    <w:rsid w:val="001E5AB2"/>
    <w:rsid w:val="001E5BF0"/>
    <w:rsid w:val="001E6108"/>
    <w:rsid w:val="001E66FC"/>
    <w:rsid w:val="001E6713"/>
    <w:rsid w:val="001E705F"/>
    <w:rsid w:val="001E709D"/>
    <w:rsid w:val="001E7129"/>
    <w:rsid w:val="001E71F5"/>
    <w:rsid w:val="001E7633"/>
    <w:rsid w:val="001E7E2B"/>
    <w:rsid w:val="001F0369"/>
    <w:rsid w:val="001F0512"/>
    <w:rsid w:val="001F069E"/>
    <w:rsid w:val="001F0799"/>
    <w:rsid w:val="001F0B51"/>
    <w:rsid w:val="001F0CC8"/>
    <w:rsid w:val="001F0FDD"/>
    <w:rsid w:val="001F11EB"/>
    <w:rsid w:val="001F199A"/>
    <w:rsid w:val="001F1A9D"/>
    <w:rsid w:val="001F1C68"/>
    <w:rsid w:val="001F1C78"/>
    <w:rsid w:val="001F2003"/>
    <w:rsid w:val="001F2819"/>
    <w:rsid w:val="001F289A"/>
    <w:rsid w:val="001F2CFD"/>
    <w:rsid w:val="001F301C"/>
    <w:rsid w:val="001F308C"/>
    <w:rsid w:val="001F37BA"/>
    <w:rsid w:val="001F3AC6"/>
    <w:rsid w:val="001F3ECF"/>
    <w:rsid w:val="001F44A0"/>
    <w:rsid w:val="001F4758"/>
    <w:rsid w:val="001F5116"/>
    <w:rsid w:val="001F579B"/>
    <w:rsid w:val="001F61E5"/>
    <w:rsid w:val="001F622B"/>
    <w:rsid w:val="001F6560"/>
    <w:rsid w:val="001F686A"/>
    <w:rsid w:val="001F6CF7"/>
    <w:rsid w:val="001F6E99"/>
    <w:rsid w:val="001F764C"/>
    <w:rsid w:val="001F7690"/>
    <w:rsid w:val="0020001C"/>
    <w:rsid w:val="0020018B"/>
    <w:rsid w:val="002002F1"/>
    <w:rsid w:val="00200315"/>
    <w:rsid w:val="002003A2"/>
    <w:rsid w:val="0020044D"/>
    <w:rsid w:val="00200DE0"/>
    <w:rsid w:val="0020132B"/>
    <w:rsid w:val="002016B4"/>
    <w:rsid w:val="00201A06"/>
    <w:rsid w:val="0020228D"/>
    <w:rsid w:val="002023A3"/>
    <w:rsid w:val="002023C8"/>
    <w:rsid w:val="002025C6"/>
    <w:rsid w:val="00202B51"/>
    <w:rsid w:val="00202CCF"/>
    <w:rsid w:val="00203947"/>
    <w:rsid w:val="00203DD7"/>
    <w:rsid w:val="002041A6"/>
    <w:rsid w:val="0020436B"/>
    <w:rsid w:val="00204C72"/>
    <w:rsid w:val="002052B3"/>
    <w:rsid w:val="00205356"/>
    <w:rsid w:val="00205A91"/>
    <w:rsid w:val="00205E54"/>
    <w:rsid w:val="00206886"/>
    <w:rsid w:val="002068C1"/>
    <w:rsid w:val="00206C27"/>
    <w:rsid w:val="00207278"/>
    <w:rsid w:val="00207AAF"/>
    <w:rsid w:val="00207B1E"/>
    <w:rsid w:val="00207B7F"/>
    <w:rsid w:val="00207C1C"/>
    <w:rsid w:val="00207CD2"/>
    <w:rsid w:val="00210291"/>
    <w:rsid w:val="00210407"/>
    <w:rsid w:val="00210C5E"/>
    <w:rsid w:val="00210DC7"/>
    <w:rsid w:val="00211229"/>
    <w:rsid w:val="0021156D"/>
    <w:rsid w:val="00211DCE"/>
    <w:rsid w:val="002120D8"/>
    <w:rsid w:val="0021223A"/>
    <w:rsid w:val="0021226A"/>
    <w:rsid w:val="00212330"/>
    <w:rsid w:val="0021273B"/>
    <w:rsid w:val="00212776"/>
    <w:rsid w:val="0021286C"/>
    <w:rsid w:val="0021294E"/>
    <w:rsid w:val="00212A31"/>
    <w:rsid w:val="00212B68"/>
    <w:rsid w:val="00212D20"/>
    <w:rsid w:val="00212D8E"/>
    <w:rsid w:val="00212E6A"/>
    <w:rsid w:val="00212EE0"/>
    <w:rsid w:val="00212EFC"/>
    <w:rsid w:val="0021311F"/>
    <w:rsid w:val="00213374"/>
    <w:rsid w:val="002133C9"/>
    <w:rsid w:val="0021352C"/>
    <w:rsid w:val="0021376A"/>
    <w:rsid w:val="0021388F"/>
    <w:rsid w:val="00213CA2"/>
    <w:rsid w:val="00213DB2"/>
    <w:rsid w:val="00213EA5"/>
    <w:rsid w:val="00213ECD"/>
    <w:rsid w:val="00213EED"/>
    <w:rsid w:val="00214C6A"/>
    <w:rsid w:val="00214F43"/>
    <w:rsid w:val="00214F7B"/>
    <w:rsid w:val="002161D5"/>
    <w:rsid w:val="002161EB"/>
    <w:rsid w:val="00216215"/>
    <w:rsid w:val="00216252"/>
    <w:rsid w:val="00216306"/>
    <w:rsid w:val="0021639E"/>
    <w:rsid w:val="002165BB"/>
    <w:rsid w:val="002165D4"/>
    <w:rsid w:val="00216D21"/>
    <w:rsid w:val="00216FAA"/>
    <w:rsid w:val="00217218"/>
    <w:rsid w:val="002177EE"/>
    <w:rsid w:val="00217A8E"/>
    <w:rsid w:val="00220029"/>
    <w:rsid w:val="0022035F"/>
    <w:rsid w:val="00220420"/>
    <w:rsid w:val="002207FF"/>
    <w:rsid w:val="00220A74"/>
    <w:rsid w:val="00220CBB"/>
    <w:rsid w:val="0022114B"/>
    <w:rsid w:val="002217FB"/>
    <w:rsid w:val="002219B8"/>
    <w:rsid w:val="002221F6"/>
    <w:rsid w:val="00222419"/>
    <w:rsid w:val="00222570"/>
    <w:rsid w:val="002226F6"/>
    <w:rsid w:val="00222A28"/>
    <w:rsid w:val="0022318A"/>
    <w:rsid w:val="00223476"/>
    <w:rsid w:val="0022359D"/>
    <w:rsid w:val="002242CD"/>
    <w:rsid w:val="00224CA7"/>
    <w:rsid w:val="0022525A"/>
    <w:rsid w:val="0022537D"/>
    <w:rsid w:val="00225943"/>
    <w:rsid w:val="00225B70"/>
    <w:rsid w:val="00225D38"/>
    <w:rsid w:val="00225FA6"/>
    <w:rsid w:val="00225FEC"/>
    <w:rsid w:val="0022603D"/>
    <w:rsid w:val="00226063"/>
    <w:rsid w:val="00226282"/>
    <w:rsid w:val="002264CB"/>
    <w:rsid w:val="002265DA"/>
    <w:rsid w:val="002268D2"/>
    <w:rsid w:val="0022719F"/>
    <w:rsid w:val="0022768B"/>
    <w:rsid w:val="00227788"/>
    <w:rsid w:val="00227CE6"/>
    <w:rsid w:val="00227DC8"/>
    <w:rsid w:val="0023000B"/>
    <w:rsid w:val="0023007B"/>
    <w:rsid w:val="0023050C"/>
    <w:rsid w:val="00230522"/>
    <w:rsid w:val="002305E3"/>
    <w:rsid w:val="00230718"/>
    <w:rsid w:val="00230999"/>
    <w:rsid w:val="00230F71"/>
    <w:rsid w:val="00231B9E"/>
    <w:rsid w:val="00231C83"/>
    <w:rsid w:val="0023205F"/>
    <w:rsid w:val="0023225E"/>
    <w:rsid w:val="00232586"/>
    <w:rsid w:val="0023263D"/>
    <w:rsid w:val="00232730"/>
    <w:rsid w:val="0023297A"/>
    <w:rsid w:val="00232C74"/>
    <w:rsid w:val="00232DF6"/>
    <w:rsid w:val="00233065"/>
    <w:rsid w:val="002339E3"/>
    <w:rsid w:val="00233ADB"/>
    <w:rsid w:val="002349F9"/>
    <w:rsid w:val="00234D1D"/>
    <w:rsid w:val="002351FB"/>
    <w:rsid w:val="00235D14"/>
    <w:rsid w:val="00235ECB"/>
    <w:rsid w:val="00236430"/>
    <w:rsid w:val="0023643C"/>
    <w:rsid w:val="00236695"/>
    <w:rsid w:val="002368EB"/>
    <w:rsid w:val="00236A7B"/>
    <w:rsid w:val="00236D26"/>
    <w:rsid w:val="002371C0"/>
    <w:rsid w:val="0023727F"/>
    <w:rsid w:val="00240168"/>
    <w:rsid w:val="0024027B"/>
    <w:rsid w:val="002407F1"/>
    <w:rsid w:val="00240933"/>
    <w:rsid w:val="0024098F"/>
    <w:rsid w:val="00240C17"/>
    <w:rsid w:val="00240D9D"/>
    <w:rsid w:val="00240E92"/>
    <w:rsid w:val="00240EC4"/>
    <w:rsid w:val="002419C0"/>
    <w:rsid w:val="00241E85"/>
    <w:rsid w:val="002422FA"/>
    <w:rsid w:val="002425EC"/>
    <w:rsid w:val="00242920"/>
    <w:rsid w:val="002429AB"/>
    <w:rsid w:val="00242BED"/>
    <w:rsid w:val="00242D36"/>
    <w:rsid w:val="00242FE6"/>
    <w:rsid w:val="002432AB"/>
    <w:rsid w:val="00243503"/>
    <w:rsid w:val="00243530"/>
    <w:rsid w:val="002436E9"/>
    <w:rsid w:val="0024380D"/>
    <w:rsid w:val="00243AC8"/>
    <w:rsid w:val="00243D0B"/>
    <w:rsid w:val="00243F70"/>
    <w:rsid w:val="002440A5"/>
    <w:rsid w:val="0024425B"/>
    <w:rsid w:val="00244533"/>
    <w:rsid w:val="00244875"/>
    <w:rsid w:val="002449B1"/>
    <w:rsid w:val="00244B62"/>
    <w:rsid w:val="00244C5E"/>
    <w:rsid w:val="00244D58"/>
    <w:rsid w:val="0024504F"/>
    <w:rsid w:val="00245852"/>
    <w:rsid w:val="00245CC6"/>
    <w:rsid w:val="00245F40"/>
    <w:rsid w:val="002465C9"/>
    <w:rsid w:val="00246620"/>
    <w:rsid w:val="00246AE5"/>
    <w:rsid w:val="00246BCE"/>
    <w:rsid w:val="00247672"/>
    <w:rsid w:val="00247F76"/>
    <w:rsid w:val="002503BE"/>
    <w:rsid w:val="002509F3"/>
    <w:rsid w:val="00250AD3"/>
    <w:rsid w:val="00250E0F"/>
    <w:rsid w:val="00251081"/>
    <w:rsid w:val="0025138F"/>
    <w:rsid w:val="00251804"/>
    <w:rsid w:val="00251E8F"/>
    <w:rsid w:val="0025200D"/>
    <w:rsid w:val="0025242F"/>
    <w:rsid w:val="00252823"/>
    <w:rsid w:val="002528E9"/>
    <w:rsid w:val="00252B9B"/>
    <w:rsid w:val="00252BAA"/>
    <w:rsid w:val="00252D88"/>
    <w:rsid w:val="00252E89"/>
    <w:rsid w:val="00252E96"/>
    <w:rsid w:val="002530FF"/>
    <w:rsid w:val="00253278"/>
    <w:rsid w:val="0025353D"/>
    <w:rsid w:val="0025363F"/>
    <w:rsid w:val="002536E5"/>
    <w:rsid w:val="00253941"/>
    <w:rsid w:val="002540E4"/>
    <w:rsid w:val="00254906"/>
    <w:rsid w:val="002549CD"/>
    <w:rsid w:val="00254AA5"/>
    <w:rsid w:val="00254D0E"/>
    <w:rsid w:val="00254D43"/>
    <w:rsid w:val="00255B28"/>
    <w:rsid w:val="00255C7C"/>
    <w:rsid w:val="00255F4E"/>
    <w:rsid w:val="002567AE"/>
    <w:rsid w:val="00256C93"/>
    <w:rsid w:val="00256E03"/>
    <w:rsid w:val="00257377"/>
    <w:rsid w:val="002579B5"/>
    <w:rsid w:val="00257A4F"/>
    <w:rsid w:val="002604D1"/>
    <w:rsid w:val="00260776"/>
    <w:rsid w:val="002611B2"/>
    <w:rsid w:val="002615A7"/>
    <w:rsid w:val="00261BE0"/>
    <w:rsid w:val="00261CCC"/>
    <w:rsid w:val="00261D75"/>
    <w:rsid w:val="00261E92"/>
    <w:rsid w:val="00261F55"/>
    <w:rsid w:val="0026280F"/>
    <w:rsid w:val="00262DBC"/>
    <w:rsid w:val="00262FC1"/>
    <w:rsid w:val="0026308E"/>
    <w:rsid w:val="0026326C"/>
    <w:rsid w:val="0026359A"/>
    <w:rsid w:val="002644DF"/>
    <w:rsid w:val="00264873"/>
    <w:rsid w:val="002648F6"/>
    <w:rsid w:val="00264CC5"/>
    <w:rsid w:val="00264E3C"/>
    <w:rsid w:val="002655A7"/>
    <w:rsid w:val="002663F1"/>
    <w:rsid w:val="0026653C"/>
    <w:rsid w:val="00266596"/>
    <w:rsid w:val="00266665"/>
    <w:rsid w:val="002666EA"/>
    <w:rsid w:val="00266B0C"/>
    <w:rsid w:val="00266F21"/>
    <w:rsid w:val="0026730F"/>
    <w:rsid w:val="002679CF"/>
    <w:rsid w:val="00270095"/>
    <w:rsid w:val="002701A7"/>
    <w:rsid w:val="002707B7"/>
    <w:rsid w:val="00270E84"/>
    <w:rsid w:val="002711DC"/>
    <w:rsid w:val="002718FF"/>
    <w:rsid w:val="00271AD3"/>
    <w:rsid w:val="00271AF4"/>
    <w:rsid w:val="00271DAF"/>
    <w:rsid w:val="00271E8A"/>
    <w:rsid w:val="00271E9F"/>
    <w:rsid w:val="002720B6"/>
    <w:rsid w:val="0027240D"/>
    <w:rsid w:val="00272585"/>
    <w:rsid w:val="0027304D"/>
    <w:rsid w:val="00273148"/>
    <w:rsid w:val="00273362"/>
    <w:rsid w:val="002735E7"/>
    <w:rsid w:val="00273978"/>
    <w:rsid w:val="00273AE5"/>
    <w:rsid w:val="00273B16"/>
    <w:rsid w:val="00273B9D"/>
    <w:rsid w:val="00273D00"/>
    <w:rsid w:val="00274085"/>
    <w:rsid w:val="002740F9"/>
    <w:rsid w:val="00274733"/>
    <w:rsid w:val="00274872"/>
    <w:rsid w:val="00274895"/>
    <w:rsid w:val="00274F96"/>
    <w:rsid w:val="00275321"/>
    <w:rsid w:val="0027544C"/>
    <w:rsid w:val="0027559A"/>
    <w:rsid w:val="00275A28"/>
    <w:rsid w:val="00275DD6"/>
    <w:rsid w:val="0027625C"/>
    <w:rsid w:val="0027645A"/>
    <w:rsid w:val="002767F8"/>
    <w:rsid w:val="00276CC7"/>
    <w:rsid w:val="00276D3C"/>
    <w:rsid w:val="00276FDE"/>
    <w:rsid w:val="00277981"/>
    <w:rsid w:val="00277AF6"/>
    <w:rsid w:val="00277D37"/>
    <w:rsid w:val="00277DD8"/>
    <w:rsid w:val="00280592"/>
    <w:rsid w:val="002806AF"/>
    <w:rsid w:val="00280826"/>
    <w:rsid w:val="002808E8"/>
    <w:rsid w:val="00280A78"/>
    <w:rsid w:val="00280A91"/>
    <w:rsid w:val="00280CDB"/>
    <w:rsid w:val="00280E58"/>
    <w:rsid w:val="00280E77"/>
    <w:rsid w:val="00281055"/>
    <w:rsid w:val="00281742"/>
    <w:rsid w:val="00281909"/>
    <w:rsid w:val="00281D2F"/>
    <w:rsid w:val="00281F58"/>
    <w:rsid w:val="0028216E"/>
    <w:rsid w:val="00282315"/>
    <w:rsid w:val="002826E9"/>
    <w:rsid w:val="0028281C"/>
    <w:rsid w:val="002829ED"/>
    <w:rsid w:val="00282D87"/>
    <w:rsid w:val="002832EB"/>
    <w:rsid w:val="00284081"/>
    <w:rsid w:val="002845AC"/>
    <w:rsid w:val="002845D9"/>
    <w:rsid w:val="0028495F"/>
    <w:rsid w:val="00284FDB"/>
    <w:rsid w:val="0028571D"/>
    <w:rsid w:val="00285BAA"/>
    <w:rsid w:val="0028611E"/>
    <w:rsid w:val="0028613C"/>
    <w:rsid w:val="0028652F"/>
    <w:rsid w:val="0028655C"/>
    <w:rsid w:val="00286D2F"/>
    <w:rsid w:val="00286E39"/>
    <w:rsid w:val="002874E2"/>
    <w:rsid w:val="00287626"/>
    <w:rsid w:val="00287657"/>
    <w:rsid w:val="00287697"/>
    <w:rsid w:val="00290211"/>
    <w:rsid w:val="002902B2"/>
    <w:rsid w:val="002902F6"/>
    <w:rsid w:val="00290ADF"/>
    <w:rsid w:val="00290ECA"/>
    <w:rsid w:val="00291322"/>
    <w:rsid w:val="00291587"/>
    <w:rsid w:val="002915CD"/>
    <w:rsid w:val="002915EA"/>
    <w:rsid w:val="00291AD1"/>
    <w:rsid w:val="00291B13"/>
    <w:rsid w:val="00292039"/>
    <w:rsid w:val="00292065"/>
    <w:rsid w:val="002922F1"/>
    <w:rsid w:val="0029235B"/>
    <w:rsid w:val="00292470"/>
    <w:rsid w:val="002925AF"/>
    <w:rsid w:val="00292832"/>
    <w:rsid w:val="002929B8"/>
    <w:rsid w:val="0029307E"/>
    <w:rsid w:val="00293364"/>
    <w:rsid w:val="002939E7"/>
    <w:rsid w:val="00293DC0"/>
    <w:rsid w:val="00293FDA"/>
    <w:rsid w:val="00294042"/>
    <w:rsid w:val="0029507C"/>
    <w:rsid w:val="002950E0"/>
    <w:rsid w:val="00295460"/>
    <w:rsid w:val="00295A7F"/>
    <w:rsid w:val="00295D83"/>
    <w:rsid w:val="00295E71"/>
    <w:rsid w:val="00296061"/>
    <w:rsid w:val="002960E5"/>
    <w:rsid w:val="002962A9"/>
    <w:rsid w:val="002968E0"/>
    <w:rsid w:val="00296CD6"/>
    <w:rsid w:val="00296CE4"/>
    <w:rsid w:val="00296EEA"/>
    <w:rsid w:val="002976AF"/>
    <w:rsid w:val="002976BB"/>
    <w:rsid w:val="002977F8"/>
    <w:rsid w:val="00297E4B"/>
    <w:rsid w:val="00297EB7"/>
    <w:rsid w:val="002A01F3"/>
    <w:rsid w:val="002A0439"/>
    <w:rsid w:val="002A0700"/>
    <w:rsid w:val="002A0A46"/>
    <w:rsid w:val="002A0AEB"/>
    <w:rsid w:val="002A0C34"/>
    <w:rsid w:val="002A0D0D"/>
    <w:rsid w:val="002A0D99"/>
    <w:rsid w:val="002A1066"/>
    <w:rsid w:val="002A106A"/>
    <w:rsid w:val="002A1CFA"/>
    <w:rsid w:val="002A215C"/>
    <w:rsid w:val="002A26F7"/>
    <w:rsid w:val="002A2B94"/>
    <w:rsid w:val="002A2D19"/>
    <w:rsid w:val="002A3293"/>
    <w:rsid w:val="002A34E6"/>
    <w:rsid w:val="002A3579"/>
    <w:rsid w:val="002A388A"/>
    <w:rsid w:val="002A38D0"/>
    <w:rsid w:val="002A3C59"/>
    <w:rsid w:val="002A41AA"/>
    <w:rsid w:val="002A434F"/>
    <w:rsid w:val="002A4415"/>
    <w:rsid w:val="002A491C"/>
    <w:rsid w:val="002A4C59"/>
    <w:rsid w:val="002A4CA3"/>
    <w:rsid w:val="002A4FF3"/>
    <w:rsid w:val="002A5943"/>
    <w:rsid w:val="002A5F93"/>
    <w:rsid w:val="002A613A"/>
    <w:rsid w:val="002A63EB"/>
    <w:rsid w:val="002A69BC"/>
    <w:rsid w:val="002A6A9D"/>
    <w:rsid w:val="002A6B8E"/>
    <w:rsid w:val="002A6D11"/>
    <w:rsid w:val="002A7347"/>
    <w:rsid w:val="002A7385"/>
    <w:rsid w:val="002A73C9"/>
    <w:rsid w:val="002A745F"/>
    <w:rsid w:val="002A75B6"/>
    <w:rsid w:val="002A7917"/>
    <w:rsid w:val="002A7B09"/>
    <w:rsid w:val="002B01FE"/>
    <w:rsid w:val="002B0221"/>
    <w:rsid w:val="002B076C"/>
    <w:rsid w:val="002B0853"/>
    <w:rsid w:val="002B0AFB"/>
    <w:rsid w:val="002B0BD1"/>
    <w:rsid w:val="002B0EBA"/>
    <w:rsid w:val="002B0EF3"/>
    <w:rsid w:val="002B0F0C"/>
    <w:rsid w:val="002B15E2"/>
    <w:rsid w:val="002B1FD7"/>
    <w:rsid w:val="002B217D"/>
    <w:rsid w:val="002B2387"/>
    <w:rsid w:val="002B28C0"/>
    <w:rsid w:val="002B2951"/>
    <w:rsid w:val="002B2CF4"/>
    <w:rsid w:val="002B2EF6"/>
    <w:rsid w:val="002B2FEE"/>
    <w:rsid w:val="002B3030"/>
    <w:rsid w:val="002B3166"/>
    <w:rsid w:val="002B3527"/>
    <w:rsid w:val="002B3676"/>
    <w:rsid w:val="002B36F3"/>
    <w:rsid w:val="002B3A81"/>
    <w:rsid w:val="002B3C11"/>
    <w:rsid w:val="002B3F71"/>
    <w:rsid w:val="002B40DB"/>
    <w:rsid w:val="002B40F1"/>
    <w:rsid w:val="002B45D0"/>
    <w:rsid w:val="002B476D"/>
    <w:rsid w:val="002B481D"/>
    <w:rsid w:val="002B4A8E"/>
    <w:rsid w:val="002B4D26"/>
    <w:rsid w:val="002B4E96"/>
    <w:rsid w:val="002B51AD"/>
    <w:rsid w:val="002B5270"/>
    <w:rsid w:val="002B5288"/>
    <w:rsid w:val="002B52F8"/>
    <w:rsid w:val="002B54BA"/>
    <w:rsid w:val="002B56F7"/>
    <w:rsid w:val="002B598F"/>
    <w:rsid w:val="002B5BD6"/>
    <w:rsid w:val="002B6198"/>
    <w:rsid w:val="002B63F5"/>
    <w:rsid w:val="002B6500"/>
    <w:rsid w:val="002B6D8D"/>
    <w:rsid w:val="002B6EC6"/>
    <w:rsid w:val="002B7219"/>
    <w:rsid w:val="002B791F"/>
    <w:rsid w:val="002C04D4"/>
    <w:rsid w:val="002C04E2"/>
    <w:rsid w:val="002C04FE"/>
    <w:rsid w:val="002C0564"/>
    <w:rsid w:val="002C0825"/>
    <w:rsid w:val="002C086E"/>
    <w:rsid w:val="002C1337"/>
    <w:rsid w:val="002C148E"/>
    <w:rsid w:val="002C14E9"/>
    <w:rsid w:val="002C179B"/>
    <w:rsid w:val="002C188F"/>
    <w:rsid w:val="002C1A34"/>
    <w:rsid w:val="002C1E5C"/>
    <w:rsid w:val="002C222A"/>
    <w:rsid w:val="002C2CC5"/>
    <w:rsid w:val="002C2CCE"/>
    <w:rsid w:val="002C2FFB"/>
    <w:rsid w:val="002C334A"/>
    <w:rsid w:val="002C3401"/>
    <w:rsid w:val="002C391D"/>
    <w:rsid w:val="002C40F8"/>
    <w:rsid w:val="002C4133"/>
    <w:rsid w:val="002C4198"/>
    <w:rsid w:val="002C42C9"/>
    <w:rsid w:val="002C42E8"/>
    <w:rsid w:val="002C456B"/>
    <w:rsid w:val="002C47D9"/>
    <w:rsid w:val="002C4CB5"/>
    <w:rsid w:val="002C5157"/>
    <w:rsid w:val="002C5176"/>
    <w:rsid w:val="002C5193"/>
    <w:rsid w:val="002C54E2"/>
    <w:rsid w:val="002C5982"/>
    <w:rsid w:val="002C5B95"/>
    <w:rsid w:val="002C5DD4"/>
    <w:rsid w:val="002C5EE4"/>
    <w:rsid w:val="002C5FD8"/>
    <w:rsid w:val="002C6067"/>
    <w:rsid w:val="002C659B"/>
    <w:rsid w:val="002C65A2"/>
    <w:rsid w:val="002C6936"/>
    <w:rsid w:val="002C6A7E"/>
    <w:rsid w:val="002C6AAC"/>
    <w:rsid w:val="002C6AD8"/>
    <w:rsid w:val="002C6AEC"/>
    <w:rsid w:val="002C6C9C"/>
    <w:rsid w:val="002C6E73"/>
    <w:rsid w:val="002C706C"/>
    <w:rsid w:val="002C71CD"/>
    <w:rsid w:val="002C741B"/>
    <w:rsid w:val="002C774A"/>
    <w:rsid w:val="002D0036"/>
    <w:rsid w:val="002D0203"/>
    <w:rsid w:val="002D0490"/>
    <w:rsid w:val="002D0501"/>
    <w:rsid w:val="002D094F"/>
    <w:rsid w:val="002D0ABC"/>
    <w:rsid w:val="002D0DA8"/>
    <w:rsid w:val="002D0FC4"/>
    <w:rsid w:val="002D16FB"/>
    <w:rsid w:val="002D180F"/>
    <w:rsid w:val="002D1B59"/>
    <w:rsid w:val="002D207C"/>
    <w:rsid w:val="002D2081"/>
    <w:rsid w:val="002D2319"/>
    <w:rsid w:val="002D271D"/>
    <w:rsid w:val="002D2760"/>
    <w:rsid w:val="002D2865"/>
    <w:rsid w:val="002D2CF7"/>
    <w:rsid w:val="002D301C"/>
    <w:rsid w:val="002D30F4"/>
    <w:rsid w:val="002D390C"/>
    <w:rsid w:val="002D395E"/>
    <w:rsid w:val="002D3CF5"/>
    <w:rsid w:val="002D3EFB"/>
    <w:rsid w:val="002D4006"/>
    <w:rsid w:val="002D4034"/>
    <w:rsid w:val="002D411C"/>
    <w:rsid w:val="002D4230"/>
    <w:rsid w:val="002D44DB"/>
    <w:rsid w:val="002D4982"/>
    <w:rsid w:val="002D4A73"/>
    <w:rsid w:val="002D4B34"/>
    <w:rsid w:val="002D4DBB"/>
    <w:rsid w:val="002D5206"/>
    <w:rsid w:val="002D557B"/>
    <w:rsid w:val="002D5C43"/>
    <w:rsid w:val="002D5C5E"/>
    <w:rsid w:val="002D654D"/>
    <w:rsid w:val="002D68D4"/>
    <w:rsid w:val="002D6C47"/>
    <w:rsid w:val="002D6DF1"/>
    <w:rsid w:val="002D6F40"/>
    <w:rsid w:val="002D7722"/>
    <w:rsid w:val="002D7924"/>
    <w:rsid w:val="002D7A50"/>
    <w:rsid w:val="002D7C2B"/>
    <w:rsid w:val="002E0526"/>
    <w:rsid w:val="002E0C15"/>
    <w:rsid w:val="002E253F"/>
    <w:rsid w:val="002E255D"/>
    <w:rsid w:val="002E266A"/>
    <w:rsid w:val="002E2721"/>
    <w:rsid w:val="002E2B1C"/>
    <w:rsid w:val="002E2D57"/>
    <w:rsid w:val="002E2E09"/>
    <w:rsid w:val="002E3709"/>
    <w:rsid w:val="002E3A74"/>
    <w:rsid w:val="002E3B0C"/>
    <w:rsid w:val="002E3CDC"/>
    <w:rsid w:val="002E3E7C"/>
    <w:rsid w:val="002E3F3C"/>
    <w:rsid w:val="002E3FAD"/>
    <w:rsid w:val="002E4562"/>
    <w:rsid w:val="002E46BB"/>
    <w:rsid w:val="002E49F2"/>
    <w:rsid w:val="002E4C40"/>
    <w:rsid w:val="002E4D55"/>
    <w:rsid w:val="002E50C5"/>
    <w:rsid w:val="002E513B"/>
    <w:rsid w:val="002E5149"/>
    <w:rsid w:val="002E5305"/>
    <w:rsid w:val="002E5632"/>
    <w:rsid w:val="002E56E1"/>
    <w:rsid w:val="002E595C"/>
    <w:rsid w:val="002E5D5F"/>
    <w:rsid w:val="002E5F0C"/>
    <w:rsid w:val="002E646C"/>
    <w:rsid w:val="002E64A2"/>
    <w:rsid w:val="002E6B5D"/>
    <w:rsid w:val="002E6B7F"/>
    <w:rsid w:val="002E6C1A"/>
    <w:rsid w:val="002E6D72"/>
    <w:rsid w:val="002E72B0"/>
    <w:rsid w:val="002E74E2"/>
    <w:rsid w:val="002E7842"/>
    <w:rsid w:val="002E7B38"/>
    <w:rsid w:val="002F046B"/>
    <w:rsid w:val="002F10F0"/>
    <w:rsid w:val="002F110E"/>
    <w:rsid w:val="002F143D"/>
    <w:rsid w:val="002F1956"/>
    <w:rsid w:val="002F1C32"/>
    <w:rsid w:val="002F1C4F"/>
    <w:rsid w:val="002F2314"/>
    <w:rsid w:val="002F27A6"/>
    <w:rsid w:val="002F2838"/>
    <w:rsid w:val="002F307F"/>
    <w:rsid w:val="002F3238"/>
    <w:rsid w:val="002F3276"/>
    <w:rsid w:val="002F334F"/>
    <w:rsid w:val="002F3930"/>
    <w:rsid w:val="002F3998"/>
    <w:rsid w:val="002F3D8D"/>
    <w:rsid w:val="002F3D91"/>
    <w:rsid w:val="002F4335"/>
    <w:rsid w:val="002F440B"/>
    <w:rsid w:val="002F44D3"/>
    <w:rsid w:val="002F47BB"/>
    <w:rsid w:val="002F4A37"/>
    <w:rsid w:val="002F5782"/>
    <w:rsid w:val="002F59E4"/>
    <w:rsid w:val="002F5B62"/>
    <w:rsid w:val="002F5CAF"/>
    <w:rsid w:val="002F5F9B"/>
    <w:rsid w:val="002F607E"/>
    <w:rsid w:val="002F64D0"/>
    <w:rsid w:val="002F6679"/>
    <w:rsid w:val="002F6788"/>
    <w:rsid w:val="002F68E5"/>
    <w:rsid w:val="002F73D0"/>
    <w:rsid w:val="002F7A15"/>
    <w:rsid w:val="002F7AEA"/>
    <w:rsid w:val="002F7BCB"/>
    <w:rsid w:val="003004ED"/>
    <w:rsid w:val="00300593"/>
    <w:rsid w:val="003006F8"/>
    <w:rsid w:val="00301230"/>
    <w:rsid w:val="00301265"/>
    <w:rsid w:val="00301419"/>
    <w:rsid w:val="003017F6"/>
    <w:rsid w:val="00301C7C"/>
    <w:rsid w:val="00301F65"/>
    <w:rsid w:val="00302117"/>
    <w:rsid w:val="003025DB"/>
    <w:rsid w:val="00302AEA"/>
    <w:rsid w:val="00302E30"/>
    <w:rsid w:val="00303BE9"/>
    <w:rsid w:val="00303D54"/>
    <w:rsid w:val="00304612"/>
    <w:rsid w:val="0030469D"/>
    <w:rsid w:val="00304D03"/>
    <w:rsid w:val="003051EA"/>
    <w:rsid w:val="003053AF"/>
    <w:rsid w:val="003053B4"/>
    <w:rsid w:val="00305542"/>
    <w:rsid w:val="003056C2"/>
    <w:rsid w:val="003057C8"/>
    <w:rsid w:val="003059BD"/>
    <w:rsid w:val="003059CE"/>
    <w:rsid w:val="00305C31"/>
    <w:rsid w:val="003060DC"/>
    <w:rsid w:val="00306121"/>
    <w:rsid w:val="0030624A"/>
    <w:rsid w:val="0030651C"/>
    <w:rsid w:val="003069A5"/>
    <w:rsid w:val="003069DD"/>
    <w:rsid w:val="00306C3C"/>
    <w:rsid w:val="00306CF3"/>
    <w:rsid w:val="00306F6C"/>
    <w:rsid w:val="00307132"/>
    <w:rsid w:val="003072EF"/>
    <w:rsid w:val="003079EF"/>
    <w:rsid w:val="00307FB9"/>
    <w:rsid w:val="00310008"/>
    <w:rsid w:val="003104A6"/>
    <w:rsid w:val="00310828"/>
    <w:rsid w:val="00310915"/>
    <w:rsid w:val="00310AD1"/>
    <w:rsid w:val="00310C5D"/>
    <w:rsid w:val="00310EB0"/>
    <w:rsid w:val="00310F06"/>
    <w:rsid w:val="00311054"/>
    <w:rsid w:val="00311136"/>
    <w:rsid w:val="003112FE"/>
    <w:rsid w:val="00311549"/>
    <w:rsid w:val="003115A5"/>
    <w:rsid w:val="003116D1"/>
    <w:rsid w:val="00312133"/>
    <w:rsid w:val="003122EE"/>
    <w:rsid w:val="003122F3"/>
    <w:rsid w:val="00312327"/>
    <w:rsid w:val="00312519"/>
    <w:rsid w:val="0031303D"/>
    <w:rsid w:val="00313404"/>
    <w:rsid w:val="00313426"/>
    <w:rsid w:val="00313480"/>
    <w:rsid w:val="00313AAB"/>
    <w:rsid w:val="00313E18"/>
    <w:rsid w:val="00313EA3"/>
    <w:rsid w:val="00313EEB"/>
    <w:rsid w:val="00314C45"/>
    <w:rsid w:val="00314C87"/>
    <w:rsid w:val="00314E9E"/>
    <w:rsid w:val="0031526F"/>
    <w:rsid w:val="003152A5"/>
    <w:rsid w:val="0031557A"/>
    <w:rsid w:val="003155E0"/>
    <w:rsid w:val="00315C77"/>
    <w:rsid w:val="00315ED4"/>
    <w:rsid w:val="00315EEC"/>
    <w:rsid w:val="00315F37"/>
    <w:rsid w:val="00316596"/>
    <w:rsid w:val="0031687B"/>
    <w:rsid w:val="00316B6E"/>
    <w:rsid w:val="00316E98"/>
    <w:rsid w:val="00316F4B"/>
    <w:rsid w:val="003174D9"/>
    <w:rsid w:val="00317898"/>
    <w:rsid w:val="00317B4B"/>
    <w:rsid w:val="00317C36"/>
    <w:rsid w:val="00317D55"/>
    <w:rsid w:val="00317E0E"/>
    <w:rsid w:val="00317E29"/>
    <w:rsid w:val="00320025"/>
    <w:rsid w:val="0032032E"/>
    <w:rsid w:val="00320CBA"/>
    <w:rsid w:val="00320F4E"/>
    <w:rsid w:val="00320F9A"/>
    <w:rsid w:val="0032145A"/>
    <w:rsid w:val="0032146E"/>
    <w:rsid w:val="003215BC"/>
    <w:rsid w:val="003219E1"/>
    <w:rsid w:val="00321A90"/>
    <w:rsid w:val="0032213E"/>
    <w:rsid w:val="00322151"/>
    <w:rsid w:val="00322661"/>
    <w:rsid w:val="00322A9D"/>
    <w:rsid w:val="00322EC2"/>
    <w:rsid w:val="00322F9B"/>
    <w:rsid w:val="00323033"/>
    <w:rsid w:val="0032374D"/>
    <w:rsid w:val="00323901"/>
    <w:rsid w:val="00323AEB"/>
    <w:rsid w:val="00323B24"/>
    <w:rsid w:val="00323BFA"/>
    <w:rsid w:val="00323D1A"/>
    <w:rsid w:val="00323D36"/>
    <w:rsid w:val="00324172"/>
    <w:rsid w:val="0032483C"/>
    <w:rsid w:val="003249B5"/>
    <w:rsid w:val="00324D3A"/>
    <w:rsid w:val="00324D42"/>
    <w:rsid w:val="00324EEC"/>
    <w:rsid w:val="0032537F"/>
    <w:rsid w:val="00326AD1"/>
    <w:rsid w:val="00326AFF"/>
    <w:rsid w:val="00326E10"/>
    <w:rsid w:val="003275A6"/>
    <w:rsid w:val="003276DE"/>
    <w:rsid w:val="003277FE"/>
    <w:rsid w:val="00327A7D"/>
    <w:rsid w:val="00327ABF"/>
    <w:rsid w:val="00327E25"/>
    <w:rsid w:val="00327F60"/>
    <w:rsid w:val="00330069"/>
    <w:rsid w:val="00330C3C"/>
    <w:rsid w:val="00330C5F"/>
    <w:rsid w:val="00330DAC"/>
    <w:rsid w:val="00330EB8"/>
    <w:rsid w:val="003313E3"/>
    <w:rsid w:val="0033180A"/>
    <w:rsid w:val="00331C22"/>
    <w:rsid w:val="00331D2C"/>
    <w:rsid w:val="00332049"/>
    <w:rsid w:val="0033269F"/>
    <w:rsid w:val="00332C77"/>
    <w:rsid w:val="00333074"/>
    <w:rsid w:val="0033352A"/>
    <w:rsid w:val="003335E3"/>
    <w:rsid w:val="00333F0E"/>
    <w:rsid w:val="00334216"/>
    <w:rsid w:val="0033422A"/>
    <w:rsid w:val="003346E0"/>
    <w:rsid w:val="003349E9"/>
    <w:rsid w:val="00334F6B"/>
    <w:rsid w:val="0033520B"/>
    <w:rsid w:val="003352DB"/>
    <w:rsid w:val="0033544A"/>
    <w:rsid w:val="0033648B"/>
    <w:rsid w:val="00336A6A"/>
    <w:rsid w:val="00336B1A"/>
    <w:rsid w:val="00336BBD"/>
    <w:rsid w:val="00336F3A"/>
    <w:rsid w:val="00336FD5"/>
    <w:rsid w:val="00336FDA"/>
    <w:rsid w:val="0033707D"/>
    <w:rsid w:val="00337118"/>
    <w:rsid w:val="00337205"/>
    <w:rsid w:val="00337A85"/>
    <w:rsid w:val="00337F75"/>
    <w:rsid w:val="00340551"/>
    <w:rsid w:val="003408F6"/>
    <w:rsid w:val="00341142"/>
    <w:rsid w:val="003411F3"/>
    <w:rsid w:val="003412AC"/>
    <w:rsid w:val="0034140E"/>
    <w:rsid w:val="00341568"/>
    <w:rsid w:val="0034179F"/>
    <w:rsid w:val="00341A6A"/>
    <w:rsid w:val="00341CA2"/>
    <w:rsid w:val="00341D5F"/>
    <w:rsid w:val="00341E3A"/>
    <w:rsid w:val="003420ED"/>
    <w:rsid w:val="0034225B"/>
    <w:rsid w:val="00342D5D"/>
    <w:rsid w:val="003430E6"/>
    <w:rsid w:val="003431DA"/>
    <w:rsid w:val="003437C6"/>
    <w:rsid w:val="003439B8"/>
    <w:rsid w:val="00343F86"/>
    <w:rsid w:val="00343F9F"/>
    <w:rsid w:val="00344170"/>
    <w:rsid w:val="0034423C"/>
    <w:rsid w:val="003447D7"/>
    <w:rsid w:val="003448E9"/>
    <w:rsid w:val="00344B62"/>
    <w:rsid w:val="00344D51"/>
    <w:rsid w:val="00344F04"/>
    <w:rsid w:val="00345348"/>
    <w:rsid w:val="00345746"/>
    <w:rsid w:val="00345DCC"/>
    <w:rsid w:val="003460D7"/>
    <w:rsid w:val="0034667F"/>
    <w:rsid w:val="003467A2"/>
    <w:rsid w:val="00346ADC"/>
    <w:rsid w:val="00346D5C"/>
    <w:rsid w:val="00347557"/>
    <w:rsid w:val="00347D27"/>
    <w:rsid w:val="00347EC2"/>
    <w:rsid w:val="003503D2"/>
    <w:rsid w:val="00350586"/>
    <w:rsid w:val="00350763"/>
    <w:rsid w:val="00350D63"/>
    <w:rsid w:val="00350E2D"/>
    <w:rsid w:val="00350F4E"/>
    <w:rsid w:val="00351141"/>
    <w:rsid w:val="00351191"/>
    <w:rsid w:val="003519E4"/>
    <w:rsid w:val="00351CD8"/>
    <w:rsid w:val="00351FE9"/>
    <w:rsid w:val="00352213"/>
    <w:rsid w:val="003529C5"/>
    <w:rsid w:val="00352F69"/>
    <w:rsid w:val="0035318D"/>
    <w:rsid w:val="003531AA"/>
    <w:rsid w:val="0035329D"/>
    <w:rsid w:val="0035375B"/>
    <w:rsid w:val="0035395E"/>
    <w:rsid w:val="00353A5D"/>
    <w:rsid w:val="00353AFD"/>
    <w:rsid w:val="003540C2"/>
    <w:rsid w:val="003544BF"/>
    <w:rsid w:val="003546C7"/>
    <w:rsid w:val="00354E7B"/>
    <w:rsid w:val="00354FD0"/>
    <w:rsid w:val="00355302"/>
    <w:rsid w:val="003558F2"/>
    <w:rsid w:val="00355FCC"/>
    <w:rsid w:val="003565A5"/>
    <w:rsid w:val="0035684B"/>
    <w:rsid w:val="003569DE"/>
    <w:rsid w:val="00356C10"/>
    <w:rsid w:val="00357444"/>
    <w:rsid w:val="003576B5"/>
    <w:rsid w:val="00357942"/>
    <w:rsid w:val="003602EE"/>
    <w:rsid w:val="0036040E"/>
    <w:rsid w:val="0036073D"/>
    <w:rsid w:val="00360844"/>
    <w:rsid w:val="003609B0"/>
    <w:rsid w:val="00360A50"/>
    <w:rsid w:val="00360A94"/>
    <w:rsid w:val="00360AD5"/>
    <w:rsid w:val="00360D87"/>
    <w:rsid w:val="003612F7"/>
    <w:rsid w:val="00361825"/>
    <w:rsid w:val="00361CB9"/>
    <w:rsid w:val="00362100"/>
    <w:rsid w:val="00362342"/>
    <w:rsid w:val="0036281D"/>
    <w:rsid w:val="0036290B"/>
    <w:rsid w:val="00362D9D"/>
    <w:rsid w:val="00363100"/>
    <w:rsid w:val="00363589"/>
    <w:rsid w:val="00363B21"/>
    <w:rsid w:val="00363BDF"/>
    <w:rsid w:val="00363DB8"/>
    <w:rsid w:val="00363E87"/>
    <w:rsid w:val="00364233"/>
    <w:rsid w:val="0036459D"/>
    <w:rsid w:val="003645C3"/>
    <w:rsid w:val="00364640"/>
    <w:rsid w:val="00364E41"/>
    <w:rsid w:val="00365279"/>
    <w:rsid w:val="003652EB"/>
    <w:rsid w:val="003652F1"/>
    <w:rsid w:val="003655EB"/>
    <w:rsid w:val="00365CA3"/>
    <w:rsid w:val="00365D8D"/>
    <w:rsid w:val="00365D9B"/>
    <w:rsid w:val="00366514"/>
    <w:rsid w:val="003666B9"/>
    <w:rsid w:val="00366796"/>
    <w:rsid w:val="00366ACF"/>
    <w:rsid w:val="00366BD2"/>
    <w:rsid w:val="00366CE1"/>
    <w:rsid w:val="00366DE3"/>
    <w:rsid w:val="0036744E"/>
    <w:rsid w:val="003674B8"/>
    <w:rsid w:val="003675F2"/>
    <w:rsid w:val="00367879"/>
    <w:rsid w:val="00367A98"/>
    <w:rsid w:val="00367C92"/>
    <w:rsid w:val="00367C9C"/>
    <w:rsid w:val="00367CBD"/>
    <w:rsid w:val="00367F95"/>
    <w:rsid w:val="00370871"/>
    <w:rsid w:val="00370C30"/>
    <w:rsid w:val="00370EDC"/>
    <w:rsid w:val="00370FF5"/>
    <w:rsid w:val="003711D3"/>
    <w:rsid w:val="003712E5"/>
    <w:rsid w:val="00371460"/>
    <w:rsid w:val="00371A84"/>
    <w:rsid w:val="00371CD5"/>
    <w:rsid w:val="00372613"/>
    <w:rsid w:val="00372D7E"/>
    <w:rsid w:val="00372FA1"/>
    <w:rsid w:val="00373051"/>
    <w:rsid w:val="00373408"/>
    <w:rsid w:val="00373C1F"/>
    <w:rsid w:val="00373E8E"/>
    <w:rsid w:val="00373F93"/>
    <w:rsid w:val="00374541"/>
    <w:rsid w:val="0037476F"/>
    <w:rsid w:val="003747D4"/>
    <w:rsid w:val="00374982"/>
    <w:rsid w:val="00374BB8"/>
    <w:rsid w:val="00375164"/>
    <w:rsid w:val="003752F2"/>
    <w:rsid w:val="003756EE"/>
    <w:rsid w:val="00375869"/>
    <w:rsid w:val="00375AAB"/>
    <w:rsid w:val="00375EF7"/>
    <w:rsid w:val="00376648"/>
    <w:rsid w:val="0037666E"/>
    <w:rsid w:val="0037672B"/>
    <w:rsid w:val="00376A80"/>
    <w:rsid w:val="00376B3C"/>
    <w:rsid w:val="00376BF1"/>
    <w:rsid w:val="00376C4C"/>
    <w:rsid w:val="003772D1"/>
    <w:rsid w:val="00377334"/>
    <w:rsid w:val="0037738A"/>
    <w:rsid w:val="00377441"/>
    <w:rsid w:val="00377778"/>
    <w:rsid w:val="003778C9"/>
    <w:rsid w:val="00377CC2"/>
    <w:rsid w:val="00377E1E"/>
    <w:rsid w:val="00377E7C"/>
    <w:rsid w:val="00377EC5"/>
    <w:rsid w:val="00380394"/>
    <w:rsid w:val="00380473"/>
    <w:rsid w:val="003805A2"/>
    <w:rsid w:val="003806EF"/>
    <w:rsid w:val="00380733"/>
    <w:rsid w:val="00380B96"/>
    <w:rsid w:val="0038179A"/>
    <w:rsid w:val="00381BDD"/>
    <w:rsid w:val="00382187"/>
    <w:rsid w:val="003823E7"/>
    <w:rsid w:val="0038272D"/>
    <w:rsid w:val="00382BF8"/>
    <w:rsid w:val="00383085"/>
    <w:rsid w:val="003831B4"/>
    <w:rsid w:val="003841A1"/>
    <w:rsid w:val="0038436D"/>
    <w:rsid w:val="00384427"/>
    <w:rsid w:val="0038469C"/>
    <w:rsid w:val="0038498E"/>
    <w:rsid w:val="00384CAB"/>
    <w:rsid w:val="00384F92"/>
    <w:rsid w:val="003854DB"/>
    <w:rsid w:val="00385558"/>
    <w:rsid w:val="00385758"/>
    <w:rsid w:val="0038576A"/>
    <w:rsid w:val="003857BF"/>
    <w:rsid w:val="003859E3"/>
    <w:rsid w:val="00385AB7"/>
    <w:rsid w:val="00385D33"/>
    <w:rsid w:val="00386F36"/>
    <w:rsid w:val="0038700D"/>
    <w:rsid w:val="00387391"/>
    <w:rsid w:val="003874D1"/>
    <w:rsid w:val="003876B0"/>
    <w:rsid w:val="003876E7"/>
    <w:rsid w:val="00387BC1"/>
    <w:rsid w:val="00390077"/>
    <w:rsid w:val="0039021F"/>
    <w:rsid w:val="00390412"/>
    <w:rsid w:val="00390528"/>
    <w:rsid w:val="00390555"/>
    <w:rsid w:val="0039081B"/>
    <w:rsid w:val="00390CA7"/>
    <w:rsid w:val="00390E49"/>
    <w:rsid w:val="00391A27"/>
    <w:rsid w:val="00391C36"/>
    <w:rsid w:val="00391D4F"/>
    <w:rsid w:val="00391EA8"/>
    <w:rsid w:val="00392140"/>
    <w:rsid w:val="00392E0D"/>
    <w:rsid w:val="0039322D"/>
    <w:rsid w:val="00393367"/>
    <w:rsid w:val="00393371"/>
    <w:rsid w:val="003935DA"/>
    <w:rsid w:val="003938BD"/>
    <w:rsid w:val="00393B17"/>
    <w:rsid w:val="0039434A"/>
    <w:rsid w:val="003948F3"/>
    <w:rsid w:val="00394D13"/>
    <w:rsid w:val="00395A9E"/>
    <w:rsid w:val="00395CB0"/>
    <w:rsid w:val="00395F13"/>
    <w:rsid w:val="00396366"/>
    <w:rsid w:val="003964BE"/>
    <w:rsid w:val="00396624"/>
    <w:rsid w:val="003967AC"/>
    <w:rsid w:val="003968D1"/>
    <w:rsid w:val="00396B7F"/>
    <w:rsid w:val="0039725D"/>
    <w:rsid w:val="00397636"/>
    <w:rsid w:val="003979C6"/>
    <w:rsid w:val="003A00F3"/>
    <w:rsid w:val="003A0244"/>
    <w:rsid w:val="003A027A"/>
    <w:rsid w:val="003A033C"/>
    <w:rsid w:val="003A0B97"/>
    <w:rsid w:val="003A0F28"/>
    <w:rsid w:val="003A1538"/>
    <w:rsid w:val="003A1599"/>
    <w:rsid w:val="003A19B2"/>
    <w:rsid w:val="003A22ED"/>
    <w:rsid w:val="003A26F7"/>
    <w:rsid w:val="003A2B36"/>
    <w:rsid w:val="003A2BCF"/>
    <w:rsid w:val="003A315E"/>
    <w:rsid w:val="003A33DA"/>
    <w:rsid w:val="003A3704"/>
    <w:rsid w:val="003A38AB"/>
    <w:rsid w:val="003A3D98"/>
    <w:rsid w:val="003A445A"/>
    <w:rsid w:val="003A4546"/>
    <w:rsid w:val="003A4B01"/>
    <w:rsid w:val="003A4D19"/>
    <w:rsid w:val="003A4EF1"/>
    <w:rsid w:val="003A53F4"/>
    <w:rsid w:val="003A54B0"/>
    <w:rsid w:val="003A55B1"/>
    <w:rsid w:val="003A5603"/>
    <w:rsid w:val="003A5820"/>
    <w:rsid w:val="003A5868"/>
    <w:rsid w:val="003A598F"/>
    <w:rsid w:val="003A5AF9"/>
    <w:rsid w:val="003A5C24"/>
    <w:rsid w:val="003A5DDD"/>
    <w:rsid w:val="003A5FFD"/>
    <w:rsid w:val="003A625B"/>
    <w:rsid w:val="003A62CB"/>
    <w:rsid w:val="003A63CF"/>
    <w:rsid w:val="003A6692"/>
    <w:rsid w:val="003A6735"/>
    <w:rsid w:val="003A6F23"/>
    <w:rsid w:val="003A74EA"/>
    <w:rsid w:val="003A7673"/>
    <w:rsid w:val="003A78C0"/>
    <w:rsid w:val="003A7C89"/>
    <w:rsid w:val="003A7C8F"/>
    <w:rsid w:val="003A7E35"/>
    <w:rsid w:val="003B00F8"/>
    <w:rsid w:val="003B0625"/>
    <w:rsid w:val="003B093D"/>
    <w:rsid w:val="003B0E38"/>
    <w:rsid w:val="003B1224"/>
    <w:rsid w:val="003B1AE4"/>
    <w:rsid w:val="003B20DA"/>
    <w:rsid w:val="003B239A"/>
    <w:rsid w:val="003B29A8"/>
    <w:rsid w:val="003B3003"/>
    <w:rsid w:val="003B3267"/>
    <w:rsid w:val="003B3AD2"/>
    <w:rsid w:val="003B3DE8"/>
    <w:rsid w:val="003B40C2"/>
    <w:rsid w:val="003B4101"/>
    <w:rsid w:val="003B4146"/>
    <w:rsid w:val="003B479D"/>
    <w:rsid w:val="003B4A5B"/>
    <w:rsid w:val="003B4B50"/>
    <w:rsid w:val="003B4B69"/>
    <w:rsid w:val="003B4E6B"/>
    <w:rsid w:val="003B4EBB"/>
    <w:rsid w:val="003B5131"/>
    <w:rsid w:val="003B5521"/>
    <w:rsid w:val="003B559E"/>
    <w:rsid w:val="003B5731"/>
    <w:rsid w:val="003B599D"/>
    <w:rsid w:val="003B5ABD"/>
    <w:rsid w:val="003B5AD6"/>
    <w:rsid w:val="003B5F3E"/>
    <w:rsid w:val="003B5FA9"/>
    <w:rsid w:val="003B6124"/>
    <w:rsid w:val="003B6383"/>
    <w:rsid w:val="003B661A"/>
    <w:rsid w:val="003B66F6"/>
    <w:rsid w:val="003B67E3"/>
    <w:rsid w:val="003B6DCB"/>
    <w:rsid w:val="003B6F2D"/>
    <w:rsid w:val="003B714A"/>
    <w:rsid w:val="003B7FCC"/>
    <w:rsid w:val="003C09A2"/>
    <w:rsid w:val="003C0C38"/>
    <w:rsid w:val="003C0CB9"/>
    <w:rsid w:val="003C0E23"/>
    <w:rsid w:val="003C1038"/>
    <w:rsid w:val="003C1155"/>
    <w:rsid w:val="003C11EE"/>
    <w:rsid w:val="003C12E2"/>
    <w:rsid w:val="003C143C"/>
    <w:rsid w:val="003C188E"/>
    <w:rsid w:val="003C1C83"/>
    <w:rsid w:val="003C23F1"/>
    <w:rsid w:val="003C26DE"/>
    <w:rsid w:val="003C27F9"/>
    <w:rsid w:val="003C299F"/>
    <w:rsid w:val="003C31E6"/>
    <w:rsid w:val="003C36B2"/>
    <w:rsid w:val="003C36F6"/>
    <w:rsid w:val="003C3A6B"/>
    <w:rsid w:val="003C431B"/>
    <w:rsid w:val="003C4B2C"/>
    <w:rsid w:val="003C4DA5"/>
    <w:rsid w:val="003C4E43"/>
    <w:rsid w:val="003C4F66"/>
    <w:rsid w:val="003C4F76"/>
    <w:rsid w:val="003C5130"/>
    <w:rsid w:val="003C5158"/>
    <w:rsid w:val="003C57E4"/>
    <w:rsid w:val="003C5960"/>
    <w:rsid w:val="003C61BF"/>
    <w:rsid w:val="003C6276"/>
    <w:rsid w:val="003C62BE"/>
    <w:rsid w:val="003C6937"/>
    <w:rsid w:val="003C6B79"/>
    <w:rsid w:val="003C7350"/>
    <w:rsid w:val="003C7731"/>
    <w:rsid w:val="003C777D"/>
    <w:rsid w:val="003C7A14"/>
    <w:rsid w:val="003C7A70"/>
    <w:rsid w:val="003C7B1D"/>
    <w:rsid w:val="003C7C6C"/>
    <w:rsid w:val="003C7EF3"/>
    <w:rsid w:val="003D02AA"/>
    <w:rsid w:val="003D0724"/>
    <w:rsid w:val="003D07C2"/>
    <w:rsid w:val="003D0969"/>
    <w:rsid w:val="003D0CE5"/>
    <w:rsid w:val="003D0DF5"/>
    <w:rsid w:val="003D0F14"/>
    <w:rsid w:val="003D0F5C"/>
    <w:rsid w:val="003D1530"/>
    <w:rsid w:val="003D1B55"/>
    <w:rsid w:val="003D1C65"/>
    <w:rsid w:val="003D2ABD"/>
    <w:rsid w:val="003D2BB0"/>
    <w:rsid w:val="003D2DA1"/>
    <w:rsid w:val="003D3331"/>
    <w:rsid w:val="003D34FC"/>
    <w:rsid w:val="003D3562"/>
    <w:rsid w:val="003D3B66"/>
    <w:rsid w:val="003D42F3"/>
    <w:rsid w:val="003D42FB"/>
    <w:rsid w:val="003D435A"/>
    <w:rsid w:val="003D436A"/>
    <w:rsid w:val="003D471F"/>
    <w:rsid w:val="003D47E3"/>
    <w:rsid w:val="003D4930"/>
    <w:rsid w:val="003D4C63"/>
    <w:rsid w:val="003D4D22"/>
    <w:rsid w:val="003D5146"/>
    <w:rsid w:val="003D53E5"/>
    <w:rsid w:val="003D543E"/>
    <w:rsid w:val="003D54CE"/>
    <w:rsid w:val="003D562E"/>
    <w:rsid w:val="003D5AFC"/>
    <w:rsid w:val="003D5B24"/>
    <w:rsid w:val="003D5F3D"/>
    <w:rsid w:val="003D6180"/>
    <w:rsid w:val="003D6691"/>
    <w:rsid w:val="003D66C0"/>
    <w:rsid w:val="003D6941"/>
    <w:rsid w:val="003D6A82"/>
    <w:rsid w:val="003D6B39"/>
    <w:rsid w:val="003D745D"/>
    <w:rsid w:val="003D781D"/>
    <w:rsid w:val="003D795B"/>
    <w:rsid w:val="003D7CC8"/>
    <w:rsid w:val="003D7EBA"/>
    <w:rsid w:val="003D7EF3"/>
    <w:rsid w:val="003D7F5B"/>
    <w:rsid w:val="003E0001"/>
    <w:rsid w:val="003E0125"/>
    <w:rsid w:val="003E03F7"/>
    <w:rsid w:val="003E0648"/>
    <w:rsid w:val="003E0BAC"/>
    <w:rsid w:val="003E0D55"/>
    <w:rsid w:val="003E0D7C"/>
    <w:rsid w:val="003E0EC0"/>
    <w:rsid w:val="003E0EE1"/>
    <w:rsid w:val="003E11FF"/>
    <w:rsid w:val="003E12E3"/>
    <w:rsid w:val="003E14C6"/>
    <w:rsid w:val="003E1827"/>
    <w:rsid w:val="003E1A47"/>
    <w:rsid w:val="003E1B16"/>
    <w:rsid w:val="003E1C24"/>
    <w:rsid w:val="003E1F91"/>
    <w:rsid w:val="003E2D4B"/>
    <w:rsid w:val="003E2D79"/>
    <w:rsid w:val="003E2E57"/>
    <w:rsid w:val="003E31F7"/>
    <w:rsid w:val="003E3736"/>
    <w:rsid w:val="003E38A0"/>
    <w:rsid w:val="003E391A"/>
    <w:rsid w:val="003E3F0F"/>
    <w:rsid w:val="003E4265"/>
    <w:rsid w:val="003E44CB"/>
    <w:rsid w:val="003E5452"/>
    <w:rsid w:val="003E55C9"/>
    <w:rsid w:val="003E5EA5"/>
    <w:rsid w:val="003E61A4"/>
    <w:rsid w:val="003E626D"/>
    <w:rsid w:val="003E6272"/>
    <w:rsid w:val="003E6476"/>
    <w:rsid w:val="003E65B3"/>
    <w:rsid w:val="003E65D4"/>
    <w:rsid w:val="003E6698"/>
    <w:rsid w:val="003E686C"/>
    <w:rsid w:val="003E68BE"/>
    <w:rsid w:val="003E7374"/>
    <w:rsid w:val="003E76D6"/>
    <w:rsid w:val="003E795C"/>
    <w:rsid w:val="003E79FA"/>
    <w:rsid w:val="003E7C79"/>
    <w:rsid w:val="003E7CD7"/>
    <w:rsid w:val="003E7E49"/>
    <w:rsid w:val="003E7F7D"/>
    <w:rsid w:val="003F0FE3"/>
    <w:rsid w:val="003F150B"/>
    <w:rsid w:val="003F169D"/>
    <w:rsid w:val="003F1732"/>
    <w:rsid w:val="003F1BC5"/>
    <w:rsid w:val="003F1C21"/>
    <w:rsid w:val="003F1CAD"/>
    <w:rsid w:val="003F1CE5"/>
    <w:rsid w:val="003F248F"/>
    <w:rsid w:val="003F27A5"/>
    <w:rsid w:val="003F2811"/>
    <w:rsid w:val="003F2B77"/>
    <w:rsid w:val="003F2C1C"/>
    <w:rsid w:val="003F2E17"/>
    <w:rsid w:val="003F2ED7"/>
    <w:rsid w:val="003F30D0"/>
    <w:rsid w:val="003F3676"/>
    <w:rsid w:val="003F3FCA"/>
    <w:rsid w:val="003F5101"/>
    <w:rsid w:val="003F51D6"/>
    <w:rsid w:val="003F5536"/>
    <w:rsid w:val="003F5A4A"/>
    <w:rsid w:val="003F5AE6"/>
    <w:rsid w:val="003F5C1D"/>
    <w:rsid w:val="003F5C8F"/>
    <w:rsid w:val="003F5D56"/>
    <w:rsid w:val="003F5EAF"/>
    <w:rsid w:val="003F60C2"/>
    <w:rsid w:val="003F63F2"/>
    <w:rsid w:val="003F693C"/>
    <w:rsid w:val="003F6D36"/>
    <w:rsid w:val="003F6F94"/>
    <w:rsid w:val="003F75E2"/>
    <w:rsid w:val="003F7658"/>
    <w:rsid w:val="003F7692"/>
    <w:rsid w:val="003F76BD"/>
    <w:rsid w:val="003F7727"/>
    <w:rsid w:val="003F7786"/>
    <w:rsid w:val="003F7816"/>
    <w:rsid w:val="003F7946"/>
    <w:rsid w:val="003F7E35"/>
    <w:rsid w:val="003F7F2D"/>
    <w:rsid w:val="004000E4"/>
    <w:rsid w:val="0040024C"/>
    <w:rsid w:val="004002DE"/>
    <w:rsid w:val="004007FC"/>
    <w:rsid w:val="0040081B"/>
    <w:rsid w:val="004009F5"/>
    <w:rsid w:val="004010FE"/>
    <w:rsid w:val="004012BA"/>
    <w:rsid w:val="004015BF"/>
    <w:rsid w:val="004019EA"/>
    <w:rsid w:val="00401BFB"/>
    <w:rsid w:val="00401E07"/>
    <w:rsid w:val="00401EEF"/>
    <w:rsid w:val="00401F9E"/>
    <w:rsid w:val="00401FFC"/>
    <w:rsid w:val="00402028"/>
    <w:rsid w:val="00402140"/>
    <w:rsid w:val="004023B8"/>
    <w:rsid w:val="00402B7A"/>
    <w:rsid w:val="00402BEF"/>
    <w:rsid w:val="00402CE8"/>
    <w:rsid w:val="00402DD9"/>
    <w:rsid w:val="00402F30"/>
    <w:rsid w:val="00402FBA"/>
    <w:rsid w:val="0040306F"/>
    <w:rsid w:val="00403204"/>
    <w:rsid w:val="0040389F"/>
    <w:rsid w:val="00403926"/>
    <w:rsid w:val="0040393D"/>
    <w:rsid w:val="00403C41"/>
    <w:rsid w:val="00403E59"/>
    <w:rsid w:val="00403EE0"/>
    <w:rsid w:val="00404037"/>
    <w:rsid w:val="00404277"/>
    <w:rsid w:val="00404428"/>
    <w:rsid w:val="004044AF"/>
    <w:rsid w:val="0040452F"/>
    <w:rsid w:val="004048A4"/>
    <w:rsid w:val="00404A16"/>
    <w:rsid w:val="00404BE7"/>
    <w:rsid w:val="00404C3F"/>
    <w:rsid w:val="00404D13"/>
    <w:rsid w:val="00404E68"/>
    <w:rsid w:val="0040509F"/>
    <w:rsid w:val="0040590E"/>
    <w:rsid w:val="00406553"/>
    <w:rsid w:val="0040690B"/>
    <w:rsid w:val="00406AD3"/>
    <w:rsid w:val="00406DB2"/>
    <w:rsid w:val="00407068"/>
    <w:rsid w:val="0040770C"/>
    <w:rsid w:val="00407797"/>
    <w:rsid w:val="00407CBC"/>
    <w:rsid w:val="004101AC"/>
    <w:rsid w:val="0041069C"/>
    <w:rsid w:val="00410B4E"/>
    <w:rsid w:val="00410C98"/>
    <w:rsid w:val="00410EFD"/>
    <w:rsid w:val="00411746"/>
    <w:rsid w:val="00411CA1"/>
    <w:rsid w:val="00411F57"/>
    <w:rsid w:val="00412BEB"/>
    <w:rsid w:val="00412D83"/>
    <w:rsid w:val="0041313B"/>
    <w:rsid w:val="0041350B"/>
    <w:rsid w:val="004135BF"/>
    <w:rsid w:val="0041388D"/>
    <w:rsid w:val="00413A22"/>
    <w:rsid w:val="00413C7F"/>
    <w:rsid w:val="00413DD1"/>
    <w:rsid w:val="004144C3"/>
    <w:rsid w:val="00414726"/>
    <w:rsid w:val="00414AAC"/>
    <w:rsid w:val="00414E37"/>
    <w:rsid w:val="00414E86"/>
    <w:rsid w:val="00415C13"/>
    <w:rsid w:val="00415CD9"/>
    <w:rsid w:val="00415CF2"/>
    <w:rsid w:val="00415FBD"/>
    <w:rsid w:val="00416403"/>
    <w:rsid w:val="0041656C"/>
    <w:rsid w:val="004166D2"/>
    <w:rsid w:val="00416A1E"/>
    <w:rsid w:val="00416A79"/>
    <w:rsid w:val="00416C2B"/>
    <w:rsid w:val="00416DF4"/>
    <w:rsid w:val="0041715E"/>
    <w:rsid w:val="00417334"/>
    <w:rsid w:val="00417D7E"/>
    <w:rsid w:val="0042014A"/>
    <w:rsid w:val="004201D8"/>
    <w:rsid w:val="00420A35"/>
    <w:rsid w:val="00420E81"/>
    <w:rsid w:val="0042103B"/>
    <w:rsid w:val="00421094"/>
    <w:rsid w:val="00421129"/>
    <w:rsid w:val="0042127A"/>
    <w:rsid w:val="004218D9"/>
    <w:rsid w:val="0042252D"/>
    <w:rsid w:val="004225F6"/>
    <w:rsid w:val="00422AEB"/>
    <w:rsid w:val="0042356F"/>
    <w:rsid w:val="00423821"/>
    <w:rsid w:val="004239FE"/>
    <w:rsid w:val="00423DD7"/>
    <w:rsid w:val="00423F03"/>
    <w:rsid w:val="00424263"/>
    <w:rsid w:val="00424479"/>
    <w:rsid w:val="004245A0"/>
    <w:rsid w:val="004246A5"/>
    <w:rsid w:val="00424E90"/>
    <w:rsid w:val="0042535D"/>
    <w:rsid w:val="00425991"/>
    <w:rsid w:val="00425DA5"/>
    <w:rsid w:val="00425DEF"/>
    <w:rsid w:val="00425FBE"/>
    <w:rsid w:val="004261A2"/>
    <w:rsid w:val="00426279"/>
    <w:rsid w:val="0042636F"/>
    <w:rsid w:val="00426451"/>
    <w:rsid w:val="0042651B"/>
    <w:rsid w:val="0042671C"/>
    <w:rsid w:val="00426F73"/>
    <w:rsid w:val="00427321"/>
    <w:rsid w:val="0042743A"/>
    <w:rsid w:val="00427AC6"/>
    <w:rsid w:val="00430005"/>
    <w:rsid w:val="004300C6"/>
    <w:rsid w:val="004308BC"/>
    <w:rsid w:val="00430CE3"/>
    <w:rsid w:val="00430D0C"/>
    <w:rsid w:val="004313CF"/>
    <w:rsid w:val="00431E18"/>
    <w:rsid w:val="00432B0C"/>
    <w:rsid w:val="00432BF4"/>
    <w:rsid w:val="00432F41"/>
    <w:rsid w:val="00432FAC"/>
    <w:rsid w:val="004332C1"/>
    <w:rsid w:val="00433336"/>
    <w:rsid w:val="00433482"/>
    <w:rsid w:val="00433680"/>
    <w:rsid w:val="00433AB3"/>
    <w:rsid w:val="00433D1F"/>
    <w:rsid w:val="00433D24"/>
    <w:rsid w:val="00433D8E"/>
    <w:rsid w:val="004342FC"/>
    <w:rsid w:val="00434313"/>
    <w:rsid w:val="00434342"/>
    <w:rsid w:val="004344B9"/>
    <w:rsid w:val="00434B8D"/>
    <w:rsid w:val="00434DF9"/>
    <w:rsid w:val="00434F7E"/>
    <w:rsid w:val="00434FA5"/>
    <w:rsid w:val="00435408"/>
    <w:rsid w:val="0043568D"/>
    <w:rsid w:val="00435E75"/>
    <w:rsid w:val="00435EF3"/>
    <w:rsid w:val="004360A8"/>
    <w:rsid w:val="004362EC"/>
    <w:rsid w:val="004363AF"/>
    <w:rsid w:val="0043680C"/>
    <w:rsid w:val="00436DEC"/>
    <w:rsid w:val="00437147"/>
    <w:rsid w:val="004376D0"/>
    <w:rsid w:val="00437915"/>
    <w:rsid w:val="00437B2F"/>
    <w:rsid w:val="00437B60"/>
    <w:rsid w:val="00437DE4"/>
    <w:rsid w:val="00440114"/>
    <w:rsid w:val="00440136"/>
    <w:rsid w:val="0044045C"/>
    <w:rsid w:val="004404CD"/>
    <w:rsid w:val="004413BA"/>
    <w:rsid w:val="0044183A"/>
    <w:rsid w:val="00441845"/>
    <w:rsid w:val="00441D63"/>
    <w:rsid w:val="00442010"/>
    <w:rsid w:val="00442150"/>
    <w:rsid w:val="004422B2"/>
    <w:rsid w:val="004422F6"/>
    <w:rsid w:val="0044251F"/>
    <w:rsid w:val="00442546"/>
    <w:rsid w:val="0044279A"/>
    <w:rsid w:val="00442CF1"/>
    <w:rsid w:val="00442D28"/>
    <w:rsid w:val="00442E18"/>
    <w:rsid w:val="00442FF4"/>
    <w:rsid w:val="00443ADB"/>
    <w:rsid w:val="00443C60"/>
    <w:rsid w:val="00444187"/>
    <w:rsid w:val="00444444"/>
    <w:rsid w:val="004446C5"/>
    <w:rsid w:val="004448D6"/>
    <w:rsid w:val="004449C4"/>
    <w:rsid w:val="004450D5"/>
    <w:rsid w:val="00445A94"/>
    <w:rsid w:val="00446856"/>
    <w:rsid w:val="00446E3B"/>
    <w:rsid w:val="00447016"/>
    <w:rsid w:val="00447183"/>
    <w:rsid w:val="004476DC"/>
    <w:rsid w:val="00447850"/>
    <w:rsid w:val="00447F31"/>
    <w:rsid w:val="00450506"/>
    <w:rsid w:val="00450967"/>
    <w:rsid w:val="00450B91"/>
    <w:rsid w:val="00450CB7"/>
    <w:rsid w:val="00450EC4"/>
    <w:rsid w:val="0045122B"/>
    <w:rsid w:val="004512F6"/>
    <w:rsid w:val="0045131B"/>
    <w:rsid w:val="004514A1"/>
    <w:rsid w:val="00451B2B"/>
    <w:rsid w:val="00451EAA"/>
    <w:rsid w:val="00451FDB"/>
    <w:rsid w:val="00451FE7"/>
    <w:rsid w:val="00452038"/>
    <w:rsid w:val="00452169"/>
    <w:rsid w:val="00452746"/>
    <w:rsid w:val="004527D8"/>
    <w:rsid w:val="00452AC9"/>
    <w:rsid w:val="00452F32"/>
    <w:rsid w:val="00452FDE"/>
    <w:rsid w:val="004530A5"/>
    <w:rsid w:val="004532BD"/>
    <w:rsid w:val="004534F3"/>
    <w:rsid w:val="00453971"/>
    <w:rsid w:val="00453A9C"/>
    <w:rsid w:val="00453ED3"/>
    <w:rsid w:val="00453EE4"/>
    <w:rsid w:val="00454267"/>
    <w:rsid w:val="004543CC"/>
    <w:rsid w:val="004553C6"/>
    <w:rsid w:val="0045595C"/>
    <w:rsid w:val="00455D88"/>
    <w:rsid w:val="00455DF3"/>
    <w:rsid w:val="004566DC"/>
    <w:rsid w:val="00456C00"/>
    <w:rsid w:val="00456D13"/>
    <w:rsid w:val="00456EB7"/>
    <w:rsid w:val="00457516"/>
    <w:rsid w:val="0045782E"/>
    <w:rsid w:val="00457CCC"/>
    <w:rsid w:val="004603ED"/>
    <w:rsid w:val="00460891"/>
    <w:rsid w:val="00460A55"/>
    <w:rsid w:val="00460E43"/>
    <w:rsid w:val="004610B2"/>
    <w:rsid w:val="0046125D"/>
    <w:rsid w:val="00461747"/>
    <w:rsid w:val="00461B43"/>
    <w:rsid w:val="00461BA6"/>
    <w:rsid w:val="00462004"/>
    <w:rsid w:val="004626DA"/>
    <w:rsid w:val="00462725"/>
    <w:rsid w:val="00462965"/>
    <w:rsid w:val="00462A55"/>
    <w:rsid w:val="00462CDF"/>
    <w:rsid w:val="00462D78"/>
    <w:rsid w:val="00462E3A"/>
    <w:rsid w:val="00462EBA"/>
    <w:rsid w:val="004630DA"/>
    <w:rsid w:val="004631A5"/>
    <w:rsid w:val="0046335C"/>
    <w:rsid w:val="00463536"/>
    <w:rsid w:val="004635A1"/>
    <w:rsid w:val="00463863"/>
    <w:rsid w:val="0046399C"/>
    <w:rsid w:val="004639A8"/>
    <w:rsid w:val="004639BC"/>
    <w:rsid w:val="00463B7F"/>
    <w:rsid w:val="00463C24"/>
    <w:rsid w:val="00464021"/>
    <w:rsid w:val="004640D7"/>
    <w:rsid w:val="004646F3"/>
    <w:rsid w:val="00464A01"/>
    <w:rsid w:val="00464F83"/>
    <w:rsid w:val="00464FCB"/>
    <w:rsid w:val="00465145"/>
    <w:rsid w:val="00465442"/>
    <w:rsid w:val="0046597A"/>
    <w:rsid w:val="004659EB"/>
    <w:rsid w:val="0046657C"/>
    <w:rsid w:val="00466B37"/>
    <w:rsid w:val="00466F70"/>
    <w:rsid w:val="00467094"/>
    <w:rsid w:val="004672CC"/>
    <w:rsid w:val="00467586"/>
    <w:rsid w:val="004679F5"/>
    <w:rsid w:val="00467B9D"/>
    <w:rsid w:val="00467CE8"/>
    <w:rsid w:val="00467DF9"/>
    <w:rsid w:val="00467F1C"/>
    <w:rsid w:val="004705ED"/>
    <w:rsid w:val="00470780"/>
    <w:rsid w:val="004709D3"/>
    <w:rsid w:val="00470B7D"/>
    <w:rsid w:val="00470C34"/>
    <w:rsid w:val="00471016"/>
    <w:rsid w:val="0047105E"/>
    <w:rsid w:val="00471675"/>
    <w:rsid w:val="004717E2"/>
    <w:rsid w:val="004718CA"/>
    <w:rsid w:val="00471E82"/>
    <w:rsid w:val="004726AA"/>
    <w:rsid w:val="00472769"/>
    <w:rsid w:val="00472770"/>
    <w:rsid w:val="00472A5E"/>
    <w:rsid w:val="00472A9E"/>
    <w:rsid w:val="00472BA1"/>
    <w:rsid w:val="00472E77"/>
    <w:rsid w:val="00472EA0"/>
    <w:rsid w:val="00473437"/>
    <w:rsid w:val="0047367C"/>
    <w:rsid w:val="004738ED"/>
    <w:rsid w:val="004739C7"/>
    <w:rsid w:val="00473A5D"/>
    <w:rsid w:val="00473E00"/>
    <w:rsid w:val="004742B8"/>
    <w:rsid w:val="00474303"/>
    <w:rsid w:val="00474515"/>
    <w:rsid w:val="00474639"/>
    <w:rsid w:val="00474A59"/>
    <w:rsid w:val="004753DE"/>
    <w:rsid w:val="004757AC"/>
    <w:rsid w:val="00475845"/>
    <w:rsid w:val="00476B3A"/>
    <w:rsid w:val="00476C6D"/>
    <w:rsid w:val="00476E96"/>
    <w:rsid w:val="00476EE9"/>
    <w:rsid w:val="004770E8"/>
    <w:rsid w:val="004776F6"/>
    <w:rsid w:val="0047790D"/>
    <w:rsid w:val="00477CC0"/>
    <w:rsid w:val="00477D37"/>
    <w:rsid w:val="004810F0"/>
    <w:rsid w:val="00481526"/>
    <w:rsid w:val="0048157D"/>
    <w:rsid w:val="00481B47"/>
    <w:rsid w:val="00481D20"/>
    <w:rsid w:val="00482144"/>
    <w:rsid w:val="0048226E"/>
    <w:rsid w:val="0048227C"/>
    <w:rsid w:val="004825DC"/>
    <w:rsid w:val="00482802"/>
    <w:rsid w:val="00482D5C"/>
    <w:rsid w:val="00482E9A"/>
    <w:rsid w:val="004831FB"/>
    <w:rsid w:val="0048320A"/>
    <w:rsid w:val="00483381"/>
    <w:rsid w:val="004839E9"/>
    <w:rsid w:val="00483A86"/>
    <w:rsid w:val="00483B9F"/>
    <w:rsid w:val="00483E41"/>
    <w:rsid w:val="00483FA8"/>
    <w:rsid w:val="004841B6"/>
    <w:rsid w:val="00484381"/>
    <w:rsid w:val="00484386"/>
    <w:rsid w:val="004844C1"/>
    <w:rsid w:val="00484788"/>
    <w:rsid w:val="004847EC"/>
    <w:rsid w:val="00484F13"/>
    <w:rsid w:val="00485294"/>
    <w:rsid w:val="00485458"/>
    <w:rsid w:val="004855C6"/>
    <w:rsid w:val="00485AC4"/>
    <w:rsid w:val="00485B21"/>
    <w:rsid w:val="00485BD4"/>
    <w:rsid w:val="00486375"/>
    <w:rsid w:val="004863F5"/>
    <w:rsid w:val="004864B6"/>
    <w:rsid w:val="004864D4"/>
    <w:rsid w:val="004866E7"/>
    <w:rsid w:val="00486717"/>
    <w:rsid w:val="00486A64"/>
    <w:rsid w:val="00486C36"/>
    <w:rsid w:val="00486D61"/>
    <w:rsid w:val="00487A5E"/>
    <w:rsid w:val="00487B53"/>
    <w:rsid w:val="00487F8E"/>
    <w:rsid w:val="00490037"/>
    <w:rsid w:val="004900ED"/>
    <w:rsid w:val="004900F4"/>
    <w:rsid w:val="0049030D"/>
    <w:rsid w:val="00490DAE"/>
    <w:rsid w:val="004914B6"/>
    <w:rsid w:val="00491532"/>
    <w:rsid w:val="0049156F"/>
    <w:rsid w:val="00491AB0"/>
    <w:rsid w:val="00491ADB"/>
    <w:rsid w:val="0049206E"/>
    <w:rsid w:val="00492AF5"/>
    <w:rsid w:val="00492B80"/>
    <w:rsid w:val="00492BEF"/>
    <w:rsid w:val="00492BF2"/>
    <w:rsid w:val="00492C76"/>
    <w:rsid w:val="00492EE7"/>
    <w:rsid w:val="00492F58"/>
    <w:rsid w:val="00492F6D"/>
    <w:rsid w:val="00492FD5"/>
    <w:rsid w:val="00493145"/>
    <w:rsid w:val="00493A62"/>
    <w:rsid w:val="00493C60"/>
    <w:rsid w:val="004941C8"/>
    <w:rsid w:val="004941DB"/>
    <w:rsid w:val="004941FF"/>
    <w:rsid w:val="0049447D"/>
    <w:rsid w:val="00494605"/>
    <w:rsid w:val="004950AE"/>
    <w:rsid w:val="00495274"/>
    <w:rsid w:val="00495380"/>
    <w:rsid w:val="00495829"/>
    <w:rsid w:val="0049596E"/>
    <w:rsid w:val="00495AB5"/>
    <w:rsid w:val="00495B32"/>
    <w:rsid w:val="00495D86"/>
    <w:rsid w:val="004964E8"/>
    <w:rsid w:val="00496935"/>
    <w:rsid w:val="00496BCA"/>
    <w:rsid w:val="00496D1B"/>
    <w:rsid w:val="0049712F"/>
    <w:rsid w:val="0049722F"/>
    <w:rsid w:val="00497488"/>
    <w:rsid w:val="00497726"/>
    <w:rsid w:val="00497850"/>
    <w:rsid w:val="00497D6A"/>
    <w:rsid w:val="00497DE7"/>
    <w:rsid w:val="004A0100"/>
    <w:rsid w:val="004A03DA"/>
    <w:rsid w:val="004A05DA"/>
    <w:rsid w:val="004A06FE"/>
    <w:rsid w:val="004A14A5"/>
    <w:rsid w:val="004A2325"/>
    <w:rsid w:val="004A30EF"/>
    <w:rsid w:val="004A31A3"/>
    <w:rsid w:val="004A378E"/>
    <w:rsid w:val="004A3FD8"/>
    <w:rsid w:val="004A4130"/>
    <w:rsid w:val="004A4254"/>
    <w:rsid w:val="004A4259"/>
    <w:rsid w:val="004A4454"/>
    <w:rsid w:val="004A4471"/>
    <w:rsid w:val="004A4481"/>
    <w:rsid w:val="004A4564"/>
    <w:rsid w:val="004A4A56"/>
    <w:rsid w:val="004A5770"/>
    <w:rsid w:val="004A5927"/>
    <w:rsid w:val="004A59AC"/>
    <w:rsid w:val="004A59D4"/>
    <w:rsid w:val="004A5A00"/>
    <w:rsid w:val="004A64EA"/>
    <w:rsid w:val="004A66AF"/>
    <w:rsid w:val="004A66EE"/>
    <w:rsid w:val="004A6C8A"/>
    <w:rsid w:val="004A7775"/>
    <w:rsid w:val="004A7E18"/>
    <w:rsid w:val="004A7F00"/>
    <w:rsid w:val="004B0295"/>
    <w:rsid w:val="004B0314"/>
    <w:rsid w:val="004B0C08"/>
    <w:rsid w:val="004B0D1E"/>
    <w:rsid w:val="004B0D63"/>
    <w:rsid w:val="004B1699"/>
    <w:rsid w:val="004B1DB2"/>
    <w:rsid w:val="004B2036"/>
    <w:rsid w:val="004B240A"/>
    <w:rsid w:val="004B26BB"/>
    <w:rsid w:val="004B2863"/>
    <w:rsid w:val="004B29B9"/>
    <w:rsid w:val="004B3AD1"/>
    <w:rsid w:val="004B3C53"/>
    <w:rsid w:val="004B400B"/>
    <w:rsid w:val="004B41D8"/>
    <w:rsid w:val="004B46F9"/>
    <w:rsid w:val="004B5157"/>
    <w:rsid w:val="004B5508"/>
    <w:rsid w:val="004B5806"/>
    <w:rsid w:val="004B591F"/>
    <w:rsid w:val="004B5992"/>
    <w:rsid w:val="004B5AE2"/>
    <w:rsid w:val="004B5B32"/>
    <w:rsid w:val="004B5D5B"/>
    <w:rsid w:val="004B661B"/>
    <w:rsid w:val="004B67C6"/>
    <w:rsid w:val="004B6876"/>
    <w:rsid w:val="004B69F6"/>
    <w:rsid w:val="004B69FC"/>
    <w:rsid w:val="004B6AB7"/>
    <w:rsid w:val="004B6B40"/>
    <w:rsid w:val="004B6DAC"/>
    <w:rsid w:val="004B744D"/>
    <w:rsid w:val="004B79B1"/>
    <w:rsid w:val="004B7A12"/>
    <w:rsid w:val="004C0747"/>
    <w:rsid w:val="004C12AC"/>
    <w:rsid w:val="004C1804"/>
    <w:rsid w:val="004C199C"/>
    <w:rsid w:val="004C1F11"/>
    <w:rsid w:val="004C215E"/>
    <w:rsid w:val="004C2A04"/>
    <w:rsid w:val="004C2D61"/>
    <w:rsid w:val="004C2E66"/>
    <w:rsid w:val="004C3060"/>
    <w:rsid w:val="004C31A2"/>
    <w:rsid w:val="004C3219"/>
    <w:rsid w:val="004C3336"/>
    <w:rsid w:val="004C39CD"/>
    <w:rsid w:val="004C3E23"/>
    <w:rsid w:val="004C4085"/>
    <w:rsid w:val="004C4115"/>
    <w:rsid w:val="004C4199"/>
    <w:rsid w:val="004C4367"/>
    <w:rsid w:val="004C454A"/>
    <w:rsid w:val="004C4B96"/>
    <w:rsid w:val="004C4CC8"/>
    <w:rsid w:val="004C4DF1"/>
    <w:rsid w:val="004C4EE6"/>
    <w:rsid w:val="004C4F45"/>
    <w:rsid w:val="004C5A84"/>
    <w:rsid w:val="004C5E79"/>
    <w:rsid w:val="004C5E9D"/>
    <w:rsid w:val="004C5F58"/>
    <w:rsid w:val="004C5FE5"/>
    <w:rsid w:val="004C609C"/>
    <w:rsid w:val="004C617B"/>
    <w:rsid w:val="004C65BB"/>
    <w:rsid w:val="004C66E7"/>
    <w:rsid w:val="004C6788"/>
    <w:rsid w:val="004C6B15"/>
    <w:rsid w:val="004C6CA6"/>
    <w:rsid w:val="004C746A"/>
    <w:rsid w:val="004C7B75"/>
    <w:rsid w:val="004D005A"/>
    <w:rsid w:val="004D01B8"/>
    <w:rsid w:val="004D05C5"/>
    <w:rsid w:val="004D06E7"/>
    <w:rsid w:val="004D09BD"/>
    <w:rsid w:val="004D0C04"/>
    <w:rsid w:val="004D0C0F"/>
    <w:rsid w:val="004D105C"/>
    <w:rsid w:val="004D10A9"/>
    <w:rsid w:val="004D123A"/>
    <w:rsid w:val="004D12B5"/>
    <w:rsid w:val="004D1484"/>
    <w:rsid w:val="004D17A5"/>
    <w:rsid w:val="004D19C8"/>
    <w:rsid w:val="004D1BB0"/>
    <w:rsid w:val="004D1FB4"/>
    <w:rsid w:val="004D2074"/>
    <w:rsid w:val="004D223A"/>
    <w:rsid w:val="004D2445"/>
    <w:rsid w:val="004D281A"/>
    <w:rsid w:val="004D2C2F"/>
    <w:rsid w:val="004D2C77"/>
    <w:rsid w:val="004D2DC1"/>
    <w:rsid w:val="004D2EC0"/>
    <w:rsid w:val="004D3A0B"/>
    <w:rsid w:val="004D41D4"/>
    <w:rsid w:val="004D427B"/>
    <w:rsid w:val="004D43FA"/>
    <w:rsid w:val="004D4530"/>
    <w:rsid w:val="004D4C47"/>
    <w:rsid w:val="004D521F"/>
    <w:rsid w:val="004D52EA"/>
    <w:rsid w:val="004D53A0"/>
    <w:rsid w:val="004D5606"/>
    <w:rsid w:val="004D5C14"/>
    <w:rsid w:val="004D5C3B"/>
    <w:rsid w:val="004D5F06"/>
    <w:rsid w:val="004D6133"/>
    <w:rsid w:val="004D6276"/>
    <w:rsid w:val="004D64BC"/>
    <w:rsid w:val="004D64E0"/>
    <w:rsid w:val="004D6547"/>
    <w:rsid w:val="004D6B89"/>
    <w:rsid w:val="004D6C03"/>
    <w:rsid w:val="004D727B"/>
    <w:rsid w:val="004D743A"/>
    <w:rsid w:val="004D7A16"/>
    <w:rsid w:val="004D7BFA"/>
    <w:rsid w:val="004D7C52"/>
    <w:rsid w:val="004D7E8F"/>
    <w:rsid w:val="004D7F3F"/>
    <w:rsid w:val="004E050F"/>
    <w:rsid w:val="004E06BD"/>
    <w:rsid w:val="004E09B6"/>
    <w:rsid w:val="004E09FA"/>
    <w:rsid w:val="004E15CD"/>
    <w:rsid w:val="004E162C"/>
    <w:rsid w:val="004E2005"/>
    <w:rsid w:val="004E25AE"/>
    <w:rsid w:val="004E2FE2"/>
    <w:rsid w:val="004E30C8"/>
    <w:rsid w:val="004E3411"/>
    <w:rsid w:val="004E3835"/>
    <w:rsid w:val="004E389B"/>
    <w:rsid w:val="004E39FE"/>
    <w:rsid w:val="004E3DD7"/>
    <w:rsid w:val="004E3DF1"/>
    <w:rsid w:val="004E44EC"/>
    <w:rsid w:val="004E45C4"/>
    <w:rsid w:val="004E4B50"/>
    <w:rsid w:val="004E4C2D"/>
    <w:rsid w:val="004E5198"/>
    <w:rsid w:val="004E565B"/>
    <w:rsid w:val="004E579C"/>
    <w:rsid w:val="004E5856"/>
    <w:rsid w:val="004E58F7"/>
    <w:rsid w:val="004E596C"/>
    <w:rsid w:val="004E598D"/>
    <w:rsid w:val="004E5A45"/>
    <w:rsid w:val="004E5A62"/>
    <w:rsid w:val="004E5FF1"/>
    <w:rsid w:val="004E7433"/>
    <w:rsid w:val="004E75C8"/>
    <w:rsid w:val="004E7766"/>
    <w:rsid w:val="004E78A0"/>
    <w:rsid w:val="004E7E5B"/>
    <w:rsid w:val="004E7F71"/>
    <w:rsid w:val="004F026A"/>
    <w:rsid w:val="004F0317"/>
    <w:rsid w:val="004F0662"/>
    <w:rsid w:val="004F07BA"/>
    <w:rsid w:val="004F14F9"/>
    <w:rsid w:val="004F1886"/>
    <w:rsid w:val="004F1C5F"/>
    <w:rsid w:val="004F1E0D"/>
    <w:rsid w:val="004F249F"/>
    <w:rsid w:val="004F25F8"/>
    <w:rsid w:val="004F2F3C"/>
    <w:rsid w:val="004F3186"/>
    <w:rsid w:val="004F35F0"/>
    <w:rsid w:val="004F3637"/>
    <w:rsid w:val="004F36F1"/>
    <w:rsid w:val="004F3970"/>
    <w:rsid w:val="004F3A7D"/>
    <w:rsid w:val="004F3EF3"/>
    <w:rsid w:val="004F3EFC"/>
    <w:rsid w:val="004F3FEB"/>
    <w:rsid w:val="004F40CE"/>
    <w:rsid w:val="004F44A3"/>
    <w:rsid w:val="004F4859"/>
    <w:rsid w:val="004F5410"/>
    <w:rsid w:val="004F58AF"/>
    <w:rsid w:val="004F6159"/>
    <w:rsid w:val="004F61AB"/>
    <w:rsid w:val="004F61B0"/>
    <w:rsid w:val="004F61DA"/>
    <w:rsid w:val="004F628E"/>
    <w:rsid w:val="004F6685"/>
    <w:rsid w:val="004F66AD"/>
    <w:rsid w:val="004F66DF"/>
    <w:rsid w:val="004F6AD0"/>
    <w:rsid w:val="004F7712"/>
    <w:rsid w:val="004F7813"/>
    <w:rsid w:val="004F7897"/>
    <w:rsid w:val="004F7BEA"/>
    <w:rsid w:val="004F7BF4"/>
    <w:rsid w:val="004F7E75"/>
    <w:rsid w:val="0050071E"/>
    <w:rsid w:val="00500CA3"/>
    <w:rsid w:val="00500FE1"/>
    <w:rsid w:val="00501472"/>
    <w:rsid w:val="005014FD"/>
    <w:rsid w:val="00501B2A"/>
    <w:rsid w:val="00501B61"/>
    <w:rsid w:val="00501D0C"/>
    <w:rsid w:val="00501F41"/>
    <w:rsid w:val="00501FFC"/>
    <w:rsid w:val="0050217B"/>
    <w:rsid w:val="005021EC"/>
    <w:rsid w:val="0050232B"/>
    <w:rsid w:val="005023E1"/>
    <w:rsid w:val="005024F4"/>
    <w:rsid w:val="00502F65"/>
    <w:rsid w:val="005035C6"/>
    <w:rsid w:val="00503677"/>
    <w:rsid w:val="00503C5B"/>
    <w:rsid w:val="00503E46"/>
    <w:rsid w:val="00503F66"/>
    <w:rsid w:val="005044A8"/>
    <w:rsid w:val="005046EE"/>
    <w:rsid w:val="005049F5"/>
    <w:rsid w:val="00505027"/>
    <w:rsid w:val="00505067"/>
    <w:rsid w:val="00505086"/>
    <w:rsid w:val="00505124"/>
    <w:rsid w:val="00505372"/>
    <w:rsid w:val="00505641"/>
    <w:rsid w:val="00505E7F"/>
    <w:rsid w:val="005062EA"/>
    <w:rsid w:val="005065A2"/>
    <w:rsid w:val="005067ED"/>
    <w:rsid w:val="0050680D"/>
    <w:rsid w:val="00506878"/>
    <w:rsid w:val="005068F5"/>
    <w:rsid w:val="0050694B"/>
    <w:rsid w:val="00506D81"/>
    <w:rsid w:val="005071B5"/>
    <w:rsid w:val="005072E1"/>
    <w:rsid w:val="005073E6"/>
    <w:rsid w:val="00507419"/>
    <w:rsid w:val="00507992"/>
    <w:rsid w:val="00507ABE"/>
    <w:rsid w:val="00507B29"/>
    <w:rsid w:val="00507C07"/>
    <w:rsid w:val="00507D2C"/>
    <w:rsid w:val="005104D8"/>
    <w:rsid w:val="0051096D"/>
    <w:rsid w:val="00510EF4"/>
    <w:rsid w:val="005112E5"/>
    <w:rsid w:val="005116F2"/>
    <w:rsid w:val="00511B05"/>
    <w:rsid w:val="00511D3C"/>
    <w:rsid w:val="0051205F"/>
    <w:rsid w:val="00512449"/>
    <w:rsid w:val="00512694"/>
    <w:rsid w:val="0051284B"/>
    <w:rsid w:val="00512FB9"/>
    <w:rsid w:val="005139BC"/>
    <w:rsid w:val="00513C4E"/>
    <w:rsid w:val="00513D01"/>
    <w:rsid w:val="005141AF"/>
    <w:rsid w:val="0051452F"/>
    <w:rsid w:val="00514694"/>
    <w:rsid w:val="00514BDE"/>
    <w:rsid w:val="00515330"/>
    <w:rsid w:val="00515393"/>
    <w:rsid w:val="005154A8"/>
    <w:rsid w:val="00515751"/>
    <w:rsid w:val="005158DD"/>
    <w:rsid w:val="00515930"/>
    <w:rsid w:val="00515D3B"/>
    <w:rsid w:val="00516041"/>
    <w:rsid w:val="00516182"/>
    <w:rsid w:val="00516396"/>
    <w:rsid w:val="005164DE"/>
    <w:rsid w:val="005166DA"/>
    <w:rsid w:val="00516F40"/>
    <w:rsid w:val="0051730B"/>
    <w:rsid w:val="005175FA"/>
    <w:rsid w:val="005176C2"/>
    <w:rsid w:val="00517CD1"/>
    <w:rsid w:val="00517D8C"/>
    <w:rsid w:val="00520095"/>
    <w:rsid w:val="005200E2"/>
    <w:rsid w:val="005208D7"/>
    <w:rsid w:val="0052165C"/>
    <w:rsid w:val="005216F9"/>
    <w:rsid w:val="00521FAD"/>
    <w:rsid w:val="0052231D"/>
    <w:rsid w:val="0052247F"/>
    <w:rsid w:val="0052270C"/>
    <w:rsid w:val="00522983"/>
    <w:rsid w:val="00522A4C"/>
    <w:rsid w:val="00523152"/>
    <w:rsid w:val="0052315E"/>
    <w:rsid w:val="00523C5D"/>
    <w:rsid w:val="00523C99"/>
    <w:rsid w:val="00524AEB"/>
    <w:rsid w:val="00524C71"/>
    <w:rsid w:val="00524E33"/>
    <w:rsid w:val="00525030"/>
    <w:rsid w:val="005256C2"/>
    <w:rsid w:val="00525863"/>
    <w:rsid w:val="00525934"/>
    <w:rsid w:val="00525A96"/>
    <w:rsid w:val="00525F1A"/>
    <w:rsid w:val="005262A5"/>
    <w:rsid w:val="005264FC"/>
    <w:rsid w:val="005265C4"/>
    <w:rsid w:val="00526F13"/>
    <w:rsid w:val="00526F9A"/>
    <w:rsid w:val="0052731A"/>
    <w:rsid w:val="00527860"/>
    <w:rsid w:val="005278AB"/>
    <w:rsid w:val="005278E7"/>
    <w:rsid w:val="00527959"/>
    <w:rsid w:val="00527D00"/>
    <w:rsid w:val="00527E51"/>
    <w:rsid w:val="005301B3"/>
    <w:rsid w:val="005303A4"/>
    <w:rsid w:val="00530668"/>
    <w:rsid w:val="00530CBD"/>
    <w:rsid w:val="00530D38"/>
    <w:rsid w:val="00530F64"/>
    <w:rsid w:val="00530FDA"/>
    <w:rsid w:val="005312C3"/>
    <w:rsid w:val="0053173C"/>
    <w:rsid w:val="005319A1"/>
    <w:rsid w:val="005321E4"/>
    <w:rsid w:val="005327D0"/>
    <w:rsid w:val="0053290B"/>
    <w:rsid w:val="00532C2D"/>
    <w:rsid w:val="005336CD"/>
    <w:rsid w:val="00533732"/>
    <w:rsid w:val="00533830"/>
    <w:rsid w:val="0053395F"/>
    <w:rsid w:val="00533A77"/>
    <w:rsid w:val="00533E16"/>
    <w:rsid w:val="00534492"/>
    <w:rsid w:val="0053459C"/>
    <w:rsid w:val="005345E0"/>
    <w:rsid w:val="00534626"/>
    <w:rsid w:val="00534746"/>
    <w:rsid w:val="005347DE"/>
    <w:rsid w:val="00534EF8"/>
    <w:rsid w:val="00534F13"/>
    <w:rsid w:val="00534FEE"/>
    <w:rsid w:val="00535065"/>
    <w:rsid w:val="005350B7"/>
    <w:rsid w:val="00535262"/>
    <w:rsid w:val="005354F8"/>
    <w:rsid w:val="0053589D"/>
    <w:rsid w:val="005358D5"/>
    <w:rsid w:val="00535B3F"/>
    <w:rsid w:val="0053625B"/>
    <w:rsid w:val="005367B4"/>
    <w:rsid w:val="00536BB1"/>
    <w:rsid w:val="00536D4A"/>
    <w:rsid w:val="00536D8F"/>
    <w:rsid w:val="005370FC"/>
    <w:rsid w:val="00537645"/>
    <w:rsid w:val="00537AB6"/>
    <w:rsid w:val="00537E9D"/>
    <w:rsid w:val="0054004F"/>
    <w:rsid w:val="0054025E"/>
    <w:rsid w:val="00540C86"/>
    <w:rsid w:val="005417EB"/>
    <w:rsid w:val="00541BBA"/>
    <w:rsid w:val="005420BF"/>
    <w:rsid w:val="00542174"/>
    <w:rsid w:val="00542229"/>
    <w:rsid w:val="00542244"/>
    <w:rsid w:val="0054230A"/>
    <w:rsid w:val="00542570"/>
    <w:rsid w:val="00542C3E"/>
    <w:rsid w:val="00542CA4"/>
    <w:rsid w:val="00542E81"/>
    <w:rsid w:val="005431DA"/>
    <w:rsid w:val="005434C0"/>
    <w:rsid w:val="0054353F"/>
    <w:rsid w:val="00543913"/>
    <w:rsid w:val="005440E8"/>
    <w:rsid w:val="00544764"/>
    <w:rsid w:val="005448DA"/>
    <w:rsid w:val="005449BC"/>
    <w:rsid w:val="005454FE"/>
    <w:rsid w:val="0054554A"/>
    <w:rsid w:val="0054574A"/>
    <w:rsid w:val="00545BAA"/>
    <w:rsid w:val="00545C12"/>
    <w:rsid w:val="00546364"/>
    <w:rsid w:val="005468A1"/>
    <w:rsid w:val="00546B4D"/>
    <w:rsid w:val="00546E50"/>
    <w:rsid w:val="00546F58"/>
    <w:rsid w:val="00547003"/>
    <w:rsid w:val="005475BB"/>
    <w:rsid w:val="0054778B"/>
    <w:rsid w:val="00547BFA"/>
    <w:rsid w:val="0055069F"/>
    <w:rsid w:val="005509F9"/>
    <w:rsid w:val="00550AB6"/>
    <w:rsid w:val="00550D8C"/>
    <w:rsid w:val="00551C6A"/>
    <w:rsid w:val="005521BD"/>
    <w:rsid w:val="005524D4"/>
    <w:rsid w:val="00552DEC"/>
    <w:rsid w:val="00552F12"/>
    <w:rsid w:val="00552F6F"/>
    <w:rsid w:val="00553006"/>
    <w:rsid w:val="00553167"/>
    <w:rsid w:val="0055323C"/>
    <w:rsid w:val="00553344"/>
    <w:rsid w:val="00553518"/>
    <w:rsid w:val="0055364F"/>
    <w:rsid w:val="005538C9"/>
    <w:rsid w:val="00553987"/>
    <w:rsid w:val="00553ECC"/>
    <w:rsid w:val="00554123"/>
    <w:rsid w:val="005548C0"/>
    <w:rsid w:val="00554EF5"/>
    <w:rsid w:val="0055525A"/>
    <w:rsid w:val="00555630"/>
    <w:rsid w:val="00555A28"/>
    <w:rsid w:val="00555DAC"/>
    <w:rsid w:val="00555EDF"/>
    <w:rsid w:val="00555F07"/>
    <w:rsid w:val="00556235"/>
    <w:rsid w:val="00556319"/>
    <w:rsid w:val="00556472"/>
    <w:rsid w:val="005564CE"/>
    <w:rsid w:val="00556C2A"/>
    <w:rsid w:val="00556D54"/>
    <w:rsid w:val="00557007"/>
    <w:rsid w:val="0055709F"/>
    <w:rsid w:val="005570A6"/>
    <w:rsid w:val="00557133"/>
    <w:rsid w:val="00557167"/>
    <w:rsid w:val="005572A7"/>
    <w:rsid w:val="005576B5"/>
    <w:rsid w:val="00557B92"/>
    <w:rsid w:val="00557DBD"/>
    <w:rsid w:val="005601D2"/>
    <w:rsid w:val="005602D3"/>
    <w:rsid w:val="00560575"/>
    <w:rsid w:val="005606A5"/>
    <w:rsid w:val="00560861"/>
    <w:rsid w:val="005609CB"/>
    <w:rsid w:val="00560D53"/>
    <w:rsid w:val="00560E52"/>
    <w:rsid w:val="00560F26"/>
    <w:rsid w:val="00561212"/>
    <w:rsid w:val="00561359"/>
    <w:rsid w:val="005613FD"/>
    <w:rsid w:val="0056151E"/>
    <w:rsid w:val="005618E9"/>
    <w:rsid w:val="00561C39"/>
    <w:rsid w:val="00561D7A"/>
    <w:rsid w:val="00561DBB"/>
    <w:rsid w:val="00561EA8"/>
    <w:rsid w:val="00561ED5"/>
    <w:rsid w:val="005620E2"/>
    <w:rsid w:val="005621E2"/>
    <w:rsid w:val="0056225F"/>
    <w:rsid w:val="00562520"/>
    <w:rsid w:val="005625A4"/>
    <w:rsid w:val="0056282C"/>
    <w:rsid w:val="00562FFA"/>
    <w:rsid w:val="00563043"/>
    <w:rsid w:val="005631A9"/>
    <w:rsid w:val="00563335"/>
    <w:rsid w:val="005633E4"/>
    <w:rsid w:val="00563465"/>
    <w:rsid w:val="00563502"/>
    <w:rsid w:val="005636B6"/>
    <w:rsid w:val="0056395B"/>
    <w:rsid w:val="00563D45"/>
    <w:rsid w:val="00563EAD"/>
    <w:rsid w:val="00564592"/>
    <w:rsid w:val="0056466E"/>
    <w:rsid w:val="005646B8"/>
    <w:rsid w:val="0056470B"/>
    <w:rsid w:val="00565605"/>
    <w:rsid w:val="0056565A"/>
    <w:rsid w:val="00565EDD"/>
    <w:rsid w:val="00566331"/>
    <w:rsid w:val="00566715"/>
    <w:rsid w:val="00566B09"/>
    <w:rsid w:val="00566CEF"/>
    <w:rsid w:val="00567379"/>
    <w:rsid w:val="00567517"/>
    <w:rsid w:val="00567821"/>
    <w:rsid w:val="00567A5A"/>
    <w:rsid w:val="00567AFD"/>
    <w:rsid w:val="00567C20"/>
    <w:rsid w:val="00567CC7"/>
    <w:rsid w:val="00567D67"/>
    <w:rsid w:val="00567E1B"/>
    <w:rsid w:val="005703EA"/>
    <w:rsid w:val="00570445"/>
    <w:rsid w:val="0057053E"/>
    <w:rsid w:val="00570640"/>
    <w:rsid w:val="005709E0"/>
    <w:rsid w:val="00571163"/>
    <w:rsid w:val="00571267"/>
    <w:rsid w:val="005716C9"/>
    <w:rsid w:val="0057194A"/>
    <w:rsid w:val="00571AF5"/>
    <w:rsid w:val="00571BEA"/>
    <w:rsid w:val="00571C57"/>
    <w:rsid w:val="00571C66"/>
    <w:rsid w:val="005722B1"/>
    <w:rsid w:val="00572636"/>
    <w:rsid w:val="00572689"/>
    <w:rsid w:val="005735DE"/>
    <w:rsid w:val="00573F73"/>
    <w:rsid w:val="0057443A"/>
    <w:rsid w:val="005744F6"/>
    <w:rsid w:val="005745B8"/>
    <w:rsid w:val="00574605"/>
    <w:rsid w:val="00574ADC"/>
    <w:rsid w:val="00574BF8"/>
    <w:rsid w:val="005754D8"/>
    <w:rsid w:val="0057571F"/>
    <w:rsid w:val="005757AA"/>
    <w:rsid w:val="00575CAE"/>
    <w:rsid w:val="00575EC9"/>
    <w:rsid w:val="00575EFE"/>
    <w:rsid w:val="005762AE"/>
    <w:rsid w:val="00576B71"/>
    <w:rsid w:val="00576BA2"/>
    <w:rsid w:val="00576C2E"/>
    <w:rsid w:val="00576C8F"/>
    <w:rsid w:val="00576D65"/>
    <w:rsid w:val="00576F17"/>
    <w:rsid w:val="005770B5"/>
    <w:rsid w:val="00577393"/>
    <w:rsid w:val="005774C8"/>
    <w:rsid w:val="00577570"/>
    <w:rsid w:val="0057790B"/>
    <w:rsid w:val="00577E95"/>
    <w:rsid w:val="00577EFC"/>
    <w:rsid w:val="0058046C"/>
    <w:rsid w:val="005804C2"/>
    <w:rsid w:val="005804D8"/>
    <w:rsid w:val="00580726"/>
    <w:rsid w:val="00581159"/>
    <w:rsid w:val="005811EC"/>
    <w:rsid w:val="005811F0"/>
    <w:rsid w:val="00581404"/>
    <w:rsid w:val="005814B7"/>
    <w:rsid w:val="00581514"/>
    <w:rsid w:val="00581574"/>
    <w:rsid w:val="0058184B"/>
    <w:rsid w:val="0058190E"/>
    <w:rsid w:val="0058191D"/>
    <w:rsid w:val="005819DD"/>
    <w:rsid w:val="00581A83"/>
    <w:rsid w:val="00581B24"/>
    <w:rsid w:val="00581D41"/>
    <w:rsid w:val="00581F5C"/>
    <w:rsid w:val="00581FCA"/>
    <w:rsid w:val="0058251E"/>
    <w:rsid w:val="00582613"/>
    <w:rsid w:val="0058272D"/>
    <w:rsid w:val="0058290E"/>
    <w:rsid w:val="0058294C"/>
    <w:rsid w:val="00582D50"/>
    <w:rsid w:val="00582F0F"/>
    <w:rsid w:val="00582FD0"/>
    <w:rsid w:val="005833C4"/>
    <w:rsid w:val="005833DB"/>
    <w:rsid w:val="005834AA"/>
    <w:rsid w:val="005835E5"/>
    <w:rsid w:val="005836C8"/>
    <w:rsid w:val="00583965"/>
    <w:rsid w:val="00583DE0"/>
    <w:rsid w:val="00584196"/>
    <w:rsid w:val="00584479"/>
    <w:rsid w:val="00584679"/>
    <w:rsid w:val="005847E4"/>
    <w:rsid w:val="0058480B"/>
    <w:rsid w:val="0058637B"/>
    <w:rsid w:val="0058640F"/>
    <w:rsid w:val="0058662D"/>
    <w:rsid w:val="00586E4A"/>
    <w:rsid w:val="00587116"/>
    <w:rsid w:val="0058726E"/>
    <w:rsid w:val="00587888"/>
    <w:rsid w:val="005901D1"/>
    <w:rsid w:val="00590299"/>
    <w:rsid w:val="00590688"/>
    <w:rsid w:val="00590933"/>
    <w:rsid w:val="00590FE7"/>
    <w:rsid w:val="0059118F"/>
    <w:rsid w:val="00591206"/>
    <w:rsid w:val="005913CD"/>
    <w:rsid w:val="0059199C"/>
    <w:rsid w:val="00591A6D"/>
    <w:rsid w:val="00591C4E"/>
    <w:rsid w:val="00591DEF"/>
    <w:rsid w:val="0059219E"/>
    <w:rsid w:val="005929F3"/>
    <w:rsid w:val="00592BAF"/>
    <w:rsid w:val="00592D90"/>
    <w:rsid w:val="00592E11"/>
    <w:rsid w:val="00592FEF"/>
    <w:rsid w:val="00593117"/>
    <w:rsid w:val="0059316B"/>
    <w:rsid w:val="005932AF"/>
    <w:rsid w:val="00593423"/>
    <w:rsid w:val="0059381D"/>
    <w:rsid w:val="00593B25"/>
    <w:rsid w:val="00594A22"/>
    <w:rsid w:val="00594A4F"/>
    <w:rsid w:val="00594BC6"/>
    <w:rsid w:val="00594D7D"/>
    <w:rsid w:val="00594F35"/>
    <w:rsid w:val="00595003"/>
    <w:rsid w:val="005953B5"/>
    <w:rsid w:val="005954E2"/>
    <w:rsid w:val="0059576F"/>
    <w:rsid w:val="00595CD5"/>
    <w:rsid w:val="00596046"/>
    <w:rsid w:val="00596058"/>
    <w:rsid w:val="0059665E"/>
    <w:rsid w:val="00596ADE"/>
    <w:rsid w:val="005972B0"/>
    <w:rsid w:val="0059751A"/>
    <w:rsid w:val="00597DFA"/>
    <w:rsid w:val="005A0180"/>
    <w:rsid w:val="005A0630"/>
    <w:rsid w:val="005A064F"/>
    <w:rsid w:val="005A108B"/>
    <w:rsid w:val="005A1230"/>
    <w:rsid w:val="005A125C"/>
    <w:rsid w:val="005A158B"/>
    <w:rsid w:val="005A1874"/>
    <w:rsid w:val="005A20E0"/>
    <w:rsid w:val="005A23E6"/>
    <w:rsid w:val="005A23F5"/>
    <w:rsid w:val="005A2494"/>
    <w:rsid w:val="005A25B1"/>
    <w:rsid w:val="005A2610"/>
    <w:rsid w:val="005A2B76"/>
    <w:rsid w:val="005A2E15"/>
    <w:rsid w:val="005A30B5"/>
    <w:rsid w:val="005A3152"/>
    <w:rsid w:val="005A335C"/>
    <w:rsid w:val="005A3AD3"/>
    <w:rsid w:val="005A3E66"/>
    <w:rsid w:val="005A4149"/>
    <w:rsid w:val="005A41B9"/>
    <w:rsid w:val="005A41F5"/>
    <w:rsid w:val="005A4CA3"/>
    <w:rsid w:val="005A4FDC"/>
    <w:rsid w:val="005A50ED"/>
    <w:rsid w:val="005A5594"/>
    <w:rsid w:val="005A5831"/>
    <w:rsid w:val="005A5EC8"/>
    <w:rsid w:val="005A612D"/>
    <w:rsid w:val="005A6353"/>
    <w:rsid w:val="005A72AE"/>
    <w:rsid w:val="005A72C2"/>
    <w:rsid w:val="005A77EA"/>
    <w:rsid w:val="005A7F8F"/>
    <w:rsid w:val="005B0162"/>
    <w:rsid w:val="005B06AC"/>
    <w:rsid w:val="005B07E0"/>
    <w:rsid w:val="005B0BB4"/>
    <w:rsid w:val="005B0CA0"/>
    <w:rsid w:val="005B0FDA"/>
    <w:rsid w:val="005B154C"/>
    <w:rsid w:val="005B1971"/>
    <w:rsid w:val="005B20D8"/>
    <w:rsid w:val="005B2487"/>
    <w:rsid w:val="005B265B"/>
    <w:rsid w:val="005B298D"/>
    <w:rsid w:val="005B2A33"/>
    <w:rsid w:val="005B3045"/>
    <w:rsid w:val="005B3496"/>
    <w:rsid w:val="005B35CA"/>
    <w:rsid w:val="005B3646"/>
    <w:rsid w:val="005B3957"/>
    <w:rsid w:val="005B4277"/>
    <w:rsid w:val="005B43AD"/>
    <w:rsid w:val="005B4507"/>
    <w:rsid w:val="005B475B"/>
    <w:rsid w:val="005B4B03"/>
    <w:rsid w:val="005B4F4D"/>
    <w:rsid w:val="005B5346"/>
    <w:rsid w:val="005B5595"/>
    <w:rsid w:val="005B5815"/>
    <w:rsid w:val="005B5908"/>
    <w:rsid w:val="005B591C"/>
    <w:rsid w:val="005B6270"/>
    <w:rsid w:val="005B66B1"/>
    <w:rsid w:val="005B673A"/>
    <w:rsid w:val="005B794E"/>
    <w:rsid w:val="005B7AA4"/>
    <w:rsid w:val="005B7C71"/>
    <w:rsid w:val="005B7F97"/>
    <w:rsid w:val="005C03B3"/>
    <w:rsid w:val="005C0874"/>
    <w:rsid w:val="005C0949"/>
    <w:rsid w:val="005C099D"/>
    <w:rsid w:val="005C0C30"/>
    <w:rsid w:val="005C0D82"/>
    <w:rsid w:val="005C19AE"/>
    <w:rsid w:val="005C1A10"/>
    <w:rsid w:val="005C1AE1"/>
    <w:rsid w:val="005C20A8"/>
    <w:rsid w:val="005C23DC"/>
    <w:rsid w:val="005C25AA"/>
    <w:rsid w:val="005C2650"/>
    <w:rsid w:val="005C2FB0"/>
    <w:rsid w:val="005C30FB"/>
    <w:rsid w:val="005C3B0E"/>
    <w:rsid w:val="005C3E17"/>
    <w:rsid w:val="005C4074"/>
    <w:rsid w:val="005C40F3"/>
    <w:rsid w:val="005C4181"/>
    <w:rsid w:val="005C42C6"/>
    <w:rsid w:val="005C4455"/>
    <w:rsid w:val="005C44A6"/>
    <w:rsid w:val="005C4640"/>
    <w:rsid w:val="005C4E02"/>
    <w:rsid w:val="005C4E7B"/>
    <w:rsid w:val="005C4ED5"/>
    <w:rsid w:val="005C512F"/>
    <w:rsid w:val="005C5316"/>
    <w:rsid w:val="005C5428"/>
    <w:rsid w:val="005C553E"/>
    <w:rsid w:val="005C5790"/>
    <w:rsid w:val="005C67AD"/>
    <w:rsid w:val="005C6B0F"/>
    <w:rsid w:val="005C7342"/>
    <w:rsid w:val="005C7403"/>
    <w:rsid w:val="005C7457"/>
    <w:rsid w:val="005C7913"/>
    <w:rsid w:val="005C7FEF"/>
    <w:rsid w:val="005D00A2"/>
    <w:rsid w:val="005D0247"/>
    <w:rsid w:val="005D02B0"/>
    <w:rsid w:val="005D0795"/>
    <w:rsid w:val="005D08D2"/>
    <w:rsid w:val="005D0A84"/>
    <w:rsid w:val="005D0B1E"/>
    <w:rsid w:val="005D13AA"/>
    <w:rsid w:val="005D191A"/>
    <w:rsid w:val="005D1AC4"/>
    <w:rsid w:val="005D1DC2"/>
    <w:rsid w:val="005D1DF1"/>
    <w:rsid w:val="005D1E74"/>
    <w:rsid w:val="005D2375"/>
    <w:rsid w:val="005D29DE"/>
    <w:rsid w:val="005D2B8A"/>
    <w:rsid w:val="005D3738"/>
    <w:rsid w:val="005D3F74"/>
    <w:rsid w:val="005D4209"/>
    <w:rsid w:val="005D42C9"/>
    <w:rsid w:val="005D43E7"/>
    <w:rsid w:val="005D4638"/>
    <w:rsid w:val="005D463E"/>
    <w:rsid w:val="005D4640"/>
    <w:rsid w:val="005D475E"/>
    <w:rsid w:val="005D49DD"/>
    <w:rsid w:val="005D4C0A"/>
    <w:rsid w:val="005D4D89"/>
    <w:rsid w:val="005D53E6"/>
    <w:rsid w:val="005D5830"/>
    <w:rsid w:val="005D5AB7"/>
    <w:rsid w:val="005D5B22"/>
    <w:rsid w:val="005D5C54"/>
    <w:rsid w:val="005D5DED"/>
    <w:rsid w:val="005D5E96"/>
    <w:rsid w:val="005D5E9E"/>
    <w:rsid w:val="005D5EDF"/>
    <w:rsid w:val="005D63BD"/>
    <w:rsid w:val="005D63CF"/>
    <w:rsid w:val="005D654C"/>
    <w:rsid w:val="005D6569"/>
    <w:rsid w:val="005D65DC"/>
    <w:rsid w:val="005D6696"/>
    <w:rsid w:val="005D7636"/>
    <w:rsid w:val="005D772D"/>
    <w:rsid w:val="005D7835"/>
    <w:rsid w:val="005D7BC1"/>
    <w:rsid w:val="005D7C36"/>
    <w:rsid w:val="005D7E75"/>
    <w:rsid w:val="005E070F"/>
    <w:rsid w:val="005E07E5"/>
    <w:rsid w:val="005E07E6"/>
    <w:rsid w:val="005E0821"/>
    <w:rsid w:val="005E094B"/>
    <w:rsid w:val="005E0A21"/>
    <w:rsid w:val="005E0A76"/>
    <w:rsid w:val="005E0F57"/>
    <w:rsid w:val="005E198E"/>
    <w:rsid w:val="005E1D8E"/>
    <w:rsid w:val="005E1DA2"/>
    <w:rsid w:val="005E1DCE"/>
    <w:rsid w:val="005E1F83"/>
    <w:rsid w:val="005E20FE"/>
    <w:rsid w:val="005E2C0A"/>
    <w:rsid w:val="005E2C47"/>
    <w:rsid w:val="005E38DA"/>
    <w:rsid w:val="005E3C35"/>
    <w:rsid w:val="005E3CC8"/>
    <w:rsid w:val="005E3CEE"/>
    <w:rsid w:val="005E3F0C"/>
    <w:rsid w:val="005E4190"/>
    <w:rsid w:val="005E48E4"/>
    <w:rsid w:val="005E540E"/>
    <w:rsid w:val="005E5586"/>
    <w:rsid w:val="005E5A62"/>
    <w:rsid w:val="005E5CE5"/>
    <w:rsid w:val="005E5D1A"/>
    <w:rsid w:val="005E5FCF"/>
    <w:rsid w:val="005E60E7"/>
    <w:rsid w:val="005E74B6"/>
    <w:rsid w:val="005E75DD"/>
    <w:rsid w:val="005E78A5"/>
    <w:rsid w:val="005E7A41"/>
    <w:rsid w:val="005E7AE1"/>
    <w:rsid w:val="005E7B75"/>
    <w:rsid w:val="005F0A12"/>
    <w:rsid w:val="005F11BB"/>
    <w:rsid w:val="005F14D4"/>
    <w:rsid w:val="005F1676"/>
    <w:rsid w:val="005F1A2A"/>
    <w:rsid w:val="005F1BB9"/>
    <w:rsid w:val="005F21E7"/>
    <w:rsid w:val="005F2332"/>
    <w:rsid w:val="005F2368"/>
    <w:rsid w:val="005F26F8"/>
    <w:rsid w:val="005F278E"/>
    <w:rsid w:val="005F2A85"/>
    <w:rsid w:val="005F2B37"/>
    <w:rsid w:val="005F2C64"/>
    <w:rsid w:val="005F3012"/>
    <w:rsid w:val="005F33E2"/>
    <w:rsid w:val="005F35E7"/>
    <w:rsid w:val="005F36A2"/>
    <w:rsid w:val="005F39B0"/>
    <w:rsid w:val="005F3CB7"/>
    <w:rsid w:val="005F4029"/>
    <w:rsid w:val="005F4198"/>
    <w:rsid w:val="005F41E9"/>
    <w:rsid w:val="005F46EE"/>
    <w:rsid w:val="005F48FA"/>
    <w:rsid w:val="005F4A40"/>
    <w:rsid w:val="005F4AE6"/>
    <w:rsid w:val="005F4CC5"/>
    <w:rsid w:val="005F53FF"/>
    <w:rsid w:val="005F543E"/>
    <w:rsid w:val="005F5563"/>
    <w:rsid w:val="005F5963"/>
    <w:rsid w:val="005F603D"/>
    <w:rsid w:val="005F624D"/>
    <w:rsid w:val="005F6753"/>
    <w:rsid w:val="005F6999"/>
    <w:rsid w:val="005F6AE2"/>
    <w:rsid w:val="005F6C75"/>
    <w:rsid w:val="005F6FA5"/>
    <w:rsid w:val="005F715D"/>
    <w:rsid w:val="005F71F6"/>
    <w:rsid w:val="005F73E9"/>
    <w:rsid w:val="005F766F"/>
    <w:rsid w:val="005F77C1"/>
    <w:rsid w:val="005F7A6D"/>
    <w:rsid w:val="0060006A"/>
    <w:rsid w:val="006000EE"/>
    <w:rsid w:val="00600157"/>
    <w:rsid w:val="0060025E"/>
    <w:rsid w:val="006002D6"/>
    <w:rsid w:val="006005F4"/>
    <w:rsid w:val="0060082F"/>
    <w:rsid w:val="0060090E"/>
    <w:rsid w:val="00600F8B"/>
    <w:rsid w:val="00600F8C"/>
    <w:rsid w:val="006013CB"/>
    <w:rsid w:val="006017D8"/>
    <w:rsid w:val="00601B38"/>
    <w:rsid w:val="0060206B"/>
    <w:rsid w:val="006022EE"/>
    <w:rsid w:val="00602CCF"/>
    <w:rsid w:val="0060353B"/>
    <w:rsid w:val="0060383A"/>
    <w:rsid w:val="006039F9"/>
    <w:rsid w:val="00603EF9"/>
    <w:rsid w:val="00604026"/>
    <w:rsid w:val="006040D2"/>
    <w:rsid w:val="006041B0"/>
    <w:rsid w:val="0060481E"/>
    <w:rsid w:val="006048CF"/>
    <w:rsid w:val="00604AA8"/>
    <w:rsid w:val="00604AB2"/>
    <w:rsid w:val="00604C4F"/>
    <w:rsid w:val="00604DE6"/>
    <w:rsid w:val="00605330"/>
    <w:rsid w:val="00605A2E"/>
    <w:rsid w:val="00605E1C"/>
    <w:rsid w:val="00605ECD"/>
    <w:rsid w:val="00605FDA"/>
    <w:rsid w:val="00606927"/>
    <w:rsid w:val="00606ADE"/>
    <w:rsid w:val="00606B23"/>
    <w:rsid w:val="00607623"/>
    <w:rsid w:val="00607808"/>
    <w:rsid w:val="00607821"/>
    <w:rsid w:val="00607947"/>
    <w:rsid w:val="00607C7C"/>
    <w:rsid w:val="00607D01"/>
    <w:rsid w:val="00610286"/>
    <w:rsid w:val="00610793"/>
    <w:rsid w:val="00610796"/>
    <w:rsid w:val="00610D9C"/>
    <w:rsid w:val="00611235"/>
    <w:rsid w:val="00611562"/>
    <w:rsid w:val="0061169D"/>
    <w:rsid w:val="00611A48"/>
    <w:rsid w:val="0061234A"/>
    <w:rsid w:val="0061237F"/>
    <w:rsid w:val="006123B4"/>
    <w:rsid w:val="00612760"/>
    <w:rsid w:val="0061282A"/>
    <w:rsid w:val="00613152"/>
    <w:rsid w:val="00613329"/>
    <w:rsid w:val="006134AF"/>
    <w:rsid w:val="0061374E"/>
    <w:rsid w:val="00613CDB"/>
    <w:rsid w:val="00613D90"/>
    <w:rsid w:val="006145F1"/>
    <w:rsid w:val="00614747"/>
    <w:rsid w:val="00614829"/>
    <w:rsid w:val="0061485E"/>
    <w:rsid w:val="00614B96"/>
    <w:rsid w:val="006151D6"/>
    <w:rsid w:val="006156BA"/>
    <w:rsid w:val="00615942"/>
    <w:rsid w:val="00615C8C"/>
    <w:rsid w:val="00615CBB"/>
    <w:rsid w:val="00615DB4"/>
    <w:rsid w:val="00616345"/>
    <w:rsid w:val="00616545"/>
    <w:rsid w:val="00616551"/>
    <w:rsid w:val="00616E9B"/>
    <w:rsid w:val="00616F43"/>
    <w:rsid w:val="00617212"/>
    <w:rsid w:val="00617399"/>
    <w:rsid w:val="006178CE"/>
    <w:rsid w:val="00617EA4"/>
    <w:rsid w:val="00620316"/>
    <w:rsid w:val="00620518"/>
    <w:rsid w:val="00620AF2"/>
    <w:rsid w:val="00620C77"/>
    <w:rsid w:val="00620E19"/>
    <w:rsid w:val="00620FF3"/>
    <w:rsid w:val="00621047"/>
    <w:rsid w:val="00621094"/>
    <w:rsid w:val="00621262"/>
    <w:rsid w:val="006212CD"/>
    <w:rsid w:val="00621472"/>
    <w:rsid w:val="006214A4"/>
    <w:rsid w:val="00621761"/>
    <w:rsid w:val="006217EA"/>
    <w:rsid w:val="00621855"/>
    <w:rsid w:val="006221DA"/>
    <w:rsid w:val="006225D8"/>
    <w:rsid w:val="00622770"/>
    <w:rsid w:val="00622C48"/>
    <w:rsid w:val="00622CDA"/>
    <w:rsid w:val="00622CE3"/>
    <w:rsid w:val="006233F7"/>
    <w:rsid w:val="00623E28"/>
    <w:rsid w:val="00623EED"/>
    <w:rsid w:val="0062408A"/>
    <w:rsid w:val="006240C6"/>
    <w:rsid w:val="0062448A"/>
    <w:rsid w:val="0062461F"/>
    <w:rsid w:val="0062465B"/>
    <w:rsid w:val="006246F3"/>
    <w:rsid w:val="00624871"/>
    <w:rsid w:val="00624B2C"/>
    <w:rsid w:val="00624F89"/>
    <w:rsid w:val="00625276"/>
    <w:rsid w:val="00625B4D"/>
    <w:rsid w:val="00625D6C"/>
    <w:rsid w:val="00625F23"/>
    <w:rsid w:val="00625FF5"/>
    <w:rsid w:val="00626478"/>
    <w:rsid w:val="00626626"/>
    <w:rsid w:val="006267D5"/>
    <w:rsid w:val="00626B4D"/>
    <w:rsid w:val="00626F20"/>
    <w:rsid w:val="00626F4C"/>
    <w:rsid w:val="006276EB"/>
    <w:rsid w:val="00627706"/>
    <w:rsid w:val="00627723"/>
    <w:rsid w:val="006279BA"/>
    <w:rsid w:val="00627B1D"/>
    <w:rsid w:val="0063028E"/>
    <w:rsid w:val="00630671"/>
    <w:rsid w:val="00630828"/>
    <w:rsid w:val="00630910"/>
    <w:rsid w:val="00630A98"/>
    <w:rsid w:val="006313BF"/>
    <w:rsid w:val="00631635"/>
    <w:rsid w:val="006317FF"/>
    <w:rsid w:val="00631C36"/>
    <w:rsid w:val="00632367"/>
    <w:rsid w:val="006328D5"/>
    <w:rsid w:val="00632932"/>
    <w:rsid w:val="00632DF5"/>
    <w:rsid w:val="00633145"/>
    <w:rsid w:val="0063315A"/>
    <w:rsid w:val="00633AF5"/>
    <w:rsid w:val="00633B81"/>
    <w:rsid w:val="00633CA5"/>
    <w:rsid w:val="00634021"/>
    <w:rsid w:val="00634338"/>
    <w:rsid w:val="006345DA"/>
    <w:rsid w:val="00634807"/>
    <w:rsid w:val="00634815"/>
    <w:rsid w:val="0063487A"/>
    <w:rsid w:val="00634F05"/>
    <w:rsid w:val="00635048"/>
    <w:rsid w:val="0063572E"/>
    <w:rsid w:val="00635EEE"/>
    <w:rsid w:val="00636957"/>
    <w:rsid w:val="006369DE"/>
    <w:rsid w:val="00636ACB"/>
    <w:rsid w:val="00636CBE"/>
    <w:rsid w:val="00636CE6"/>
    <w:rsid w:val="00636FF4"/>
    <w:rsid w:val="006375DC"/>
    <w:rsid w:val="00637704"/>
    <w:rsid w:val="0063777D"/>
    <w:rsid w:val="00637886"/>
    <w:rsid w:val="006378AE"/>
    <w:rsid w:val="00637A18"/>
    <w:rsid w:val="00637EC6"/>
    <w:rsid w:val="00637FA7"/>
    <w:rsid w:val="006406F9"/>
    <w:rsid w:val="00640C27"/>
    <w:rsid w:val="00640EF1"/>
    <w:rsid w:val="006412F2"/>
    <w:rsid w:val="0064162F"/>
    <w:rsid w:val="006416EA"/>
    <w:rsid w:val="006418C5"/>
    <w:rsid w:val="00641A7B"/>
    <w:rsid w:val="00641BEC"/>
    <w:rsid w:val="00641D34"/>
    <w:rsid w:val="00641F14"/>
    <w:rsid w:val="00642024"/>
    <w:rsid w:val="00642223"/>
    <w:rsid w:val="006422B1"/>
    <w:rsid w:val="006424E8"/>
    <w:rsid w:val="0064262C"/>
    <w:rsid w:val="00642641"/>
    <w:rsid w:val="006428B5"/>
    <w:rsid w:val="006429E1"/>
    <w:rsid w:val="00642AFB"/>
    <w:rsid w:val="006430B4"/>
    <w:rsid w:val="00643301"/>
    <w:rsid w:val="006439B7"/>
    <w:rsid w:val="00643C8F"/>
    <w:rsid w:val="00643DB4"/>
    <w:rsid w:val="00643F0E"/>
    <w:rsid w:val="00644099"/>
    <w:rsid w:val="0064449D"/>
    <w:rsid w:val="00644709"/>
    <w:rsid w:val="00644730"/>
    <w:rsid w:val="0064476C"/>
    <w:rsid w:val="0064486F"/>
    <w:rsid w:val="00644A81"/>
    <w:rsid w:val="00644B62"/>
    <w:rsid w:val="00644CB8"/>
    <w:rsid w:val="006451AB"/>
    <w:rsid w:val="00645479"/>
    <w:rsid w:val="006458F9"/>
    <w:rsid w:val="00645D51"/>
    <w:rsid w:val="00645E86"/>
    <w:rsid w:val="00646110"/>
    <w:rsid w:val="006463B9"/>
    <w:rsid w:val="0064648C"/>
    <w:rsid w:val="00646B85"/>
    <w:rsid w:val="00646ED9"/>
    <w:rsid w:val="00646F34"/>
    <w:rsid w:val="0064706F"/>
    <w:rsid w:val="0064724E"/>
    <w:rsid w:val="006473EB"/>
    <w:rsid w:val="006479B1"/>
    <w:rsid w:val="00647A0E"/>
    <w:rsid w:val="00647B95"/>
    <w:rsid w:val="00647D38"/>
    <w:rsid w:val="00647E3C"/>
    <w:rsid w:val="00647EB8"/>
    <w:rsid w:val="00647F16"/>
    <w:rsid w:val="0065047C"/>
    <w:rsid w:val="006506EA"/>
    <w:rsid w:val="00650BDA"/>
    <w:rsid w:val="00650F6A"/>
    <w:rsid w:val="00651618"/>
    <w:rsid w:val="006516C3"/>
    <w:rsid w:val="006518EE"/>
    <w:rsid w:val="00651B61"/>
    <w:rsid w:val="00651CEE"/>
    <w:rsid w:val="006520BA"/>
    <w:rsid w:val="00652566"/>
    <w:rsid w:val="00652866"/>
    <w:rsid w:val="00652CFD"/>
    <w:rsid w:val="00652E9C"/>
    <w:rsid w:val="00653236"/>
    <w:rsid w:val="00653E00"/>
    <w:rsid w:val="00653FA8"/>
    <w:rsid w:val="00653FF9"/>
    <w:rsid w:val="006541F9"/>
    <w:rsid w:val="0065424F"/>
    <w:rsid w:val="00654AAE"/>
    <w:rsid w:val="00654B30"/>
    <w:rsid w:val="00654C78"/>
    <w:rsid w:val="0065532A"/>
    <w:rsid w:val="006553AD"/>
    <w:rsid w:val="006553E2"/>
    <w:rsid w:val="0065559E"/>
    <w:rsid w:val="006557C2"/>
    <w:rsid w:val="00655C2E"/>
    <w:rsid w:val="00655CC9"/>
    <w:rsid w:val="00655D0C"/>
    <w:rsid w:val="006560EE"/>
    <w:rsid w:val="0065610F"/>
    <w:rsid w:val="00656561"/>
    <w:rsid w:val="006565B8"/>
    <w:rsid w:val="00656C5F"/>
    <w:rsid w:val="006576F7"/>
    <w:rsid w:val="00657B36"/>
    <w:rsid w:val="00657DB6"/>
    <w:rsid w:val="00660447"/>
    <w:rsid w:val="00660454"/>
    <w:rsid w:val="00660727"/>
    <w:rsid w:val="006608CF"/>
    <w:rsid w:val="00660981"/>
    <w:rsid w:val="00660AF9"/>
    <w:rsid w:val="00661261"/>
    <w:rsid w:val="006613B4"/>
    <w:rsid w:val="00661579"/>
    <w:rsid w:val="0066168F"/>
    <w:rsid w:val="006619FD"/>
    <w:rsid w:val="00661D1C"/>
    <w:rsid w:val="00661DE7"/>
    <w:rsid w:val="00661E80"/>
    <w:rsid w:val="00662142"/>
    <w:rsid w:val="0066214B"/>
    <w:rsid w:val="0066227F"/>
    <w:rsid w:val="006626E4"/>
    <w:rsid w:val="00662A3B"/>
    <w:rsid w:val="00662A53"/>
    <w:rsid w:val="00662BB8"/>
    <w:rsid w:val="00663116"/>
    <w:rsid w:val="00663477"/>
    <w:rsid w:val="00664598"/>
    <w:rsid w:val="006648A9"/>
    <w:rsid w:val="00664948"/>
    <w:rsid w:val="00664A0C"/>
    <w:rsid w:val="00664F43"/>
    <w:rsid w:val="00664FD1"/>
    <w:rsid w:val="006650A6"/>
    <w:rsid w:val="00665179"/>
    <w:rsid w:val="006651FA"/>
    <w:rsid w:val="006657A0"/>
    <w:rsid w:val="00665AD0"/>
    <w:rsid w:val="00665B03"/>
    <w:rsid w:val="00665C2A"/>
    <w:rsid w:val="00666286"/>
    <w:rsid w:val="00666777"/>
    <w:rsid w:val="00666F9E"/>
    <w:rsid w:val="00667482"/>
    <w:rsid w:val="006677FE"/>
    <w:rsid w:val="00667D80"/>
    <w:rsid w:val="00667DD9"/>
    <w:rsid w:val="00670000"/>
    <w:rsid w:val="0067002A"/>
    <w:rsid w:val="0067002D"/>
    <w:rsid w:val="006705BD"/>
    <w:rsid w:val="006709A4"/>
    <w:rsid w:val="00670C10"/>
    <w:rsid w:val="00671824"/>
    <w:rsid w:val="00671A4F"/>
    <w:rsid w:val="00671BF5"/>
    <w:rsid w:val="00672186"/>
    <w:rsid w:val="006722B0"/>
    <w:rsid w:val="00672447"/>
    <w:rsid w:val="00672A82"/>
    <w:rsid w:val="00672D16"/>
    <w:rsid w:val="00672F5A"/>
    <w:rsid w:val="00672FD5"/>
    <w:rsid w:val="00673001"/>
    <w:rsid w:val="006732C4"/>
    <w:rsid w:val="006732C6"/>
    <w:rsid w:val="006734CD"/>
    <w:rsid w:val="0067369D"/>
    <w:rsid w:val="00673CA8"/>
    <w:rsid w:val="0067412B"/>
    <w:rsid w:val="006743F5"/>
    <w:rsid w:val="006744A7"/>
    <w:rsid w:val="006744CC"/>
    <w:rsid w:val="0067459F"/>
    <w:rsid w:val="00674688"/>
    <w:rsid w:val="006748AA"/>
    <w:rsid w:val="00674C10"/>
    <w:rsid w:val="0067539B"/>
    <w:rsid w:val="006755E5"/>
    <w:rsid w:val="0067565F"/>
    <w:rsid w:val="00675891"/>
    <w:rsid w:val="00675F14"/>
    <w:rsid w:val="006760BC"/>
    <w:rsid w:val="006760E5"/>
    <w:rsid w:val="0067660A"/>
    <w:rsid w:val="00676774"/>
    <w:rsid w:val="00676860"/>
    <w:rsid w:val="00676AAA"/>
    <w:rsid w:val="00676B3F"/>
    <w:rsid w:val="00676D68"/>
    <w:rsid w:val="006773E1"/>
    <w:rsid w:val="0067745C"/>
    <w:rsid w:val="0067766E"/>
    <w:rsid w:val="00677734"/>
    <w:rsid w:val="00677AF5"/>
    <w:rsid w:val="00677E78"/>
    <w:rsid w:val="00677F14"/>
    <w:rsid w:val="0068028A"/>
    <w:rsid w:val="00680FA4"/>
    <w:rsid w:val="00681323"/>
    <w:rsid w:val="00681D57"/>
    <w:rsid w:val="00681E2D"/>
    <w:rsid w:val="00681EB5"/>
    <w:rsid w:val="00681FB3"/>
    <w:rsid w:val="006821C0"/>
    <w:rsid w:val="006824F0"/>
    <w:rsid w:val="006830F3"/>
    <w:rsid w:val="00683359"/>
    <w:rsid w:val="0068350A"/>
    <w:rsid w:val="006838CF"/>
    <w:rsid w:val="00683CE2"/>
    <w:rsid w:val="00684137"/>
    <w:rsid w:val="00684170"/>
    <w:rsid w:val="006844BB"/>
    <w:rsid w:val="0068461F"/>
    <w:rsid w:val="00684781"/>
    <w:rsid w:val="00684EF5"/>
    <w:rsid w:val="006857F3"/>
    <w:rsid w:val="00685B38"/>
    <w:rsid w:val="00686302"/>
    <w:rsid w:val="006863C5"/>
    <w:rsid w:val="00687106"/>
    <w:rsid w:val="006873F6"/>
    <w:rsid w:val="006876E2"/>
    <w:rsid w:val="00687C72"/>
    <w:rsid w:val="0069040E"/>
    <w:rsid w:val="0069062F"/>
    <w:rsid w:val="0069066E"/>
    <w:rsid w:val="006907D5"/>
    <w:rsid w:val="00690FEE"/>
    <w:rsid w:val="0069111F"/>
    <w:rsid w:val="006914F3"/>
    <w:rsid w:val="00691624"/>
    <w:rsid w:val="00691822"/>
    <w:rsid w:val="006918F1"/>
    <w:rsid w:val="00691AF8"/>
    <w:rsid w:val="00691C44"/>
    <w:rsid w:val="0069259C"/>
    <w:rsid w:val="0069265B"/>
    <w:rsid w:val="00692C39"/>
    <w:rsid w:val="00693109"/>
    <w:rsid w:val="006937BC"/>
    <w:rsid w:val="00693CA3"/>
    <w:rsid w:val="00693CFC"/>
    <w:rsid w:val="00693EB9"/>
    <w:rsid w:val="00693F43"/>
    <w:rsid w:val="00693F7A"/>
    <w:rsid w:val="00694E6A"/>
    <w:rsid w:val="0069531E"/>
    <w:rsid w:val="00695332"/>
    <w:rsid w:val="00695373"/>
    <w:rsid w:val="006956E1"/>
    <w:rsid w:val="00695731"/>
    <w:rsid w:val="00695928"/>
    <w:rsid w:val="00695BAF"/>
    <w:rsid w:val="00695BF5"/>
    <w:rsid w:val="00695CE6"/>
    <w:rsid w:val="00695DDE"/>
    <w:rsid w:val="00695EE2"/>
    <w:rsid w:val="00695F46"/>
    <w:rsid w:val="00695FAA"/>
    <w:rsid w:val="0069631A"/>
    <w:rsid w:val="00696330"/>
    <w:rsid w:val="006963D0"/>
    <w:rsid w:val="00696594"/>
    <w:rsid w:val="0069661F"/>
    <w:rsid w:val="00696A33"/>
    <w:rsid w:val="00696ADC"/>
    <w:rsid w:val="00696C06"/>
    <w:rsid w:val="0069723C"/>
    <w:rsid w:val="006972D3"/>
    <w:rsid w:val="0069761E"/>
    <w:rsid w:val="00697AEE"/>
    <w:rsid w:val="00697D1A"/>
    <w:rsid w:val="00697D5F"/>
    <w:rsid w:val="00697F8E"/>
    <w:rsid w:val="006A0064"/>
    <w:rsid w:val="006A0094"/>
    <w:rsid w:val="006A03A4"/>
    <w:rsid w:val="006A03A9"/>
    <w:rsid w:val="006A064A"/>
    <w:rsid w:val="006A07EE"/>
    <w:rsid w:val="006A0875"/>
    <w:rsid w:val="006A0CE7"/>
    <w:rsid w:val="006A1161"/>
    <w:rsid w:val="006A13EB"/>
    <w:rsid w:val="006A155F"/>
    <w:rsid w:val="006A1651"/>
    <w:rsid w:val="006A17B8"/>
    <w:rsid w:val="006A1828"/>
    <w:rsid w:val="006A199A"/>
    <w:rsid w:val="006A1A69"/>
    <w:rsid w:val="006A1FF0"/>
    <w:rsid w:val="006A21DD"/>
    <w:rsid w:val="006A28F3"/>
    <w:rsid w:val="006A2D78"/>
    <w:rsid w:val="006A2D86"/>
    <w:rsid w:val="006A433F"/>
    <w:rsid w:val="006A5313"/>
    <w:rsid w:val="006A55B2"/>
    <w:rsid w:val="006A5612"/>
    <w:rsid w:val="006A5814"/>
    <w:rsid w:val="006A5D71"/>
    <w:rsid w:val="006A5F72"/>
    <w:rsid w:val="006A61BE"/>
    <w:rsid w:val="006A677A"/>
    <w:rsid w:val="006A6907"/>
    <w:rsid w:val="006A6941"/>
    <w:rsid w:val="006A6B9A"/>
    <w:rsid w:val="006A6D61"/>
    <w:rsid w:val="006A6FE4"/>
    <w:rsid w:val="006A70BC"/>
    <w:rsid w:val="006A717D"/>
    <w:rsid w:val="006A7401"/>
    <w:rsid w:val="006A788D"/>
    <w:rsid w:val="006A78BB"/>
    <w:rsid w:val="006A7BD7"/>
    <w:rsid w:val="006B0074"/>
    <w:rsid w:val="006B01A7"/>
    <w:rsid w:val="006B0450"/>
    <w:rsid w:val="006B0564"/>
    <w:rsid w:val="006B0A4F"/>
    <w:rsid w:val="006B0D16"/>
    <w:rsid w:val="006B0DFF"/>
    <w:rsid w:val="006B13EB"/>
    <w:rsid w:val="006B1463"/>
    <w:rsid w:val="006B1737"/>
    <w:rsid w:val="006B1915"/>
    <w:rsid w:val="006B20D9"/>
    <w:rsid w:val="006B221F"/>
    <w:rsid w:val="006B262D"/>
    <w:rsid w:val="006B27C9"/>
    <w:rsid w:val="006B2AC8"/>
    <w:rsid w:val="006B2D6C"/>
    <w:rsid w:val="006B2FAD"/>
    <w:rsid w:val="006B34CD"/>
    <w:rsid w:val="006B37A0"/>
    <w:rsid w:val="006B3926"/>
    <w:rsid w:val="006B3B7A"/>
    <w:rsid w:val="006B3C28"/>
    <w:rsid w:val="006B3D51"/>
    <w:rsid w:val="006B3FC9"/>
    <w:rsid w:val="006B40C1"/>
    <w:rsid w:val="006B4155"/>
    <w:rsid w:val="006B469C"/>
    <w:rsid w:val="006B476E"/>
    <w:rsid w:val="006B4E2D"/>
    <w:rsid w:val="006B519B"/>
    <w:rsid w:val="006B52E7"/>
    <w:rsid w:val="006B53D2"/>
    <w:rsid w:val="006B5466"/>
    <w:rsid w:val="006B5611"/>
    <w:rsid w:val="006B590A"/>
    <w:rsid w:val="006B5ECD"/>
    <w:rsid w:val="006B696D"/>
    <w:rsid w:val="006B6B82"/>
    <w:rsid w:val="006B6BC7"/>
    <w:rsid w:val="006B7363"/>
    <w:rsid w:val="006B7478"/>
    <w:rsid w:val="006B781B"/>
    <w:rsid w:val="006B7AAE"/>
    <w:rsid w:val="006B7C8A"/>
    <w:rsid w:val="006B7D54"/>
    <w:rsid w:val="006B7FB7"/>
    <w:rsid w:val="006C0016"/>
    <w:rsid w:val="006C0024"/>
    <w:rsid w:val="006C002A"/>
    <w:rsid w:val="006C0851"/>
    <w:rsid w:val="006C0946"/>
    <w:rsid w:val="006C0BD6"/>
    <w:rsid w:val="006C0DE1"/>
    <w:rsid w:val="006C135F"/>
    <w:rsid w:val="006C148F"/>
    <w:rsid w:val="006C1FF5"/>
    <w:rsid w:val="006C2265"/>
    <w:rsid w:val="006C24BB"/>
    <w:rsid w:val="006C26E1"/>
    <w:rsid w:val="006C290B"/>
    <w:rsid w:val="006C2A5F"/>
    <w:rsid w:val="006C2C77"/>
    <w:rsid w:val="006C2E3E"/>
    <w:rsid w:val="006C32F0"/>
    <w:rsid w:val="006C36C3"/>
    <w:rsid w:val="006C3878"/>
    <w:rsid w:val="006C3890"/>
    <w:rsid w:val="006C3D19"/>
    <w:rsid w:val="006C4623"/>
    <w:rsid w:val="006C4764"/>
    <w:rsid w:val="006C4B81"/>
    <w:rsid w:val="006C4FF1"/>
    <w:rsid w:val="006C5243"/>
    <w:rsid w:val="006C549F"/>
    <w:rsid w:val="006C587D"/>
    <w:rsid w:val="006C5A5F"/>
    <w:rsid w:val="006C5B34"/>
    <w:rsid w:val="006C63B0"/>
    <w:rsid w:val="006C64DA"/>
    <w:rsid w:val="006C693C"/>
    <w:rsid w:val="006C7419"/>
    <w:rsid w:val="006D0012"/>
    <w:rsid w:val="006D012A"/>
    <w:rsid w:val="006D06DB"/>
    <w:rsid w:val="006D16C9"/>
    <w:rsid w:val="006D1AC9"/>
    <w:rsid w:val="006D1DE4"/>
    <w:rsid w:val="006D1F6B"/>
    <w:rsid w:val="006D212B"/>
    <w:rsid w:val="006D283E"/>
    <w:rsid w:val="006D2CA8"/>
    <w:rsid w:val="006D2F8E"/>
    <w:rsid w:val="006D3414"/>
    <w:rsid w:val="006D377C"/>
    <w:rsid w:val="006D38E5"/>
    <w:rsid w:val="006D3BE7"/>
    <w:rsid w:val="006D3E62"/>
    <w:rsid w:val="006D40CB"/>
    <w:rsid w:val="006D455A"/>
    <w:rsid w:val="006D4A68"/>
    <w:rsid w:val="006D5318"/>
    <w:rsid w:val="006D55A5"/>
    <w:rsid w:val="006D574D"/>
    <w:rsid w:val="006D57A9"/>
    <w:rsid w:val="006D5DFE"/>
    <w:rsid w:val="006D659B"/>
    <w:rsid w:val="006D65D0"/>
    <w:rsid w:val="006D669C"/>
    <w:rsid w:val="006D6708"/>
    <w:rsid w:val="006D67B9"/>
    <w:rsid w:val="006D6992"/>
    <w:rsid w:val="006D6FE2"/>
    <w:rsid w:val="006D7A60"/>
    <w:rsid w:val="006D7C45"/>
    <w:rsid w:val="006D7EB9"/>
    <w:rsid w:val="006D7FDD"/>
    <w:rsid w:val="006E021D"/>
    <w:rsid w:val="006E04A8"/>
    <w:rsid w:val="006E0993"/>
    <w:rsid w:val="006E0A71"/>
    <w:rsid w:val="006E0BCF"/>
    <w:rsid w:val="006E0CB9"/>
    <w:rsid w:val="006E0D78"/>
    <w:rsid w:val="006E0EB6"/>
    <w:rsid w:val="006E1036"/>
    <w:rsid w:val="006E1047"/>
    <w:rsid w:val="006E1210"/>
    <w:rsid w:val="006E152C"/>
    <w:rsid w:val="006E15AC"/>
    <w:rsid w:val="006E163F"/>
    <w:rsid w:val="006E16FF"/>
    <w:rsid w:val="006E1B95"/>
    <w:rsid w:val="006E1F21"/>
    <w:rsid w:val="006E1F8D"/>
    <w:rsid w:val="006E2311"/>
    <w:rsid w:val="006E2496"/>
    <w:rsid w:val="006E277E"/>
    <w:rsid w:val="006E2D55"/>
    <w:rsid w:val="006E2DD0"/>
    <w:rsid w:val="006E2EA3"/>
    <w:rsid w:val="006E2F2B"/>
    <w:rsid w:val="006E328F"/>
    <w:rsid w:val="006E34C0"/>
    <w:rsid w:val="006E3562"/>
    <w:rsid w:val="006E3820"/>
    <w:rsid w:val="006E4178"/>
    <w:rsid w:val="006E429A"/>
    <w:rsid w:val="006E4401"/>
    <w:rsid w:val="006E4617"/>
    <w:rsid w:val="006E49C8"/>
    <w:rsid w:val="006E4D5F"/>
    <w:rsid w:val="006E505D"/>
    <w:rsid w:val="006E50E6"/>
    <w:rsid w:val="006E525A"/>
    <w:rsid w:val="006E54C5"/>
    <w:rsid w:val="006E5876"/>
    <w:rsid w:val="006E5AF0"/>
    <w:rsid w:val="006E5EA8"/>
    <w:rsid w:val="006E5ED1"/>
    <w:rsid w:val="006E60B9"/>
    <w:rsid w:val="006E60D0"/>
    <w:rsid w:val="006E6277"/>
    <w:rsid w:val="006E6289"/>
    <w:rsid w:val="006E6397"/>
    <w:rsid w:val="006E6564"/>
    <w:rsid w:val="006E67C4"/>
    <w:rsid w:val="006E6A0B"/>
    <w:rsid w:val="006E6E33"/>
    <w:rsid w:val="006E700F"/>
    <w:rsid w:val="006E7140"/>
    <w:rsid w:val="006E77E8"/>
    <w:rsid w:val="006E7847"/>
    <w:rsid w:val="006E78B9"/>
    <w:rsid w:val="006E79F0"/>
    <w:rsid w:val="006E7CCB"/>
    <w:rsid w:val="006F01B1"/>
    <w:rsid w:val="006F03CF"/>
    <w:rsid w:val="006F04C3"/>
    <w:rsid w:val="006F065C"/>
    <w:rsid w:val="006F08DA"/>
    <w:rsid w:val="006F1283"/>
    <w:rsid w:val="006F138C"/>
    <w:rsid w:val="006F1929"/>
    <w:rsid w:val="006F1A58"/>
    <w:rsid w:val="006F24FD"/>
    <w:rsid w:val="006F258C"/>
    <w:rsid w:val="006F2687"/>
    <w:rsid w:val="006F2CF7"/>
    <w:rsid w:val="006F2E70"/>
    <w:rsid w:val="006F2F03"/>
    <w:rsid w:val="006F305F"/>
    <w:rsid w:val="006F36A0"/>
    <w:rsid w:val="006F3B9A"/>
    <w:rsid w:val="006F3C47"/>
    <w:rsid w:val="006F4227"/>
    <w:rsid w:val="006F4365"/>
    <w:rsid w:val="006F459D"/>
    <w:rsid w:val="006F4686"/>
    <w:rsid w:val="006F4A41"/>
    <w:rsid w:val="006F4E75"/>
    <w:rsid w:val="006F5623"/>
    <w:rsid w:val="006F5683"/>
    <w:rsid w:val="006F581C"/>
    <w:rsid w:val="006F5B5F"/>
    <w:rsid w:val="006F5E63"/>
    <w:rsid w:val="006F63D1"/>
    <w:rsid w:val="006F65C4"/>
    <w:rsid w:val="006F669F"/>
    <w:rsid w:val="006F6931"/>
    <w:rsid w:val="006F6A37"/>
    <w:rsid w:val="006F6BD0"/>
    <w:rsid w:val="006F6FBA"/>
    <w:rsid w:val="006F7156"/>
    <w:rsid w:val="006F729A"/>
    <w:rsid w:val="006F73C4"/>
    <w:rsid w:val="006F758E"/>
    <w:rsid w:val="006F7CB7"/>
    <w:rsid w:val="006F7F1B"/>
    <w:rsid w:val="00700393"/>
    <w:rsid w:val="00700446"/>
    <w:rsid w:val="007005FE"/>
    <w:rsid w:val="00700BCE"/>
    <w:rsid w:val="0070168C"/>
    <w:rsid w:val="007018D7"/>
    <w:rsid w:val="00701DA9"/>
    <w:rsid w:val="00702535"/>
    <w:rsid w:val="00702542"/>
    <w:rsid w:val="00703668"/>
    <w:rsid w:val="00703AB2"/>
    <w:rsid w:val="0070413A"/>
    <w:rsid w:val="007041C8"/>
    <w:rsid w:val="0070423B"/>
    <w:rsid w:val="0070435D"/>
    <w:rsid w:val="00704447"/>
    <w:rsid w:val="007046A6"/>
    <w:rsid w:val="00704B0B"/>
    <w:rsid w:val="00704B5C"/>
    <w:rsid w:val="00704CEC"/>
    <w:rsid w:val="00704E4C"/>
    <w:rsid w:val="0070513A"/>
    <w:rsid w:val="00705415"/>
    <w:rsid w:val="007054B8"/>
    <w:rsid w:val="00705661"/>
    <w:rsid w:val="00705D68"/>
    <w:rsid w:val="00705E0C"/>
    <w:rsid w:val="00706A35"/>
    <w:rsid w:val="00706BAD"/>
    <w:rsid w:val="00707184"/>
    <w:rsid w:val="007071FC"/>
    <w:rsid w:val="00707294"/>
    <w:rsid w:val="007077E0"/>
    <w:rsid w:val="007079EF"/>
    <w:rsid w:val="00707B0B"/>
    <w:rsid w:val="00707C25"/>
    <w:rsid w:val="00707CE6"/>
    <w:rsid w:val="00707FC9"/>
    <w:rsid w:val="0071000F"/>
    <w:rsid w:val="007100E2"/>
    <w:rsid w:val="00710832"/>
    <w:rsid w:val="00710844"/>
    <w:rsid w:val="007108D1"/>
    <w:rsid w:val="00710D77"/>
    <w:rsid w:val="00711197"/>
    <w:rsid w:val="007113DD"/>
    <w:rsid w:val="00711470"/>
    <w:rsid w:val="00711482"/>
    <w:rsid w:val="00711689"/>
    <w:rsid w:val="007118C1"/>
    <w:rsid w:val="007119D8"/>
    <w:rsid w:val="00711A18"/>
    <w:rsid w:val="00711B4D"/>
    <w:rsid w:val="0071212A"/>
    <w:rsid w:val="0071213B"/>
    <w:rsid w:val="007122D0"/>
    <w:rsid w:val="00712431"/>
    <w:rsid w:val="00712513"/>
    <w:rsid w:val="00712E0D"/>
    <w:rsid w:val="00713560"/>
    <w:rsid w:val="007135DA"/>
    <w:rsid w:val="007136B7"/>
    <w:rsid w:val="0071395E"/>
    <w:rsid w:val="00713C52"/>
    <w:rsid w:val="00713EF0"/>
    <w:rsid w:val="00713F9A"/>
    <w:rsid w:val="00714078"/>
    <w:rsid w:val="007140CB"/>
    <w:rsid w:val="007143E4"/>
    <w:rsid w:val="00714551"/>
    <w:rsid w:val="007145D7"/>
    <w:rsid w:val="007151E3"/>
    <w:rsid w:val="007152CC"/>
    <w:rsid w:val="00715384"/>
    <w:rsid w:val="00716195"/>
    <w:rsid w:val="00716216"/>
    <w:rsid w:val="00716257"/>
    <w:rsid w:val="0071636C"/>
    <w:rsid w:val="0071637F"/>
    <w:rsid w:val="007165A0"/>
    <w:rsid w:val="00716A6F"/>
    <w:rsid w:val="00716B51"/>
    <w:rsid w:val="00716EBD"/>
    <w:rsid w:val="007172B4"/>
    <w:rsid w:val="00717378"/>
    <w:rsid w:val="007176B3"/>
    <w:rsid w:val="00720159"/>
    <w:rsid w:val="007201B1"/>
    <w:rsid w:val="00720277"/>
    <w:rsid w:val="0072039B"/>
    <w:rsid w:val="007205AD"/>
    <w:rsid w:val="00720802"/>
    <w:rsid w:val="00720876"/>
    <w:rsid w:val="00720C09"/>
    <w:rsid w:val="00720C6D"/>
    <w:rsid w:val="00720D21"/>
    <w:rsid w:val="00720DB7"/>
    <w:rsid w:val="00720E10"/>
    <w:rsid w:val="00720FB8"/>
    <w:rsid w:val="007212BE"/>
    <w:rsid w:val="00721C5E"/>
    <w:rsid w:val="00721CDA"/>
    <w:rsid w:val="00722B87"/>
    <w:rsid w:val="00722EA4"/>
    <w:rsid w:val="00723562"/>
    <w:rsid w:val="0072394E"/>
    <w:rsid w:val="00723BFF"/>
    <w:rsid w:val="00723EB3"/>
    <w:rsid w:val="007242CA"/>
    <w:rsid w:val="0072464B"/>
    <w:rsid w:val="00724779"/>
    <w:rsid w:val="00724983"/>
    <w:rsid w:val="00724FB3"/>
    <w:rsid w:val="00725A28"/>
    <w:rsid w:val="00725F55"/>
    <w:rsid w:val="00726515"/>
    <w:rsid w:val="00726CA1"/>
    <w:rsid w:val="00726DDC"/>
    <w:rsid w:val="00727309"/>
    <w:rsid w:val="00727607"/>
    <w:rsid w:val="0072772F"/>
    <w:rsid w:val="00727862"/>
    <w:rsid w:val="00727D38"/>
    <w:rsid w:val="00727D8C"/>
    <w:rsid w:val="00727D8E"/>
    <w:rsid w:val="007301DF"/>
    <w:rsid w:val="0073025E"/>
    <w:rsid w:val="007302A9"/>
    <w:rsid w:val="0073071B"/>
    <w:rsid w:val="00730894"/>
    <w:rsid w:val="00730911"/>
    <w:rsid w:val="0073091A"/>
    <w:rsid w:val="00730B1B"/>
    <w:rsid w:val="00730C7A"/>
    <w:rsid w:val="00730F86"/>
    <w:rsid w:val="0073118F"/>
    <w:rsid w:val="0073135C"/>
    <w:rsid w:val="00731674"/>
    <w:rsid w:val="007317A6"/>
    <w:rsid w:val="00731C5A"/>
    <w:rsid w:val="00731F25"/>
    <w:rsid w:val="00731FE0"/>
    <w:rsid w:val="00731FFE"/>
    <w:rsid w:val="0073230E"/>
    <w:rsid w:val="00732351"/>
    <w:rsid w:val="00732847"/>
    <w:rsid w:val="0073354A"/>
    <w:rsid w:val="007336CB"/>
    <w:rsid w:val="0073387B"/>
    <w:rsid w:val="007338F5"/>
    <w:rsid w:val="00733941"/>
    <w:rsid w:val="00733F01"/>
    <w:rsid w:val="00733FDA"/>
    <w:rsid w:val="00734011"/>
    <w:rsid w:val="0073472E"/>
    <w:rsid w:val="00734EB2"/>
    <w:rsid w:val="0073523B"/>
    <w:rsid w:val="007352BF"/>
    <w:rsid w:val="007356AA"/>
    <w:rsid w:val="0073591D"/>
    <w:rsid w:val="0073621A"/>
    <w:rsid w:val="007365CF"/>
    <w:rsid w:val="00736EFE"/>
    <w:rsid w:val="00737135"/>
    <w:rsid w:val="00737362"/>
    <w:rsid w:val="0073743B"/>
    <w:rsid w:val="00737543"/>
    <w:rsid w:val="00737564"/>
    <w:rsid w:val="00737711"/>
    <w:rsid w:val="00737A28"/>
    <w:rsid w:val="00737CDB"/>
    <w:rsid w:val="00737D4E"/>
    <w:rsid w:val="007400F6"/>
    <w:rsid w:val="00740369"/>
    <w:rsid w:val="0074042B"/>
    <w:rsid w:val="007405FD"/>
    <w:rsid w:val="00740640"/>
    <w:rsid w:val="00740F40"/>
    <w:rsid w:val="00740F4B"/>
    <w:rsid w:val="00741176"/>
    <w:rsid w:val="007415D5"/>
    <w:rsid w:val="007416A8"/>
    <w:rsid w:val="007418FE"/>
    <w:rsid w:val="00742565"/>
    <w:rsid w:val="007427A1"/>
    <w:rsid w:val="007428AF"/>
    <w:rsid w:val="00742CD4"/>
    <w:rsid w:val="00742E41"/>
    <w:rsid w:val="00742FAB"/>
    <w:rsid w:val="007439E7"/>
    <w:rsid w:val="00743A2C"/>
    <w:rsid w:val="00743EC4"/>
    <w:rsid w:val="00743F24"/>
    <w:rsid w:val="00744493"/>
    <w:rsid w:val="00744555"/>
    <w:rsid w:val="0074468B"/>
    <w:rsid w:val="007449D9"/>
    <w:rsid w:val="00744C31"/>
    <w:rsid w:val="00744DA0"/>
    <w:rsid w:val="00744E75"/>
    <w:rsid w:val="007452BA"/>
    <w:rsid w:val="007454EB"/>
    <w:rsid w:val="00745565"/>
    <w:rsid w:val="00745843"/>
    <w:rsid w:val="00745A51"/>
    <w:rsid w:val="00745AD9"/>
    <w:rsid w:val="00745B26"/>
    <w:rsid w:val="00745D35"/>
    <w:rsid w:val="00745E07"/>
    <w:rsid w:val="00745ED2"/>
    <w:rsid w:val="0074611C"/>
    <w:rsid w:val="0074615F"/>
    <w:rsid w:val="0074637F"/>
    <w:rsid w:val="0074685C"/>
    <w:rsid w:val="00746974"/>
    <w:rsid w:val="00746FEA"/>
    <w:rsid w:val="0074747F"/>
    <w:rsid w:val="0074751E"/>
    <w:rsid w:val="00747535"/>
    <w:rsid w:val="00747962"/>
    <w:rsid w:val="00747C9D"/>
    <w:rsid w:val="0075008B"/>
    <w:rsid w:val="007502A4"/>
    <w:rsid w:val="00750445"/>
    <w:rsid w:val="0075049C"/>
    <w:rsid w:val="00750711"/>
    <w:rsid w:val="00750999"/>
    <w:rsid w:val="007513B8"/>
    <w:rsid w:val="007513FC"/>
    <w:rsid w:val="007514CB"/>
    <w:rsid w:val="0075151D"/>
    <w:rsid w:val="00751997"/>
    <w:rsid w:val="00751A06"/>
    <w:rsid w:val="00751D2F"/>
    <w:rsid w:val="00752019"/>
    <w:rsid w:val="00752C99"/>
    <w:rsid w:val="00753141"/>
    <w:rsid w:val="0075319F"/>
    <w:rsid w:val="007531F1"/>
    <w:rsid w:val="00753D3E"/>
    <w:rsid w:val="00753F70"/>
    <w:rsid w:val="0075405E"/>
    <w:rsid w:val="0075406D"/>
    <w:rsid w:val="00754172"/>
    <w:rsid w:val="00754531"/>
    <w:rsid w:val="0075460A"/>
    <w:rsid w:val="00754990"/>
    <w:rsid w:val="00754DF1"/>
    <w:rsid w:val="00754E01"/>
    <w:rsid w:val="00754F1D"/>
    <w:rsid w:val="00755916"/>
    <w:rsid w:val="00755C3E"/>
    <w:rsid w:val="00755D76"/>
    <w:rsid w:val="00755EB7"/>
    <w:rsid w:val="007560EE"/>
    <w:rsid w:val="00756166"/>
    <w:rsid w:val="00756250"/>
    <w:rsid w:val="0075630F"/>
    <w:rsid w:val="007563A4"/>
    <w:rsid w:val="0075645A"/>
    <w:rsid w:val="0075658B"/>
    <w:rsid w:val="007566AA"/>
    <w:rsid w:val="00756824"/>
    <w:rsid w:val="007569E5"/>
    <w:rsid w:val="00756DF9"/>
    <w:rsid w:val="00756E1F"/>
    <w:rsid w:val="00757298"/>
    <w:rsid w:val="0075747D"/>
    <w:rsid w:val="007574B0"/>
    <w:rsid w:val="00757628"/>
    <w:rsid w:val="00760B9C"/>
    <w:rsid w:val="00760F3F"/>
    <w:rsid w:val="00760F7A"/>
    <w:rsid w:val="00761CAB"/>
    <w:rsid w:val="00761D8C"/>
    <w:rsid w:val="007627F5"/>
    <w:rsid w:val="0076284E"/>
    <w:rsid w:val="007629DE"/>
    <w:rsid w:val="00762C1C"/>
    <w:rsid w:val="00762DA2"/>
    <w:rsid w:val="00762E16"/>
    <w:rsid w:val="00762E7C"/>
    <w:rsid w:val="0076323A"/>
    <w:rsid w:val="007638C3"/>
    <w:rsid w:val="007639CA"/>
    <w:rsid w:val="007639DF"/>
    <w:rsid w:val="00764010"/>
    <w:rsid w:val="00764329"/>
    <w:rsid w:val="007646D2"/>
    <w:rsid w:val="007648E9"/>
    <w:rsid w:val="00764BF3"/>
    <w:rsid w:val="00764CE9"/>
    <w:rsid w:val="00765660"/>
    <w:rsid w:val="00765D44"/>
    <w:rsid w:val="00765D55"/>
    <w:rsid w:val="00765F50"/>
    <w:rsid w:val="00766014"/>
    <w:rsid w:val="0076601B"/>
    <w:rsid w:val="007660DF"/>
    <w:rsid w:val="00766606"/>
    <w:rsid w:val="00766B74"/>
    <w:rsid w:val="00766CCB"/>
    <w:rsid w:val="00766D5B"/>
    <w:rsid w:val="00766EFB"/>
    <w:rsid w:val="00766FAB"/>
    <w:rsid w:val="0076720F"/>
    <w:rsid w:val="0076778B"/>
    <w:rsid w:val="00767A52"/>
    <w:rsid w:val="00767B5B"/>
    <w:rsid w:val="00767C83"/>
    <w:rsid w:val="00767F87"/>
    <w:rsid w:val="007703DF"/>
    <w:rsid w:val="00770EBD"/>
    <w:rsid w:val="00770F71"/>
    <w:rsid w:val="00770FD1"/>
    <w:rsid w:val="00771030"/>
    <w:rsid w:val="0077110F"/>
    <w:rsid w:val="00771454"/>
    <w:rsid w:val="007715E5"/>
    <w:rsid w:val="007716BF"/>
    <w:rsid w:val="007717EA"/>
    <w:rsid w:val="007718DC"/>
    <w:rsid w:val="007722F2"/>
    <w:rsid w:val="00772B77"/>
    <w:rsid w:val="00772E67"/>
    <w:rsid w:val="007733A7"/>
    <w:rsid w:val="0077352B"/>
    <w:rsid w:val="007737A8"/>
    <w:rsid w:val="00773E87"/>
    <w:rsid w:val="00773F7B"/>
    <w:rsid w:val="0077418B"/>
    <w:rsid w:val="007743DB"/>
    <w:rsid w:val="007748EC"/>
    <w:rsid w:val="00774925"/>
    <w:rsid w:val="00774C08"/>
    <w:rsid w:val="00774E93"/>
    <w:rsid w:val="0077547C"/>
    <w:rsid w:val="00775A26"/>
    <w:rsid w:val="00775B7F"/>
    <w:rsid w:val="00776039"/>
    <w:rsid w:val="00776092"/>
    <w:rsid w:val="007761EB"/>
    <w:rsid w:val="00776201"/>
    <w:rsid w:val="00776237"/>
    <w:rsid w:val="0077655F"/>
    <w:rsid w:val="00776777"/>
    <w:rsid w:val="007770AB"/>
    <w:rsid w:val="00777226"/>
    <w:rsid w:val="0077738B"/>
    <w:rsid w:val="007774C4"/>
    <w:rsid w:val="007777E1"/>
    <w:rsid w:val="00777842"/>
    <w:rsid w:val="00777D5A"/>
    <w:rsid w:val="007801CD"/>
    <w:rsid w:val="00780216"/>
    <w:rsid w:val="007803D9"/>
    <w:rsid w:val="00780685"/>
    <w:rsid w:val="00780A9C"/>
    <w:rsid w:val="00780BDD"/>
    <w:rsid w:val="00780DEE"/>
    <w:rsid w:val="00780FD4"/>
    <w:rsid w:val="00781590"/>
    <w:rsid w:val="00781691"/>
    <w:rsid w:val="00781B83"/>
    <w:rsid w:val="00781CDC"/>
    <w:rsid w:val="00781E39"/>
    <w:rsid w:val="00782077"/>
    <w:rsid w:val="007822AD"/>
    <w:rsid w:val="007825B4"/>
    <w:rsid w:val="00782FFB"/>
    <w:rsid w:val="00783178"/>
    <w:rsid w:val="0078331F"/>
    <w:rsid w:val="007834DA"/>
    <w:rsid w:val="0078351D"/>
    <w:rsid w:val="0078355D"/>
    <w:rsid w:val="007835FD"/>
    <w:rsid w:val="00783607"/>
    <w:rsid w:val="0078371E"/>
    <w:rsid w:val="00783896"/>
    <w:rsid w:val="007839F9"/>
    <w:rsid w:val="00783C0F"/>
    <w:rsid w:val="00783C3E"/>
    <w:rsid w:val="00783CDB"/>
    <w:rsid w:val="00783DF7"/>
    <w:rsid w:val="007840E2"/>
    <w:rsid w:val="0078429F"/>
    <w:rsid w:val="00784773"/>
    <w:rsid w:val="007848D2"/>
    <w:rsid w:val="00784A69"/>
    <w:rsid w:val="00784E8E"/>
    <w:rsid w:val="00784F85"/>
    <w:rsid w:val="0078502D"/>
    <w:rsid w:val="0078510A"/>
    <w:rsid w:val="0078513C"/>
    <w:rsid w:val="0078518F"/>
    <w:rsid w:val="00785817"/>
    <w:rsid w:val="0078589C"/>
    <w:rsid w:val="00785A42"/>
    <w:rsid w:val="00785A74"/>
    <w:rsid w:val="007864A3"/>
    <w:rsid w:val="00786A56"/>
    <w:rsid w:val="00786B89"/>
    <w:rsid w:val="00786D70"/>
    <w:rsid w:val="00786DC2"/>
    <w:rsid w:val="00786E58"/>
    <w:rsid w:val="00787189"/>
    <w:rsid w:val="00787224"/>
    <w:rsid w:val="00787794"/>
    <w:rsid w:val="007877DE"/>
    <w:rsid w:val="00787A5D"/>
    <w:rsid w:val="00787B32"/>
    <w:rsid w:val="0079023C"/>
    <w:rsid w:val="0079057F"/>
    <w:rsid w:val="00790DDE"/>
    <w:rsid w:val="00790F71"/>
    <w:rsid w:val="00791280"/>
    <w:rsid w:val="007913A7"/>
    <w:rsid w:val="007914F7"/>
    <w:rsid w:val="00791785"/>
    <w:rsid w:val="0079295F"/>
    <w:rsid w:val="00792AC3"/>
    <w:rsid w:val="00792CCA"/>
    <w:rsid w:val="00792CE4"/>
    <w:rsid w:val="007930A6"/>
    <w:rsid w:val="00793AC3"/>
    <w:rsid w:val="00794001"/>
    <w:rsid w:val="007940B3"/>
    <w:rsid w:val="007947E1"/>
    <w:rsid w:val="00794BA2"/>
    <w:rsid w:val="00794D12"/>
    <w:rsid w:val="00794DD0"/>
    <w:rsid w:val="00794FDB"/>
    <w:rsid w:val="007955E2"/>
    <w:rsid w:val="007957B7"/>
    <w:rsid w:val="00795AB3"/>
    <w:rsid w:val="00795AEA"/>
    <w:rsid w:val="00795B32"/>
    <w:rsid w:val="00795BB2"/>
    <w:rsid w:val="00796207"/>
    <w:rsid w:val="0079622E"/>
    <w:rsid w:val="007962EC"/>
    <w:rsid w:val="0079670B"/>
    <w:rsid w:val="00797213"/>
    <w:rsid w:val="0079772E"/>
    <w:rsid w:val="00797789"/>
    <w:rsid w:val="00797CDE"/>
    <w:rsid w:val="007A005E"/>
    <w:rsid w:val="007A0085"/>
    <w:rsid w:val="007A0302"/>
    <w:rsid w:val="007A0392"/>
    <w:rsid w:val="007A04F4"/>
    <w:rsid w:val="007A04FB"/>
    <w:rsid w:val="007A051B"/>
    <w:rsid w:val="007A0B02"/>
    <w:rsid w:val="007A0E51"/>
    <w:rsid w:val="007A0FF0"/>
    <w:rsid w:val="007A17B9"/>
    <w:rsid w:val="007A1C6E"/>
    <w:rsid w:val="007A1DE6"/>
    <w:rsid w:val="007A1EC0"/>
    <w:rsid w:val="007A20BD"/>
    <w:rsid w:val="007A21E3"/>
    <w:rsid w:val="007A22D9"/>
    <w:rsid w:val="007A2341"/>
    <w:rsid w:val="007A2B96"/>
    <w:rsid w:val="007A2BDC"/>
    <w:rsid w:val="007A2E60"/>
    <w:rsid w:val="007A315D"/>
    <w:rsid w:val="007A34D4"/>
    <w:rsid w:val="007A3C14"/>
    <w:rsid w:val="007A3C21"/>
    <w:rsid w:val="007A3C29"/>
    <w:rsid w:val="007A40FA"/>
    <w:rsid w:val="007A46FA"/>
    <w:rsid w:val="007A4A4E"/>
    <w:rsid w:val="007A4DD5"/>
    <w:rsid w:val="007A50B8"/>
    <w:rsid w:val="007A5114"/>
    <w:rsid w:val="007A5173"/>
    <w:rsid w:val="007A5D24"/>
    <w:rsid w:val="007A6124"/>
    <w:rsid w:val="007A615D"/>
    <w:rsid w:val="007A61A1"/>
    <w:rsid w:val="007A66F4"/>
    <w:rsid w:val="007A6D11"/>
    <w:rsid w:val="007A6EF7"/>
    <w:rsid w:val="007A71CD"/>
    <w:rsid w:val="007A73DC"/>
    <w:rsid w:val="007A7436"/>
    <w:rsid w:val="007A7960"/>
    <w:rsid w:val="007A7A13"/>
    <w:rsid w:val="007A7A88"/>
    <w:rsid w:val="007A7B82"/>
    <w:rsid w:val="007A7DD8"/>
    <w:rsid w:val="007B0448"/>
    <w:rsid w:val="007B0482"/>
    <w:rsid w:val="007B04F1"/>
    <w:rsid w:val="007B0527"/>
    <w:rsid w:val="007B094F"/>
    <w:rsid w:val="007B135A"/>
    <w:rsid w:val="007B139D"/>
    <w:rsid w:val="007B13D2"/>
    <w:rsid w:val="007B162D"/>
    <w:rsid w:val="007B16A5"/>
    <w:rsid w:val="007B1A8F"/>
    <w:rsid w:val="007B1DC8"/>
    <w:rsid w:val="007B1E3F"/>
    <w:rsid w:val="007B25A2"/>
    <w:rsid w:val="007B2812"/>
    <w:rsid w:val="007B2BF6"/>
    <w:rsid w:val="007B2C4F"/>
    <w:rsid w:val="007B2FEE"/>
    <w:rsid w:val="007B32E8"/>
    <w:rsid w:val="007B353A"/>
    <w:rsid w:val="007B378B"/>
    <w:rsid w:val="007B39B9"/>
    <w:rsid w:val="007B3B3C"/>
    <w:rsid w:val="007B3F87"/>
    <w:rsid w:val="007B41F6"/>
    <w:rsid w:val="007B4370"/>
    <w:rsid w:val="007B49EF"/>
    <w:rsid w:val="007B4B4F"/>
    <w:rsid w:val="007B4CD8"/>
    <w:rsid w:val="007B4F93"/>
    <w:rsid w:val="007B5518"/>
    <w:rsid w:val="007B5729"/>
    <w:rsid w:val="007B5847"/>
    <w:rsid w:val="007B592B"/>
    <w:rsid w:val="007B5C5E"/>
    <w:rsid w:val="007B631E"/>
    <w:rsid w:val="007B676D"/>
    <w:rsid w:val="007B67D6"/>
    <w:rsid w:val="007B6A3B"/>
    <w:rsid w:val="007B6D02"/>
    <w:rsid w:val="007B6E94"/>
    <w:rsid w:val="007B7366"/>
    <w:rsid w:val="007B74BB"/>
    <w:rsid w:val="007B74E0"/>
    <w:rsid w:val="007B7B13"/>
    <w:rsid w:val="007B7B4A"/>
    <w:rsid w:val="007B7BCB"/>
    <w:rsid w:val="007B7EDF"/>
    <w:rsid w:val="007B7FEE"/>
    <w:rsid w:val="007C0437"/>
    <w:rsid w:val="007C0E29"/>
    <w:rsid w:val="007C100F"/>
    <w:rsid w:val="007C1130"/>
    <w:rsid w:val="007C1555"/>
    <w:rsid w:val="007C1643"/>
    <w:rsid w:val="007C1751"/>
    <w:rsid w:val="007C1B18"/>
    <w:rsid w:val="007C1E8A"/>
    <w:rsid w:val="007C1FC6"/>
    <w:rsid w:val="007C2CDD"/>
    <w:rsid w:val="007C2DBB"/>
    <w:rsid w:val="007C2ED7"/>
    <w:rsid w:val="007C33AB"/>
    <w:rsid w:val="007C354F"/>
    <w:rsid w:val="007C35FA"/>
    <w:rsid w:val="007C3682"/>
    <w:rsid w:val="007C3716"/>
    <w:rsid w:val="007C37CF"/>
    <w:rsid w:val="007C3A98"/>
    <w:rsid w:val="007C3F91"/>
    <w:rsid w:val="007C4090"/>
    <w:rsid w:val="007C4243"/>
    <w:rsid w:val="007C4938"/>
    <w:rsid w:val="007C49AB"/>
    <w:rsid w:val="007C4BBB"/>
    <w:rsid w:val="007C4F0E"/>
    <w:rsid w:val="007C5163"/>
    <w:rsid w:val="007C56B1"/>
    <w:rsid w:val="007C5796"/>
    <w:rsid w:val="007C5E1E"/>
    <w:rsid w:val="007C5F86"/>
    <w:rsid w:val="007C6003"/>
    <w:rsid w:val="007C6290"/>
    <w:rsid w:val="007C63EF"/>
    <w:rsid w:val="007C6A51"/>
    <w:rsid w:val="007C6B7C"/>
    <w:rsid w:val="007C76A1"/>
    <w:rsid w:val="007C76DA"/>
    <w:rsid w:val="007C7922"/>
    <w:rsid w:val="007C7978"/>
    <w:rsid w:val="007C79DF"/>
    <w:rsid w:val="007C7B39"/>
    <w:rsid w:val="007C7B63"/>
    <w:rsid w:val="007C7F60"/>
    <w:rsid w:val="007D01C4"/>
    <w:rsid w:val="007D0235"/>
    <w:rsid w:val="007D02A1"/>
    <w:rsid w:val="007D030E"/>
    <w:rsid w:val="007D0AC5"/>
    <w:rsid w:val="007D0B01"/>
    <w:rsid w:val="007D0BE2"/>
    <w:rsid w:val="007D0DE3"/>
    <w:rsid w:val="007D0EE3"/>
    <w:rsid w:val="007D127C"/>
    <w:rsid w:val="007D139F"/>
    <w:rsid w:val="007D14F1"/>
    <w:rsid w:val="007D17E5"/>
    <w:rsid w:val="007D183C"/>
    <w:rsid w:val="007D19F4"/>
    <w:rsid w:val="007D24A5"/>
    <w:rsid w:val="007D2548"/>
    <w:rsid w:val="007D2B25"/>
    <w:rsid w:val="007D2D76"/>
    <w:rsid w:val="007D2DA4"/>
    <w:rsid w:val="007D31C6"/>
    <w:rsid w:val="007D3AD9"/>
    <w:rsid w:val="007D4236"/>
    <w:rsid w:val="007D46D5"/>
    <w:rsid w:val="007D46F2"/>
    <w:rsid w:val="007D4CD2"/>
    <w:rsid w:val="007D5618"/>
    <w:rsid w:val="007D568C"/>
    <w:rsid w:val="007D661A"/>
    <w:rsid w:val="007D6F30"/>
    <w:rsid w:val="007D6FFC"/>
    <w:rsid w:val="007D709E"/>
    <w:rsid w:val="007D71D8"/>
    <w:rsid w:val="007D746C"/>
    <w:rsid w:val="007E012C"/>
    <w:rsid w:val="007E0648"/>
    <w:rsid w:val="007E0F24"/>
    <w:rsid w:val="007E104E"/>
    <w:rsid w:val="007E1130"/>
    <w:rsid w:val="007E114A"/>
    <w:rsid w:val="007E1275"/>
    <w:rsid w:val="007E1292"/>
    <w:rsid w:val="007E153C"/>
    <w:rsid w:val="007E1BEB"/>
    <w:rsid w:val="007E1D5D"/>
    <w:rsid w:val="007E1DB3"/>
    <w:rsid w:val="007E2268"/>
    <w:rsid w:val="007E24C9"/>
    <w:rsid w:val="007E25E5"/>
    <w:rsid w:val="007E2709"/>
    <w:rsid w:val="007E28C5"/>
    <w:rsid w:val="007E28D9"/>
    <w:rsid w:val="007E2B72"/>
    <w:rsid w:val="007E2D13"/>
    <w:rsid w:val="007E2E38"/>
    <w:rsid w:val="007E2EFE"/>
    <w:rsid w:val="007E3055"/>
    <w:rsid w:val="007E3168"/>
    <w:rsid w:val="007E355E"/>
    <w:rsid w:val="007E3688"/>
    <w:rsid w:val="007E39B2"/>
    <w:rsid w:val="007E3D35"/>
    <w:rsid w:val="007E413A"/>
    <w:rsid w:val="007E41E7"/>
    <w:rsid w:val="007E44F7"/>
    <w:rsid w:val="007E4693"/>
    <w:rsid w:val="007E475F"/>
    <w:rsid w:val="007E4A02"/>
    <w:rsid w:val="007E4CAD"/>
    <w:rsid w:val="007E4E0B"/>
    <w:rsid w:val="007E52D3"/>
    <w:rsid w:val="007E5398"/>
    <w:rsid w:val="007E55E7"/>
    <w:rsid w:val="007E5933"/>
    <w:rsid w:val="007E5B5C"/>
    <w:rsid w:val="007E5F88"/>
    <w:rsid w:val="007E6554"/>
    <w:rsid w:val="007E6768"/>
    <w:rsid w:val="007E7453"/>
    <w:rsid w:val="007E745E"/>
    <w:rsid w:val="007E7679"/>
    <w:rsid w:val="007E78A7"/>
    <w:rsid w:val="007E7D30"/>
    <w:rsid w:val="007F0159"/>
    <w:rsid w:val="007F0650"/>
    <w:rsid w:val="007F0661"/>
    <w:rsid w:val="007F074A"/>
    <w:rsid w:val="007F08A3"/>
    <w:rsid w:val="007F0F8E"/>
    <w:rsid w:val="007F1416"/>
    <w:rsid w:val="007F1445"/>
    <w:rsid w:val="007F1524"/>
    <w:rsid w:val="007F1890"/>
    <w:rsid w:val="007F1E89"/>
    <w:rsid w:val="007F2221"/>
    <w:rsid w:val="007F26F8"/>
    <w:rsid w:val="007F28F0"/>
    <w:rsid w:val="007F33F1"/>
    <w:rsid w:val="007F361A"/>
    <w:rsid w:val="007F3B52"/>
    <w:rsid w:val="007F3B75"/>
    <w:rsid w:val="007F452A"/>
    <w:rsid w:val="007F471E"/>
    <w:rsid w:val="007F51C5"/>
    <w:rsid w:val="007F5411"/>
    <w:rsid w:val="007F5510"/>
    <w:rsid w:val="007F5901"/>
    <w:rsid w:val="007F5A56"/>
    <w:rsid w:val="007F5DFD"/>
    <w:rsid w:val="007F6227"/>
    <w:rsid w:val="007F63BC"/>
    <w:rsid w:val="007F64EE"/>
    <w:rsid w:val="007F6608"/>
    <w:rsid w:val="007F6DD2"/>
    <w:rsid w:val="007F6E1D"/>
    <w:rsid w:val="007F6EF6"/>
    <w:rsid w:val="007F7181"/>
    <w:rsid w:val="007F739E"/>
    <w:rsid w:val="007F740E"/>
    <w:rsid w:val="007F78A1"/>
    <w:rsid w:val="007F7930"/>
    <w:rsid w:val="007F7AF8"/>
    <w:rsid w:val="007F7B4C"/>
    <w:rsid w:val="007F7BEC"/>
    <w:rsid w:val="007F7C7C"/>
    <w:rsid w:val="007F7DCE"/>
    <w:rsid w:val="0080059D"/>
    <w:rsid w:val="008006A6"/>
    <w:rsid w:val="008007A7"/>
    <w:rsid w:val="00800950"/>
    <w:rsid w:val="00800BFA"/>
    <w:rsid w:val="008010EA"/>
    <w:rsid w:val="00801313"/>
    <w:rsid w:val="008013EA"/>
    <w:rsid w:val="0080150F"/>
    <w:rsid w:val="00801B4E"/>
    <w:rsid w:val="00801C9E"/>
    <w:rsid w:val="00801EAC"/>
    <w:rsid w:val="00802064"/>
    <w:rsid w:val="00802162"/>
    <w:rsid w:val="00802348"/>
    <w:rsid w:val="00802524"/>
    <w:rsid w:val="008025D2"/>
    <w:rsid w:val="00802AC3"/>
    <w:rsid w:val="00802BE7"/>
    <w:rsid w:val="00802CD8"/>
    <w:rsid w:val="008035E3"/>
    <w:rsid w:val="0080378E"/>
    <w:rsid w:val="00803811"/>
    <w:rsid w:val="00803E83"/>
    <w:rsid w:val="0080406B"/>
    <w:rsid w:val="008043EC"/>
    <w:rsid w:val="008044F8"/>
    <w:rsid w:val="0080487A"/>
    <w:rsid w:val="00804A37"/>
    <w:rsid w:val="00805170"/>
    <w:rsid w:val="00805277"/>
    <w:rsid w:val="0080543C"/>
    <w:rsid w:val="008055FC"/>
    <w:rsid w:val="00805DDF"/>
    <w:rsid w:val="00805F35"/>
    <w:rsid w:val="0080609E"/>
    <w:rsid w:val="00806305"/>
    <w:rsid w:val="008069B7"/>
    <w:rsid w:val="00806A36"/>
    <w:rsid w:val="00806D42"/>
    <w:rsid w:val="008070F0"/>
    <w:rsid w:val="00807246"/>
    <w:rsid w:val="00807665"/>
    <w:rsid w:val="0081018B"/>
    <w:rsid w:val="0081021B"/>
    <w:rsid w:val="00810341"/>
    <w:rsid w:val="0081074A"/>
    <w:rsid w:val="00810ECD"/>
    <w:rsid w:val="00811543"/>
    <w:rsid w:val="008117EE"/>
    <w:rsid w:val="00811971"/>
    <w:rsid w:val="00811A1C"/>
    <w:rsid w:val="00811D4C"/>
    <w:rsid w:val="008120C8"/>
    <w:rsid w:val="008120E6"/>
    <w:rsid w:val="00812226"/>
    <w:rsid w:val="0081298F"/>
    <w:rsid w:val="00812F17"/>
    <w:rsid w:val="00813420"/>
    <w:rsid w:val="00813608"/>
    <w:rsid w:val="00813CFD"/>
    <w:rsid w:val="00813DA4"/>
    <w:rsid w:val="008144C7"/>
    <w:rsid w:val="00814536"/>
    <w:rsid w:val="00814773"/>
    <w:rsid w:val="008149B3"/>
    <w:rsid w:val="00814D9D"/>
    <w:rsid w:val="008151F0"/>
    <w:rsid w:val="00815579"/>
    <w:rsid w:val="0081586A"/>
    <w:rsid w:val="008159B0"/>
    <w:rsid w:val="00815BF1"/>
    <w:rsid w:val="00815D6D"/>
    <w:rsid w:val="00816291"/>
    <w:rsid w:val="008162B3"/>
    <w:rsid w:val="00816510"/>
    <w:rsid w:val="00816893"/>
    <w:rsid w:val="00816A21"/>
    <w:rsid w:val="008170B6"/>
    <w:rsid w:val="00817790"/>
    <w:rsid w:val="008177E1"/>
    <w:rsid w:val="008200D5"/>
    <w:rsid w:val="008201FA"/>
    <w:rsid w:val="00820213"/>
    <w:rsid w:val="008203BF"/>
    <w:rsid w:val="008205F0"/>
    <w:rsid w:val="008205F7"/>
    <w:rsid w:val="008209D1"/>
    <w:rsid w:val="00820C28"/>
    <w:rsid w:val="00820E42"/>
    <w:rsid w:val="00821343"/>
    <w:rsid w:val="00821574"/>
    <w:rsid w:val="008216D5"/>
    <w:rsid w:val="0082190D"/>
    <w:rsid w:val="00821BBC"/>
    <w:rsid w:val="008220B1"/>
    <w:rsid w:val="008226EB"/>
    <w:rsid w:val="00822A2F"/>
    <w:rsid w:val="00822AA7"/>
    <w:rsid w:val="00822F09"/>
    <w:rsid w:val="00823195"/>
    <w:rsid w:val="0082329E"/>
    <w:rsid w:val="0082361C"/>
    <w:rsid w:val="00823922"/>
    <w:rsid w:val="00823C17"/>
    <w:rsid w:val="00823D71"/>
    <w:rsid w:val="00823F8E"/>
    <w:rsid w:val="008245C2"/>
    <w:rsid w:val="008245E5"/>
    <w:rsid w:val="00824A57"/>
    <w:rsid w:val="00824DBA"/>
    <w:rsid w:val="00825028"/>
    <w:rsid w:val="008250B0"/>
    <w:rsid w:val="00825509"/>
    <w:rsid w:val="00826020"/>
    <w:rsid w:val="00826259"/>
    <w:rsid w:val="00826823"/>
    <w:rsid w:val="00826DA3"/>
    <w:rsid w:val="0082741F"/>
    <w:rsid w:val="0082758F"/>
    <w:rsid w:val="008275A1"/>
    <w:rsid w:val="008275B4"/>
    <w:rsid w:val="008275E9"/>
    <w:rsid w:val="00830DE4"/>
    <w:rsid w:val="00830F13"/>
    <w:rsid w:val="00830F16"/>
    <w:rsid w:val="008315EE"/>
    <w:rsid w:val="008316B3"/>
    <w:rsid w:val="008317EB"/>
    <w:rsid w:val="008318A2"/>
    <w:rsid w:val="008318C0"/>
    <w:rsid w:val="00831AF0"/>
    <w:rsid w:val="00831DE1"/>
    <w:rsid w:val="00831FB0"/>
    <w:rsid w:val="00832450"/>
    <w:rsid w:val="00832BC9"/>
    <w:rsid w:val="00832C0F"/>
    <w:rsid w:val="0083328D"/>
    <w:rsid w:val="0083334C"/>
    <w:rsid w:val="00833627"/>
    <w:rsid w:val="00833716"/>
    <w:rsid w:val="00833C6B"/>
    <w:rsid w:val="008343E9"/>
    <w:rsid w:val="008344DE"/>
    <w:rsid w:val="008344F3"/>
    <w:rsid w:val="0083477B"/>
    <w:rsid w:val="00834837"/>
    <w:rsid w:val="00834D75"/>
    <w:rsid w:val="00835007"/>
    <w:rsid w:val="0083564D"/>
    <w:rsid w:val="00835CE6"/>
    <w:rsid w:val="008360E9"/>
    <w:rsid w:val="0083618D"/>
    <w:rsid w:val="008361AE"/>
    <w:rsid w:val="00836588"/>
    <w:rsid w:val="0083667E"/>
    <w:rsid w:val="00836A8F"/>
    <w:rsid w:val="00836E2A"/>
    <w:rsid w:val="00837530"/>
    <w:rsid w:val="00837532"/>
    <w:rsid w:val="00837E1C"/>
    <w:rsid w:val="008401DC"/>
    <w:rsid w:val="008402B3"/>
    <w:rsid w:val="00840347"/>
    <w:rsid w:val="008405D8"/>
    <w:rsid w:val="00840AE8"/>
    <w:rsid w:val="00840D7E"/>
    <w:rsid w:val="00840E66"/>
    <w:rsid w:val="0084117C"/>
    <w:rsid w:val="00841746"/>
    <w:rsid w:val="00841BEA"/>
    <w:rsid w:val="00841D0C"/>
    <w:rsid w:val="00841D97"/>
    <w:rsid w:val="00841E38"/>
    <w:rsid w:val="00841F0D"/>
    <w:rsid w:val="00842430"/>
    <w:rsid w:val="008425FC"/>
    <w:rsid w:val="00842655"/>
    <w:rsid w:val="008428ED"/>
    <w:rsid w:val="00842971"/>
    <w:rsid w:val="00842989"/>
    <w:rsid w:val="008429B9"/>
    <w:rsid w:val="008429E0"/>
    <w:rsid w:val="00842BF3"/>
    <w:rsid w:val="00842C07"/>
    <w:rsid w:val="008431E2"/>
    <w:rsid w:val="008432FD"/>
    <w:rsid w:val="008435C1"/>
    <w:rsid w:val="00843713"/>
    <w:rsid w:val="0084383F"/>
    <w:rsid w:val="008438D3"/>
    <w:rsid w:val="00843B8B"/>
    <w:rsid w:val="008449BD"/>
    <w:rsid w:val="00844B7C"/>
    <w:rsid w:val="00844E8D"/>
    <w:rsid w:val="00845144"/>
    <w:rsid w:val="0084518B"/>
    <w:rsid w:val="00845418"/>
    <w:rsid w:val="008458DD"/>
    <w:rsid w:val="00845ACA"/>
    <w:rsid w:val="00845FDE"/>
    <w:rsid w:val="008463F5"/>
    <w:rsid w:val="008469BF"/>
    <w:rsid w:val="00847142"/>
    <w:rsid w:val="008474A8"/>
    <w:rsid w:val="008476FA"/>
    <w:rsid w:val="00847E30"/>
    <w:rsid w:val="008501C0"/>
    <w:rsid w:val="008501CC"/>
    <w:rsid w:val="008502F2"/>
    <w:rsid w:val="00850E3A"/>
    <w:rsid w:val="00851159"/>
    <w:rsid w:val="0085150E"/>
    <w:rsid w:val="00851862"/>
    <w:rsid w:val="008524A6"/>
    <w:rsid w:val="008525A8"/>
    <w:rsid w:val="008525F7"/>
    <w:rsid w:val="00852FF0"/>
    <w:rsid w:val="0085338F"/>
    <w:rsid w:val="0085340E"/>
    <w:rsid w:val="0085355F"/>
    <w:rsid w:val="00853716"/>
    <w:rsid w:val="0085373B"/>
    <w:rsid w:val="00853B40"/>
    <w:rsid w:val="00853CFC"/>
    <w:rsid w:val="00853D47"/>
    <w:rsid w:val="00853DDE"/>
    <w:rsid w:val="00854165"/>
    <w:rsid w:val="0085444E"/>
    <w:rsid w:val="008547B2"/>
    <w:rsid w:val="00854946"/>
    <w:rsid w:val="008549A8"/>
    <w:rsid w:val="00854B3C"/>
    <w:rsid w:val="00854E2C"/>
    <w:rsid w:val="00854E8A"/>
    <w:rsid w:val="00855213"/>
    <w:rsid w:val="00855414"/>
    <w:rsid w:val="0085564D"/>
    <w:rsid w:val="00855E6A"/>
    <w:rsid w:val="00855E6E"/>
    <w:rsid w:val="00855F2D"/>
    <w:rsid w:val="00855FAC"/>
    <w:rsid w:val="00856764"/>
    <w:rsid w:val="008568DF"/>
    <w:rsid w:val="00856C1F"/>
    <w:rsid w:val="00856F56"/>
    <w:rsid w:val="008571EC"/>
    <w:rsid w:val="008572FD"/>
    <w:rsid w:val="008575D7"/>
    <w:rsid w:val="008576AE"/>
    <w:rsid w:val="008577A4"/>
    <w:rsid w:val="00857AC1"/>
    <w:rsid w:val="008602E9"/>
    <w:rsid w:val="00860321"/>
    <w:rsid w:val="008604FF"/>
    <w:rsid w:val="00860A1E"/>
    <w:rsid w:val="00860E40"/>
    <w:rsid w:val="00860F04"/>
    <w:rsid w:val="00861306"/>
    <w:rsid w:val="008614CF"/>
    <w:rsid w:val="008618E3"/>
    <w:rsid w:val="008619AC"/>
    <w:rsid w:val="00861BCB"/>
    <w:rsid w:val="00861C76"/>
    <w:rsid w:val="00862425"/>
    <w:rsid w:val="008624F3"/>
    <w:rsid w:val="00862720"/>
    <w:rsid w:val="008627FB"/>
    <w:rsid w:val="00862A16"/>
    <w:rsid w:val="00863140"/>
    <w:rsid w:val="00863208"/>
    <w:rsid w:val="00863AD3"/>
    <w:rsid w:val="00863F4A"/>
    <w:rsid w:val="00864659"/>
    <w:rsid w:val="0086498D"/>
    <w:rsid w:val="008649D5"/>
    <w:rsid w:val="00864B08"/>
    <w:rsid w:val="00865336"/>
    <w:rsid w:val="0086593E"/>
    <w:rsid w:val="00865D3C"/>
    <w:rsid w:val="008660C7"/>
    <w:rsid w:val="008662CE"/>
    <w:rsid w:val="008663C0"/>
    <w:rsid w:val="0086663B"/>
    <w:rsid w:val="00866677"/>
    <w:rsid w:val="00866FFE"/>
    <w:rsid w:val="0086720F"/>
    <w:rsid w:val="00867417"/>
    <w:rsid w:val="00867543"/>
    <w:rsid w:val="0086761C"/>
    <w:rsid w:val="00867B01"/>
    <w:rsid w:val="00867F7A"/>
    <w:rsid w:val="0087034F"/>
    <w:rsid w:val="00870390"/>
    <w:rsid w:val="00870D03"/>
    <w:rsid w:val="00870E07"/>
    <w:rsid w:val="008713DF"/>
    <w:rsid w:val="00871674"/>
    <w:rsid w:val="008716A6"/>
    <w:rsid w:val="008716BD"/>
    <w:rsid w:val="00871988"/>
    <w:rsid w:val="00871AB1"/>
    <w:rsid w:val="00871D20"/>
    <w:rsid w:val="00871E5E"/>
    <w:rsid w:val="00871F1D"/>
    <w:rsid w:val="00871F61"/>
    <w:rsid w:val="008728FC"/>
    <w:rsid w:val="008730B1"/>
    <w:rsid w:val="00873267"/>
    <w:rsid w:val="0087331E"/>
    <w:rsid w:val="00873463"/>
    <w:rsid w:val="00873ADA"/>
    <w:rsid w:val="00873AFA"/>
    <w:rsid w:val="00873BD9"/>
    <w:rsid w:val="00873C70"/>
    <w:rsid w:val="00873DE9"/>
    <w:rsid w:val="008740DD"/>
    <w:rsid w:val="00874239"/>
    <w:rsid w:val="008746FF"/>
    <w:rsid w:val="00874CED"/>
    <w:rsid w:val="0087517A"/>
    <w:rsid w:val="008757DF"/>
    <w:rsid w:val="00875D09"/>
    <w:rsid w:val="008764DD"/>
    <w:rsid w:val="0087657B"/>
    <w:rsid w:val="00876E57"/>
    <w:rsid w:val="0087722B"/>
    <w:rsid w:val="00877700"/>
    <w:rsid w:val="008800B8"/>
    <w:rsid w:val="00880146"/>
    <w:rsid w:val="00880681"/>
    <w:rsid w:val="008806FF"/>
    <w:rsid w:val="00880A12"/>
    <w:rsid w:val="00881224"/>
    <w:rsid w:val="00881344"/>
    <w:rsid w:val="00881472"/>
    <w:rsid w:val="008816E0"/>
    <w:rsid w:val="00881A9E"/>
    <w:rsid w:val="00881DFB"/>
    <w:rsid w:val="00882446"/>
    <w:rsid w:val="008825AA"/>
    <w:rsid w:val="00882DB9"/>
    <w:rsid w:val="00883066"/>
    <w:rsid w:val="00883330"/>
    <w:rsid w:val="00883376"/>
    <w:rsid w:val="00883CC6"/>
    <w:rsid w:val="00883F60"/>
    <w:rsid w:val="00884621"/>
    <w:rsid w:val="00884A02"/>
    <w:rsid w:val="00884C4C"/>
    <w:rsid w:val="00884CE3"/>
    <w:rsid w:val="00884EA1"/>
    <w:rsid w:val="00884ECB"/>
    <w:rsid w:val="00885907"/>
    <w:rsid w:val="00885C63"/>
    <w:rsid w:val="00885D1A"/>
    <w:rsid w:val="008863E8"/>
    <w:rsid w:val="008866BC"/>
    <w:rsid w:val="008866C4"/>
    <w:rsid w:val="00886935"/>
    <w:rsid w:val="0088698C"/>
    <w:rsid w:val="008869C6"/>
    <w:rsid w:val="00886B97"/>
    <w:rsid w:val="00886EBB"/>
    <w:rsid w:val="00886EF2"/>
    <w:rsid w:val="00886F8F"/>
    <w:rsid w:val="0088742A"/>
    <w:rsid w:val="00887DB9"/>
    <w:rsid w:val="00887F9B"/>
    <w:rsid w:val="0089068C"/>
    <w:rsid w:val="00890725"/>
    <w:rsid w:val="00890939"/>
    <w:rsid w:val="00890B35"/>
    <w:rsid w:val="00890CDE"/>
    <w:rsid w:val="00890D2F"/>
    <w:rsid w:val="00890ED2"/>
    <w:rsid w:val="00890EDC"/>
    <w:rsid w:val="0089104B"/>
    <w:rsid w:val="008911D3"/>
    <w:rsid w:val="008916E3"/>
    <w:rsid w:val="008918AA"/>
    <w:rsid w:val="00891A76"/>
    <w:rsid w:val="00891BF9"/>
    <w:rsid w:val="00891CBD"/>
    <w:rsid w:val="00891FEF"/>
    <w:rsid w:val="008922AA"/>
    <w:rsid w:val="008924B1"/>
    <w:rsid w:val="00892C5D"/>
    <w:rsid w:val="0089337B"/>
    <w:rsid w:val="008939E1"/>
    <w:rsid w:val="00893B9C"/>
    <w:rsid w:val="00893ED8"/>
    <w:rsid w:val="00893F9B"/>
    <w:rsid w:val="0089415C"/>
    <w:rsid w:val="008945D1"/>
    <w:rsid w:val="00894612"/>
    <w:rsid w:val="00894A7B"/>
    <w:rsid w:val="00894AE4"/>
    <w:rsid w:val="00894C0A"/>
    <w:rsid w:val="00894D2B"/>
    <w:rsid w:val="00894E83"/>
    <w:rsid w:val="00894F8D"/>
    <w:rsid w:val="00894FB1"/>
    <w:rsid w:val="00894FE6"/>
    <w:rsid w:val="0089502D"/>
    <w:rsid w:val="0089638A"/>
    <w:rsid w:val="00896D37"/>
    <w:rsid w:val="00896D5F"/>
    <w:rsid w:val="00896D68"/>
    <w:rsid w:val="00897698"/>
    <w:rsid w:val="00897729"/>
    <w:rsid w:val="008978C9"/>
    <w:rsid w:val="00897DD9"/>
    <w:rsid w:val="00897F39"/>
    <w:rsid w:val="008A0043"/>
    <w:rsid w:val="008A0448"/>
    <w:rsid w:val="008A0A8E"/>
    <w:rsid w:val="008A0ADD"/>
    <w:rsid w:val="008A0BED"/>
    <w:rsid w:val="008A0C03"/>
    <w:rsid w:val="008A0DAE"/>
    <w:rsid w:val="008A0DFB"/>
    <w:rsid w:val="008A2042"/>
    <w:rsid w:val="008A2675"/>
    <w:rsid w:val="008A2BAB"/>
    <w:rsid w:val="008A2BC9"/>
    <w:rsid w:val="008A2F20"/>
    <w:rsid w:val="008A304C"/>
    <w:rsid w:val="008A31CB"/>
    <w:rsid w:val="008A35B0"/>
    <w:rsid w:val="008A369C"/>
    <w:rsid w:val="008A37E6"/>
    <w:rsid w:val="008A387C"/>
    <w:rsid w:val="008A3C61"/>
    <w:rsid w:val="008A3FCE"/>
    <w:rsid w:val="008A4272"/>
    <w:rsid w:val="008A42D3"/>
    <w:rsid w:val="008A43FA"/>
    <w:rsid w:val="008A46A4"/>
    <w:rsid w:val="008A4C08"/>
    <w:rsid w:val="008A4EC7"/>
    <w:rsid w:val="008A5233"/>
    <w:rsid w:val="008A5F60"/>
    <w:rsid w:val="008A6055"/>
    <w:rsid w:val="008A6152"/>
    <w:rsid w:val="008A63B6"/>
    <w:rsid w:val="008A6754"/>
    <w:rsid w:val="008A67CB"/>
    <w:rsid w:val="008A689B"/>
    <w:rsid w:val="008A6D0E"/>
    <w:rsid w:val="008A7177"/>
    <w:rsid w:val="008A7449"/>
    <w:rsid w:val="008A74FD"/>
    <w:rsid w:val="008A7AFB"/>
    <w:rsid w:val="008B0098"/>
    <w:rsid w:val="008B04F6"/>
    <w:rsid w:val="008B064D"/>
    <w:rsid w:val="008B1196"/>
    <w:rsid w:val="008B123D"/>
    <w:rsid w:val="008B1274"/>
    <w:rsid w:val="008B128C"/>
    <w:rsid w:val="008B1441"/>
    <w:rsid w:val="008B19B9"/>
    <w:rsid w:val="008B1C31"/>
    <w:rsid w:val="008B1E69"/>
    <w:rsid w:val="008B27F3"/>
    <w:rsid w:val="008B2875"/>
    <w:rsid w:val="008B32BD"/>
    <w:rsid w:val="008B342D"/>
    <w:rsid w:val="008B35DC"/>
    <w:rsid w:val="008B3D53"/>
    <w:rsid w:val="008B4411"/>
    <w:rsid w:val="008B4586"/>
    <w:rsid w:val="008B4725"/>
    <w:rsid w:val="008B48FE"/>
    <w:rsid w:val="008B4EC0"/>
    <w:rsid w:val="008B4F53"/>
    <w:rsid w:val="008B4F56"/>
    <w:rsid w:val="008B5BEE"/>
    <w:rsid w:val="008B6116"/>
    <w:rsid w:val="008B6700"/>
    <w:rsid w:val="008B6A65"/>
    <w:rsid w:val="008B6ACE"/>
    <w:rsid w:val="008B6E35"/>
    <w:rsid w:val="008B6EBE"/>
    <w:rsid w:val="008B7D94"/>
    <w:rsid w:val="008C02A9"/>
    <w:rsid w:val="008C08B5"/>
    <w:rsid w:val="008C0949"/>
    <w:rsid w:val="008C0B48"/>
    <w:rsid w:val="008C0D07"/>
    <w:rsid w:val="008C1957"/>
    <w:rsid w:val="008C1D3A"/>
    <w:rsid w:val="008C2178"/>
    <w:rsid w:val="008C21A5"/>
    <w:rsid w:val="008C21D5"/>
    <w:rsid w:val="008C22D5"/>
    <w:rsid w:val="008C2810"/>
    <w:rsid w:val="008C28FC"/>
    <w:rsid w:val="008C29E4"/>
    <w:rsid w:val="008C29E6"/>
    <w:rsid w:val="008C2CCD"/>
    <w:rsid w:val="008C3211"/>
    <w:rsid w:val="008C3709"/>
    <w:rsid w:val="008C39B8"/>
    <w:rsid w:val="008C3D3E"/>
    <w:rsid w:val="008C3E98"/>
    <w:rsid w:val="008C3EB2"/>
    <w:rsid w:val="008C4120"/>
    <w:rsid w:val="008C4345"/>
    <w:rsid w:val="008C437A"/>
    <w:rsid w:val="008C4432"/>
    <w:rsid w:val="008C486F"/>
    <w:rsid w:val="008C4AE3"/>
    <w:rsid w:val="008C4B70"/>
    <w:rsid w:val="008C4B97"/>
    <w:rsid w:val="008C4CC5"/>
    <w:rsid w:val="008C5204"/>
    <w:rsid w:val="008C5578"/>
    <w:rsid w:val="008C5B06"/>
    <w:rsid w:val="008C5BC0"/>
    <w:rsid w:val="008C61B8"/>
    <w:rsid w:val="008C67ED"/>
    <w:rsid w:val="008C6A16"/>
    <w:rsid w:val="008C6D98"/>
    <w:rsid w:val="008C6E36"/>
    <w:rsid w:val="008C7123"/>
    <w:rsid w:val="008C7152"/>
    <w:rsid w:val="008C7346"/>
    <w:rsid w:val="008C73BD"/>
    <w:rsid w:val="008C7695"/>
    <w:rsid w:val="008C76A6"/>
    <w:rsid w:val="008C796F"/>
    <w:rsid w:val="008C7B91"/>
    <w:rsid w:val="008C7C39"/>
    <w:rsid w:val="008C7C3A"/>
    <w:rsid w:val="008C7F58"/>
    <w:rsid w:val="008D0055"/>
    <w:rsid w:val="008D0D22"/>
    <w:rsid w:val="008D0D70"/>
    <w:rsid w:val="008D0DDE"/>
    <w:rsid w:val="008D0F60"/>
    <w:rsid w:val="008D1093"/>
    <w:rsid w:val="008D17F0"/>
    <w:rsid w:val="008D18E7"/>
    <w:rsid w:val="008D1C8F"/>
    <w:rsid w:val="008D2CF5"/>
    <w:rsid w:val="008D2D04"/>
    <w:rsid w:val="008D34F8"/>
    <w:rsid w:val="008D3733"/>
    <w:rsid w:val="008D37C8"/>
    <w:rsid w:val="008D3C50"/>
    <w:rsid w:val="008D403E"/>
    <w:rsid w:val="008D4376"/>
    <w:rsid w:val="008D468B"/>
    <w:rsid w:val="008D47E9"/>
    <w:rsid w:val="008D48BE"/>
    <w:rsid w:val="008D4D6E"/>
    <w:rsid w:val="008D54BB"/>
    <w:rsid w:val="008D58DF"/>
    <w:rsid w:val="008D599A"/>
    <w:rsid w:val="008D5C7E"/>
    <w:rsid w:val="008D5FF0"/>
    <w:rsid w:val="008D619E"/>
    <w:rsid w:val="008D6551"/>
    <w:rsid w:val="008D66D1"/>
    <w:rsid w:val="008D7550"/>
    <w:rsid w:val="008D77C9"/>
    <w:rsid w:val="008D78EB"/>
    <w:rsid w:val="008D7AA9"/>
    <w:rsid w:val="008D7C3B"/>
    <w:rsid w:val="008D7DF2"/>
    <w:rsid w:val="008E027F"/>
    <w:rsid w:val="008E051E"/>
    <w:rsid w:val="008E0528"/>
    <w:rsid w:val="008E0588"/>
    <w:rsid w:val="008E1182"/>
    <w:rsid w:val="008E188F"/>
    <w:rsid w:val="008E1C45"/>
    <w:rsid w:val="008E20FB"/>
    <w:rsid w:val="008E22DE"/>
    <w:rsid w:val="008E25C6"/>
    <w:rsid w:val="008E2631"/>
    <w:rsid w:val="008E2C95"/>
    <w:rsid w:val="008E2E85"/>
    <w:rsid w:val="008E2E92"/>
    <w:rsid w:val="008E2F9C"/>
    <w:rsid w:val="008E31D1"/>
    <w:rsid w:val="008E357B"/>
    <w:rsid w:val="008E3634"/>
    <w:rsid w:val="008E39A1"/>
    <w:rsid w:val="008E3C93"/>
    <w:rsid w:val="008E3D7E"/>
    <w:rsid w:val="008E3EEA"/>
    <w:rsid w:val="008E3F40"/>
    <w:rsid w:val="008E4844"/>
    <w:rsid w:val="008E4F45"/>
    <w:rsid w:val="008E5884"/>
    <w:rsid w:val="008E5954"/>
    <w:rsid w:val="008E5D4D"/>
    <w:rsid w:val="008E634E"/>
    <w:rsid w:val="008E6856"/>
    <w:rsid w:val="008E6941"/>
    <w:rsid w:val="008E6CDF"/>
    <w:rsid w:val="008E6D7B"/>
    <w:rsid w:val="008E6D91"/>
    <w:rsid w:val="008E6DA4"/>
    <w:rsid w:val="008E6DFC"/>
    <w:rsid w:val="008E6EA3"/>
    <w:rsid w:val="008E7116"/>
    <w:rsid w:val="008E7822"/>
    <w:rsid w:val="008E7A21"/>
    <w:rsid w:val="008E7C05"/>
    <w:rsid w:val="008E7D93"/>
    <w:rsid w:val="008E7DD1"/>
    <w:rsid w:val="008F0170"/>
    <w:rsid w:val="008F0174"/>
    <w:rsid w:val="008F0582"/>
    <w:rsid w:val="008F0739"/>
    <w:rsid w:val="008F087B"/>
    <w:rsid w:val="008F08D8"/>
    <w:rsid w:val="008F0F08"/>
    <w:rsid w:val="008F1171"/>
    <w:rsid w:val="008F1201"/>
    <w:rsid w:val="008F183A"/>
    <w:rsid w:val="008F1D39"/>
    <w:rsid w:val="008F1F82"/>
    <w:rsid w:val="008F23B2"/>
    <w:rsid w:val="008F285A"/>
    <w:rsid w:val="008F2BF2"/>
    <w:rsid w:val="008F3030"/>
    <w:rsid w:val="008F34CF"/>
    <w:rsid w:val="008F3819"/>
    <w:rsid w:val="008F38D3"/>
    <w:rsid w:val="008F3C40"/>
    <w:rsid w:val="008F3D0C"/>
    <w:rsid w:val="008F3D28"/>
    <w:rsid w:val="008F4DDD"/>
    <w:rsid w:val="008F53B5"/>
    <w:rsid w:val="008F53FC"/>
    <w:rsid w:val="008F57E8"/>
    <w:rsid w:val="008F59A8"/>
    <w:rsid w:val="008F5DC3"/>
    <w:rsid w:val="008F6137"/>
    <w:rsid w:val="008F63DB"/>
    <w:rsid w:val="008F64F5"/>
    <w:rsid w:val="008F6732"/>
    <w:rsid w:val="008F6840"/>
    <w:rsid w:val="008F69D6"/>
    <w:rsid w:val="008F7067"/>
    <w:rsid w:val="008F72B5"/>
    <w:rsid w:val="008F734B"/>
    <w:rsid w:val="008F76B2"/>
    <w:rsid w:val="008F7C28"/>
    <w:rsid w:val="008F7C74"/>
    <w:rsid w:val="0090004B"/>
    <w:rsid w:val="00900077"/>
    <w:rsid w:val="00900432"/>
    <w:rsid w:val="00900479"/>
    <w:rsid w:val="0090047B"/>
    <w:rsid w:val="009008BF"/>
    <w:rsid w:val="00900A31"/>
    <w:rsid w:val="00900ED8"/>
    <w:rsid w:val="0090134D"/>
    <w:rsid w:val="0090153B"/>
    <w:rsid w:val="009020BE"/>
    <w:rsid w:val="00902350"/>
    <w:rsid w:val="009026BC"/>
    <w:rsid w:val="00902EAE"/>
    <w:rsid w:val="00903492"/>
    <w:rsid w:val="00903596"/>
    <w:rsid w:val="00903645"/>
    <w:rsid w:val="00903935"/>
    <w:rsid w:val="009039EC"/>
    <w:rsid w:val="00903F4D"/>
    <w:rsid w:val="00904075"/>
    <w:rsid w:val="009042BD"/>
    <w:rsid w:val="009044CC"/>
    <w:rsid w:val="00904757"/>
    <w:rsid w:val="0090479B"/>
    <w:rsid w:val="009047DF"/>
    <w:rsid w:val="00904AD3"/>
    <w:rsid w:val="009054BC"/>
    <w:rsid w:val="009057F7"/>
    <w:rsid w:val="0090587B"/>
    <w:rsid w:val="0090597B"/>
    <w:rsid w:val="009059F8"/>
    <w:rsid w:val="00905BBB"/>
    <w:rsid w:val="00905D0F"/>
    <w:rsid w:val="0090654C"/>
    <w:rsid w:val="009068E0"/>
    <w:rsid w:val="00906B04"/>
    <w:rsid w:val="0090728E"/>
    <w:rsid w:val="00907967"/>
    <w:rsid w:val="00907A54"/>
    <w:rsid w:val="00907B2B"/>
    <w:rsid w:val="00907D32"/>
    <w:rsid w:val="00907D7A"/>
    <w:rsid w:val="00907E5B"/>
    <w:rsid w:val="00907E6F"/>
    <w:rsid w:val="009107AD"/>
    <w:rsid w:val="00910D4D"/>
    <w:rsid w:val="0091134A"/>
    <w:rsid w:val="009119BB"/>
    <w:rsid w:val="00911A6A"/>
    <w:rsid w:val="00911A6B"/>
    <w:rsid w:val="00911D4E"/>
    <w:rsid w:val="009125F6"/>
    <w:rsid w:val="00912A72"/>
    <w:rsid w:val="009133F9"/>
    <w:rsid w:val="00913620"/>
    <w:rsid w:val="00913AAB"/>
    <w:rsid w:val="00913D35"/>
    <w:rsid w:val="00913EBD"/>
    <w:rsid w:val="00913EE8"/>
    <w:rsid w:val="009147B5"/>
    <w:rsid w:val="00914C6D"/>
    <w:rsid w:val="00914D0F"/>
    <w:rsid w:val="00914DA7"/>
    <w:rsid w:val="00914EE5"/>
    <w:rsid w:val="00915102"/>
    <w:rsid w:val="009155B0"/>
    <w:rsid w:val="009156A4"/>
    <w:rsid w:val="00915890"/>
    <w:rsid w:val="009165F1"/>
    <w:rsid w:val="009166F2"/>
    <w:rsid w:val="00916CAB"/>
    <w:rsid w:val="00916DBD"/>
    <w:rsid w:val="0091728B"/>
    <w:rsid w:val="0091798C"/>
    <w:rsid w:val="00917AC2"/>
    <w:rsid w:val="00917C28"/>
    <w:rsid w:val="00920452"/>
    <w:rsid w:val="0092050E"/>
    <w:rsid w:val="00920974"/>
    <w:rsid w:val="00920EDC"/>
    <w:rsid w:val="00920FC9"/>
    <w:rsid w:val="00921632"/>
    <w:rsid w:val="009217C7"/>
    <w:rsid w:val="009217F8"/>
    <w:rsid w:val="009223B4"/>
    <w:rsid w:val="009224E1"/>
    <w:rsid w:val="009224FC"/>
    <w:rsid w:val="00922619"/>
    <w:rsid w:val="00922B1B"/>
    <w:rsid w:val="00923234"/>
    <w:rsid w:val="0092378F"/>
    <w:rsid w:val="009237BA"/>
    <w:rsid w:val="00923847"/>
    <w:rsid w:val="00923932"/>
    <w:rsid w:val="00924076"/>
    <w:rsid w:val="0092410F"/>
    <w:rsid w:val="00924562"/>
    <w:rsid w:val="00924A6A"/>
    <w:rsid w:val="00924D47"/>
    <w:rsid w:val="0092555D"/>
    <w:rsid w:val="00925928"/>
    <w:rsid w:val="0092595C"/>
    <w:rsid w:val="009259DB"/>
    <w:rsid w:val="00925B5F"/>
    <w:rsid w:val="00925C4B"/>
    <w:rsid w:val="009260E1"/>
    <w:rsid w:val="00926418"/>
    <w:rsid w:val="0092648A"/>
    <w:rsid w:val="009269A1"/>
    <w:rsid w:val="009269D7"/>
    <w:rsid w:val="00926E97"/>
    <w:rsid w:val="00926EAB"/>
    <w:rsid w:val="00927166"/>
    <w:rsid w:val="00927594"/>
    <w:rsid w:val="009279A3"/>
    <w:rsid w:val="00927C43"/>
    <w:rsid w:val="00927D8B"/>
    <w:rsid w:val="00927E11"/>
    <w:rsid w:val="00927EBA"/>
    <w:rsid w:val="009303B3"/>
    <w:rsid w:val="0093078D"/>
    <w:rsid w:val="009309BB"/>
    <w:rsid w:val="00930A95"/>
    <w:rsid w:val="00930B6E"/>
    <w:rsid w:val="00930C67"/>
    <w:rsid w:val="00931165"/>
    <w:rsid w:val="0093135D"/>
    <w:rsid w:val="009313F0"/>
    <w:rsid w:val="0093182B"/>
    <w:rsid w:val="00931929"/>
    <w:rsid w:val="009319BE"/>
    <w:rsid w:val="00931A98"/>
    <w:rsid w:val="00931FBD"/>
    <w:rsid w:val="00932174"/>
    <w:rsid w:val="00932431"/>
    <w:rsid w:val="00932536"/>
    <w:rsid w:val="009326E5"/>
    <w:rsid w:val="0093291D"/>
    <w:rsid w:val="009329AA"/>
    <w:rsid w:val="00932D37"/>
    <w:rsid w:val="00932D67"/>
    <w:rsid w:val="00932F9A"/>
    <w:rsid w:val="00933170"/>
    <w:rsid w:val="0093324D"/>
    <w:rsid w:val="00933474"/>
    <w:rsid w:val="00933649"/>
    <w:rsid w:val="0093376C"/>
    <w:rsid w:val="0093381F"/>
    <w:rsid w:val="00933F68"/>
    <w:rsid w:val="0093407D"/>
    <w:rsid w:val="0093426A"/>
    <w:rsid w:val="009342C0"/>
    <w:rsid w:val="009344FF"/>
    <w:rsid w:val="0093462E"/>
    <w:rsid w:val="00934E3A"/>
    <w:rsid w:val="009355AB"/>
    <w:rsid w:val="00935624"/>
    <w:rsid w:val="00935729"/>
    <w:rsid w:val="00935857"/>
    <w:rsid w:val="00935A20"/>
    <w:rsid w:val="00935B41"/>
    <w:rsid w:val="00935CEF"/>
    <w:rsid w:val="00935D43"/>
    <w:rsid w:val="00935F84"/>
    <w:rsid w:val="0093618D"/>
    <w:rsid w:val="00936513"/>
    <w:rsid w:val="00936722"/>
    <w:rsid w:val="00936C20"/>
    <w:rsid w:val="00936DF0"/>
    <w:rsid w:val="00937034"/>
    <w:rsid w:val="009375FC"/>
    <w:rsid w:val="00937614"/>
    <w:rsid w:val="00937640"/>
    <w:rsid w:val="009377F7"/>
    <w:rsid w:val="00937CF3"/>
    <w:rsid w:val="0094055E"/>
    <w:rsid w:val="009407D0"/>
    <w:rsid w:val="00940C9E"/>
    <w:rsid w:val="00940CD6"/>
    <w:rsid w:val="00940EDE"/>
    <w:rsid w:val="00940FC8"/>
    <w:rsid w:val="0094126F"/>
    <w:rsid w:val="00941750"/>
    <w:rsid w:val="00941BA9"/>
    <w:rsid w:val="00941D18"/>
    <w:rsid w:val="00941F81"/>
    <w:rsid w:val="00941FA8"/>
    <w:rsid w:val="009425EF"/>
    <w:rsid w:val="00942F31"/>
    <w:rsid w:val="0094318D"/>
    <w:rsid w:val="009433DA"/>
    <w:rsid w:val="009433DC"/>
    <w:rsid w:val="009435DC"/>
    <w:rsid w:val="00943851"/>
    <w:rsid w:val="00943B6C"/>
    <w:rsid w:val="00943C39"/>
    <w:rsid w:val="00943D76"/>
    <w:rsid w:val="00943D99"/>
    <w:rsid w:val="00943E45"/>
    <w:rsid w:val="00943FD8"/>
    <w:rsid w:val="00944420"/>
    <w:rsid w:val="009448D7"/>
    <w:rsid w:val="00944E6D"/>
    <w:rsid w:val="00945004"/>
    <w:rsid w:val="009455E7"/>
    <w:rsid w:val="0094572E"/>
    <w:rsid w:val="009457F2"/>
    <w:rsid w:val="00945F53"/>
    <w:rsid w:val="00945FA3"/>
    <w:rsid w:val="00946212"/>
    <w:rsid w:val="0094657B"/>
    <w:rsid w:val="00946871"/>
    <w:rsid w:val="0094715E"/>
    <w:rsid w:val="009471CF"/>
    <w:rsid w:val="0094756B"/>
    <w:rsid w:val="0094758F"/>
    <w:rsid w:val="0094782E"/>
    <w:rsid w:val="0095003D"/>
    <w:rsid w:val="009500E4"/>
    <w:rsid w:val="00950469"/>
    <w:rsid w:val="00950556"/>
    <w:rsid w:val="009507A5"/>
    <w:rsid w:val="00950828"/>
    <w:rsid w:val="009510E8"/>
    <w:rsid w:val="00951458"/>
    <w:rsid w:val="009517A5"/>
    <w:rsid w:val="0095189F"/>
    <w:rsid w:val="00951A10"/>
    <w:rsid w:val="00951DC0"/>
    <w:rsid w:val="00951E0E"/>
    <w:rsid w:val="00951FC7"/>
    <w:rsid w:val="009524F7"/>
    <w:rsid w:val="0095258C"/>
    <w:rsid w:val="009526E8"/>
    <w:rsid w:val="00952C44"/>
    <w:rsid w:val="00952F14"/>
    <w:rsid w:val="009537B9"/>
    <w:rsid w:val="0095400C"/>
    <w:rsid w:val="0095412E"/>
    <w:rsid w:val="009541D9"/>
    <w:rsid w:val="00954383"/>
    <w:rsid w:val="00954561"/>
    <w:rsid w:val="00954627"/>
    <w:rsid w:val="00954702"/>
    <w:rsid w:val="00954853"/>
    <w:rsid w:val="00954D79"/>
    <w:rsid w:val="00954F27"/>
    <w:rsid w:val="00955021"/>
    <w:rsid w:val="00955520"/>
    <w:rsid w:val="00956A6B"/>
    <w:rsid w:val="00956C1B"/>
    <w:rsid w:val="00956E2D"/>
    <w:rsid w:val="00956E38"/>
    <w:rsid w:val="0095719C"/>
    <w:rsid w:val="009573F8"/>
    <w:rsid w:val="00957422"/>
    <w:rsid w:val="00957782"/>
    <w:rsid w:val="00957817"/>
    <w:rsid w:val="009579F1"/>
    <w:rsid w:val="00957A48"/>
    <w:rsid w:val="00957F85"/>
    <w:rsid w:val="00957FC8"/>
    <w:rsid w:val="0096012E"/>
    <w:rsid w:val="00960310"/>
    <w:rsid w:val="009607A8"/>
    <w:rsid w:val="0096095E"/>
    <w:rsid w:val="0096097E"/>
    <w:rsid w:val="00960AB0"/>
    <w:rsid w:val="00960CE1"/>
    <w:rsid w:val="009613B1"/>
    <w:rsid w:val="00961D54"/>
    <w:rsid w:val="00961D94"/>
    <w:rsid w:val="00961DE1"/>
    <w:rsid w:val="00962174"/>
    <w:rsid w:val="009621D9"/>
    <w:rsid w:val="009626ED"/>
    <w:rsid w:val="00962983"/>
    <w:rsid w:val="00962BD7"/>
    <w:rsid w:val="00962D04"/>
    <w:rsid w:val="00962D77"/>
    <w:rsid w:val="00963164"/>
    <w:rsid w:val="00963467"/>
    <w:rsid w:val="009635BE"/>
    <w:rsid w:val="009639EA"/>
    <w:rsid w:val="00963A34"/>
    <w:rsid w:val="00963B2D"/>
    <w:rsid w:val="00963BFB"/>
    <w:rsid w:val="00963C59"/>
    <w:rsid w:val="0096428C"/>
    <w:rsid w:val="00964328"/>
    <w:rsid w:val="009644F6"/>
    <w:rsid w:val="00964502"/>
    <w:rsid w:val="009648F3"/>
    <w:rsid w:val="00964C6C"/>
    <w:rsid w:val="00965430"/>
    <w:rsid w:val="00965492"/>
    <w:rsid w:val="009655B6"/>
    <w:rsid w:val="00965B8C"/>
    <w:rsid w:val="00966238"/>
    <w:rsid w:val="00966A65"/>
    <w:rsid w:val="00966BD8"/>
    <w:rsid w:val="009674C5"/>
    <w:rsid w:val="00967B22"/>
    <w:rsid w:val="00967B4C"/>
    <w:rsid w:val="0097037A"/>
    <w:rsid w:val="00970499"/>
    <w:rsid w:val="00970509"/>
    <w:rsid w:val="00970750"/>
    <w:rsid w:val="00970E86"/>
    <w:rsid w:val="00971036"/>
    <w:rsid w:val="00971156"/>
    <w:rsid w:val="009711F2"/>
    <w:rsid w:val="00971288"/>
    <w:rsid w:val="009712BD"/>
    <w:rsid w:val="009719A9"/>
    <w:rsid w:val="00971AE2"/>
    <w:rsid w:val="00971E3A"/>
    <w:rsid w:val="00971FD6"/>
    <w:rsid w:val="0097218D"/>
    <w:rsid w:val="0097229E"/>
    <w:rsid w:val="009725EE"/>
    <w:rsid w:val="00972BED"/>
    <w:rsid w:val="00972C77"/>
    <w:rsid w:val="00972E99"/>
    <w:rsid w:val="00972F1B"/>
    <w:rsid w:val="00973172"/>
    <w:rsid w:val="0097324D"/>
    <w:rsid w:val="009735B1"/>
    <w:rsid w:val="00973ADA"/>
    <w:rsid w:val="00973B5A"/>
    <w:rsid w:val="0097408F"/>
    <w:rsid w:val="0097461F"/>
    <w:rsid w:val="009746A5"/>
    <w:rsid w:val="009747A1"/>
    <w:rsid w:val="00974958"/>
    <w:rsid w:val="00974DDE"/>
    <w:rsid w:val="00975056"/>
    <w:rsid w:val="009752F1"/>
    <w:rsid w:val="00975314"/>
    <w:rsid w:val="00975350"/>
    <w:rsid w:val="0097600A"/>
    <w:rsid w:val="009761A3"/>
    <w:rsid w:val="009761ED"/>
    <w:rsid w:val="009768A6"/>
    <w:rsid w:val="0097693B"/>
    <w:rsid w:val="00976D2D"/>
    <w:rsid w:val="0097763E"/>
    <w:rsid w:val="009776DC"/>
    <w:rsid w:val="00977824"/>
    <w:rsid w:val="00977A6D"/>
    <w:rsid w:val="009801FC"/>
    <w:rsid w:val="009805D7"/>
    <w:rsid w:val="009807C8"/>
    <w:rsid w:val="0098081C"/>
    <w:rsid w:val="00980A33"/>
    <w:rsid w:val="00980B59"/>
    <w:rsid w:val="00980F11"/>
    <w:rsid w:val="00980FCC"/>
    <w:rsid w:val="0098123D"/>
    <w:rsid w:val="00982602"/>
    <w:rsid w:val="009830F5"/>
    <w:rsid w:val="00983211"/>
    <w:rsid w:val="0098358A"/>
    <w:rsid w:val="0098394C"/>
    <w:rsid w:val="00983AEB"/>
    <w:rsid w:val="00984110"/>
    <w:rsid w:val="00984380"/>
    <w:rsid w:val="00984575"/>
    <w:rsid w:val="009852B0"/>
    <w:rsid w:val="00985364"/>
    <w:rsid w:val="00985494"/>
    <w:rsid w:val="00985BB5"/>
    <w:rsid w:val="00985BFB"/>
    <w:rsid w:val="00985C23"/>
    <w:rsid w:val="00985EBB"/>
    <w:rsid w:val="00985F8E"/>
    <w:rsid w:val="00985F8F"/>
    <w:rsid w:val="00986010"/>
    <w:rsid w:val="0098603D"/>
    <w:rsid w:val="009861C5"/>
    <w:rsid w:val="0098627B"/>
    <w:rsid w:val="00986B0D"/>
    <w:rsid w:val="00986B15"/>
    <w:rsid w:val="00986DE6"/>
    <w:rsid w:val="00986E02"/>
    <w:rsid w:val="0098742D"/>
    <w:rsid w:val="00987734"/>
    <w:rsid w:val="00987BC6"/>
    <w:rsid w:val="00987BD8"/>
    <w:rsid w:val="00987F06"/>
    <w:rsid w:val="009900AC"/>
    <w:rsid w:val="0099012E"/>
    <w:rsid w:val="00990249"/>
    <w:rsid w:val="0099058F"/>
    <w:rsid w:val="00990904"/>
    <w:rsid w:val="0099140C"/>
    <w:rsid w:val="009914A7"/>
    <w:rsid w:val="00991640"/>
    <w:rsid w:val="00991812"/>
    <w:rsid w:val="00991A6E"/>
    <w:rsid w:val="00991AD5"/>
    <w:rsid w:val="00991BBD"/>
    <w:rsid w:val="00991D8D"/>
    <w:rsid w:val="00991EB1"/>
    <w:rsid w:val="00991ED7"/>
    <w:rsid w:val="009921BD"/>
    <w:rsid w:val="0099269E"/>
    <w:rsid w:val="009926BF"/>
    <w:rsid w:val="009927E1"/>
    <w:rsid w:val="009929BE"/>
    <w:rsid w:val="009929E8"/>
    <w:rsid w:val="00993347"/>
    <w:rsid w:val="009933FB"/>
    <w:rsid w:val="009934D2"/>
    <w:rsid w:val="009938C4"/>
    <w:rsid w:val="00993D42"/>
    <w:rsid w:val="0099413B"/>
    <w:rsid w:val="00994296"/>
    <w:rsid w:val="00994DAB"/>
    <w:rsid w:val="00995028"/>
    <w:rsid w:val="0099566C"/>
    <w:rsid w:val="009961D3"/>
    <w:rsid w:val="00996503"/>
    <w:rsid w:val="0099655F"/>
    <w:rsid w:val="009967AF"/>
    <w:rsid w:val="009967DE"/>
    <w:rsid w:val="00996AB6"/>
    <w:rsid w:val="00996DF8"/>
    <w:rsid w:val="0099706E"/>
    <w:rsid w:val="009970BF"/>
    <w:rsid w:val="009979D1"/>
    <w:rsid w:val="00997B41"/>
    <w:rsid w:val="00997BAF"/>
    <w:rsid w:val="00997C58"/>
    <w:rsid w:val="009A03BF"/>
    <w:rsid w:val="009A054F"/>
    <w:rsid w:val="009A0595"/>
    <w:rsid w:val="009A05BD"/>
    <w:rsid w:val="009A05C1"/>
    <w:rsid w:val="009A0C00"/>
    <w:rsid w:val="009A12FE"/>
    <w:rsid w:val="009A166D"/>
    <w:rsid w:val="009A177D"/>
    <w:rsid w:val="009A19DA"/>
    <w:rsid w:val="009A2232"/>
    <w:rsid w:val="009A2506"/>
    <w:rsid w:val="009A292F"/>
    <w:rsid w:val="009A2D65"/>
    <w:rsid w:val="009A3234"/>
    <w:rsid w:val="009A33C7"/>
    <w:rsid w:val="009A3599"/>
    <w:rsid w:val="009A3655"/>
    <w:rsid w:val="009A3731"/>
    <w:rsid w:val="009A3A13"/>
    <w:rsid w:val="009A43F1"/>
    <w:rsid w:val="009A4845"/>
    <w:rsid w:val="009A4C59"/>
    <w:rsid w:val="009A4C72"/>
    <w:rsid w:val="009A4CB7"/>
    <w:rsid w:val="009A4FDD"/>
    <w:rsid w:val="009A555A"/>
    <w:rsid w:val="009A55B6"/>
    <w:rsid w:val="009A5857"/>
    <w:rsid w:val="009A5B4F"/>
    <w:rsid w:val="009A5DC0"/>
    <w:rsid w:val="009A5FA0"/>
    <w:rsid w:val="009A6522"/>
    <w:rsid w:val="009A658C"/>
    <w:rsid w:val="009A6B8D"/>
    <w:rsid w:val="009A6D55"/>
    <w:rsid w:val="009A6F9B"/>
    <w:rsid w:val="009A7074"/>
    <w:rsid w:val="009A733C"/>
    <w:rsid w:val="009A76F8"/>
    <w:rsid w:val="009A7AA9"/>
    <w:rsid w:val="009B011B"/>
    <w:rsid w:val="009B06D6"/>
    <w:rsid w:val="009B075E"/>
    <w:rsid w:val="009B0932"/>
    <w:rsid w:val="009B0AAB"/>
    <w:rsid w:val="009B0CA6"/>
    <w:rsid w:val="009B1079"/>
    <w:rsid w:val="009B120E"/>
    <w:rsid w:val="009B12F1"/>
    <w:rsid w:val="009B1313"/>
    <w:rsid w:val="009B174D"/>
    <w:rsid w:val="009B19FF"/>
    <w:rsid w:val="009B1AA7"/>
    <w:rsid w:val="009B1D08"/>
    <w:rsid w:val="009B1D79"/>
    <w:rsid w:val="009B1E8B"/>
    <w:rsid w:val="009B2072"/>
    <w:rsid w:val="009B2688"/>
    <w:rsid w:val="009B26F9"/>
    <w:rsid w:val="009B2DF0"/>
    <w:rsid w:val="009B2F12"/>
    <w:rsid w:val="009B32A7"/>
    <w:rsid w:val="009B36DD"/>
    <w:rsid w:val="009B3948"/>
    <w:rsid w:val="009B3A93"/>
    <w:rsid w:val="009B4CEB"/>
    <w:rsid w:val="009B4E03"/>
    <w:rsid w:val="009B4E0E"/>
    <w:rsid w:val="009B5175"/>
    <w:rsid w:val="009B52AF"/>
    <w:rsid w:val="009B52C4"/>
    <w:rsid w:val="009B52D6"/>
    <w:rsid w:val="009B558E"/>
    <w:rsid w:val="009B6306"/>
    <w:rsid w:val="009B6509"/>
    <w:rsid w:val="009B65E2"/>
    <w:rsid w:val="009B6CBC"/>
    <w:rsid w:val="009B6D4A"/>
    <w:rsid w:val="009B6DDD"/>
    <w:rsid w:val="009B6E76"/>
    <w:rsid w:val="009B70AD"/>
    <w:rsid w:val="009B7377"/>
    <w:rsid w:val="009B73DC"/>
    <w:rsid w:val="009B7DA9"/>
    <w:rsid w:val="009B7DCC"/>
    <w:rsid w:val="009B7F96"/>
    <w:rsid w:val="009C0122"/>
    <w:rsid w:val="009C0695"/>
    <w:rsid w:val="009C084C"/>
    <w:rsid w:val="009C0A89"/>
    <w:rsid w:val="009C0B3B"/>
    <w:rsid w:val="009C0CFA"/>
    <w:rsid w:val="009C1087"/>
    <w:rsid w:val="009C1377"/>
    <w:rsid w:val="009C166A"/>
    <w:rsid w:val="009C1793"/>
    <w:rsid w:val="009C18D2"/>
    <w:rsid w:val="009C1DCC"/>
    <w:rsid w:val="009C2205"/>
    <w:rsid w:val="009C238B"/>
    <w:rsid w:val="009C244C"/>
    <w:rsid w:val="009C2DAA"/>
    <w:rsid w:val="009C3433"/>
    <w:rsid w:val="009C3A15"/>
    <w:rsid w:val="009C3DE2"/>
    <w:rsid w:val="009C3EBD"/>
    <w:rsid w:val="009C3FEA"/>
    <w:rsid w:val="009C420B"/>
    <w:rsid w:val="009C48ED"/>
    <w:rsid w:val="009C4A78"/>
    <w:rsid w:val="009C4B21"/>
    <w:rsid w:val="009C5062"/>
    <w:rsid w:val="009C57E8"/>
    <w:rsid w:val="009C5B44"/>
    <w:rsid w:val="009C5F32"/>
    <w:rsid w:val="009C60F2"/>
    <w:rsid w:val="009C6134"/>
    <w:rsid w:val="009C648F"/>
    <w:rsid w:val="009C652D"/>
    <w:rsid w:val="009C6701"/>
    <w:rsid w:val="009C6856"/>
    <w:rsid w:val="009C6926"/>
    <w:rsid w:val="009C69CC"/>
    <w:rsid w:val="009C6A40"/>
    <w:rsid w:val="009C6C3E"/>
    <w:rsid w:val="009C72BB"/>
    <w:rsid w:val="009C73FC"/>
    <w:rsid w:val="009C78B9"/>
    <w:rsid w:val="009C7E8C"/>
    <w:rsid w:val="009D01BE"/>
    <w:rsid w:val="009D028B"/>
    <w:rsid w:val="009D0A30"/>
    <w:rsid w:val="009D0E57"/>
    <w:rsid w:val="009D0FEF"/>
    <w:rsid w:val="009D10AA"/>
    <w:rsid w:val="009D11F0"/>
    <w:rsid w:val="009D1E13"/>
    <w:rsid w:val="009D1FAC"/>
    <w:rsid w:val="009D2046"/>
    <w:rsid w:val="009D2399"/>
    <w:rsid w:val="009D3069"/>
    <w:rsid w:val="009D31C7"/>
    <w:rsid w:val="009D3939"/>
    <w:rsid w:val="009D395A"/>
    <w:rsid w:val="009D3B7E"/>
    <w:rsid w:val="009D3CCB"/>
    <w:rsid w:val="009D3D31"/>
    <w:rsid w:val="009D3FA2"/>
    <w:rsid w:val="009D4044"/>
    <w:rsid w:val="009D448D"/>
    <w:rsid w:val="009D44E4"/>
    <w:rsid w:val="009D4699"/>
    <w:rsid w:val="009D46A6"/>
    <w:rsid w:val="009D49C9"/>
    <w:rsid w:val="009D4A35"/>
    <w:rsid w:val="009D4C63"/>
    <w:rsid w:val="009D4CBB"/>
    <w:rsid w:val="009D5409"/>
    <w:rsid w:val="009D5706"/>
    <w:rsid w:val="009D57A2"/>
    <w:rsid w:val="009D5A61"/>
    <w:rsid w:val="009D5AC1"/>
    <w:rsid w:val="009D5AF3"/>
    <w:rsid w:val="009D5B97"/>
    <w:rsid w:val="009D5BE2"/>
    <w:rsid w:val="009D621B"/>
    <w:rsid w:val="009D6349"/>
    <w:rsid w:val="009D6647"/>
    <w:rsid w:val="009D6AD8"/>
    <w:rsid w:val="009D6DDB"/>
    <w:rsid w:val="009D7065"/>
    <w:rsid w:val="009D7874"/>
    <w:rsid w:val="009D78B4"/>
    <w:rsid w:val="009D7CE5"/>
    <w:rsid w:val="009E0177"/>
    <w:rsid w:val="009E0218"/>
    <w:rsid w:val="009E059F"/>
    <w:rsid w:val="009E08E4"/>
    <w:rsid w:val="009E0C28"/>
    <w:rsid w:val="009E0E83"/>
    <w:rsid w:val="009E132F"/>
    <w:rsid w:val="009E15B9"/>
    <w:rsid w:val="009E16EF"/>
    <w:rsid w:val="009E1773"/>
    <w:rsid w:val="009E182A"/>
    <w:rsid w:val="009E199D"/>
    <w:rsid w:val="009E1A38"/>
    <w:rsid w:val="009E1AAB"/>
    <w:rsid w:val="009E1D88"/>
    <w:rsid w:val="009E244F"/>
    <w:rsid w:val="009E2715"/>
    <w:rsid w:val="009E36BD"/>
    <w:rsid w:val="009E3B9D"/>
    <w:rsid w:val="009E3D15"/>
    <w:rsid w:val="009E3D6E"/>
    <w:rsid w:val="009E4159"/>
    <w:rsid w:val="009E45C6"/>
    <w:rsid w:val="009E46A8"/>
    <w:rsid w:val="009E4B50"/>
    <w:rsid w:val="009E4C64"/>
    <w:rsid w:val="009E5227"/>
    <w:rsid w:val="009E5659"/>
    <w:rsid w:val="009E5A74"/>
    <w:rsid w:val="009E5C5B"/>
    <w:rsid w:val="009E5D53"/>
    <w:rsid w:val="009E6366"/>
    <w:rsid w:val="009E677A"/>
    <w:rsid w:val="009E6851"/>
    <w:rsid w:val="009E708E"/>
    <w:rsid w:val="009E7661"/>
    <w:rsid w:val="009E7E98"/>
    <w:rsid w:val="009E7EBA"/>
    <w:rsid w:val="009F02F7"/>
    <w:rsid w:val="009F08F1"/>
    <w:rsid w:val="009F08F9"/>
    <w:rsid w:val="009F0AF5"/>
    <w:rsid w:val="009F115A"/>
    <w:rsid w:val="009F1292"/>
    <w:rsid w:val="009F138D"/>
    <w:rsid w:val="009F176A"/>
    <w:rsid w:val="009F21F6"/>
    <w:rsid w:val="009F2370"/>
    <w:rsid w:val="009F2783"/>
    <w:rsid w:val="009F2D7A"/>
    <w:rsid w:val="009F2DEE"/>
    <w:rsid w:val="009F311E"/>
    <w:rsid w:val="009F370A"/>
    <w:rsid w:val="009F393D"/>
    <w:rsid w:val="009F3D3D"/>
    <w:rsid w:val="009F521F"/>
    <w:rsid w:val="009F5431"/>
    <w:rsid w:val="009F55C7"/>
    <w:rsid w:val="009F58F6"/>
    <w:rsid w:val="009F5D23"/>
    <w:rsid w:val="009F5F6F"/>
    <w:rsid w:val="009F62A7"/>
    <w:rsid w:val="009F6635"/>
    <w:rsid w:val="009F66D8"/>
    <w:rsid w:val="009F67A0"/>
    <w:rsid w:val="009F6AB1"/>
    <w:rsid w:val="009F6C45"/>
    <w:rsid w:val="009F6E83"/>
    <w:rsid w:val="009F7411"/>
    <w:rsid w:val="009F7466"/>
    <w:rsid w:val="009F789B"/>
    <w:rsid w:val="009F795D"/>
    <w:rsid w:val="009F79F8"/>
    <w:rsid w:val="009F7FD5"/>
    <w:rsid w:val="00A000B3"/>
    <w:rsid w:val="00A00457"/>
    <w:rsid w:val="00A00492"/>
    <w:rsid w:val="00A00AE5"/>
    <w:rsid w:val="00A00B1F"/>
    <w:rsid w:val="00A00E11"/>
    <w:rsid w:val="00A00FB5"/>
    <w:rsid w:val="00A01213"/>
    <w:rsid w:val="00A014B0"/>
    <w:rsid w:val="00A01F01"/>
    <w:rsid w:val="00A022FB"/>
    <w:rsid w:val="00A023CC"/>
    <w:rsid w:val="00A023FD"/>
    <w:rsid w:val="00A0246E"/>
    <w:rsid w:val="00A027AD"/>
    <w:rsid w:val="00A02E39"/>
    <w:rsid w:val="00A0302C"/>
    <w:rsid w:val="00A032E9"/>
    <w:rsid w:val="00A03EF1"/>
    <w:rsid w:val="00A04583"/>
    <w:rsid w:val="00A045C7"/>
    <w:rsid w:val="00A04D8C"/>
    <w:rsid w:val="00A05257"/>
    <w:rsid w:val="00A0555D"/>
    <w:rsid w:val="00A057F4"/>
    <w:rsid w:val="00A05A8D"/>
    <w:rsid w:val="00A05A9C"/>
    <w:rsid w:val="00A05ABF"/>
    <w:rsid w:val="00A06076"/>
    <w:rsid w:val="00A06A2C"/>
    <w:rsid w:val="00A06BEC"/>
    <w:rsid w:val="00A07183"/>
    <w:rsid w:val="00A07573"/>
    <w:rsid w:val="00A077E3"/>
    <w:rsid w:val="00A07D35"/>
    <w:rsid w:val="00A07D37"/>
    <w:rsid w:val="00A102E6"/>
    <w:rsid w:val="00A105E1"/>
    <w:rsid w:val="00A108F1"/>
    <w:rsid w:val="00A109E8"/>
    <w:rsid w:val="00A10A0F"/>
    <w:rsid w:val="00A10A3C"/>
    <w:rsid w:val="00A10BEA"/>
    <w:rsid w:val="00A10E9F"/>
    <w:rsid w:val="00A10FDF"/>
    <w:rsid w:val="00A1103D"/>
    <w:rsid w:val="00A117EF"/>
    <w:rsid w:val="00A11A9B"/>
    <w:rsid w:val="00A11AD6"/>
    <w:rsid w:val="00A11C0E"/>
    <w:rsid w:val="00A11D26"/>
    <w:rsid w:val="00A11E56"/>
    <w:rsid w:val="00A11ECD"/>
    <w:rsid w:val="00A12311"/>
    <w:rsid w:val="00A1241F"/>
    <w:rsid w:val="00A124D1"/>
    <w:rsid w:val="00A128A2"/>
    <w:rsid w:val="00A12A46"/>
    <w:rsid w:val="00A12C92"/>
    <w:rsid w:val="00A12E71"/>
    <w:rsid w:val="00A13094"/>
    <w:rsid w:val="00A133EF"/>
    <w:rsid w:val="00A135D9"/>
    <w:rsid w:val="00A1377D"/>
    <w:rsid w:val="00A13AE4"/>
    <w:rsid w:val="00A13CB7"/>
    <w:rsid w:val="00A14007"/>
    <w:rsid w:val="00A14322"/>
    <w:rsid w:val="00A14D65"/>
    <w:rsid w:val="00A14E8C"/>
    <w:rsid w:val="00A14F24"/>
    <w:rsid w:val="00A14F2F"/>
    <w:rsid w:val="00A1506F"/>
    <w:rsid w:val="00A156DF"/>
    <w:rsid w:val="00A158A7"/>
    <w:rsid w:val="00A15B24"/>
    <w:rsid w:val="00A15B43"/>
    <w:rsid w:val="00A15BAF"/>
    <w:rsid w:val="00A15C79"/>
    <w:rsid w:val="00A15E58"/>
    <w:rsid w:val="00A15FC1"/>
    <w:rsid w:val="00A16316"/>
    <w:rsid w:val="00A16342"/>
    <w:rsid w:val="00A16726"/>
    <w:rsid w:val="00A16851"/>
    <w:rsid w:val="00A1694E"/>
    <w:rsid w:val="00A16ABE"/>
    <w:rsid w:val="00A16CDA"/>
    <w:rsid w:val="00A17191"/>
    <w:rsid w:val="00A17662"/>
    <w:rsid w:val="00A177D3"/>
    <w:rsid w:val="00A17A1F"/>
    <w:rsid w:val="00A17A30"/>
    <w:rsid w:val="00A17C17"/>
    <w:rsid w:val="00A17CB0"/>
    <w:rsid w:val="00A20790"/>
    <w:rsid w:val="00A20892"/>
    <w:rsid w:val="00A209C2"/>
    <w:rsid w:val="00A20CED"/>
    <w:rsid w:val="00A20D15"/>
    <w:rsid w:val="00A20F9C"/>
    <w:rsid w:val="00A211F4"/>
    <w:rsid w:val="00A212E5"/>
    <w:rsid w:val="00A216C4"/>
    <w:rsid w:val="00A21826"/>
    <w:rsid w:val="00A2194A"/>
    <w:rsid w:val="00A21A37"/>
    <w:rsid w:val="00A21FD9"/>
    <w:rsid w:val="00A225F8"/>
    <w:rsid w:val="00A23645"/>
    <w:rsid w:val="00A23C70"/>
    <w:rsid w:val="00A2454D"/>
    <w:rsid w:val="00A24624"/>
    <w:rsid w:val="00A24750"/>
    <w:rsid w:val="00A24782"/>
    <w:rsid w:val="00A24790"/>
    <w:rsid w:val="00A24A9D"/>
    <w:rsid w:val="00A24B88"/>
    <w:rsid w:val="00A24CB6"/>
    <w:rsid w:val="00A2532C"/>
    <w:rsid w:val="00A253F1"/>
    <w:rsid w:val="00A255DA"/>
    <w:rsid w:val="00A25AB2"/>
    <w:rsid w:val="00A25EBB"/>
    <w:rsid w:val="00A262AF"/>
    <w:rsid w:val="00A263EA"/>
    <w:rsid w:val="00A26CF4"/>
    <w:rsid w:val="00A27225"/>
    <w:rsid w:val="00A27383"/>
    <w:rsid w:val="00A27425"/>
    <w:rsid w:val="00A277E4"/>
    <w:rsid w:val="00A27876"/>
    <w:rsid w:val="00A27FE7"/>
    <w:rsid w:val="00A3014F"/>
    <w:rsid w:val="00A305AA"/>
    <w:rsid w:val="00A30BD9"/>
    <w:rsid w:val="00A314EE"/>
    <w:rsid w:val="00A31511"/>
    <w:rsid w:val="00A318A7"/>
    <w:rsid w:val="00A31D1F"/>
    <w:rsid w:val="00A31E69"/>
    <w:rsid w:val="00A31E6F"/>
    <w:rsid w:val="00A31EEE"/>
    <w:rsid w:val="00A32593"/>
    <w:rsid w:val="00A329EC"/>
    <w:rsid w:val="00A32A62"/>
    <w:rsid w:val="00A32C4C"/>
    <w:rsid w:val="00A336B4"/>
    <w:rsid w:val="00A33CA1"/>
    <w:rsid w:val="00A33FDC"/>
    <w:rsid w:val="00A345D2"/>
    <w:rsid w:val="00A34B92"/>
    <w:rsid w:val="00A34CC9"/>
    <w:rsid w:val="00A34EF9"/>
    <w:rsid w:val="00A352B4"/>
    <w:rsid w:val="00A357DB"/>
    <w:rsid w:val="00A35B8B"/>
    <w:rsid w:val="00A35E1C"/>
    <w:rsid w:val="00A35FED"/>
    <w:rsid w:val="00A36373"/>
    <w:rsid w:val="00A36682"/>
    <w:rsid w:val="00A36EB9"/>
    <w:rsid w:val="00A36ECE"/>
    <w:rsid w:val="00A37083"/>
    <w:rsid w:val="00A375FE"/>
    <w:rsid w:val="00A37914"/>
    <w:rsid w:val="00A379C8"/>
    <w:rsid w:val="00A37AFF"/>
    <w:rsid w:val="00A37C4B"/>
    <w:rsid w:val="00A37FFA"/>
    <w:rsid w:val="00A40011"/>
    <w:rsid w:val="00A4045A"/>
    <w:rsid w:val="00A40A1B"/>
    <w:rsid w:val="00A40F4F"/>
    <w:rsid w:val="00A414DA"/>
    <w:rsid w:val="00A416FD"/>
    <w:rsid w:val="00A41889"/>
    <w:rsid w:val="00A41DD2"/>
    <w:rsid w:val="00A41EA0"/>
    <w:rsid w:val="00A41FFD"/>
    <w:rsid w:val="00A42013"/>
    <w:rsid w:val="00A4241F"/>
    <w:rsid w:val="00A42887"/>
    <w:rsid w:val="00A42B64"/>
    <w:rsid w:val="00A42C0C"/>
    <w:rsid w:val="00A42D2A"/>
    <w:rsid w:val="00A42E89"/>
    <w:rsid w:val="00A43630"/>
    <w:rsid w:val="00A443E2"/>
    <w:rsid w:val="00A447C1"/>
    <w:rsid w:val="00A447D3"/>
    <w:rsid w:val="00A44846"/>
    <w:rsid w:val="00A44ED5"/>
    <w:rsid w:val="00A45316"/>
    <w:rsid w:val="00A45CC1"/>
    <w:rsid w:val="00A45D02"/>
    <w:rsid w:val="00A46D93"/>
    <w:rsid w:val="00A4727A"/>
    <w:rsid w:val="00A47352"/>
    <w:rsid w:val="00A47497"/>
    <w:rsid w:val="00A47634"/>
    <w:rsid w:val="00A4798B"/>
    <w:rsid w:val="00A50050"/>
    <w:rsid w:val="00A5054E"/>
    <w:rsid w:val="00A50DEE"/>
    <w:rsid w:val="00A510A1"/>
    <w:rsid w:val="00A517F7"/>
    <w:rsid w:val="00A5186D"/>
    <w:rsid w:val="00A51898"/>
    <w:rsid w:val="00A51B30"/>
    <w:rsid w:val="00A51D3A"/>
    <w:rsid w:val="00A51D81"/>
    <w:rsid w:val="00A527E5"/>
    <w:rsid w:val="00A52965"/>
    <w:rsid w:val="00A529B5"/>
    <w:rsid w:val="00A52DA6"/>
    <w:rsid w:val="00A5373C"/>
    <w:rsid w:val="00A537E0"/>
    <w:rsid w:val="00A53839"/>
    <w:rsid w:val="00A5391C"/>
    <w:rsid w:val="00A53949"/>
    <w:rsid w:val="00A53AFE"/>
    <w:rsid w:val="00A53B78"/>
    <w:rsid w:val="00A53E7C"/>
    <w:rsid w:val="00A54185"/>
    <w:rsid w:val="00A5437B"/>
    <w:rsid w:val="00A54935"/>
    <w:rsid w:val="00A55B81"/>
    <w:rsid w:val="00A55C99"/>
    <w:rsid w:val="00A561CD"/>
    <w:rsid w:val="00A56962"/>
    <w:rsid w:val="00A569B1"/>
    <w:rsid w:val="00A569D8"/>
    <w:rsid w:val="00A56EE2"/>
    <w:rsid w:val="00A57081"/>
    <w:rsid w:val="00A570FC"/>
    <w:rsid w:val="00A572AC"/>
    <w:rsid w:val="00A60735"/>
    <w:rsid w:val="00A6087A"/>
    <w:rsid w:val="00A60C14"/>
    <w:rsid w:val="00A613A4"/>
    <w:rsid w:val="00A615D1"/>
    <w:rsid w:val="00A617A3"/>
    <w:rsid w:val="00A617FD"/>
    <w:rsid w:val="00A61D6F"/>
    <w:rsid w:val="00A61E89"/>
    <w:rsid w:val="00A621E5"/>
    <w:rsid w:val="00A62E7B"/>
    <w:rsid w:val="00A63295"/>
    <w:rsid w:val="00A63548"/>
    <w:rsid w:val="00A63948"/>
    <w:rsid w:val="00A639AA"/>
    <w:rsid w:val="00A63A56"/>
    <w:rsid w:val="00A63A5D"/>
    <w:rsid w:val="00A63CAF"/>
    <w:rsid w:val="00A6400C"/>
    <w:rsid w:val="00A6413E"/>
    <w:rsid w:val="00A642C3"/>
    <w:rsid w:val="00A65152"/>
    <w:rsid w:val="00A651A1"/>
    <w:rsid w:val="00A65B80"/>
    <w:rsid w:val="00A65D65"/>
    <w:rsid w:val="00A65E2E"/>
    <w:rsid w:val="00A65EF0"/>
    <w:rsid w:val="00A65F08"/>
    <w:rsid w:val="00A660C4"/>
    <w:rsid w:val="00A662A0"/>
    <w:rsid w:val="00A66594"/>
    <w:rsid w:val="00A66C8E"/>
    <w:rsid w:val="00A66E6B"/>
    <w:rsid w:val="00A67016"/>
    <w:rsid w:val="00A6709C"/>
    <w:rsid w:val="00A67204"/>
    <w:rsid w:val="00A672BA"/>
    <w:rsid w:val="00A676EA"/>
    <w:rsid w:val="00A67943"/>
    <w:rsid w:val="00A67C74"/>
    <w:rsid w:val="00A67EDF"/>
    <w:rsid w:val="00A7018F"/>
    <w:rsid w:val="00A701DB"/>
    <w:rsid w:val="00A703B0"/>
    <w:rsid w:val="00A70403"/>
    <w:rsid w:val="00A70555"/>
    <w:rsid w:val="00A70610"/>
    <w:rsid w:val="00A71307"/>
    <w:rsid w:val="00A71320"/>
    <w:rsid w:val="00A71CB8"/>
    <w:rsid w:val="00A71D67"/>
    <w:rsid w:val="00A71F83"/>
    <w:rsid w:val="00A720BC"/>
    <w:rsid w:val="00A721DB"/>
    <w:rsid w:val="00A7233E"/>
    <w:rsid w:val="00A723A1"/>
    <w:rsid w:val="00A723EF"/>
    <w:rsid w:val="00A724FC"/>
    <w:rsid w:val="00A726BF"/>
    <w:rsid w:val="00A72CBA"/>
    <w:rsid w:val="00A73057"/>
    <w:rsid w:val="00A73102"/>
    <w:rsid w:val="00A7319B"/>
    <w:rsid w:val="00A733C9"/>
    <w:rsid w:val="00A73401"/>
    <w:rsid w:val="00A734A3"/>
    <w:rsid w:val="00A7359A"/>
    <w:rsid w:val="00A73768"/>
    <w:rsid w:val="00A73927"/>
    <w:rsid w:val="00A73C3F"/>
    <w:rsid w:val="00A74304"/>
    <w:rsid w:val="00A74345"/>
    <w:rsid w:val="00A743EB"/>
    <w:rsid w:val="00A74400"/>
    <w:rsid w:val="00A7463D"/>
    <w:rsid w:val="00A7488D"/>
    <w:rsid w:val="00A74C49"/>
    <w:rsid w:val="00A74C68"/>
    <w:rsid w:val="00A74EA8"/>
    <w:rsid w:val="00A74F61"/>
    <w:rsid w:val="00A75007"/>
    <w:rsid w:val="00A75059"/>
    <w:rsid w:val="00A75133"/>
    <w:rsid w:val="00A752FB"/>
    <w:rsid w:val="00A756FC"/>
    <w:rsid w:val="00A757DD"/>
    <w:rsid w:val="00A75BEF"/>
    <w:rsid w:val="00A76018"/>
    <w:rsid w:val="00A760F8"/>
    <w:rsid w:val="00A76120"/>
    <w:rsid w:val="00A7623E"/>
    <w:rsid w:val="00A7633F"/>
    <w:rsid w:val="00A766C8"/>
    <w:rsid w:val="00A770E6"/>
    <w:rsid w:val="00A7742C"/>
    <w:rsid w:val="00A7746C"/>
    <w:rsid w:val="00A7755C"/>
    <w:rsid w:val="00A80247"/>
    <w:rsid w:val="00A8084E"/>
    <w:rsid w:val="00A80913"/>
    <w:rsid w:val="00A80931"/>
    <w:rsid w:val="00A80AA9"/>
    <w:rsid w:val="00A80EFB"/>
    <w:rsid w:val="00A812D4"/>
    <w:rsid w:val="00A813C2"/>
    <w:rsid w:val="00A8151D"/>
    <w:rsid w:val="00A81C88"/>
    <w:rsid w:val="00A81E0C"/>
    <w:rsid w:val="00A82BB4"/>
    <w:rsid w:val="00A82FB7"/>
    <w:rsid w:val="00A83032"/>
    <w:rsid w:val="00A83135"/>
    <w:rsid w:val="00A83472"/>
    <w:rsid w:val="00A8360A"/>
    <w:rsid w:val="00A836B9"/>
    <w:rsid w:val="00A83818"/>
    <w:rsid w:val="00A83A59"/>
    <w:rsid w:val="00A83BDD"/>
    <w:rsid w:val="00A83F87"/>
    <w:rsid w:val="00A83FA6"/>
    <w:rsid w:val="00A842C4"/>
    <w:rsid w:val="00A84685"/>
    <w:rsid w:val="00A8486D"/>
    <w:rsid w:val="00A84DE1"/>
    <w:rsid w:val="00A84E0F"/>
    <w:rsid w:val="00A84ED3"/>
    <w:rsid w:val="00A85576"/>
    <w:rsid w:val="00A855CF"/>
    <w:rsid w:val="00A858D1"/>
    <w:rsid w:val="00A85B45"/>
    <w:rsid w:val="00A85C45"/>
    <w:rsid w:val="00A85F12"/>
    <w:rsid w:val="00A85F6C"/>
    <w:rsid w:val="00A8604F"/>
    <w:rsid w:val="00A8608A"/>
    <w:rsid w:val="00A869E6"/>
    <w:rsid w:val="00A870E3"/>
    <w:rsid w:val="00A87209"/>
    <w:rsid w:val="00A8751F"/>
    <w:rsid w:val="00A877EF"/>
    <w:rsid w:val="00A87881"/>
    <w:rsid w:val="00A87955"/>
    <w:rsid w:val="00A87A34"/>
    <w:rsid w:val="00A87A8D"/>
    <w:rsid w:val="00A87C93"/>
    <w:rsid w:val="00A9012C"/>
    <w:rsid w:val="00A907AA"/>
    <w:rsid w:val="00A909D2"/>
    <w:rsid w:val="00A90ADB"/>
    <w:rsid w:val="00A90B8D"/>
    <w:rsid w:val="00A912A9"/>
    <w:rsid w:val="00A91528"/>
    <w:rsid w:val="00A91B00"/>
    <w:rsid w:val="00A91B0E"/>
    <w:rsid w:val="00A91D93"/>
    <w:rsid w:val="00A91DAD"/>
    <w:rsid w:val="00A92016"/>
    <w:rsid w:val="00A9234A"/>
    <w:rsid w:val="00A923D3"/>
    <w:rsid w:val="00A92F93"/>
    <w:rsid w:val="00A93010"/>
    <w:rsid w:val="00A932D0"/>
    <w:rsid w:val="00A9337A"/>
    <w:rsid w:val="00A93469"/>
    <w:rsid w:val="00A93800"/>
    <w:rsid w:val="00A93BED"/>
    <w:rsid w:val="00A93EB6"/>
    <w:rsid w:val="00A93EDF"/>
    <w:rsid w:val="00A942D2"/>
    <w:rsid w:val="00A94582"/>
    <w:rsid w:val="00A94775"/>
    <w:rsid w:val="00A947D1"/>
    <w:rsid w:val="00A94883"/>
    <w:rsid w:val="00A94BED"/>
    <w:rsid w:val="00A94CD7"/>
    <w:rsid w:val="00A951BB"/>
    <w:rsid w:val="00A952EE"/>
    <w:rsid w:val="00A959DD"/>
    <w:rsid w:val="00A95C12"/>
    <w:rsid w:val="00A96029"/>
    <w:rsid w:val="00A96099"/>
    <w:rsid w:val="00A96134"/>
    <w:rsid w:val="00A96154"/>
    <w:rsid w:val="00A96213"/>
    <w:rsid w:val="00A963E8"/>
    <w:rsid w:val="00A9644B"/>
    <w:rsid w:val="00A9651B"/>
    <w:rsid w:val="00A96E6C"/>
    <w:rsid w:val="00A96EA1"/>
    <w:rsid w:val="00A9759C"/>
    <w:rsid w:val="00A97908"/>
    <w:rsid w:val="00A979E5"/>
    <w:rsid w:val="00A97A93"/>
    <w:rsid w:val="00AA07F0"/>
    <w:rsid w:val="00AA0813"/>
    <w:rsid w:val="00AA100F"/>
    <w:rsid w:val="00AA10A8"/>
    <w:rsid w:val="00AA147B"/>
    <w:rsid w:val="00AA18C0"/>
    <w:rsid w:val="00AA195C"/>
    <w:rsid w:val="00AA19F2"/>
    <w:rsid w:val="00AA1A63"/>
    <w:rsid w:val="00AA275D"/>
    <w:rsid w:val="00AA29A0"/>
    <w:rsid w:val="00AA2E2F"/>
    <w:rsid w:val="00AA3139"/>
    <w:rsid w:val="00AA3223"/>
    <w:rsid w:val="00AA3564"/>
    <w:rsid w:val="00AA3950"/>
    <w:rsid w:val="00AA3963"/>
    <w:rsid w:val="00AA3A3B"/>
    <w:rsid w:val="00AA3ECA"/>
    <w:rsid w:val="00AA42BE"/>
    <w:rsid w:val="00AA4929"/>
    <w:rsid w:val="00AA562E"/>
    <w:rsid w:val="00AA5BEF"/>
    <w:rsid w:val="00AA5D21"/>
    <w:rsid w:val="00AA5FF7"/>
    <w:rsid w:val="00AA661A"/>
    <w:rsid w:val="00AA6647"/>
    <w:rsid w:val="00AA674E"/>
    <w:rsid w:val="00AA6768"/>
    <w:rsid w:val="00AA6922"/>
    <w:rsid w:val="00AA69E5"/>
    <w:rsid w:val="00AA6A9F"/>
    <w:rsid w:val="00AA6AD9"/>
    <w:rsid w:val="00AA6E48"/>
    <w:rsid w:val="00AA708D"/>
    <w:rsid w:val="00AB0041"/>
    <w:rsid w:val="00AB00BE"/>
    <w:rsid w:val="00AB04A6"/>
    <w:rsid w:val="00AB06E2"/>
    <w:rsid w:val="00AB0809"/>
    <w:rsid w:val="00AB08E9"/>
    <w:rsid w:val="00AB0A6A"/>
    <w:rsid w:val="00AB0B10"/>
    <w:rsid w:val="00AB0CEF"/>
    <w:rsid w:val="00AB0D12"/>
    <w:rsid w:val="00AB11A7"/>
    <w:rsid w:val="00AB13D9"/>
    <w:rsid w:val="00AB1406"/>
    <w:rsid w:val="00AB1CF4"/>
    <w:rsid w:val="00AB1E67"/>
    <w:rsid w:val="00AB22C8"/>
    <w:rsid w:val="00AB2401"/>
    <w:rsid w:val="00AB2696"/>
    <w:rsid w:val="00AB27D8"/>
    <w:rsid w:val="00AB2A91"/>
    <w:rsid w:val="00AB2F38"/>
    <w:rsid w:val="00AB3315"/>
    <w:rsid w:val="00AB33F5"/>
    <w:rsid w:val="00AB3795"/>
    <w:rsid w:val="00AB3803"/>
    <w:rsid w:val="00AB3883"/>
    <w:rsid w:val="00AB3960"/>
    <w:rsid w:val="00AB39CB"/>
    <w:rsid w:val="00AB3CB2"/>
    <w:rsid w:val="00AB3F76"/>
    <w:rsid w:val="00AB3F83"/>
    <w:rsid w:val="00AB40C6"/>
    <w:rsid w:val="00AB4488"/>
    <w:rsid w:val="00AB4900"/>
    <w:rsid w:val="00AB4D16"/>
    <w:rsid w:val="00AB4EF7"/>
    <w:rsid w:val="00AB5797"/>
    <w:rsid w:val="00AB683F"/>
    <w:rsid w:val="00AB68D3"/>
    <w:rsid w:val="00AB6A4F"/>
    <w:rsid w:val="00AB6B67"/>
    <w:rsid w:val="00AB6EB6"/>
    <w:rsid w:val="00AB7134"/>
    <w:rsid w:val="00AB733A"/>
    <w:rsid w:val="00AB744C"/>
    <w:rsid w:val="00AB74D8"/>
    <w:rsid w:val="00AB760F"/>
    <w:rsid w:val="00AB7A6C"/>
    <w:rsid w:val="00AB7CFF"/>
    <w:rsid w:val="00AC05EA"/>
    <w:rsid w:val="00AC06A8"/>
    <w:rsid w:val="00AC0B8C"/>
    <w:rsid w:val="00AC0C7E"/>
    <w:rsid w:val="00AC0D6A"/>
    <w:rsid w:val="00AC0E85"/>
    <w:rsid w:val="00AC0FD0"/>
    <w:rsid w:val="00AC1300"/>
    <w:rsid w:val="00AC17F3"/>
    <w:rsid w:val="00AC19C7"/>
    <w:rsid w:val="00AC1A19"/>
    <w:rsid w:val="00AC2179"/>
    <w:rsid w:val="00AC23A1"/>
    <w:rsid w:val="00AC247A"/>
    <w:rsid w:val="00AC26DE"/>
    <w:rsid w:val="00AC2842"/>
    <w:rsid w:val="00AC2D4B"/>
    <w:rsid w:val="00AC3933"/>
    <w:rsid w:val="00AC3B99"/>
    <w:rsid w:val="00AC3BF3"/>
    <w:rsid w:val="00AC3F54"/>
    <w:rsid w:val="00AC4410"/>
    <w:rsid w:val="00AC448A"/>
    <w:rsid w:val="00AC4503"/>
    <w:rsid w:val="00AC4581"/>
    <w:rsid w:val="00AC4811"/>
    <w:rsid w:val="00AC519E"/>
    <w:rsid w:val="00AC54D8"/>
    <w:rsid w:val="00AC5759"/>
    <w:rsid w:val="00AC57BB"/>
    <w:rsid w:val="00AC5F58"/>
    <w:rsid w:val="00AC5FBA"/>
    <w:rsid w:val="00AC5FE4"/>
    <w:rsid w:val="00AC6012"/>
    <w:rsid w:val="00AC632B"/>
    <w:rsid w:val="00AC6445"/>
    <w:rsid w:val="00AC6B31"/>
    <w:rsid w:val="00AC6C1A"/>
    <w:rsid w:val="00AC6DAE"/>
    <w:rsid w:val="00AC6EB9"/>
    <w:rsid w:val="00AC7210"/>
    <w:rsid w:val="00AC73FB"/>
    <w:rsid w:val="00AC7659"/>
    <w:rsid w:val="00AC7915"/>
    <w:rsid w:val="00AC7D85"/>
    <w:rsid w:val="00AD01FA"/>
    <w:rsid w:val="00AD06B1"/>
    <w:rsid w:val="00AD0895"/>
    <w:rsid w:val="00AD0B11"/>
    <w:rsid w:val="00AD1654"/>
    <w:rsid w:val="00AD17CD"/>
    <w:rsid w:val="00AD1BCF"/>
    <w:rsid w:val="00AD1E81"/>
    <w:rsid w:val="00AD1EFA"/>
    <w:rsid w:val="00AD210A"/>
    <w:rsid w:val="00AD265C"/>
    <w:rsid w:val="00AD287A"/>
    <w:rsid w:val="00AD2954"/>
    <w:rsid w:val="00AD29E4"/>
    <w:rsid w:val="00AD2A88"/>
    <w:rsid w:val="00AD2DB5"/>
    <w:rsid w:val="00AD3232"/>
    <w:rsid w:val="00AD38A5"/>
    <w:rsid w:val="00AD39BF"/>
    <w:rsid w:val="00AD3C72"/>
    <w:rsid w:val="00AD3E11"/>
    <w:rsid w:val="00AD4244"/>
    <w:rsid w:val="00AD4771"/>
    <w:rsid w:val="00AD4805"/>
    <w:rsid w:val="00AD4D44"/>
    <w:rsid w:val="00AD57B8"/>
    <w:rsid w:val="00AD5B03"/>
    <w:rsid w:val="00AD5CC0"/>
    <w:rsid w:val="00AD5DC1"/>
    <w:rsid w:val="00AD5E01"/>
    <w:rsid w:val="00AD602F"/>
    <w:rsid w:val="00AD7052"/>
    <w:rsid w:val="00AD7139"/>
    <w:rsid w:val="00AD7494"/>
    <w:rsid w:val="00AD75CC"/>
    <w:rsid w:val="00AD75E5"/>
    <w:rsid w:val="00AD7CC0"/>
    <w:rsid w:val="00AE077E"/>
    <w:rsid w:val="00AE0A24"/>
    <w:rsid w:val="00AE0A8A"/>
    <w:rsid w:val="00AE0D26"/>
    <w:rsid w:val="00AE0F6C"/>
    <w:rsid w:val="00AE0FEC"/>
    <w:rsid w:val="00AE0FF3"/>
    <w:rsid w:val="00AE10FF"/>
    <w:rsid w:val="00AE1CBE"/>
    <w:rsid w:val="00AE2455"/>
    <w:rsid w:val="00AE24A3"/>
    <w:rsid w:val="00AE25A1"/>
    <w:rsid w:val="00AE2A59"/>
    <w:rsid w:val="00AE2F09"/>
    <w:rsid w:val="00AE2F26"/>
    <w:rsid w:val="00AE313A"/>
    <w:rsid w:val="00AE31F2"/>
    <w:rsid w:val="00AE32DD"/>
    <w:rsid w:val="00AE387A"/>
    <w:rsid w:val="00AE391D"/>
    <w:rsid w:val="00AE3B48"/>
    <w:rsid w:val="00AE3EBC"/>
    <w:rsid w:val="00AE3F7D"/>
    <w:rsid w:val="00AE40EE"/>
    <w:rsid w:val="00AE4152"/>
    <w:rsid w:val="00AE4291"/>
    <w:rsid w:val="00AE4408"/>
    <w:rsid w:val="00AE4511"/>
    <w:rsid w:val="00AE46B1"/>
    <w:rsid w:val="00AE4EA5"/>
    <w:rsid w:val="00AE4FA3"/>
    <w:rsid w:val="00AE5075"/>
    <w:rsid w:val="00AE559D"/>
    <w:rsid w:val="00AE5AB5"/>
    <w:rsid w:val="00AE5E64"/>
    <w:rsid w:val="00AE607F"/>
    <w:rsid w:val="00AE6210"/>
    <w:rsid w:val="00AE67DF"/>
    <w:rsid w:val="00AE6F2F"/>
    <w:rsid w:val="00AE6FD9"/>
    <w:rsid w:val="00AE70F9"/>
    <w:rsid w:val="00AE7127"/>
    <w:rsid w:val="00AE7157"/>
    <w:rsid w:val="00AE718E"/>
    <w:rsid w:val="00AE7190"/>
    <w:rsid w:val="00AE72C0"/>
    <w:rsid w:val="00AE7587"/>
    <w:rsid w:val="00AE77EA"/>
    <w:rsid w:val="00AE7A7D"/>
    <w:rsid w:val="00AE7A83"/>
    <w:rsid w:val="00AF0011"/>
    <w:rsid w:val="00AF05FC"/>
    <w:rsid w:val="00AF068B"/>
    <w:rsid w:val="00AF06B8"/>
    <w:rsid w:val="00AF0AC4"/>
    <w:rsid w:val="00AF1216"/>
    <w:rsid w:val="00AF13A7"/>
    <w:rsid w:val="00AF16F1"/>
    <w:rsid w:val="00AF176E"/>
    <w:rsid w:val="00AF179B"/>
    <w:rsid w:val="00AF1FDB"/>
    <w:rsid w:val="00AF2017"/>
    <w:rsid w:val="00AF22D4"/>
    <w:rsid w:val="00AF22DE"/>
    <w:rsid w:val="00AF2597"/>
    <w:rsid w:val="00AF2884"/>
    <w:rsid w:val="00AF310A"/>
    <w:rsid w:val="00AF3275"/>
    <w:rsid w:val="00AF37C7"/>
    <w:rsid w:val="00AF3CBA"/>
    <w:rsid w:val="00AF3DAB"/>
    <w:rsid w:val="00AF400B"/>
    <w:rsid w:val="00AF418B"/>
    <w:rsid w:val="00AF4631"/>
    <w:rsid w:val="00AF4695"/>
    <w:rsid w:val="00AF4949"/>
    <w:rsid w:val="00AF49E8"/>
    <w:rsid w:val="00AF4A07"/>
    <w:rsid w:val="00AF4F99"/>
    <w:rsid w:val="00AF5012"/>
    <w:rsid w:val="00AF53AA"/>
    <w:rsid w:val="00AF5B46"/>
    <w:rsid w:val="00AF5B83"/>
    <w:rsid w:val="00AF5F7B"/>
    <w:rsid w:val="00AF6386"/>
    <w:rsid w:val="00AF640D"/>
    <w:rsid w:val="00AF676D"/>
    <w:rsid w:val="00AF6ABE"/>
    <w:rsid w:val="00AF6B60"/>
    <w:rsid w:val="00AF6DAB"/>
    <w:rsid w:val="00AF6DFD"/>
    <w:rsid w:val="00AF6EA1"/>
    <w:rsid w:val="00AF6FAD"/>
    <w:rsid w:val="00AF70BD"/>
    <w:rsid w:val="00AF7468"/>
    <w:rsid w:val="00AF7784"/>
    <w:rsid w:val="00AF7A01"/>
    <w:rsid w:val="00AF7A79"/>
    <w:rsid w:val="00AF7D8B"/>
    <w:rsid w:val="00B00586"/>
    <w:rsid w:val="00B0080A"/>
    <w:rsid w:val="00B00844"/>
    <w:rsid w:val="00B008DE"/>
    <w:rsid w:val="00B009D1"/>
    <w:rsid w:val="00B00CFF"/>
    <w:rsid w:val="00B01390"/>
    <w:rsid w:val="00B0153B"/>
    <w:rsid w:val="00B01611"/>
    <w:rsid w:val="00B01912"/>
    <w:rsid w:val="00B01B95"/>
    <w:rsid w:val="00B01C16"/>
    <w:rsid w:val="00B01E6F"/>
    <w:rsid w:val="00B023C3"/>
    <w:rsid w:val="00B02575"/>
    <w:rsid w:val="00B02816"/>
    <w:rsid w:val="00B02932"/>
    <w:rsid w:val="00B02AE1"/>
    <w:rsid w:val="00B02F34"/>
    <w:rsid w:val="00B039FA"/>
    <w:rsid w:val="00B0422C"/>
    <w:rsid w:val="00B048E8"/>
    <w:rsid w:val="00B049B7"/>
    <w:rsid w:val="00B04AC7"/>
    <w:rsid w:val="00B04BE3"/>
    <w:rsid w:val="00B05018"/>
    <w:rsid w:val="00B055ED"/>
    <w:rsid w:val="00B05D1F"/>
    <w:rsid w:val="00B062FF"/>
    <w:rsid w:val="00B069E0"/>
    <w:rsid w:val="00B069FC"/>
    <w:rsid w:val="00B06CC8"/>
    <w:rsid w:val="00B06E6E"/>
    <w:rsid w:val="00B07373"/>
    <w:rsid w:val="00B075A6"/>
    <w:rsid w:val="00B07623"/>
    <w:rsid w:val="00B07744"/>
    <w:rsid w:val="00B078B2"/>
    <w:rsid w:val="00B07CD5"/>
    <w:rsid w:val="00B07F50"/>
    <w:rsid w:val="00B10490"/>
    <w:rsid w:val="00B10710"/>
    <w:rsid w:val="00B10A9B"/>
    <w:rsid w:val="00B10B68"/>
    <w:rsid w:val="00B10C5B"/>
    <w:rsid w:val="00B1120C"/>
    <w:rsid w:val="00B115E7"/>
    <w:rsid w:val="00B11948"/>
    <w:rsid w:val="00B11967"/>
    <w:rsid w:val="00B11976"/>
    <w:rsid w:val="00B11F22"/>
    <w:rsid w:val="00B120E3"/>
    <w:rsid w:val="00B122A4"/>
    <w:rsid w:val="00B12EF4"/>
    <w:rsid w:val="00B12F65"/>
    <w:rsid w:val="00B12FFF"/>
    <w:rsid w:val="00B130A6"/>
    <w:rsid w:val="00B13715"/>
    <w:rsid w:val="00B138D7"/>
    <w:rsid w:val="00B141B8"/>
    <w:rsid w:val="00B141EB"/>
    <w:rsid w:val="00B14A23"/>
    <w:rsid w:val="00B14E6C"/>
    <w:rsid w:val="00B14FB3"/>
    <w:rsid w:val="00B150AE"/>
    <w:rsid w:val="00B15175"/>
    <w:rsid w:val="00B15431"/>
    <w:rsid w:val="00B15624"/>
    <w:rsid w:val="00B1562B"/>
    <w:rsid w:val="00B15653"/>
    <w:rsid w:val="00B15885"/>
    <w:rsid w:val="00B15B89"/>
    <w:rsid w:val="00B15BD8"/>
    <w:rsid w:val="00B16147"/>
    <w:rsid w:val="00B162F7"/>
    <w:rsid w:val="00B16D07"/>
    <w:rsid w:val="00B16DD2"/>
    <w:rsid w:val="00B16DDD"/>
    <w:rsid w:val="00B17263"/>
    <w:rsid w:val="00B17A1D"/>
    <w:rsid w:val="00B17DDF"/>
    <w:rsid w:val="00B17E43"/>
    <w:rsid w:val="00B20301"/>
    <w:rsid w:val="00B2070A"/>
    <w:rsid w:val="00B20758"/>
    <w:rsid w:val="00B207B8"/>
    <w:rsid w:val="00B209A3"/>
    <w:rsid w:val="00B20DCF"/>
    <w:rsid w:val="00B215EE"/>
    <w:rsid w:val="00B21713"/>
    <w:rsid w:val="00B21CED"/>
    <w:rsid w:val="00B21E9F"/>
    <w:rsid w:val="00B21FF7"/>
    <w:rsid w:val="00B225CC"/>
    <w:rsid w:val="00B2275C"/>
    <w:rsid w:val="00B229D2"/>
    <w:rsid w:val="00B23880"/>
    <w:rsid w:val="00B23883"/>
    <w:rsid w:val="00B23B63"/>
    <w:rsid w:val="00B24300"/>
    <w:rsid w:val="00B246CF"/>
    <w:rsid w:val="00B246E5"/>
    <w:rsid w:val="00B24857"/>
    <w:rsid w:val="00B24D82"/>
    <w:rsid w:val="00B24E53"/>
    <w:rsid w:val="00B25032"/>
    <w:rsid w:val="00B25A58"/>
    <w:rsid w:val="00B25C5E"/>
    <w:rsid w:val="00B25F2A"/>
    <w:rsid w:val="00B2600F"/>
    <w:rsid w:val="00B2613F"/>
    <w:rsid w:val="00B2637D"/>
    <w:rsid w:val="00B263E3"/>
    <w:rsid w:val="00B26987"/>
    <w:rsid w:val="00B269DF"/>
    <w:rsid w:val="00B271AD"/>
    <w:rsid w:val="00B27757"/>
    <w:rsid w:val="00B278B4"/>
    <w:rsid w:val="00B27932"/>
    <w:rsid w:val="00B27B1A"/>
    <w:rsid w:val="00B27BCE"/>
    <w:rsid w:val="00B27C71"/>
    <w:rsid w:val="00B27DB2"/>
    <w:rsid w:val="00B27DDB"/>
    <w:rsid w:val="00B30342"/>
    <w:rsid w:val="00B303C1"/>
    <w:rsid w:val="00B30770"/>
    <w:rsid w:val="00B312E0"/>
    <w:rsid w:val="00B313E2"/>
    <w:rsid w:val="00B31582"/>
    <w:rsid w:val="00B319A7"/>
    <w:rsid w:val="00B31B2B"/>
    <w:rsid w:val="00B31E21"/>
    <w:rsid w:val="00B31FEF"/>
    <w:rsid w:val="00B31FF9"/>
    <w:rsid w:val="00B32156"/>
    <w:rsid w:val="00B321E9"/>
    <w:rsid w:val="00B322B5"/>
    <w:rsid w:val="00B32459"/>
    <w:rsid w:val="00B327D5"/>
    <w:rsid w:val="00B32846"/>
    <w:rsid w:val="00B328EB"/>
    <w:rsid w:val="00B33499"/>
    <w:rsid w:val="00B3377E"/>
    <w:rsid w:val="00B3377F"/>
    <w:rsid w:val="00B337A6"/>
    <w:rsid w:val="00B337FA"/>
    <w:rsid w:val="00B33B17"/>
    <w:rsid w:val="00B34732"/>
    <w:rsid w:val="00B34747"/>
    <w:rsid w:val="00B34B3A"/>
    <w:rsid w:val="00B34CC7"/>
    <w:rsid w:val="00B3532B"/>
    <w:rsid w:val="00B357E2"/>
    <w:rsid w:val="00B35D2D"/>
    <w:rsid w:val="00B35D30"/>
    <w:rsid w:val="00B35FEF"/>
    <w:rsid w:val="00B36050"/>
    <w:rsid w:val="00B368FF"/>
    <w:rsid w:val="00B36D39"/>
    <w:rsid w:val="00B36D4B"/>
    <w:rsid w:val="00B36DA7"/>
    <w:rsid w:val="00B370C9"/>
    <w:rsid w:val="00B37247"/>
    <w:rsid w:val="00B372AC"/>
    <w:rsid w:val="00B3749A"/>
    <w:rsid w:val="00B375CF"/>
    <w:rsid w:val="00B379BD"/>
    <w:rsid w:val="00B37A75"/>
    <w:rsid w:val="00B37B25"/>
    <w:rsid w:val="00B37C52"/>
    <w:rsid w:val="00B37D42"/>
    <w:rsid w:val="00B40206"/>
    <w:rsid w:val="00B40233"/>
    <w:rsid w:val="00B4042E"/>
    <w:rsid w:val="00B40710"/>
    <w:rsid w:val="00B40879"/>
    <w:rsid w:val="00B4093F"/>
    <w:rsid w:val="00B40EEE"/>
    <w:rsid w:val="00B41064"/>
    <w:rsid w:val="00B4181E"/>
    <w:rsid w:val="00B4188E"/>
    <w:rsid w:val="00B41CFA"/>
    <w:rsid w:val="00B41D88"/>
    <w:rsid w:val="00B41F07"/>
    <w:rsid w:val="00B420D5"/>
    <w:rsid w:val="00B42238"/>
    <w:rsid w:val="00B42482"/>
    <w:rsid w:val="00B42638"/>
    <w:rsid w:val="00B426FF"/>
    <w:rsid w:val="00B42948"/>
    <w:rsid w:val="00B42AF2"/>
    <w:rsid w:val="00B42C05"/>
    <w:rsid w:val="00B431B0"/>
    <w:rsid w:val="00B43204"/>
    <w:rsid w:val="00B4320A"/>
    <w:rsid w:val="00B435E9"/>
    <w:rsid w:val="00B43A96"/>
    <w:rsid w:val="00B43BD7"/>
    <w:rsid w:val="00B43BFC"/>
    <w:rsid w:val="00B443B5"/>
    <w:rsid w:val="00B44491"/>
    <w:rsid w:val="00B445A7"/>
    <w:rsid w:val="00B447BF"/>
    <w:rsid w:val="00B45265"/>
    <w:rsid w:val="00B45430"/>
    <w:rsid w:val="00B455F0"/>
    <w:rsid w:val="00B45C63"/>
    <w:rsid w:val="00B45FA8"/>
    <w:rsid w:val="00B46680"/>
    <w:rsid w:val="00B4672E"/>
    <w:rsid w:val="00B468D4"/>
    <w:rsid w:val="00B46ABF"/>
    <w:rsid w:val="00B46BA7"/>
    <w:rsid w:val="00B46BD6"/>
    <w:rsid w:val="00B46D13"/>
    <w:rsid w:val="00B47107"/>
    <w:rsid w:val="00B472DE"/>
    <w:rsid w:val="00B476E6"/>
    <w:rsid w:val="00B47733"/>
    <w:rsid w:val="00B4786C"/>
    <w:rsid w:val="00B479B0"/>
    <w:rsid w:val="00B500AA"/>
    <w:rsid w:val="00B506CA"/>
    <w:rsid w:val="00B50732"/>
    <w:rsid w:val="00B5097F"/>
    <w:rsid w:val="00B50A0E"/>
    <w:rsid w:val="00B5114E"/>
    <w:rsid w:val="00B514F1"/>
    <w:rsid w:val="00B518A1"/>
    <w:rsid w:val="00B51BBA"/>
    <w:rsid w:val="00B5230E"/>
    <w:rsid w:val="00B52997"/>
    <w:rsid w:val="00B52A4D"/>
    <w:rsid w:val="00B52DA8"/>
    <w:rsid w:val="00B52E8A"/>
    <w:rsid w:val="00B534E0"/>
    <w:rsid w:val="00B536AA"/>
    <w:rsid w:val="00B538D3"/>
    <w:rsid w:val="00B53DD6"/>
    <w:rsid w:val="00B5410C"/>
    <w:rsid w:val="00B5411D"/>
    <w:rsid w:val="00B541E7"/>
    <w:rsid w:val="00B550B8"/>
    <w:rsid w:val="00B55485"/>
    <w:rsid w:val="00B55BB8"/>
    <w:rsid w:val="00B55DBC"/>
    <w:rsid w:val="00B560D5"/>
    <w:rsid w:val="00B5610F"/>
    <w:rsid w:val="00B5645E"/>
    <w:rsid w:val="00B568B4"/>
    <w:rsid w:val="00B56B5D"/>
    <w:rsid w:val="00B56D93"/>
    <w:rsid w:val="00B570A9"/>
    <w:rsid w:val="00B573CB"/>
    <w:rsid w:val="00B57731"/>
    <w:rsid w:val="00B600D1"/>
    <w:rsid w:val="00B60116"/>
    <w:rsid w:val="00B605B1"/>
    <w:rsid w:val="00B610BD"/>
    <w:rsid w:val="00B61124"/>
    <w:rsid w:val="00B611BA"/>
    <w:rsid w:val="00B612F8"/>
    <w:rsid w:val="00B6183B"/>
    <w:rsid w:val="00B618D9"/>
    <w:rsid w:val="00B620DE"/>
    <w:rsid w:val="00B6223C"/>
    <w:rsid w:val="00B6237C"/>
    <w:rsid w:val="00B626FD"/>
    <w:rsid w:val="00B6274A"/>
    <w:rsid w:val="00B630C4"/>
    <w:rsid w:val="00B6355A"/>
    <w:rsid w:val="00B639BA"/>
    <w:rsid w:val="00B63B82"/>
    <w:rsid w:val="00B63D54"/>
    <w:rsid w:val="00B63EC3"/>
    <w:rsid w:val="00B643D3"/>
    <w:rsid w:val="00B64501"/>
    <w:rsid w:val="00B64578"/>
    <w:rsid w:val="00B64880"/>
    <w:rsid w:val="00B6489A"/>
    <w:rsid w:val="00B64C00"/>
    <w:rsid w:val="00B64FDC"/>
    <w:rsid w:val="00B652C2"/>
    <w:rsid w:val="00B65818"/>
    <w:rsid w:val="00B661D5"/>
    <w:rsid w:val="00B6689C"/>
    <w:rsid w:val="00B669F5"/>
    <w:rsid w:val="00B66BAB"/>
    <w:rsid w:val="00B66DDE"/>
    <w:rsid w:val="00B66DFD"/>
    <w:rsid w:val="00B66E7F"/>
    <w:rsid w:val="00B670FC"/>
    <w:rsid w:val="00B671C2"/>
    <w:rsid w:val="00B67236"/>
    <w:rsid w:val="00B67349"/>
    <w:rsid w:val="00B6743B"/>
    <w:rsid w:val="00B676A2"/>
    <w:rsid w:val="00B677DE"/>
    <w:rsid w:val="00B6798B"/>
    <w:rsid w:val="00B67B46"/>
    <w:rsid w:val="00B67BCB"/>
    <w:rsid w:val="00B67C51"/>
    <w:rsid w:val="00B67CFD"/>
    <w:rsid w:val="00B67D34"/>
    <w:rsid w:val="00B70158"/>
    <w:rsid w:val="00B7020A"/>
    <w:rsid w:val="00B707DF"/>
    <w:rsid w:val="00B70ABC"/>
    <w:rsid w:val="00B7101C"/>
    <w:rsid w:val="00B717A1"/>
    <w:rsid w:val="00B71A2C"/>
    <w:rsid w:val="00B71CEC"/>
    <w:rsid w:val="00B71E44"/>
    <w:rsid w:val="00B71F7E"/>
    <w:rsid w:val="00B71FE7"/>
    <w:rsid w:val="00B7206C"/>
    <w:rsid w:val="00B72480"/>
    <w:rsid w:val="00B7256B"/>
    <w:rsid w:val="00B72722"/>
    <w:rsid w:val="00B72B91"/>
    <w:rsid w:val="00B7339D"/>
    <w:rsid w:val="00B73437"/>
    <w:rsid w:val="00B7376E"/>
    <w:rsid w:val="00B73C77"/>
    <w:rsid w:val="00B74573"/>
    <w:rsid w:val="00B74666"/>
    <w:rsid w:val="00B748B7"/>
    <w:rsid w:val="00B74EE4"/>
    <w:rsid w:val="00B74F10"/>
    <w:rsid w:val="00B750C1"/>
    <w:rsid w:val="00B751C7"/>
    <w:rsid w:val="00B7545D"/>
    <w:rsid w:val="00B7575D"/>
    <w:rsid w:val="00B7634F"/>
    <w:rsid w:val="00B767BE"/>
    <w:rsid w:val="00B768AD"/>
    <w:rsid w:val="00B76959"/>
    <w:rsid w:val="00B7747D"/>
    <w:rsid w:val="00B7748A"/>
    <w:rsid w:val="00B77638"/>
    <w:rsid w:val="00B77931"/>
    <w:rsid w:val="00B7795C"/>
    <w:rsid w:val="00B77A2D"/>
    <w:rsid w:val="00B77C85"/>
    <w:rsid w:val="00B77EC6"/>
    <w:rsid w:val="00B77F6D"/>
    <w:rsid w:val="00B77F79"/>
    <w:rsid w:val="00B80256"/>
    <w:rsid w:val="00B8025C"/>
    <w:rsid w:val="00B80425"/>
    <w:rsid w:val="00B80602"/>
    <w:rsid w:val="00B806B0"/>
    <w:rsid w:val="00B808CC"/>
    <w:rsid w:val="00B810C6"/>
    <w:rsid w:val="00B8151E"/>
    <w:rsid w:val="00B822A7"/>
    <w:rsid w:val="00B82430"/>
    <w:rsid w:val="00B8261B"/>
    <w:rsid w:val="00B82949"/>
    <w:rsid w:val="00B82F4E"/>
    <w:rsid w:val="00B83164"/>
    <w:rsid w:val="00B8355D"/>
    <w:rsid w:val="00B83957"/>
    <w:rsid w:val="00B83B0F"/>
    <w:rsid w:val="00B83E15"/>
    <w:rsid w:val="00B84351"/>
    <w:rsid w:val="00B84671"/>
    <w:rsid w:val="00B84788"/>
    <w:rsid w:val="00B84CA0"/>
    <w:rsid w:val="00B8534F"/>
    <w:rsid w:val="00B85ACF"/>
    <w:rsid w:val="00B85C88"/>
    <w:rsid w:val="00B85E53"/>
    <w:rsid w:val="00B86038"/>
    <w:rsid w:val="00B86150"/>
    <w:rsid w:val="00B8623F"/>
    <w:rsid w:val="00B86533"/>
    <w:rsid w:val="00B86553"/>
    <w:rsid w:val="00B86606"/>
    <w:rsid w:val="00B86899"/>
    <w:rsid w:val="00B86B12"/>
    <w:rsid w:val="00B86EB6"/>
    <w:rsid w:val="00B86F66"/>
    <w:rsid w:val="00B874BC"/>
    <w:rsid w:val="00B876F7"/>
    <w:rsid w:val="00B87B2B"/>
    <w:rsid w:val="00B901AB"/>
    <w:rsid w:val="00B90483"/>
    <w:rsid w:val="00B90603"/>
    <w:rsid w:val="00B908D8"/>
    <w:rsid w:val="00B909E6"/>
    <w:rsid w:val="00B9102E"/>
    <w:rsid w:val="00B913FF"/>
    <w:rsid w:val="00B91507"/>
    <w:rsid w:val="00B91704"/>
    <w:rsid w:val="00B917FE"/>
    <w:rsid w:val="00B91C2F"/>
    <w:rsid w:val="00B91E15"/>
    <w:rsid w:val="00B91FB1"/>
    <w:rsid w:val="00B92038"/>
    <w:rsid w:val="00B9227C"/>
    <w:rsid w:val="00B92548"/>
    <w:rsid w:val="00B92EE6"/>
    <w:rsid w:val="00B9311C"/>
    <w:rsid w:val="00B93674"/>
    <w:rsid w:val="00B93727"/>
    <w:rsid w:val="00B93854"/>
    <w:rsid w:val="00B939F0"/>
    <w:rsid w:val="00B93B4D"/>
    <w:rsid w:val="00B9415A"/>
    <w:rsid w:val="00B947B6"/>
    <w:rsid w:val="00B94BCD"/>
    <w:rsid w:val="00B94BE3"/>
    <w:rsid w:val="00B94CBB"/>
    <w:rsid w:val="00B9506E"/>
    <w:rsid w:val="00B952CB"/>
    <w:rsid w:val="00B95602"/>
    <w:rsid w:val="00B95679"/>
    <w:rsid w:val="00B9699C"/>
    <w:rsid w:val="00B96C9E"/>
    <w:rsid w:val="00B96DB8"/>
    <w:rsid w:val="00B970BA"/>
    <w:rsid w:val="00B971E2"/>
    <w:rsid w:val="00B974D5"/>
    <w:rsid w:val="00B9756A"/>
    <w:rsid w:val="00B975BB"/>
    <w:rsid w:val="00B975E3"/>
    <w:rsid w:val="00B978FE"/>
    <w:rsid w:val="00B97C01"/>
    <w:rsid w:val="00B97CC7"/>
    <w:rsid w:val="00B97F1C"/>
    <w:rsid w:val="00B97FCB"/>
    <w:rsid w:val="00BA01BE"/>
    <w:rsid w:val="00BA076D"/>
    <w:rsid w:val="00BA0A30"/>
    <w:rsid w:val="00BA0B3B"/>
    <w:rsid w:val="00BA0CBC"/>
    <w:rsid w:val="00BA0FA6"/>
    <w:rsid w:val="00BA14F6"/>
    <w:rsid w:val="00BA22B8"/>
    <w:rsid w:val="00BA262F"/>
    <w:rsid w:val="00BA2758"/>
    <w:rsid w:val="00BA2BBC"/>
    <w:rsid w:val="00BA2BF4"/>
    <w:rsid w:val="00BA3BD9"/>
    <w:rsid w:val="00BA3D9B"/>
    <w:rsid w:val="00BA4863"/>
    <w:rsid w:val="00BA4971"/>
    <w:rsid w:val="00BA529E"/>
    <w:rsid w:val="00BA562E"/>
    <w:rsid w:val="00BA5A2F"/>
    <w:rsid w:val="00BA5B10"/>
    <w:rsid w:val="00BA5F92"/>
    <w:rsid w:val="00BA63E8"/>
    <w:rsid w:val="00BA65C3"/>
    <w:rsid w:val="00BA6AD8"/>
    <w:rsid w:val="00BA6CE7"/>
    <w:rsid w:val="00BA6D51"/>
    <w:rsid w:val="00BA6F93"/>
    <w:rsid w:val="00BA6FCC"/>
    <w:rsid w:val="00BA73F6"/>
    <w:rsid w:val="00BA75C4"/>
    <w:rsid w:val="00BA7A81"/>
    <w:rsid w:val="00BA7CBA"/>
    <w:rsid w:val="00BA7D0A"/>
    <w:rsid w:val="00BA7D2F"/>
    <w:rsid w:val="00BB0B34"/>
    <w:rsid w:val="00BB0C7E"/>
    <w:rsid w:val="00BB0C8C"/>
    <w:rsid w:val="00BB0DE8"/>
    <w:rsid w:val="00BB0E3E"/>
    <w:rsid w:val="00BB1DDB"/>
    <w:rsid w:val="00BB1E16"/>
    <w:rsid w:val="00BB2063"/>
    <w:rsid w:val="00BB2112"/>
    <w:rsid w:val="00BB2128"/>
    <w:rsid w:val="00BB22FE"/>
    <w:rsid w:val="00BB2456"/>
    <w:rsid w:val="00BB2F53"/>
    <w:rsid w:val="00BB33FF"/>
    <w:rsid w:val="00BB381C"/>
    <w:rsid w:val="00BB3A85"/>
    <w:rsid w:val="00BB3AAD"/>
    <w:rsid w:val="00BB3CF1"/>
    <w:rsid w:val="00BB45F0"/>
    <w:rsid w:val="00BB4859"/>
    <w:rsid w:val="00BB49DC"/>
    <w:rsid w:val="00BB4A35"/>
    <w:rsid w:val="00BB4C0D"/>
    <w:rsid w:val="00BB4DDA"/>
    <w:rsid w:val="00BB4F50"/>
    <w:rsid w:val="00BB51C2"/>
    <w:rsid w:val="00BB52D9"/>
    <w:rsid w:val="00BB5372"/>
    <w:rsid w:val="00BB557E"/>
    <w:rsid w:val="00BB55E4"/>
    <w:rsid w:val="00BB5AFF"/>
    <w:rsid w:val="00BB5C67"/>
    <w:rsid w:val="00BB5F8C"/>
    <w:rsid w:val="00BB6BDA"/>
    <w:rsid w:val="00BB6EAC"/>
    <w:rsid w:val="00BB71D2"/>
    <w:rsid w:val="00BB7375"/>
    <w:rsid w:val="00BB75F4"/>
    <w:rsid w:val="00BB7A9C"/>
    <w:rsid w:val="00BB7B95"/>
    <w:rsid w:val="00BB7CEB"/>
    <w:rsid w:val="00BB7E06"/>
    <w:rsid w:val="00BC0941"/>
    <w:rsid w:val="00BC0AA1"/>
    <w:rsid w:val="00BC1528"/>
    <w:rsid w:val="00BC1CF9"/>
    <w:rsid w:val="00BC229D"/>
    <w:rsid w:val="00BC254F"/>
    <w:rsid w:val="00BC2708"/>
    <w:rsid w:val="00BC29CA"/>
    <w:rsid w:val="00BC2E95"/>
    <w:rsid w:val="00BC312C"/>
    <w:rsid w:val="00BC3166"/>
    <w:rsid w:val="00BC326F"/>
    <w:rsid w:val="00BC33AC"/>
    <w:rsid w:val="00BC3B55"/>
    <w:rsid w:val="00BC4109"/>
    <w:rsid w:val="00BC4418"/>
    <w:rsid w:val="00BC47ED"/>
    <w:rsid w:val="00BC48BD"/>
    <w:rsid w:val="00BC4AED"/>
    <w:rsid w:val="00BC51B0"/>
    <w:rsid w:val="00BC53C6"/>
    <w:rsid w:val="00BC541D"/>
    <w:rsid w:val="00BC5802"/>
    <w:rsid w:val="00BC60FF"/>
    <w:rsid w:val="00BC61E6"/>
    <w:rsid w:val="00BC66BC"/>
    <w:rsid w:val="00BC6914"/>
    <w:rsid w:val="00BC6A77"/>
    <w:rsid w:val="00BC6E38"/>
    <w:rsid w:val="00BC6F33"/>
    <w:rsid w:val="00BC6F5B"/>
    <w:rsid w:val="00BC706A"/>
    <w:rsid w:val="00BC7119"/>
    <w:rsid w:val="00BC743A"/>
    <w:rsid w:val="00BC792C"/>
    <w:rsid w:val="00BC797A"/>
    <w:rsid w:val="00BC7DA3"/>
    <w:rsid w:val="00BC7F67"/>
    <w:rsid w:val="00BD008B"/>
    <w:rsid w:val="00BD0697"/>
    <w:rsid w:val="00BD074F"/>
    <w:rsid w:val="00BD08A5"/>
    <w:rsid w:val="00BD0D4F"/>
    <w:rsid w:val="00BD1004"/>
    <w:rsid w:val="00BD1037"/>
    <w:rsid w:val="00BD144C"/>
    <w:rsid w:val="00BD18BE"/>
    <w:rsid w:val="00BD1F6C"/>
    <w:rsid w:val="00BD203A"/>
    <w:rsid w:val="00BD23C0"/>
    <w:rsid w:val="00BD2618"/>
    <w:rsid w:val="00BD29B0"/>
    <w:rsid w:val="00BD2A14"/>
    <w:rsid w:val="00BD2F0F"/>
    <w:rsid w:val="00BD2FD7"/>
    <w:rsid w:val="00BD331A"/>
    <w:rsid w:val="00BD3335"/>
    <w:rsid w:val="00BD3F22"/>
    <w:rsid w:val="00BD486D"/>
    <w:rsid w:val="00BD489C"/>
    <w:rsid w:val="00BD49CE"/>
    <w:rsid w:val="00BD4B7E"/>
    <w:rsid w:val="00BD4F73"/>
    <w:rsid w:val="00BD52CD"/>
    <w:rsid w:val="00BD5BAD"/>
    <w:rsid w:val="00BD5BC6"/>
    <w:rsid w:val="00BD5E48"/>
    <w:rsid w:val="00BD5F3C"/>
    <w:rsid w:val="00BD637E"/>
    <w:rsid w:val="00BD63B2"/>
    <w:rsid w:val="00BD66B6"/>
    <w:rsid w:val="00BD676F"/>
    <w:rsid w:val="00BD6868"/>
    <w:rsid w:val="00BD6910"/>
    <w:rsid w:val="00BD6F74"/>
    <w:rsid w:val="00BD71B5"/>
    <w:rsid w:val="00BD73AB"/>
    <w:rsid w:val="00BD7B77"/>
    <w:rsid w:val="00BD7C21"/>
    <w:rsid w:val="00BD7D42"/>
    <w:rsid w:val="00BD7D56"/>
    <w:rsid w:val="00BE043D"/>
    <w:rsid w:val="00BE04B7"/>
    <w:rsid w:val="00BE10E7"/>
    <w:rsid w:val="00BE1323"/>
    <w:rsid w:val="00BE19A2"/>
    <w:rsid w:val="00BE2128"/>
    <w:rsid w:val="00BE244D"/>
    <w:rsid w:val="00BE31B3"/>
    <w:rsid w:val="00BE3548"/>
    <w:rsid w:val="00BE416C"/>
    <w:rsid w:val="00BE4554"/>
    <w:rsid w:val="00BE4784"/>
    <w:rsid w:val="00BE4AB5"/>
    <w:rsid w:val="00BE4D5C"/>
    <w:rsid w:val="00BE4DA7"/>
    <w:rsid w:val="00BE4FC7"/>
    <w:rsid w:val="00BE5227"/>
    <w:rsid w:val="00BE5377"/>
    <w:rsid w:val="00BE5417"/>
    <w:rsid w:val="00BE54CE"/>
    <w:rsid w:val="00BE5FDA"/>
    <w:rsid w:val="00BE6008"/>
    <w:rsid w:val="00BE675C"/>
    <w:rsid w:val="00BE6AA9"/>
    <w:rsid w:val="00BE6F31"/>
    <w:rsid w:val="00BE74F1"/>
    <w:rsid w:val="00BE7541"/>
    <w:rsid w:val="00BE76EE"/>
    <w:rsid w:val="00BE77AD"/>
    <w:rsid w:val="00BE7977"/>
    <w:rsid w:val="00BE7AA5"/>
    <w:rsid w:val="00BE7CAA"/>
    <w:rsid w:val="00BE7E6B"/>
    <w:rsid w:val="00BF01ED"/>
    <w:rsid w:val="00BF02AF"/>
    <w:rsid w:val="00BF05D1"/>
    <w:rsid w:val="00BF0967"/>
    <w:rsid w:val="00BF09E2"/>
    <w:rsid w:val="00BF10BE"/>
    <w:rsid w:val="00BF1142"/>
    <w:rsid w:val="00BF1371"/>
    <w:rsid w:val="00BF1670"/>
    <w:rsid w:val="00BF1ABD"/>
    <w:rsid w:val="00BF260E"/>
    <w:rsid w:val="00BF2A56"/>
    <w:rsid w:val="00BF2C67"/>
    <w:rsid w:val="00BF2CAB"/>
    <w:rsid w:val="00BF2FB6"/>
    <w:rsid w:val="00BF319E"/>
    <w:rsid w:val="00BF35DA"/>
    <w:rsid w:val="00BF3C29"/>
    <w:rsid w:val="00BF3FD6"/>
    <w:rsid w:val="00BF40F9"/>
    <w:rsid w:val="00BF4583"/>
    <w:rsid w:val="00BF4589"/>
    <w:rsid w:val="00BF4B3F"/>
    <w:rsid w:val="00BF4BF9"/>
    <w:rsid w:val="00BF4D79"/>
    <w:rsid w:val="00BF5179"/>
    <w:rsid w:val="00BF53B4"/>
    <w:rsid w:val="00BF53D5"/>
    <w:rsid w:val="00BF56AA"/>
    <w:rsid w:val="00BF590B"/>
    <w:rsid w:val="00BF59F8"/>
    <w:rsid w:val="00BF5A18"/>
    <w:rsid w:val="00BF5C8B"/>
    <w:rsid w:val="00BF672A"/>
    <w:rsid w:val="00BF697F"/>
    <w:rsid w:val="00BF69CD"/>
    <w:rsid w:val="00BF6AB2"/>
    <w:rsid w:val="00BF7090"/>
    <w:rsid w:val="00BF7199"/>
    <w:rsid w:val="00BF76DA"/>
    <w:rsid w:val="00BF798A"/>
    <w:rsid w:val="00BF79B2"/>
    <w:rsid w:val="00BF7BF9"/>
    <w:rsid w:val="00C00221"/>
    <w:rsid w:val="00C00387"/>
    <w:rsid w:val="00C00B25"/>
    <w:rsid w:val="00C00B3C"/>
    <w:rsid w:val="00C00BF7"/>
    <w:rsid w:val="00C00DC4"/>
    <w:rsid w:val="00C0101A"/>
    <w:rsid w:val="00C011D6"/>
    <w:rsid w:val="00C01474"/>
    <w:rsid w:val="00C016BF"/>
    <w:rsid w:val="00C017CD"/>
    <w:rsid w:val="00C01AEB"/>
    <w:rsid w:val="00C01C8D"/>
    <w:rsid w:val="00C02355"/>
    <w:rsid w:val="00C02538"/>
    <w:rsid w:val="00C02A74"/>
    <w:rsid w:val="00C02A8B"/>
    <w:rsid w:val="00C02B99"/>
    <w:rsid w:val="00C02E57"/>
    <w:rsid w:val="00C02EBA"/>
    <w:rsid w:val="00C02F05"/>
    <w:rsid w:val="00C03049"/>
    <w:rsid w:val="00C030AD"/>
    <w:rsid w:val="00C03245"/>
    <w:rsid w:val="00C03800"/>
    <w:rsid w:val="00C03997"/>
    <w:rsid w:val="00C043AC"/>
    <w:rsid w:val="00C046A6"/>
    <w:rsid w:val="00C0491B"/>
    <w:rsid w:val="00C04D39"/>
    <w:rsid w:val="00C04E7A"/>
    <w:rsid w:val="00C05345"/>
    <w:rsid w:val="00C05ACA"/>
    <w:rsid w:val="00C06106"/>
    <w:rsid w:val="00C0689C"/>
    <w:rsid w:val="00C06911"/>
    <w:rsid w:val="00C06E67"/>
    <w:rsid w:val="00C07180"/>
    <w:rsid w:val="00C0727B"/>
    <w:rsid w:val="00C07921"/>
    <w:rsid w:val="00C079B3"/>
    <w:rsid w:val="00C10431"/>
    <w:rsid w:val="00C10718"/>
    <w:rsid w:val="00C1088D"/>
    <w:rsid w:val="00C108BE"/>
    <w:rsid w:val="00C10B18"/>
    <w:rsid w:val="00C10EE6"/>
    <w:rsid w:val="00C11212"/>
    <w:rsid w:val="00C11239"/>
    <w:rsid w:val="00C112A2"/>
    <w:rsid w:val="00C112A7"/>
    <w:rsid w:val="00C112F2"/>
    <w:rsid w:val="00C11642"/>
    <w:rsid w:val="00C11BA3"/>
    <w:rsid w:val="00C11BBC"/>
    <w:rsid w:val="00C11C44"/>
    <w:rsid w:val="00C11CD3"/>
    <w:rsid w:val="00C1287F"/>
    <w:rsid w:val="00C12C44"/>
    <w:rsid w:val="00C12CF0"/>
    <w:rsid w:val="00C12D03"/>
    <w:rsid w:val="00C12DE0"/>
    <w:rsid w:val="00C12FC0"/>
    <w:rsid w:val="00C13553"/>
    <w:rsid w:val="00C14119"/>
    <w:rsid w:val="00C141DB"/>
    <w:rsid w:val="00C14672"/>
    <w:rsid w:val="00C147CF"/>
    <w:rsid w:val="00C14BE5"/>
    <w:rsid w:val="00C14C36"/>
    <w:rsid w:val="00C1505A"/>
    <w:rsid w:val="00C154DF"/>
    <w:rsid w:val="00C155B0"/>
    <w:rsid w:val="00C15A88"/>
    <w:rsid w:val="00C15B40"/>
    <w:rsid w:val="00C15FEF"/>
    <w:rsid w:val="00C160A5"/>
    <w:rsid w:val="00C16114"/>
    <w:rsid w:val="00C162F1"/>
    <w:rsid w:val="00C16890"/>
    <w:rsid w:val="00C16F27"/>
    <w:rsid w:val="00C16F7B"/>
    <w:rsid w:val="00C17252"/>
    <w:rsid w:val="00C17362"/>
    <w:rsid w:val="00C17970"/>
    <w:rsid w:val="00C17A56"/>
    <w:rsid w:val="00C17C0B"/>
    <w:rsid w:val="00C20BCA"/>
    <w:rsid w:val="00C20CA0"/>
    <w:rsid w:val="00C20FF8"/>
    <w:rsid w:val="00C21063"/>
    <w:rsid w:val="00C212A7"/>
    <w:rsid w:val="00C217AB"/>
    <w:rsid w:val="00C2216C"/>
    <w:rsid w:val="00C225CC"/>
    <w:rsid w:val="00C22814"/>
    <w:rsid w:val="00C22863"/>
    <w:rsid w:val="00C22EAD"/>
    <w:rsid w:val="00C2300F"/>
    <w:rsid w:val="00C235BE"/>
    <w:rsid w:val="00C23795"/>
    <w:rsid w:val="00C23A26"/>
    <w:rsid w:val="00C23C98"/>
    <w:rsid w:val="00C23EBC"/>
    <w:rsid w:val="00C23F0D"/>
    <w:rsid w:val="00C2414A"/>
    <w:rsid w:val="00C241F6"/>
    <w:rsid w:val="00C24D62"/>
    <w:rsid w:val="00C25533"/>
    <w:rsid w:val="00C25542"/>
    <w:rsid w:val="00C255FA"/>
    <w:rsid w:val="00C256E7"/>
    <w:rsid w:val="00C25B4B"/>
    <w:rsid w:val="00C25B5B"/>
    <w:rsid w:val="00C2661C"/>
    <w:rsid w:val="00C26654"/>
    <w:rsid w:val="00C26773"/>
    <w:rsid w:val="00C26817"/>
    <w:rsid w:val="00C26E7C"/>
    <w:rsid w:val="00C26F7A"/>
    <w:rsid w:val="00C2752A"/>
    <w:rsid w:val="00C2799F"/>
    <w:rsid w:val="00C279A4"/>
    <w:rsid w:val="00C30594"/>
    <w:rsid w:val="00C307B7"/>
    <w:rsid w:val="00C30950"/>
    <w:rsid w:val="00C30D51"/>
    <w:rsid w:val="00C31333"/>
    <w:rsid w:val="00C3169B"/>
    <w:rsid w:val="00C31751"/>
    <w:rsid w:val="00C3193F"/>
    <w:rsid w:val="00C31A0E"/>
    <w:rsid w:val="00C31C58"/>
    <w:rsid w:val="00C31CCB"/>
    <w:rsid w:val="00C31E5E"/>
    <w:rsid w:val="00C31ED3"/>
    <w:rsid w:val="00C32078"/>
    <w:rsid w:val="00C321F0"/>
    <w:rsid w:val="00C3233C"/>
    <w:rsid w:val="00C32461"/>
    <w:rsid w:val="00C324CD"/>
    <w:rsid w:val="00C3254C"/>
    <w:rsid w:val="00C32B18"/>
    <w:rsid w:val="00C32B5C"/>
    <w:rsid w:val="00C330F2"/>
    <w:rsid w:val="00C33268"/>
    <w:rsid w:val="00C33C19"/>
    <w:rsid w:val="00C34015"/>
    <w:rsid w:val="00C34350"/>
    <w:rsid w:val="00C343FA"/>
    <w:rsid w:val="00C34493"/>
    <w:rsid w:val="00C34740"/>
    <w:rsid w:val="00C34962"/>
    <w:rsid w:val="00C34B0A"/>
    <w:rsid w:val="00C34B5B"/>
    <w:rsid w:val="00C3573F"/>
    <w:rsid w:val="00C357A2"/>
    <w:rsid w:val="00C35809"/>
    <w:rsid w:val="00C35DF9"/>
    <w:rsid w:val="00C35E6F"/>
    <w:rsid w:val="00C36C2C"/>
    <w:rsid w:val="00C36D63"/>
    <w:rsid w:val="00C36EC0"/>
    <w:rsid w:val="00C37CF0"/>
    <w:rsid w:val="00C37F28"/>
    <w:rsid w:val="00C403E1"/>
    <w:rsid w:val="00C40577"/>
    <w:rsid w:val="00C40B33"/>
    <w:rsid w:val="00C40D42"/>
    <w:rsid w:val="00C4105D"/>
    <w:rsid w:val="00C41334"/>
    <w:rsid w:val="00C413BE"/>
    <w:rsid w:val="00C41575"/>
    <w:rsid w:val="00C41965"/>
    <w:rsid w:val="00C41A3E"/>
    <w:rsid w:val="00C41B5B"/>
    <w:rsid w:val="00C41C8F"/>
    <w:rsid w:val="00C4211E"/>
    <w:rsid w:val="00C42217"/>
    <w:rsid w:val="00C422D8"/>
    <w:rsid w:val="00C424D7"/>
    <w:rsid w:val="00C4257E"/>
    <w:rsid w:val="00C4266B"/>
    <w:rsid w:val="00C42CFD"/>
    <w:rsid w:val="00C433BC"/>
    <w:rsid w:val="00C43B17"/>
    <w:rsid w:val="00C43B99"/>
    <w:rsid w:val="00C43BFF"/>
    <w:rsid w:val="00C43CA5"/>
    <w:rsid w:val="00C43DDA"/>
    <w:rsid w:val="00C43E78"/>
    <w:rsid w:val="00C43F67"/>
    <w:rsid w:val="00C440C8"/>
    <w:rsid w:val="00C44193"/>
    <w:rsid w:val="00C4463F"/>
    <w:rsid w:val="00C447A5"/>
    <w:rsid w:val="00C44933"/>
    <w:rsid w:val="00C449C5"/>
    <w:rsid w:val="00C44C65"/>
    <w:rsid w:val="00C4526D"/>
    <w:rsid w:val="00C4529E"/>
    <w:rsid w:val="00C45675"/>
    <w:rsid w:val="00C4595A"/>
    <w:rsid w:val="00C45A36"/>
    <w:rsid w:val="00C45D83"/>
    <w:rsid w:val="00C45F8C"/>
    <w:rsid w:val="00C46133"/>
    <w:rsid w:val="00C4624A"/>
    <w:rsid w:val="00C46307"/>
    <w:rsid w:val="00C464D2"/>
    <w:rsid w:val="00C4665C"/>
    <w:rsid w:val="00C472DB"/>
    <w:rsid w:val="00C47420"/>
    <w:rsid w:val="00C47550"/>
    <w:rsid w:val="00C47717"/>
    <w:rsid w:val="00C47764"/>
    <w:rsid w:val="00C479BB"/>
    <w:rsid w:val="00C479EE"/>
    <w:rsid w:val="00C47A37"/>
    <w:rsid w:val="00C47B7F"/>
    <w:rsid w:val="00C47D24"/>
    <w:rsid w:val="00C5031F"/>
    <w:rsid w:val="00C503B7"/>
    <w:rsid w:val="00C5081C"/>
    <w:rsid w:val="00C50825"/>
    <w:rsid w:val="00C508C1"/>
    <w:rsid w:val="00C50A14"/>
    <w:rsid w:val="00C50AA3"/>
    <w:rsid w:val="00C50AC9"/>
    <w:rsid w:val="00C50ECF"/>
    <w:rsid w:val="00C50F39"/>
    <w:rsid w:val="00C513B8"/>
    <w:rsid w:val="00C515F1"/>
    <w:rsid w:val="00C516B5"/>
    <w:rsid w:val="00C519D9"/>
    <w:rsid w:val="00C51A83"/>
    <w:rsid w:val="00C51E90"/>
    <w:rsid w:val="00C521A0"/>
    <w:rsid w:val="00C52393"/>
    <w:rsid w:val="00C523B4"/>
    <w:rsid w:val="00C52ACC"/>
    <w:rsid w:val="00C535E4"/>
    <w:rsid w:val="00C53875"/>
    <w:rsid w:val="00C53B4B"/>
    <w:rsid w:val="00C53B7D"/>
    <w:rsid w:val="00C53B92"/>
    <w:rsid w:val="00C53E14"/>
    <w:rsid w:val="00C53F20"/>
    <w:rsid w:val="00C540C0"/>
    <w:rsid w:val="00C54716"/>
    <w:rsid w:val="00C547D2"/>
    <w:rsid w:val="00C54BA1"/>
    <w:rsid w:val="00C54CCE"/>
    <w:rsid w:val="00C54DCA"/>
    <w:rsid w:val="00C54F42"/>
    <w:rsid w:val="00C550C1"/>
    <w:rsid w:val="00C55256"/>
    <w:rsid w:val="00C5525F"/>
    <w:rsid w:val="00C55315"/>
    <w:rsid w:val="00C55B2E"/>
    <w:rsid w:val="00C55EDB"/>
    <w:rsid w:val="00C55EEC"/>
    <w:rsid w:val="00C561A9"/>
    <w:rsid w:val="00C56C35"/>
    <w:rsid w:val="00C56D1E"/>
    <w:rsid w:val="00C56E13"/>
    <w:rsid w:val="00C573C1"/>
    <w:rsid w:val="00C57626"/>
    <w:rsid w:val="00C57B37"/>
    <w:rsid w:val="00C57D50"/>
    <w:rsid w:val="00C57E32"/>
    <w:rsid w:val="00C602E0"/>
    <w:rsid w:val="00C60334"/>
    <w:rsid w:val="00C603E1"/>
    <w:rsid w:val="00C60657"/>
    <w:rsid w:val="00C60964"/>
    <w:rsid w:val="00C60CCA"/>
    <w:rsid w:val="00C60E02"/>
    <w:rsid w:val="00C60FE1"/>
    <w:rsid w:val="00C6108C"/>
    <w:rsid w:val="00C6126E"/>
    <w:rsid w:val="00C61304"/>
    <w:rsid w:val="00C617B8"/>
    <w:rsid w:val="00C618E4"/>
    <w:rsid w:val="00C61A11"/>
    <w:rsid w:val="00C61FB7"/>
    <w:rsid w:val="00C61FD6"/>
    <w:rsid w:val="00C62352"/>
    <w:rsid w:val="00C62D01"/>
    <w:rsid w:val="00C62F05"/>
    <w:rsid w:val="00C63172"/>
    <w:rsid w:val="00C63284"/>
    <w:rsid w:val="00C6358E"/>
    <w:rsid w:val="00C63A55"/>
    <w:rsid w:val="00C63FD6"/>
    <w:rsid w:val="00C641CB"/>
    <w:rsid w:val="00C64681"/>
    <w:rsid w:val="00C64BE2"/>
    <w:rsid w:val="00C64D21"/>
    <w:rsid w:val="00C64D68"/>
    <w:rsid w:val="00C65090"/>
    <w:rsid w:val="00C6542B"/>
    <w:rsid w:val="00C65F55"/>
    <w:rsid w:val="00C66122"/>
    <w:rsid w:val="00C6613D"/>
    <w:rsid w:val="00C6675B"/>
    <w:rsid w:val="00C669E3"/>
    <w:rsid w:val="00C669E4"/>
    <w:rsid w:val="00C66D39"/>
    <w:rsid w:val="00C676D3"/>
    <w:rsid w:val="00C678B2"/>
    <w:rsid w:val="00C67AD4"/>
    <w:rsid w:val="00C67C08"/>
    <w:rsid w:val="00C67D30"/>
    <w:rsid w:val="00C67F97"/>
    <w:rsid w:val="00C70031"/>
    <w:rsid w:val="00C7006C"/>
    <w:rsid w:val="00C70167"/>
    <w:rsid w:val="00C702B6"/>
    <w:rsid w:val="00C70531"/>
    <w:rsid w:val="00C70566"/>
    <w:rsid w:val="00C707E1"/>
    <w:rsid w:val="00C70C3C"/>
    <w:rsid w:val="00C70DA2"/>
    <w:rsid w:val="00C70E65"/>
    <w:rsid w:val="00C71193"/>
    <w:rsid w:val="00C71381"/>
    <w:rsid w:val="00C7139A"/>
    <w:rsid w:val="00C7167E"/>
    <w:rsid w:val="00C71919"/>
    <w:rsid w:val="00C71A00"/>
    <w:rsid w:val="00C71B07"/>
    <w:rsid w:val="00C7214E"/>
    <w:rsid w:val="00C7237C"/>
    <w:rsid w:val="00C7286F"/>
    <w:rsid w:val="00C72DA3"/>
    <w:rsid w:val="00C73B9D"/>
    <w:rsid w:val="00C73C36"/>
    <w:rsid w:val="00C73C4D"/>
    <w:rsid w:val="00C73DAB"/>
    <w:rsid w:val="00C73E2A"/>
    <w:rsid w:val="00C74304"/>
    <w:rsid w:val="00C7465C"/>
    <w:rsid w:val="00C747BA"/>
    <w:rsid w:val="00C74965"/>
    <w:rsid w:val="00C74B06"/>
    <w:rsid w:val="00C74C8C"/>
    <w:rsid w:val="00C74CF1"/>
    <w:rsid w:val="00C74F21"/>
    <w:rsid w:val="00C74FFE"/>
    <w:rsid w:val="00C75183"/>
    <w:rsid w:val="00C7544F"/>
    <w:rsid w:val="00C7547B"/>
    <w:rsid w:val="00C75543"/>
    <w:rsid w:val="00C75600"/>
    <w:rsid w:val="00C759A2"/>
    <w:rsid w:val="00C75BBF"/>
    <w:rsid w:val="00C7646B"/>
    <w:rsid w:val="00C765D0"/>
    <w:rsid w:val="00C7664B"/>
    <w:rsid w:val="00C766C6"/>
    <w:rsid w:val="00C76FB0"/>
    <w:rsid w:val="00C770B9"/>
    <w:rsid w:val="00C771BF"/>
    <w:rsid w:val="00C775A3"/>
    <w:rsid w:val="00C77665"/>
    <w:rsid w:val="00C77805"/>
    <w:rsid w:val="00C77A7B"/>
    <w:rsid w:val="00C77C50"/>
    <w:rsid w:val="00C77D20"/>
    <w:rsid w:val="00C77E82"/>
    <w:rsid w:val="00C80C08"/>
    <w:rsid w:val="00C80C5B"/>
    <w:rsid w:val="00C80FE2"/>
    <w:rsid w:val="00C812CF"/>
    <w:rsid w:val="00C8152E"/>
    <w:rsid w:val="00C815A4"/>
    <w:rsid w:val="00C81758"/>
    <w:rsid w:val="00C8185E"/>
    <w:rsid w:val="00C819A5"/>
    <w:rsid w:val="00C81CE0"/>
    <w:rsid w:val="00C820EB"/>
    <w:rsid w:val="00C825C0"/>
    <w:rsid w:val="00C82D19"/>
    <w:rsid w:val="00C82DDD"/>
    <w:rsid w:val="00C83309"/>
    <w:rsid w:val="00C836B7"/>
    <w:rsid w:val="00C837A4"/>
    <w:rsid w:val="00C83AAD"/>
    <w:rsid w:val="00C843FF"/>
    <w:rsid w:val="00C84690"/>
    <w:rsid w:val="00C846CE"/>
    <w:rsid w:val="00C8492C"/>
    <w:rsid w:val="00C84999"/>
    <w:rsid w:val="00C84DEE"/>
    <w:rsid w:val="00C84E5F"/>
    <w:rsid w:val="00C84EEE"/>
    <w:rsid w:val="00C85227"/>
    <w:rsid w:val="00C85685"/>
    <w:rsid w:val="00C85A27"/>
    <w:rsid w:val="00C86C5A"/>
    <w:rsid w:val="00C86D05"/>
    <w:rsid w:val="00C86EAE"/>
    <w:rsid w:val="00C873D2"/>
    <w:rsid w:val="00C874BE"/>
    <w:rsid w:val="00C875D1"/>
    <w:rsid w:val="00C876A2"/>
    <w:rsid w:val="00C87A18"/>
    <w:rsid w:val="00C87F22"/>
    <w:rsid w:val="00C9014F"/>
    <w:rsid w:val="00C901EC"/>
    <w:rsid w:val="00C90309"/>
    <w:rsid w:val="00C9040A"/>
    <w:rsid w:val="00C91086"/>
    <w:rsid w:val="00C911CE"/>
    <w:rsid w:val="00C9136B"/>
    <w:rsid w:val="00C914F9"/>
    <w:rsid w:val="00C917D6"/>
    <w:rsid w:val="00C91B19"/>
    <w:rsid w:val="00C91C23"/>
    <w:rsid w:val="00C91D4D"/>
    <w:rsid w:val="00C91EA6"/>
    <w:rsid w:val="00C92015"/>
    <w:rsid w:val="00C92246"/>
    <w:rsid w:val="00C9230F"/>
    <w:rsid w:val="00C925C4"/>
    <w:rsid w:val="00C92708"/>
    <w:rsid w:val="00C9298D"/>
    <w:rsid w:val="00C92DD2"/>
    <w:rsid w:val="00C93003"/>
    <w:rsid w:val="00C9330D"/>
    <w:rsid w:val="00C935EA"/>
    <w:rsid w:val="00C936BB"/>
    <w:rsid w:val="00C93748"/>
    <w:rsid w:val="00C93BDB"/>
    <w:rsid w:val="00C93CFB"/>
    <w:rsid w:val="00C93FD7"/>
    <w:rsid w:val="00C93FED"/>
    <w:rsid w:val="00C94068"/>
    <w:rsid w:val="00C9415D"/>
    <w:rsid w:val="00C9480F"/>
    <w:rsid w:val="00C9484A"/>
    <w:rsid w:val="00C94EAE"/>
    <w:rsid w:val="00C9502F"/>
    <w:rsid w:val="00C9528C"/>
    <w:rsid w:val="00C955AA"/>
    <w:rsid w:val="00C955E4"/>
    <w:rsid w:val="00C95904"/>
    <w:rsid w:val="00C95B4D"/>
    <w:rsid w:val="00C95DE0"/>
    <w:rsid w:val="00C967D8"/>
    <w:rsid w:val="00C968EB"/>
    <w:rsid w:val="00C9697B"/>
    <w:rsid w:val="00C96D1D"/>
    <w:rsid w:val="00C96FE9"/>
    <w:rsid w:val="00C970A5"/>
    <w:rsid w:val="00C97169"/>
    <w:rsid w:val="00C972F2"/>
    <w:rsid w:val="00C97316"/>
    <w:rsid w:val="00C9746E"/>
    <w:rsid w:val="00C97842"/>
    <w:rsid w:val="00C97C6A"/>
    <w:rsid w:val="00CA0E78"/>
    <w:rsid w:val="00CA1B5A"/>
    <w:rsid w:val="00CA1C94"/>
    <w:rsid w:val="00CA2115"/>
    <w:rsid w:val="00CA22CA"/>
    <w:rsid w:val="00CA29A4"/>
    <w:rsid w:val="00CA2B4C"/>
    <w:rsid w:val="00CA2C56"/>
    <w:rsid w:val="00CA347B"/>
    <w:rsid w:val="00CA3A79"/>
    <w:rsid w:val="00CA3C6B"/>
    <w:rsid w:val="00CA3E22"/>
    <w:rsid w:val="00CA3F06"/>
    <w:rsid w:val="00CA40FD"/>
    <w:rsid w:val="00CA4332"/>
    <w:rsid w:val="00CA47E1"/>
    <w:rsid w:val="00CA48B7"/>
    <w:rsid w:val="00CA4C60"/>
    <w:rsid w:val="00CA5523"/>
    <w:rsid w:val="00CA55F9"/>
    <w:rsid w:val="00CA57E3"/>
    <w:rsid w:val="00CA5834"/>
    <w:rsid w:val="00CA5900"/>
    <w:rsid w:val="00CA62C5"/>
    <w:rsid w:val="00CA6312"/>
    <w:rsid w:val="00CA63D5"/>
    <w:rsid w:val="00CA6661"/>
    <w:rsid w:val="00CA70F1"/>
    <w:rsid w:val="00CA72AC"/>
    <w:rsid w:val="00CA7376"/>
    <w:rsid w:val="00CA7424"/>
    <w:rsid w:val="00CA7B10"/>
    <w:rsid w:val="00CA7DED"/>
    <w:rsid w:val="00CB034C"/>
    <w:rsid w:val="00CB03EC"/>
    <w:rsid w:val="00CB04F6"/>
    <w:rsid w:val="00CB0681"/>
    <w:rsid w:val="00CB0BAE"/>
    <w:rsid w:val="00CB0C32"/>
    <w:rsid w:val="00CB0E94"/>
    <w:rsid w:val="00CB0EBB"/>
    <w:rsid w:val="00CB13AE"/>
    <w:rsid w:val="00CB17AD"/>
    <w:rsid w:val="00CB18B6"/>
    <w:rsid w:val="00CB19B7"/>
    <w:rsid w:val="00CB19EE"/>
    <w:rsid w:val="00CB20DE"/>
    <w:rsid w:val="00CB2500"/>
    <w:rsid w:val="00CB2923"/>
    <w:rsid w:val="00CB2DDF"/>
    <w:rsid w:val="00CB2EE9"/>
    <w:rsid w:val="00CB3081"/>
    <w:rsid w:val="00CB32FC"/>
    <w:rsid w:val="00CB3538"/>
    <w:rsid w:val="00CB390A"/>
    <w:rsid w:val="00CB405D"/>
    <w:rsid w:val="00CB40CC"/>
    <w:rsid w:val="00CB432A"/>
    <w:rsid w:val="00CB4727"/>
    <w:rsid w:val="00CB4740"/>
    <w:rsid w:val="00CB47EB"/>
    <w:rsid w:val="00CB4B60"/>
    <w:rsid w:val="00CB4C49"/>
    <w:rsid w:val="00CB4D37"/>
    <w:rsid w:val="00CB4DF5"/>
    <w:rsid w:val="00CB5384"/>
    <w:rsid w:val="00CB5677"/>
    <w:rsid w:val="00CB57C7"/>
    <w:rsid w:val="00CB58EB"/>
    <w:rsid w:val="00CB59AE"/>
    <w:rsid w:val="00CB5AFF"/>
    <w:rsid w:val="00CB5EBF"/>
    <w:rsid w:val="00CB5EEC"/>
    <w:rsid w:val="00CB613F"/>
    <w:rsid w:val="00CB62D7"/>
    <w:rsid w:val="00CB6461"/>
    <w:rsid w:val="00CB6766"/>
    <w:rsid w:val="00CB6B51"/>
    <w:rsid w:val="00CB7A43"/>
    <w:rsid w:val="00CC0223"/>
    <w:rsid w:val="00CC0693"/>
    <w:rsid w:val="00CC06E2"/>
    <w:rsid w:val="00CC0A59"/>
    <w:rsid w:val="00CC11BC"/>
    <w:rsid w:val="00CC1884"/>
    <w:rsid w:val="00CC197E"/>
    <w:rsid w:val="00CC1B04"/>
    <w:rsid w:val="00CC1D82"/>
    <w:rsid w:val="00CC1EF7"/>
    <w:rsid w:val="00CC2576"/>
    <w:rsid w:val="00CC2D81"/>
    <w:rsid w:val="00CC33F0"/>
    <w:rsid w:val="00CC3482"/>
    <w:rsid w:val="00CC362A"/>
    <w:rsid w:val="00CC3D81"/>
    <w:rsid w:val="00CC3E3D"/>
    <w:rsid w:val="00CC3F33"/>
    <w:rsid w:val="00CC3FAC"/>
    <w:rsid w:val="00CC3FF1"/>
    <w:rsid w:val="00CC4009"/>
    <w:rsid w:val="00CC43B8"/>
    <w:rsid w:val="00CC4462"/>
    <w:rsid w:val="00CC44BF"/>
    <w:rsid w:val="00CC47B0"/>
    <w:rsid w:val="00CC4BBD"/>
    <w:rsid w:val="00CC5307"/>
    <w:rsid w:val="00CC54C6"/>
    <w:rsid w:val="00CC5516"/>
    <w:rsid w:val="00CC558C"/>
    <w:rsid w:val="00CC57C1"/>
    <w:rsid w:val="00CC5A07"/>
    <w:rsid w:val="00CC5AD7"/>
    <w:rsid w:val="00CC6D44"/>
    <w:rsid w:val="00CC6ED2"/>
    <w:rsid w:val="00CC6F30"/>
    <w:rsid w:val="00CC745C"/>
    <w:rsid w:val="00CC75A4"/>
    <w:rsid w:val="00CC7E3B"/>
    <w:rsid w:val="00CD041A"/>
    <w:rsid w:val="00CD0680"/>
    <w:rsid w:val="00CD08A3"/>
    <w:rsid w:val="00CD0CA5"/>
    <w:rsid w:val="00CD10A1"/>
    <w:rsid w:val="00CD1833"/>
    <w:rsid w:val="00CD18CD"/>
    <w:rsid w:val="00CD1A35"/>
    <w:rsid w:val="00CD1EDC"/>
    <w:rsid w:val="00CD204F"/>
    <w:rsid w:val="00CD2119"/>
    <w:rsid w:val="00CD21C7"/>
    <w:rsid w:val="00CD24D9"/>
    <w:rsid w:val="00CD25D9"/>
    <w:rsid w:val="00CD2CA9"/>
    <w:rsid w:val="00CD2FB5"/>
    <w:rsid w:val="00CD30A1"/>
    <w:rsid w:val="00CD3375"/>
    <w:rsid w:val="00CD3787"/>
    <w:rsid w:val="00CD399B"/>
    <w:rsid w:val="00CD3D34"/>
    <w:rsid w:val="00CD3E7A"/>
    <w:rsid w:val="00CD4344"/>
    <w:rsid w:val="00CD4803"/>
    <w:rsid w:val="00CD4BE7"/>
    <w:rsid w:val="00CD4C36"/>
    <w:rsid w:val="00CD4E94"/>
    <w:rsid w:val="00CD5237"/>
    <w:rsid w:val="00CD5378"/>
    <w:rsid w:val="00CD544A"/>
    <w:rsid w:val="00CD56A0"/>
    <w:rsid w:val="00CD586E"/>
    <w:rsid w:val="00CD596E"/>
    <w:rsid w:val="00CD5977"/>
    <w:rsid w:val="00CD59D9"/>
    <w:rsid w:val="00CD619A"/>
    <w:rsid w:val="00CD61FF"/>
    <w:rsid w:val="00CD64D9"/>
    <w:rsid w:val="00CD6C01"/>
    <w:rsid w:val="00CD7170"/>
    <w:rsid w:val="00CD72D0"/>
    <w:rsid w:val="00CD734B"/>
    <w:rsid w:val="00CD7556"/>
    <w:rsid w:val="00CD75F9"/>
    <w:rsid w:val="00CD77B3"/>
    <w:rsid w:val="00CD781A"/>
    <w:rsid w:val="00CD7955"/>
    <w:rsid w:val="00CD7AA7"/>
    <w:rsid w:val="00CE042C"/>
    <w:rsid w:val="00CE09D9"/>
    <w:rsid w:val="00CE1171"/>
    <w:rsid w:val="00CE11C7"/>
    <w:rsid w:val="00CE162A"/>
    <w:rsid w:val="00CE16F6"/>
    <w:rsid w:val="00CE1E9A"/>
    <w:rsid w:val="00CE215E"/>
    <w:rsid w:val="00CE2357"/>
    <w:rsid w:val="00CE270D"/>
    <w:rsid w:val="00CE2B46"/>
    <w:rsid w:val="00CE2D72"/>
    <w:rsid w:val="00CE2F31"/>
    <w:rsid w:val="00CE3B2B"/>
    <w:rsid w:val="00CE413D"/>
    <w:rsid w:val="00CE4416"/>
    <w:rsid w:val="00CE44A6"/>
    <w:rsid w:val="00CE44B5"/>
    <w:rsid w:val="00CE4734"/>
    <w:rsid w:val="00CE500F"/>
    <w:rsid w:val="00CE5069"/>
    <w:rsid w:val="00CE566B"/>
    <w:rsid w:val="00CE5917"/>
    <w:rsid w:val="00CE5A20"/>
    <w:rsid w:val="00CE5A6E"/>
    <w:rsid w:val="00CE5D9B"/>
    <w:rsid w:val="00CE68A4"/>
    <w:rsid w:val="00CE6D81"/>
    <w:rsid w:val="00CE7348"/>
    <w:rsid w:val="00CE760C"/>
    <w:rsid w:val="00CE784A"/>
    <w:rsid w:val="00CF03F3"/>
    <w:rsid w:val="00CF05F9"/>
    <w:rsid w:val="00CF06AB"/>
    <w:rsid w:val="00CF0B20"/>
    <w:rsid w:val="00CF0B81"/>
    <w:rsid w:val="00CF0C11"/>
    <w:rsid w:val="00CF100A"/>
    <w:rsid w:val="00CF1353"/>
    <w:rsid w:val="00CF140D"/>
    <w:rsid w:val="00CF1844"/>
    <w:rsid w:val="00CF1957"/>
    <w:rsid w:val="00CF1A7A"/>
    <w:rsid w:val="00CF24C9"/>
    <w:rsid w:val="00CF265C"/>
    <w:rsid w:val="00CF27E7"/>
    <w:rsid w:val="00CF2BFA"/>
    <w:rsid w:val="00CF2C2C"/>
    <w:rsid w:val="00CF2FFC"/>
    <w:rsid w:val="00CF340F"/>
    <w:rsid w:val="00CF3C54"/>
    <w:rsid w:val="00CF3C94"/>
    <w:rsid w:val="00CF423E"/>
    <w:rsid w:val="00CF46B1"/>
    <w:rsid w:val="00CF505A"/>
    <w:rsid w:val="00CF50E9"/>
    <w:rsid w:val="00CF531A"/>
    <w:rsid w:val="00CF6128"/>
    <w:rsid w:val="00CF643E"/>
    <w:rsid w:val="00CF6502"/>
    <w:rsid w:val="00CF654C"/>
    <w:rsid w:val="00CF664B"/>
    <w:rsid w:val="00CF73E2"/>
    <w:rsid w:val="00CF758D"/>
    <w:rsid w:val="00CF7CD2"/>
    <w:rsid w:val="00CF7DA3"/>
    <w:rsid w:val="00CF7FD6"/>
    <w:rsid w:val="00D003DE"/>
    <w:rsid w:val="00D00653"/>
    <w:rsid w:val="00D007BD"/>
    <w:rsid w:val="00D008BD"/>
    <w:rsid w:val="00D00FCC"/>
    <w:rsid w:val="00D013F2"/>
    <w:rsid w:val="00D015C3"/>
    <w:rsid w:val="00D0198E"/>
    <w:rsid w:val="00D019F6"/>
    <w:rsid w:val="00D02240"/>
    <w:rsid w:val="00D02313"/>
    <w:rsid w:val="00D02355"/>
    <w:rsid w:val="00D0240B"/>
    <w:rsid w:val="00D0275B"/>
    <w:rsid w:val="00D030A4"/>
    <w:rsid w:val="00D03196"/>
    <w:rsid w:val="00D03332"/>
    <w:rsid w:val="00D035F8"/>
    <w:rsid w:val="00D03613"/>
    <w:rsid w:val="00D036BB"/>
    <w:rsid w:val="00D03A25"/>
    <w:rsid w:val="00D03C4D"/>
    <w:rsid w:val="00D03E5D"/>
    <w:rsid w:val="00D041D4"/>
    <w:rsid w:val="00D04561"/>
    <w:rsid w:val="00D047ED"/>
    <w:rsid w:val="00D049DE"/>
    <w:rsid w:val="00D04A8C"/>
    <w:rsid w:val="00D04E34"/>
    <w:rsid w:val="00D04F6F"/>
    <w:rsid w:val="00D0501A"/>
    <w:rsid w:val="00D05113"/>
    <w:rsid w:val="00D055A2"/>
    <w:rsid w:val="00D05847"/>
    <w:rsid w:val="00D05D18"/>
    <w:rsid w:val="00D05E9A"/>
    <w:rsid w:val="00D061A5"/>
    <w:rsid w:val="00D061FF"/>
    <w:rsid w:val="00D06206"/>
    <w:rsid w:val="00D06302"/>
    <w:rsid w:val="00D068C8"/>
    <w:rsid w:val="00D06FEE"/>
    <w:rsid w:val="00D075BD"/>
    <w:rsid w:val="00D0791C"/>
    <w:rsid w:val="00D07E8E"/>
    <w:rsid w:val="00D10237"/>
    <w:rsid w:val="00D10623"/>
    <w:rsid w:val="00D10DEA"/>
    <w:rsid w:val="00D11053"/>
    <w:rsid w:val="00D11940"/>
    <w:rsid w:val="00D11BE3"/>
    <w:rsid w:val="00D11C49"/>
    <w:rsid w:val="00D120CD"/>
    <w:rsid w:val="00D120E5"/>
    <w:rsid w:val="00D12427"/>
    <w:rsid w:val="00D124EA"/>
    <w:rsid w:val="00D1292E"/>
    <w:rsid w:val="00D12BE1"/>
    <w:rsid w:val="00D12FF8"/>
    <w:rsid w:val="00D1303B"/>
    <w:rsid w:val="00D1350D"/>
    <w:rsid w:val="00D1354A"/>
    <w:rsid w:val="00D13778"/>
    <w:rsid w:val="00D13A0F"/>
    <w:rsid w:val="00D141F1"/>
    <w:rsid w:val="00D14210"/>
    <w:rsid w:val="00D14A9C"/>
    <w:rsid w:val="00D14BB0"/>
    <w:rsid w:val="00D14D3E"/>
    <w:rsid w:val="00D14DD7"/>
    <w:rsid w:val="00D14F91"/>
    <w:rsid w:val="00D14FFF"/>
    <w:rsid w:val="00D151EA"/>
    <w:rsid w:val="00D15629"/>
    <w:rsid w:val="00D157BD"/>
    <w:rsid w:val="00D1586E"/>
    <w:rsid w:val="00D15B49"/>
    <w:rsid w:val="00D15B76"/>
    <w:rsid w:val="00D15CC4"/>
    <w:rsid w:val="00D15D85"/>
    <w:rsid w:val="00D160E0"/>
    <w:rsid w:val="00D166DB"/>
    <w:rsid w:val="00D166F5"/>
    <w:rsid w:val="00D16758"/>
    <w:rsid w:val="00D168D4"/>
    <w:rsid w:val="00D170BC"/>
    <w:rsid w:val="00D17757"/>
    <w:rsid w:val="00D179E6"/>
    <w:rsid w:val="00D179EC"/>
    <w:rsid w:val="00D17A73"/>
    <w:rsid w:val="00D17B65"/>
    <w:rsid w:val="00D17C34"/>
    <w:rsid w:val="00D17CBE"/>
    <w:rsid w:val="00D17CDC"/>
    <w:rsid w:val="00D17E6E"/>
    <w:rsid w:val="00D20377"/>
    <w:rsid w:val="00D2053F"/>
    <w:rsid w:val="00D2087C"/>
    <w:rsid w:val="00D20C4B"/>
    <w:rsid w:val="00D20E81"/>
    <w:rsid w:val="00D20ECD"/>
    <w:rsid w:val="00D21532"/>
    <w:rsid w:val="00D2153A"/>
    <w:rsid w:val="00D21671"/>
    <w:rsid w:val="00D21DCE"/>
    <w:rsid w:val="00D220F5"/>
    <w:rsid w:val="00D222A1"/>
    <w:rsid w:val="00D22383"/>
    <w:rsid w:val="00D22468"/>
    <w:rsid w:val="00D2264F"/>
    <w:rsid w:val="00D229C7"/>
    <w:rsid w:val="00D229ED"/>
    <w:rsid w:val="00D230B4"/>
    <w:rsid w:val="00D23328"/>
    <w:rsid w:val="00D23480"/>
    <w:rsid w:val="00D235C5"/>
    <w:rsid w:val="00D235D2"/>
    <w:rsid w:val="00D236A5"/>
    <w:rsid w:val="00D23746"/>
    <w:rsid w:val="00D23A31"/>
    <w:rsid w:val="00D23B14"/>
    <w:rsid w:val="00D23DC5"/>
    <w:rsid w:val="00D24407"/>
    <w:rsid w:val="00D24576"/>
    <w:rsid w:val="00D24844"/>
    <w:rsid w:val="00D2490F"/>
    <w:rsid w:val="00D249F7"/>
    <w:rsid w:val="00D24B67"/>
    <w:rsid w:val="00D24C77"/>
    <w:rsid w:val="00D24F11"/>
    <w:rsid w:val="00D260DC"/>
    <w:rsid w:val="00D26468"/>
    <w:rsid w:val="00D2658B"/>
    <w:rsid w:val="00D2661C"/>
    <w:rsid w:val="00D26BB2"/>
    <w:rsid w:val="00D2748F"/>
    <w:rsid w:val="00D2798A"/>
    <w:rsid w:val="00D27AD7"/>
    <w:rsid w:val="00D27B8A"/>
    <w:rsid w:val="00D27D9F"/>
    <w:rsid w:val="00D301DD"/>
    <w:rsid w:val="00D30234"/>
    <w:rsid w:val="00D30684"/>
    <w:rsid w:val="00D308E6"/>
    <w:rsid w:val="00D30D24"/>
    <w:rsid w:val="00D311A0"/>
    <w:rsid w:val="00D31433"/>
    <w:rsid w:val="00D3185A"/>
    <w:rsid w:val="00D31CED"/>
    <w:rsid w:val="00D31EB1"/>
    <w:rsid w:val="00D31ED8"/>
    <w:rsid w:val="00D3237D"/>
    <w:rsid w:val="00D32517"/>
    <w:rsid w:val="00D32BE0"/>
    <w:rsid w:val="00D32C75"/>
    <w:rsid w:val="00D3332B"/>
    <w:rsid w:val="00D33429"/>
    <w:rsid w:val="00D334BA"/>
    <w:rsid w:val="00D336AD"/>
    <w:rsid w:val="00D33815"/>
    <w:rsid w:val="00D33995"/>
    <w:rsid w:val="00D33FEA"/>
    <w:rsid w:val="00D34032"/>
    <w:rsid w:val="00D3430B"/>
    <w:rsid w:val="00D347D4"/>
    <w:rsid w:val="00D34BAF"/>
    <w:rsid w:val="00D34D38"/>
    <w:rsid w:val="00D34F98"/>
    <w:rsid w:val="00D35010"/>
    <w:rsid w:val="00D35270"/>
    <w:rsid w:val="00D353B3"/>
    <w:rsid w:val="00D3545E"/>
    <w:rsid w:val="00D35624"/>
    <w:rsid w:val="00D36238"/>
    <w:rsid w:val="00D363FF"/>
    <w:rsid w:val="00D364B7"/>
    <w:rsid w:val="00D364DE"/>
    <w:rsid w:val="00D369B0"/>
    <w:rsid w:val="00D36B2D"/>
    <w:rsid w:val="00D36E58"/>
    <w:rsid w:val="00D3753A"/>
    <w:rsid w:val="00D3767C"/>
    <w:rsid w:val="00D376C8"/>
    <w:rsid w:val="00D37744"/>
    <w:rsid w:val="00D3778F"/>
    <w:rsid w:val="00D37807"/>
    <w:rsid w:val="00D37F5F"/>
    <w:rsid w:val="00D401E9"/>
    <w:rsid w:val="00D4051A"/>
    <w:rsid w:val="00D40537"/>
    <w:rsid w:val="00D405D4"/>
    <w:rsid w:val="00D40D1A"/>
    <w:rsid w:val="00D412C5"/>
    <w:rsid w:val="00D4176E"/>
    <w:rsid w:val="00D41F71"/>
    <w:rsid w:val="00D420C3"/>
    <w:rsid w:val="00D422F8"/>
    <w:rsid w:val="00D42333"/>
    <w:rsid w:val="00D428C9"/>
    <w:rsid w:val="00D42914"/>
    <w:rsid w:val="00D42A66"/>
    <w:rsid w:val="00D42EAA"/>
    <w:rsid w:val="00D43089"/>
    <w:rsid w:val="00D43171"/>
    <w:rsid w:val="00D43340"/>
    <w:rsid w:val="00D4374C"/>
    <w:rsid w:val="00D438EE"/>
    <w:rsid w:val="00D43DE6"/>
    <w:rsid w:val="00D43E79"/>
    <w:rsid w:val="00D441D7"/>
    <w:rsid w:val="00D448F8"/>
    <w:rsid w:val="00D452E0"/>
    <w:rsid w:val="00D4554F"/>
    <w:rsid w:val="00D456C2"/>
    <w:rsid w:val="00D45AA1"/>
    <w:rsid w:val="00D45FBB"/>
    <w:rsid w:val="00D4640F"/>
    <w:rsid w:val="00D46807"/>
    <w:rsid w:val="00D46DCA"/>
    <w:rsid w:val="00D47052"/>
    <w:rsid w:val="00D470C3"/>
    <w:rsid w:val="00D4714F"/>
    <w:rsid w:val="00D47259"/>
    <w:rsid w:val="00D4777C"/>
    <w:rsid w:val="00D477ED"/>
    <w:rsid w:val="00D478D6"/>
    <w:rsid w:val="00D479CE"/>
    <w:rsid w:val="00D47F9A"/>
    <w:rsid w:val="00D50123"/>
    <w:rsid w:val="00D5027A"/>
    <w:rsid w:val="00D5099E"/>
    <w:rsid w:val="00D50C42"/>
    <w:rsid w:val="00D50C6B"/>
    <w:rsid w:val="00D50D7E"/>
    <w:rsid w:val="00D511F4"/>
    <w:rsid w:val="00D51203"/>
    <w:rsid w:val="00D512CE"/>
    <w:rsid w:val="00D5149E"/>
    <w:rsid w:val="00D5158E"/>
    <w:rsid w:val="00D518B2"/>
    <w:rsid w:val="00D51A9F"/>
    <w:rsid w:val="00D51C3D"/>
    <w:rsid w:val="00D523F2"/>
    <w:rsid w:val="00D5268D"/>
    <w:rsid w:val="00D52A25"/>
    <w:rsid w:val="00D52CD6"/>
    <w:rsid w:val="00D52E0F"/>
    <w:rsid w:val="00D52E74"/>
    <w:rsid w:val="00D53F19"/>
    <w:rsid w:val="00D5429F"/>
    <w:rsid w:val="00D542E6"/>
    <w:rsid w:val="00D547EE"/>
    <w:rsid w:val="00D5489B"/>
    <w:rsid w:val="00D54E7D"/>
    <w:rsid w:val="00D54EEF"/>
    <w:rsid w:val="00D55367"/>
    <w:rsid w:val="00D55444"/>
    <w:rsid w:val="00D5571D"/>
    <w:rsid w:val="00D557E5"/>
    <w:rsid w:val="00D55E49"/>
    <w:rsid w:val="00D56120"/>
    <w:rsid w:val="00D5638A"/>
    <w:rsid w:val="00D56482"/>
    <w:rsid w:val="00D56B1E"/>
    <w:rsid w:val="00D56DCA"/>
    <w:rsid w:val="00D570EB"/>
    <w:rsid w:val="00D571F3"/>
    <w:rsid w:val="00D573FE"/>
    <w:rsid w:val="00D5748A"/>
    <w:rsid w:val="00D57710"/>
    <w:rsid w:val="00D5798C"/>
    <w:rsid w:val="00D57D59"/>
    <w:rsid w:val="00D57E2D"/>
    <w:rsid w:val="00D60FB7"/>
    <w:rsid w:val="00D61F13"/>
    <w:rsid w:val="00D61FD9"/>
    <w:rsid w:val="00D620B7"/>
    <w:rsid w:val="00D6214F"/>
    <w:rsid w:val="00D62676"/>
    <w:rsid w:val="00D62ADF"/>
    <w:rsid w:val="00D639C1"/>
    <w:rsid w:val="00D63E10"/>
    <w:rsid w:val="00D63E2B"/>
    <w:rsid w:val="00D63FD1"/>
    <w:rsid w:val="00D641B6"/>
    <w:rsid w:val="00D643CE"/>
    <w:rsid w:val="00D65005"/>
    <w:rsid w:val="00D65134"/>
    <w:rsid w:val="00D65382"/>
    <w:rsid w:val="00D656EE"/>
    <w:rsid w:val="00D65F72"/>
    <w:rsid w:val="00D66011"/>
    <w:rsid w:val="00D66C87"/>
    <w:rsid w:val="00D66E0F"/>
    <w:rsid w:val="00D66FDE"/>
    <w:rsid w:val="00D67436"/>
    <w:rsid w:val="00D67735"/>
    <w:rsid w:val="00D679BB"/>
    <w:rsid w:val="00D67B86"/>
    <w:rsid w:val="00D67BAC"/>
    <w:rsid w:val="00D67D60"/>
    <w:rsid w:val="00D67F1E"/>
    <w:rsid w:val="00D70080"/>
    <w:rsid w:val="00D70292"/>
    <w:rsid w:val="00D70297"/>
    <w:rsid w:val="00D702B3"/>
    <w:rsid w:val="00D704AC"/>
    <w:rsid w:val="00D70CF5"/>
    <w:rsid w:val="00D71948"/>
    <w:rsid w:val="00D719B6"/>
    <w:rsid w:val="00D71E2E"/>
    <w:rsid w:val="00D71F97"/>
    <w:rsid w:val="00D724C5"/>
    <w:rsid w:val="00D7250C"/>
    <w:rsid w:val="00D72BFE"/>
    <w:rsid w:val="00D736EE"/>
    <w:rsid w:val="00D7377C"/>
    <w:rsid w:val="00D73BE9"/>
    <w:rsid w:val="00D73E04"/>
    <w:rsid w:val="00D74033"/>
    <w:rsid w:val="00D7423F"/>
    <w:rsid w:val="00D7440E"/>
    <w:rsid w:val="00D748E0"/>
    <w:rsid w:val="00D7492C"/>
    <w:rsid w:val="00D74963"/>
    <w:rsid w:val="00D74A09"/>
    <w:rsid w:val="00D74A70"/>
    <w:rsid w:val="00D74B04"/>
    <w:rsid w:val="00D74B97"/>
    <w:rsid w:val="00D74E9F"/>
    <w:rsid w:val="00D750C2"/>
    <w:rsid w:val="00D755C5"/>
    <w:rsid w:val="00D75E28"/>
    <w:rsid w:val="00D760BB"/>
    <w:rsid w:val="00D76166"/>
    <w:rsid w:val="00D7617B"/>
    <w:rsid w:val="00D76788"/>
    <w:rsid w:val="00D76865"/>
    <w:rsid w:val="00D771A4"/>
    <w:rsid w:val="00D772CC"/>
    <w:rsid w:val="00D7742C"/>
    <w:rsid w:val="00D77461"/>
    <w:rsid w:val="00D77B05"/>
    <w:rsid w:val="00D77E15"/>
    <w:rsid w:val="00D80048"/>
    <w:rsid w:val="00D801A5"/>
    <w:rsid w:val="00D802EB"/>
    <w:rsid w:val="00D80662"/>
    <w:rsid w:val="00D806E0"/>
    <w:rsid w:val="00D80903"/>
    <w:rsid w:val="00D80C51"/>
    <w:rsid w:val="00D81179"/>
    <w:rsid w:val="00D816A3"/>
    <w:rsid w:val="00D816C3"/>
    <w:rsid w:val="00D81A05"/>
    <w:rsid w:val="00D81A6B"/>
    <w:rsid w:val="00D822F5"/>
    <w:rsid w:val="00D82504"/>
    <w:rsid w:val="00D8263D"/>
    <w:rsid w:val="00D82ACD"/>
    <w:rsid w:val="00D82C40"/>
    <w:rsid w:val="00D82CB1"/>
    <w:rsid w:val="00D8323D"/>
    <w:rsid w:val="00D835E5"/>
    <w:rsid w:val="00D83823"/>
    <w:rsid w:val="00D83A6F"/>
    <w:rsid w:val="00D83D5E"/>
    <w:rsid w:val="00D83EDE"/>
    <w:rsid w:val="00D84537"/>
    <w:rsid w:val="00D84FE0"/>
    <w:rsid w:val="00D850A5"/>
    <w:rsid w:val="00D8544F"/>
    <w:rsid w:val="00D85608"/>
    <w:rsid w:val="00D857D0"/>
    <w:rsid w:val="00D865C9"/>
    <w:rsid w:val="00D867C4"/>
    <w:rsid w:val="00D86EAB"/>
    <w:rsid w:val="00D86FF8"/>
    <w:rsid w:val="00D87429"/>
    <w:rsid w:val="00D876C9"/>
    <w:rsid w:val="00D87B81"/>
    <w:rsid w:val="00D87BFA"/>
    <w:rsid w:val="00D87D4F"/>
    <w:rsid w:val="00D9006A"/>
    <w:rsid w:val="00D90338"/>
    <w:rsid w:val="00D90371"/>
    <w:rsid w:val="00D90598"/>
    <w:rsid w:val="00D9076C"/>
    <w:rsid w:val="00D90799"/>
    <w:rsid w:val="00D90A26"/>
    <w:rsid w:val="00D90BC4"/>
    <w:rsid w:val="00D90E94"/>
    <w:rsid w:val="00D910F0"/>
    <w:rsid w:val="00D91298"/>
    <w:rsid w:val="00D912E7"/>
    <w:rsid w:val="00D9150E"/>
    <w:rsid w:val="00D9157E"/>
    <w:rsid w:val="00D915A8"/>
    <w:rsid w:val="00D918EC"/>
    <w:rsid w:val="00D919A4"/>
    <w:rsid w:val="00D91C66"/>
    <w:rsid w:val="00D91C97"/>
    <w:rsid w:val="00D920EB"/>
    <w:rsid w:val="00D920F3"/>
    <w:rsid w:val="00D92166"/>
    <w:rsid w:val="00D922A8"/>
    <w:rsid w:val="00D92854"/>
    <w:rsid w:val="00D92933"/>
    <w:rsid w:val="00D92F80"/>
    <w:rsid w:val="00D934B1"/>
    <w:rsid w:val="00D93657"/>
    <w:rsid w:val="00D936D9"/>
    <w:rsid w:val="00D93943"/>
    <w:rsid w:val="00D93961"/>
    <w:rsid w:val="00D939C0"/>
    <w:rsid w:val="00D940DB"/>
    <w:rsid w:val="00D94462"/>
    <w:rsid w:val="00D9461C"/>
    <w:rsid w:val="00D94764"/>
    <w:rsid w:val="00D94C74"/>
    <w:rsid w:val="00D94CF3"/>
    <w:rsid w:val="00D94E88"/>
    <w:rsid w:val="00D94FBA"/>
    <w:rsid w:val="00D94FCE"/>
    <w:rsid w:val="00D951E0"/>
    <w:rsid w:val="00D952F7"/>
    <w:rsid w:val="00D95477"/>
    <w:rsid w:val="00D957AB"/>
    <w:rsid w:val="00D959C4"/>
    <w:rsid w:val="00D95AD0"/>
    <w:rsid w:val="00D95BCE"/>
    <w:rsid w:val="00D95C9C"/>
    <w:rsid w:val="00D96752"/>
    <w:rsid w:val="00D96E5D"/>
    <w:rsid w:val="00D96F85"/>
    <w:rsid w:val="00D96FD9"/>
    <w:rsid w:val="00D970D3"/>
    <w:rsid w:val="00D9711F"/>
    <w:rsid w:val="00D97347"/>
    <w:rsid w:val="00D97540"/>
    <w:rsid w:val="00D97638"/>
    <w:rsid w:val="00D978C6"/>
    <w:rsid w:val="00D97B0B"/>
    <w:rsid w:val="00D97DEF"/>
    <w:rsid w:val="00DA0121"/>
    <w:rsid w:val="00DA04E7"/>
    <w:rsid w:val="00DA087F"/>
    <w:rsid w:val="00DA0959"/>
    <w:rsid w:val="00DA1220"/>
    <w:rsid w:val="00DA19D2"/>
    <w:rsid w:val="00DA1A21"/>
    <w:rsid w:val="00DA1CBC"/>
    <w:rsid w:val="00DA1EE9"/>
    <w:rsid w:val="00DA23D9"/>
    <w:rsid w:val="00DA24FF"/>
    <w:rsid w:val="00DA2AFE"/>
    <w:rsid w:val="00DA2BF5"/>
    <w:rsid w:val="00DA2EA3"/>
    <w:rsid w:val="00DA2ECA"/>
    <w:rsid w:val="00DA34D1"/>
    <w:rsid w:val="00DA35E4"/>
    <w:rsid w:val="00DA37E8"/>
    <w:rsid w:val="00DA3820"/>
    <w:rsid w:val="00DA3A0C"/>
    <w:rsid w:val="00DA3E4E"/>
    <w:rsid w:val="00DA3FAD"/>
    <w:rsid w:val="00DA45BB"/>
    <w:rsid w:val="00DA46F5"/>
    <w:rsid w:val="00DA4846"/>
    <w:rsid w:val="00DA4B04"/>
    <w:rsid w:val="00DA4B60"/>
    <w:rsid w:val="00DA4D60"/>
    <w:rsid w:val="00DA4EEB"/>
    <w:rsid w:val="00DA4FCD"/>
    <w:rsid w:val="00DA50C7"/>
    <w:rsid w:val="00DA50CF"/>
    <w:rsid w:val="00DA514D"/>
    <w:rsid w:val="00DA55F5"/>
    <w:rsid w:val="00DA58C8"/>
    <w:rsid w:val="00DA5998"/>
    <w:rsid w:val="00DA5B50"/>
    <w:rsid w:val="00DA5DBF"/>
    <w:rsid w:val="00DA6167"/>
    <w:rsid w:val="00DA6356"/>
    <w:rsid w:val="00DA63BE"/>
    <w:rsid w:val="00DA66FF"/>
    <w:rsid w:val="00DA6726"/>
    <w:rsid w:val="00DA68CF"/>
    <w:rsid w:val="00DA6DE0"/>
    <w:rsid w:val="00DA71D1"/>
    <w:rsid w:val="00DA7243"/>
    <w:rsid w:val="00DA78A9"/>
    <w:rsid w:val="00DA7924"/>
    <w:rsid w:val="00DA7D25"/>
    <w:rsid w:val="00DA7E74"/>
    <w:rsid w:val="00DB012E"/>
    <w:rsid w:val="00DB0158"/>
    <w:rsid w:val="00DB0343"/>
    <w:rsid w:val="00DB0AD3"/>
    <w:rsid w:val="00DB12CB"/>
    <w:rsid w:val="00DB14CE"/>
    <w:rsid w:val="00DB1DDF"/>
    <w:rsid w:val="00DB2035"/>
    <w:rsid w:val="00DB2177"/>
    <w:rsid w:val="00DB2262"/>
    <w:rsid w:val="00DB23DD"/>
    <w:rsid w:val="00DB255A"/>
    <w:rsid w:val="00DB298D"/>
    <w:rsid w:val="00DB2B2C"/>
    <w:rsid w:val="00DB2B3C"/>
    <w:rsid w:val="00DB2CA2"/>
    <w:rsid w:val="00DB304A"/>
    <w:rsid w:val="00DB3295"/>
    <w:rsid w:val="00DB3348"/>
    <w:rsid w:val="00DB33F5"/>
    <w:rsid w:val="00DB34A2"/>
    <w:rsid w:val="00DB3878"/>
    <w:rsid w:val="00DB38F9"/>
    <w:rsid w:val="00DB3ADC"/>
    <w:rsid w:val="00DB40CE"/>
    <w:rsid w:val="00DB41AE"/>
    <w:rsid w:val="00DB43E7"/>
    <w:rsid w:val="00DB494E"/>
    <w:rsid w:val="00DB4B4C"/>
    <w:rsid w:val="00DB4BBD"/>
    <w:rsid w:val="00DB5534"/>
    <w:rsid w:val="00DB5608"/>
    <w:rsid w:val="00DB5C71"/>
    <w:rsid w:val="00DB5DD4"/>
    <w:rsid w:val="00DB6764"/>
    <w:rsid w:val="00DB6917"/>
    <w:rsid w:val="00DB6A0B"/>
    <w:rsid w:val="00DB6D5F"/>
    <w:rsid w:val="00DB714C"/>
    <w:rsid w:val="00DB7299"/>
    <w:rsid w:val="00DB7664"/>
    <w:rsid w:val="00DB788E"/>
    <w:rsid w:val="00DB7B0C"/>
    <w:rsid w:val="00DB7F18"/>
    <w:rsid w:val="00DB7FD6"/>
    <w:rsid w:val="00DB7FE7"/>
    <w:rsid w:val="00DC09EA"/>
    <w:rsid w:val="00DC1807"/>
    <w:rsid w:val="00DC1A99"/>
    <w:rsid w:val="00DC1AC3"/>
    <w:rsid w:val="00DC234F"/>
    <w:rsid w:val="00DC2463"/>
    <w:rsid w:val="00DC2D56"/>
    <w:rsid w:val="00DC2E60"/>
    <w:rsid w:val="00DC2F52"/>
    <w:rsid w:val="00DC336A"/>
    <w:rsid w:val="00DC4043"/>
    <w:rsid w:val="00DC466F"/>
    <w:rsid w:val="00DC4760"/>
    <w:rsid w:val="00DC4D83"/>
    <w:rsid w:val="00DC4E15"/>
    <w:rsid w:val="00DC5244"/>
    <w:rsid w:val="00DC559E"/>
    <w:rsid w:val="00DC5BC3"/>
    <w:rsid w:val="00DC649E"/>
    <w:rsid w:val="00DC6BC1"/>
    <w:rsid w:val="00DC6C22"/>
    <w:rsid w:val="00DC6CE3"/>
    <w:rsid w:val="00DC6DF1"/>
    <w:rsid w:val="00DC6E8E"/>
    <w:rsid w:val="00DC716A"/>
    <w:rsid w:val="00DC740F"/>
    <w:rsid w:val="00DC7539"/>
    <w:rsid w:val="00DC7907"/>
    <w:rsid w:val="00DC790E"/>
    <w:rsid w:val="00DC7BFD"/>
    <w:rsid w:val="00DC7D47"/>
    <w:rsid w:val="00DD0B75"/>
    <w:rsid w:val="00DD1168"/>
    <w:rsid w:val="00DD17C1"/>
    <w:rsid w:val="00DD1921"/>
    <w:rsid w:val="00DD1949"/>
    <w:rsid w:val="00DD1C92"/>
    <w:rsid w:val="00DD221D"/>
    <w:rsid w:val="00DD2397"/>
    <w:rsid w:val="00DD2991"/>
    <w:rsid w:val="00DD2D5E"/>
    <w:rsid w:val="00DD30E9"/>
    <w:rsid w:val="00DD3182"/>
    <w:rsid w:val="00DD36AE"/>
    <w:rsid w:val="00DD3980"/>
    <w:rsid w:val="00DD39F5"/>
    <w:rsid w:val="00DD3BB3"/>
    <w:rsid w:val="00DD3C90"/>
    <w:rsid w:val="00DD4029"/>
    <w:rsid w:val="00DD41A3"/>
    <w:rsid w:val="00DD42A3"/>
    <w:rsid w:val="00DD42BE"/>
    <w:rsid w:val="00DD447D"/>
    <w:rsid w:val="00DD4670"/>
    <w:rsid w:val="00DD4682"/>
    <w:rsid w:val="00DD4749"/>
    <w:rsid w:val="00DD47DD"/>
    <w:rsid w:val="00DD4D68"/>
    <w:rsid w:val="00DD5214"/>
    <w:rsid w:val="00DD56CB"/>
    <w:rsid w:val="00DD5934"/>
    <w:rsid w:val="00DD5B1C"/>
    <w:rsid w:val="00DD5F34"/>
    <w:rsid w:val="00DD6798"/>
    <w:rsid w:val="00DD685A"/>
    <w:rsid w:val="00DD6DB1"/>
    <w:rsid w:val="00DD70AA"/>
    <w:rsid w:val="00DD73BE"/>
    <w:rsid w:val="00DD776C"/>
    <w:rsid w:val="00DD77E7"/>
    <w:rsid w:val="00DD7924"/>
    <w:rsid w:val="00DD796D"/>
    <w:rsid w:val="00DD7A6A"/>
    <w:rsid w:val="00DD7C8C"/>
    <w:rsid w:val="00DD7F8A"/>
    <w:rsid w:val="00DE0726"/>
    <w:rsid w:val="00DE0872"/>
    <w:rsid w:val="00DE0AD6"/>
    <w:rsid w:val="00DE10A3"/>
    <w:rsid w:val="00DE1243"/>
    <w:rsid w:val="00DE1345"/>
    <w:rsid w:val="00DE17AD"/>
    <w:rsid w:val="00DE1A64"/>
    <w:rsid w:val="00DE1B7F"/>
    <w:rsid w:val="00DE1BFF"/>
    <w:rsid w:val="00DE1DBD"/>
    <w:rsid w:val="00DE2799"/>
    <w:rsid w:val="00DE2978"/>
    <w:rsid w:val="00DE2BE5"/>
    <w:rsid w:val="00DE34E8"/>
    <w:rsid w:val="00DE36B8"/>
    <w:rsid w:val="00DE3758"/>
    <w:rsid w:val="00DE39FE"/>
    <w:rsid w:val="00DE3C1B"/>
    <w:rsid w:val="00DE44E9"/>
    <w:rsid w:val="00DE4808"/>
    <w:rsid w:val="00DE480B"/>
    <w:rsid w:val="00DE483B"/>
    <w:rsid w:val="00DE499D"/>
    <w:rsid w:val="00DE49F2"/>
    <w:rsid w:val="00DE4AF0"/>
    <w:rsid w:val="00DE4C86"/>
    <w:rsid w:val="00DE4FC9"/>
    <w:rsid w:val="00DE5324"/>
    <w:rsid w:val="00DE5332"/>
    <w:rsid w:val="00DE5474"/>
    <w:rsid w:val="00DE554D"/>
    <w:rsid w:val="00DE56DF"/>
    <w:rsid w:val="00DE56FB"/>
    <w:rsid w:val="00DE5815"/>
    <w:rsid w:val="00DE598E"/>
    <w:rsid w:val="00DE5C87"/>
    <w:rsid w:val="00DE5D1A"/>
    <w:rsid w:val="00DE5D21"/>
    <w:rsid w:val="00DE5EE5"/>
    <w:rsid w:val="00DE648E"/>
    <w:rsid w:val="00DE6575"/>
    <w:rsid w:val="00DE6A9E"/>
    <w:rsid w:val="00DE75C6"/>
    <w:rsid w:val="00DE788C"/>
    <w:rsid w:val="00DE7B4D"/>
    <w:rsid w:val="00DE7BD0"/>
    <w:rsid w:val="00DE7BF8"/>
    <w:rsid w:val="00DE7F6C"/>
    <w:rsid w:val="00DF0028"/>
    <w:rsid w:val="00DF0240"/>
    <w:rsid w:val="00DF049C"/>
    <w:rsid w:val="00DF06D4"/>
    <w:rsid w:val="00DF100F"/>
    <w:rsid w:val="00DF11EF"/>
    <w:rsid w:val="00DF17F3"/>
    <w:rsid w:val="00DF2018"/>
    <w:rsid w:val="00DF2140"/>
    <w:rsid w:val="00DF23EF"/>
    <w:rsid w:val="00DF249D"/>
    <w:rsid w:val="00DF2AEA"/>
    <w:rsid w:val="00DF2C6E"/>
    <w:rsid w:val="00DF3364"/>
    <w:rsid w:val="00DF343F"/>
    <w:rsid w:val="00DF38F6"/>
    <w:rsid w:val="00DF3BF3"/>
    <w:rsid w:val="00DF4030"/>
    <w:rsid w:val="00DF410F"/>
    <w:rsid w:val="00DF41B2"/>
    <w:rsid w:val="00DF42C6"/>
    <w:rsid w:val="00DF43B1"/>
    <w:rsid w:val="00DF4834"/>
    <w:rsid w:val="00DF48A3"/>
    <w:rsid w:val="00DF4D9B"/>
    <w:rsid w:val="00DF4EAA"/>
    <w:rsid w:val="00DF53E5"/>
    <w:rsid w:val="00DF5916"/>
    <w:rsid w:val="00DF5D15"/>
    <w:rsid w:val="00DF5EC6"/>
    <w:rsid w:val="00DF6149"/>
    <w:rsid w:val="00DF6D5A"/>
    <w:rsid w:val="00DF6DA3"/>
    <w:rsid w:val="00DF70B3"/>
    <w:rsid w:val="00DF70CC"/>
    <w:rsid w:val="00DF75AA"/>
    <w:rsid w:val="00E00522"/>
    <w:rsid w:val="00E00764"/>
    <w:rsid w:val="00E00D25"/>
    <w:rsid w:val="00E00DDD"/>
    <w:rsid w:val="00E010C6"/>
    <w:rsid w:val="00E01B03"/>
    <w:rsid w:val="00E01B86"/>
    <w:rsid w:val="00E01C7F"/>
    <w:rsid w:val="00E023E3"/>
    <w:rsid w:val="00E02461"/>
    <w:rsid w:val="00E02941"/>
    <w:rsid w:val="00E02A82"/>
    <w:rsid w:val="00E02AF6"/>
    <w:rsid w:val="00E02CBD"/>
    <w:rsid w:val="00E02DCB"/>
    <w:rsid w:val="00E03346"/>
    <w:rsid w:val="00E036ED"/>
    <w:rsid w:val="00E038D4"/>
    <w:rsid w:val="00E03AB4"/>
    <w:rsid w:val="00E03AB8"/>
    <w:rsid w:val="00E03C9F"/>
    <w:rsid w:val="00E03E42"/>
    <w:rsid w:val="00E03FAE"/>
    <w:rsid w:val="00E04007"/>
    <w:rsid w:val="00E0400B"/>
    <w:rsid w:val="00E042D1"/>
    <w:rsid w:val="00E043AB"/>
    <w:rsid w:val="00E043BC"/>
    <w:rsid w:val="00E046FB"/>
    <w:rsid w:val="00E049A1"/>
    <w:rsid w:val="00E04EF5"/>
    <w:rsid w:val="00E04F04"/>
    <w:rsid w:val="00E050CF"/>
    <w:rsid w:val="00E05186"/>
    <w:rsid w:val="00E051C5"/>
    <w:rsid w:val="00E053C1"/>
    <w:rsid w:val="00E05BBB"/>
    <w:rsid w:val="00E06073"/>
    <w:rsid w:val="00E06631"/>
    <w:rsid w:val="00E068CF"/>
    <w:rsid w:val="00E06B56"/>
    <w:rsid w:val="00E06D2D"/>
    <w:rsid w:val="00E07242"/>
    <w:rsid w:val="00E0734F"/>
    <w:rsid w:val="00E0760E"/>
    <w:rsid w:val="00E07B3B"/>
    <w:rsid w:val="00E07FC0"/>
    <w:rsid w:val="00E10116"/>
    <w:rsid w:val="00E1087D"/>
    <w:rsid w:val="00E108A2"/>
    <w:rsid w:val="00E10B76"/>
    <w:rsid w:val="00E10C75"/>
    <w:rsid w:val="00E10F1B"/>
    <w:rsid w:val="00E116AA"/>
    <w:rsid w:val="00E11712"/>
    <w:rsid w:val="00E1180E"/>
    <w:rsid w:val="00E11F8E"/>
    <w:rsid w:val="00E12362"/>
    <w:rsid w:val="00E12E0A"/>
    <w:rsid w:val="00E13052"/>
    <w:rsid w:val="00E13681"/>
    <w:rsid w:val="00E136BD"/>
    <w:rsid w:val="00E13CE1"/>
    <w:rsid w:val="00E141DC"/>
    <w:rsid w:val="00E14483"/>
    <w:rsid w:val="00E14670"/>
    <w:rsid w:val="00E146C5"/>
    <w:rsid w:val="00E14E63"/>
    <w:rsid w:val="00E15116"/>
    <w:rsid w:val="00E153B6"/>
    <w:rsid w:val="00E1553A"/>
    <w:rsid w:val="00E1558E"/>
    <w:rsid w:val="00E157BA"/>
    <w:rsid w:val="00E15917"/>
    <w:rsid w:val="00E15BE4"/>
    <w:rsid w:val="00E168BA"/>
    <w:rsid w:val="00E168E6"/>
    <w:rsid w:val="00E16A6D"/>
    <w:rsid w:val="00E16BE4"/>
    <w:rsid w:val="00E16D46"/>
    <w:rsid w:val="00E16FF9"/>
    <w:rsid w:val="00E171AC"/>
    <w:rsid w:val="00E17289"/>
    <w:rsid w:val="00E17447"/>
    <w:rsid w:val="00E1762F"/>
    <w:rsid w:val="00E1776A"/>
    <w:rsid w:val="00E177A2"/>
    <w:rsid w:val="00E17911"/>
    <w:rsid w:val="00E17ADF"/>
    <w:rsid w:val="00E17B52"/>
    <w:rsid w:val="00E17B72"/>
    <w:rsid w:val="00E17CCD"/>
    <w:rsid w:val="00E17EF8"/>
    <w:rsid w:val="00E17F5D"/>
    <w:rsid w:val="00E2017B"/>
    <w:rsid w:val="00E204BF"/>
    <w:rsid w:val="00E20657"/>
    <w:rsid w:val="00E20717"/>
    <w:rsid w:val="00E20B4E"/>
    <w:rsid w:val="00E20BDF"/>
    <w:rsid w:val="00E20DA9"/>
    <w:rsid w:val="00E21243"/>
    <w:rsid w:val="00E213B3"/>
    <w:rsid w:val="00E219CB"/>
    <w:rsid w:val="00E2216A"/>
    <w:rsid w:val="00E221BD"/>
    <w:rsid w:val="00E22758"/>
    <w:rsid w:val="00E22799"/>
    <w:rsid w:val="00E22A64"/>
    <w:rsid w:val="00E2318D"/>
    <w:rsid w:val="00E235BF"/>
    <w:rsid w:val="00E2364D"/>
    <w:rsid w:val="00E23CEC"/>
    <w:rsid w:val="00E23E4D"/>
    <w:rsid w:val="00E23E9F"/>
    <w:rsid w:val="00E240AB"/>
    <w:rsid w:val="00E24200"/>
    <w:rsid w:val="00E24207"/>
    <w:rsid w:val="00E2433D"/>
    <w:rsid w:val="00E243E1"/>
    <w:rsid w:val="00E2499D"/>
    <w:rsid w:val="00E24C6A"/>
    <w:rsid w:val="00E25211"/>
    <w:rsid w:val="00E25964"/>
    <w:rsid w:val="00E259CD"/>
    <w:rsid w:val="00E26735"/>
    <w:rsid w:val="00E26F63"/>
    <w:rsid w:val="00E2719F"/>
    <w:rsid w:val="00E27902"/>
    <w:rsid w:val="00E27A8C"/>
    <w:rsid w:val="00E27FCD"/>
    <w:rsid w:val="00E307D6"/>
    <w:rsid w:val="00E30A44"/>
    <w:rsid w:val="00E30CA9"/>
    <w:rsid w:val="00E310FA"/>
    <w:rsid w:val="00E315CE"/>
    <w:rsid w:val="00E3189A"/>
    <w:rsid w:val="00E31D97"/>
    <w:rsid w:val="00E3290F"/>
    <w:rsid w:val="00E32E80"/>
    <w:rsid w:val="00E33301"/>
    <w:rsid w:val="00E333F1"/>
    <w:rsid w:val="00E33901"/>
    <w:rsid w:val="00E34412"/>
    <w:rsid w:val="00E345C1"/>
    <w:rsid w:val="00E349E4"/>
    <w:rsid w:val="00E34C5C"/>
    <w:rsid w:val="00E34DAC"/>
    <w:rsid w:val="00E35312"/>
    <w:rsid w:val="00E354DE"/>
    <w:rsid w:val="00E3560F"/>
    <w:rsid w:val="00E3565E"/>
    <w:rsid w:val="00E35FBE"/>
    <w:rsid w:val="00E360B1"/>
    <w:rsid w:val="00E3637C"/>
    <w:rsid w:val="00E36391"/>
    <w:rsid w:val="00E36F7F"/>
    <w:rsid w:val="00E37A8B"/>
    <w:rsid w:val="00E37AC6"/>
    <w:rsid w:val="00E37AED"/>
    <w:rsid w:val="00E40420"/>
    <w:rsid w:val="00E40529"/>
    <w:rsid w:val="00E407EC"/>
    <w:rsid w:val="00E40E41"/>
    <w:rsid w:val="00E40EEB"/>
    <w:rsid w:val="00E410A6"/>
    <w:rsid w:val="00E41232"/>
    <w:rsid w:val="00E4149B"/>
    <w:rsid w:val="00E4152F"/>
    <w:rsid w:val="00E42104"/>
    <w:rsid w:val="00E4214B"/>
    <w:rsid w:val="00E425F2"/>
    <w:rsid w:val="00E42867"/>
    <w:rsid w:val="00E42FE9"/>
    <w:rsid w:val="00E4309E"/>
    <w:rsid w:val="00E43185"/>
    <w:rsid w:val="00E439BC"/>
    <w:rsid w:val="00E43BAF"/>
    <w:rsid w:val="00E444B1"/>
    <w:rsid w:val="00E448C4"/>
    <w:rsid w:val="00E449C8"/>
    <w:rsid w:val="00E44A44"/>
    <w:rsid w:val="00E44BC7"/>
    <w:rsid w:val="00E44C34"/>
    <w:rsid w:val="00E44F80"/>
    <w:rsid w:val="00E45008"/>
    <w:rsid w:val="00E458F6"/>
    <w:rsid w:val="00E45959"/>
    <w:rsid w:val="00E45FEE"/>
    <w:rsid w:val="00E46729"/>
    <w:rsid w:val="00E46736"/>
    <w:rsid w:val="00E4673B"/>
    <w:rsid w:val="00E46C34"/>
    <w:rsid w:val="00E46D95"/>
    <w:rsid w:val="00E47279"/>
    <w:rsid w:val="00E472C7"/>
    <w:rsid w:val="00E4744B"/>
    <w:rsid w:val="00E4791F"/>
    <w:rsid w:val="00E47968"/>
    <w:rsid w:val="00E47993"/>
    <w:rsid w:val="00E47B6B"/>
    <w:rsid w:val="00E47E28"/>
    <w:rsid w:val="00E47F75"/>
    <w:rsid w:val="00E47F7C"/>
    <w:rsid w:val="00E505EF"/>
    <w:rsid w:val="00E507CF"/>
    <w:rsid w:val="00E50987"/>
    <w:rsid w:val="00E50BDF"/>
    <w:rsid w:val="00E50D8A"/>
    <w:rsid w:val="00E51136"/>
    <w:rsid w:val="00E511FF"/>
    <w:rsid w:val="00E51200"/>
    <w:rsid w:val="00E51B5D"/>
    <w:rsid w:val="00E51C8A"/>
    <w:rsid w:val="00E51CF7"/>
    <w:rsid w:val="00E51E9B"/>
    <w:rsid w:val="00E51EDE"/>
    <w:rsid w:val="00E51EE5"/>
    <w:rsid w:val="00E5201D"/>
    <w:rsid w:val="00E5236D"/>
    <w:rsid w:val="00E5258A"/>
    <w:rsid w:val="00E52638"/>
    <w:rsid w:val="00E527B8"/>
    <w:rsid w:val="00E52A5B"/>
    <w:rsid w:val="00E52B0B"/>
    <w:rsid w:val="00E52B8B"/>
    <w:rsid w:val="00E52FEE"/>
    <w:rsid w:val="00E530C5"/>
    <w:rsid w:val="00E53291"/>
    <w:rsid w:val="00E53627"/>
    <w:rsid w:val="00E53856"/>
    <w:rsid w:val="00E538B7"/>
    <w:rsid w:val="00E539B4"/>
    <w:rsid w:val="00E53A0C"/>
    <w:rsid w:val="00E53E38"/>
    <w:rsid w:val="00E541EF"/>
    <w:rsid w:val="00E542AA"/>
    <w:rsid w:val="00E5496E"/>
    <w:rsid w:val="00E54B36"/>
    <w:rsid w:val="00E54DCF"/>
    <w:rsid w:val="00E54EDD"/>
    <w:rsid w:val="00E54F10"/>
    <w:rsid w:val="00E55171"/>
    <w:rsid w:val="00E55985"/>
    <w:rsid w:val="00E56019"/>
    <w:rsid w:val="00E561DD"/>
    <w:rsid w:val="00E56353"/>
    <w:rsid w:val="00E56377"/>
    <w:rsid w:val="00E5669D"/>
    <w:rsid w:val="00E5690C"/>
    <w:rsid w:val="00E56B21"/>
    <w:rsid w:val="00E57143"/>
    <w:rsid w:val="00E57B3A"/>
    <w:rsid w:val="00E57F62"/>
    <w:rsid w:val="00E601CB"/>
    <w:rsid w:val="00E60347"/>
    <w:rsid w:val="00E603D3"/>
    <w:rsid w:val="00E60C81"/>
    <w:rsid w:val="00E60E3A"/>
    <w:rsid w:val="00E61237"/>
    <w:rsid w:val="00E61297"/>
    <w:rsid w:val="00E61541"/>
    <w:rsid w:val="00E61CED"/>
    <w:rsid w:val="00E61E6B"/>
    <w:rsid w:val="00E621D4"/>
    <w:rsid w:val="00E62462"/>
    <w:rsid w:val="00E62A6B"/>
    <w:rsid w:val="00E62E0F"/>
    <w:rsid w:val="00E63637"/>
    <w:rsid w:val="00E638B2"/>
    <w:rsid w:val="00E639C0"/>
    <w:rsid w:val="00E6470C"/>
    <w:rsid w:val="00E6476B"/>
    <w:rsid w:val="00E64D9F"/>
    <w:rsid w:val="00E654C2"/>
    <w:rsid w:val="00E65510"/>
    <w:rsid w:val="00E659FC"/>
    <w:rsid w:val="00E65ADE"/>
    <w:rsid w:val="00E65B32"/>
    <w:rsid w:val="00E65E29"/>
    <w:rsid w:val="00E6601D"/>
    <w:rsid w:val="00E6617E"/>
    <w:rsid w:val="00E6653D"/>
    <w:rsid w:val="00E66671"/>
    <w:rsid w:val="00E668E7"/>
    <w:rsid w:val="00E66A2C"/>
    <w:rsid w:val="00E66BD9"/>
    <w:rsid w:val="00E674E4"/>
    <w:rsid w:val="00E675AA"/>
    <w:rsid w:val="00E67826"/>
    <w:rsid w:val="00E67A70"/>
    <w:rsid w:val="00E67A8B"/>
    <w:rsid w:val="00E67CED"/>
    <w:rsid w:val="00E67D4D"/>
    <w:rsid w:val="00E67E4C"/>
    <w:rsid w:val="00E67F8D"/>
    <w:rsid w:val="00E700E7"/>
    <w:rsid w:val="00E7067D"/>
    <w:rsid w:val="00E70768"/>
    <w:rsid w:val="00E70B71"/>
    <w:rsid w:val="00E70D87"/>
    <w:rsid w:val="00E70D89"/>
    <w:rsid w:val="00E712B8"/>
    <w:rsid w:val="00E714D2"/>
    <w:rsid w:val="00E718BA"/>
    <w:rsid w:val="00E71EEF"/>
    <w:rsid w:val="00E722F4"/>
    <w:rsid w:val="00E7231F"/>
    <w:rsid w:val="00E725B2"/>
    <w:rsid w:val="00E72609"/>
    <w:rsid w:val="00E727BD"/>
    <w:rsid w:val="00E72887"/>
    <w:rsid w:val="00E72A06"/>
    <w:rsid w:val="00E72B70"/>
    <w:rsid w:val="00E72C38"/>
    <w:rsid w:val="00E731DD"/>
    <w:rsid w:val="00E736C9"/>
    <w:rsid w:val="00E73700"/>
    <w:rsid w:val="00E737A6"/>
    <w:rsid w:val="00E73C56"/>
    <w:rsid w:val="00E73D09"/>
    <w:rsid w:val="00E73F2A"/>
    <w:rsid w:val="00E7407A"/>
    <w:rsid w:val="00E7408B"/>
    <w:rsid w:val="00E74B90"/>
    <w:rsid w:val="00E74BA0"/>
    <w:rsid w:val="00E74E2C"/>
    <w:rsid w:val="00E752E2"/>
    <w:rsid w:val="00E753CF"/>
    <w:rsid w:val="00E75442"/>
    <w:rsid w:val="00E75529"/>
    <w:rsid w:val="00E75F81"/>
    <w:rsid w:val="00E763F8"/>
    <w:rsid w:val="00E76C75"/>
    <w:rsid w:val="00E76CA2"/>
    <w:rsid w:val="00E7704D"/>
    <w:rsid w:val="00E7716B"/>
    <w:rsid w:val="00E771B5"/>
    <w:rsid w:val="00E77CE8"/>
    <w:rsid w:val="00E80287"/>
    <w:rsid w:val="00E80360"/>
    <w:rsid w:val="00E806AE"/>
    <w:rsid w:val="00E80717"/>
    <w:rsid w:val="00E80B53"/>
    <w:rsid w:val="00E8120D"/>
    <w:rsid w:val="00E8144E"/>
    <w:rsid w:val="00E81A4D"/>
    <w:rsid w:val="00E81B64"/>
    <w:rsid w:val="00E81D6C"/>
    <w:rsid w:val="00E820F6"/>
    <w:rsid w:val="00E82277"/>
    <w:rsid w:val="00E8227C"/>
    <w:rsid w:val="00E82301"/>
    <w:rsid w:val="00E8239E"/>
    <w:rsid w:val="00E826FD"/>
    <w:rsid w:val="00E82849"/>
    <w:rsid w:val="00E82992"/>
    <w:rsid w:val="00E82A43"/>
    <w:rsid w:val="00E82A8F"/>
    <w:rsid w:val="00E82BE9"/>
    <w:rsid w:val="00E82D70"/>
    <w:rsid w:val="00E82DB7"/>
    <w:rsid w:val="00E832A4"/>
    <w:rsid w:val="00E83748"/>
    <w:rsid w:val="00E83A05"/>
    <w:rsid w:val="00E83D4D"/>
    <w:rsid w:val="00E83FFB"/>
    <w:rsid w:val="00E84025"/>
    <w:rsid w:val="00E842CC"/>
    <w:rsid w:val="00E8443D"/>
    <w:rsid w:val="00E84594"/>
    <w:rsid w:val="00E84C03"/>
    <w:rsid w:val="00E84CC6"/>
    <w:rsid w:val="00E84D7D"/>
    <w:rsid w:val="00E8577D"/>
    <w:rsid w:val="00E85A1B"/>
    <w:rsid w:val="00E85F5C"/>
    <w:rsid w:val="00E8622F"/>
    <w:rsid w:val="00E86246"/>
    <w:rsid w:val="00E8648E"/>
    <w:rsid w:val="00E86540"/>
    <w:rsid w:val="00E86AE8"/>
    <w:rsid w:val="00E8701C"/>
    <w:rsid w:val="00E8755C"/>
    <w:rsid w:val="00E87673"/>
    <w:rsid w:val="00E87E9E"/>
    <w:rsid w:val="00E90246"/>
    <w:rsid w:val="00E9033D"/>
    <w:rsid w:val="00E90672"/>
    <w:rsid w:val="00E906B1"/>
    <w:rsid w:val="00E9077F"/>
    <w:rsid w:val="00E90ACC"/>
    <w:rsid w:val="00E90B8B"/>
    <w:rsid w:val="00E90F9E"/>
    <w:rsid w:val="00E91BE1"/>
    <w:rsid w:val="00E91EF7"/>
    <w:rsid w:val="00E92554"/>
    <w:rsid w:val="00E925A1"/>
    <w:rsid w:val="00E927C2"/>
    <w:rsid w:val="00E93850"/>
    <w:rsid w:val="00E938AC"/>
    <w:rsid w:val="00E9463A"/>
    <w:rsid w:val="00E94643"/>
    <w:rsid w:val="00E95869"/>
    <w:rsid w:val="00E95BD5"/>
    <w:rsid w:val="00E95E3B"/>
    <w:rsid w:val="00E95F8F"/>
    <w:rsid w:val="00E96028"/>
    <w:rsid w:val="00E960D7"/>
    <w:rsid w:val="00E96130"/>
    <w:rsid w:val="00E96261"/>
    <w:rsid w:val="00E9645D"/>
    <w:rsid w:val="00E96488"/>
    <w:rsid w:val="00E96874"/>
    <w:rsid w:val="00E96A2F"/>
    <w:rsid w:val="00E96C6C"/>
    <w:rsid w:val="00E97000"/>
    <w:rsid w:val="00E97116"/>
    <w:rsid w:val="00E973D0"/>
    <w:rsid w:val="00E97493"/>
    <w:rsid w:val="00E97585"/>
    <w:rsid w:val="00E97600"/>
    <w:rsid w:val="00E9772E"/>
    <w:rsid w:val="00E97BD8"/>
    <w:rsid w:val="00EA0115"/>
    <w:rsid w:val="00EA015D"/>
    <w:rsid w:val="00EA03D8"/>
    <w:rsid w:val="00EA0696"/>
    <w:rsid w:val="00EA0932"/>
    <w:rsid w:val="00EA09A3"/>
    <w:rsid w:val="00EA09BB"/>
    <w:rsid w:val="00EA0A3C"/>
    <w:rsid w:val="00EA0AB0"/>
    <w:rsid w:val="00EA0D7B"/>
    <w:rsid w:val="00EA0E4C"/>
    <w:rsid w:val="00EA0E77"/>
    <w:rsid w:val="00EA10C7"/>
    <w:rsid w:val="00EA1201"/>
    <w:rsid w:val="00EA17C8"/>
    <w:rsid w:val="00EA194D"/>
    <w:rsid w:val="00EA1ACD"/>
    <w:rsid w:val="00EA1AED"/>
    <w:rsid w:val="00EA1C84"/>
    <w:rsid w:val="00EA1D66"/>
    <w:rsid w:val="00EA1F00"/>
    <w:rsid w:val="00EA26DB"/>
    <w:rsid w:val="00EA291C"/>
    <w:rsid w:val="00EA30ED"/>
    <w:rsid w:val="00EA32D3"/>
    <w:rsid w:val="00EA33BB"/>
    <w:rsid w:val="00EA39D2"/>
    <w:rsid w:val="00EA409E"/>
    <w:rsid w:val="00EA43D6"/>
    <w:rsid w:val="00EA4AE9"/>
    <w:rsid w:val="00EA4E46"/>
    <w:rsid w:val="00EA51C1"/>
    <w:rsid w:val="00EA59C9"/>
    <w:rsid w:val="00EA5C4E"/>
    <w:rsid w:val="00EA6AD8"/>
    <w:rsid w:val="00EA6BD6"/>
    <w:rsid w:val="00EA6CC1"/>
    <w:rsid w:val="00EA6ED6"/>
    <w:rsid w:val="00EA6FDE"/>
    <w:rsid w:val="00EA7200"/>
    <w:rsid w:val="00EA7860"/>
    <w:rsid w:val="00EB019D"/>
    <w:rsid w:val="00EB0406"/>
    <w:rsid w:val="00EB0984"/>
    <w:rsid w:val="00EB09A7"/>
    <w:rsid w:val="00EB0CA8"/>
    <w:rsid w:val="00EB0E5E"/>
    <w:rsid w:val="00EB0EB0"/>
    <w:rsid w:val="00EB0ED8"/>
    <w:rsid w:val="00EB0F07"/>
    <w:rsid w:val="00EB11D6"/>
    <w:rsid w:val="00EB150D"/>
    <w:rsid w:val="00EB17F7"/>
    <w:rsid w:val="00EB1930"/>
    <w:rsid w:val="00EB1E09"/>
    <w:rsid w:val="00EB1FCA"/>
    <w:rsid w:val="00EB2097"/>
    <w:rsid w:val="00EB2708"/>
    <w:rsid w:val="00EB2830"/>
    <w:rsid w:val="00EB2C29"/>
    <w:rsid w:val="00EB3196"/>
    <w:rsid w:val="00EB32CE"/>
    <w:rsid w:val="00EB3694"/>
    <w:rsid w:val="00EB3700"/>
    <w:rsid w:val="00EB37D1"/>
    <w:rsid w:val="00EB3955"/>
    <w:rsid w:val="00EB3974"/>
    <w:rsid w:val="00EB3BA4"/>
    <w:rsid w:val="00EB3DCF"/>
    <w:rsid w:val="00EB3FFB"/>
    <w:rsid w:val="00EB449E"/>
    <w:rsid w:val="00EB46DC"/>
    <w:rsid w:val="00EB4DB6"/>
    <w:rsid w:val="00EB4F33"/>
    <w:rsid w:val="00EB504F"/>
    <w:rsid w:val="00EB52B2"/>
    <w:rsid w:val="00EB563D"/>
    <w:rsid w:val="00EB58F3"/>
    <w:rsid w:val="00EB5B99"/>
    <w:rsid w:val="00EB610D"/>
    <w:rsid w:val="00EB6381"/>
    <w:rsid w:val="00EB63BB"/>
    <w:rsid w:val="00EB64B1"/>
    <w:rsid w:val="00EB653C"/>
    <w:rsid w:val="00EB69CF"/>
    <w:rsid w:val="00EB6B32"/>
    <w:rsid w:val="00EB6C4E"/>
    <w:rsid w:val="00EB6E24"/>
    <w:rsid w:val="00EB703C"/>
    <w:rsid w:val="00EB7349"/>
    <w:rsid w:val="00EB761D"/>
    <w:rsid w:val="00EB78CD"/>
    <w:rsid w:val="00EB7B26"/>
    <w:rsid w:val="00EB7C54"/>
    <w:rsid w:val="00EB7DA2"/>
    <w:rsid w:val="00EC0247"/>
    <w:rsid w:val="00EC0374"/>
    <w:rsid w:val="00EC0642"/>
    <w:rsid w:val="00EC0DC6"/>
    <w:rsid w:val="00EC0F74"/>
    <w:rsid w:val="00EC10B6"/>
    <w:rsid w:val="00EC16EB"/>
    <w:rsid w:val="00EC173F"/>
    <w:rsid w:val="00EC1865"/>
    <w:rsid w:val="00EC1CC4"/>
    <w:rsid w:val="00EC1CCD"/>
    <w:rsid w:val="00EC1D8E"/>
    <w:rsid w:val="00EC1E0C"/>
    <w:rsid w:val="00EC23FC"/>
    <w:rsid w:val="00EC282C"/>
    <w:rsid w:val="00EC297B"/>
    <w:rsid w:val="00EC29D0"/>
    <w:rsid w:val="00EC31C9"/>
    <w:rsid w:val="00EC34EC"/>
    <w:rsid w:val="00EC36B7"/>
    <w:rsid w:val="00EC3764"/>
    <w:rsid w:val="00EC3925"/>
    <w:rsid w:val="00EC406F"/>
    <w:rsid w:val="00EC530B"/>
    <w:rsid w:val="00EC53C8"/>
    <w:rsid w:val="00EC5DA0"/>
    <w:rsid w:val="00EC6711"/>
    <w:rsid w:val="00EC6CDA"/>
    <w:rsid w:val="00EC6FD7"/>
    <w:rsid w:val="00EC719B"/>
    <w:rsid w:val="00EC7676"/>
    <w:rsid w:val="00EC79F8"/>
    <w:rsid w:val="00EC7AE2"/>
    <w:rsid w:val="00ED010A"/>
    <w:rsid w:val="00ED011F"/>
    <w:rsid w:val="00ED039D"/>
    <w:rsid w:val="00ED078F"/>
    <w:rsid w:val="00ED09C5"/>
    <w:rsid w:val="00ED1367"/>
    <w:rsid w:val="00ED13E5"/>
    <w:rsid w:val="00ED1476"/>
    <w:rsid w:val="00ED15F0"/>
    <w:rsid w:val="00ED1C69"/>
    <w:rsid w:val="00ED1EA6"/>
    <w:rsid w:val="00ED210E"/>
    <w:rsid w:val="00ED2162"/>
    <w:rsid w:val="00ED25F4"/>
    <w:rsid w:val="00ED271F"/>
    <w:rsid w:val="00ED3174"/>
    <w:rsid w:val="00ED3246"/>
    <w:rsid w:val="00ED34D6"/>
    <w:rsid w:val="00ED3857"/>
    <w:rsid w:val="00ED3929"/>
    <w:rsid w:val="00ED3ACD"/>
    <w:rsid w:val="00ED3C9C"/>
    <w:rsid w:val="00ED3DF9"/>
    <w:rsid w:val="00ED4215"/>
    <w:rsid w:val="00ED52A9"/>
    <w:rsid w:val="00ED56BC"/>
    <w:rsid w:val="00ED5A44"/>
    <w:rsid w:val="00ED5EDB"/>
    <w:rsid w:val="00ED5FD4"/>
    <w:rsid w:val="00ED61AA"/>
    <w:rsid w:val="00ED66A6"/>
    <w:rsid w:val="00ED6D7E"/>
    <w:rsid w:val="00ED6F57"/>
    <w:rsid w:val="00ED6F85"/>
    <w:rsid w:val="00ED7295"/>
    <w:rsid w:val="00ED7364"/>
    <w:rsid w:val="00ED73EA"/>
    <w:rsid w:val="00ED77ED"/>
    <w:rsid w:val="00ED7957"/>
    <w:rsid w:val="00ED7B96"/>
    <w:rsid w:val="00ED7BC4"/>
    <w:rsid w:val="00ED7BC9"/>
    <w:rsid w:val="00ED7C74"/>
    <w:rsid w:val="00ED7E6C"/>
    <w:rsid w:val="00EE04F4"/>
    <w:rsid w:val="00EE09A5"/>
    <w:rsid w:val="00EE0C84"/>
    <w:rsid w:val="00EE0E39"/>
    <w:rsid w:val="00EE0FC4"/>
    <w:rsid w:val="00EE1098"/>
    <w:rsid w:val="00EE214B"/>
    <w:rsid w:val="00EE2262"/>
    <w:rsid w:val="00EE2312"/>
    <w:rsid w:val="00EE248B"/>
    <w:rsid w:val="00EE28EB"/>
    <w:rsid w:val="00EE2995"/>
    <w:rsid w:val="00EE3099"/>
    <w:rsid w:val="00EE33F1"/>
    <w:rsid w:val="00EE3470"/>
    <w:rsid w:val="00EE35E4"/>
    <w:rsid w:val="00EE3AC1"/>
    <w:rsid w:val="00EE3AF9"/>
    <w:rsid w:val="00EE3B97"/>
    <w:rsid w:val="00EE3C91"/>
    <w:rsid w:val="00EE3CB0"/>
    <w:rsid w:val="00EE43DF"/>
    <w:rsid w:val="00EE44D8"/>
    <w:rsid w:val="00EE480F"/>
    <w:rsid w:val="00EE4ADF"/>
    <w:rsid w:val="00EE4C48"/>
    <w:rsid w:val="00EE5156"/>
    <w:rsid w:val="00EE51F7"/>
    <w:rsid w:val="00EE5535"/>
    <w:rsid w:val="00EE58CA"/>
    <w:rsid w:val="00EE5A7D"/>
    <w:rsid w:val="00EE5CDD"/>
    <w:rsid w:val="00EE5CF9"/>
    <w:rsid w:val="00EE63A5"/>
    <w:rsid w:val="00EE6850"/>
    <w:rsid w:val="00EE6AEB"/>
    <w:rsid w:val="00EE6C29"/>
    <w:rsid w:val="00EE702B"/>
    <w:rsid w:val="00EE711C"/>
    <w:rsid w:val="00EE730D"/>
    <w:rsid w:val="00EE7410"/>
    <w:rsid w:val="00EE7645"/>
    <w:rsid w:val="00EE7EF5"/>
    <w:rsid w:val="00EF000B"/>
    <w:rsid w:val="00EF07D7"/>
    <w:rsid w:val="00EF08B2"/>
    <w:rsid w:val="00EF0C39"/>
    <w:rsid w:val="00EF1122"/>
    <w:rsid w:val="00EF112A"/>
    <w:rsid w:val="00EF12CE"/>
    <w:rsid w:val="00EF1617"/>
    <w:rsid w:val="00EF1FAC"/>
    <w:rsid w:val="00EF2373"/>
    <w:rsid w:val="00EF23A9"/>
    <w:rsid w:val="00EF23C7"/>
    <w:rsid w:val="00EF28B7"/>
    <w:rsid w:val="00EF2EA2"/>
    <w:rsid w:val="00EF35DB"/>
    <w:rsid w:val="00EF3A65"/>
    <w:rsid w:val="00EF3A86"/>
    <w:rsid w:val="00EF4101"/>
    <w:rsid w:val="00EF411B"/>
    <w:rsid w:val="00EF429D"/>
    <w:rsid w:val="00EF433F"/>
    <w:rsid w:val="00EF446C"/>
    <w:rsid w:val="00EF4978"/>
    <w:rsid w:val="00EF4ED7"/>
    <w:rsid w:val="00EF5027"/>
    <w:rsid w:val="00EF5363"/>
    <w:rsid w:val="00EF5642"/>
    <w:rsid w:val="00EF5798"/>
    <w:rsid w:val="00EF5868"/>
    <w:rsid w:val="00EF5CA4"/>
    <w:rsid w:val="00EF5D37"/>
    <w:rsid w:val="00EF6116"/>
    <w:rsid w:val="00EF626C"/>
    <w:rsid w:val="00EF6390"/>
    <w:rsid w:val="00EF68E2"/>
    <w:rsid w:val="00EF6ACC"/>
    <w:rsid w:val="00EF6DBD"/>
    <w:rsid w:val="00EF7005"/>
    <w:rsid w:val="00EF71E0"/>
    <w:rsid w:val="00EF721A"/>
    <w:rsid w:val="00EF738F"/>
    <w:rsid w:val="00EF740F"/>
    <w:rsid w:val="00EF789A"/>
    <w:rsid w:val="00EF7A0F"/>
    <w:rsid w:val="00EF7BF8"/>
    <w:rsid w:val="00EF7C55"/>
    <w:rsid w:val="00F00496"/>
    <w:rsid w:val="00F00CE1"/>
    <w:rsid w:val="00F00CFE"/>
    <w:rsid w:val="00F00D42"/>
    <w:rsid w:val="00F013AF"/>
    <w:rsid w:val="00F013B5"/>
    <w:rsid w:val="00F017D2"/>
    <w:rsid w:val="00F01A9B"/>
    <w:rsid w:val="00F01B1A"/>
    <w:rsid w:val="00F01BC7"/>
    <w:rsid w:val="00F01C01"/>
    <w:rsid w:val="00F01E2D"/>
    <w:rsid w:val="00F01F27"/>
    <w:rsid w:val="00F02D64"/>
    <w:rsid w:val="00F02F7A"/>
    <w:rsid w:val="00F03024"/>
    <w:rsid w:val="00F0330D"/>
    <w:rsid w:val="00F0334C"/>
    <w:rsid w:val="00F03564"/>
    <w:rsid w:val="00F035BD"/>
    <w:rsid w:val="00F0388F"/>
    <w:rsid w:val="00F03D95"/>
    <w:rsid w:val="00F03E41"/>
    <w:rsid w:val="00F0411F"/>
    <w:rsid w:val="00F043AC"/>
    <w:rsid w:val="00F0443B"/>
    <w:rsid w:val="00F0444D"/>
    <w:rsid w:val="00F044D1"/>
    <w:rsid w:val="00F044F5"/>
    <w:rsid w:val="00F046FD"/>
    <w:rsid w:val="00F0489F"/>
    <w:rsid w:val="00F04917"/>
    <w:rsid w:val="00F04982"/>
    <w:rsid w:val="00F04BBC"/>
    <w:rsid w:val="00F04C8F"/>
    <w:rsid w:val="00F0528F"/>
    <w:rsid w:val="00F05361"/>
    <w:rsid w:val="00F05580"/>
    <w:rsid w:val="00F057A0"/>
    <w:rsid w:val="00F057BE"/>
    <w:rsid w:val="00F058F7"/>
    <w:rsid w:val="00F05AD8"/>
    <w:rsid w:val="00F06217"/>
    <w:rsid w:val="00F06A70"/>
    <w:rsid w:val="00F06F74"/>
    <w:rsid w:val="00F07365"/>
    <w:rsid w:val="00F075BA"/>
    <w:rsid w:val="00F07770"/>
    <w:rsid w:val="00F079F1"/>
    <w:rsid w:val="00F07ECF"/>
    <w:rsid w:val="00F100A4"/>
    <w:rsid w:val="00F10882"/>
    <w:rsid w:val="00F1097B"/>
    <w:rsid w:val="00F10C32"/>
    <w:rsid w:val="00F10EE6"/>
    <w:rsid w:val="00F1110F"/>
    <w:rsid w:val="00F11128"/>
    <w:rsid w:val="00F11377"/>
    <w:rsid w:val="00F1151D"/>
    <w:rsid w:val="00F1152F"/>
    <w:rsid w:val="00F120C4"/>
    <w:rsid w:val="00F120DB"/>
    <w:rsid w:val="00F124F5"/>
    <w:rsid w:val="00F12623"/>
    <w:rsid w:val="00F126B2"/>
    <w:rsid w:val="00F12A41"/>
    <w:rsid w:val="00F12C52"/>
    <w:rsid w:val="00F12F61"/>
    <w:rsid w:val="00F13316"/>
    <w:rsid w:val="00F13974"/>
    <w:rsid w:val="00F1398B"/>
    <w:rsid w:val="00F13AA9"/>
    <w:rsid w:val="00F13CDD"/>
    <w:rsid w:val="00F13DA3"/>
    <w:rsid w:val="00F13E59"/>
    <w:rsid w:val="00F13E81"/>
    <w:rsid w:val="00F13FB6"/>
    <w:rsid w:val="00F14439"/>
    <w:rsid w:val="00F14468"/>
    <w:rsid w:val="00F146AD"/>
    <w:rsid w:val="00F149BC"/>
    <w:rsid w:val="00F14A25"/>
    <w:rsid w:val="00F14B42"/>
    <w:rsid w:val="00F150A4"/>
    <w:rsid w:val="00F15F9B"/>
    <w:rsid w:val="00F16310"/>
    <w:rsid w:val="00F16628"/>
    <w:rsid w:val="00F1664B"/>
    <w:rsid w:val="00F16D9C"/>
    <w:rsid w:val="00F17169"/>
    <w:rsid w:val="00F178FD"/>
    <w:rsid w:val="00F17B97"/>
    <w:rsid w:val="00F17D33"/>
    <w:rsid w:val="00F17F32"/>
    <w:rsid w:val="00F208FF"/>
    <w:rsid w:val="00F20945"/>
    <w:rsid w:val="00F21271"/>
    <w:rsid w:val="00F216B8"/>
    <w:rsid w:val="00F2191A"/>
    <w:rsid w:val="00F21B4C"/>
    <w:rsid w:val="00F21DB5"/>
    <w:rsid w:val="00F21E4B"/>
    <w:rsid w:val="00F22ACE"/>
    <w:rsid w:val="00F22E78"/>
    <w:rsid w:val="00F233E8"/>
    <w:rsid w:val="00F234A2"/>
    <w:rsid w:val="00F234BD"/>
    <w:rsid w:val="00F23916"/>
    <w:rsid w:val="00F23EEC"/>
    <w:rsid w:val="00F24021"/>
    <w:rsid w:val="00F241E5"/>
    <w:rsid w:val="00F242E2"/>
    <w:rsid w:val="00F244A7"/>
    <w:rsid w:val="00F2476C"/>
    <w:rsid w:val="00F2481D"/>
    <w:rsid w:val="00F24C35"/>
    <w:rsid w:val="00F25284"/>
    <w:rsid w:val="00F254B5"/>
    <w:rsid w:val="00F257FD"/>
    <w:rsid w:val="00F2587E"/>
    <w:rsid w:val="00F259E4"/>
    <w:rsid w:val="00F25B95"/>
    <w:rsid w:val="00F25DCB"/>
    <w:rsid w:val="00F2640A"/>
    <w:rsid w:val="00F26979"/>
    <w:rsid w:val="00F26F7F"/>
    <w:rsid w:val="00F27656"/>
    <w:rsid w:val="00F27CD2"/>
    <w:rsid w:val="00F27F74"/>
    <w:rsid w:val="00F3008B"/>
    <w:rsid w:val="00F306E2"/>
    <w:rsid w:val="00F3070A"/>
    <w:rsid w:val="00F3091A"/>
    <w:rsid w:val="00F30AB8"/>
    <w:rsid w:val="00F30E3E"/>
    <w:rsid w:val="00F30EA7"/>
    <w:rsid w:val="00F30FB8"/>
    <w:rsid w:val="00F3176A"/>
    <w:rsid w:val="00F3177C"/>
    <w:rsid w:val="00F31845"/>
    <w:rsid w:val="00F31E7A"/>
    <w:rsid w:val="00F31FAC"/>
    <w:rsid w:val="00F31FCD"/>
    <w:rsid w:val="00F321D0"/>
    <w:rsid w:val="00F32735"/>
    <w:rsid w:val="00F3276C"/>
    <w:rsid w:val="00F32A47"/>
    <w:rsid w:val="00F32C58"/>
    <w:rsid w:val="00F32CAB"/>
    <w:rsid w:val="00F33576"/>
    <w:rsid w:val="00F33871"/>
    <w:rsid w:val="00F34053"/>
    <w:rsid w:val="00F34564"/>
    <w:rsid w:val="00F3482D"/>
    <w:rsid w:val="00F34A29"/>
    <w:rsid w:val="00F34BF4"/>
    <w:rsid w:val="00F34D31"/>
    <w:rsid w:val="00F34D3A"/>
    <w:rsid w:val="00F352CC"/>
    <w:rsid w:val="00F35420"/>
    <w:rsid w:val="00F354B5"/>
    <w:rsid w:val="00F35F03"/>
    <w:rsid w:val="00F35F25"/>
    <w:rsid w:val="00F360FF"/>
    <w:rsid w:val="00F36711"/>
    <w:rsid w:val="00F36823"/>
    <w:rsid w:val="00F37008"/>
    <w:rsid w:val="00F3783A"/>
    <w:rsid w:val="00F37AC6"/>
    <w:rsid w:val="00F37B48"/>
    <w:rsid w:val="00F37BA6"/>
    <w:rsid w:val="00F37BBF"/>
    <w:rsid w:val="00F40231"/>
    <w:rsid w:val="00F40C28"/>
    <w:rsid w:val="00F40F6B"/>
    <w:rsid w:val="00F41420"/>
    <w:rsid w:val="00F4194E"/>
    <w:rsid w:val="00F4219F"/>
    <w:rsid w:val="00F423B7"/>
    <w:rsid w:val="00F43003"/>
    <w:rsid w:val="00F4370C"/>
    <w:rsid w:val="00F43D56"/>
    <w:rsid w:val="00F43EFC"/>
    <w:rsid w:val="00F43F3E"/>
    <w:rsid w:val="00F444BD"/>
    <w:rsid w:val="00F446F9"/>
    <w:rsid w:val="00F44787"/>
    <w:rsid w:val="00F44A2B"/>
    <w:rsid w:val="00F44B7C"/>
    <w:rsid w:val="00F45032"/>
    <w:rsid w:val="00F451FD"/>
    <w:rsid w:val="00F452A2"/>
    <w:rsid w:val="00F45544"/>
    <w:rsid w:val="00F455BB"/>
    <w:rsid w:val="00F45665"/>
    <w:rsid w:val="00F45870"/>
    <w:rsid w:val="00F458EB"/>
    <w:rsid w:val="00F45A33"/>
    <w:rsid w:val="00F45BA6"/>
    <w:rsid w:val="00F45DCF"/>
    <w:rsid w:val="00F45E5B"/>
    <w:rsid w:val="00F46024"/>
    <w:rsid w:val="00F4618F"/>
    <w:rsid w:val="00F461D9"/>
    <w:rsid w:val="00F46455"/>
    <w:rsid w:val="00F469AB"/>
    <w:rsid w:val="00F46AE3"/>
    <w:rsid w:val="00F46B2F"/>
    <w:rsid w:val="00F46B37"/>
    <w:rsid w:val="00F46B62"/>
    <w:rsid w:val="00F46E7C"/>
    <w:rsid w:val="00F46F40"/>
    <w:rsid w:val="00F47653"/>
    <w:rsid w:val="00F47B40"/>
    <w:rsid w:val="00F47BC3"/>
    <w:rsid w:val="00F47EC4"/>
    <w:rsid w:val="00F47F7C"/>
    <w:rsid w:val="00F50252"/>
    <w:rsid w:val="00F502B2"/>
    <w:rsid w:val="00F5036C"/>
    <w:rsid w:val="00F5051D"/>
    <w:rsid w:val="00F50754"/>
    <w:rsid w:val="00F50772"/>
    <w:rsid w:val="00F50A3F"/>
    <w:rsid w:val="00F50F40"/>
    <w:rsid w:val="00F5127A"/>
    <w:rsid w:val="00F519A7"/>
    <w:rsid w:val="00F51A09"/>
    <w:rsid w:val="00F51A3E"/>
    <w:rsid w:val="00F51D70"/>
    <w:rsid w:val="00F51E84"/>
    <w:rsid w:val="00F5215A"/>
    <w:rsid w:val="00F521B2"/>
    <w:rsid w:val="00F52281"/>
    <w:rsid w:val="00F524F8"/>
    <w:rsid w:val="00F5251C"/>
    <w:rsid w:val="00F5266A"/>
    <w:rsid w:val="00F52D3A"/>
    <w:rsid w:val="00F52E95"/>
    <w:rsid w:val="00F53019"/>
    <w:rsid w:val="00F53059"/>
    <w:rsid w:val="00F5307C"/>
    <w:rsid w:val="00F53507"/>
    <w:rsid w:val="00F537C0"/>
    <w:rsid w:val="00F53814"/>
    <w:rsid w:val="00F538AA"/>
    <w:rsid w:val="00F53C12"/>
    <w:rsid w:val="00F53FDA"/>
    <w:rsid w:val="00F548B4"/>
    <w:rsid w:val="00F5496D"/>
    <w:rsid w:val="00F54ACE"/>
    <w:rsid w:val="00F54B91"/>
    <w:rsid w:val="00F54EAA"/>
    <w:rsid w:val="00F552FC"/>
    <w:rsid w:val="00F5532C"/>
    <w:rsid w:val="00F55C4F"/>
    <w:rsid w:val="00F55DE6"/>
    <w:rsid w:val="00F55FBA"/>
    <w:rsid w:val="00F5638F"/>
    <w:rsid w:val="00F56412"/>
    <w:rsid w:val="00F568FA"/>
    <w:rsid w:val="00F56DEC"/>
    <w:rsid w:val="00F56EB6"/>
    <w:rsid w:val="00F5707E"/>
    <w:rsid w:val="00F5727F"/>
    <w:rsid w:val="00F57648"/>
    <w:rsid w:val="00F57935"/>
    <w:rsid w:val="00F57AF2"/>
    <w:rsid w:val="00F57B81"/>
    <w:rsid w:val="00F57F65"/>
    <w:rsid w:val="00F602BB"/>
    <w:rsid w:val="00F60422"/>
    <w:rsid w:val="00F608C7"/>
    <w:rsid w:val="00F60B79"/>
    <w:rsid w:val="00F6127E"/>
    <w:rsid w:val="00F612E0"/>
    <w:rsid w:val="00F61345"/>
    <w:rsid w:val="00F615C3"/>
    <w:rsid w:val="00F61CCA"/>
    <w:rsid w:val="00F623A1"/>
    <w:rsid w:val="00F62943"/>
    <w:rsid w:val="00F62F0F"/>
    <w:rsid w:val="00F62FCE"/>
    <w:rsid w:val="00F62FF2"/>
    <w:rsid w:val="00F6320C"/>
    <w:rsid w:val="00F63382"/>
    <w:rsid w:val="00F63528"/>
    <w:rsid w:val="00F63BA6"/>
    <w:rsid w:val="00F646E4"/>
    <w:rsid w:val="00F64717"/>
    <w:rsid w:val="00F65255"/>
    <w:rsid w:val="00F65440"/>
    <w:rsid w:val="00F65A27"/>
    <w:rsid w:val="00F65F51"/>
    <w:rsid w:val="00F665FB"/>
    <w:rsid w:val="00F66819"/>
    <w:rsid w:val="00F66BB2"/>
    <w:rsid w:val="00F66DC0"/>
    <w:rsid w:val="00F671F3"/>
    <w:rsid w:val="00F67283"/>
    <w:rsid w:val="00F67670"/>
    <w:rsid w:val="00F6774F"/>
    <w:rsid w:val="00F677FA"/>
    <w:rsid w:val="00F67CF0"/>
    <w:rsid w:val="00F67DE9"/>
    <w:rsid w:val="00F705A3"/>
    <w:rsid w:val="00F70871"/>
    <w:rsid w:val="00F70CAC"/>
    <w:rsid w:val="00F70D62"/>
    <w:rsid w:val="00F70FEA"/>
    <w:rsid w:val="00F7131B"/>
    <w:rsid w:val="00F71338"/>
    <w:rsid w:val="00F713EA"/>
    <w:rsid w:val="00F715E7"/>
    <w:rsid w:val="00F717AD"/>
    <w:rsid w:val="00F71C00"/>
    <w:rsid w:val="00F72086"/>
    <w:rsid w:val="00F7252B"/>
    <w:rsid w:val="00F72BC3"/>
    <w:rsid w:val="00F72FC8"/>
    <w:rsid w:val="00F732C2"/>
    <w:rsid w:val="00F73388"/>
    <w:rsid w:val="00F733E1"/>
    <w:rsid w:val="00F73500"/>
    <w:rsid w:val="00F73A7A"/>
    <w:rsid w:val="00F73AF2"/>
    <w:rsid w:val="00F73D59"/>
    <w:rsid w:val="00F73DCB"/>
    <w:rsid w:val="00F747FA"/>
    <w:rsid w:val="00F7482B"/>
    <w:rsid w:val="00F74F94"/>
    <w:rsid w:val="00F754A6"/>
    <w:rsid w:val="00F76321"/>
    <w:rsid w:val="00F76AB9"/>
    <w:rsid w:val="00F76D1C"/>
    <w:rsid w:val="00F77054"/>
    <w:rsid w:val="00F77142"/>
    <w:rsid w:val="00F77935"/>
    <w:rsid w:val="00F77AE7"/>
    <w:rsid w:val="00F77C39"/>
    <w:rsid w:val="00F77CF3"/>
    <w:rsid w:val="00F80069"/>
    <w:rsid w:val="00F8013D"/>
    <w:rsid w:val="00F80224"/>
    <w:rsid w:val="00F803CD"/>
    <w:rsid w:val="00F80793"/>
    <w:rsid w:val="00F80CDA"/>
    <w:rsid w:val="00F81429"/>
    <w:rsid w:val="00F81651"/>
    <w:rsid w:val="00F81666"/>
    <w:rsid w:val="00F818AF"/>
    <w:rsid w:val="00F81E60"/>
    <w:rsid w:val="00F82224"/>
    <w:rsid w:val="00F82323"/>
    <w:rsid w:val="00F8232C"/>
    <w:rsid w:val="00F825E7"/>
    <w:rsid w:val="00F82C1A"/>
    <w:rsid w:val="00F82D29"/>
    <w:rsid w:val="00F8303B"/>
    <w:rsid w:val="00F83279"/>
    <w:rsid w:val="00F83750"/>
    <w:rsid w:val="00F8417E"/>
    <w:rsid w:val="00F841E2"/>
    <w:rsid w:val="00F8453D"/>
    <w:rsid w:val="00F84750"/>
    <w:rsid w:val="00F84949"/>
    <w:rsid w:val="00F84F49"/>
    <w:rsid w:val="00F85198"/>
    <w:rsid w:val="00F8557F"/>
    <w:rsid w:val="00F85E5F"/>
    <w:rsid w:val="00F863DB"/>
    <w:rsid w:val="00F8666A"/>
    <w:rsid w:val="00F87035"/>
    <w:rsid w:val="00F870F9"/>
    <w:rsid w:val="00F8777F"/>
    <w:rsid w:val="00F87ABA"/>
    <w:rsid w:val="00F90136"/>
    <w:rsid w:val="00F90ADD"/>
    <w:rsid w:val="00F90ECB"/>
    <w:rsid w:val="00F918C4"/>
    <w:rsid w:val="00F91907"/>
    <w:rsid w:val="00F91A13"/>
    <w:rsid w:val="00F91BC5"/>
    <w:rsid w:val="00F91CCF"/>
    <w:rsid w:val="00F91DA5"/>
    <w:rsid w:val="00F92024"/>
    <w:rsid w:val="00F92C78"/>
    <w:rsid w:val="00F9306B"/>
    <w:rsid w:val="00F93195"/>
    <w:rsid w:val="00F9319A"/>
    <w:rsid w:val="00F9337F"/>
    <w:rsid w:val="00F934B9"/>
    <w:rsid w:val="00F9358B"/>
    <w:rsid w:val="00F9373B"/>
    <w:rsid w:val="00F93901"/>
    <w:rsid w:val="00F93FCB"/>
    <w:rsid w:val="00F94C71"/>
    <w:rsid w:val="00F94D01"/>
    <w:rsid w:val="00F94E25"/>
    <w:rsid w:val="00F94EC9"/>
    <w:rsid w:val="00F958B8"/>
    <w:rsid w:val="00F95C1D"/>
    <w:rsid w:val="00F95F50"/>
    <w:rsid w:val="00F963CD"/>
    <w:rsid w:val="00F9653D"/>
    <w:rsid w:val="00F96F7D"/>
    <w:rsid w:val="00F97096"/>
    <w:rsid w:val="00F970C8"/>
    <w:rsid w:val="00F976CC"/>
    <w:rsid w:val="00F97E1F"/>
    <w:rsid w:val="00FA04F1"/>
    <w:rsid w:val="00FA04F3"/>
    <w:rsid w:val="00FA08E2"/>
    <w:rsid w:val="00FA0C65"/>
    <w:rsid w:val="00FA131D"/>
    <w:rsid w:val="00FA15D7"/>
    <w:rsid w:val="00FA15FB"/>
    <w:rsid w:val="00FA200D"/>
    <w:rsid w:val="00FA21E6"/>
    <w:rsid w:val="00FA2D6D"/>
    <w:rsid w:val="00FA31FC"/>
    <w:rsid w:val="00FA3530"/>
    <w:rsid w:val="00FA3633"/>
    <w:rsid w:val="00FA3C68"/>
    <w:rsid w:val="00FA40CA"/>
    <w:rsid w:val="00FA41D7"/>
    <w:rsid w:val="00FA438D"/>
    <w:rsid w:val="00FA4F83"/>
    <w:rsid w:val="00FA5133"/>
    <w:rsid w:val="00FA53B3"/>
    <w:rsid w:val="00FA568F"/>
    <w:rsid w:val="00FA637C"/>
    <w:rsid w:val="00FA685E"/>
    <w:rsid w:val="00FA6A55"/>
    <w:rsid w:val="00FA6B7B"/>
    <w:rsid w:val="00FA7087"/>
    <w:rsid w:val="00FA7119"/>
    <w:rsid w:val="00FA728E"/>
    <w:rsid w:val="00FA75EA"/>
    <w:rsid w:val="00FA767D"/>
    <w:rsid w:val="00FA77CF"/>
    <w:rsid w:val="00FA7EC5"/>
    <w:rsid w:val="00FA7F19"/>
    <w:rsid w:val="00FB018A"/>
    <w:rsid w:val="00FB0D98"/>
    <w:rsid w:val="00FB112C"/>
    <w:rsid w:val="00FB165B"/>
    <w:rsid w:val="00FB2105"/>
    <w:rsid w:val="00FB2297"/>
    <w:rsid w:val="00FB23C1"/>
    <w:rsid w:val="00FB2432"/>
    <w:rsid w:val="00FB248D"/>
    <w:rsid w:val="00FB2691"/>
    <w:rsid w:val="00FB2910"/>
    <w:rsid w:val="00FB2CFB"/>
    <w:rsid w:val="00FB2F17"/>
    <w:rsid w:val="00FB322E"/>
    <w:rsid w:val="00FB347F"/>
    <w:rsid w:val="00FB3DD3"/>
    <w:rsid w:val="00FB3F07"/>
    <w:rsid w:val="00FB3F6F"/>
    <w:rsid w:val="00FB42FA"/>
    <w:rsid w:val="00FB43E8"/>
    <w:rsid w:val="00FB470A"/>
    <w:rsid w:val="00FB49A1"/>
    <w:rsid w:val="00FB4D4E"/>
    <w:rsid w:val="00FB4E26"/>
    <w:rsid w:val="00FB4E87"/>
    <w:rsid w:val="00FB4FE8"/>
    <w:rsid w:val="00FB52C6"/>
    <w:rsid w:val="00FB531B"/>
    <w:rsid w:val="00FB564D"/>
    <w:rsid w:val="00FB5809"/>
    <w:rsid w:val="00FB5AEC"/>
    <w:rsid w:val="00FB5C87"/>
    <w:rsid w:val="00FB5F5C"/>
    <w:rsid w:val="00FB640B"/>
    <w:rsid w:val="00FB6475"/>
    <w:rsid w:val="00FB6639"/>
    <w:rsid w:val="00FB6A55"/>
    <w:rsid w:val="00FB6A8A"/>
    <w:rsid w:val="00FB6F78"/>
    <w:rsid w:val="00FB705A"/>
    <w:rsid w:val="00FB7229"/>
    <w:rsid w:val="00FB76FD"/>
    <w:rsid w:val="00FB7CEE"/>
    <w:rsid w:val="00FB7D43"/>
    <w:rsid w:val="00FB7FEF"/>
    <w:rsid w:val="00FC0454"/>
    <w:rsid w:val="00FC0488"/>
    <w:rsid w:val="00FC0D4E"/>
    <w:rsid w:val="00FC10F8"/>
    <w:rsid w:val="00FC1212"/>
    <w:rsid w:val="00FC13E3"/>
    <w:rsid w:val="00FC1639"/>
    <w:rsid w:val="00FC16FF"/>
    <w:rsid w:val="00FC1C69"/>
    <w:rsid w:val="00FC1D49"/>
    <w:rsid w:val="00FC22FF"/>
    <w:rsid w:val="00FC2893"/>
    <w:rsid w:val="00FC291D"/>
    <w:rsid w:val="00FC2A8F"/>
    <w:rsid w:val="00FC2F39"/>
    <w:rsid w:val="00FC32D8"/>
    <w:rsid w:val="00FC33FF"/>
    <w:rsid w:val="00FC3E5E"/>
    <w:rsid w:val="00FC41C6"/>
    <w:rsid w:val="00FC432A"/>
    <w:rsid w:val="00FC44D7"/>
    <w:rsid w:val="00FC4A03"/>
    <w:rsid w:val="00FC4D34"/>
    <w:rsid w:val="00FC4DBA"/>
    <w:rsid w:val="00FC502D"/>
    <w:rsid w:val="00FC5269"/>
    <w:rsid w:val="00FC53F4"/>
    <w:rsid w:val="00FC56A8"/>
    <w:rsid w:val="00FC581A"/>
    <w:rsid w:val="00FC5A57"/>
    <w:rsid w:val="00FC5EA8"/>
    <w:rsid w:val="00FC618F"/>
    <w:rsid w:val="00FC641A"/>
    <w:rsid w:val="00FC738B"/>
    <w:rsid w:val="00FC75C5"/>
    <w:rsid w:val="00FC79BA"/>
    <w:rsid w:val="00FC7A2C"/>
    <w:rsid w:val="00FC7B26"/>
    <w:rsid w:val="00FD029E"/>
    <w:rsid w:val="00FD042B"/>
    <w:rsid w:val="00FD048D"/>
    <w:rsid w:val="00FD056E"/>
    <w:rsid w:val="00FD0925"/>
    <w:rsid w:val="00FD0D7D"/>
    <w:rsid w:val="00FD0F5B"/>
    <w:rsid w:val="00FD107C"/>
    <w:rsid w:val="00FD1455"/>
    <w:rsid w:val="00FD15CB"/>
    <w:rsid w:val="00FD1691"/>
    <w:rsid w:val="00FD17B9"/>
    <w:rsid w:val="00FD197C"/>
    <w:rsid w:val="00FD1B56"/>
    <w:rsid w:val="00FD1BAA"/>
    <w:rsid w:val="00FD1E29"/>
    <w:rsid w:val="00FD20CF"/>
    <w:rsid w:val="00FD270F"/>
    <w:rsid w:val="00FD27A5"/>
    <w:rsid w:val="00FD2A77"/>
    <w:rsid w:val="00FD2AEE"/>
    <w:rsid w:val="00FD2BBD"/>
    <w:rsid w:val="00FD3076"/>
    <w:rsid w:val="00FD3123"/>
    <w:rsid w:val="00FD31FC"/>
    <w:rsid w:val="00FD3401"/>
    <w:rsid w:val="00FD37D3"/>
    <w:rsid w:val="00FD3907"/>
    <w:rsid w:val="00FD3A86"/>
    <w:rsid w:val="00FD4280"/>
    <w:rsid w:val="00FD45B2"/>
    <w:rsid w:val="00FD4717"/>
    <w:rsid w:val="00FD47C8"/>
    <w:rsid w:val="00FD4800"/>
    <w:rsid w:val="00FD4EF5"/>
    <w:rsid w:val="00FD5638"/>
    <w:rsid w:val="00FD5C18"/>
    <w:rsid w:val="00FD5FE0"/>
    <w:rsid w:val="00FD6488"/>
    <w:rsid w:val="00FD66E4"/>
    <w:rsid w:val="00FD6727"/>
    <w:rsid w:val="00FD6B5A"/>
    <w:rsid w:val="00FD6EEF"/>
    <w:rsid w:val="00FD74E4"/>
    <w:rsid w:val="00FD755E"/>
    <w:rsid w:val="00FD7861"/>
    <w:rsid w:val="00FD786F"/>
    <w:rsid w:val="00FD7A06"/>
    <w:rsid w:val="00FE00A1"/>
    <w:rsid w:val="00FE0349"/>
    <w:rsid w:val="00FE0A25"/>
    <w:rsid w:val="00FE0B87"/>
    <w:rsid w:val="00FE0BB6"/>
    <w:rsid w:val="00FE0E95"/>
    <w:rsid w:val="00FE0F43"/>
    <w:rsid w:val="00FE11D4"/>
    <w:rsid w:val="00FE120E"/>
    <w:rsid w:val="00FE1263"/>
    <w:rsid w:val="00FE12AA"/>
    <w:rsid w:val="00FE1304"/>
    <w:rsid w:val="00FE1B42"/>
    <w:rsid w:val="00FE1BD2"/>
    <w:rsid w:val="00FE1C2A"/>
    <w:rsid w:val="00FE1F59"/>
    <w:rsid w:val="00FE1FB7"/>
    <w:rsid w:val="00FE2851"/>
    <w:rsid w:val="00FE2BF7"/>
    <w:rsid w:val="00FE3051"/>
    <w:rsid w:val="00FE339A"/>
    <w:rsid w:val="00FE3704"/>
    <w:rsid w:val="00FE39F6"/>
    <w:rsid w:val="00FE3ADC"/>
    <w:rsid w:val="00FE3BF6"/>
    <w:rsid w:val="00FE3F1C"/>
    <w:rsid w:val="00FE4079"/>
    <w:rsid w:val="00FE44A0"/>
    <w:rsid w:val="00FE45C8"/>
    <w:rsid w:val="00FE46B4"/>
    <w:rsid w:val="00FE484C"/>
    <w:rsid w:val="00FE4C45"/>
    <w:rsid w:val="00FE4CF1"/>
    <w:rsid w:val="00FE4CFE"/>
    <w:rsid w:val="00FE50B8"/>
    <w:rsid w:val="00FE563B"/>
    <w:rsid w:val="00FE56EF"/>
    <w:rsid w:val="00FE5B91"/>
    <w:rsid w:val="00FE5DE6"/>
    <w:rsid w:val="00FE5EA2"/>
    <w:rsid w:val="00FE5FDC"/>
    <w:rsid w:val="00FE63E6"/>
    <w:rsid w:val="00FE64E6"/>
    <w:rsid w:val="00FE6B56"/>
    <w:rsid w:val="00FE72A0"/>
    <w:rsid w:val="00FE72FF"/>
    <w:rsid w:val="00FE769B"/>
    <w:rsid w:val="00FE7CCB"/>
    <w:rsid w:val="00FF0282"/>
    <w:rsid w:val="00FF02D9"/>
    <w:rsid w:val="00FF0740"/>
    <w:rsid w:val="00FF0775"/>
    <w:rsid w:val="00FF07B7"/>
    <w:rsid w:val="00FF0C57"/>
    <w:rsid w:val="00FF0C96"/>
    <w:rsid w:val="00FF1154"/>
    <w:rsid w:val="00FF11E6"/>
    <w:rsid w:val="00FF130D"/>
    <w:rsid w:val="00FF172C"/>
    <w:rsid w:val="00FF1CD8"/>
    <w:rsid w:val="00FF21B2"/>
    <w:rsid w:val="00FF27B1"/>
    <w:rsid w:val="00FF282C"/>
    <w:rsid w:val="00FF2C8C"/>
    <w:rsid w:val="00FF2DAD"/>
    <w:rsid w:val="00FF44CF"/>
    <w:rsid w:val="00FF451D"/>
    <w:rsid w:val="00FF4E66"/>
    <w:rsid w:val="00FF5252"/>
    <w:rsid w:val="00FF531A"/>
    <w:rsid w:val="00FF5714"/>
    <w:rsid w:val="00FF5765"/>
    <w:rsid w:val="00FF6019"/>
    <w:rsid w:val="00FF6683"/>
    <w:rsid w:val="00FF66BF"/>
    <w:rsid w:val="00FF6740"/>
    <w:rsid w:val="00FF682A"/>
    <w:rsid w:val="00FF6940"/>
    <w:rsid w:val="00FF6966"/>
    <w:rsid w:val="00FF6981"/>
    <w:rsid w:val="00FF6FE9"/>
    <w:rsid w:val="00FF735E"/>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8B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033D"/>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671BF5"/>
    <w:pPr>
      <w:tabs>
        <w:tab w:val="left" w:pos="1701"/>
        <w:tab w:val="right" w:leader="dot" w:pos="9017"/>
      </w:tabs>
      <w:spacing w:after="60"/>
      <w:ind w:left="851" w:right="720"/>
    </w:pPr>
    <w:rPr>
      <w:noProof/>
    </w:rPr>
  </w:style>
  <w:style w:type="paragraph" w:styleId="TOC3">
    <w:name w:val="toc 3"/>
    <w:basedOn w:val="Normal"/>
    <w:next w:val="Normal"/>
    <w:autoRedefine/>
    <w:uiPriority w:val="39"/>
    <w:qFormat/>
    <w:rsid w:val="00665B03"/>
    <w:pPr>
      <w:tabs>
        <w:tab w:val="left" w:pos="567"/>
        <w:tab w:val="left" w:pos="709"/>
        <w:tab w:val="left" w:pos="1701"/>
        <w:tab w:val="right" w:leader="dot" w:pos="9016"/>
      </w:tabs>
      <w:spacing w:after="0"/>
      <w:ind w:left="1701" w:hanging="850"/>
      <w:jc w:val="left"/>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252823"/>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table" w:customStyle="1" w:styleId="TableGrid2">
    <w:name w:val="Table Grid2"/>
    <w:basedOn w:val="TableNormal"/>
    <w:next w:val="TableGrid"/>
    <w:uiPriority w:val="99"/>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numId w:val="7"/>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a">
    <w:basedOn w:val="Heading4"/>
    <w:next w:val="Heading6"/>
    <w:autoRedefine/>
    <w:hidden/>
    <w:uiPriority w:val="6"/>
    <w:rsid w:val="006E0069"/>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styleId="NoSpacing">
    <w:name w:val="No Spacing"/>
    <w:link w:val="NoSpacingChar"/>
    <w:uiPriority w:val="99"/>
    <w:qFormat/>
    <w:rsid w:val="00FB6F78"/>
    <w:rPr>
      <w:rFonts w:ascii="Calibri" w:hAnsi="Calibri"/>
      <w:sz w:val="22"/>
      <w:szCs w:val="22"/>
      <w:lang w:val="en-US" w:eastAsia="en-US"/>
    </w:rPr>
  </w:style>
  <w:style w:type="character" w:customStyle="1" w:styleId="NoSpacingChar">
    <w:name w:val="No Spacing Char"/>
    <w:link w:val="NoSpacing"/>
    <w:uiPriority w:val="99"/>
    <w:locked/>
    <w:rsid w:val="00FB6F78"/>
    <w:rPr>
      <w:rFonts w:ascii="Calibri" w:hAnsi="Calibri"/>
      <w:sz w:val="22"/>
      <w:szCs w:val="22"/>
      <w:lang w:val="en-US" w:eastAsia="en-US"/>
    </w:rPr>
  </w:style>
  <w:style w:type="paragraph" w:customStyle="1" w:styleId="Tablename0">
    <w:name w:val="Table name"/>
    <w:basedOn w:val="Normal"/>
    <w:link w:val="TablenameChar0"/>
    <w:qFormat/>
    <w:rsid w:val="00FC1C69"/>
    <w:pPr>
      <w:keepNext/>
      <w:spacing w:before="40" w:after="40" w:line="240" w:lineRule="auto"/>
      <w:ind w:left="993" w:hanging="993"/>
    </w:pPr>
    <w:rPr>
      <w:rFonts w:ascii="Arial Narrow" w:hAnsi="Arial Narrow"/>
      <w:b/>
      <w:lang w:eastAsia="en-US"/>
    </w:rPr>
  </w:style>
  <w:style w:type="character" w:customStyle="1" w:styleId="TablenameChar0">
    <w:name w:val="Table name Char"/>
    <w:basedOn w:val="DefaultParagraphFont"/>
    <w:link w:val="Tablename0"/>
    <w:rsid w:val="00FC1C69"/>
    <w:rPr>
      <w:rFonts w:ascii="Arial Narrow" w:hAnsi="Arial Narrow" w:cs="Tahoma"/>
      <w:b/>
      <w:sz w:val="22"/>
      <w:szCs w:val="22"/>
      <w:lang w:eastAsia="en-US"/>
    </w:rPr>
  </w:style>
  <w:style w:type="table" w:customStyle="1" w:styleId="TableGrid11">
    <w:name w:val="Table Grid11"/>
    <w:basedOn w:val="TableNormal"/>
    <w:next w:val="TableGrid"/>
    <w:rsid w:val="00AE4FA3"/>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numbering" w:customStyle="1" w:styleId="NoList1">
    <w:name w:val="No List1"/>
    <w:next w:val="NoList"/>
    <w:uiPriority w:val="99"/>
    <w:semiHidden/>
    <w:unhideWhenUsed/>
    <w:rsid w:val="008F0174"/>
  </w:style>
  <w:style w:type="character" w:customStyle="1" w:styleId="PersonalComposeStyle">
    <w:name w:val="Personal Compose Style"/>
    <w:basedOn w:val="DefaultParagraphFont"/>
    <w:rsid w:val="008F0174"/>
    <w:rPr>
      <w:rFonts w:ascii="Arial" w:hAnsi="Arial" w:cs="Arial"/>
      <w:color w:val="auto"/>
      <w:sz w:val="20"/>
    </w:rPr>
  </w:style>
  <w:style w:type="character" w:customStyle="1" w:styleId="PersonalReplyStyle">
    <w:name w:val="Personal Reply Style"/>
    <w:basedOn w:val="DefaultParagraphFont"/>
    <w:rsid w:val="008F0174"/>
    <w:rPr>
      <w:rFonts w:ascii="Arial" w:hAnsi="Arial" w:cs="Arial"/>
      <w:color w:val="auto"/>
      <w:sz w:val="20"/>
    </w:rPr>
  </w:style>
  <w:style w:type="table" w:customStyle="1" w:styleId="Style2">
    <w:name w:val="Style2"/>
    <w:basedOn w:val="TableNormal"/>
    <w:uiPriority w:val="99"/>
    <w:rsid w:val="008F0174"/>
    <w:pPr>
      <w:spacing w:before="40" w:after="40"/>
      <w:ind w:right="-57"/>
    </w:pPr>
    <w:rPr>
      <w:rFonts w:ascii="Tahoma" w:hAnsi="Tahoma" w:cs="Tahoma"/>
      <w:sz w:val="22"/>
      <w:szCs w:val="22"/>
    </w:rPr>
    <w:tblPr/>
  </w:style>
  <w:style w:type="table" w:customStyle="1" w:styleId="TableGrid3">
    <w:name w:val="Table Grid3"/>
    <w:basedOn w:val="TableNormal"/>
    <w:next w:val="TableGrid"/>
    <w:uiPriority w:val="59"/>
    <w:rsid w:val="008F017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F0174"/>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F017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F017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Sectionheading-numbered1">
    <w:name w:val="ES. Section heading - numbered1"/>
    <w:uiPriority w:val="99"/>
    <w:rsid w:val="008F0174"/>
  </w:style>
  <w:style w:type="numbering" w:customStyle="1" w:styleId="ESSectionheading-numbered11">
    <w:name w:val="ES. Section heading - numbered11"/>
    <w:uiPriority w:val="99"/>
    <w:rsid w:val="008F0174"/>
  </w:style>
  <w:style w:type="numbering" w:customStyle="1" w:styleId="ESSectionheading-numbered2">
    <w:name w:val="ES. Section heading - numbered2"/>
    <w:uiPriority w:val="99"/>
    <w:rsid w:val="008F0174"/>
  </w:style>
  <w:style w:type="numbering" w:customStyle="1" w:styleId="ESSectionheading-numbered3">
    <w:name w:val="ES. Section heading - numbered3"/>
    <w:uiPriority w:val="99"/>
    <w:rsid w:val="008F0174"/>
  </w:style>
  <w:style w:type="table" w:customStyle="1" w:styleId="TableGrid23">
    <w:name w:val="Table Grid23"/>
    <w:basedOn w:val="TableNormal"/>
    <w:next w:val="TableGrid"/>
    <w:uiPriority w:val="99"/>
    <w:rsid w:val="001024C1"/>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024C1"/>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D654C"/>
  </w:style>
  <w:style w:type="table" w:customStyle="1" w:styleId="TableGrid5">
    <w:name w:val="Table Grid5"/>
    <w:basedOn w:val="TableNormal"/>
    <w:next w:val="TableGrid"/>
    <w:uiPriority w:val="59"/>
    <w:rsid w:val="005D654C"/>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D654C"/>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D654C"/>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03BE"/>
  </w:style>
  <w:style w:type="table" w:customStyle="1" w:styleId="TableGrid6">
    <w:name w:val="Table Grid6"/>
    <w:basedOn w:val="TableNormal"/>
    <w:next w:val="TableGrid"/>
    <w:uiPriority w:val="59"/>
    <w:rsid w:val="002503B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2503BE"/>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03BE"/>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4A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10291"/>
    <w:pPr>
      <w:spacing w:after="200" w:line="240" w:lineRule="auto"/>
    </w:pPr>
    <w:rPr>
      <w:rFonts w:ascii="Tahoma" w:eastAsiaTheme="minorHAnsi" w:hAnsi="Tahoma"/>
      <w:noProof/>
      <w:lang w:val="en-US" w:eastAsia="en-US"/>
    </w:rPr>
  </w:style>
  <w:style w:type="character" w:customStyle="1" w:styleId="EndNoteBibliographyChar">
    <w:name w:val="EndNote Bibliography Char"/>
    <w:basedOn w:val="DefaultParagraphFont"/>
    <w:link w:val="EndNoteBibliography"/>
    <w:rsid w:val="00210291"/>
    <w:rPr>
      <w:rFonts w:ascii="Tahoma" w:eastAsiaTheme="minorHAnsi" w:hAnsi="Tahoma" w:cs="Tahoma"/>
      <w:noProof/>
      <w:sz w:val="22"/>
      <w:szCs w:val="22"/>
      <w:lang w:val="en-US" w:eastAsia="en-US"/>
    </w:rPr>
  </w:style>
  <w:style w:type="paragraph" w:customStyle="1" w:styleId="EndNoteBibliographyTitle">
    <w:name w:val="EndNote Bibliography Title"/>
    <w:basedOn w:val="Normal"/>
    <w:link w:val="EndNoteBibliographyTitleChar"/>
    <w:rsid w:val="002D6F40"/>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2D6F40"/>
    <w:rPr>
      <w:rFonts w:ascii="Tahoma" w:hAnsi="Tahoma" w:cs="Tahoma"/>
      <w:noProof/>
      <w:sz w:val="22"/>
      <w:szCs w:val="22"/>
    </w:rPr>
  </w:style>
  <w:style w:type="character" w:styleId="PlaceholderText">
    <w:name w:val="Placeholder Text"/>
    <w:basedOn w:val="DefaultParagraphFont"/>
    <w:uiPriority w:val="99"/>
    <w:semiHidden/>
    <w:rsid w:val="00A00457"/>
    <w:rPr>
      <w:color w:val="808080"/>
    </w:rPr>
  </w:style>
  <w:style w:type="character" w:customStyle="1" w:styleId="Heading5Char">
    <w:name w:val="Heading 5 Char"/>
    <w:basedOn w:val="DefaultParagraphFont"/>
    <w:link w:val="Heading5"/>
    <w:rsid w:val="00B42948"/>
    <w:rPr>
      <w:rFonts w:ascii="Calibri" w:hAnsi="Calibri" w:cs="Tahoma"/>
      <w:b/>
      <w:i/>
      <w:sz w:val="22"/>
      <w:szCs w:val="22"/>
    </w:rPr>
  </w:style>
  <w:style w:type="character" w:customStyle="1" w:styleId="Heading6Char">
    <w:name w:val="Heading 6 Char"/>
    <w:basedOn w:val="DefaultParagraphFont"/>
    <w:link w:val="Heading6"/>
    <w:rsid w:val="00B42948"/>
    <w:rPr>
      <w:rFonts w:ascii="Calibri" w:hAnsi="Calibri" w:cs="Tahoma"/>
      <w:sz w:val="22"/>
      <w:szCs w:val="22"/>
      <w:u w:val="single"/>
    </w:rPr>
  </w:style>
  <w:style w:type="character" w:customStyle="1" w:styleId="Heading7Char">
    <w:name w:val="Heading 7 Char"/>
    <w:basedOn w:val="DefaultParagraphFont"/>
    <w:link w:val="Heading7"/>
    <w:rsid w:val="00B42948"/>
    <w:rPr>
      <w:rFonts w:ascii="Calibri" w:hAnsi="Calibri" w:cs="Tahoma"/>
      <w:i/>
      <w:sz w:val="22"/>
      <w:szCs w:val="22"/>
    </w:rPr>
  </w:style>
  <w:style w:type="character" w:customStyle="1" w:styleId="Heading8Char">
    <w:name w:val="Heading 8 Char"/>
    <w:basedOn w:val="DefaultParagraphFont"/>
    <w:link w:val="Heading8"/>
    <w:rsid w:val="00B42948"/>
    <w:rPr>
      <w:rFonts w:ascii="Calibri" w:hAnsi="Calibri" w:cs="Tahoma"/>
      <w:sz w:val="22"/>
      <w:szCs w:val="22"/>
      <w:u w:val="single"/>
    </w:rPr>
  </w:style>
  <w:style w:type="character" w:customStyle="1" w:styleId="Heading9Char">
    <w:name w:val="Heading 9 Char"/>
    <w:basedOn w:val="DefaultParagraphFont"/>
    <w:link w:val="Heading9"/>
    <w:rsid w:val="00B42948"/>
    <w:rPr>
      <w:rFonts w:ascii="Calibri" w:hAnsi="Calibri" w:cs="Tahoma"/>
      <w:sz w:val="22"/>
      <w:szCs w:val="22"/>
    </w:rPr>
  </w:style>
  <w:style w:type="character" w:customStyle="1" w:styleId="DateChar">
    <w:name w:val="Date Char"/>
    <w:basedOn w:val="DefaultParagraphFont"/>
    <w:link w:val="Date"/>
    <w:rsid w:val="00B42948"/>
    <w:rPr>
      <w:rFonts w:ascii="Arial" w:hAnsi="Arial" w:cs="Tahoma"/>
      <w:b/>
      <w:sz w:val="36"/>
      <w:szCs w:val="22"/>
    </w:rPr>
  </w:style>
  <w:style w:type="character" w:customStyle="1" w:styleId="TitleChar">
    <w:name w:val="Title Char"/>
    <w:basedOn w:val="DefaultParagraphFont"/>
    <w:link w:val="Title"/>
    <w:rsid w:val="00B42948"/>
    <w:rPr>
      <w:rFonts w:ascii="Arial" w:hAnsi="Arial" w:cs="Tahoma"/>
      <w:b/>
      <w:smallCaps/>
      <w:sz w:val="44"/>
      <w:szCs w:val="22"/>
    </w:rPr>
  </w:style>
  <w:style w:type="character" w:customStyle="1" w:styleId="QuoteChar">
    <w:name w:val="Quote Char"/>
    <w:basedOn w:val="DefaultParagraphFont"/>
    <w:link w:val="Quote"/>
    <w:rsid w:val="00B42948"/>
    <w:rPr>
      <w:rFonts w:ascii="Calibri" w:hAnsi="Calibri" w:cs="Tahoma"/>
      <w:sz w:val="22"/>
      <w:szCs w:val="22"/>
    </w:rPr>
  </w:style>
  <w:style w:type="table" w:customStyle="1" w:styleId="TableGrid8">
    <w:name w:val="Table Grid8"/>
    <w:basedOn w:val="TableNormal"/>
    <w:next w:val="TableGrid"/>
    <w:uiPriority w:val="59"/>
    <w:rsid w:val="0087331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4A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99"/>
    <w:rsid w:val="00DA792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character" w:customStyle="1" w:styleId="st">
    <w:name w:val="st"/>
    <w:basedOn w:val="DefaultParagraphFont"/>
    <w:rsid w:val="006C32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033D"/>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link w:val="Heading7Char"/>
    <w:rsid w:val="00574BF8"/>
    <w:pPr>
      <w:keepNext/>
      <w:outlineLvl w:val="6"/>
    </w:pPr>
    <w:rPr>
      <w:i/>
    </w:rPr>
  </w:style>
  <w:style w:type="paragraph" w:styleId="Heading8">
    <w:name w:val="heading 8"/>
    <w:basedOn w:val="Normal"/>
    <w:next w:val="Normal"/>
    <w:link w:val="Heading8Char"/>
    <w:rsid w:val="00574BF8"/>
    <w:pPr>
      <w:keepNext/>
      <w:outlineLvl w:val="7"/>
    </w:pPr>
    <w:rPr>
      <w:u w:val="single"/>
    </w:rPr>
  </w:style>
  <w:style w:type="paragraph" w:styleId="Heading9">
    <w:name w:val="heading 9"/>
    <w:basedOn w:val="Normal"/>
    <w:next w:val="Normal"/>
    <w:link w:val="Heading9Char"/>
    <w:rsid w:val="00574BF8"/>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link w:val="DateChar"/>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uiPriority w:val="99"/>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link w:val="TitleChar"/>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671BF5"/>
    <w:pPr>
      <w:tabs>
        <w:tab w:val="left" w:pos="1701"/>
        <w:tab w:val="right" w:leader="dot" w:pos="9017"/>
      </w:tabs>
      <w:spacing w:after="60"/>
      <w:ind w:left="851" w:right="720"/>
    </w:pPr>
    <w:rPr>
      <w:noProof/>
    </w:rPr>
  </w:style>
  <w:style w:type="paragraph" w:styleId="TOC3">
    <w:name w:val="toc 3"/>
    <w:basedOn w:val="Normal"/>
    <w:next w:val="Normal"/>
    <w:autoRedefine/>
    <w:uiPriority w:val="39"/>
    <w:qFormat/>
    <w:rsid w:val="00665B03"/>
    <w:pPr>
      <w:tabs>
        <w:tab w:val="left" w:pos="567"/>
        <w:tab w:val="left" w:pos="709"/>
        <w:tab w:val="left" w:pos="1701"/>
        <w:tab w:val="right" w:leader="dot" w:pos="9016"/>
      </w:tabs>
      <w:spacing w:after="0"/>
      <w:ind w:left="1701" w:hanging="850"/>
      <w:jc w:val="left"/>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link w:val="QuoteChar"/>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252823"/>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rsid w:val="004D6547"/>
    <w:rPr>
      <w:rFonts w:ascii="Tahoma" w:hAnsi="Tahoma" w:cs="Tahoma"/>
      <w:szCs w:val="22"/>
    </w:rPr>
  </w:style>
  <w:style w:type="character" w:customStyle="1" w:styleId="BalloonTextChar">
    <w:name w:val="Balloon Text Char"/>
    <w:basedOn w:val="DefaultParagraphFont"/>
    <w:link w:val="BalloonText"/>
    <w:uiPriority w:val="99"/>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table" w:customStyle="1" w:styleId="TableGrid2">
    <w:name w:val="Table Grid2"/>
    <w:basedOn w:val="TableNormal"/>
    <w:next w:val="TableGrid"/>
    <w:uiPriority w:val="99"/>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numId w:val="7"/>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DF343F"/>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F343F"/>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a">
    <w:basedOn w:val="Heading4"/>
    <w:next w:val="Heading6"/>
    <w:autoRedefine/>
    <w:hidden/>
    <w:uiPriority w:val="6"/>
    <w:rsid w:val="006E0069"/>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styleId="NoSpacing">
    <w:name w:val="No Spacing"/>
    <w:link w:val="NoSpacingChar"/>
    <w:uiPriority w:val="99"/>
    <w:qFormat/>
    <w:rsid w:val="00FB6F78"/>
    <w:rPr>
      <w:rFonts w:ascii="Calibri" w:hAnsi="Calibri"/>
      <w:sz w:val="22"/>
      <w:szCs w:val="22"/>
      <w:lang w:val="en-US" w:eastAsia="en-US"/>
    </w:rPr>
  </w:style>
  <w:style w:type="character" w:customStyle="1" w:styleId="NoSpacingChar">
    <w:name w:val="No Spacing Char"/>
    <w:link w:val="NoSpacing"/>
    <w:uiPriority w:val="99"/>
    <w:locked/>
    <w:rsid w:val="00FB6F78"/>
    <w:rPr>
      <w:rFonts w:ascii="Calibri" w:hAnsi="Calibri"/>
      <w:sz w:val="22"/>
      <w:szCs w:val="22"/>
      <w:lang w:val="en-US" w:eastAsia="en-US"/>
    </w:rPr>
  </w:style>
  <w:style w:type="paragraph" w:customStyle="1" w:styleId="Tablename0">
    <w:name w:val="Table name"/>
    <w:basedOn w:val="Normal"/>
    <w:link w:val="TablenameChar0"/>
    <w:qFormat/>
    <w:rsid w:val="00FC1C69"/>
    <w:pPr>
      <w:keepNext/>
      <w:spacing w:before="40" w:after="40" w:line="240" w:lineRule="auto"/>
      <w:ind w:left="993" w:hanging="993"/>
    </w:pPr>
    <w:rPr>
      <w:rFonts w:ascii="Arial Narrow" w:hAnsi="Arial Narrow"/>
      <w:b/>
      <w:lang w:eastAsia="en-US"/>
    </w:rPr>
  </w:style>
  <w:style w:type="character" w:customStyle="1" w:styleId="TablenameChar0">
    <w:name w:val="Table name Char"/>
    <w:basedOn w:val="DefaultParagraphFont"/>
    <w:link w:val="Tablename0"/>
    <w:rsid w:val="00FC1C69"/>
    <w:rPr>
      <w:rFonts w:ascii="Arial Narrow" w:hAnsi="Arial Narrow" w:cs="Tahoma"/>
      <w:b/>
      <w:sz w:val="22"/>
      <w:szCs w:val="22"/>
      <w:lang w:eastAsia="en-US"/>
    </w:rPr>
  </w:style>
  <w:style w:type="table" w:customStyle="1" w:styleId="TableGrid11">
    <w:name w:val="Table Grid11"/>
    <w:basedOn w:val="TableNormal"/>
    <w:next w:val="TableGrid"/>
    <w:rsid w:val="00AE4FA3"/>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numbering" w:customStyle="1" w:styleId="NoList1">
    <w:name w:val="No List1"/>
    <w:next w:val="NoList"/>
    <w:uiPriority w:val="99"/>
    <w:semiHidden/>
    <w:unhideWhenUsed/>
    <w:rsid w:val="008F0174"/>
  </w:style>
  <w:style w:type="character" w:customStyle="1" w:styleId="PersonalComposeStyle">
    <w:name w:val="Personal Compose Style"/>
    <w:basedOn w:val="DefaultParagraphFont"/>
    <w:rsid w:val="008F0174"/>
    <w:rPr>
      <w:rFonts w:ascii="Arial" w:hAnsi="Arial" w:cs="Arial"/>
      <w:color w:val="auto"/>
      <w:sz w:val="20"/>
    </w:rPr>
  </w:style>
  <w:style w:type="character" w:customStyle="1" w:styleId="PersonalReplyStyle">
    <w:name w:val="Personal Reply Style"/>
    <w:basedOn w:val="DefaultParagraphFont"/>
    <w:rsid w:val="008F0174"/>
    <w:rPr>
      <w:rFonts w:ascii="Arial" w:hAnsi="Arial" w:cs="Arial"/>
      <w:color w:val="auto"/>
      <w:sz w:val="20"/>
    </w:rPr>
  </w:style>
  <w:style w:type="table" w:customStyle="1" w:styleId="Style2">
    <w:name w:val="Style2"/>
    <w:basedOn w:val="TableNormal"/>
    <w:uiPriority w:val="99"/>
    <w:rsid w:val="008F0174"/>
    <w:pPr>
      <w:spacing w:before="40" w:after="40"/>
      <w:ind w:right="-57"/>
    </w:pPr>
    <w:rPr>
      <w:rFonts w:ascii="Tahoma" w:hAnsi="Tahoma" w:cs="Tahoma"/>
      <w:sz w:val="22"/>
      <w:szCs w:val="22"/>
    </w:rPr>
    <w:tblPr/>
  </w:style>
  <w:style w:type="table" w:customStyle="1" w:styleId="TableGrid3">
    <w:name w:val="Table Grid3"/>
    <w:basedOn w:val="TableNormal"/>
    <w:next w:val="TableGrid"/>
    <w:uiPriority w:val="59"/>
    <w:rsid w:val="008F017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F0174"/>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8F017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F017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F017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Sectionheading-numbered1">
    <w:name w:val="ES. Section heading - numbered1"/>
    <w:uiPriority w:val="99"/>
    <w:rsid w:val="008F0174"/>
  </w:style>
  <w:style w:type="numbering" w:customStyle="1" w:styleId="ESSectionheading-numbered11">
    <w:name w:val="ES. Section heading - numbered11"/>
    <w:uiPriority w:val="99"/>
    <w:rsid w:val="008F0174"/>
  </w:style>
  <w:style w:type="numbering" w:customStyle="1" w:styleId="ESSectionheading-numbered2">
    <w:name w:val="ES. Section heading - numbered2"/>
    <w:uiPriority w:val="99"/>
    <w:rsid w:val="008F0174"/>
  </w:style>
  <w:style w:type="numbering" w:customStyle="1" w:styleId="ESSectionheading-numbered3">
    <w:name w:val="ES. Section heading - numbered3"/>
    <w:uiPriority w:val="99"/>
    <w:rsid w:val="008F0174"/>
  </w:style>
  <w:style w:type="table" w:customStyle="1" w:styleId="TableGrid23">
    <w:name w:val="Table Grid23"/>
    <w:basedOn w:val="TableNormal"/>
    <w:next w:val="TableGrid"/>
    <w:uiPriority w:val="99"/>
    <w:rsid w:val="001024C1"/>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024C1"/>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D7EB9"/>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D654C"/>
  </w:style>
  <w:style w:type="table" w:customStyle="1" w:styleId="TableGrid5">
    <w:name w:val="Table Grid5"/>
    <w:basedOn w:val="TableNormal"/>
    <w:next w:val="TableGrid"/>
    <w:uiPriority w:val="59"/>
    <w:rsid w:val="005D654C"/>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D654C"/>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D654C"/>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03BE"/>
  </w:style>
  <w:style w:type="table" w:customStyle="1" w:styleId="TableGrid6">
    <w:name w:val="Table Grid6"/>
    <w:basedOn w:val="TableNormal"/>
    <w:next w:val="TableGrid"/>
    <w:uiPriority w:val="59"/>
    <w:rsid w:val="002503BE"/>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2503BE"/>
    <w:pPr>
      <w:spacing w:before="40" w:after="40"/>
      <w:ind w:right="-57"/>
    </w:pPr>
    <w:rPr>
      <w:rFonts w:ascii="Arial Narrow" w:eastAsia="Calibri" w:hAnsi="Arial Narrow"/>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03BE"/>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4A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10291"/>
    <w:pPr>
      <w:spacing w:after="200" w:line="240" w:lineRule="auto"/>
    </w:pPr>
    <w:rPr>
      <w:rFonts w:ascii="Tahoma" w:eastAsiaTheme="minorHAnsi" w:hAnsi="Tahoma"/>
      <w:noProof/>
      <w:lang w:val="en-US" w:eastAsia="en-US"/>
    </w:rPr>
  </w:style>
  <w:style w:type="character" w:customStyle="1" w:styleId="EndNoteBibliographyChar">
    <w:name w:val="EndNote Bibliography Char"/>
    <w:basedOn w:val="DefaultParagraphFont"/>
    <w:link w:val="EndNoteBibliography"/>
    <w:rsid w:val="00210291"/>
    <w:rPr>
      <w:rFonts w:ascii="Tahoma" w:eastAsiaTheme="minorHAnsi" w:hAnsi="Tahoma" w:cs="Tahoma"/>
      <w:noProof/>
      <w:sz w:val="22"/>
      <w:szCs w:val="22"/>
      <w:lang w:val="en-US" w:eastAsia="en-US"/>
    </w:rPr>
  </w:style>
  <w:style w:type="paragraph" w:customStyle="1" w:styleId="EndNoteBibliographyTitle">
    <w:name w:val="EndNote Bibliography Title"/>
    <w:basedOn w:val="Normal"/>
    <w:link w:val="EndNoteBibliographyTitleChar"/>
    <w:rsid w:val="002D6F40"/>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2D6F40"/>
    <w:rPr>
      <w:rFonts w:ascii="Tahoma" w:hAnsi="Tahoma" w:cs="Tahoma"/>
      <w:noProof/>
      <w:sz w:val="22"/>
      <w:szCs w:val="22"/>
    </w:rPr>
  </w:style>
  <w:style w:type="character" w:styleId="PlaceholderText">
    <w:name w:val="Placeholder Text"/>
    <w:basedOn w:val="DefaultParagraphFont"/>
    <w:uiPriority w:val="99"/>
    <w:semiHidden/>
    <w:rsid w:val="00A00457"/>
    <w:rPr>
      <w:color w:val="808080"/>
    </w:rPr>
  </w:style>
  <w:style w:type="character" w:customStyle="1" w:styleId="Heading5Char">
    <w:name w:val="Heading 5 Char"/>
    <w:basedOn w:val="DefaultParagraphFont"/>
    <w:link w:val="Heading5"/>
    <w:rsid w:val="00B42948"/>
    <w:rPr>
      <w:rFonts w:ascii="Calibri" w:hAnsi="Calibri" w:cs="Tahoma"/>
      <w:b/>
      <w:i/>
      <w:sz w:val="22"/>
      <w:szCs w:val="22"/>
    </w:rPr>
  </w:style>
  <w:style w:type="character" w:customStyle="1" w:styleId="Heading6Char">
    <w:name w:val="Heading 6 Char"/>
    <w:basedOn w:val="DefaultParagraphFont"/>
    <w:link w:val="Heading6"/>
    <w:rsid w:val="00B42948"/>
    <w:rPr>
      <w:rFonts w:ascii="Calibri" w:hAnsi="Calibri" w:cs="Tahoma"/>
      <w:sz w:val="22"/>
      <w:szCs w:val="22"/>
      <w:u w:val="single"/>
    </w:rPr>
  </w:style>
  <w:style w:type="character" w:customStyle="1" w:styleId="Heading7Char">
    <w:name w:val="Heading 7 Char"/>
    <w:basedOn w:val="DefaultParagraphFont"/>
    <w:link w:val="Heading7"/>
    <w:rsid w:val="00B42948"/>
    <w:rPr>
      <w:rFonts w:ascii="Calibri" w:hAnsi="Calibri" w:cs="Tahoma"/>
      <w:i/>
      <w:sz w:val="22"/>
      <w:szCs w:val="22"/>
    </w:rPr>
  </w:style>
  <w:style w:type="character" w:customStyle="1" w:styleId="Heading8Char">
    <w:name w:val="Heading 8 Char"/>
    <w:basedOn w:val="DefaultParagraphFont"/>
    <w:link w:val="Heading8"/>
    <w:rsid w:val="00B42948"/>
    <w:rPr>
      <w:rFonts w:ascii="Calibri" w:hAnsi="Calibri" w:cs="Tahoma"/>
      <w:sz w:val="22"/>
      <w:szCs w:val="22"/>
      <w:u w:val="single"/>
    </w:rPr>
  </w:style>
  <w:style w:type="character" w:customStyle="1" w:styleId="Heading9Char">
    <w:name w:val="Heading 9 Char"/>
    <w:basedOn w:val="DefaultParagraphFont"/>
    <w:link w:val="Heading9"/>
    <w:rsid w:val="00B42948"/>
    <w:rPr>
      <w:rFonts w:ascii="Calibri" w:hAnsi="Calibri" w:cs="Tahoma"/>
      <w:sz w:val="22"/>
      <w:szCs w:val="22"/>
    </w:rPr>
  </w:style>
  <w:style w:type="character" w:customStyle="1" w:styleId="DateChar">
    <w:name w:val="Date Char"/>
    <w:basedOn w:val="DefaultParagraphFont"/>
    <w:link w:val="Date"/>
    <w:rsid w:val="00B42948"/>
    <w:rPr>
      <w:rFonts w:ascii="Arial" w:hAnsi="Arial" w:cs="Tahoma"/>
      <w:b/>
      <w:sz w:val="36"/>
      <w:szCs w:val="22"/>
    </w:rPr>
  </w:style>
  <w:style w:type="character" w:customStyle="1" w:styleId="TitleChar">
    <w:name w:val="Title Char"/>
    <w:basedOn w:val="DefaultParagraphFont"/>
    <w:link w:val="Title"/>
    <w:rsid w:val="00B42948"/>
    <w:rPr>
      <w:rFonts w:ascii="Arial" w:hAnsi="Arial" w:cs="Tahoma"/>
      <w:b/>
      <w:smallCaps/>
      <w:sz w:val="44"/>
      <w:szCs w:val="22"/>
    </w:rPr>
  </w:style>
  <w:style w:type="character" w:customStyle="1" w:styleId="QuoteChar">
    <w:name w:val="Quote Char"/>
    <w:basedOn w:val="DefaultParagraphFont"/>
    <w:link w:val="Quote"/>
    <w:rsid w:val="00B42948"/>
    <w:rPr>
      <w:rFonts w:ascii="Calibri" w:hAnsi="Calibri" w:cs="Tahoma"/>
      <w:sz w:val="22"/>
      <w:szCs w:val="22"/>
    </w:rPr>
  </w:style>
  <w:style w:type="table" w:customStyle="1" w:styleId="TableGrid8">
    <w:name w:val="Table Grid8"/>
    <w:basedOn w:val="TableNormal"/>
    <w:next w:val="TableGrid"/>
    <w:uiPriority w:val="59"/>
    <w:rsid w:val="0087331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4A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99"/>
    <w:rsid w:val="00DA7924"/>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w:hAnsi="Times"/>
        <w:b w:val="0"/>
        <w:sz w:val="20"/>
      </w:rPr>
    </w:tblStylePr>
  </w:style>
  <w:style w:type="character" w:customStyle="1" w:styleId="st">
    <w:name w:val="st"/>
    <w:basedOn w:val="DefaultParagraphFont"/>
    <w:rsid w:val="006C3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69812077">
      <w:bodyDiv w:val="1"/>
      <w:marLeft w:val="0"/>
      <w:marRight w:val="0"/>
      <w:marTop w:val="0"/>
      <w:marBottom w:val="0"/>
      <w:divBdr>
        <w:top w:val="none" w:sz="0" w:space="0" w:color="auto"/>
        <w:left w:val="none" w:sz="0" w:space="0" w:color="auto"/>
        <w:bottom w:val="none" w:sz="0" w:space="0" w:color="auto"/>
        <w:right w:val="none" w:sz="0" w:space="0" w:color="auto"/>
      </w:divBdr>
      <w:divsChild>
        <w:div w:id="2110615630">
          <w:marLeft w:val="0"/>
          <w:marRight w:val="0"/>
          <w:marTop w:val="0"/>
          <w:marBottom w:val="0"/>
          <w:divBdr>
            <w:top w:val="none" w:sz="0" w:space="0" w:color="auto"/>
            <w:left w:val="none" w:sz="0" w:space="0" w:color="auto"/>
            <w:bottom w:val="none" w:sz="0" w:space="0" w:color="auto"/>
            <w:right w:val="none" w:sz="0" w:space="0" w:color="auto"/>
          </w:divBdr>
          <w:divsChild>
            <w:div w:id="1593662524">
              <w:marLeft w:val="0"/>
              <w:marRight w:val="0"/>
              <w:marTop w:val="0"/>
              <w:marBottom w:val="0"/>
              <w:divBdr>
                <w:top w:val="none" w:sz="0" w:space="0" w:color="auto"/>
                <w:left w:val="none" w:sz="0" w:space="0" w:color="auto"/>
                <w:bottom w:val="none" w:sz="0" w:space="0" w:color="auto"/>
                <w:right w:val="none" w:sz="0" w:space="0" w:color="auto"/>
              </w:divBdr>
              <w:divsChild>
                <w:div w:id="2060472975">
                  <w:marLeft w:val="0"/>
                  <w:marRight w:val="0"/>
                  <w:marTop w:val="0"/>
                  <w:marBottom w:val="0"/>
                  <w:divBdr>
                    <w:top w:val="none" w:sz="0" w:space="0" w:color="auto"/>
                    <w:left w:val="none" w:sz="0" w:space="0" w:color="auto"/>
                    <w:bottom w:val="none" w:sz="0" w:space="0" w:color="auto"/>
                    <w:right w:val="none" w:sz="0" w:space="0" w:color="auto"/>
                  </w:divBdr>
                  <w:divsChild>
                    <w:div w:id="6723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2549466">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8100097">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39813413">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64914062">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8389">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26066756">
      <w:bodyDiv w:val="1"/>
      <w:marLeft w:val="0"/>
      <w:marRight w:val="0"/>
      <w:marTop w:val="0"/>
      <w:marBottom w:val="0"/>
      <w:divBdr>
        <w:top w:val="none" w:sz="0" w:space="0" w:color="auto"/>
        <w:left w:val="none" w:sz="0" w:space="0" w:color="auto"/>
        <w:bottom w:val="none" w:sz="0" w:space="0" w:color="auto"/>
        <w:right w:val="none" w:sz="0" w:space="0" w:color="auto"/>
      </w:divBdr>
      <w:divsChild>
        <w:div w:id="327367716">
          <w:marLeft w:val="0"/>
          <w:marRight w:val="0"/>
          <w:marTop w:val="0"/>
          <w:marBottom w:val="0"/>
          <w:divBdr>
            <w:top w:val="none" w:sz="0" w:space="0" w:color="auto"/>
            <w:left w:val="none" w:sz="0" w:space="0" w:color="auto"/>
            <w:bottom w:val="none" w:sz="0" w:space="0" w:color="auto"/>
            <w:right w:val="none" w:sz="0" w:space="0" w:color="auto"/>
          </w:divBdr>
        </w:div>
        <w:div w:id="456917122">
          <w:marLeft w:val="0"/>
          <w:marRight w:val="0"/>
          <w:marTop w:val="0"/>
          <w:marBottom w:val="0"/>
          <w:divBdr>
            <w:top w:val="none" w:sz="0" w:space="0" w:color="auto"/>
            <w:left w:val="none" w:sz="0" w:space="0" w:color="auto"/>
            <w:bottom w:val="none" w:sz="0" w:space="0" w:color="auto"/>
            <w:right w:val="none" w:sz="0" w:space="0" w:color="auto"/>
          </w:divBdr>
        </w:div>
        <w:div w:id="545990492">
          <w:marLeft w:val="0"/>
          <w:marRight w:val="0"/>
          <w:marTop w:val="0"/>
          <w:marBottom w:val="0"/>
          <w:divBdr>
            <w:top w:val="none" w:sz="0" w:space="0" w:color="auto"/>
            <w:left w:val="none" w:sz="0" w:space="0" w:color="auto"/>
            <w:bottom w:val="none" w:sz="0" w:space="0" w:color="auto"/>
            <w:right w:val="none" w:sz="0" w:space="0" w:color="auto"/>
          </w:divBdr>
        </w:div>
        <w:div w:id="1168714013">
          <w:marLeft w:val="0"/>
          <w:marRight w:val="0"/>
          <w:marTop w:val="0"/>
          <w:marBottom w:val="0"/>
          <w:divBdr>
            <w:top w:val="none" w:sz="0" w:space="0" w:color="auto"/>
            <w:left w:val="none" w:sz="0" w:space="0" w:color="auto"/>
            <w:bottom w:val="none" w:sz="0" w:space="0" w:color="auto"/>
            <w:right w:val="none" w:sz="0" w:space="0" w:color="auto"/>
          </w:divBdr>
        </w:div>
        <w:div w:id="1316569853">
          <w:marLeft w:val="0"/>
          <w:marRight w:val="0"/>
          <w:marTop w:val="0"/>
          <w:marBottom w:val="0"/>
          <w:divBdr>
            <w:top w:val="none" w:sz="0" w:space="0" w:color="auto"/>
            <w:left w:val="none" w:sz="0" w:space="0" w:color="auto"/>
            <w:bottom w:val="none" w:sz="0" w:space="0" w:color="auto"/>
            <w:right w:val="none" w:sz="0" w:space="0" w:color="auto"/>
          </w:divBdr>
        </w:div>
        <w:div w:id="1651667049">
          <w:marLeft w:val="0"/>
          <w:marRight w:val="0"/>
          <w:marTop w:val="0"/>
          <w:marBottom w:val="0"/>
          <w:divBdr>
            <w:top w:val="none" w:sz="0" w:space="0" w:color="auto"/>
            <w:left w:val="none" w:sz="0" w:space="0" w:color="auto"/>
            <w:bottom w:val="none" w:sz="0" w:space="0" w:color="auto"/>
            <w:right w:val="none" w:sz="0" w:space="0" w:color="auto"/>
          </w:divBdr>
        </w:div>
        <w:div w:id="1827743968">
          <w:marLeft w:val="0"/>
          <w:marRight w:val="0"/>
          <w:marTop w:val="0"/>
          <w:marBottom w:val="0"/>
          <w:divBdr>
            <w:top w:val="none" w:sz="0" w:space="0" w:color="auto"/>
            <w:left w:val="none" w:sz="0" w:space="0" w:color="auto"/>
            <w:bottom w:val="none" w:sz="0" w:space="0" w:color="auto"/>
            <w:right w:val="none" w:sz="0" w:space="0" w:color="auto"/>
          </w:divBdr>
        </w:div>
        <w:div w:id="1844316377">
          <w:marLeft w:val="0"/>
          <w:marRight w:val="0"/>
          <w:marTop w:val="0"/>
          <w:marBottom w:val="0"/>
          <w:divBdr>
            <w:top w:val="none" w:sz="0" w:space="0" w:color="auto"/>
            <w:left w:val="none" w:sz="0" w:space="0" w:color="auto"/>
            <w:bottom w:val="none" w:sz="0" w:space="0" w:color="auto"/>
            <w:right w:val="none" w:sz="0" w:space="0" w:color="auto"/>
          </w:divBdr>
        </w:div>
        <w:div w:id="1892108087">
          <w:marLeft w:val="0"/>
          <w:marRight w:val="0"/>
          <w:marTop w:val="0"/>
          <w:marBottom w:val="0"/>
          <w:divBdr>
            <w:top w:val="none" w:sz="0" w:space="0" w:color="auto"/>
            <w:left w:val="none" w:sz="0" w:space="0" w:color="auto"/>
            <w:bottom w:val="none" w:sz="0" w:space="0" w:color="auto"/>
            <w:right w:val="none" w:sz="0" w:space="0" w:color="auto"/>
          </w:divBdr>
        </w:div>
      </w:divsChild>
    </w:div>
    <w:div w:id="540288524">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9961376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13508910">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4584288">
      <w:bodyDiv w:val="1"/>
      <w:marLeft w:val="0"/>
      <w:marRight w:val="0"/>
      <w:marTop w:val="0"/>
      <w:marBottom w:val="0"/>
      <w:divBdr>
        <w:top w:val="none" w:sz="0" w:space="0" w:color="auto"/>
        <w:left w:val="none" w:sz="0" w:space="0" w:color="auto"/>
        <w:bottom w:val="none" w:sz="0" w:space="0" w:color="auto"/>
        <w:right w:val="none" w:sz="0" w:space="0" w:color="auto"/>
      </w:divBdr>
      <w:divsChild>
        <w:div w:id="12269877">
          <w:marLeft w:val="0"/>
          <w:marRight w:val="0"/>
          <w:marTop w:val="0"/>
          <w:marBottom w:val="0"/>
          <w:divBdr>
            <w:top w:val="none" w:sz="0" w:space="0" w:color="auto"/>
            <w:left w:val="none" w:sz="0" w:space="0" w:color="auto"/>
            <w:bottom w:val="none" w:sz="0" w:space="0" w:color="auto"/>
            <w:right w:val="none" w:sz="0" w:space="0" w:color="auto"/>
          </w:divBdr>
        </w:div>
        <w:div w:id="17660216">
          <w:marLeft w:val="0"/>
          <w:marRight w:val="0"/>
          <w:marTop w:val="0"/>
          <w:marBottom w:val="0"/>
          <w:divBdr>
            <w:top w:val="none" w:sz="0" w:space="0" w:color="auto"/>
            <w:left w:val="none" w:sz="0" w:space="0" w:color="auto"/>
            <w:bottom w:val="none" w:sz="0" w:space="0" w:color="auto"/>
            <w:right w:val="none" w:sz="0" w:space="0" w:color="auto"/>
          </w:divBdr>
        </w:div>
        <w:div w:id="79762825">
          <w:marLeft w:val="0"/>
          <w:marRight w:val="0"/>
          <w:marTop w:val="0"/>
          <w:marBottom w:val="0"/>
          <w:divBdr>
            <w:top w:val="none" w:sz="0" w:space="0" w:color="auto"/>
            <w:left w:val="none" w:sz="0" w:space="0" w:color="auto"/>
            <w:bottom w:val="none" w:sz="0" w:space="0" w:color="auto"/>
            <w:right w:val="none" w:sz="0" w:space="0" w:color="auto"/>
          </w:divBdr>
        </w:div>
        <w:div w:id="112213715">
          <w:marLeft w:val="0"/>
          <w:marRight w:val="0"/>
          <w:marTop w:val="0"/>
          <w:marBottom w:val="0"/>
          <w:divBdr>
            <w:top w:val="none" w:sz="0" w:space="0" w:color="auto"/>
            <w:left w:val="none" w:sz="0" w:space="0" w:color="auto"/>
            <w:bottom w:val="none" w:sz="0" w:space="0" w:color="auto"/>
            <w:right w:val="none" w:sz="0" w:space="0" w:color="auto"/>
          </w:divBdr>
        </w:div>
        <w:div w:id="121074058">
          <w:marLeft w:val="0"/>
          <w:marRight w:val="0"/>
          <w:marTop w:val="0"/>
          <w:marBottom w:val="0"/>
          <w:divBdr>
            <w:top w:val="none" w:sz="0" w:space="0" w:color="auto"/>
            <w:left w:val="none" w:sz="0" w:space="0" w:color="auto"/>
            <w:bottom w:val="none" w:sz="0" w:space="0" w:color="auto"/>
            <w:right w:val="none" w:sz="0" w:space="0" w:color="auto"/>
          </w:divBdr>
        </w:div>
        <w:div w:id="150995535">
          <w:marLeft w:val="0"/>
          <w:marRight w:val="0"/>
          <w:marTop w:val="0"/>
          <w:marBottom w:val="0"/>
          <w:divBdr>
            <w:top w:val="none" w:sz="0" w:space="0" w:color="auto"/>
            <w:left w:val="none" w:sz="0" w:space="0" w:color="auto"/>
            <w:bottom w:val="none" w:sz="0" w:space="0" w:color="auto"/>
            <w:right w:val="none" w:sz="0" w:space="0" w:color="auto"/>
          </w:divBdr>
        </w:div>
        <w:div w:id="210197172">
          <w:marLeft w:val="0"/>
          <w:marRight w:val="0"/>
          <w:marTop w:val="0"/>
          <w:marBottom w:val="0"/>
          <w:divBdr>
            <w:top w:val="none" w:sz="0" w:space="0" w:color="auto"/>
            <w:left w:val="none" w:sz="0" w:space="0" w:color="auto"/>
            <w:bottom w:val="none" w:sz="0" w:space="0" w:color="auto"/>
            <w:right w:val="none" w:sz="0" w:space="0" w:color="auto"/>
          </w:divBdr>
        </w:div>
        <w:div w:id="256209037">
          <w:marLeft w:val="0"/>
          <w:marRight w:val="0"/>
          <w:marTop w:val="0"/>
          <w:marBottom w:val="0"/>
          <w:divBdr>
            <w:top w:val="none" w:sz="0" w:space="0" w:color="auto"/>
            <w:left w:val="none" w:sz="0" w:space="0" w:color="auto"/>
            <w:bottom w:val="none" w:sz="0" w:space="0" w:color="auto"/>
            <w:right w:val="none" w:sz="0" w:space="0" w:color="auto"/>
          </w:divBdr>
        </w:div>
        <w:div w:id="259341166">
          <w:marLeft w:val="0"/>
          <w:marRight w:val="0"/>
          <w:marTop w:val="0"/>
          <w:marBottom w:val="0"/>
          <w:divBdr>
            <w:top w:val="none" w:sz="0" w:space="0" w:color="auto"/>
            <w:left w:val="none" w:sz="0" w:space="0" w:color="auto"/>
            <w:bottom w:val="none" w:sz="0" w:space="0" w:color="auto"/>
            <w:right w:val="none" w:sz="0" w:space="0" w:color="auto"/>
          </w:divBdr>
        </w:div>
        <w:div w:id="311911789">
          <w:marLeft w:val="0"/>
          <w:marRight w:val="0"/>
          <w:marTop w:val="0"/>
          <w:marBottom w:val="0"/>
          <w:divBdr>
            <w:top w:val="none" w:sz="0" w:space="0" w:color="auto"/>
            <w:left w:val="none" w:sz="0" w:space="0" w:color="auto"/>
            <w:bottom w:val="none" w:sz="0" w:space="0" w:color="auto"/>
            <w:right w:val="none" w:sz="0" w:space="0" w:color="auto"/>
          </w:divBdr>
        </w:div>
        <w:div w:id="343749956">
          <w:marLeft w:val="0"/>
          <w:marRight w:val="0"/>
          <w:marTop w:val="0"/>
          <w:marBottom w:val="0"/>
          <w:divBdr>
            <w:top w:val="none" w:sz="0" w:space="0" w:color="auto"/>
            <w:left w:val="none" w:sz="0" w:space="0" w:color="auto"/>
            <w:bottom w:val="none" w:sz="0" w:space="0" w:color="auto"/>
            <w:right w:val="none" w:sz="0" w:space="0" w:color="auto"/>
          </w:divBdr>
        </w:div>
        <w:div w:id="382365997">
          <w:marLeft w:val="0"/>
          <w:marRight w:val="0"/>
          <w:marTop w:val="0"/>
          <w:marBottom w:val="0"/>
          <w:divBdr>
            <w:top w:val="none" w:sz="0" w:space="0" w:color="auto"/>
            <w:left w:val="none" w:sz="0" w:space="0" w:color="auto"/>
            <w:bottom w:val="none" w:sz="0" w:space="0" w:color="auto"/>
            <w:right w:val="none" w:sz="0" w:space="0" w:color="auto"/>
          </w:divBdr>
        </w:div>
        <w:div w:id="384062831">
          <w:marLeft w:val="0"/>
          <w:marRight w:val="0"/>
          <w:marTop w:val="0"/>
          <w:marBottom w:val="0"/>
          <w:divBdr>
            <w:top w:val="none" w:sz="0" w:space="0" w:color="auto"/>
            <w:left w:val="none" w:sz="0" w:space="0" w:color="auto"/>
            <w:bottom w:val="none" w:sz="0" w:space="0" w:color="auto"/>
            <w:right w:val="none" w:sz="0" w:space="0" w:color="auto"/>
          </w:divBdr>
        </w:div>
        <w:div w:id="449786058">
          <w:marLeft w:val="0"/>
          <w:marRight w:val="0"/>
          <w:marTop w:val="0"/>
          <w:marBottom w:val="0"/>
          <w:divBdr>
            <w:top w:val="none" w:sz="0" w:space="0" w:color="auto"/>
            <w:left w:val="none" w:sz="0" w:space="0" w:color="auto"/>
            <w:bottom w:val="none" w:sz="0" w:space="0" w:color="auto"/>
            <w:right w:val="none" w:sz="0" w:space="0" w:color="auto"/>
          </w:divBdr>
        </w:div>
        <w:div w:id="562523531">
          <w:marLeft w:val="0"/>
          <w:marRight w:val="0"/>
          <w:marTop w:val="0"/>
          <w:marBottom w:val="0"/>
          <w:divBdr>
            <w:top w:val="none" w:sz="0" w:space="0" w:color="auto"/>
            <w:left w:val="none" w:sz="0" w:space="0" w:color="auto"/>
            <w:bottom w:val="none" w:sz="0" w:space="0" w:color="auto"/>
            <w:right w:val="none" w:sz="0" w:space="0" w:color="auto"/>
          </w:divBdr>
        </w:div>
        <w:div w:id="593633004">
          <w:marLeft w:val="0"/>
          <w:marRight w:val="0"/>
          <w:marTop w:val="0"/>
          <w:marBottom w:val="0"/>
          <w:divBdr>
            <w:top w:val="none" w:sz="0" w:space="0" w:color="auto"/>
            <w:left w:val="none" w:sz="0" w:space="0" w:color="auto"/>
            <w:bottom w:val="none" w:sz="0" w:space="0" w:color="auto"/>
            <w:right w:val="none" w:sz="0" w:space="0" w:color="auto"/>
          </w:divBdr>
        </w:div>
        <w:div w:id="607154589">
          <w:marLeft w:val="0"/>
          <w:marRight w:val="0"/>
          <w:marTop w:val="0"/>
          <w:marBottom w:val="0"/>
          <w:divBdr>
            <w:top w:val="none" w:sz="0" w:space="0" w:color="auto"/>
            <w:left w:val="none" w:sz="0" w:space="0" w:color="auto"/>
            <w:bottom w:val="none" w:sz="0" w:space="0" w:color="auto"/>
            <w:right w:val="none" w:sz="0" w:space="0" w:color="auto"/>
          </w:divBdr>
        </w:div>
        <w:div w:id="668145090">
          <w:marLeft w:val="0"/>
          <w:marRight w:val="0"/>
          <w:marTop w:val="0"/>
          <w:marBottom w:val="0"/>
          <w:divBdr>
            <w:top w:val="none" w:sz="0" w:space="0" w:color="auto"/>
            <w:left w:val="none" w:sz="0" w:space="0" w:color="auto"/>
            <w:bottom w:val="none" w:sz="0" w:space="0" w:color="auto"/>
            <w:right w:val="none" w:sz="0" w:space="0" w:color="auto"/>
          </w:divBdr>
        </w:div>
        <w:div w:id="686294700">
          <w:marLeft w:val="0"/>
          <w:marRight w:val="0"/>
          <w:marTop w:val="0"/>
          <w:marBottom w:val="0"/>
          <w:divBdr>
            <w:top w:val="none" w:sz="0" w:space="0" w:color="auto"/>
            <w:left w:val="none" w:sz="0" w:space="0" w:color="auto"/>
            <w:bottom w:val="none" w:sz="0" w:space="0" w:color="auto"/>
            <w:right w:val="none" w:sz="0" w:space="0" w:color="auto"/>
          </w:divBdr>
        </w:div>
        <w:div w:id="717168539">
          <w:marLeft w:val="0"/>
          <w:marRight w:val="0"/>
          <w:marTop w:val="0"/>
          <w:marBottom w:val="0"/>
          <w:divBdr>
            <w:top w:val="none" w:sz="0" w:space="0" w:color="auto"/>
            <w:left w:val="none" w:sz="0" w:space="0" w:color="auto"/>
            <w:bottom w:val="none" w:sz="0" w:space="0" w:color="auto"/>
            <w:right w:val="none" w:sz="0" w:space="0" w:color="auto"/>
          </w:divBdr>
        </w:div>
        <w:div w:id="725030417">
          <w:marLeft w:val="0"/>
          <w:marRight w:val="0"/>
          <w:marTop w:val="0"/>
          <w:marBottom w:val="0"/>
          <w:divBdr>
            <w:top w:val="none" w:sz="0" w:space="0" w:color="auto"/>
            <w:left w:val="none" w:sz="0" w:space="0" w:color="auto"/>
            <w:bottom w:val="none" w:sz="0" w:space="0" w:color="auto"/>
            <w:right w:val="none" w:sz="0" w:space="0" w:color="auto"/>
          </w:divBdr>
        </w:div>
        <w:div w:id="753665088">
          <w:marLeft w:val="0"/>
          <w:marRight w:val="0"/>
          <w:marTop w:val="0"/>
          <w:marBottom w:val="0"/>
          <w:divBdr>
            <w:top w:val="none" w:sz="0" w:space="0" w:color="auto"/>
            <w:left w:val="none" w:sz="0" w:space="0" w:color="auto"/>
            <w:bottom w:val="none" w:sz="0" w:space="0" w:color="auto"/>
            <w:right w:val="none" w:sz="0" w:space="0" w:color="auto"/>
          </w:divBdr>
        </w:div>
        <w:div w:id="781342945">
          <w:marLeft w:val="0"/>
          <w:marRight w:val="0"/>
          <w:marTop w:val="0"/>
          <w:marBottom w:val="0"/>
          <w:divBdr>
            <w:top w:val="none" w:sz="0" w:space="0" w:color="auto"/>
            <w:left w:val="none" w:sz="0" w:space="0" w:color="auto"/>
            <w:bottom w:val="none" w:sz="0" w:space="0" w:color="auto"/>
            <w:right w:val="none" w:sz="0" w:space="0" w:color="auto"/>
          </w:divBdr>
        </w:div>
        <w:div w:id="823427024">
          <w:marLeft w:val="0"/>
          <w:marRight w:val="0"/>
          <w:marTop w:val="0"/>
          <w:marBottom w:val="0"/>
          <w:divBdr>
            <w:top w:val="none" w:sz="0" w:space="0" w:color="auto"/>
            <w:left w:val="none" w:sz="0" w:space="0" w:color="auto"/>
            <w:bottom w:val="none" w:sz="0" w:space="0" w:color="auto"/>
            <w:right w:val="none" w:sz="0" w:space="0" w:color="auto"/>
          </w:divBdr>
        </w:div>
        <w:div w:id="864904983">
          <w:marLeft w:val="0"/>
          <w:marRight w:val="0"/>
          <w:marTop w:val="0"/>
          <w:marBottom w:val="0"/>
          <w:divBdr>
            <w:top w:val="none" w:sz="0" w:space="0" w:color="auto"/>
            <w:left w:val="none" w:sz="0" w:space="0" w:color="auto"/>
            <w:bottom w:val="none" w:sz="0" w:space="0" w:color="auto"/>
            <w:right w:val="none" w:sz="0" w:space="0" w:color="auto"/>
          </w:divBdr>
        </w:div>
        <w:div w:id="929434622">
          <w:marLeft w:val="0"/>
          <w:marRight w:val="0"/>
          <w:marTop w:val="0"/>
          <w:marBottom w:val="0"/>
          <w:divBdr>
            <w:top w:val="none" w:sz="0" w:space="0" w:color="auto"/>
            <w:left w:val="none" w:sz="0" w:space="0" w:color="auto"/>
            <w:bottom w:val="none" w:sz="0" w:space="0" w:color="auto"/>
            <w:right w:val="none" w:sz="0" w:space="0" w:color="auto"/>
          </w:divBdr>
        </w:div>
        <w:div w:id="977683096">
          <w:marLeft w:val="0"/>
          <w:marRight w:val="0"/>
          <w:marTop w:val="0"/>
          <w:marBottom w:val="0"/>
          <w:divBdr>
            <w:top w:val="none" w:sz="0" w:space="0" w:color="auto"/>
            <w:left w:val="none" w:sz="0" w:space="0" w:color="auto"/>
            <w:bottom w:val="none" w:sz="0" w:space="0" w:color="auto"/>
            <w:right w:val="none" w:sz="0" w:space="0" w:color="auto"/>
          </w:divBdr>
        </w:div>
        <w:div w:id="981276650">
          <w:marLeft w:val="0"/>
          <w:marRight w:val="0"/>
          <w:marTop w:val="0"/>
          <w:marBottom w:val="0"/>
          <w:divBdr>
            <w:top w:val="none" w:sz="0" w:space="0" w:color="auto"/>
            <w:left w:val="none" w:sz="0" w:space="0" w:color="auto"/>
            <w:bottom w:val="none" w:sz="0" w:space="0" w:color="auto"/>
            <w:right w:val="none" w:sz="0" w:space="0" w:color="auto"/>
          </w:divBdr>
        </w:div>
        <w:div w:id="1021931506">
          <w:marLeft w:val="0"/>
          <w:marRight w:val="0"/>
          <w:marTop w:val="0"/>
          <w:marBottom w:val="0"/>
          <w:divBdr>
            <w:top w:val="none" w:sz="0" w:space="0" w:color="auto"/>
            <w:left w:val="none" w:sz="0" w:space="0" w:color="auto"/>
            <w:bottom w:val="none" w:sz="0" w:space="0" w:color="auto"/>
            <w:right w:val="none" w:sz="0" w:space="0" w:color="auto"/>
          </w:divBdr>
        </w:div>
        <w:div w:id="1117022499">
          <w:marLeft w:val="0"/>
          <w:marRight w:val="0"/>
          <w:marTop w:val="0"/>
          <w:marBottom w:val="0"/>
          <w:divBdr>
            <w:top w:val="none" w:sz="0" w:space="0" w:color="auto"/>
            <w:left w:val="none" w:sz="0" w:space="0" w:color="auto"/>
            <w:bottom w:val="none" w:sz="0" w:space="0" w:color="auto"/>
            <w:right w:val="none" w:sz="0" w:space="0" w:color="auto"/>
          </w:divBdr>
        </w:div>
        <w:div w:id="1127898477">
          <w:marLeft w:val="0"/>
          <w:marRight w:val="0"/>
          <w:marTop w:val="0"/>
          <w:marBottom w:val="0"/>
          <w:divBdr>
            <w:top w:val="none" w:sz="0" w:space="0" w:color="auto"/>
            <w:left w:val="none" w:sz="0" w:space="0" w:color="auto"/>
            <w:bottom w:val="none" w:sz="0" w:space="0" w:color="auto"/>
            <w:right w:val="none" w:sz="0" w:space="0" w:color="auto"/>
          </w:divBdr>
        </w:div>
        <w:div w:id="1129666410">
          <w:marLeft w:val="0"/>
          <w:marRight w:val="0"/>
          <w:marTop w:val="0"/>
          <w:marBottom w:val="0"/>
          <w:divBdr>
            <w:top w:val="none" w:sz="0" w:space="0" w:color="auto"/>
            <w:left w:val="none" w:sz="0" w:space="0" w:color="auto"/>
            <w:bottom w:val="none" w:sz="0" w:space="0" w:color="auto"/>
            <w:right w:val="none" w:sz="0" w:space="0" w:color="auto"/>
          </w:divBdr>
        </w:div>
        <w:div w:id="1168985115">
          <w:marLeft w:val="0"/>
          <w:marRight w:val="0"/>
          <w:marTop w:val="0"/>
          <w:marBottom w:val="0"/>
          <w:divBdr>
            <w:top w:val="none" w:sz="0" w:space="0" w:color="auto"/>
            <w:left w:val="none" w:sz="0" w:space="0" w:color="auto"/>
            <w:bottom w:val="none" w:sz="0" w:space="0" w:color="auto"/>
            <w:right w:val="none" w:sz="0" w:space="0" w:color="auto"/>
          </w:divBdr>
        </w:div>
        <w:div w:id="1177157657">
          <w:marLeft w:val="0"/>
          <w:marRight w:val="0"/>
          <w:marTop w:val="0"/>
          <w:marBottom w:val="0"/>
          <w:divBdr>
            <w:top w:val="none" w:sz="0" w:space="0" w:color="auto"/>
            <w:left w:val="none" w:sz="0" w:space="0" w:color="auto"/>
            <w:bottom w:val="none" w:sz="0" w:space="0" w:color="auto"/>
            <w:right w:val="none" w:sz="0" w:space="0" w:color="auto"/>
          </w:divBdr>
        </w:div>
        <w:div w:id="1240286294">
          <w:marLeft w:val="0"/>
          <w:marRight w:val="0"/>
          <w:marTop w:val="0"/>
          <w:marBottom w:val="0"/>
          <w:divBdr>
            <w:top w:val="none" w:sz="0" w:space="0" w:color="auto"/>
            <w:left w:val="none" w:sz="0" w:space="0" w:color="auto"/>
            <w:bottom w:val="none" w:sz="0" w:space="0" w:color="auto"/>
            <w:right w:val="none" w:sz="0" w:space="0" w:color="auto"/>
          </w:divBdr>
        </w:div>
        <w:div w:id="1283608814">
          <w:marLeft w:val="0"/>
          <w:marRight w:val="0"/>
          <w:marTop w:val="0"/>
          <w:marBottom w:val="0"/>
          <w:divBdr>
            <w:top w:val="none" w:sz="0" w:space="0" w:color="auto"/>
            <w:left w:val="none" w:sz="0" w:space="0" w:color="auto"/>
            <w:bottom w:val="none" w:sz="0" w:space="0" w:color="auto"/>
            <w:right w:val="none" w:sz="0" w:space="0" w:color="auto"/>
          </w:divBdr>
        </w:div>
        <w:div w:id="1342270146">
          <w:marLeft w:val="0"/>
          <w:marRight w:val="0"/>
          <w:marTop w:val="0"/>
          <w:marBottom w:val="0"/>
          <w:divBdr>
            <w:top w:val="none" w:sz="0" w:space="0" w:color="auto"/>
            <w:left w:val="none" w:sz="0" w:space="0" w:color="auto"/>
            <w:bottom w:val="none" w:sz="0" w:space="0" w:color="auto"/>
            <w:right w:val="none" w:sz="0" w:space="0" w:color="auto"/>
          </w:divBdr>
        </w:div>
        <w:div w:id="1381054374">
          <w:marLeft w:val="0"/>
          <w:marRight w:val="0"/>
          <w:marTop w:val="0"/>
          <w:marBottom w:val="0"/>
          <w:divBdr>
            <w:top w:val="none" w:sz="0" w:space="0" w:color="auto"/>
            <w:left w:val="none" w:sz="0" w:space="0" w:color="auto"/>
            <w:bottom w:val="none" w:sz="0" w:space="0" w:color="auto"/>
            <w:right w:val="none" w:sz="0" w:space="0" w:color="auto"/>
          </w:divBdr>
        </w:div>
        <w:div w:id="1400012303">
          <w:marLeft w:val="0"/>
          <w:marRight w:val="0"/>
          <w:marTop w:val="0"/>
          <w:marBottom w:val="0"/>
          <w:divBdr>
            <w:top w:val="none" w:sz="0" w:space="0" w:color="auto"/>
            <w:left w:val="none" w:sz="0" w:space="0" w:color="auto"/>
            <w:bottom w:val="none" w:sz="0" w:space="0" w:color="auto"/>
            <w:right w:val="none" w:sz="0" w:space="0" w:color="auto"/>
          </w:divBdr>
        </w:div>
        <w:div w:id="1425959331">
          <w:marLeft w:val="0"/>
          <w:marRight w:val="0"/>
          <w:marTop w:val="0"/>
          <w:marBottom w:val="0"/>
          <w:divBdr>
            <w:top w:val="none" w:sz="0" w:space="0" w:color="auto"/>
            <w:left w:val="none" w:sz="0" w:space="0" w:color="auto"/>
            <w:bottom w:val="none" w:sz="0" w:space="0" w:color="auto"/>
            <w:right w:val="none" w:sz="0" w:space="0" w:color="auto"/>
          </w:divBdr>
        </w:div>
        <w:div w:id="1472088583">
          <w:marLeft w:val="0"/>
          <w:marRight w:val="0"/>
          <w:marTop w:val="0"/>
          <w:marBottom w:val="0"/>
          <w:divBdr>
            <w:top w:val="none" w:sz="0" w:space="0" w:color="auto"/>
            <w:left w:val="none" w:sz="0" w:space="0" w:color="auto"/>
            <w:bottom w:val="none" w:sz="0" w:space="0" w:color="auto"/>
            <w:right w:val="none" w:sz="0" w:space="0" w:color="auto"/>
          </w:divBdr>
        </w:div>
        <w:div w:id="1483035450">
          <w:marLeft w:val="0"/>
          <w:marRight w:val="0"/>
          <w:marTop w:val="0"/>
          <w:marBottom w:val="0"/>
          <w:divBdr>
            <w:top w:val="none" w:sz="0" w:space="0" w:color="auto"/>
            <w:left w:val="none" w:sz="0" w:space="0" w:color="auto"/>
            <w:bottom w:val="none" w:sz="0" w:space="0" w:color="auto"/>
            <w:right w:val="none" w:sz="0" w:space="0" w:color="auto"/>
          </w:divBdr>
        </w:div>
        <w:div w:id="1682124405">
          <w:marLeft w:val="0"/>
          <w:marRight w:val="0"/>
          <w:marTop w:val="0"/>
          <w:marBottom w:val="0"/>
          <w:divBdr>
            <w:top w:val="none" w:sz="0" w:space="0" w:color="auto"/>
            <w:left w:val="none" w:sz="0" w:space="0" w:color="auto"/>
            <w:bottom w:val="none" w:sz="0" w:space="0" w:color="auto"/>
            <w:right w:val="none" w:sz="0" w:space="0" w:color="auto"/>
          </w:divBdr>
        </w:div>
        <w:div w:id="1703942838">
          <w:marLeft w:val="0"/>
          <w:marRight w:val="0"/>
          <w:marTop w:val="0"/>
          <w:marBottom w:val="0"/>
          <w:divBdr>
            <w:top w:val="none" w:sz="0" w:space="0" w:color="auto"/>
            <w:left w:val="none" w:sz="0" w:space="0" w:color="auto"/>
            <w:bottom w:val="none" w:sz="0" w:space="0" w:color="auto"/>
            <w:right w:val="none" w:sz="0" w:space="0" w:color="auto"/>
          </w:divBdr>
        </w:div>
        <w:div w:id="1704792411">
          <w:marLeft w:val="0"/>
          <w:marRight w:val="0"/>
          <w:marTop w:val="0"/>
          <w:marBottom w:val="0"/>
          <w:divBdr>
            <w:top w:val="none" w:sz="0" w:space="0" w:color="auto"/>
            <w:left w:val="none" w:sz="0" w:space="0" w:color="auto"/>
            <w:bottom w:val="none" w:sz="0" w:space="0" w:color="auto"/>
            <w:right w:val="none" w:sz="0" w:space="0" w:color="auto"/>
          </w:divBdr>
        </w:div>
        <w:div w:id="1753504412">
          <w:marLeft w:val="0"/>
          <w:marRight w:val="0"/>
          <w:marTop w:val="0"/>
          <w:marBottom w:val="0"/>
          <w:divBdr>
            <w:top w:val="none" w:sz="0" w:space="0" w:color="auto"/>
            <w:left w:val="none" w:sz="0" w:space="0" w:color="auto"/>
            <w:bottom w:val="none" w:sz="0" w:space="0" w:color="auto"/>
            <w:right w:val="none" w:sz="0" w:space="0" w:color="auto"/>
          </w:divBdr>
        </w:div>
        <w:div w:id="1819572793">
          <w:marLeft w:val="0"/>
          <w:marRight w:val="0"/>
          <w:marTop w:val="0"/>
          <w:marBottom w:val="0"/>
          <w:divBdr>
            <w:top w:val="none" w:sz="0" w:space="0" w:color="auto"/>
            <w:left w:val="none" w:sz="0" w:space="0" w:color="auto"/>
            <w:bottom w:val="none" w:sz="0" w:space="0" w:color="auto"/>
            <w:right w:val="none" w:sz="0" w:space="0" w:color="auto"/>
          </w:divBdr>
        </w:div>
        <w:div w:id="1820073055">
          <w:marLeft w:val="0"/>
          <w:marRight w:val="0"/>
          <w:marTop w:val="0"/>
          <w:marBottom w:val="0"/>
          <w:divBdr>
            <w:top w:val="none" w:sz="0" w:space="0" w:color="auto"/>
            <w:left w:val="none" w:sz="0" w:space="0" w:color="auto"/>
            <w:bottom w:val="none" w:sz="0" w:space="0" w:color="auto"/>
            <w:right w:val="none" w:sz="0" w:space="0" w:color="auto"/>
          </w:divBdr>
        </w:div>
        <w:div w:id="1845709067">
          <w:marLeft w:val="0"/>
          <w:marRight w:val="0"/>
          <w:marTop w:val="0"/>
          <w:marBottom w:val="0"/>
          <w:divBdr>
            <w:top w:val="none" w:sz="0" w:space="0" w:color="auto"/>
            <w:left w:val="none" w:sz="0" w:space="0" w:color="auto"/>
            <w:bottom w:val="none" w:sz="0" w:space="0" w:color="auto"/>
            <w:right w:val="none" w:sz="0" w:space="0" w:color="auto"/>
          </w:divBdr>
        </w:div>
        <w:div w:id="1877692441">
          <w:marLeft w:val="0"/>
          <w:marRight w:val="0"/>
          <w:marTop w:val="0"/>
          <w:marBottom w:val="0"/>
          <w:divBdr>
            <w:top w:val="none" w:sz="0" w:space="0" w:color="auto"/>
            <w:left w:val="none" w:sz="0" w:space="0" w:color="auto"/>
            <w:bottom w:val="none" w:sz="0" w:space="0" w:color="auto"/>
            <w:right w:val="none" w:sz="0" w:space="0" w:color="auto"/>
          </w:divBdr>
        </w:div>
        <w:div w:id="1935746824">
          <w:marLeft w:val="0"/>
          <w:marRight w:val="0"/>
          <w:marTop w:val="0"/>
          <w:marBottom w:val="0"/>
          <w:divBdr>
            <w:top w:val="none" w:sz="0" w:space="0" w:color="auto"/>
            <w:left w:val="none" w:sz="0" w:space="0" w:color="auto"/>
            <w:bottom w:val="none" w:sz="0" w:space="0" w:color="auto"/>
            <w:right w:val="none" w:sz="0" w:space="0" w:color="auto"/>
          </w:divBdr>
        </w:div>
        <w:div w:id="1973440610">
          <w:marLeft w:val="0"/>
          <w:marRight w:val="0"/>
          <w:marTop w:val="0"/>
          <w:marBottom w:val="0"/>
          <w:divBdr>
            <w:top w:val="none" w:sz="0" w:space="0" w:color="auto"/>
            <w:left w:val="none" w:sz="0" w:space="0" w:color="auto"/>
            <w:bottom w:val="none" w:sz="0" w:space="0" w:color="auto"/>
            <w:right w:val="none" w:sz="0" w:space="0" w:color="auto"/>
          </w:divBdr>
        </w:div>
        <w:div w:id="2079088750">
          <w:marLeft w:val="0"/>
          <w:marRight w:val="0"/>
          <w:marTop w:val="0"/>
          <w:marBottom w:val="0"/>
          <w:divBdr>
            <w:top w:val="none" w:sz="0" w:space="0" w:color="auto"/>
            <w:left w:val="none" w:sz="0" w:space="0" w:color="auto"/>
            <w:bottom w:val="none" w:sz="0" w:space="0" w:color="auto"/>
            <w:right w:val="none" w:sz="0" w:space="0" w:color="auto"/>
          </w:divBdr>
        </w:div>
        <w:div w:id="2112779286">
          <w:marLeft w:val="0"/>
          <w:marRight w:val="0"/>
          <w:marTop w:val="0"/>
          <w:marBottom w:val="0"/>
          <w:divBdr>
            <w:top w:val="none" w:sz="0" w:space="0" w:color="auto"/>
            <w:left w:val="none" w:sz="0" w:space="0" w:color="auto"/>
            <w:bottom w:val="none" w:sz="0" w:space="0" w:color="auto"/>
            <w:right w:val="none" w:sz="0" w:space="0" w:color="auto"/>
          </w:divBdr>
        </w:div>
      </w:divsChild>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47543429">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58385677">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28979968">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47597617">
      <w:bodyDiv w:val="1"/>
      <w:marLeft w:val="0"/>
      <w:marRight w:val="0"/>
      <w:marTop w:val="0"/>
      <w:marBottom w:val="0"/>
      <w:divBdr>
        <w:top w:val="none" w:sz="0" w:space="0" w:color="auto"/>
        <w:left w:val="none" w:sz="0" w:space="0" w:color="auto"/>
        <w:bottom w:val="none" w:sz="0" w:space="0" w:color="auto"/>
        <w:right w:val="none" w:sz="0" w:space="0" w:color="auto"/>
      </w:divBdr>
      <w:divsChild>
        <w:div w:id="1140221668">
          <w:marLeft w:val="0"/>
          <w:marRight w:val="0"/>
          <w:marTop w:val="0"/>
          <w:marBottom w:val="0"/>
          <w:divBdr>
            <w:top w:val="none" w:sz="0" w:space="0" w:color="auto"/>
            <w:left w:val="none" w:sz="0" w:space="0" w:color="auto"/>
            <w:bottom w:val="none" w:sz="0" w:space="0" w:color="auto"/>
            <w:right w:val="none" w:sz="0" w:space="0" w:color="auto"/>
          </w:divBdr>
          <w:divsChild>
            <w:div w:id="1555193711">
              <w:marLeft w:val="0"/>
              <w:marRight w:val="0"/>
              <w:marTop w:val="0"/>
              <w:marBottom w:val="0"/>
              <w:divBdr>
                <w:top w:val="none" w:sz="0" w:space="0" w:color="auto"/>
                <w:left w:val="none" w:sz="0" w:space="0" w:color="auto"/>
                <w:bottom w:val="none" w:sz="0" w:space="0" w:color="auto"/>
                <w:right w:val="none" w:sz="0" w:space="0" w:color="auto"/>
              </w:divBdr>
              <w:divsChild>
                <w:div w:id="70780577">
                  <w:marLeft w:val="0"/>
                  <w:marRight w:val="0"/>
                  <w:marTop w:val="0"/>
                  <w:marBottom w:val="0"/>
                  <w:divBdr>
                    <w:top w:val="none" w:sz="0" w:space="0" w:color="auto"/>
                    <w:left w:val="none" w:sz="0" w:space="0" w:color="auto"/>
                    <w:bottom w:val="none" w:sz="0" w:space="0" w:color="auto"/>
                    <w:right w:val="none" w:sz="0" w:space="0" w:color="auto"/>
                  </w:divBdr>
                  <w:divsChild>
                    <w:div w:id="4116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913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54643">
          <w:marLeft w:val="0"/>
          <w:marRight w:val="0"/>
          <w:marTop w:val="0"/>
          <w:marBottom w:val="0"/>
          <w:divBdr>
            <w:top w:val="none" w:sz="0" w:space="0" w:color="auto"/>
            <w:left w:val="none" w:sz="0" w:space="0" w:color="auto"/>
            <w:bottom w:val="none" w:sz="0" w:space="0" w:color="auto"/>
            <w:right w:val="none" w:sz="0" w:space="0" w:color="auto"/>
          </w:divBdr>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58461325">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17925295">
      <w:bodyDiv w:val="1"/>
      <w:marLeft w:val="0"/>
      <w:marRight w:val="0"/>
      <w:marTop w:val="0"/>
      <w:marBottom w:val="0"/>
      <w:divBdr>
        <w:top w:val="none" w:sz="0" w:space="0" w:color="auto"/>
        <w:left w:val="none" w:sz="0" w:space="0" w:color="auto"/>
        <w:bottom w:val="none" w:sz="0" w:space="0" w:color="auto"/>
        <w:right w:val="none" w:sz="0" w:space="0" w:color="auto"/>
      </w:divBdr>
    </w:div>
    <w:div w:id="1727483521">
      <w:bodyDiv w:val="1"/>
      <w:marLeft w:val="0"/>
      <w:marRight w:val="0"/>
      <w:marTop w:val="0"/>
      <w:marBottom w:val="0"/>
      <w:divBdr>
        <w:top w:val="none" w:sz="0" w:space="0" w:color="auto"/>
        <w:left w:val="none" w:sz="0" w:space="0" w:color="auto"/>
        <w:bottom w:val="none" w:sz="0" w:space="0" w:color="auto"/>
        <w:right w:val="none" w:sz="0" w:space="0" w:color="auto"/>
      </w:divBdr>
      <w:divsChild>
        <w:div w:id="729888487">
          <w:marLeft w:val="0"/>
          <w:marRight w:val="0"/>
          <w:marTop w:val="0"/>
          <w:marBottom w:val="0"/>
          <w:divBdr>
            <w:top w:val="none" w:sz="0" w:space="0" w:color="auto"/>
            <w:left w:val="none" w:sz="0" w:space="0" w:color="auto"/>
            <w:bottom w:val="none" w:sz="0" w:space="0" w:color="auto"/>
            <w:right w:val="none" w:sz="0" w:space="0" w:color="auto"/>
          </w:divBdr>
          <w:divsChild>
            <w:div w:id="4214888">
              <w:marLeft w:val="0"/>
              <w:marRight w:val="0"/>
              <w:marTop w:val="0"/>
              <w:marBottom w:val="0"/>
              <w:divBdr>
                <w:top w:val="none" w:sz="0" w:space="0" w:color="auto"/>
                <w:left w:val="none" w:sz="0" w:space="0" w:color="auto"/>
                <w:bottom w:val="none" w:sz="0" w:space="0" w:color="auto"/>
                <w:right w:val="none" w:sz="0" w:space="0" w:color="auto"/>
              </w:divBdr>
            </w:div>
            <w:div w:id="43145647">
              <w:marLeft w:val="0"/>
              <w:marRight w:val="0"/>
              <w:marTop w:val="0"/>
              <w:marBottom w:val="0"/>
              <w:divBdr>
                <w:top w:val="none" w:sz="0" w:space="0" w:color="auto"/>
                <w:left w:val="none" w:sz="0" w:space="0" w:color="auto"/>
                <w:bottom w:val="none" w:sz="0" w:space="0" w:color="auto"/>
                <w:right w:val="none" w:sz="0" w:space="0" w:color="auto"/>
              </w:divBdr>
            </w:div>
            <w:div w:id="57169996">
              <w:marLeft w:val="0"/>
              <w:marRight w:val="0"/>
              <w:marTop w:val="0"/>
              <w:marBottom w:val="0"/>
              <w:divBdr>
                <w:top w:val="none" w:sz="0" w:space="0" w:color="auto"/>
                <w:left w:val="none" w:sz="0" w:space="0" w:color="auto"/>
                <w:bottom w:val="none" w:sz="0" w:space="0" w:color="auto"/>
                <w:right w:val="none" w:sz="0" w:space="0" w:color="auto"/>
              </w:divBdr>
            </w:div>
            <w:div w:id="61681428">
              <w:marLeft w:val="0"/>
              <w:marRight w:val="0"/>
              <w:marTop w:val="0"/>
              <w:marBottom w:val="0"/>
              <w:divBdr>
                <w:top w:val="none" w:sz="0" w:space="0" w:color="auto"/>
                <w:left w:val="none" w:sz="0" w:space="0" w:color="auto"/>
                <w:bottom w:val="none" w:sz="0" w:space="0" w:color="auto"/>
                <w:right w:val="none" w:sz="0" w:space="0" w:color="auto"/>
              </w:divBdr>
            </w:div>
            <w:div w:id="84307112">
              <w:marLeft w:val="0"/>
              <w:marRight w:val="0"/>
              <w:marTop w:val="0"/>
              <w:marBottom w:val="0"/>
              <w:divBdr>
                <w:top w:val="none" w:sz="0" w:space="0" w:color="auto"/>
                <w:left w:val="none" w:sz="0" w:space="0" w:color="auto"/>
                <w:bottom w:val="none" w:sz="0" w:space="0" w:color="auto"/>
                <w:right w:val="none" w:sz="0" w:space="0" w:color="auto"/>
              </w:divBdr>
            </w:div>
            <w:div w:id="128016589">
              <w:marLeft w:val="0"/>
              <w:marRight w:val="0"/>
              <w:marTop w:val="0"/>
              <w:marBottom w:val="0"/>
              <w:divBdr>
                <w:top w:val="none" w:sz="0" w:space="0" w:color="auto"/>
                <w:left w:val="none" w:sz="0" w:space="0" w:color="auto"/>
                <w:bottom w:val="none" w:sz="0" w:space="0" w:color="auto"/>
                <w:right w:val="none" w:sz="0" w:space="0" w:color="auto"/>
              </w:divBdr>
              <w:divsChild>
                <w:div w:id="1149135406">
                  <w:marLeft w:val="0"/>
                  <w:marRight w:val="0"/>
                  <w:marTop w:val="0"/>
                  <w:marBottom w:val="0"/>
                  <w:divBdr>
                    <w:top w:val="none" w:sz="0" w:space="0" w:color="auto"/>
                    <w:left w:val="none" w:sz="0" w:space="0" w:color="auto"/>
                    <w:bottom w:val="none" w:sz="0" w:space="0" w:color="auto"/>
                    <w:right w:val="none" w:sz="0" w:space="0" w:color="auto"/>
                  </w:divBdr>
                </w:div>
              </w:divsChild>
            </w:div>
            <w:div w:id="198007251">
              <w:marLeft w:val="0"/>
              <w:marRight w:val="0"/>
              <w:marTop w:val="0"/>
              <w:marBottom w:val="0"/>
              <w:divBdr>
                <w:top w:val="none" w:sz="0" w:space="0" w:color="auto"/>
                <w:left w:val="none" w:sz="0" w:space="0" w:color="auto"/>
                <w:bottom w:val="none" w:sz="0" w:space="0" w:color="auto"/>
                <w:right w:val="none" w:sz="0" w:space="0" w:color="auto"/>
              </w:divBdr>
            </w:div>
            <w:div w:id="208303745">
              <w:marLeft w:val="0"/>
              <w:marRight w:val="0"/>
              <w:marTop w:val="0"/>
              <w:marBottom w:val="0"/>
              <w:divBdr>
                <w:top w:val="none" w:sz="0" w:space="0" w:color="auto"/>
                <w:left w:val="none" w:sz="0" w:space="0" w:color="auto"/>
                <w:bottom w:val="none" w:sz="0" w:space="0" w:color="auto"/>
                <w:right w:val="none" w:sz="0" w:space="0" w:color="auto"/>
              </w:divBdr>
            </w:div>
            <w:div w:id="232735691">
              <w:marLeft w:val="0"/>
              <w:marRight w:val="0"/>
              <w:marTop w:val="0"/>
              <w:marBottom w:val="0"/>
              <w:divBdr>
                <w:top w:val="none" w:sz="0" w:space="0" w:color="auto"/>
                <w:left w:val="none" w:sz="0" w:space="0" w:color="auto"/>
                <w:bottom w:val="none" w:sz="0" w:space="0" w:color="auto"/>
                <w:right w:val="none" w:sz="0" w:space="0" w:color="auto"/>
              </w:divBdr>
            </w:div>
            <w:div w:id="312486061">
              <w:marLeft w:val="0"/>
              <w:marRight w:val="0"/>
              <w:marTop w:val="0"/>
              <w:marBottom w:val="0"/>
              <w:divBdr>
                <w:top w:val="none" w:sz="0" w:space="0" w:color="auto"/>
                <w:left w:val="none" w:sz="0" w:space="0" w:color="auto"/>
                <w:bottom w:val="none" w:sz="0" w:space="0" w:color="auto"/>
                <w:right w:val="none" w:sz="0" w:space="0" w:color="auto"/>
              </w:divBdr>
            </w:div>
            <w:div w:id="335035658">
              <w:marLeft w:val="0"/>
              <w:marRight w:val="0"/>
              <w:marTop w:val="0"/>
              <w:marBottom w:val="0"/>
              <w:divBdr>
                <w:top w:val="none" w:sz="0" w:space="0" w:color="auto"/>
                <w:left w:val="none" w:sz="0" w:space="0" w:color="auto"/>
                <w:bottom w:val="none" w:sz="0" w:space="0" w:color="auto"/>
                <w:right w:val="none" w:sz="0" w:space="0" w:color="auto"/>
              </w:divBdr>
            </w:div>
            <w:div w:id="369187439">
              <w:marLeft w:val="0"/>
              <w:marRight w:val="0"/>
              <w:marTop w:val="0"/>
              <w:marBottom w:val="0"/>
              <w:divBdr>
                <w:top w:val="none" w:sz="0" w:space="0" w:color="auto"/>
                <w:left w:val="none" w:sz="0" w:space="0" w:color="auto"/>
                <w:bottom w:val="none" w:sz="0" w:space="0" w:color="auto"/>
                <w:right w:val="none" w:sz="0" w:space="0" w:color="auto"/>
              </w:divBdr>
            </w:div>
            <w:div w:id="425418416">
              <w:marLeft w:val="0"/>
              <w:marRight w:val="0"/>
              <w:marTop w:val="0"/>
              <w:marBottom w:val="0"/>
              <w:divBdr>
                <w:top w:val="none" w:sz="0" w:space="0" w:color="auto"/>
                <w:left w:val="none" w:sz="0" w:space="0" w:color="auto"/>
                <w:bottom w:val="none" w:sz="0" w:space="0" w:color="auto"/>
                <w:right w:val="none" w:sz="0" w:space="0" w:color="auto"/>
              </w:divBdr>
            </w:div>
            <w:div w:id="440344067">
              <w:marLeft w:val="0"/>
              <w:marRight w:val="0"/>
              <w:marTop w:val="0"/>
              <w:marBottom w:val="0"/>
              <w:divBdr>
                <w:top w:val="none" w:sz="0" w:space="0" w:color="auto"/>
                <w:left w:val="none" w:sz="0" w:space="0" w:color="auto"/>
                <w:bottom w:val="none" w:sz="0" w:space="0" w:color="auto"/>
                <w:right w:val="none" w:sz="0" w:space="0" w:color="auto"/>
              </w:divBdr>
            </w:div>
            <w:div w:id="471604040">
              <w:marLeft w:val="0"/>
              <w:marRight w:val="0"/>
              <w:marTop w:val="0"/>
              <w:marBottom w:val="0"/>
              <w:divBdr>
                <w:top w:val="none" w:sz="0" w:space="0" w:color="auto"/>
                <w:left w:val="none" w:sz="0" w:space="0" w:color="auto"/>
                <w:bottom w:val="none" w:sz="0" w:space="0" w:color="auto"/>
                <w:right w:val="none" w:sz="0" w:space="0" w:color="auto"/>
              </w:divBdr>
              <w:divsChild>
                <w:div w:id="2122608448">
                  <w:marLeft w:val="0"/>
                  <w:marRight w:val="0"/>
                  <w:marTop w:val="0"/>
                  <w:marBottom w:val="0"/>
                  <w:divBdr>
                    <w:top w:val="none" w:sz="0" w:space="0" w:color="auto"/>
                    <w:left w:val="none" w:sz="0" w:space="0" w:color="auto"/>
                    <w:bottom w:val="none" w:sz="0" w:space="0" w:color="auto"/>
                    <w:right w:val="none" w:sz="0" w:space="0" w:color="auto"/>
                  </w:divBdr>
                </w:div>
              </w:divsChild>
            </w:div>
            <w:div w:id="496381735">
              <w:marLeft w:val="0"/>
              <w:marRight w:val="0"/>
              <w:marTop w:val="0"/>
              <w:marBottom w:val="0"/>
              <w:divBdr>
                <w:top w:val="none" w:sz="0" w:space="0" w:color="auto"/>
                <w:left w:val="none" w:sz="0" w:space="0" w:color="auto"/>
                <w:bottom w:val="none" w:sz="0" w:space="0" w:color="auto"/>
                <w:right w:val="none" w:sz="0" w:space="0" w:color="auto"/>
              </w:divBdr>
            </w:div>
            <w:div w:id="534464331">
              <w:marLeft w:val="0"/>
              <w:marRight w:val="0"/>
              <w:marTop w:val="0"/>
              <w:marBottom w:val="0"/>
              <w:divBdr>
                <w:top w:val="none" w:sz="0" w:space="0" w:color="auto"/>
                <w:left w:val="none" w:sz="0" w:space="0" w:color="auto"/>
                <w:bottom w:val="none" w:sz="0" w:space="0" w:color="auto"/>
                <w:right w:val="none" w:sz="0" w:space="0" w:color="auto"/>
              </w:divBdr>
            </w:div>
            <w:div w:id="630207952">
              <w:marLeft w:val="0"/>
              <w:marRight w:val="0"/>
              <w:marTop w:val="0"/>
              <w:marBottom w:val="0"/>
              <w:divBdr>
                <w:top w:val="none" w:sz="0" w:space="0" w:color="auto"/>
                <w:left w:val="none" w:sz="0" w:space="0" w:color="auto"/>
                <w:bottom w:val="none" w:sz="0" w:space="0" w:color="auto"/>
                <w:right w:val="none" w:sz="0" w:space="0" w:color="auto"/>
              </w:divBdr>
            </w:div>
            <w:div w:id="664168638">
              <w:marLeft w:val="0"/>
              <w:marRight w:val="0"/>
              <w:marTop w:val="0"/>
              <w:marBottom w:val="0"/>
              <w:divBdr>
                <w:top w:val="none" w:sz="0" w:space="0" w:color="auto"/>
                <w:left w:val="none" w:sz="0" w:space="0" w:color="auto"/>
                <w:bottom w:val="none" w:sz="0" w:space="0" w:color="auto"/>
                <w:right w:val="none" w:sz="0" w:space="0" w:color="auto"/>
              </w:divBdr>
            </w:div>
            <w:div w:id="700324326">
              <w:marLeft w:val="0"/>
              <w:marRight w:val="0"/>
              <w:marTop w:val="0"/>
              <w:marBottom w:val="0"/>
              <w:divBdr>
                <w:top w:val="none" w:sz="0" w:space="0" w:color="auto"/>
                <w:left w:val="none" w:sz="0" w:space="0" w:color="auto"/>
                <w:bottom w:val="none" w:sz="0" w:space="0" w:color="auto"/>
                <w:right w:val="none" w:sz="0" w:space="0" w:color="auto"/>
              </w:divBdr>
            </w:div>
            <w:div w:id="863400826">
              <w:marLeft w:val="0"/>
              <w:marRight w:val="0"/>
              <w:marTop w:val="0"/>
              <w:marBottom w:val="0"/>
              <w:divBdr>
                <w:top w:val="none" w:sz="0" w:space="0" w:color="auto"/>
                <w:left w:val="none" w:sz="0" w:space="0" w:color="auto"/>
                <w:bottom w:val="none" w:sz="0" w:space="0" w:color="auto"/>
                <w:right w:val="none" w:sz="0" w:space="0" w:color="auto"/>
              </w:divBdr>
            </w:div>
            <w:div w:id="872115227">
              <w:marLeft w:val="0"/>
              <w:marRight w:val="0"/>
              <w:marTop w:val="0"/>
              <w:marBottom w:val="0"/>
              <w:divBdr>
                <w:top w:val="none" w:sz="0" w:space="0" w:color="auto"/>
                <w:left w:val="none" w:sz="0" w:space="0" w:color="auto"/>
                <w:bottom w:val="none" w:sz="0" w:space="0" w:color="auto"/>
                <w:right w:val="none" w:sz="0" w:space="0" w:color="auto"/>
              </w:divBdr>
            </w:div>
            <w:div w:id="902331585">
              <w:marLeft w:val="0"/>
              <w:marRight w:val="0"/>
              <w:marTop w:val="0"/>
              <w:marBottom w:val="0"/>
              <w:divBdr>
                <w:top w:val="none" w:sz="0" w:space="0" w:color="auto"/>
                <w:left w:val="none" w:sz="0" w:space="0" w:color="auto"/>
                <w:bottom w:val="none" w:sz="0" w:space="0" w:color="auto"/>
                <w:right w:val="none" w:sz="0" w:space="0" w:color="auto"/>
              </w:divBdr>
            </w:div>
            <w:div w:id="908736088">
              <w:marLeft w:val="0"/>
              <w:marRight w:val="0"/>
              <w:marTop w:val="0"/>
              <w:marBottom w:val="0"/>
              <w:divBdr>
                <w:top w:val="none" w:sz="0" w:space="0" w:color="auto"/>
                <w:left w:val="none" w:sz="0" w:space="0" w:color="auto"/>
                <w:bottom w:val="none" w:sz="0" w:space="0" w:color="auto"/>
                <w:right w:val="none" w:sz="0" w:space="0" w:color="auto"/>
              </w:divBdr>
            </w:div>
            <w:div w:id="927889438">
              <w:marLeft w:val="0"/>
              <w:marRight w:val="0"/>
              <w:marTop w:val="0"/>
              <w:marBottom w:val="0"/>
              <w:divBdr>
                <w:top w:val="none" w:sz="0" w:space="0" w:color="auto"/>
                <w:left w:val="none" w:sz="0" w:space="0" w:color="auto"/>
                <w:bottom w:val="none" w:sz="0" w:space="0" w:color="auto"/>
                <w:right w:val="none" w:sz="0" w:space="0" w:color="auto"/>
              </w:divBdr>
              <w:divsChild>
                <w:div w:id="114715547">
                  <w:marLeft w:val="0"/>
                  <w:marRight w:val="0"/>
                  <w:marTop w:val="0"/>
                  <w:marBottom w:val="0"/>
                  <w:divBdr>
                    <w:top w:val="none" w:sz="0" w:space="0" w:color="auto"/>
                    <w:left w:val="none" w:sz="0" w:space="0" w:color="auto"/>
                    <w:bottom w:val="none" w:sz="0" w:space="0" w:color="auto"/>
                    <w:right w:val="none" w:sz="0" w:space="0" w:color="auto"/>
                  </w:divBdr>
                </w:div>
              </w:divsChild>
            </w:div>
            <w:div w:id="970129455">
              <w:marLeft w:val="0"/>
              <w:marRight w:val="0"/>
              <w:marTop w:val="0"/>
              <w:marBottom w:val="0"/>
              <w:divBdr>
                <w:top w:val="none" w:sz="0" w:space="0" w:color="auto"/>
                <w:left w:val="none" w:sz="0" w:space="0" w:color="auto"/>
                <w:bottom w:val="none" w:sz="0" w:space="0" w:color="auto"/>
                <w:right w:val="none" w:sz="0" w:space="0" w:color="auto"/>
              </w:divBdr>
            </w:div>
            <w:div w:id="996960754">
              <w:marLeft w:val="0"/>
              <w:marRight w:val="0"/>
              <w:marTop w:val="0"/>
              <w:marBottom w:val="0"/>
              <w:divBdr>
                <w:top w:val="none" w:sz="0" w:space="0" w:color="auto"/>
                <w:left w:val="none" w:sz="0" w:space="0" w:color="auto"/>
                <w:bottom w:val="none" w:sz="0" w:space="0" w:color="auto"/>
                <w:right w:val="none" w:sz="0" w:space="0" w:color="auto"/>
              </w:divBdr>
            </w:div>
            <w:div w:id="1016467481">
              <w:marLeft w:val="0"/>
              <w:marRight w:val="0"/>
              <w:marTop w:val="0"/>
              <w:marBottom w:val="0"/>
              <w:divBdr>
                <w:top w:val="none" w:sz="0" w:space="0" w:color="auto"/>
                <w:left w:val="none" w:sz="0" w:space="0" w:color="auto"/>
                <w:bottom w:val="none" w:sz="0" w:space="0" w:color="auto"/>
                <w:right w:val="none" w:sz="0" w:space="0" w:color="auto"/>
              </w:divBdr>
            </w:div>
            <w:div w:id="1088884260">
              <w:marLeft w:val="0"/>
              <w:marRight w:val="0"/>
              <w:marTop w:val="0"/>
              <w:marBottom w:val="0"/>
              <w:divBdr>
                <w:top w:val="none" w:sz="0" w:space="0" w:color="auto"/>
                <w:left w:val="none" w:sz="0" w:space="0" w:color="auto"/>
                <w:bottom w:val="none" w:sz="0" w:space="0" w:color="auto"/>
                <w:right w:val="none" w:sz="0" w:space="0" w:color="auto"/>
              </w:divBdr>
            </w:div>
            <w:div w:id="1172063582">
              <w:marLeft w:val="0"/>
              <w:marRight w:val="0"/>
              <w:marTop w:val="0"/>
              <w:marBottom w:val="0"/>
              <w:divBdr>
                <w:top w:val="none" w:sz="0" w:space="0" w:color="auto"/>
                <w:left w:val="none" w:sz="0" w:space="0" w:color="auto"/>
                <w:bottom w:val="none" w:sz="0" w:space="0" w:color="auto"/>
                <w:right w:val="none" w:sz="0" w:space="0" w:color="auto"/>
              </w:divBdr>
            </w:div>
            <w:div w:id="1185824686">
              <w:marLeft w:val="0"/>
              <w:marRight w:val="0"/>
              <w:marTop w:val="0"/>
              <w:marBottom w:val="0"/>
              <w:divBdr>
                <w:top w:val="none" w:sz="0" w:space="0" w:color="auto"/>
                <w:left w:val="none" w:sz="0" w:space="0" w:color="auto"/>
                <w:bottom w:val="none" w:sz="0" w:space="0" w:color="auto"/>
                <w:right w:val="none" w:sz="0" w:space="0" w:color="auto"/>
              </w:divBdr>
            </w:div>
            <w:div w:id="1389037261">
              <w:marLeft w:val="0"/>
              <w:marRight w:val="0"/>
              <w:marTop w:val="0"/>
              <w:marBottom w:val="0"/>
              <w:divBdr>
                <w:top w:val="none" w:sz="0" w:space="0" w:color="auto"/>
                <w:left w:val="none" w:sz="0" w:space="0" w:color="auto"/>
                <w:bottom w:val="none" w:sz="0" w:space="0" w:color="auto"/>
                <w:right w:val="none" w:sz="0" w:space="0" w:color="auto"/>
              </w:divBdr>
            </w:div>
            <w:div w:id="1446655591">
              <w:marLeft w:val="0"/>
              <w:marRight w:val="0"/>
              <w:marTop w:val="0"/>
              <w:marBottom w:val="0"/>
              <w:divBdr>
                <w:top w:val="none" w:sz="0" w:space="0" w:color="auto"/>
                <w:left w:val="none" w:sz="0" w:space="0" w:color="auto"/>
                <w:bottom w:val="none" w:sz="0" w:space="0" w:color="auto"/>
                <w:right w:val="none" w:sz="0" w:space="0" w:color="auto"/>
              </w:divBdr>
            </w:div>
            <w:div w:id="1515533775">
              <w:marLeft w:val="0"/>
              <w:marRight w:val="0"/>
              <w:marTop w:val="0"/>
              <w:marBottom w:val="0"/>
              <w:divBdr>
                <w:top w:val="none" w:sz="0" w:space="0" w:color="auto"/>
                <w:left w:val="none" w:sz="0" w:space="0" w:color="auto"/>
                <w:bottom w:val="none" w:sz="0" w:space="0" w:color="auto"/>
                <w:right w:val="none" w:sz="0" w:space="0" w:color="auto"/>
              </w:divBdr>
            </w:div>
            <w:div w:id="1531147268">
              <w:marLeft w:val="0"/>
              <w:marRight w:val="0"/>
              <w:marTop w:val="0"/>
              <w:marBottom w:val="0"/>
              <w:divBdr>
                <w:top w:val="none" w:sz="0" w:space="0" w:color="auto"/>
                <w:left w:val="none" w:sz="0" w:space="0" w:color="auto"/>
                <w:bottom w:val="none" w:sz="0" w:space="0" w:color="auto"/>
                <w:right w:val="none" w:sz="0" w:space="0" w:color="auto"/>
              </w:divBdr>
              <w:divsChild>
                <w:div w:id="580216955">
                  <w:marLeft w:val="0"/>
                  <w:marRight w:val="0"/>
                  <w:marTop w:val="0"/>
                  <w:marBottom w:val="0"/>
                  <w:divBdr>
                    <w:top w:val="none" w:sz="0" w:space="0" w:color="auto"/>
                    <w:left w:val="none" w:sz="0" w:space="0" w:color="auto"/>
                    <w:bottom w:val="none" w:sz="0" w:space="0" w:color="auto"/>
                    <w:right w:val="none" w:sz="0" w:space="0" w:color="auto"/>
                  </w:divBdr>
                </w:div>
              </w:divsChild>
            </w:div>
            <w:div w:id="1555577887">
              <w:marLeft w:val="0"/>
              <w:marRight w:val="0"/>
              <w:marTop w:val="0"/>
              <w:marBottom w:val="0"/>
              <w:divBdr>
                <w:top w:val="none" w:sz="0" w:space="0" w:color="auto"/>
                <w:left w:val="none" w:sz="0" w:space="0" w:color="auto"/>
                <w:bottom w:val="none" w:sz="0" w:space="0" w:color="auto"/>
                <w:right w:val="none" w:sz="0" w:space="0" w:color="auto"/>
              </w:divBdr>
            </w:div>
            <w:div w:id="1557736428">
              <w:marLeft w:val="0"/>
              <w:marRight w:val="0"/>
              <w:marTop w:val="0"/>
              <w:marBottom w:val="0"/>
              <w:divBdr>
                <w:top w:val="none" w:sz="0" w:space="0" w:color="auto"/>
                <w:left w:val="none" w:sz="0" w:space="0" w:color="auto"/>
                <w:bottom w:val="none" w:sz="0" w:space="0" w:color="auto"/>
                <w:right w:val="none" w:sz="0" w:space="0" w:color="auto"/>
              </w:divBdr>
            </w:div>
            <w:div w:id="1757554674">
              <w:marLeft w:val="0"/>
              <w:marRight w:val="0"/>
              <w:marTop w:val="0"/>
              <w:marBottom w:val="0"/>
              <w:divBdr>
                <w:top w:val="none" w:sz="0" w:space="0" w:color="auto"/>
                <w:left w:val="none" w:sz="0" w:space="0" w:color="auto"/>
                <w:bottom w:val="none" w:sz="0" w:space="0" w:color="auto"/>
                <w:right w:val="none" w:sz="0" w:space="0" w:color="auto"/>
              </w:divBdr>
            </w:div>
            <w:div w:id="1798061814">
              <w:marLeft w:val="0"/>
              <w:marRight w:val="0"/>
              <w:marTop w:val="0"/>
              <w:marBottom w:val="0"/>
              <w:divBdr>
                <w:top w:val="none" w:sz="0" w:space="0" w:color="auto"/>
                <w:left w:val="none" w:sz="0" w:space="0" w:color="auto"/>
                <w:bottom w:val="none" w:sz="0" w:space="0" w:color="auto"/>
                <w:right w:val="none" w:sz="0" w:space="0" w:color="auto"/>
              </w:divBdr>
            </w:div>
            <w:div w:id="1980528008">
              <w:marLeft w:val="0"/>
              <w:marRight w:val="0"/>
              <w:marTop w:val="0"/>
              <w:marBottom w:val="0"/>
              <w:divBdr>
                <w:top w:val="none" w:sz="0" w:space="0" w:color="auto"/>
                <w:left w:val="none" w:sz="0" w:space="0" w:color="auto"/>
                <w:bottom w:val="none" w:sz="0" w:space="0" w:color="auto"/>
                <w:right w:val="none" w:sz="0" w:space="0" w:color="auto"/>
              </w:divBdr>
            </w:div>
            <w:div w:id="1995987922">
              <w:marLeft w:val="0"/>
              <w:marRight w:val="0"/>
              <w:marTop w:val="0"/>
              <w:marBottom w:val="0"/>
              <w:divBdr>
                <w:top w:val="none" w:sz="0" w:space="0" w:color="auto"/>
                <w:left w:val="none" w:sz="0" w:space="0" w:color="auto"/>
                <w:bottom w:val="none" w:sz="0" w:space="0" w:color="auto"/>
                <w:right w:val="none" w:sz="0" w:space="0" w:color="auto"/>
              </w:divBdr>
            </w:div>
            <w:div w:id="1997948356">
              <w:marLeft w:val="0"/>
              <w:marRight w:val="0"/>
              <w:marTop w:val="0"/>
              <w:marBottom w:val="0"/>
              <w:divBdr>
                <w:top w:val="none" w:sz="0" w:space="0" w:color="auto"/>
                <w:left w:val="none" w:sz="0" w:space="0" w:color="auto"/>
                <w:bottom w:val="none" w:sz="0" w:space="0" w:color="auto"/>
                <w:right w:val="none" w:sz="0" w:space="0" w:color="auto"/>
              </w:divBdr>
            </w:div>
            <w:div w:id="2004427928">
              <w:marLeft w:val="0"/>
              <w:marRight w:val="0"/>
              <w:marTop w:val="0"/>
              <w:marBottom w:val="0"/>
              <w:divBdr>
                <w:top w:val="none" w:sz="0" w:space="0" w:color="auto"/>
                <w:left w:val="none" w:sz="0" w:space="0" w:color="auto"/>
                <w:bottom w:val="none" w:sz="0" w:space="0" w:color="auto"/>
                <w:right w:val="none" w:sz="0" w:space="0" w:color="auto"/>
              </w:divBdr>
            </w:div>
            <w:div w:id="2048991089">
              <w:marLeft w:val="0"/>
              <w:marRight w:val="0"/>
              <w:marTop w:val="0"/>
              <w:marBottom w:val="0"/>
              <w:divBdr>
                <w:top w:val="none" w:sz="0" w:space="0" w:color="auto"/>
                <w:left w:val="none" w:sz="0" w:space="0" w:color="auto"/>
                <w:bottom w:val="none" w:sz="0" w:space="0" w:color="auto"/>
                <w:right w:val="none" w:sz="0" w:space="0" w:color="auto"/>
              </w:divBdr>
            </w:div>
            <w:div w:id="21284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1708191">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04347917">
      <w:bodyDiv w:val="1"/>
      <w:marLeft w:val="0"/>
      <w:marRight w:val="0"/>
      <w:marTop w:val="0"/>
      <w:marBottom w:val="0"/>
      <w:divBdr>
        <w:top w:val="none" w:sz="0" w:space="0" w:color="auto"/>
        <w:left w:val="none" w:sz="0" w:space="0" w:color="auto"/>
        <w:bottom w:val="none" w:sz="0" w:space="0" w:color="auto"/>
        <w:right w:val="none" w:sz="0" w:space="0" w:color="auto"/>
      </w:divBdr>
    </w:div>
    <w:div w:id="1843738465">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63278053">
      <w:bodyDiv w:val="1"/>
      <w:marLeft w:val="0"/>
      <w:marRight w:val="0"/>
      <w:marTop w:val="0"/>
      <w:marBottom w:val="0"/>
      <w:divBdr>
        <w:top w:val="none" w:sz="0" w:space="0" w:color="auto"/>
        <w:left w:val="none" w:sz="0" w:space="0" w:color="auto"/>
        <w:bottom w:val="none" w:sz="0" w:space="0" w:color="auto"/>
        <w:right w:val="none" w:sz="0" w:space="0" w:color="auto"/>
      </w:divBdr>
    </w:div>
    <w:div w:id="1907303443">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13602842">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74038064">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3825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www.abs.gov.au/AUSSTATS/abs@.nsf/DetailsPage/3301.02013?OpenDocument%3e" TargetMode="Externa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yperlink" Target="http://www.hqc.sk.ca/" TargetMode="External"/><Relationship Id="rId68" Type="http://schemas.openxmlformats.org/officeDocument/2006/relationships/hyperlink" Target="http://www.iqwig.de/" TargetMode="External"/><Relationship Id="rId84" Type="http://schemas.openxmlformats.org/officeDocument/2006/relationships/hyperlink" Target="http://www.hsph.harvard.edu/" TargetMode="External"/><Relationship Id="rId89" Type="http://schemas.openxmlformats.org/officeDocument/2006/relationships/hyperlink" Target="http://www.oregon.gov/oha/OHPR/HRC/Pages/index.aspx" TargetMode="External"/><Relationship Id="rId112" Type="http://schemas.openxmlformats.org/officeDocument/2006/relationships/footer" Target="footer13.xml"/><Relationship Id="rId16" Type="http://schemas.openxmlformats.org/officeDocument/2006/relationships/header" Target="header3.xml"/><Relationship Id="rId107" Type="http://schemas.openxmlformats.org/officeDocument/2006/relationships/hyperlink" Target="http://www.healthscopepathology.com.au/index.php/advanced-pathology/344/cystic-fibrosis-carrier-screening/" TargetMode="External"/><Relationship Id="rId11" Type="http://schemas.openxmlformats.org/officeDocument/2006/relationships/hyperlink" Target="http://www.msac.gov.au/"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yperlink" Target="http://www.monashhealth.org/page/Health_Professionals/CCE/" TargetMode="External"/><Relationship Id="rId58" Type="http://schemas.openxmlformats.org/officeDocument/2006/relationships/hyperlink" Target="http://www.cadth.ca/index.php/en/" TargetMode="External"/><Relationship Id="rId74" Type="http://schemas.openxmlformats.org/officeDocument/2006/relationships/hyperlink" Target="http://www.gencat.cat/" TargetMode="External"/><Relationship Id="rId79" Type="http://schemas.openxmlformats.org/officeDocument/2006/relationships/hyperlink" Target="http://www.nhshealthquality.org/" TargetMode="External"/><Relationship Id="rId102"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yperlink" Target="http://www.chspr.ubc.ca/" TargetMode="External"/><Relationship Id="rId82" Type="http://schemas.openxmlformats.org/officeDocument/2006/relationships/hyperlink" Target="http://www.york.ac.uk/inst/crd/" TargetMode="External"/><Relationship Id="rId90" Type="http://schemas.openxmlformats.org/officeDocument/2006/relationships/hyperlink" Target="http://ota.fas.org/" TargetMode="External"/><Relationship Id="rId95" Type="http://schemas.openxmlformats.org/officeDocument/2006/relationships/hyperlink" Target="http://text.nlm.nih.gov/" TargetMode="External"/><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3.tiff"/><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yperlink" Target="http://www.acog.org/Resources-And-Publications/Committee-Opinions/Committee-on-Genetics/Update-on-Carrier-Screening-for-Cystic-Fibrosis" TargetMode="External"/><Relationship Id="rId48" Type="http://schemas.openxmlformats.org/officeDocument/2006/relationships/footer" Target="footer8.xml"/><Relationship Id="rId56" Type="http://schemas.openxmlformats.org/officeDocument/2006/relationships/hyperlink" Target="http://www.inesss.qc.ca/en/publications/publications" TargetMode="External"/><Relationship Id="rId64" Type="http://schemas.openxmlformats.org/officeDocument/2006/relationships/hyperlink" Target="http://www.si-folkesundhed.dk/?lang=en" TargetMode="External"/><Relationship Id="rId69" Type="http://schemas.openxmlformats.org/officeDocument/2006/relationships/hyperlink" Target="http://www.gezondheidsraad.nl/en/" TargetMode="External"/><Relationship Id="rId77" Type="http://schemas.openxmlformats.org/officeDocument/2006/relationships/hyperlink" Target="http://www.snhta.ch/" TargetMode="External"/><Relationship Id="rId100" Type="http://schemas.openxmlformats.org/officeDocument/2006/relationships/header" Target="header23.xml"/><Relationship Id="rId105" Type="http://schemas.openxmlformats.org/officeDocument/2006/relationships/hyperlink" Target="http://onlinelibrary.wiley.com/o/cochrane/clcentral/articles/450/CN-00233450/frame.html%3e" TargetMode="External"/><Relationship Id="rId113" Type="http://schemas.openxmlformats.org/officeDocument/2006/relationships/header" Target="header29.xml"/><Relationship Id="rId118" Type="http://schemas.openxmlformats.org/officeDocument/2006/relationships/fontTable" Target="fontTable.xml"/><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www.isciii.es/" TargetMode="External"/><Relationship Id="rId80" Type="http://schemas.openxmlformats.org/officeDocument/2006/relationships/hyperlink" Target="http://www.nice.org.uk/" TargetMode="External"/><Relationship Id="rId85" Type="http://schemas.openxmlformats.org/officeDocument/2006/relationships/hyperlink" Target="http://www.icer-review.org/" TargetMode="External"/><Relationship Id="rId93" Type="http://schemas.openxmlformats.org/officeDocument/2006/relationships/hyperlink" Target="http://www.tripdatabase.com/" TargetMode="Externa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eader" Target="header18.xml"/><Relationship Id="rId59" Type="http://schemas.openxmlformats.org/officeDocument/2006/relationships/hyperlink" Target="https://www.cahspr.ca/en/about/vision" TargetMode="External"/><Relationship Id="rId67" Type="http://schemas.openxmlformats.org/officeDocument/2006/relationships/hyperlink" Target="http://www.dimdi.de/static/en/" TargetMode="External"/><Relationship Id="rId103" Type="http://schemas.openxmlformats.org/officeDocument/2006/relationships/footer" Target="footer11.xml"/><Relationship Id="rId108" Type="http://schemas.openxmlformats.org/officeDocument/2006/relationships/hyperlink" Target="http://www.palms.com.au/" TargetMode="External"/><Relationship Id="rId116" Type="http://schemas.openxmlformats.org/officeDocument/2006/relationships/hyperlink" Target="http://www.alrc.gov.au/publications/report-96%3e" TargetMode="External"/><Relationship Id="rId20" Type="http://schemas.openxmlformats.org/officeDocument/2006/relationships/header" Target="header5.xml"/><Relationship Id="rId41" Type="http://schemas.openxmlformats.org/officeDocument/2006/relationships/footer" Target="footer7.xml"/><Relationship Id="rId54" Type="http://schemas.openxmlformats.org/officeDocument/2006/relationships/hyperlink" Target="http://www.buseco.monash.edu.au/centres/che/" TargetMode="External"/><Relationship Id="rId62" Type="http://schemas.openxmlformats.org/officeDocument/2006/relationships/hyperlink" Target="http://www.ices.on.ca/" TargetMode="External"/><Relationship Id="rId70" Type="http://schemas.openxmlformats.org/officeDocument/2006/relationships/hyperlink" Target="http://www.otago.ac.nz/christchurch/research/nzhta/" TargetMode="External"/><Relationship Id="rId75" Type="http://schemas.openxmlformats.org/officeDocument/2006/relationships/hyperlink" Target="http://www.cmt.liu.se/?l=en&amp;sc=true" TargetMode="External"/><Relationship Id="rId83" Type="http://schemas.openxmlformats.org/officeDocument/2006/relationships/hyperlink" Target="http://www.ahrq.gov/" TargetMode="External"/><Relationship Id="rId88" Type="http://schemas.openxmlformats.org/officeDocument/2006/relationships/hyperlink" Target="http://www.nlm.nih.gov/nichsr/nichsr.html" TargetMode="External"/><Relationship Id="rId91" Type="http://schemas.openxmlformats.org/officeDocument/2006/relationships/hyperlink" Target="http://www.bcbs.com/blueresources/tec/" TargetMode="External"/><Relationship Id="rId96" Type="http://schemas.openxmlformats.org/officeDocument/2006/relationships/header" Target="header21.xml"/><Relationship Id="rId11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4.tiff"/><Relationship Id="rId36" Type="http://schemas.openxmlformats.org/officeDocument/2006/relationships/footer" Target="footer6.xml"/><Relationship Id="rId49" Type="http://schemas.openxmlformats.org/officeDocument/2006/relationships/header" Target="header20.xml"/><Relationship Id="rId57" Type="http://schemas.openxmlformats.org/officeDocument/2006/relationships/hyperlink" Target="http://www.ihe.ca/" TargetMode="External"/><Relationship Id="rId106" Type="http://schemas.openxmlformats.org/officeDocument/2006/relationships/hyperlink" Target="http://genetictesting.rcpa.edu.au/component/search/?searchword=cystic+fibrosis&amp;ordering=&amp;searchphrase=all&amp;areas%5b0%5d=all" TargetMode="External"/><Relationship Id="rId114" Type="http://schemas.openxmlformats.org/officeDocument/2006/relationships/image" Target="media/image11.tif"/><Relationship Id="rId119" Type="http://schemas.openxmlformats.org/officeDocument/2006/relationships/theme" Target="theme/theme1.xml"/><Relationship Id="rId10" Type="http://schemas.openxmlformats.org/officeDocument/2006/relationships/hyperlink" Target="http://www.ag.gov.au/" TargetMode="External"/><Relationship Id="rId31" Type="http://schemas.openxmlformats.org/officeDocument/2006/relationships/footer" Target="footer5.xml"/><Relationship Id="rId44" Type="http://schemas.openxmlformats.org/officeDocument/2006/relationships/image" Target="media/image7.tif"/><Relationship Id="rId52" Type="http://schemas.openxmlformats.org/officeDocument/2006/relationships/hyperlink" Target="http://www.surgeons.org/for-health-professionals/audits-and-surgical-research/asernip-s/" TargetMode="External"/><Relationship Id="rId60" Type="http://schemas.openxmlformats.org/officeDocument/2006/relationships/hyperlink" Target="http://www.chepa.org/" TargetMode="External"/><Relationship Id="rId65" Type="http://schemas.openxmlformats.org/officeDocument/2006/relationships/hyperlink" Target="http://www.thl.fi/en/web/thlfi-en/" TargetMode="External"/><Relationship Id="rId73" Type="http://schemas.openxmlformats.org/officeDocument/2006/relationships/hyperlink" Target="http://www.juntadeandalucia.es/" TargetMode="External"/><Relationship Id="rId78" Type="http://schemas.openxmlformats.org/officeDocument/2006/relationships/hyperlink" Target="http://www.hta.ac.uk/" TargetMode="External"/><Relationship Id="rId81" Type="http://schemas.openxmlformats.org/officeDocument/2006/relationships/hyperlink" Target="http://www.euroscan.bham.ac.uk/" TargetMode="External"/><Relationship Id="rId86" Type="http://schemas.openxmlformats.org/officeDocument/2006/relationships/hyperlink" Target="http://www.icsi.org/" TargetMode="External"/><Relationship Id="rId94" Type="http://schemas.openxmlformats.org/officeDocument/2006/relationships/hyperlink" Target="http://controlled-trials.com/" TargetMode="External"/><Relationship Id="rId99" Type="http://schemas.openxmlformats.org/officeDocument/2006/relationships/footer" Target="footer10.xml"/><Relationship Id="rId101"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eader" Target="header15.xml"/><Relationship Id="rId109" Type="http://schemas.openxmlformats.org/officeDocument/2006/relationships/header" Target="header27.xml"/><Relationship Id="rId34" Type="http://schemas.openxmlformats.org/officeDocument/2006/relationships/header" Target="header12.xml"/><Relationship Id="rId50" Type="http://schemas.openxmlformats.org/officeDocument/2006/relationships/image" Target="media/image9.png"/><Relationship Id="rId55" Type="http://schemas.openxmlformats.org/officeDocument/2006/relationships/hyperlink" Target="http://www.oeaw.ac.at/ita" TargetMode="External"/><Relationship Id="rId76" Type="http://schemas.openxmlformats.org/officeDocument/2006/relationships/hyperlink" Target="http://www.sbu.se/en/" TargetMode="External"/><Relationship Id="rId97" Type="http://schemas.openxmlformats.org/officeDocument/2006/relationships/header" Target="header22.xml"/><Relationship Id="rId104" Type="http://schemas.openxmlformats.org/officeDocument/2006/relationships/header" Target="header26.xml"/><Relationship Id="rId125"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www.kunnskapssenteret.no/" TargetMode="External"/><Relationship Id="rId92" Type="http://schemas.openxmlformats.org/officeDocument/2006/relationships/hyperlink" Target="http://www.research.va.gov/default.cfm"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header" Target="header16.xml"/><Relationship Id="rId45" Type="http://schemas.openxmlformats.org/officeDocument/2006/relationships/image" Target="media/image8.tif"/><Relationship Id="rId66" Type="http://schemas.openxmlformats.org/officeDocument/2006/relationships/hyperlink" Target="http://www.anaes.fr/" TargetMode="External"/><Relationship Id="rId87" Type="http://schemas.openxmlformats.org/officeDocument/2006/relationships/hyperlink" Target="http://www.health.state.mn.us/" TargetMode="External"/><Relationship Id="rId110" Type="http://schemas.openxmlformats.org/officeDocument/2006/relationships/header" Target="header28.xml"/><Relationship Id="rId115" Type="http://schemas.openxmlformats.org/officeDocument/2006/relationships/image" Target="media/image12.tif"/></Relationships>
</file>

<file path=word/_rels/footnotes.xml.rels><?xml version="1.0" encoding="UTF-8" standalone="yes"?>
<Relationships xmlns="http://schemas.openxmlformats.org/package/2006/relationships"><Relationship Id="rId8" Type="http://schemas.openxmlformats.org/officeDocument/2006/relationships/hyperlink" Target="http://eppi.ioe.ac.uk/costconversion/default.aspx" TargetMode="External"/><Relationship Id="rId3" Type="http://schemas.openxmlformats.org/officeDocument/2006/relationships/hyperlink" Target="http://www.cftr2.org/files/CFTR2_22July2013.pdf" TargetMode="External"/><Relationship Id="rId7" Type="http://schemas.openxmlformats.org/officeDocument/2006/relationships/hyperlink" Target="http://www.healthscopepathology.com.au/index.php/general-pathology/self-sampling/cystic-fibrosis-carrier-screening/" TargetMode="External"/><Relationship Id="rId2" Type="http://schemas.openxmlformats.org/officeDocument/2006/relationships/hyperlink" Target="http://genetictesting.rcpa.edu.au/" TargetMode="External"/><Relationship Id="rId1" Type="http://schemas.openxmlformats.org/officeDocument/2006/relationships/hyperlink" Target="http://www.genet.sickkids.on.ca/StatisticsPage.html" TargetMode="External"/><Relationship Id="rId6" Type="http://schemas.openxmlformats.org/officeDocument/2006/relationships/hyperlink" Target="http://www.abs.gov.au/ausstats/abs@.nsf/Lookup/3303.0main+features100062012" TargetMode="External"/><Relationship Id="rId5" Type="http://schemas.openxmlformats.org/officeDocument/2006/relationships/hyperlink" Target="http://www.hgsa.org.au/documents/item/1282" TargetMode="External"/><Relationship Id="rId4" Type="http://schemas.openxmlformats.org/officeDocument/2006/relationships/hyperlink" Target="http://www.genet.sickkids.on.ca/Statistics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2B5A6-3B50-4353-BA4D-6FAF7ACD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216</Pages>
  <Words>113439</Words>
  <Characters>646606</Characters>
  <Application>Microsoft Office Word</Application>
  <DocSecurity>0</DocSecurity>
  <Lines>5388</Lines>
  <Paragraphs>1517</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758528</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ruchi.mittal@adelaide.edu.au</dc:creator>
  <cp:lastModifiedBy>Styche Jordan</cp:lastModifiedBy>
  <cp:revision>9</cp:revision>
  <cp:lastPrinted>2015-07-03T01:40:00Z</cp:lastPrinted>
  <dcterms:created xsi:type="dcterms:W3CDTF">2015-07-03T01:56:00Z</dcterms:created>
  <dcterms:modified xsi:type="dcterms:W3CDTF">2015-11-20T00:39:00Z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_DocHome">
    <vt:i4>209379168</vt:i4>
  </property>
</Properties>
</file>