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42B8D" w14:textId="36AC91BF" w:rsidR="00BC1364" w:rsidRPr="00707064" w:rsidRDefault="00C67DD2" w:rsidP="0041106F">
      <w:pPr>
        <w:spacing w:after="240"/>
        <w:jc w:val="center"/>
        <w:rPr>
          <w:b/>
          <w:i/>
          <w:szCs w:val="24"/>
          <w:highlight w:val="yellow"/>
        </w:rPr>
      </w:pPr>
      <w:r>
        <w:rPr>
          <w:rFonts w:ascii="Arial" w:hAnsi="Arial" w:cs="Arial"/>
          <w:b/>
          <w:noProof/>
          <w:color w:val="000080"/>
          <w:sz w:val="28"/>
          <w:szCs w:val="28"/>
        </w:rPr>
        <w:drawing>
          <wp:inline distT="0" distB="0" distL="0" distR="0" wp14:anchorId="5C162803" wp14:editId="399E512D">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r w:rsidR="00D31B4B">
        <w:rPr>
          <w:b/>
          <w:i/>
          <w:szCs w:val="24"/>
          <w:highlight w:val="yellow"/>
        </w:rPr>
        <w:br w:type="textWrapping" w:clear="all"/>
      </w:r>
    </w:p>
    <w:p w14:paraId="3177817D" w14:textId="7F17928B" w:rsidR="00BC1364" w:rsidRPr="00F715D1" w:rsidRDefault="00F715D1" w:rsidP="00F715D1">
      <w:pPr>
        <w:pStyle w:val="Title"/>
        <w:tabs>
          <w:tab w:val="left" w:pos="1926"/>
          <w:tab w:val="center" w:pos="4513"/>
        </w:tabs>
        <w:jc w:val="left"/>
      </w:pPr>
      <w:r>
        <w:tab/>
      </w:r>
      <w:r w:rsidR="00BF479B" w:rsidRPr="00F715D1">
        <w:t>Public Summary Document</w:t>
      </w:r>
    </w:p>
    <w:p w14:paraId="50AF53E7" w14:textId="77777777" w:rsidR="00BC1364" w:rsidRPr="00F715D1" w:rsidRDefault="00BC1364" w:rsidP="00103DAE">
      <w:pPr>
        <w:pStyle w:val="Subtitle"/>
      </w:pPr>
      <w:r w:rsidRPr="00F715D1">
        <w:t xml:space="preserve">Application No. </w:t>
      </w:r>
      <w:r w:rsidR="00103DAE">
        <w:t>1387.2</w:t>
      </w:r>
      <w:r w:rsidRPr="00F715D1">
        <w:t xml:space="preserve"> </w:t>
      </w:r>
      <w:r w:rsidRPr="00103DAE">
        <w:t xml:space="preserve">– </w:t>
      </w:r>
      <w:r w:rsidR="00103DAE" w:rsidRPr="00103DAE">
        <w:t>Optimizer® Smart Implantable Pulse Generator (IPG) – Cardiac Contractility Modulation (CCM) therapy for patients with Chronic Heart Failure</w:t>
      </w:r>
    </w:p>
    <w:p w14:paraId="7132A74C"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103DAE" w:rsidRPr="00103DAE">
        <w:rPr>
          <w:rFonts w:ascii="Arial" w:hAnsi="Arial" w:cs="Arial"/>
          <w:b/>
          <w:szCs w:val="24"/>
        </w:rPr>
        <w:t>Impulse Dynamics and Life Systems</w:t>
      </w:r>
    </w:p>
    <w:p w14:paraId="3F48FB68"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103DAE">
        <w:rPr>
          <w:rFonts w:ascii="Arial" w:hAnsi="Arial" w:cs="Arial"/>
          <w:b/>
          <w:szCs w:val="24"/>
        </w:rPr>
        <w:t>75</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103DAE">
        <w:rPr>
          <w:rFonts w:ascii="Arial" w:hAnsi="Arial" w:cs="Arial"/>
          <w:b/>
          <w:szCs w:val="24"/>
        </w:rPr>
        <w:t>28-29 March 2019</w:t>
      </w:r>
    </w:p>
    <w:p w14:paraId="6DE194BA"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02139C82" w14:textId="77777777" w:rsidR="003D7F29" w:rsidRPr="00F715D1" w:rsidRDefault="003D7F29" w:rsidP="00F715D1">
      <w:pPr>
        <w:pStyle w:val="Heading1"/>
      </w:pPr>
      <w:r w:rsidRPr="00F715D1">
        <w:t>Purpose of application</w:t>
      </w:r>
      <w:r w:rsidR="00822C7E" w:rsidRPr="00F715D1">
        <w:t xml:space="preserve"> </w:t>
      </w:r>
    </w:p>
    <w:p w14:paraId="4567E14C" w14:textId="75AF7629" w:rsidR="00193514" w:rsidRDefault="00193514" w:rsidP="00193514">
      <w:r w:rsidRPr="00255EE7">
        <w:rPr>
          <w:szCs w:val="24"/>
        </w:rPr>
        <w:t>An application for the resubmission of an implantable pulse generator (IPG) delivering Cardiac Contractility Modulation (CCM) therapy for patients with chronic heart failure was received from Impulse Dynamics Australia Pty Ltd by the Department of Health.</w:t>
      </w:r>
    </w:p>
    <w:p w14:paraId="3D3AF1AF" w14:textId="77777777" w:rsidR="00E977EE" w:rsidRPr="00F715D1" w:rsidRDefault="00E977EE" w:rsidP="00F715D1">
      <w:pPr>
        <w:pStyle w:val="Heading1"/>
      </w:pPr>
      <w:r w:rsidRPr="00F715D1">
        <w:t>MSAC’s advice to the Minister</w:t>
      </w:r>
    </w:p>
    <w:p w14:paraId="2C1B2B42" w14:textId="2FA58F79" w:rsidR="0045126D" w:rsidRPr="0045126D" w:rsidRDefault="0045126D" w:rsidP="001D22C9">
      <w:pPr>
        <w:spacing w:after="240"/>
      </w:pPr>
      <w:r w:rsidRPr="001342D1">
        <w:t>After considering the strength of the available evidence in relation to comparative safety, clinical effectiveness and cost</w:t>
      </w:r>
      <w:r>
        <w:t>-</w:t>
      </w:r>
      <w:r w:rsidRPr="001342D1">
        <w:t xml:space="preserve">effectiveness, MSAC did not support </w:t>
      </w:r>
      <w:r>
        <w:t>public</w:t>
      </w:r>
      <w:r w:rsidRPr="001342D1">
        <w:t xml:space="preserve"> funding of</w:t>
      </w:r>
      <w:r>
        <w:t xml:space="preserve"> </w:t>
      </w:r>
      <w:r w:rsidRPr="009712C7">
        <w:t xml:space="preserve">cardiac contractility modulation (CCM) therapy </w:t>
      </w:r>
      <w:r>
        <w:t>(</w:t>
      </w:r>
      <w:r w:rsidRPr="009712C7">
        <w:t>Optimizer® Smart</w:t>
      </w:r>
      <w:r>
        <w:t xml:space="preserve"> </w:t>
      </w:r>
      <w:r w:rsidRPr="00E22EB3">
        <w:t>Implantable Pulse Generator</w:t>
      </w:r>
      <w:r>
        <w:t>) for</w:t>
      </w:r>
      <w:r w:rsidRPr="009712C7">
        <w:t xml:space="preserve"> patients with chronic heart failure</w:t>
      </w:r>
      <w:r w:rsidRPr="001342D1">
        <w:t xml:space="preserve"> because</w:t>
      </w:r>
      <w:r>
        <w:t xml:space="preserve"> of uncertain clinical and cost-effectiveness.</w:t>
      </w:r>
    </w:p>
    <w:p w14:paraId="1520CBAA" w14:textId="7331A5E4" w:rsidR="0045126D" w:rsidRDefault="0045126D" w:rsidP="001D22C9">
      <w:pPr>
        <w:spacing w:before="240" w:after="240"/>
      </w:pPr>
      <w:r>
        <w:t xml:space="preserve">MSAC </w:t>
      </w:r>
      <w:r w:rsidRPr="00E22EB3">
        <w:t xml:space="preserve">acknowledged that there may be an unmet clinical need in patients with </w:t>
      </w:r>
      <w:r w:rsidR="00AB5FB7">
        <w:t xml:space="preserve">heart failure associated with a narrow QRS duration and </w:t>
      </w:r>
      <w:r w:rsidRPr="00E22EB3">
        <w:t>persistent symptoms</w:t>
      </w:r>
      <w:r w:rsidR="00061E3E">
        <w:t xml:space="preserve"> despite </w:t>
      </w:r>
      <w:r w:rsidR="004D6F85">
        <w:t xml:space="preserve">optimal </w:t>
      </w:r>
      <w:r w:rsidR="00AB5FB7">
        <w:t>medical therapy</w:t>
      </w:r>
      <w:r>
        <w:t xml:space="preserve">. However, MSAC considered that, although more clinical outcomes data were provided in the resubmission, </w:t>
      </w:r>
      <w:r w:rsidRPr="00E22EB3">
        <w:t xml:space="preserve">the clinical evidence base </w:t>
      </w:r>
      <w:r>
        <w:t>remains</w:t>
      </w:r>
      <w:r w:rsidRPr="00E22EB3">
        <w:t xml:space="preserve"> uncertain, particularly regarding the therapy’s effect on improving morbidity and mortality</w:t>
      </w:r>
      <w:r>
        <w:t xml:space="preserve">. The size of the total likely eligible patient population and the rate of uptake of CCM devices are also uncertain. These uncertainties flowed on to </w:t>
      </w:r>
      <w:r w:rsidRPr="00E22EB3">
        <w:t>uncertainties with the modelled economic evaluation</w:t>
      </w:r>
      <w:r>
        <w:t>.</w:t>
      </w:r>
    </w:p>
    <w:p w14:paraId="65F857AE" w14:textId="1FB17A4B" w:rsidR="0045126D" w:rsidRDefault="0045126D" w:rsidP="001D22C9">
      <w:pPr>
        <w:spacing w:after="240"/>
      </w:pPr>
      <w:r w:rsidRPr="00E22EB3">
        <w:t>MSAC re-emphasised that any future application should present evidence from a randomised controlled trial powered to detect long-term benefits in primary outcomes of heart failure hospitalisations and mortality.</w:t>
      </w:r>
    </w:p>
    <w:p w14:paraId="03489D42" w14:textId="0D19B334" w:rsidR="0045126D" w:rsidRPr="0039133B" w:rsidRDefault="0045126D" w:rsidP="0045126D">
      <w:r w:rsidRPr="00E22EB3">
        <w:t xml:space="preserve">MSAC recommended that the </w:t>
      </w:r>
      <w:r>
        <w:t>D</w:t>
      </w:r>
      <w:r w:rsidRPr="00E22EB3">
        <w:t xml:space="preserve">epartment write to </w:t>
      </w:r>
      <w:r>
        <w:t xml:space="preserve">the Prostheses List Advisory Committee </w:t>
      </w:r>
      <w:r w:rsidRPr="00E22EB3">
        <w:t xml:space="preserve">to notify </w:t>
      </w:r>
      <w:r w:rsidR="00280583">
        <w:t>it</w:t>
      </w:r>
      <w:r w:rsidRPr="00E22EB3">
        <w:t xml:space="preserve"> of the decision and the basis for this assessment.</w:t>
      </w:r>
    </w:p>
    <w:p w14:paraId="13C5A7CC" w14:textId="77777777" w:rsidR="00550354" w:rsidRPr="00F715D1" w:rsidRDefault="00550354" w:rsidP="00F715D1">
      <w:pPr>
        <w:pStyle w:val="Heading1"/>
      </w:pPr>
      <w:r w:rsidRPr="00F715D1">
        <w:lastRenderedPageBreak/>
        <w:t xml:space="preserve">Summary of consideration and rationale for MSAC’s advice </w:t>
      </w:r>
    </w:p>
    <w:p w14:paraId="74F5CC3D" w14:textId="6F061756" w:rsidR="00003593" w:rsidRDefault="00003593" w:rsidP="001D22C9">
      <w:pPr>
        <w:spacing w:after="240"/>
      </w:pPr>
      <w:r w:rsidRPr="00F14D0B">
        <w:t xml:space="preserve">MSAC recalled that the requested services are for the implantation, removal, replacement and interrogation of a CCM device for the treatment of patients with </w:t>
      </w:r>
      <w:r>
        <w:t xml:space="preserve">symptomatic </w:t>
      </w:r>
      <w:r w:rsidRPr="00F14D0B">
        <w:t xml:space="preserve">heart failure who have failed to respond to optimal </w:t>
      </w:r>
      <w:r w:rsidRPr="007A4070">
        <w:t>medical</w:t>
      </w:r>
      <w:r w:rsidRPr="00F14D0B">
        <w:t xml:space="preserve"> therapy</w:t>
      </w:r>
      <w:r>
        <w:t xml:space="preserve"> (OMT). MSAC recalled that it has considered this application on two previous occasions (July 2015 and July 2016). On both occasions, MSAC did not support MBS funding because of uncertain clinical and cost-effectiveness. </w:t>
      </w:r>
      <w:r w:rsidRPr="00552884">
        <w:t xml:space="preserve">MSAC emphasised that any future application should present evidence from a </w:t>
      </w:r>
      <w:r w:rsidRPr="002C4859">
        <w:t>randomised controlled trial</w:t>
      </w:r>
      <w:r w:rsidRPr="00552884">
        <w:t xml:space="preserve"> demonstrating that CCM therapy leads to significant reductions in morbidity and mortality among the proposed population.</w:t>
      </w:r>
      <w:r>
        <w:t xml:space="preserve"> Since the previous submission, results of the FIX-HF-5C trial (confirmatory trial following the original FIX-HF-5 trial) have been published. This and other new evidence were presented in the current resubmission.</w:t>
      </w:r>
    </w:p>
    <w:p w14:paraId="38BE6812" w14:textId="27D544BE" w:rsidR="00003593" w:rsidRPr="003E46D5" w:rsidRDefault="00003593" w:rsidP="001D22C9">
      <w:pPr>
        <w:spacing w:after="240"/>
      </w:pPr>
      <w:r>
        <w:t xml:space="preserve">MSAC noted that patients with a </w:t>
      </w:r>
      <w:r w:rsidRPr="009F66A7">
        <w:t>left ventricular ejection fraction (LVEF)</w:t>
      </w:r>
      <w:r>
        <w:t xml:space="preserve"> of ≤</w:t>
      </w:r>
      <w:r w:rsidR="001D22C9">
        <w:t xml:space="preserve"> </w:t>
      </w:r>
      <w:r w:rsidR="00D37991">
        <w:t>35</w:t>
      </w:r>
      <w:r>
        <w:t xml:space="preserve">% with prolonged QRS duration are eligible for </w:t>
      </w:r>
      <w:r w:rsidRPr="009F66A7">
        <w:t>cardiac resynchronisation therapy</w:t>
      </w:r>
      <w:r>
        <w:t xml:space="preserve"> (CRT). However, patients with reduced LVEF but normal QRS duration are not eligible for CRT. MSAC acknowledged the unmet clinical need. MSAC noted that the US </w:t>
      </w:r>
      <w:r w:rsidRPr="009F66A7">
        <w:t>Food and Drug Administration</w:t>
      </w:r>
      <w:r>
        <w:t xml:space="preserve"> (FDA) had recently supported use of CCM therapy in CRT-ineligible </w:t>
      </w:r>
      <w:r w:rsidRPr="00544F58">
        <w:t>patients. However, MSAC noted that the FDA consider</w:t>
      </w:r>
      <w:r>
        <w:t>ed</w:t>
      </w:r>
      <w:r w:rsidRPr="00544F58">
        <w:t xml:space="preserve"> only the risk</w:t>
      </w:r>
      <w:r>
        <w:t>–</w:t>
      </w:r>
      <w:r w:rsidRPr="00544F58">
        <w:t>benefit profile of the therapy and not cost-effectiveness.</w:t>
      </w:r>
    </w:p>
    <w:p w14:paraId="77DC32E1" w14:textId="55193BE4" w:rsidR="00003593" w:rsidRDefault="00003593" w:rsidP="001D22C9">
      <w:pPr>
        <w:spacing w:after="240"/>
      </w:pPr>
      <w:r>
        <w:t>MSAC noted that the item descriptor was changed during the application process (i</w:t>
      </w:r>
      <w:r w:rsidRPr="00C038DE">
        <w:t>n response to direction from MSAC</w:t>
      </w:r>
      <w:r>
        <w:t>)</w:t>
      </w:r>
      <w:r w:rsidRPr="00C038DE">
        <w:t xml:space="preserve"> to include a number of exclusion criteria </w:t>
      </w:r>
      <w:r>
        <w:t xml:space="preserve">that </w:t>
      </w:r>
      <w:r w:rsidRPr="00C038DE">
        <w:t xml:space="preserve">applied to the clinical trial populations. </w:t>
      </w:r>
      <w:r>
        <w:t>However, MSAC n</w:t>
      </w:r>
      <w:r w:rsidRPr="00C038DE">
        <w:t>ot</w:t>
      </w:r>
      <w:r>
        <w:t>ed</w:t>
      </w:r>
      <w:r w:rsidRPr="00C038DE">
        <w:t xml:space="preserve"> that pre-existing atrial fibrillation</w:t>
      </w:r>
      <w:r>
        <w:t xml:space="preserve"> (AF)</w:t>
      </w:r>
      <w:r w:rsidRPr="00C038DE">
        <w:t xml:space="preserve"> is not listed </w:t>
      </w:r>
      <w:r>
        <w:t>as an exclusion criterion in the proposed item descriptors. Patients with</w:t>
      </w:r>
      <w:r w:rsidR="00C32EDA">
        <w:t xml:space="preserve"> (persistent or permanent)</w:t>
      </w:r>
      <w:r>
        <w:t xml:space="preserve"> AF were excluded from </w:t>
      </w:r>
      <w:r w:rsidR="00C32EDA">
        <w:t xml:space="preserve">FIX-HF-5(C) </w:t>
      </w:r>
      <w:r>
        <w:t>trials so it is unknown whether patients with AF will benefit from CCM; more evidence is required for this population.</w:t>
      </w:r>
    </w:p>
    <w:p w14:paraId="6520AC4C" w14:textId="5E8139FB" w:rsidR="00003593" w:rsidRDefault="00003593" w:rsidP="001D22C9">
      <w:pPr>
        <w:spacing w:after="240"/>
      </w:pPr>
      <w:r>
        <w:t>MSAC noted that the application contained little information as to how often the device would need to be interrogated and by whom. The p</w:t>
      </w:r>
      <w:r w:rsidRPr="00D32EDA">
        <w:t>roposed item descriptors do not specify restrictions for specialists, facilities or institutions.</w:t>
      </w:r>
      <w:r>
        <w:t xml:space="preserve"> However, MSAC noted that the </w:t>
      </w:r>
      <w:r w:rsidRPr="00D32EDA">
        <w:t xml:space="preserve">Cardiac Implantable </w:t>
      </w:r>
      <w:r>
        <w:t>Electronic Devices guidelines from</w:t>
      </w:r>
      <w:r w:rsidRPr="00D32EDA">
        <w:t xml:space="preserve"> the Cardiac Society of Australia and New Zealand</w:t>
      </w:r>
      <w:r>
        <w:t xml:space="preserve"> (CSANZ) </w:t>
      </w:r>
      <w:r w:rsidRPr="008C6308">
        <w:t xml:space="preserve">may be applicable to </w:t>
      </w:r>
      <w:r>
        <w:t>devices used</w:t>
      </w:r>
      <w:r w:rsidRPr="008C6308">
        <w:t xml:space="preserve"> for CCM therapy</w:t>
      </w:r>
      <w:r>
        <w:t>.</w:t>
      </w:r>
      <w:r w:rsidRPr="008C6308">
        <w:t xml:space="preserve"> </w:t>
      </w:r>
      <w:r>
        <w:t>This</w:t>
      </w:r>
      <w:r w:rsidRPr="008C6308">
        <w:t xml:space="preserve"> has implications for the accreditation and monitoring of specialists who will p</w:t>
      </w:r>
      <w:r w:rsidR="0056760D">
        <w:t>rovide</w:t>
      </w:r>
      <w:r w:rsidR="00065FA9">
        <w:t xml:space="preserve"> </w:t>
      </w:r>
      <w:r w:rsidRPr="008C6308">
        <w:t xml:space="preserve">these </w:t>
      </w:r>
      <w:r w:rsidR="00065FA9">
        <w:t>services.</w:t>
      </w:r>
      <w:r>
        <w:t xml:space="preserve"> D</w:t>
      </w:r>
      <w:r w:rsidRPr="006736F2">
        <w:t xml:space="preserve">ecisions </w:t>
      </w:r>
      <w:r>
        <w:t>would</w:t>
      </w:r>
      <w:r w:rsidRPr="006736F2">
        <w:t xml:space="preserve"> need to be made about who is able to implant the device, their competence and how often they should be monitored.</w:t>
      </w:r>
      <w:r>
        <w:t xml:space="preserve"> MSAC suggested that it would be useful to seek advice about this from CSANZ</w:t>
      </w:r>
      <w:r w:rsidR="00C32EDA">
        <w:t>.</w:t>
      </w:r>
    </w:p>
    <w:p w14:paraId="66975732" w14:textId="182CDC64" w:rsidR="00003593" w:rsidRPr="003E46D5" w:rsidRDefault="00003593" w:rsidP="001D22C9">
      <w:pPr>
        <w:spacing w:after="240"/>
      </w:pPr>
      <w:r w:rsidRPr="003E6F64">
        <w:t xml:space="preserve">MSAC </w:t>
      </w:r>
      <w:r w:rsidR="00085BBF">
        <w:t>considered</w:t>
      </w:r>
      <w:r w:rsidRPr="003E6F64">
        <w:t xml:space="preserve"> that</w:t>
      </w:r>
      <w:r>
        <w:t xml:space="preserve"> the comparator used in this application – OMT – is appropriate given that there are no alternative treatment options for the patient population with normal QRS duration.</w:t>
      </w:r>
    </w:p>
    <w:p w14:paraId="2B40F47D" w14:textId="52458A62" w:rsidR="00003593" w:rsidRPr="003E46D5" w:rsidRDefault="00003593" w:rsidP="001D22C9">
      <w:pPr>
        <w:spacing w:after="240"/>
      </w:pPr>
      <w:r>
        <w:t>MSAC acknowledged that there have been no signals of any safety issue with the CCM device and the intervention appears to be safe. Device-related adverse effects appear to be rare. The implantation failure rate was about 1% in the largest trial (FIX-HF-5). However, MSAC considered that this may be an underestimate if the CCM device becomes more widely implemented.</w:t>
      </w:r>
    </w:p>
    <w:p w14:paraId="19C8D555" w14:textId="69B25EAF" w:rsidR="00003593" w:rsidRPr="00B77EEC" w:rsidRDefault="00003593" w:rsidP="001D22C9">
      <w:pPr>
        <w:spacing w:after="240"/>
      </w:pPr>
      <w:r>
        <w:t xml:space="preserve">MSAC considered that there is insufficient evidence to be certain of clinical effectiveness. MSAC noted that most outcomes assessed in the relevant trials for this application were surrogate outcomes related to exercise capacity and quality of </w:t>
      </w:r>
      <w:r w:rsidRPr="00B77EEC">
        <w:t>life. MSAC noted that</w:t>
      </w:r>
      <w:r>
        <w:t>,</w:t>
      </w:r>
      <w:r w:rsidRPr="00B77EEC">
        <w:t xml:space="preserve"> although there appears to be improvement over 24 weeks in various surrogate outcomes (peak VO</w:t>
      </w:r>
      <w:r w:rsidRPr="00B77EEC">
        <w:rPr>
          <w:vertAlign w:val="subscript"/>
        </w:rPr>
        <w:t>2</w:t>
      </w:r>
      <w:r w:rsidRPr="00B77EEC">
        <w:t xml:space="preserve">, </w:t>
      </w:r>
      <w:r>
        <w:t>Six</w:t>
      </w:r>
      <w:r w:rsidRPr="00B77EEC">
        <w:t>-</w:t>
      </w:r>
      <w:r>
        <w:t>M</w:t>
      </w:r>
      <w:r w:rsidRPr="00B77EEC">
        <w:t xml:space="preserve">inute </w:t>
      </w:r>
      <w:r>
        <w:t>W</w:t>
      </w:r>
      <w:r w:rsidRPr="00B77EEC">
        <w:t xml:space="preserve">alk </w:t>
      </w:r>
      <w:r>
        <w:t>T</w:t>
      </w:r>
      <w:r w:rsidRPr="00B77EEC">
        <w:t>est</w:t>
      </w:r>
      <w:r w:rsidR="00065FA9">
        <w:t xml:space="preserve"> (6MWT)</w:t>
      </w:r>
      <w:r w:rsidRPr="00B77EEC">
        <w:t xml:space="preserve"> and Minnesota Living With Heart Failure </w:t>
      </w:r>
      <w:r w:rsidRPr="00B77EEC">
        <w:lastRenderedPageBreak/>
        <w:t>Questionnaire [</w:t>
      </w:r>
      <w:r w:rsidRPr="00F8004C">
        <w:t>MLWHFQ</w:t>
      </w:r>
      <w:r w:rsidRPr="00B77EEC">
        <w:t>]), included studies are subject to moderate to high levels of bias due to small numbers and lack of blinding.</w:t>
      </w:r>
    </w:p>
    <w:p w14:paraId="2B668506" w14:textId="34F6D076" w:rsidR="00003593" w:rsidRPr="00B77EEC" w:rsidRDefault="00003593" w:rsidP="001D22C9">
      <w:pPr>
        <w:spacing w:after="240"/>
      </w:pPr>
      <w:r w:rsidRPr="00B77EEC">
        <w:t>MSAC noted that claims of clinical effectiveness in the applicant’s pre-MSAC response hinged on pooled efficacy data from the FIX-HF-5C trial and a</w:t>
      </w:r>
      <w:r w:rsidR="00423AE9">
        <w:t xml:space="preserve"> </w:t>
      </w:r>
      <w:r w:rsidR="00423AE9" w:rsidRPr="001D22C9">
        <w:rPr>
          <w:i/>
        </w:rPr>
        <w:t>post</w:t>
      </w:r>
      <w:r w:rsidR="00132A11">
        <w:rPr>
          <w:i/>
        </w:rPr>
        <w:t>-</w:t>
      </w:r>
      <w:r w:rsidR="00423AE9" w:rsidRPr="001D22C9">
        <w:rPr>
          <w:i/>
        </w:rPr>
        <w:t>hoc</w:t>
      </w:r>
      <w:r w:rsidRPr="00B77EEC">
        <w:t xml:space="preserve"> subgroup analysis from the FIX-HF-5 trial. Secondary analysis of heart failure hospitalisations and mortality showed a 73% reduction in event rates (2.9% vs 10.8%, </w:t>
      </w:r>
      <w:r w:rsidRPr="00FA3E6D">
        <w:rPr>
          <w:i/>
        </w:rPr>
        <w:t>P</w:t>
      </w:r>
      <w:r>
        <w:t> </w:t>
      </w:r>
      <w:r w:rsidRPr="00B77EEC">
        <w:t>=</w:t>
      </w:r>
      <w:r>
        <w:t> </w:t>
      </w:r>
      <w:r w:rsidRPr="00B77EEC">
        <w:t>0.042). However, MSAC considered this result highly uncertain given the</w:t>
      </w:r>
      <w:r w:rsidR="00132A11">
        <w:t xml:space="preserve"> high risk of bias associated with pooling results </w:t>
      </w:r>
      <w:r w:rsidR="000E3F35">
        <w:t>of the</w:t>
      </w:r>
      <w:r w:rsidR="00132A11">
        <w:t xml:space="preserve"> </w:t>
      </w:r>
      <w:r w:rsidR="00132A11" w:rsidRPr="001D22C9">
        <w:rPr>
          <w:i/>
        </w:rPr>
        <w:t>post-hoc</w:t>
      </w:r>
      <w:r w:rsidR="00132A11">
        <w:t xml:space="preserve"> subgroup with results of FIX-HF-5C trial,</w:t>
      </w:r>
      <w:r w:rsidRPr="00B77EEC">
        <w:t xml:space="preserve"> </w:t>
      </w:r>
      <w:r w:rsidR="000E3F35">
        <w:t>pooled</w:t>
      </w:r>
      <w:r w:rsidR="000E3F35" w:rsidRPr="00B77EEC">
        <w:t xml:space="preserve"> </w:t>
      </w:r>
      <w:r w:rsidRPr="00B77EEC">
        <w:t>sample size (n</w:t>
      </w:r>
      <w:r>
        <w:t> </w:t>
      </w:r>
      <w:r w:rsidRPr="00B77EEC">
        <w:t>=</w:t>
      </w:r>
      <w:r>
        <w:t> </w:t>
      </w:r>
      <w:r w:rsidRPr="00B77EEC">
        <w:t>389) and the number needed to treat of 13 over 24 weeks.</w:t>
      </w:r>
      <w:r>
        <w:t xml:space="preserve"> MSAC also considered it unlikely that such a large reduction in hospitalisations would arise from the small improvements seen in symptoms.</w:t>
      </w:r>
    </w:p>
    <w:p w14:paraId="734AF764" w14:textId="553F99FD" w:rsidR="00003593" w:rsidRPr="00B77EEC" w:rsidRDefault="00003593" w:rsidP="001D22C9">
      <w:pPr>
        <w:spacing w:after="240"/>
      </w:pPr>
      <w:r w:rsidRPr="00B77EEC">
        <w:t xml:space="preserve">MSAC also noted that data presented in the resubmission extends only to 24 weeks for the FIX-HF-5C trial, 50 weeks for the FIX-HF-5 subgroup and 3 years for a European registry study. Clinical effectiveness data beyond 24 weeks duration </w:t>
      </w:r>
      <w:r w:rsidR="00280583">
        <w:t>are</w:t>
      </w:r>
      <w:r w:rsidRPr="00B77EEC">
        <w:t xml:space="preserve"> of low quality and at high risk of bias</w:t>
      </w:r>
      <w:r>
        <w:t>,</w:t>
      </w:r>
      <w:r w:rsidRPr="00B77EEC">
        <w:t xml:space="preserve"> and the effect</w:t>
      </w:r>
      <w:r w:rsidR="00065FA9">
        <w:t xml:space="preserve"> (and durability)</w:t>
      </w:r>
      <w:r w:rsidRPr="00B77EEC">
        <w:t xml:space="preserve"> of CCM beyond 24 weeks</w:t>
      </w:r>
      <w:r w:rsidRPr="00CC1137">
        <w:t xml:space="preserve"> </w:t>
      </w:r>
      <w:r w:rsidRPr="00B77EEC">
        <w:t>is therefore uncertain.</w:t>
      </w:r>
    </w:p>
    <w:p w14:paraId="1E019AE9" w14:textId="77777777" w:rsidR="00003593" w:rsidRDefault="00003593" w:rsidP="00003593">
      <w:pPr>
        <w:spacing w:after="120"/>
      </w:pPr>
      <w:r>
        <w:t>MSAC noted the following key drivers of the economic model</w:t>
      </w:r>
      <w:r w:rsidRPr="00275F67">
        <w:t xml:space="preserve"> </w:t>
      </w:r>
      <w:r>
        <w:t>and issues associated with each of them:</w:t>
      </w:r>
    </w:p>
    <w:p w14:paraId="3EA09F8E" w14:textId="7086F0B8" w:rsidR="00003593" w:rsidRDefault="00065FA9" w:rsidP="00003593">
      <w:pPr>
        <w:pStyle w:val="Bullet"/>
      </w:pPr>
      <w:r>
        <w:t>T</w:t>
      </w:r>
      <w:r w:rsidR="00003593">
        <w:t xml:space="preserve">ime horizon of 40 years – in previous submissions, MSAC stated that time horizons of 30 years and 15 years resulted in over-extrapolation of 12 months of data. Although the resubmission now includes FIX-HF-5C data, it continues to rely on 12-month effectiveness data. MSAC considered that a more appropriate time horizon would be 5 years, given the </w:t>
      </w:r>
      <w:r>
        <w:t xml:space="preserve">prevailing </w:t>
      </w:r>
      <w:r w:rsidR="00003593">
        <w:t>mortality rate in the proposed population.</w:t>
      </w:r>
    </w:p>
    <w:p w14:paraId="3315EC4B" w14:textId="19E76630" w:rsidR="00003593" w:rsidRPr="00830299" w:rsidRDefault="00065FA9" w:rsidP="00003593">
      <w:pPr>
        <w:pStyle w:val="Bullet"/>
      </w:pPr>
      <w:r>
        <w:t>S</w:t>
      </w:r>
      <w:r w:rsidR="00003593">
        <w:t xml:space="preserve">urvival benefit – the model applies the same probability of death irrespective of </w:t>
      </w:r>
      <w:r w:rsidR="00003593" w:rsidRPr="00194B80">
        <w:t xml:space="preserve">New York Heart Association </w:t>
      </w:r>
      <w:r w:rsidR="00003593">
        <w:t>(NYHA) class. M</w:t>
      </w:r>
      <w:r w:rsidR="00003593" w:rsidRPr="00830299">
        <w:t xml:space="preserve">onthly distribution of patients by NYHA class </w:t>
      </w:r>
      <w:r w:rsidR="00003593">
        <w:t xml:space="preserve">is </w:t>
      </w:r>
      <w:r w:rsidR="00003593" w:rsidRPr="00830299">
        <w:t xml:space="preserve">based on a (poorly described) </w:t>
      </w:r>
      <w:r w:rsidR="00003593">
        <w:t>logistic regression model of 12 </w:t>
      </w:r>
      <w:r w:rsidR="00003593" w:rsidRPr="00830299">
        <w:t xml:space="preserve">months of </w:t>
      </w:r>
      <w:r w:rsidR="00003593">
        <w:t xml:space="preserve">individual patient data </w:t>
      </w:r>
      <w:r w:rsidR="00003593" w:rsidRPr="00830299">
        <w:t xml:space="preserve">from </w:t>
      </w:r>
      <w:r w:rsidR="00003593">
        <w:t xml:space="preserve">the </w:t>
      </w:r>
      <w:r w:rsidR="00003593" w:rsidRPr="00830299">
        <w:t>FIX</w:t>
      </w:r>
      <w:r w:rsidR="00003593">
        <w:t>-</w:t>
      </w:r>
      <w:r w:rsidR="00003593" w:rsidRPr="00830299">
        <w:t xml:space="preserve">HF-5 </w:t>
      </w:r>
      <w:r w:rsidR="00003593">
        <w:t>trial; other data may have been included but this could not be verified. Given the very low frequency of death in the trial (which was not statistically significant), MSAC considered this approach may not be valid. It is also inconsistent with the known association between NYHA class and mortality.</w:t>
      </w:r>
    </w:p>
    <w:p w14:paraId="6B16CDB0" w14:textId="4A827B19" w:rsidR="00003593" w:rsidRPr="00830299" w:rsidRDefault="00065FA9" w:rsidP="00003593">
      <w:pPr>
        <w:pStyle w:val="Bullet"/>
      </w:pPr>
      <w:r>
        <w:t>C</w:t>
      </w:r>
      <w:r w:rsidR="00003593">
        <w:t xml:space="preserve">hanges in NYHA class – </w:t>
      </w:r>
      <w:r w:rsidR="00003593" w:rsidRPr="00830299">
        <w:t xml:space="preserve">NYHA class distributions over </w:t>
      </w:r>
      <w:r w:rsidR="00003593">
        <w:t>the first 12 </w:t>
      </w:r>
      <w:r w:rsidR="00003593" w:rsidRPr="00830299">
        <w:t xml:space="preserve">months of </w:t>
      </w:r>
      <w:r w:rsidR="00003593">
        <w:t xml:space="preserve">the </w:t>
      </w:r>
      <w:r w:rsidR="00003593" w:rsidRPr="00830299">
        <w:t>model are different for each arm and sensitive to baseline values</w:t>
      </w:r>
      <w:r w:rsidR="00003593">
        <w:t>. The NYHA class at 12 </w:t>
      </w:r>
      <w:r w:rsidR="00003593" w:rsidRPr="00830299">
        <w:t xml:space="preserve">months </w:t>
      </w:r>
      <w:r w:rsidR="00003593">
        <w:t xml:space="preserve">is </w:t>
      </w:r>
      <w:r w:rsidR="00003593" w:rsidRPr="00830299">
        <w:t>then fixed in the model for the remainder of the time horizo</w:t>
      </w:r>
      <w:r w:rsidR="00003593">
        <w:t xml:space="preserve">n (i.e. the </w:t>
      </w:r>
      <w:r w:rsidR="00003593" w:rsidRPr="00194B80">
        <w:t xml:space="preserve">last-observation-carry-forward </w:t>
      </w:r>
      <w:r w:rsidR="00003593" w:rsidRPr="00830299">
        <w:t>assumption)</w:t>
      </w:r>
      <w:r w:rsidR="00003593">
        <w:t>. MSAC considered it clinically implausible that patients would stay in the same NYHA class for up to 40 years.</w:t>
      </w:r>
    </w:p>
    <w:p w14:paraId="64DDCDF9" w14:textId="329B0C68" w:rsidR="00003593" w:rsidRDefault="00065FA9" w:rsidP="00003593">
      <w:pPr>
        <w:pStyle w:val="BulletLast"/>
      </w:pPr>
      <w:r>
        <w:t>U</w:t>
      </w:r>
      <w:r w:rsidR="00003593">
        <w:t xml:space="preserve">tility weights – the submission describes mapping </w:t>
      </w:r>
      <w:r w:rsidR="00003593" w:rsidRPr="007821CE">
        <w:t>MLWHFQ</w:t>
      </w:r>
      <w:r w:rsidR="00003593">
        <w:t xml:space="preserve"> scores from FIX-HF-5(C) individual patient data to</w:t>
      </w:r>
      <w:r>
        <w:t xml:space="preserve"> </w:t>
      </w:r>
      <w:r w:rsidRPr="00255EE7">
        <w:rPr>
          <w:szCs w:val="24"/>
        </w:rPr>
        <w:t xml:space="preserve">EuroQol-5D </w:t>
      </w:r>
      <w:r>
        <w:t>(</w:t>
      </w:r>
      <w:r w:rsidR="00003593">
        <w:t>EQ-5D</w:t>
      </w:r>
      <w:r>
        <w:t>)</w:t>
      </w:r>
      <w:r w:rsidR="00003593">
        <w:t xml:space="preserve"> utility weights (using two published algorithms) to be applied in the model. However, the base case in the model uses utility weights sourced from the literature. MSAC noted that the literature-based weights appear more reliable and using these weights </w:t>
      </w:r>
      <w:r w:rsidR="00280583">
        <w:t xml:space="preserve">in the model </w:t>
      </w:r>
      <w:r w:rsidR="00003593">
        <w:t>favours CCM.</w:t>
      </w:r>
    </w:p>
    <w:p w14:paraId="33B0E9F5" w14:textId="6DBAA9AF" w:rsidR="001D22C9" w:rsidRDefault="00003593" w:rsidP="001D22C9">
      <w:pPr>
        <w:spacing w:after="240"/>
      </w:pPr>
      <w:r>
        <w:t>MSAC noted the ICER sensitivity analysis from the Critique showing that ICERs could be as high as $144,000 if the time horizon was shortened to 5 years and $139,000 if there was no survival benefit</w:t>
      </w:r>
      <w:r w:rsidR="00065FA9">
        <w:t xml:space="preserve"> of CCM relative to OMT.</w:t>
      </w:r>
      <w:r w:rsidR="001D22C9">
        <w:br w:type="page"/>
      </w:r>
    </w:p>
    <w:p w14:paraId="39F4BEE0" w14:textId="6751442A" w:rsidR="00003593" w:rsidRDefault="00003593" w:rsidP="00003593">
      <w:pPr>
        <w:spacing w:after="120"/>
      </w:pPr>
      <w:r>
        <w:lastRenderedPageBreak/>
        <w:t>MSAC noted that there is uncertainty about the size of the total likely eligible patient population and the level of uptake of CCM because:</w:t>
      </w:r>
    </w:p>
    <w:p w14:paraId="7D4B5783" w14:textId="768CFA44" w:rsidR="00003593" w:rsidRPr="00631F01" w:rsidRDefault="00003593" w:rsidP="00003593">
      <w:pPr>
        <w:pStyle w:val="Bullet"/>
      </w:pPr>
      <w:r w:rsidRPr="00631F01">
        <w:t xml:space="preserve">estimates of the </w:t>
      </w:r>
      <w:r>
        <w:t>percentage</w:t>
      </w:r>
      <w:r w:rsidRPr="00631F01">
        <w:t xml:space="preserve"> of patients with reduced ejection fraction are applied twice</w:t>
      </w:r>
      <w:r>
        <w:t xml:space="preserve"> in the population calculation</w:t>
      </w:r>
      <w:r w:rsidR="00280583">
        <w:t>;</w:t>
      </w:r>
    </w:p>
    <w:p w14:paraId="4E692903" w14:textId="2C6F1AEC" w:rsidR="00003593" w:rsidRPr="00631F01" w:rsidRDefault="00003593" w:rsidP="00003593">
      <w:pPr>
        <w:pStyle w:val="Bullet"/>
      </w:pPr>
      <w:r w:rsidRPr="00631F01">
        <w:t>‘failed OMT’</w:t>
      </w:r>
      <w:r>
        <w:t xml:space="preserve"> is not clearly defined</w:t>
      </w:r>
      <w:r w:rsidR="00280583">
        <w:t>;</w:t>
      </w:r>
    </w:p>
    <w:p w14:paraId="33572BA3" w14:textId="7B387E9F" w:rsidR="00003593" w:rsidRPr="00631F01" w:rsidRDefault="00003593" w:rsidP="00003593">
      <w:pPr>
        <w:pStyle w:val="Bullet"/>
      </w:pPr>
      <w:r w:rsidRPr="00631F01">
        <w:t xml:space="preserve">incident vs prevalent cases of </w:t>
      </w:r>
      <w:r>
        <w:t>heart failure are</w:t>
      </w:r>
      <w:r w:rsidRPr="00631F01">
        <w:t xml:space="preserve"> not appropriately account</w:t>
      </w:r>
      <w:r>
        <w:t>ed</w:t>
      </w:r>
      <w:r w:rsidRPr="00631F01">
        <w:t xml:space="preserve"> for</w:t>
      </w:r>
      <w:r w:rsidR="00280583">
        <w:t>; and</w:t>
      </w:r>
    </w:p>
    <w:p w14:paraId="3231D3FF" w14:textId="1723F527" w:rsidR="00003593" w:rsidRDefault="00003593" w:rsidP="00003593">
      <w:pPr>
        <w:pStyle w:val="BulletLast"/>
      </w:pPr>
      <w:proofErr w:type="gramStart"/>
      <w:r>
        <w:t>u</w:t>
      </w:r>
      <w:r w:rsidRPr="00631F01">
        <w:t>ptake</w:t>
      </w:r>
      <w:proofErr w:type="gramEnd"/>
      <w:r w:rsidRPr="00631F01">
        <w:t xml:space="preserve"> rates over </w:t>
      </w:r>
      <w:r>
        <w:t>Y</w:t>
      </w:r>
      <w:r w:rsidRPr="00631F01">
        <w:t>ears 1</w:t>
      </w:r>
      <w:r>
        <w:t>–</w:t>
      </w:r>
      <w:r w:rsidRPr="00631F01">
        <w:t xml:space="preserve">5 </w:t>
      </w:r>
      <w:r>
        <w:t>(</w:t>
      </w:r>
      <w:r w:rsidRPr="00631F01">
        <w:t>2%, 8%, 12%, 16% and 20%</w:t>
      </w:r>
      <w:r>
        <w:t>)</w:t>
      </w:r>
      <w:r w:rsidRPr="00631F01">
        <w:t xml:space="preserve"> </w:t>
      </w:r>
      <w:r>
        <w:t>are</w:t>
      </w:r>
      <w:r w:rsidRPr="00631F01">
        <w:t xml:space="preserve"> not adequately justified</w:t>
      </w:r>
      <w:r>
        <w:t xml:space="preserve">; </w:t>
      </w:r>
      <w:r w:rsidRPr="00631F01">
        <w:t>advice to</w:t>
      </w:r>
      <w:r>
        <w:t xml:space="preserve"> the</w:t>
      </w:r>
      <w:r w:rsidRPr="00631F01">
        <w:t xml:space="preserve"> A</w:t>
      </w:r>
      <w:r>
        <w:t xml:space="preserve">ssessment </w:t>
      </w:r>
      <w:r w:rsidRPr="00631F01">
        <w:t>G</w:t>
      </w:r>
      <w:r>
        <w:t>roup indicated</w:t>
      </w:r>
      <w:r w:rsidRPr="00631F01">
        <w:t xml:space="preserve"> that </w:t>
      </w:r>
      <w:r>
        <w:t xml:space="preserve">uptake </w:t>
      </w:r>
      <w:r w:rsidRPr="00631F01">
        <w:t>might be up to 50%</w:t>
      </w:r>
      <w:r>
        <w:t xml:space="preserve"> (which would increase the cost to the MBS to more than $140 million in Year 5).</w:t>
      </w:r>
    </w:p>
    <w:p w14:paraId="3C9EB7ED" w14:textId="46D6196B" w:rsidR="00003593" w:rsidRPr="008C6308" w:rsidRDefault="00003593" w:rsidP="00003593">
      <w:r>
        <w:t>MSAC also noted that some costs are underestimated.</w:t>
      </w:r>
      <w:r w:rsidRPr="00EA0AAD">
        <w:t xml:space="preserve"> </w:t>
      </w:r>
      <w:r>
        <w:t xml:space="preserve">MSAC noted that the largest proportion of the cost for CCM therapy is the cost of the device. </w:t>
      </w:r>
      <w:r w:rsidRPr="008C6308">
        <w:t xml:space="preserve">The </w:t>
      </w:r>
      <w:r>
        <w:t>a</w:t>
      </w:r>
      <w:r w:rsidRPr="008C6308">
        <w:t>pplicant lists the price of the Optimizer® Smart device as $32,615</w:t>
      </w:r>
      <w:r w:rsidR="008055A9">
        <w:t xml:space="preserve"> </w:t>
      </w:r>
      <w:r w:rsidR="0056760D">
        <w:t>(which was included in the assessment)</w:t>
      </w:r>
      <w:r w:rsidRPr="008C6308">
        <w:t xml:space="preserve">. </w:t>
      </w:r>
      <w:r>
        <w:t>MSAC noted that a</w:t>
      </w:r>
      <w:r w:rsidRPr="008C6308">
        <w:t>n application has been made for the device to be li</w:t>
      </w:r>
      <w:r>
        <w:t>sted on the Prostheses List (13 </w:t>
      </w:r>
      <w:r w:rsidRPr="008C6308">
        <w:t xml:space="preserve">February 2019). </w:t>
      </w:r>
      <w:r>
        <w:t>If</w:t>
      </w:r>
      <w:r w:rsidRPr="008C6308">
        <w:t xml:space="preserve"> </w:t>
      </w:r>
      <w:r w:rsidR="0056760D">
        <w:t>patients choose to undergo this procedure in the absence of MBS subsidy</w:t>
      </w:r>
      <w:r w:rsidRPr="008C6308">
        <w:t>, there is potential for significant out-of-pocket costs to patients.</w:t>
      </w:r>
    </w:p>
    <w:p w14:paraId="3002D438" w14:textId="77777777" w:rsidR="00BC1364" w:rsidRPr="00F715D1" w:rsidRDefault="00BC1364" w:rsidP="00F715D1">
      <w:pPr>
        <w:pStyle w:val="Heading1"/>
      </w:pPr>
      <w:r w:rsidRPr="00F715D1">
        <w:t>Background</w:t>
      </w:r>
    </w:p>
    <w:p w14:paraId="09F60234" w14:textId="1B6BABA0" w:rsidR="00193514" w:rsidRPr="00255EE7" w:rsidRDefault="00193514" w:rsidP="001D22C9">
      <w:pPr>
        <w:spacing w:after="240"/>
        <w:rPr>
          <w:szCs w:val="24"/>
        </w:rPr>
      </w:pPr>
      <w:r w:rsidRPr="00255EE7">
        <w:rPr>
          <w:szCs w:val="24"/>
        </w:rPr>
        <w:t>This is the second resubmission of Application 1387. In the previous resubmission (Application 1387.1) the MSAC did not support public funding due to uncertain clinical and cost-effectiveness. MSAC considered that the key areas of uncertainty related to the impact of CCM therapy on long term morbidity and mortality and as a consequence, the cost-effectiveness of the intervention. MSAC emphasised that any future application should present evidence from a randomised controlled trial demonstrating that CCM therapy leads to significant reductions in morbidity and mortality amongst the proposed population (Public Summary Document (PSD) 1387.1 2016, p3). The FIX-HF-5C trial remained ongoing at the time of the first re-submission in 2016 but has since been completed.</w:t>
      </w:r>
    </w:p>
    <w:p w14:paraId="6C60BA21" w14:textId="66D96E40" w:rsidR="00193514" w:rsidRPr="001D22C9" w:rsidRDefault="00193514" w:rsidP="00193514">
      <w:pPr>
        <w:rPr>
          <w:szCs w:val="24"/>
        </w:rPr>
      </w:pPr>
      <w:r w:rsidRPr="00255EE7">
        <w:rPr>
          <w:szCs w:val="24"/>
        </w:rPr>
        <w:t>The CCM device considered by the MSAC in July 2016 was the Optimizer® IV; however, the current resubmission has been extended to include the Optimizer® Smart device.</w:t>
      </w:r>
    </w:p>
    <w:p w14:paraId="55D167DE" w14:textId="77777777" w:rsidR="00BC1364" w:rsidRPr="00F715D1" w:rsidRDefault="00BC1364" w:rsidP="00F715D1">
      <w:pPr>
        <w:pStyle w:val="Heading1"/>
      </w:pPr>
      <w:r w:rsidRPr="00F715D1">
        <w:t>Prerequisites to implementation of any funding advice</w:t>
      </w:r>
    </w:p>
    <w:p w14:paraId="2787098C" w14:textId="2B209DF3" w:rsidR="00600109" w:rsidRPr="001D22C9" w:rsidRDefault="00600109" w:rsidP="00600109">
      <w:pPr>
        <w:rPr>
          <w:szCs w:val="24"/>
        </w:rPr>
      </w:pPr>
      <w:r w:rsidRPr="00255EE7">
        <w:rPr>
          <w:szCs w:val="24"/>
        </w:rPr>
        <w:t>The current resubmission provided the components of the Australian Register of Therapeutic Goods (ARTG) listings pertinent to the Optimizer® Smart system (ARTG listings: 293356, 303677, 303373, 29335 and 301341). In addition, the components of the previously assessed Optimizer® IV system are registered on the A</w:t>
      </w:r>
      <w:r>
        <w:rPr>
          <w:szCs w:val="24"/>
        </w:rPr>
        <w:t>RTG (see PSD</w:t>
      </w:r>
      <w:r w:rsidRPr="00255EE7">
        <w:rPr>
          <w:szCs w:val="24"/>
        </w:rPr>
        <w:t xml:space="preserve"> 1387.1 July 2016).</w:t>
      </w:r>
    </w:p>
    <w:p w14:paraId="028615CE" w14:textId="77777777" w:rsidR="00BC1364" w:rsidRPr="00F715D1" w:rsidRDefault="00BC1364" w:rsidP="00F715D1">
      <w:pPr>
        <w:pStyle w:val="Heading1"/>
      </w:pPr>
      <w:r w:rsidRPr="00F715D1">
        <w:t>Proposal for public funding</w:t>
      </w:r>
    </w:p>
    <w:p w14:paraId="22C1289D" w14:textId="7EC82DA2" w:rsidR="00B16F78" w:rsidRPr="00255EE7" w:rsidRDefault="00600109" w:rsidP="00600109">
      <w:pPr>
        <w:rPr>
          <w:szCs w:val="24"/>
        </w:rPr>
      </w:pPr>
      <w:r w:rsidRPr="00255EE7">
        <w:rPr>
          <w:szCs w:val="24"/>
        </w:rPr>
        <w:t>The proposed MBS item descriptor is summarised</w:t>
      </w:r>
      <w:r w:rsidR="00280583">
        <w:rPr>
          <w:szCs w:val="24"/>
        </w:rPr>
        <w:t xml:space="preserve"> in </w:t>
      </w:r>
      <w:r w:rsidR="00280583" w:rsidRPr="00FC717C">
        <w:rPr>
          <w:szCs w:val="24"/>
        </w:rPr>
        <w:fldChar w:fldCharType="begin"/>
      </w:r>
      <w:r w:rsidR="00280583" w:rsidRPr="00FC717C">
        <w:rPr>
          <w:szCs w:val="24"/>
        </w:rPr>
        <w:instrText xml:space="preserve"> REF _Ref9246271 \h </w:instrText>
      </w:r>
      <w:r w:rsidR="00FC717C" w:rsidRPr="00FC717C">
        <w:rPr>
          <w:szCs w:val="24"/>
        </w:rPr>
        <w:instrText xml:space="preserve"> \* MERGEFORMAT </w:instrText>
      </w:r>
      <w:r w:rsidR="00280583" w:rsidRPr="00FC717C">
        <w:rPr>
          <w:szCs w:val="24"/>
        </w:rPr>
      </w:r>
      <w:r w:rsidR="00280583" w:rsidRPr="00FC717C">
        <w:rPr>
          <w:szCs w:val="24"/>
        </w:rPr>
        <w:fldChar w:fldCharType="separate"/>
      </w:r>
      <w:r w:rsidR="00E14BA7" w:rsidRPr="00E14BA7">
        <w:rPr>
          <w:szCs w:val="24"/>
        </w:rPr>
        <w:t xml:space="preserve">Table </w:t>
      </w:r>
      <w:r w:rsidR="00E14BA7" w:rsidRPr="00E14BA7">
        <w:rPr>
          <w:noProof/>
          <w:szCs w:val="24"/>
        </w:rPr>
        <w:t>1</w:t>
      </w:r>
      <w:r w:rsidR="00280583" w:rsidRPr="00FC717C">
        <w:rPr>
          <w:szCs w:val="24"/>
        </w:rPr>
        <w:fldChar w:fldCharType="end"/>
      </w:r>
      <w:r w:rsidRPr="00FC717C">
        <w:rPr>
          <w:szCs w:val="24"/>
        </w:rPr>
        <w:t xml:space="preserve">, </w:t>
      </w:r>
      <w:r w:rsidRPr="00255EE7">
        <w:rPr>
          <w:szCs w:val="24"/>
        </w:rPr>
        <w:t xml:space="preserve">which was based on the descriptors presented in the PICO in conjunction with MSAC feedback from the first resubmission. </w:t>
      </w:r>
      <w:r>
        <w:rPr>
          <w:szCs w:val="24"/>
        </w:rPr>
        <w:t>T</w:t>
      </w:r>
      <w:r w:rsidRPr="00255EE7">
        <w:rPr>
          <w:szCs w:val="24"/>
        </w:rPr>
        <w:t>he items relate to the insertion, removal or replacement of t</w:t>
      </w:r>
      <w:r w:rsidR="00660486">
        <w:rPr>
          <w:szCs w:val="24"/>
        </w:rPr>
        <w:t>he CCM IPG (</w:t>
      </w:r>
      <w:r w:rsidR="00660486" w:rsidRPr="00660486">
        <w:rPr>
          <w:color w:val="FF0000"/>
          <w:szCs w:val="24"/>
        </w:rPr>
        <w:t>A</w:t>
      </w:r>
      <w:r w:rsidR="00660486">
        <w:rPr>
          <w:szCs w:val="24"/>
        </w:rPr>
        <w:t xml:space="preserve">); </w:t>
      </w:r>
      <w:r w:rsidRPr="00255EE7">
        <w:rPr>
          <w:szCs w:val="24"/>
        </w:rPr>
        <w:t>two bipolar leads (Optimizer® Smart)</w:t>
      </w:r>
      <w:r w:rsidR="00660486" w:rsidRPr="00660486">
        <w:rPr>
          <w:szCs w:val="24"/>
        </w:rPr>
        <w:t xml:space="preserve"> </w:t>
      </w:r>
      <w:r w:rsidR="00660486">
        <w:rPr>
          <w:szCs w:val="24"/>
        </w:rPr>
        <w:t>(</w:t>
      </w:r>
      <w:r w:rsidR="00660486">
        <w:rPr>
          <w:color w:val="FF0000"/>
          <w:szCs w:val="24"/>
        </w:rPr>
        <w:t>B</w:t>
      </w:r>
      <w:r w:rsidR="00660486">
        <w:rPr>
          <w:szCs w:val="24"/>
        </w:rPr>
        <w:t>)</w:t>
      </w:r>
      <w:r w:rsidRPr="00255EE7">
        <w:rPr>
          <w:szCs w:val="24"/>
        </w:rPr>
        <w:t>; three bipolar leads (Optimizer® Smart or IV)</w:t>
      </w:r>
      <w:r w:rsidR="00660486" w:rsidRPr="00660486">
        <w:rPr>
          <w:szCs w:val="24"/>
        </w:rPr>
        <w:t xml:space="preserve"> </w:t>
      </w:r>
      <w:r w:rsidR="00660486">
        <w:rPr>
          <w:szCs w:val="24"/>
        </w:rPr>
        <w:t>(</w:t>
      </w:r>
      <w:r w:rsidR="00660486">
        <w:rPr>
          <w:color w:val="FF0000"/>
          <w:szCs w:val="24"/>
        </w:rPr>
        <w:t>C</w:t>
      </w:r>
      <w:r w:rsidR="00660486">
        <w:rPr>
          <w:szCs w:val="24"/>
        </w:rPr>
        <w:t>)</w:t>
      </w:r>
      <w:r w:rsidRPr="00255EE7">
        <w:rPr>
          <w:szCs w:val="24"/>
        </w:rPr>
        <w:t>; and the interrogation of the CCM system</w:t>
      </w:r>
      <w:r w:rsidR="00660486">
        <w:rPr>
          <w:szCs w:val="24"/>
        </w:rPr>
        <w:t xml:space="preserve"> (</w:t>
      </w:r>
      <w:r w:rsidR="00660486">
        <w:rPr>
          <w:color w:val="FF0000"/>
          <w:szCs w:val="24"/>
        </w:rPr>
        <w:t>D</w:t>
      </w:r>
      <w:r w:rsidR="00660486">
        <w:rPr>
          <w:szCs w:val="24"/>
        </w:rPr>
        <w:t>)</w:t>
      </w:r>
      <w:r w:rsidRPr="00255EE7">
        <w:rPr>
          <w:szCs w:val="24"/>
        </w:rPr>
        <w:t>. These have been assigned unique identifiers (in red) to reference them in this paper.</w:t>
      </w:r>
      <w:r w:rsidR="001D22C9">
        <w:rPr>
          <w:szCs w:val="24"/>
        </w:rPr>
        <w:br w:type="page"/>
      </w:r>
    </w:p>
    <w:p w14:paraId="0DE8608F" w14:textId="2F6221F7" w:rsidR="00600109" w:rsidRPr="00FC13F7" w:rsidRDefault="00600109" w:rsidP="00FC13F7">
      <w:pPr>
        <w:rPr>
          <w:rFonts w:ascii="Arial Narrow" w:hAnsi="Arial Narrow"/>
          <w:b/>
          <w:sz w:val="20"/>
        </w:rPr>
      </w:pPr>
      <w:bookmarkStart w:id="0" w:name="_Ref9246271"/>
      <w:r w:rsidRPr="00FC13F7">
        <w:rPr>
          <w:rFonts w:ascii="Arial Narrow" w:hAnsi="Arial Narrow"/>
          <w:b/>
          <w:sz w:val="20"/>
        </w:rPr>
        <w:lastRenderedPageBreak/>
        <w:t xml:space="preserve">Table </w:t>
      </w:r>
      <w:r w:rsidRPr="00FC13F7">
        <w:rPr>
          <w:rFonts w:ascii="Arial Narrow" w:hAnsi="Arial Narrow"/>
          <w:b/>
          <w:sz w:val="20"/>
        </w:rPr>
        <w:fldChar w:fldCharType="begin"/>
      </w:r>
      <w:r w:rsidRPr="00FC13F7">
        <w:rPr>
          <w:rFonts w:ascii="Arial Narrow" w:hAnsi="Arial Narrow"/>
          <w:b/>
          <w:sz w:val="20"/>
        </w:rPr>
        <w:instrText xml:space="preserve"> SEQ Table \* ARABIC </w:instrText>
      </w:r>
      <w:r w:rsidRPr="00FC13F7">
        <w:rPr>
          <w:rFonts w:ascii="Arial Narrow" w:hAnsi="Arial Narrow"/>
          <w:b/>
          <w:sz w:val="20"/>
        </w:rPr>
        <w:fldChar w:fldCharType="separate"/>
      </w:r>
      <w:r w:rsidR="00E14BA7">
        <w:rPr>
          <w:rFonts w:ascii="Arial Narrow" w:hAnsi="Arial Narrow"/>
          <w:b/>
          <w:noProof/>
          <w:sz w:val="20"/>
        </w:rPr>
        <w:t>1</w:t>
      </w:r>
      <w:r w:rsidRPr="00FC13F7">
        <w:rPr>
          <w:rFonts w:ascii="Arial Narrow" w:hAnsi="Arial Narrow"/>
          <w:b/>
          <w:sz w:val="20"/>
        </w:rPr>
        <w:fldChar w:fldCharType="end"/>
      </w:r>
      <w:bookmarkEnd w:id="0"/>
      <w:r w:rsidRPr="00FC13F7">
        <w:rPr>
          <w:rFonts w:ascii="Arial Narrow" w:hAnsi="Arial Narrow"/>
          <w:b/>
          <w:sz w:val="20"/>
        </w:rPr>
        <w:t xml:space="preserve"> </w:t>
      </w:r>
      <w:bookmarkStart w:id="1" w:name="_Toc525809355"/>
      <w:bookmarkStart w:id="2" w:name="_Toc525809425"/>
      <w:r w:rsidRPr="00FC13F7">
        <w:rPr>
          <w:rFonts w:ascii="Arial Narrow" w:hAnsi="Arial Narrow"/>
          <w:b/>
          <w:sz w:val="20"/>
        </w:rPr>
        <w:t>Proposed MBS item descriptor.</w:t>
      </w:r>
      <w:bookmarkEnd w:id="1"/>
      <w:bookmarkEnd w:id="2"/>
    </w:p>
    <w:tbl>
      <w:tblPr>
        <w:tblStyle w:val="Leftjustified"/>
        <w:tblpPr w:leftFromText="180" w:rightFromText="180" w:vertAnchor="text" w:horzAnchor="margin" w:tblpY="73"/>
        <w:tblW w:w="9072" w:type="dxa"/>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72"/>
      </w:tblGrid>
      <w:tr w:rsidR="00600109" w:rsidRPr="00183E4D" w:rsidDel="00A134DA" w14:paraId="22B69905" w14:textId="77777777" w:rsidTr="00FC13F7">
        <w:trPr>
          <w:cnfStyle w:val="100000000000" w:firstRow="1" w:lastRow="0" w:firstColumn="0" w:lastColumn="0" w:oddVBand="0" w:evenVBand="0" w:oddHBand="0" w:evenHBand="0" w:firstRowFirstColumn="0" w:firstRowLastColumn="0" w:lastRowFirstColumn="0" w:lastRowLastColumn="0"/>
          <w:tblHeader/>
        </w:trPr>
        <w:tc>
          <w:tcPr>
            <w:tcW w:w="9072" w:type="dxa"/>
          </w:tcPr>
          <w:p w14:paraId="26CD07F2" w14:textId="77777777" w:rsidR="00600109" w:rsidRPr="001660F2" w:rsidDel="00A134DA" w:rsidRDefault="00600109" w:rsidP="00036FFE">
            <w:pPr>
              <w:pStyle w:val="Tabletext"/>
            </w:pPr>
            <w:r w:rsidRPr="001660F2">
              <w:rPr>
                <w:lang w:val="en-US"/>
              </w:rPr>
              <w:t>Category 3 - THERAPEUTIC PROCEDURES</w:t>
            </w:r>
          </w:p>
        </w:tc>
      </w:tr>
      <w:tr w:rsidR="00600109" w:rsidRPr="00183E4D" w:rsidDel="00A134DA" w14:paraId="35F2BACA" w14:textId="77777777" w:rsidTr="00FC13F7">
        <w:tc>
          <w:tcPr>
            <w:tcW w:w="9072" w:type="dxa"/>
          </w:tcPr>
          <w:p w14:paraId="521920F1" w14:textId="77777777" w:rsidR="00600109" w:rsidRPr="001660F2" w:rsidRDefault="00600109" w:rsidP="00036FFE">
            <w:pPr>
              <w:pStyle w:val="Tabletext"/>
              <w:rPr>
                <w:szCs w:val="20"/>
                <w:lang w:val="en-US" w:eastAsia="ja-JP"/>
              </w:rPr>
            </w:pPr>
            <w:r w:rsidRPr="001660F2">
              <w:rPr>
                <w:szCs w:val="20"/>
                <w:lang w:val="en-US" w:eastAsia="ja-JP"/>
              </w:rPr>
              <w:t>MBS Item number XXXX</w:t>
            </w:r>
            <w:r>
              <w:rPr>
                <w:szCs w:val="20"/>
                <w:lang w:val="en-US" w:eastAsia="ja-JP"/>
              </w:rPr>
              <w:t xml:space="preserve">X </w:t>
            </w:r>
            <w:r w:rsidRPr="008509D1">
              <w:rPr>
                <w:color w:val="FF0000"/>
                <w:lang w:eastAsia="ja-JP"/>
              </w:rPr>
              <w:t xml:space="preserve"> A</w:t>
            </w:r>
          </w:p>
          <w:p w14:paraId="2911AC5F" w14:textId="77777777" w:rsidR="00600109" w:rsidRDefault="00600109" w:rsidP="00036FFE">
            <w:pPr>
              <w:pStyle w:val="Tabletext"/>
              <w:rPr>
                <w:szCs w:val="20"/>
                <w:lang w:eastAsia="ja-JP"/>
              </w:rPr>
            </w:pPr>
            <w:r w:rsidRPr="001660F2">
              <w:rPr>
                <w:szCs w:val="20"/>
                <w:lang w:eastAsia="ja-JP"/>
              </w:rPr>
              <w:t xml:space="preserve">Permanent Cardiac Contractility Modulation (CCM) </w:t>
            </w:r>
            <w:r w:rsidRPr="001660F2">
              <w:rPr>
                <w:szCs w:val="20"/>
                <w:lang w:val="en-US" w:eastAsia="ja-JP"/>
              </w:rPr>
              <w:t>Implantable Pulse Generator</w:t>
            </w:r>
            <w:r w:rsidRPr="001660F2">
              <w:rPr>
                <w:szCs w:val="20"/>
                <w:lang w:eastAsia="ja-JP"/>
              </w:rPr>
              <w:t xml:space="preserve"> (IPG) device insertion, removal or replacement of, for a patient with all of the following: </w:t>
            </w:r>
          </w:p>
          <w:p w14:paraId="260E84CA" w14:textId="77777777" w:rsidR="00600109" w:rsidRPr="001660F2" w:rsidRDefault="00600109" w:rsidP="00036FFE">
            <w:pPr>
              <w:pStyle w:val="Tabletext"/>
              <w:rPr>
                <w:szCs w:val="20"/>
                <w:lang w:eastAsia="ja-JP"/>
              </w:rPr>
            </w:pPr>
            <w:r>
              <w:rPr>
                <w:szCs w:val="20"/>
                <w:lang w:eastAsia="ja-JP"/>
              </w:rPr>
              <w:t xml:space="preserve">Patient MUST: </w:t>
            </w:r>
          </w:p>
          <w:p w14:paraId="16090FC7" w14:textId="77777777" w:rsidR="00600109" w:rsidRDefault="00600109" w:rsidP="00036FFE">
            <w:pPr>
              <w:pStyle w:val="Tabletext"/>
              <w:rPr>
                <w:szCs w:val="20"/>
              </w:rPr>
            </w:pPr>
            <w:r>
              <w:rPr>
                <w:szCs w:val="20"/>
              </w:rPr>
              <w:t>Have s</w:t>
            </w:r>
            <w:r w:rsidRPr="001660F2">
              <w:rPr>
                <w:szCs w:val="20"/>
              </w:rPr>
              <w:t>ymptomatic heart failure due to systolic left ventricular dysfunction despite failed Optimal Medical Therapy</w:t>
            </w:r>
          </w:p>
          <w:p w14:paraId="74AF0953" w14:textId="77777777" w:rsidR="00600109" w:rsidRDefault="00600109" w:rsidP="00036FFE">
            <w:pPr>
              <w:pStyle w:val="Tabletext"/>
              <w:rPr>
                <w:szCs w:val="20"/>
              </w:rPr>
            </w:pPr>
            <w:r w:rsidRPr="00D61C29">
              <w:rPr>
                <w:szCs w:val="20"/>
              </w:rPr>
              <w:t>Be classified as NYHA Class III</w:t>
            </w:r>
          </w:p>
          <w:p w14:paraId="7A05B2A7" w14:textId="77777777" w:rsidR="00600109" w:rsidRDefault="00600109" w:rsidP="00036FFE">
            <w:pPr>
              <w:pStyle w:val="Tabletext"/>
              <w:rPr>
                <w:szCs w:val="20"/>
              </w:rPr>
            </w:pPr>
            <w:r w:rsidRPr="00D61C29">
              <w:rPr>
                <w:szCs w:val="20"/>
              </w:rPr>
              <w:t>Be aged ≥18 years old</w:t>
            </w:r>
          </w:p>
          <w:p w14:paraId="47A3BA76" w14:textId="77777777" w:rsidR="00600109" w:rsidRDefault="00600109" w:rsidP="00036FFE">
            <w:pPr>
              <w:pStyle w:val="Tabletext"/>
              <w:rPr>
                <w:szCs w:val="20"/>
              </w:rPr>
            </w:pPr>
            <w:r w:rsidRPr="00D61C29">
              <w:rPr>
                <w:szCs w:val="20"/>
              </w:rPr>
              <w:t>Have a QRS duration &lt;120ms</w:t>
            </w:r>
          </w:p>
          <w:p w14:paraId="6F351C34" w14:textId="77777777" w:rsidR="00600109" w:rsidRPr="00D61C29" w:rsidRDefault="00600109" w:rsidP="00036FFE">
            <w:pPr>
              <w:pStyle w:val="Tabletext"/>
              <w:rPr>
                <w:szCs w:val="20"/>
              </w:rPr>
            </w:pPr>
            <w:r w:rsidRPr="00D61C29">
              <w:rPr>
                <w:szCs w:val="20"/>
              </w:rPr>
              <w:t>Have a LVEF ≥25% and ≤45%</w:t>
            </w:r>
          </w:p>
          <w:p w14:paraId="6387E0D6" w14:textId="77777777" w:rsidR="00600109" w:rsidRDefault="00600109" w:rsidP="00036FFE">
            <w:pPr>
              <w:pStyle w:val="Tabletext"/>
              <w:rPr>
                <w:szCs w:val="20"/>
                <w:u w:val="single"/>
              </w:rPr>
            </w:pPr>
            <w:r w:rsidRPr="00685B96">
              <w:rPr>
                <w:szCs w:val="20"/>
                <w:u w:val="single"/>
              </w:rPr>
              <w:t xml:space="preserve">and </w:t>
            </w:r>
          </w:p>
          <w:p w14:paraId="6EC96BF3" w14:textId="77777777" w:rsidR="00600109" w:rsidRDefault="00600109" w:rsidP="00036FFE">
            <w:pPr>
              <w:pStyle w:val="Tabletext"/>
              <w:rPr>
                <w:szCs w:val="20"/>
              </w:rPr>
            </w:pPr>
            <w:r>
              <w:rPr>
                <w:szCs w:val="20"/>
              </w:rPr>
              <w:t xml:space="preserve">Patient MUST NOT: </w:t>
            </w:r>
          </w:p>
          <w:p w14:paraId="403F2CEF" w14:textId="77777777" w:rsidR="00600109" w:rsidRDefault="00600109" w:rsidP="00036FFE">
            <w:pPr>
              <w:pStyle w:val="Tabletext"/>
              <w:rPr>
                <w:szCs w:val="20"/>
              </w:rPr>
            </w:pPr>
            <w:r w:rsidRPr="00D62985">
              <w:rPr>
                <w:szCs w:val="20"/>
              </w:rPr>
              <w:t xml:space="preserve">Have a mechanical tricuspid valve  </w:t>
            </w:r>
          </w:p>
          <w:p w14:paraId="52AB96C7" w14:textId="77777777" w:rsidR="00600109" w:rsidRDefault="00600109" w:rsidP="00036FFE">
            <w:pPr>
              <w:pStyle w:val="Tabletext"/>
              <w:rPr>
                <w:szCs w:val="20"/>
              </w:rPr>
            </w:pPr>
            <w:r w:rsidRPr="00FA30FE">
              <w:rPr>
                <w:szCs w:val="20"/>
              </w:rPr>
              <w:t xml:space="preserve">Have a PR interval &gt;375 </w:t>
            </w:r>
            <w:proofErr w:type="spellStart"/>
            <w:r w:rsidRPr="00FA30FE">
              <w:rPr>
                <w:szCs w:val="20"/>
              </w:rPr>
              <w:t>ms</w:t>
            </w:r>
            <w:proofErr w:type="spellEnd"/>
          </w:p>
          <w:p w14:paraId="1BC434D9" w14:textId="77777777" w:rsidR="00600109" w:rsidRDefault="00600109" w:rsidP="00036FFE">
            <w:pPr>
              <w:pStyle w:val="Tabletext"/>
              <w:rPr>
                <w:szCs w:val="20"/>
              </w:rPr>
            </w:pPr>
            <w:r w:rsidRPr="00FA30FE">
              <w:rPr>
                <w:szCs w:val="20"/>
              </w:rPr>
              <w:t xml:space="preserve">Have clinically significant ambient ectopy </w:t>
            </w:r>
          </w:p>
          <w:p w14:paraId="28A7E1F0" w14:textId="66D24EF6" w:rsidR="00600109" w:rsidRPr="001D22C9" w:rsidRDefault="00600109" w:rsidP="001D22C9">
            <w:pPr>
              <w:pStyle w:val="Tabletext"/>
              <w:spacing w:after="120"/>
              <w:rPr>
                <w:szCs w:val="20"/>
              </w:rPr>
            </w:pPr>
            <w:r w:rsidRPr="00FA30FE">
              <w:rPr>
                <w:szCs w:val="20"/>
              </w:rPr>
              <w:t>Have a potentially correctible cause of heart failure, such as valvular heart disease or congenital heart disease</w:t>
            </w:r>
          </w:p>
          <w:p w14:paraId="4B936B42" w14:textId="77777777" w:rsidR="00600109" w:rsidRPr="001660F2" w:rsidRDefault="00600109" w:rsidP="00036FFE">
            <w:pPr>
              <w:pStyle w:val="Tabletext"/>
              <w:pBdr>
                <w:bottom w:val="single" w:sz="4" w:space="1" w:color="auto"/>
              </w:pBdr>
              <w:rPr>
                <w:szCs w:val="20"/>
                <w:lang w:eastAsia="ja-JP"/>
              </w:rPr>
            </w:pPr>
            <w:r w:rsidRPr="001660F2">
              <w:rPr>
                <w:b/>
                <w:szCs w:val="20"/>
                <w:lang w:eastAsia="ja-JP"/>
              </w:rPr>
              <w:t>Fee</w:t>
            </w:r>
            <w:r w:rsidRPr="001660F2">
              <w:rPr>
                <w:szCs w:val="20"/>
                <w:lang w:eastAsia="ja-JP"/>
              </w:rPr>
              <w:t xml:space="preserve">: $255.45 </w:t>
            </w:r>
            <w:r w:rsidRPr="001660F2">
              <w:rPr>
                <w:b/>
                <w:szCs w:val="20"/>
                <w:lang w:eastAsia="ja-JP"/>
              </w:rPr>
              <w:t>Benefit</w:t>
            </w:r>
            <w:r w:rsidRPr="001660F2">
              <w:rPr>
                <w:szCs w:val="20"/>
                <w:lang w:eastAsia="ja-JP"/>
              </w:rPr>
              <w:t>: 75% = $191.60</w:t>
            </w:r>
          </w:p>
          <w:p w14:paraId="7186B038" w14:textId="77777777" w:rsidR="00600109" w:rsidRPr="001660F2" w:rsidRDefault="00600109" w:rsidP="00036FFE">
            <w:pPr>
              <w:pStyle w:val="Tabletext"/>
              <w:rPr>
                <w:szCs w:val="20"/>
                <w:lang w:val="en-US" w:eastAsia="ja-JP"/>
              </w:rPr>
            </w:pPr>
            <w:r w:rsidRPr="001660F2">
              <w:rPr>
                <w:szCs w:val="20"/>
                <w:lang w:val="en-US" w:eastAsia="ja-JP"/>
              </w:rPr>
              <w:t>MBS Item number XXXXX</w:t>
            </w:r>
            <w:r>
              <w:rPr>
                <w:szCs w:val="20"/>
                <w:lang w:val="en-US" w:eastAsia="ja-JP"/>
              </w:rPr>
              <w:t xml:space="preserve"> </w:t>
            </w:r>
            <w:r w:rsidRPr="008509D1">
              <w:rPr>
                <w:color w:val="FF0000"/>
                <w:lang w:eastAsia="ja-JP"/>
              </w:rPr>
              <w:t xml:space="preserve"> B</w:t>
            </w:r>
          </w:p>
          <w:p w14:paraId="00781BBB" w14:textId="46B8761D" w:rsidR="00600109" w:rsidRPr="001660F2" w:rsidRDefault="00600109" w:rsidP="001D22C9">
            <w:pPr>
              <w:pStyle w:val="Tabletext"/>
              <w:spacing w:after="120"/>
              <w:rPr>
                <w:szCs w:val="20"/>
                <w:lang w:val="en-US" w:eastAsia="ja-JP"/>
              </w:rPr>
            </w:pPr>
            <w:r w:rsidRPr="001660F2">
              <w:rPr>
                <w:szCs w:val="20"/>
                <w:lang w:eastAsia="ja-JP"/>
              </w:rPr>
              <w:t xml:space="preserve">The permanent insertion, removal or </w:t>
            </w:r>
            <w:r w:rsidRPr="006B3D8C">
              <w:rPr>
                <w:szCs w:val="20"/>
                <w:lang w:eastAsia="ja-JP"/>
              </w:rPr>
              <w:t>replacement of two bipolar leads (two leads in the right ventricle)</w:t>
            </w:r>
            <w:r w:rsidRPr="006B3D8C">
              <w:rPr>
                <w:szCs w:val="20"/>
                <w:lang w:val="en-US" w:eastAsia="ja-JP"/>
              </w:rPr>
              <w:t>. All leads</w:t>
            </w:r>
            <w:r w:rsidRPr="001660F2">
              <w:rPr>
                <w:szCs w:val="20"/>
                <w:lang w:val="en-US" w:eastAsia="ja-JP"/>
              </w:rPr>
              <w:t xml:space="preserve"> are connected</w:t>
            </w:r>
            <w:r w:rsidRPr="001660F2">
              <w:rPr>
                <w:szCs w:val="20"/>
                <w:lang w:eastAsia="ja-JP"/>
              </w:rPr>
              <w:t xml:space="preserve"> to the Cardiac Contractility Modulation (CCM) </w:t>
            </w:r>
            <w:r w:rsidRPr="001660F2">
              <w:rPr>
                <w:szCs w:val="20"/>
                <w:lang w:val="en-US" w:eastAsia="ja-JP"/>
              </w:rPr>
              <w:t>Implantable Pulse Generator</w:t>
            </w:r>
            <w:r w:rsidRPr="001660F2">
              <w:rPr>
                <w:szCs w:val="20"/>
                <w:lang w:eastAsia="ja-JP"/>
              </w:rPr>
              <w:t xml:space="preserve"> (IPG)</w:t>
            </w:r>
            <w:r w:rsidRPr="001660F2">
              <w:rPr>
                <w:szCs w:val="20"/>
                <w:lang w:val="en-US" w:eastAsia="ja-JP"/>
              </w:rPr>
              <w:t>.</w:t>
            </w:r>
          </w:p>
          <w:p w14:paraId="1ACC9812" w14:textId="77777777" w:rsidR="00600109" w:rsidRPr="001660F2" w:rsidRDefault="00600109" w:rsidP="00036FFE">
            <w:pPr>
              <w:pStyle w:val="Tabletext"/>
              <w:rPr>
                <w:szCs w:val="20"/>
                <w:lang w:val="en-US" w:eastAsia="ja-JP"/>
              </w:rPr>
            </w:pPr>
            <w:r w:rsidRPr="001660F2">
              <w:rPr>
                <w:b/>
                <w:szCs w:val="20"/>
                <w:lang w:val="en-US" w:eastAsia="ja-JP"/>
              </w:rPr>
              <w:t>Fee</w:t>
            </w:r>
            <w:r w:rsidRPr="001660F2">
              <w:rPr>
                <w:szCs w:val="20"/>
                <w:lang w:val="en-US" w:eastAsia="ja-JP"/>
              </w:rPr>
              <w:t>: $</w:t>
            </w:r>
            <w:r>
              <w:rPr>
                <w:szCs w:val="20"/>
                <w:lang w:val="en-US" w:eastAsia="ja-JP"/>
              </w:rPr>
              <w:t xml:space="preserve">837.35 </w:t>
            </w:r>
            <w:r w:rsidRPr="001660F2">
              <w:rPr>
                <w:b/>
                <w:szCs w:val="20"/>
                <w:lang w:val="en-US" w:eastAsia="ja-JP"/>
              </w:rPr>
              <w:t>Benefit</w:t>
            </w:r>
            <w:r w:rsidRPr="001660F2">
              <w:rPr>
                <w:szCs w:val="20"/>
                <w:lang w:val="en-US" w:eastAsia="ja-JP"/>
              </w:rPr>
              <w:t>: 75% = $</w:t>
            </w:r>
            <w:r>
              <w:rPr>
                <w:szCs w:val="20"/>
                <w:lang w:val="en-US" w:eastAsia="ja-JP"/>
              </w:rPr>
              <w:t>628.05</w:t>
            </w:r>
          </w:p>
        </w:tc>
      </w:tr>
      <w:tr w:rsidR="00600109" w:rsidRPr="00183E4D" w:rsidDel="00A134DA" w14:paraId="36EA85F9" w14:textId="77777777" w:rsidTr="00FC13F7">
        <w:tc>
          <w:tcPr>
            <w:tcW w:w="9072" w:type="dxa"/>
          </w:tcPr>
          <w:p w14:paraId="3BF4AAF7" w14:textId="77777777" w:rsidR="00600109" w:rsidRPr="001660F2" w:rsidRDefault="00600109" w:rsidP="00036FFE">
            <w:pPr>
              <w:pStyle w:val="Tabletext"/>
              <w:rPr>
                <w:szCs w:val="20"/>
                <w:lang w:val="en-US" w:eastAsia="ja-JP"/>
              </w:rPr>
            </w:pPr>
            <w:r w:rsidRPr="001660F2">
              <w:rPr>
                <w:szCs w:val="20"/>
                <w:lang w:val="en-US" w:eastAsia="ja-JP"/>
              </w:rPr>
              <w:t>MBS Item number XXXXX</w:t>
            </w:r>
            <w:r>
              <w:rPr>
                <w:szCs w:val="20"/>
                <w:lang w:val="en-US" w:eastAsia="ja-JP"/>
              </w:rPr>
              <w:t xml:space="preserve"> </w:t>
            </w:r>
            <w:r w:rsidRPr="008509D1">
              <w:rPr>
                <w:color w:val="FF0000"/>
                <w:lang w:eastAsia="ja-JP"/>
              </w:rPr>
              <w:t xml:space="preserve"> C</w:t>
            </w:r>
          </w:p>
          <w:p w14:paraId="6E58CDD2" w14:textId="48045FD2" w:rsidR="00600109" w:rsidRPr="001660F2" w:rsidRDefault="00600109" w:rsidP="001D22C9">
            <w:pPr>
              <w:pStyle w:val="Tabletext"/>
              <w:spacing w:after="120"/>
              <w:rPr>
                <w:szCs w:val="20"/>
                <w:lang w:val="en-US" w:eastAsia="ja-JP"/>
              </w:rPr>
            </w:pPr>
            <w:r w:rsidRPr="001660F2">
              <w:rPr>
                <w:szCs w:val="20"/>
                <w:lang w:eastAsia="ja-JP"/>
              </w:rPr>
              <w:t xml:space="preserve">The permanent insertion, removal or replacement of </w:t>
            </w:r>
            <w:r w:rsidRPr="006B3D8C">
              <w:rPr>
                <w:szCs w:val="20"/>
                <w:lang w:eastAsia="ja-JP"/>
              </w:rPr>
              <w:t xml:space="preserve">three bipolar </w:t>
            </w:r>
            <w:r w:rsidRPr="006B3D8C">
              <w:rPr>
                <w:szCs w:val="20"/>
                <w:lang w:val="en-US" w:eastAsia="ja-JP"/>
              </w:rPr>
              <w:t>leads (two leads in the right ventricle</w:t>
            </w:r>
            <w:r>
              <w:rPr>
                <w:szCs w:val="20"/>
                <w:lang w:val="en-US" w:eastAsia="ja-JP"/>
              </w:rPr>
              <w:t xml:space="preserve"> and</w:t>
            </w:r>
            <w:r w:rsidRPr="006B3D8C">
              <w:rPr>
                <w:szCs w:val="20"/>
                <w:lang w:val="en-US" w:eastAsia="ja-JP"/>
              </w:rPr>
              <w:t xml:space="preserve"> one in the right atrium</w:t>
            </w:r>
            <w:r>
              <w:rPr>
                <w:szCs w:val="20"/>
                <w:lang w:val="en-US" w:eastAsia="ja-JP"/>
              </w:rPr>
              <w:t>)</w:t>
            </w:r>
            <w:r w:rsidRPr="006B3D8C">
              <w:rPr>
                <w:szCs w:val="20"/>
                <w:lang w:val="en-US" w:eastAsia="ja-JP"/>
              </w:rPr>
              <w:t>. All leads are connected</w:t>
            </w:r>
            <w:r w:rsidRPr="006B3D8C">
              <w:rPr>
                <w:szCs w:val="20"/>
                <w:lang w:eastAsia="ja-JP"/>
              </w:rPr>
              <w:t xml:space="preserve"> to the Cardiac Contractility Modulation (CCM) </w:t>
            </w:r>
            <w:r w:rsidRPr="006B3D8C">
              <w:rPr>
                <w:szCs w:val="20"/>
                <w:lang w:val="en-US" w:eastAsia="ja-JP"/>
              </w:rPr>
              <w:t>Implantable</w:t>
            </w:r>
            <w:r w:rsidRPr="001660F2">
              <w:rPr>
                <w:szCs w:val="20"/>
                <w:lang w:val="en-US" w:eastAsia="ja-JP"/>
              </w:rPr>
              <w:t xml:space="preserve"> Pulse Generator</w:t>
            </w:r>
            <w:r w:rsidRPr="001660F2">
              <w:rPr>
                <w:szCs w:val="20"/>
                <w:lang w:eastAsia="ja-JP"/>
              </w:rPr>
              <w:t xml:space="preserve"> (IPG)</w:t>
            </w:r>
            <w:r w:rsidRPr="001660F2">
              <w:rPr>
                <w:szCs w:val="20"/>
                <w:lang w:val="en-US" w:eastAsia="ja-JP"/>
              </w:rPr>
              <w:t>.</w:t>
            </w:r>
          </w:p>
          <w:p w14:paraId="5FDCDBD6" w14:textId="77777777" w:rsidR="00600109" w:rsidRPr="001660F2" w:rsidRDefault="00600109" w:rsidP="00036FFE">
            <w:pPr>
              <w:pStyle w:val="Tabletext"/>
              <w:rPr>
                <w:szCs w:val="20"/>
                <w:lang w:val="en-US" w:eastAsia="ja-JP"/>
              </w:rPr>
            </w:pPr>
            <w:r w:rsidRPr="001660F2">
              <w:rPr>
                <w:b/>
                <w:szCs w:val="20"/>
                <w:lang w:val="en-US" w:eastAsia="ja-JP"/>
              </w:rPr>
              <w:t>Fee</w:t>
            </w:r>
            <w:r w:rsidRPr="001660F2">
              <w:rPr>
                <w:szCs w:val="20"/>
                <w:lang w:val="en-US" w:eastAsia="ja-JP"/>
              </w:rPr>
              <w:t>: $</w:t>
            </w:r>
            <w:r>
              <w:rPr>
                <w:szCs w:val="20"/>
                <w:lang w:val="en-US" w:eastAsia="ja-JP"/>
              </w:rPr>
              <w:t>1036.05</w:t>
            </w:r>
            <w:r w:rsidRPr="001660F2">
              <w:rPr>
                <w:szCs w:val="20"/>
                <w:lang w:val="en-US" w:eastAsia="ja-JP"/>
              </w:rPr>
              <w:t xml:space="preserve"> </w:t>
            </w:r>
            <w:r w:rsidRPr="001660F2">
              <w:rPr>
                <w:b/>
                <w:szCs w:val="20"/>
                <w:lang w:val="en-US" w:eastAsia="ja-JP"/>
              </w:rPr>
              <w:t>Benefit</w:t>
            </w:r>
            <w:r w:rsidRPr="001660F2">
              <w:rPr>
                <w:szCs w:val="20"/>
                <w:lang w:val="en-US" w:eastAsia="ja-JP"/>
              </w:rPr>
              <w:t>: 75% = $</w:t>
            </w:r>
            <w:r>
              <w:rPr>
                <w:szCs w:val="20"/>
                <w:lang w:val="en-US" w:eastAsia="ja-JP"/>
              </w:rPr>
              <w:t>777.05</w:t>
            </w:r>
          </w:p>
        </w:tc>
      </w:tr>
      <w:tr w:rsidR="00600109" w:rsidRPr="00183E4D" w:rsidDel="00A134DA" w14:paraId="5EE2DC64" w14:textId="77777777" w:rsidTr="00FC13F7">
        <w:tc>
          <w:tcPr>
            <w:tcW w:w="9072" w:type="dxa"/>
          </w:tcPr>
          <w:p w14:paraId="5E226424" w14:textId="77777777" w:rsidR="00600109" w:rsidRPr="001660F2" w:rsidRDefault="00600109" w:rsidP="00036FFE">
            <w:pPr>
              <w:pStyle w:val="Tabletext"/>
              <w:rPr>
                <w:szCs w:val="20"/>
                <w:lang w:val="en-US" w:eastAsia="ja-JP"/>
              </w:rPr>
            </w:pPr>
            <w:r w:rsidRPr="001660F2">
              <w:rPr>
                <w:szCs w:val="20"/>
                <w:lang w:val="en-US" w:eastAsia="ja-JP"/>
              </w:rPr>
              <w:t>MBS Item number XXXXX</w:t>
            </w:r>
            <w:r>
              <w:rPr>
                <w:szCs w:val="20"/>
                <w:lang w:val="en-US" w:eastAsia="ja-JP"/>
              </w:rPr>
              <w:t xml:space="preserve"> </w:t>
            </w:r>
            <w:r w:rsidRPr="008509D1">
              <w:rPr>
                <w:color w:val="FF0000"/>
                <w:lang w:eastAsia="ja-JP"/>
              </w:rPr>
              <w:t xml:space="preserve"> D</w:t>
            </w:r>
            <w:r w:rsidRPr="001660F2">
              <w:rPr>
                <w:szCs w:val="20"/>
                <w:lang w:val="en-US" w:eastAsia="ja-JP"/>
              </w:rPr>
              <w:tab/>
            </w:r>
          </w:p>
          <w:p w14:paraId="6868AC3E" w14:textId="77777777" w:rsidR="00600109" w:rsidRPr="001660F2" w:rsidRDefault="00600109" w:rsidP="00036FFE">
            <w:pPr>
              <w:pStyle w:val="Tabletext"/>
              <w:rPr>
                <w:szCs w:val="20"/>
                <w:lang w:val="en-US" w:eastAsia="ja-JP"/>
              </w:rPr>
            </w:pPr>
            <w:r w:rsidRPr="001660F2">
              <w:rPr>
                <w:szCs w:val="20"/>
                <w:lang w:val="en-US" w:eastAsia="ja-JP"/>
              </w:rPr>
              <w:t>Interrogation of the Cardiac Contractility Modulation (CCM) Implantable Pulse Generator (IPG) device for the following:</w:t>
            </w:r>
          </w:p>
          <w:p w14:paraId="12A4A755" w14:textId="77777777" w:rsidR="00600109" w:rsidRPr="00A15661" w:rsidRDefault="00600109" w:rsidP="00036FFE">
            <w:pPr>
              <w:pStyle w:val="Tabletext"/>
              <w:rPr>
                <w:szCs w:val="20"/>
                <w:lang w:val="en-US" w:eastAsia="ja-JP"/>
              </w:rPr>
            </w:pPr>
            <w:r w:rsidRPr="00A15661">
              <w:rPr>
                <w:szCs w:val="20"/>
                <w:lang w:val="en-US" w:eastAsia="ja-JP"/>
              </w:rPr>
              <w:t>Interrogate the IPG device parameters as currently programmed</w:t>
            </w:r>
          </w:p>
          <w:p w14:paraId="51B4356E" w14:textId="77777777" w:rsidR="00600109" w:rsidRPr="00A15661" w:rsidRDefault="00600109" w:rsidP="00036FFE">
            <w:pPr>
              <w:pStyle w:val="Tabletext"/>
              <w:rPr>
                <w:szCs w:val="20"/>
                <w:lang w:val="en-US" w:eastAsia="ja-JP"/>
              </w:rPr>
            </w:pPr>
            <w:r w:rsidRPr="00A15661">
              <w:rPr>
                <w:szCs w:val="20"/>
                <w:lang w:val="en-US" w:eastAsia="ja-JP"/>
              </w:rPr>
              <w:t>Modify the IPG device parameters</w:t>
            </w:r>
          </w:p>
          <w:p w14:paraId="097296BB" w14:textId="77777777" w:rsidR="00600109" w:rsidRPr="00A15661" w:rsidRDefault="00600109" w:rsidP="00036FFE">
            <w:pPr>
              <w:pStyle w:val="Tabletext"/>
              <w:rPr>
                <w:szCs w:val="20"/>
                <w:lang w:val="en-US" w:eastAsia="ja-JP"/>
              </w:rPr>
            </w:pPr>
            <w:r w:rsidRPr="00A15661">
              <w:rPr>
                <w:szCs w:val="20"/>
                <w:lang w:val="en-US" w:eastAsia="ja-JP"/>
              </w:rPr>
              <w:t>Read ECG signals from patient and display for analysis</w:t>
            </w:r>
          </w:p>
          <w:p w14:paraId="0C0D2847" w14:textId="77777777" w:rsidR="00600109" w:rsidRPr="00A15661" w:rsidRDefault="00600109" w:rsidP="00036FFE">
            <w:pPr>
              <w:pStyle w:val="Tabletext"/>
              <w:rPr>
                <w:szCs w:val="20"/>
                <w:lang w:val="en-US" w:eastAsia="ja-JP"/>
              </w:rPr>
            </w:pPr>
            <w:r w:rsidRPr="00A15661">
              <w:rPr>
                <w:szCs w:val="20"/>
                <w:lang w:val="en-US" w:eastAsia="ja-JP"/>
              </w:rPr>
              <w:t>Retrieve statistics accumulated by the IPG device as it operates</w:t>
            </w:r>
          </w:p>
          <w:p w14:paraId="6FCEE2F0" w14:textId="77777777" w:rsidR="00600109" w:rsidRPr="00A15661" w:rsidRDefault="00600109" w:rsidP="00036FFE">
            <w:pPr>
              <w:pStyle w:val="Tabletext"/>
              <w:rPr>
                <w:szCs w:val="20"/>
                <w:lang w:val="en-US" w:eastAsia="ja-JP"/>
              </w:rPr>
            </w:pPr>
            <w:r w:rsidRPr="00A15661">
              <w:rPr>
                <w:szCs w:val="20"/>
                <w:lang w:val="en-US" w:eastAsia="ja-JP"/>
              </w:rPr>
              <w:t>Log the activity of the IPG device</w:t>
            </w:r>
          </w:p>
          <w:p w14:paraId="6EE50566" w14:textId="77777777" w:rsidR="00600109" w:rsidRPr="00A15661" w:rsidRDefault="00600109" w:rsidP="00036FFE">
            <w:pPr>
              <w:pStyle w:val="Tabletext"/>
              <w:rPr>
                <w:szCs w:val="20"/>
                <w:lang w:val="en-US" w:eastAsia="ja-JP"/>
              </w:rPr>
            </w:pPr>
            <w:r w:rsidRPr="00A15661">
              <w:rPr>
                <w:szCs w:val="20"/>
                <w:lang w:val="en-US" w:eastAsia="ja-JP"/>
              </w:rPr>
              <w:t>Store standard programs for future use</w:t>
            </w:r>
          </w:p>
          <w:p w14:paraId="0722B9D5" w14:textId="2795FC6C" w:rsidR="00600109" w:rsidRPr="001660F2" w:rsidRDefault="00600109" w:rsidP="001D22C9">
            <w:pPr>
              <w:pStyle w:val="Tabletext"/>
              <w:spacing w:after="120"/>
              <w:rPr>
                <w:szCs w:val="20"/>
                <w:lang w:val="en-US" w:eastAsia="ja-JP"/>
              </w:rPr>
            </w:pPr>
            <w:r w:rsidRPr="00A15661">
              <w:rPr>
                <w:szCs w:val="20"/>
                <w:lang w:val="en-US" w:eastAsia="ja-JP"/>
              </w:rPr>
              <w:t>Program the IPG device to safe parameter values in emergency situations.</w:t>
            </w:r>
          </w:p>
          <w:p w14:paraId="5A3FDBDF" w14:textId="77777777" w:rsidR="00600109" w:rsidRPr="001660F2" w:rsidRDefault="00600109" w:rsidP="00036FFE">
            <w:pPr>
              <w:pStyle w:val="Tabletext"/>
            </w:pPr>
            <w:r w:rsidRPr="0049479C">
              <w:rPr>
                <w:b/>
                <w:szCs w:val="20"/>
                <w:lang w:val="en-US" w:eastAsia="ja-JP"/>
              </w:rPr>
              <w:t>Fee</w:t>
            </w:r>
            <w:r w:rsidRPr="001660F2">
              <w:rPr>
                <w:szCs w:val="20"/>
                <w:lang w:val="en-US" w:eastAsia="ja-JP"/>
              </w:rPr>
              <w:t xml:space="preserve">: $69.75 </w:t>
            </w:r>
            <w:r w:rsidRPr="0049479C">
              <w:rPr>
                <w:b/>
                <w:szCs w:val="20"/>
                <w:lang w:val="en-US" w:eastAsia="ja-JP"/>
              </w:rPr>
              <w:t>Benefit</w:t>
            </w:r>
            <w:r w:rsidRPr="001660F2">
              <w:rPr>
                <w:szCs w:val="20"/>
                <w:lang w:val="en-US" w:eastAsia="ja-JP"/>
              </w:rPr>
              <w:t>: 75% = $52.35 85% = $59.30</w:t>
            </w:r>
          </w:p>
        </w:tc>
      </w:tr>
    </w:tbl>
    <w:p w14:paraId="269FE1BE" w14:textId="7358CE21" w:rsidR="00196EED" w:rsidRDefault="00196EED" w:rsidP="001D22C9">
      <w:pPr>
        <w:spacing w:before="240" w:after="240"/>
        <w:rPr>
          <w:szCs w:val="24"/>
        </w:rPr>
      </w:pPr>
      <w:r w:rsidRPr="00255EE7">
        <w:rPr>
          <w:szCs w:val="24"/>
        </w:rPr>
        <w:t>The item descriptor proposed in the current resubmission was revised based on the exclusion criteria</w:t>
      </w:r>
      <w:r w:rsidR="00085BBF">
        <w:rPr>
          <w:szCs w:val="24"/>
        </w:rPr>
        <w:t xml:space="preserve"> </w:t>
      </w:r>
      <w:r w:rsidRPr="00255EE7">
        <w:rPr>
          <w:szCs w:val="24"/>
        </w:rPr>
        <w:t xml:space="preserve">of the pivotal trials. This was in response to the MSAC </w:t>
      </w:r>
      <w:r w:rsidR="00C777CA">
        <w:rPr>
          <w:szCs w:val="24"/>
        </w:rPr>
        <w:t>which was</w:t>
      </w:r>
      <w:r w:rsidRPr="00255EE7">
        <w:rPr>
          <w:szCs w:val="24"/>
        </w:rPr>
        <w:t xml:space="preserve"> concerned there remained a large number of exclusion criteria applied to the clinical trial populations by the applicant, which had not been incorporated into the descriptor (PSD 1387.1 2016, p3).</w:t>
      </w:r>
    </w:p>
    <w:p w14:paraId="539A6A24" w14:textId="55349E17" w:rsidR="00600109" w:rsidRPr="00600109" w:rsidRDefault="00600109" w:rsidP="00600109">
      <w:pPr>
        <w:rPr>
          <w:szCs w:val="24"/>
        </w:rPr>
      </w:pPr>
      <w:r w:rsidRPr="00255EE7">
        <w:rPr>
          <w:szCs w:val="24"/>
        </w:rPr>
        <w:t>As per Application 1387.1, the implantation procedure must be performed by a Fellow of the</w:t>
      </w:r>
      <w:r w:rsidR="001D22C9">
        <w:rPr>
          <w:szCs w:val="24"/>
        </w:rPr>
        <w:t xml:space="preserve"> </w:t>
      </w:r>
      <w:r w:rsidRPr="00255EE7">
        <w:rPr>
          <w:szCs w:val="24"/>
        </w:rPr>
        <w:t>Royal Australasian College of Physicians (FRACP) with specialty training in cardiology. This could include physicians with specialist training in electrophysiology or interventional cardiology. It is proposed that the insertion of the Optimizer® Smart device will be delivered in either an inpatient private or public hospital setting and requires one overnight hospital stay.</w:t>
      </w:r>
    </w:p>
    <w:p w14:paraId="65E6D585" w14:textId="77777777" w:rsidR="00BC1364" w:rsidRPr="00F715D1" w:rsidRDefault="00BC1364" w:rsidP="00F715D1">
      <w:pPr>
        <w:pStyle w:val="Heading1"/>
      </w:pPr>
      <w:r w:rsidRPr="00F715D1">
        <w:lastRenderedPageBreak/>
        <w:t xml:space="preserve">Summary of </w:t>
      </w:r>
      <w:r w:rsidR="003D7F29" w:rsidRPr="00F715D1">
        <w:t>Public Consultation</w:t>
      </w:r>
      <w:r w:rsidRPr="00F715D1">
        <w:t xml:space="preserve"> Feedback</w:t>
      </w:r>
      <w:r w:rsidR="003D7F29" w:rsidRPr="00F715D1">
        <w:t>/Consumer Issues</w:t>
      </w:r>
    </w:p>
    <w:p w14:paraId="639A457A" w14:textId="77777777" w:rsidR="00B16F78" w:rsidRPr="00255EE7" w:rsidRDefault="00B16F78" w:rsidP="00B16F78">
      <w:pPr>
        <w:rPr>
          <w:szCs w:val="24"/>
        </w:rPr>
      </w:pPr>
      <w:r w:rsidRPr="00255EE7">
        <w:rPr>
          <w:szCs w:val="24"/>
        </w:rPr>
        <w:t>The current resubmission provided clinical endorsement of CCM therapy from individual cardiologists; this was supportive of funding for CCM therapy noting improvements in quality of life, symptoms and LVEF in patients with heart failure.</w:t>
      </w:r>
      <w:r>
        <w:rPr>
          <w:szCs w:val="24"/>
        </w:rPr>
        <w:t xml:space="preserve"> There was no public consultation feedback.</w:t>
      </w:r>
    </w:p>
    <w:p w14:paraId="30684452" w14:textId="77777777" w:rsidR="00BC1364" w:rsidRDefault="00BC1364" w:rsidP="00F715D1">
      <w:pPr>
        <w:pStyle w:val="Heading1"/>
      </w:pPr>
      <w:r w:rsidRPr="00F715D1">
        <w:t>Proposed intervention’s place in clinical management</w:t>
      </w:r>
    </w:p>
    <w:p w14:paraId="2B11BFF4" w14:textId="58AD4BA0" w:rsidR="00B16F78" w:rsidRPr="00255EE7" w:rsidRDefault="00B16F78" w:rsidP="00FC717C">
      <w:r w:rsidRPr="00255EE7">
        <w:t xml:space="preserve">The clinical treatment algorithm and the proposed place of CCM therapy (outlined in red) is shown in </w:t>
      </w:r>
      <w:r w:rsidR="00E14BA7">
        <w:t xml:space="preserve">Figure 1. </w:t>
      </w:r>
      <w:bookmarkStart w:id="3" w:name="_GoBack"/>
      <w:bookmarkEnd w:id="3"/>
      <w:r w:rsidRPr="00FC717C">
        <w:t>The</w:t>
      </w:r>
      <w:r w:rsidRPr="00255EE7">
        <w:t xml:space="preserve"> current resubmission states that CCM therapy is currently the only treatment option for approximately 70% of HF patients with advanced HF symptoms who are inadequately controlled on OMT and have normal QRS duration. These patients are ineligible for cardiac resynchronisation therapy (CRT) as CRT is indicated for symptomatic HF patients with QRS duration of ≥120 </w:t>
      </w:r>
      <w:proofErr w:type="spellStart"/>
      <w:proofErr w:type="gramStart"/>
      <w:r w:rsidRPr="00255EE7">
        <w:t>ms</w:t>
      </w:r>
      <w:proofErr w:type="spellEnd"/>
      <w:proofErr w:type="gramEnd"/>
      <w:r w:rsidRPr="00255EE7">
        <w:t>. CCM would be delivered in addition to OMT.</w:t>
      </w:r>
    </w:p>
    <w:p w14:paraId="25035AD9" w14:textId="0EEB0A52" w:rsidR="00C10752" w:rsidRPr="00714FC5" w:rsidRDefault="00C10752" w:rsidP="00714FC5">
      <w:pPr>
        <w:pStyle w:val="Tablenotes"/>
        <w:ind w:left="0" w:firstLine="0"/>
      </w:pPr>
      <w:r>
        <w:rPr>
          <w:noProof/>
        </w:rPr>
        <w:drawing>
          <wp:inline distT="0" distB="0" distL="0" distR="0" wp14:anchorId="69F7A615" wp14:editId="226D3C19">
            <wp:extent cx="5731510" cy="6332855"/>
            <wp:effectExtent l="0" t="0" r="2540" b="0"/>
            <wp:docPr id="3" name="Picture 3" descr="Clinical management algorithm for heart failure patients which shows the proposed place for CCM is for patients with NYHA class III with LVEF greater than or equal to 25% and less than or equal to 45%" title="Clinical management algorithm for CCM therapy in patients with C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6332855"/>
                    </a:xfrm>
                    <a:prstGeom prst="rect">
                      <a:avLst/>
                    </a:prstGeom>
                  </pic:spPr>
                </pic:pic>
              </a:graphicData>
            </a:graphic>
          </wp:inline>
        </w:drawing>
      </w:r>
    </w:p>
    <w:p w14:paraId="696E3A9E" w14:textId="00B38549" w:rsidR="00BC1364" w:rsidRPr="00F715D1" w:rsidRDefault="00C10752" w:rsidP="00714FC5">
      <w:pPr>
        <w:pStyle w:val="Heading1"/>
        <w:keepNext w:val="0"/>
        <w:keepLines w:val="0"/>
      </w:pPr>
      <w:r>
        <w:lastRenderedPageBreak/>
        <w:t>Comparator</w:t>
      </w:r>
    </w:p>
    <w:p w14:paraId="44CBB629" w14:textId="322B98BE" w:rsidR="00196EED" w:rsidRDefault="00196EED" w:rsidP="00714FC5">
      <w:r w:rsidRPr="00255EE7">
        <w:rPr>
          <w:szCs w:val="24"/>
        </w:rPr>
        <w:t xml:space="preserve">The comparator proposed by the current resubmission for CCM therapy is failed OMT, which was previously considered to be an appropriate comparator (for CCM therapy) by MSAC in the first and second submissions (PSD 1387.1 2016, p8). This is </w:t>
      </w:r>
      <w:r>
        <w:rPr>
          <w:szCs w:val="24"/>
        </w:rPr>
        <w:t>because</w:t>
      </w:r>
      <w:r w:rsidRPr="00255EE7">
        <w:rPr>
          <w:szCs w:val="24"/>
        </w:rPr>
        <w:t xml:space="preserve"> there are currently no alternative treatment options for the patient population with normal QRS duration, and patients would continue to have symptomatic heart failure that may worsen if not managed appropriately. Failed OMT would include the use of diuretics followed by an angiotensin-converting-enzyme inhibitor (ACE) inhibitor and a beta-blocker. For those patients who cannot tolerate an ACE inhibitor, an angiotensin receptor blocker (ARB) would be added. Some patients will also be treated with an add-on aldosterone antagonist.</w:t>
      </w:r>
    </w:p>
    <w:p w14:paraId="561818E9" w14:textId="77777777" w:rsidR="00BC1364" w:rsidRPr="00F715D1" w:rsidRDefault="00BC1364" w:rsidP="00F715D1">
      <w:pPr>
        <w:pStyle w:val="Heading1"/>
      </w:pPr>
      <w:r w:rsidRPr="00F715D1">
        <w:t>Comparative safety</w:t>
      </w:r>
    </w:p>
    <w:p w14:paraId="6036D00F" w14:textId="50542B7E" w:rsidR="001B18ED" w:rsidRPr="00255EE7" w:rsidRDefault="001B18ED" w:rsidP="001D22C9">
      <w:pPr>
        <w:spacing w:after="240"/>
        <w:rPr>
          <w:szCs w:val="24"/>
        </w:rPr>
      </w:pPr>
      <w:r w:rsidRPr="00255EE7">
        <w:rPr>
          <w:szCs w:val="24"/>
        </w:rPr>
        <w:t>The current resubmission includes three pivotal trials that were included in Application 1387.1: FIX-HF-5, FIX-HF-5 Pilot, and FIX-CHF-4. An additional (fourth) pivotal trial, FIX-HF-5C (intervention n=74; control, n = 86), is included in the current resubmission.</w:t>
      </w:r>
    </w:p>
    <w:p w14:paraId="610E401A" w14:textId="126EF0BC" w:rsidR="001B18ED" w:rsidRDefault="001B18ED" w:rsidP="001D22C9">
      <w:pPr>
        <w:spacing w:after="240"/>
        <w:rPr>
          <w:szCs w:val="24"/>
        </w:rPr>
      </w:pPr>
      <w:r w:rsidRPr="00255EE7">
        <w:rPr>
          <w:szCs w:val="24"/>
        </w:rPr>
        <w:t xml:space="preserve">In addition to the pivotal trials, five supplementary long-term or safety analyses comparing CCM therapy to OMT and the MAGGIC study and Seattle Heart Failure Model were identified and presented in the previous resubmission and have also been included in the current resubmission as supplementary studies – Liu </w:t>
      </w:r>
      <w:r w:rsidRPr="00255EE7">
        <w:rPr>
          <w:i/>
          <w:szCs w:val="24"/>
        </w:rPr>
        <w:t>et al.</w:t>
      </w:r>
      <w:r w:rsidRPr="00255EE7">
        <w:rPr>
          <w:szCs w:val="24"/>
        </w:rPr>
        <w:t xml:space="preserve"> (2016), </w:t>
      </w:r>
      <w:proofErr w:type="spellStart"/>
      <w:r w:rsidRPr="00255EE7">
        <w:rPr>
          <w:szCs w:val="24"/>
        </w:rPr>
        <w:t>Kuschyk</w:t>
      </w:r>
      <w:proofErr w:type="spellEnd"/>
      <w:r w:rsidRPr="00255EE7">
        <w:rPr>
          <w:szCs w:val="24"/>
        </w:rPr>
        <w:t xml:space="preserve"> </w:t>
      </w:r>
      <w:r w:rsidRPr="00255EE7">
        <w:rPr>
          <w:i/>
          <w:szCs w:val="24"/>
        </w:rPr>
        <w:t>et al.</w:t>
      </w:r>
      <w:r w:rsidRPr="00255EE7">
        <w:rPr>
          <w:szCs w:val="24"/>
        </w:rPr>
        <w:t xml:space="preserve"> (2015), </w:t>
      </w:r>
      <w:proofErr w:type="spellStart"/>
      <w:r w:rsidRPr="00255EE7">
        <w:rPr>
          <w:szCs w:val="24"/>
        </w:rPr>
        <w:t>Kloppe</w:t>
      </w:r>
      <w:proofErr w:type="spellEnd"/>
      <w:r w:rsidRPr="00255EE7">
        <w:rPr>
          <w:szCs w:val="24"/>
        </w:rPr>
        <w:t xml:space="preserve"> </w:t>
      </w:r>
      <w:r w:rsidRPr="00255EE7">
        <w:rPr>
          <w:i/>
          <w:szCs w:val="24"/>
        </w:rPr>
        <w:t>et al.</w:t>
      </w:r>
      <w:r w:rsidRPr="00255EE7">
        <w:rPr>
          <w:szCs w:val="24"/>
        </w:rPr>
        <w:t xml:space="preserve"> (2016), Roger </w:t>
      </w:r>
      <w:r w:rsidRPr="00255EE7">
        <w:rPr>
          <w:i/>
          <w:szCs w:val="24"/>
        </w:rPr>
        <w:t>et al.</w:t>
      </w:r>
      <w:r w:rsidRPr="00255EE7">
        <w:rPr>
          <w:szCs w:val="24"/>
        </w:rPr>
        <w:t xml:space="preserve"> (2014), and </w:t>
      </w:r>
      <w:proofErr w:type="spellStart"/>
      <w:r w:rsidRPr="00255EE7">
        <w:rPr>
          <w:szCs w:val="24"/>
        </w:rPr>
        <w:t>Schau</w:t>
      </w:r>
      <w:proofErr w:type="spellEnd"/>
      <w:r w:rsidRPr="00255EE7">
        <w:rPr>
          <w:szCs w:val="24"/>
        </w:rPr>
        <w:t xml:space="preserve"> </w:t>
      </w:r>
      <w:r w:rsidRPr="00255EE7">
        <w:rPr>
          <w:i/>
          <w:szCs w:val="24"/>
        </w:rPr>
        <w:t>et al.</w:t>
      </w:r>
      <w:r w:rsidRPr="00255EE7">
        <w:rPr>
          <w:szCs w:val="24"/>
        </w:rPr>
        <w:t xml:space="preserve"> (2011). One new safety study (Roger </w:t>
      </w:r>
      <w:r w:rsidRPr="00255EE7">
        <w:rPr>
          <w:i/>
          <w:szCs w:val="24"/>
        </w:rPr>
        <w:t>et al.</w:t>
      </w:r>
      <w:r w:rsidRPr="00255EE7">
        <w:rPr>
          <w:szCs w:val="24"/>
        </w:rPr>
        <w:t xml:space="preserve"> (2018)) has also been included. Two new long-term (3 year follow-up), real-world, prospective registry studies (CCM-HF; n=143) and CCM-REG; n=140) were also included. The meta-analyses from the previous resubmission are also included in the current resubmission. The Critique stated the main issues identified with the evidence base are the inherent risk of bias associated with open label trial design (FIX-HF-5C trial) and the limited long-term follow-up (beyond 24 weeks) for RCT data on comparative safety and effectiveness outcomes.</w:t>
      </w:r>
    </w:p>
    <w:p w14:paraId="6AA8EF22" w14:textId="075844DE" w:rsidR="001B18ED" w:rsidRDefault="001B18ED" w:rsidP="001D22C9">
      <w:pPr>
        <w:spacing w:after="240"/>
        <w:rPr>
          <w:szCs w:val="24"/>
        </w:rPr>
      </w:pPr>
      <w:r w:rsidRPr="00255EE7">
        <w:rPr>
          <w:szCs w:val="24"/>
        </w:rPr>
        <w:t xml:space="preserve">Device-related adverse events were generally rarely reported in the evidence. The most commonly reported serious adverse events were worsening heart failure, arrhythmia, </w:t>
      </w:r>
      <w:proofErr w:type="gramStart"/>
      <w:r w:rsidRPr="00255EE7">
        <w:rPr>
          <w:szCs w:val="24"/>
        </w:rPr>
        <w:t>general</w:t>
      </w:r>
      <w:proofErr w:type="gramEnd"/>
      <w:r w:rsidRPr="00255EE7">
        <w:rPr>
          <w:szCs w:val="24"/>
        </w:rPr>
        <w:t xml:space="preserve"> cardiopulmonary and general medical events. No statistical difference in rates of serious adverse events between CCM and OMT groups were found (see </w:t>
      </w:r>
      <w:r w:rsidR="005F5988" w:rsidRPr="00FC717C">
        <w:rPr>
          <w:szCs w:val="24"/>
        </w:rPr>
        <w:fldChar w:fldCharType="begin"/>
      </w:r>
      <w:r w:rsidR="005F5988" w:rsidRPr="00FC717C">
        <w:rPr>
          <w:szCs w:val="24"/>
        </w:rPr>
        <w:instrText xml:space="preserve"> REF _Ref9499222 \h </w:instrText>
      </w:r>
      <w:r w:rsidR="00FC717C" w:rsidRPr="00FC717C">
        <w:rPr>
          <w:szCs w:val="24"/>
        </w:rPr>
        <w:instrText xml:space="preserve"> \* MERGEFORMAT </w:instrText>
      </w:r>
      <w:r w:rsidR="005F5988" w:rsidRPr="00FC717C">
        <w:rPr>
          <w:szCs w:val="24"/>
        </w:rPr>
      </w:r>
      <w:r w:rsidR="005F5988" w:rsidRPr="00FC717C">
        <w:rPr>
          <w:szCs w:val="24"/>
        </w:rPr>
        <w:fldChar w:fldCharType="separate"/>
      </w:r>
      <w:r w:rsidR="00E14BA7" w:rsidRPr="00E14BA7">
        <w:rPr>
          <w:szCs w:val="24"/>
        </w:rPr>
        <w:t xml:space="preserve">Table </w:t>
      </w:r>
      <w:r w:rsidR="00E14BA7" w:rsidRPr="00E14BA7">
        <w:rPr>
          <w:noProof/>
          <w:szCs w:val="24"/>
        </w:rPr>
        <w:t>2</w:t>
      </w:r>
      <w:r w:rsidR="005F5988" w:rsidRPr="00FC717C">
        <w:rPr>
          <w:szCs w:val="24"/>
        </w:rPr>
        <w:fldChar w:fldCharType="end"/>
      </w:r>
      <w:r w:rsidRPr="00FC717C">
        <w:rPr>
          <w:szCs w:val="24"/>
        </w:rPr>
        <w:t>).</w:t>
      </w:r>
    </w:p>
    <w:p w14:paraId="6DEAC87C" w14:textId="3BEA6BE3" w:rsidR="001B18ED" w:rsidRPr="006674F7" w:rsidRDefault="001B18ED" w:rsidP="006674F7">
      <w:pPr>
        <w:rPr>
          <w:rFonts w:ascii="Arial Narrow" w:hAnsi="Arial Narrow"/>
          <w:b/>
          <w:sz w:val="20"/>
        </w:rPr>
      </w:pPr>
      <w:bookmarkStart w:id="4" w:name="_Ref9499222"/>
      <w:r w:rsidRPr="006674F7">
        <w:rPr>
          <w:rFonts w:ascii="Arial Narrow" w:hAnsi="Arial Narrow"/>
          <w:b/>
          <w:sz w:val="20"/>
        </w:rPr>
        <w:t xml:space="preserve">Table </w:t>
      </w:r>
      <w:r w:rsidRPr="006674F7">
        <w:rPr>
          <w:rFonts w:ascii="Arial Narrow" w:hAnsi="Arial Narrow"/>
          <w:b/>
          <w:sz w:val="20"/>
        </w:rPr>
        <w:fldChar w:fldCharType="begin"/>
      </w:r>
      <w:r w:rsidRPr="006674F7">
        <w:rPr>
          <w:rFonts w:ascii="Arial Narrow" w:hAnsi="Arial Narrow"/>
          <w:b/>
          <w:sz w:val="20"/>
        </w:rPr>
        <w:instrText xml:space="preserve"> SEQ Table \* ARABIC </w:instrText>
      </w:r>
      <w:r w:rsidRPr="006674F7">
        <w:rPr>
          <w:rFonts w:ascii="Arial Narrow" w:hAnsi="Arial Narrow"/>
          <w:b/>
          <w:sz w:val="20"/>
        </w:rPr>
        <w:fldChar w:fldCharType="separate"/>
      </w:r>
      <w:r w:rsidR="00E14BA7">
        <w:rPr>
          <w:rFonts w:ascii="Arial Narrow" w:hAnsi="Arial Narrow"/>
          <w:b/>
          <w:noProof/>
          <w:sz w:val="20"/>
        </w:rPr>
        <w:t>2</w:t>
      </w:r>
      <w:r w:rsidRPr="006674F7">
        <w:rPr>
          <w:rFonts w:ascii="Arial Narrow" w:hAnsi="Arial Narrow"/>
          <w:b/>
          <w:sz w:val="20"/>
        </w:rPr>
        <w:fldChar w:fldCharType="end"/>
      </w:r>
      <w:bookmarkEnd w:id="4"/>
      <w:r w:rsidRPr="006674F7">
        <w:rPr>
          <w:rFonts w:ascii="Arial Narrow" w:hAnsi="Arial Narrow"/>
          <w:b/>
          <w:sz w:val="20"/>
        </w:rPr>
        <w:tab/>
        <w:t xml:space="preserve"> Balance of clinical benefits and harms of CCM therapy, relative to OMT (new studies only)</w:t>
      </w:r>
    </w:p>
    <w:tbl>
      <w:tblPr>
        <w:tblStyle w:val="Leftjustified"/>
        <w:tblW w:w="0" w:type="auto"/>
        <w:tblLook w:val="04A0" w:firstRow="1" w:lastRow="0" w:firstColumn="1" w:lastColumn="0" w:noHBand="0" w:noVBand="1"/>
        <w:tblCaption w:val="Balance of clinical benefits and harms of CCM therapy, relative to OMT, and as measured by the critical patient-relevant outcomes in the key studies (new studies only) "/>
        <w:tblDescription w:val="Summary of findings table"/>
      </w:tblPr>
      <w:tblGrid>
        <w:gridCol w:w="2254"/>
        <w:gridCol w:w="1155"/>
        <w:gridCol w:w="992"/>
        <w:gridCol w:w="1271"/>
        <w:gridCol w:w="850"/>
        <w:gridCol w:w="1131"/>
        <w:gridCol w:w="1363"/>
      </w:tblGrid>
      <w:tr w:rsidR="001B18ED" w14:paraId="1F57AA90" w14:textId="77777777" w:rsidTr="00C10752">
        <w:trPr>
          <w:cnfStyle w:val="100000000000" w:firstRow="1" w:lastRow="0" w:firstColumn="0" w:lastColumn="0" w:oddVBand="0" w:evenVBand="0" w:oddHBand="0" w:evenHBand="0" w:firstRowFirstColumn="0" w:firstRowLastColumn="0" w:lastRowFirstColumn="0" w:lastRowLastColumn="0"/>
          <w:tblHeader/>
        </w:trPr>
        <w:tc>
          <w:tcPr>
            <w:tcW w:w="2263" w:type="dxa"/>
          </w:tcPr>
          <w:p w14:paraId="631A34C8" w14:textId="77777777" w:rsidR="001B18ED" w:rsidRPr="005922DB" w:rsidRDefault="001B18ED" w:rsidP="00036FFE">
            <w:pPr>
              <w:pStyle w:val="Tabletext"/>
              <w:rPr>
                <w:b/>
              </w:rPr>
            </w:pPr>
            <w:r w:rsidRPr="005922DB">
              <w:rPr>
                <w:b/>
              </w:rPr>
              <w:t>Outcomes (units)</w:t>
            </w:r>
          </w:p>
          <w:p w14:paraId="7F67C0AF" w14:textId="77777777" w:rsidR="001B18ED" w:rsidRPr="005922DB" w:rsidRDefault="001B18ED" w:rsidP="00036FFE">
            <w:pPr>
              <w:pStyle w:val="Tabletext"/>
              <w:rPr>
                <w:b/>
              </w:rPr>
            </w:pPr>
            <w:r w:rsidRPr="005922DB">
              <w:rPr>
                <w:b/>
              </w:rPr>
              <w:t>Follow-up</w:t>
            </w:r>
          </w:p>
        </w:tc>
        <w:tc>
          <w:tcPr>
            <w:tcW w:w="1134" w:type="dxa"/>
          </w:tcPr>
          <w:p w14:paraId="4A57E638" w14:textId="77777777" w:rsidR="001B18ED" w:rsidRPr="005922DB" w:rsidRDefault="001B18ED" w:rsidP="00036FFE">
            <w:pPr>
              <w:pStyle w:val="Tabletext"/>
              <w:rPr>
                <w:b/>
              </w:rPr>
            </w:pPr>
            <w:r w:rsidRPr="005922DB">
              <w:rPr>
                <w:b/>
              </w:rPr>
              <w:t>Participants (studies)</w:t>
            </w:r>
          </w:p>
          <w:p w14:paraId="2927DADF" w14:textId="77777777" w:rsidR="001B18ED" w:rsidRPr="005922DB" w:rsidRDefault="001B18ED" w:rsidP="00036FFE">
            <w:pPr>
              <w:pStyle w:val="Tabletext"/>
              <w:rPr>
                <w:b/>
              </w:rPr>
            </w:pPr>
          </w:p>
        </w:tc>
        <w:tc>
          <w:tcPr>
            <w:tcW w:w="993" w:type="dxa"/>
          </w:tcPr>
          <w:p w14:paraId="79045F65" w14:textId="77777777" w:rsidR="001B18ED" w:rsidRPr="005922DB" w:rsidRDefault="001B18ED" w:rsidP="00036FFE">
            <w:pPr>
              <w:pStyle w:val="Tabletext"/>
              <w:rPr>
                <w:b/>
              </w:rPr>
            </w:pPr>
            <w:r w:rsidRPr="005922DB">
              <w:rPr>
                <w:b/>
              </w:rPr>
              <w:t>Quality of evidence (GRADE)</w:t>
            </w:r>
          </w:p>
        </w:tc>
        <w:tc>
          <w:tcPr>
            <w:tcW w:w="1275" w:type="dxa"/>
          </w:tcPr>
          <w:p w14:paraId="37CCA359" w14:textId="77777777" w:rsidR="001B18ED" w:rsidRPr="005922DB" w:rsidRDefault="001B18ED" w:rsidP="00036FFE">
            <w:pPr>
              <w:pStyle w:val="Tabletext"/>
              <w:rPr>
                <w:b/>
              </w:rPr>
            </w:pPr>
            <w:r w:rsidRPr="005922DB">
              <w:rPr>
                <w:b/>
              </w:rPr>
              <w:t>Relative effect (95%CI)</w:t>
            </w:r>
          </w:p>
        </w:tc>
        <w:tc>
          <w:tcPr>
            <w:tcW w:w="851" w:type="dxa"/>
          </w:tcPr>
          <w:p w14:paraId="40A35856" w14:textId="77777777" w:rsidR="001B18ED" w:rsidRPr="005922DB" w:rsidRDefault="001B18ED" w:rsidP="00036FFE">
            <w:pPr>
              <w:pStyle w:val="Tabletext"/>
              <w:rPr>
                <w:b/>
              </w:rPr>
            </w:pPr>
            <w:r w:rsidRPr="005922DB">
              <w:rPr>
                <w:b/>
              </w:rPr>
              <w:t>Risk with OMT</w:t>
            </w:r>
          </w:p>
        </w:tc>
        <w:tc>
          <w:tcPr>
            <w:tcW w:w="1134" w:type="dxa"/>
          </w:tcPr>
          <w:p w14:paraId="5580AE43" w14:textId="77777777" w:rsidR="001B18ED" w:rsidRDefault="001B18ED" w:rsidP="00036FFE">
            <w:pPr>
              <w:pStyle w:val="Tabletext"/>
              <w:rPr>
                <w:b/>
              </w:rPr>
            </w:pPr>
            <w:r w:rsidRPr="005922DB">
              <w:rPr>
                <w:b/>
              </w:rPr>
              <w:t>Risk with CCM therapy</w:t>
            </w:r>
          </w:p>
          <w:p w14:paraId="44AA2412" w14:textId="77777777" w:rsidR="001B18ED" w:rsidRPr="005922DB" w:rsidRDefault="001B18ED" w:rsidP="00036FFE">
            <w:pPr>
              <w:pStyle w:val="Tabletext"/>
              <w:rPr>
                <w:b/>
              </w:rPr>
            </w:pPr>
            <w:r>
              <w:rPr>
                <w:b/>
              </w:rPr>
              <w:t>(95% CI)</w:t>
            </w:r>
            <w:r w:rsidRPr="005922DB">
              <w:rPr>
                <w:b/>
              </w:rPr>
              <w:t xml:space="preserve"> </w:t>
            </w:r>
          </w:p>
        </w:tc>
        <w:tc>
          <w:tcPr>
            <w:tcW w:w="1366" w:type="dxa"/>
          </w:tcPr>
          <w:p w14:paraId="4E369750" w14:textId="77777777" w:rsidR="001B18ED" w:rsidRPr="005922DB" w:rsidRDefault="001B18ED" w:rsidP="00036FFE">
            <w:pPr>
              <w:pStyle w:val="Tabletext"/>
              <w:rPr>
                <w:b/>
              </w:rPr>
            </w:pPr>
            <w:r w:rsidRPr="005922DB">
              <w:rPr>
                <w:b/>
              </w:rPr>
              <w:t>Comments</w:t>
            </w:r>
          </w:p>
        </w:tc>
      </w:tr>
      <w:tr w:rsidR="001B18ED" w14:paraId="376B3CF6" w14:textId="77777777" w:rsidTr="00C10752">
        <w:trPr>
          <w:trHeight w:val="216"/>
        </w:trPr>
        <w:tc>
          <w:tcPr>
            <w:tcW w:w="9016" w:type="dxa"/>
            <w:gridSpan w:val="7"/>
          </w:tcPr>
          <w:p w14:paraId="01370945" w14:textId="77777777" w:rsidR="001B18ED" w:rsidRPr="005F54BB" w:rsidRDefault="001B18ED" w:rsidP="00036FFE">
            <w:pPr>
              <w:pStyle w:val="Tabletext"/>
              <w:rPr>
                <w:rFonts w:cs="Arial"/>
                <w:b/>
                <w:szCs w:val="18"/>
              </w:rPr>
            </w:pPr>
            <w:r w:rsidRPr="005F54BB">
              <w:rPr>
                <w:rFonts w:cs="Arial"/>
                <w:b/>
                <w:szCs w:val="18"/>
              </w:rPr>
              <w:t>Safety</w:t>
            </w:r>
          </w:p>
        </w:tc>
      </w:tr>
      <w:tr w:rsidR="001B18ED" w14:paraId="1A67F6E2" w14:textId="77777777" w:rsidTr="00C10752">
        <w:trPr>
          <w:trHeight w:val="762"/>
        </w:trPr>
        <w:tc>
          <w:tcPr>
            <w:tcW w:w="2263" w:type="dxa"/>
          </w:tcPr>
          <w:p w14:paraId="280E793E" w14:textId="77777777" w:rsidR="001B18ED" w:rsidRPr="005F54BB" w:rsidRDefault="001B18ED" w:rsidP="00036FFE">
            <w:pPr>
              <w:pStyle w:val="Tabletext"/>
              <w:rPr>
                <w:rFonts w:cs="Arial"/>
                <w:szCs w:val="18"/>
              </w:rPr>
            </w:pPr>
            <w:r w:rsidRPr="005F54BB">
              <w:rPr>
                <w:rFonts w:cs="Arial"/>
                <w:szCs w:val="18"/>
              </w:rPr>
              <w:t xml:space="preserve">Proportion of patients without device-related or procedure-related complication </w:t>
            </w:r>
          </w:p>
        </w:tc>
        <w:tc>
          <w:tcPr>
            <w:tcW w:w="1134" w:type="dxa"/>
          </w:tcPr>
          <w:p w14:paraId="4E4E1697" w14:textId="77777777" w:rsidR="001B18ED" w:rsidRPr="005F54BB" w:rsidRDefault="001B18ED" w:rsidP="00036FFE">
            <w:pPr>
              <w:pStyle w:val="Tabletext"/>
              <w:rPr>
                <w:rFonts w:cs="Arial"/>
                <w:szCs w:val="18"/>
              </w:rPr>
            </w:pPr>
            <w:r w:rsidRPr="005F54BB">
              <w:rPr>
                <w:rFonts w:cs="Arial"/>
                <w:szCs w:val="18"/>
              </w:rPr>
              <w:t xml:space="preserve">FIX-HF-5C </w:t>
            </w:r>
          </w:p>
          <w:p w14:paraId="24C57B3E" w14:textId="77777777" w:rsidR="001B18ED" w:rsidRPr="005F54BB" w:rsidRDefault="001B18ED" w:rsidP="00036FFE">
            <w:pPr>
              <w:pStyle w:val="Tabletext"/>
              <w:rPr>
                <w:rFonts w:cs="Arial"/>
                <w:szCs w:val="18"/>
              </w:rPr>
            </w:pPr>
            <w:r w:rsidRPr="005F54BB">
              <w:rPr>
                <w:rFonts w:cs="Arial"/>
                <w:szCs w:val="18"/>
              </w:rPr>
              <w:t>24 weeks</w:t>
            </w:r>
          </w:p>
        </w:tc>
        <w:tc>
          <w:tcPr>
            <w:tcW w:w="993" w:type="dxa"/>
          </w:tcPr>
          <w:p w14:paraId="4715D1F0" w14:textId="77777777" w:rsidR="001B18ED" w:rsidRPr="005F54BB" w:rsidRDefault="001B18ED" w:rsidP="00036FFE">
            <w:pPr>
              <w:pStyle w:val="Tabletext"/>
              <w:rPr>
                <w:rFonts w:cs="Arial"/>
                <w:szCs w:val="18"/>
              </w:rPr>
            </w:pPr>
            <w:r w:rsidRPr="005F54BB">
              <w:rPr>
                <w:rFonts w:ascii="Cambria Math" w:hAnsi="Cambria Math"/>
                <w:color w:val="00B050"/>
              </w:rPr>
              <w:t>⨁⨁⨁⨁</w:t>
            </w:r>
          </w:p>
        </w:tc>
        <w:tc>
          <w:tcPr>
            <w:tcW w:w="1275" w:type="dxa"/>
          </w:tcPr>
          <w:p w14:paraId="2B23CAEA" w14:textId="77777777" w:rsidR="001B18ED" w:rsidRPr="005F54BB" w:rsidRDefault="001B18ED" w:rsidP="00036FFE">
            <w:pPr>
              <w:pStyle w:val="Tabletext"/>
              <w:rPr>
                <w:rFonts w:cs="Arial"/>
                <w:szCs w:val="18"/>
              </w:rPr>
            </w:pPr>
          </w:p>
        </w:tc>
        <w:tc>
          <w:tcPr>
            <w:tcW w:w="851" w:type="dxa"/>
          </w:tcPr>
          <w:p w14:paraId="172C4DF9" w14:textId="77777777" w:rsidR="001B18ED" w:rsidRPr="005F54BB" w:rsidRDefault="001B18ED" w:rsidP="00036FFE">
            <w:pPr>
              <w:pStyle w:val="Tabletext"/>
              <w:rPr>
                <w:rFonts w:cs="Arial"/>
                <w:szCs w:val="18"/>
              </w:rPr>
            </w:pPr>
          </w:p>
        </w:tc>
        <w:tc>
          <w:tcPr>
            <w:tcW w:w="1134" w:type="dxa"/>
          </w:tcPr>
          <w:p w14:paraId="19B81091" w14:textId="77777777" w:rsidR="001B18ED" w:rsidRPr="005F54BB" w:rsidRDefault="001B18ED" w:rsidP="00036FFE">
            <w:pPr>
              <w:pStyle w:val="Tabletext"/>
              <w:rPr>
                <w:rFonts w:cs="Arial"/>
                <w:szCs w:val="18"/>
              </w:rPr>
            </w:pPr>
            <w:r>
              <w:rPr>
                <w:rFonts w:cs="Arial"/>
                <w:szCs w:val="18"/>
              </w:rPr>
              <w:t>89.7% (79.9, 95.8%</w:t>
            </w:r>
            <w:r w:rsidRPr="005F54BB">
              <w:rPr>
                <w:rFonts w:cs="Arial"/>
                <w:szCs w:val="18"/>
              </w:rPr>
              <w:t>)</w:t>
            </w:r>
          </w:p>
        </w:tc>
        <w:tc>
          <w:tcPr>
            <w:tcW w:w="1366" w:type="dxa"/>
          </w:tcPr>
          <w:p w14:paraId="45604C9D" w14:textId="77777777" w:rsidR="001B18ED" w:rsidRPr="005F54BB" w:rsidRDefault="001B18ED" w:rsidP="00036FFE">
            <w:pPr>
              <w:pStyle w:val="Tabletext"/>
              <w:rPr>
                <w:rFonts w:cs="Arial"/>
                <w:szCs w:val="18"/>
              </w:rPr>
            </w:pPr>
            <w:r w:rsidRPr="005F54BB">
              <w:rPr>
                <w:rFonts w:cs="Arial"/>
                <w:szCs w:val="18"/>
              </w:rPr>
              <w:t>Primary safety endpoint met</w:t>
            </w:r>
          </w:p>
        </w:tc>
      </w:tr>
      <w:tr w:rsidR="001B18ED" w14:paraId="3A4DEC7F" w14:textId="77777777" w:rsidTr="00C10752">
        <w:trPr>
          <w:trHeight w:val="762"/>
        </w:trPr>
        <w:tc>
          <w:tcPr>
            <w:tcW w:w="2263" w:type="dxa"/>
          </w:tcPr>
          <w:p w14:paraId="6C4A617E" w14:textId="426FB97A" w:rsidR="001B18ED" w:rsidRPr="005F54BB" w:rsidRDefault="001B18ED" w:rsidP="00036FFE">
            <w:pPr>
              <w:pStyle w:val="Tabletext"/>
              <w:rPr>
                <w:rFonts w:cs="Arial"/>
                <w:szCs w:val="18"/>
              </w:rPr>
            </w:pPr>
            <w:r w:rsidRPr="005F54BB">
              <w:rPr>
                <w:rFonts w:cs="Arial"/>
                <w:szCs w:val="18"/>
              </w:rPr>
              <w:t>Proportion of patients who experienced a serious adverse event</w:t>
            </w:r>
          </w:p>
        </w:tc>
        <w:tc>
          <w:tcPr>
            <w:tcW w:w="1134" w:type="dxa"/>
          </w:tcPr>
          <w:p w14:paraId="7C8B1BC0" w14:textId="77777777" w:rsidR="001B18ED" w:rsidRPr="005F54BB" w:rsidRDefault="001B18ED" w:rsidP="00036FFE">
            <w:pPr>
              <w:pStyle w:val="Tabletext"/>
              <w:rPr>
                <w:rFonts w:cs="Arial"/>
                <w:szCs w:val="18"/>
              </w:rPr>
            </w:pPr>
            <w:r w:rsidRPr="005F54BB">
              <w:rPr>
                <w:rFonts w:cs="Arial"/>
                <w:szCs w:val="18"/>
              </w:rPr>
              <w:t xml:space="preserve">FIX-HF-5C </w:t>
            </w:r>
          </w:p>
          <w:p w14:paraId="7FB4940D" w14:textId="77777777" w:rsidR="001B18ED" w:rsidRPr="005F54BB" w:rsidRDefault="001B18ED" w:rsidP="00036FFE">
            <w:pPr>
              <w:pStyle w:val="Tabletext"/>
              <w:rPr>
                <w:rFonts w:cs="Arial"/>
                <w:szCs w:val="18"/>
              </w:rPr>
            </w:pPr>
            <w:r w:rsidRPr="005F54BB">
              <w:rPr>
                <w:rFonts w:cs="Arial"/>
                <w:szCs w:val="18"/>
              </w:rPr>
              <w:t>24 weeks</w:t>
            </w:r>
          </w:p>
        </w:tc>
        <w:tc>
          <w:tcPr>
            <w:tcW w:w="993" w:type="dxa"/>
          </w:tcPr>
          <w:p w14:paraId="4DA0A7F0" w14:textId="77777777" w:rsidR="001B18ED" w:rsidRPr="005F54BB" w:rsidRDefault="001B18ED" w:rsidP="00036FFE">
            <w:pPr>
              <w:pStyle w:val="Tabletext"/>
              <w:rPr>
                <w:rFonts w:ascii="Cambria Math" w:hAnsi="Cambria Math"/>
                <w:color w:val="00B050"/>
              </w:rPr>
            </w:pPr>
            <w:r w:rsidRPr="005F54BB">
              <w:rPr>
                <w:rFonts w:ascii="Cambria Math" w:hAnsi="Cambria Math"/>
                <w:color w:val="00B050"/>
              </w:rPr>
              <w:t>⨁⨁⨁⨁</w:t>
            </w:r>
          </w:p>
        </w:tc>
        <w:tc>
          <w:tcPr>
            <w:tcW w:w="1275" w:type="dxa"/>
          </w:tcPr>
          <w:p w14:paraId="27578DB6" w14:textId="77777777" w:rsidR="001B18ED" w:rsidRPr="005F54BB" w:rsidRDefault="001B18ED" w:rsidP="00036FFE">
            <w:pPr>
              <w:pStyle w:val="Tabletext"/>
              <w:rPr>
                <w:rFonts w:cs="Arial"/>
                <w:szCs w:val="18"/>
              </w:rPr>
            </w:pPr>
          </w:p>
        </w:tc>
        <w:tc>
          <w:tcPr>
            <w:tcW w:w="851" w:type="dxa"/>
          </w:tcPr>
          <w:p w14:paraId="64E44BB1" w14:textId="77777777" w:rsidR="001B18ED" w:rsidRPr="005F54BB" w:rsidRDefault="001B18ED" w:rsidP="00036FFE">
            <w:pPr>
              <w:pStyle w:val="Tabletext"/>
              <w:rPr>
                <w:rFonts w:cs="Arial"/>
                <w:szCs w:val="18"/>
              </w:rPr>
            </w:pPr>
            <w:r w:rsidRPr="005F54BB">
              <w:rPr>
                <w:rFonts w:cs="Arial"/>
                <w:szCs w:val="18"/>
              </w:rPr>
              <w:t>22.1%</w:t>
            </w:r>
          </w:p>
        </w:tc>
        <w:tc>
          <w:tcPr>
            <w:tcW w:w="1134" w:type="dxa"/>
          </w:tcPr>
          <w:p w14:paraId="2538B792" w14:textId="77777777" w:rsidR="001B18ED" w:rsidRPr="005F54BB" w:rsidRDefault="001B18ED" w:rsidP="00036FFE">
            <w:pPr>
              <w:pStyle w:val="Tabletext"/>
              <w:rPr>
                <w:rFonts w:cs="Arial"/>
                <w:szCs w:val="18"/>
              </w:rPr>
            </w:pPr>
            <w:r w:rsidRPr="005F54BB">
              <w:rPr>
                <w:rFonts w:cs="Arial"/>
                <w:szCs w:val="18"/>
              </w:rPr>
              <w:t>27.0%</w:t>
            </w:r>
          </w:p>
        </w:tc>
        <w:tc>
          <w:tcPr>
            <w:tcW w:w="1366" w:type="dxa"/>
          </w:tcPr>
          <w:p w14:paraId="0BE70F98" w14:textId="77777777" w:rsidR="001B18ED" w:rsidRPr="005F54BB" w:rsidRDefault="001B18ED" w:rsidP="00036FFE">
            <w:pPr>
              <w:pStyle w:val="Tabletext"/>
              <w:rPr>
                <w:rFonts w:cs="Arial"/>
                <w:szCs w:val="18"/>
              </w:rPr>
            </w:pPr>
            <w:r w:rsidRPr="005F54BB">
              <w:rPr>
                <w:rFonts w:cs="Arial"/>
                <w:szCs w:val="18"/>
              </w:rPr>
              <w:t>p=0.58</w:t>
            </w:r>
          </w:p>
        </w:tc>
      </w:tr>
    </w:tbl>
    <w:p w14:paraId="5A769967" w14:textId="77777777" w:rsidR="001B18ED" w:rsidRPr="001B18ED" w:rsidRDefault="001B18ED" w:rsidP="001B18ED">
      <w:pPr>
        <w:pStyle w:val="Tablenotes"/>
        <w:rPr>
          <w:rFonts w:ascii="Times New Roman" w:hAnsi="Times New Roman"/>
        </w:rPr>
      </w:pPr>
      <w:r w:rsidRPr="00B16F78">
        <w:t>CCM = Cardiac Contractility Modulation</w:t>
      </w:r>
      <w:r>
        <w:t>; OMT = optimal medical therapy</w:t>
      </w:r>
    </w:p>
    <w:p w14:paraId="12E7F962" w14:textId="77777777" w:rsidR="00BC1364" w:rsidRPr="00F715D1" w:rsidRDefault="00BC1364" w:rsidP="00F715D1">
      <w:pPr>
        <w:pStyle w:val="Heading1"/>
      </w:pPr>
      <w:r w:rsidRPr="00F715D1">
        <w:lastRenderedPageBreak/>
        <w:t>Comparative effectiveness</w:t>
      </w:r>
    </w:p>
    <w:p w14:paraId="69C8851D" w14:textId="58C18C41" w:rsidR="001B18ED" w:rsidRDefault="001B18ED" w:rsidP="001D22C9">
      <w:pPr>
        <w:spacing w:after="240"/>
        <w:rPr>
          <w:szCs w:val="24"/>
        </w:rPr>
      </w:pPr>
      <w:r w:rsidRPr="00255EE7">
        <w:rPr>
          <w:szCs w:val="24"/>
        </w:rPr>
        <w:t>CCM was associated with statistically significant improvements in six-minute hall-walk test (6MHW), Minnesota living with heart failure questionnaire (MLWHFQ) and NYHA class at 24 weeks follow-up; however wide confidence intervals reflect some uncertainty as to the true magnitude of the effect. No statistical difference in VO</w:t>
      </w:r>
      <w:r w:rsidRPr="00255EE7">
        <w:rPr>
          <w:szCs w:val="24"/>
          <w:vertAlign w:val="subscript"/>
        </w:rPr>
        <w:t>2</w:t>
      </w:r>
      <w:r w:rsidRPr="00255EE7">
        <w:rPr>
          <w:szCs w:val="24"/>
        </w:rPr>
        <w:t xml:space="preserve"> was found (results from FIX-HF-5C trial).</w:t>
      </w:r>
      <w:r w:rsidRPr="00255EE7">
        <w:rPr>
          <w:b/>
          <w:szCs w:val="24"/>
        </w:rPr>
        <w:t xml:space="preserve"> </w:t>
      </w:r>
      <w:r w:rsidRPr="00255EE7">
        <w:rPr>
          <w:szCs w:val="24"/>
        </w:rPr>
        <w:t>Results from the FIX-HF-5 subgroup were consistent with those reported in the FIX-HF-5C trial; however, a statistically significant difference in VO</w:t>
      </w:r>
      <w:r w:rsidRPr="00255EE7">
        <w:rPr>
          <w:szCs w:val="24"/>
          <w:vertAlign w:val="subscript"/>
        </w:rPr>
        <w:t>2</w:t>
      </w:r>
      <w:r w:rsidRPr="00255EE7">
        <w:rPr>
          <w:szCs w:val="24"/>
        </w:rPr>
        <w:t xml:space="preserve"> was also found.</w:t>
      </w:r>
    </w:p>
    <w:p w14:paraId="52BDDC28" w14:textId="0045EC5A" w:rsidR="001B18ED" w:rsidRPr="001D22C9" w:rsidRDefault="001B18ED" w:rsidP="001D22C9">
      <w:pPr>
        <w:spacing w:after="240"/>
        <w:rPr>
          <w:b/>
          <w:szCs w:val="24"/>
        </w:rPr>
      </w:pPr>
      <w:r w:rsidRPr="00255EE7">
        <w:rPr>
          <w:szCs w:val="24"/>
        </w:rPr>
        <w:t xml:space="preserve">No statistical difference in mortality was found in the FIX-HF-5C trial (24 weeks follow-up) or the FIX-HF-5 sub group (50 weeks follow-up). No statistical differences were observed between mortality associated with the CCM and mortality predicted by the Seattle Heart Failure Model over three years follow-up (CCM-REG study). </w:t>
      </w:r>
      <w:r>
        <w:rPr>
          <w:szCs w:val="24"/>
        </w:rPr>
        <w:t xml:space="preserve">The Critique’s summary of the effectiveness data is provided in </w:t>
      </w:r>
      <w:r w:rsidRPr="00255EE7">
        <w:rPr>
          <w:szCs w:val="24"/>
        </w:rPr>
        <w:fldChar w:fldCharType="begin"/>
      </w:r>
      <w:r w:rsidRPr="00255EE7">
        <w:rPr>
          <w:szCs w:val="24"/>
        </w:rPr>
        <w:instrText xml:space="preserve"> REF _Ref519003784 \h  \* MERGEFORMAT </w:instrText>
      </w:r>
      <w:r w:rsidRPr="00255EE7">
        <w:rPr>
          <w:szCs w:val="24"/>
        </w:rPr>
      </w:r>
      <w:r w:rsidRPr="00255EE7">
        <w:rPr>
          <w:szCs w:val="24"/>
        </w:rPr>
        <w:fldChar w:fldCharType="separate"/>
      </w:r>
      <w:r w:rsidR="00E14BA7" w:rsidRPr="00E14BA7">
        <w:rPr>
          <w:szCs w:val="24"/>
        </w:rPr>
        <w:t xml:space="preserve">Table </w:t>
      </w:r>
      <w:r w:rsidR="00E14BA7" w:rsidRPr="00E14BA7">
        <w:rPr>
          <w:noProof/>
          <w:szCs w:val="24"/>
        </w:rPr>
        <w:t>3</w:t>
      </w:r>
      <w:r w:rsidRPr="00255EE7">
        <w:rPr>
          <w:szCs w:val="24"/>
        </w:rPr>
        <w:fldChar w:fldCharType="end"/>
      </w:r>
      <w:r>
        <w:rPr>
          <w:szCs w:val="24"/>
        </w:rPr>
        <w:t>.</w:t>
      </w:r>
    </w:p>
    <w:p w14:paraId="58B3CC3D" w14:textId="785BD333" w:rsidR="001B18ED" w:rsidRPr="00FC13F7" w:rsidRDefault="001B18ED" w:rsidP="00FC13F7">
      <w:pPr>
        <w:rPr>
          <w:rFonts w:ascii="Arial Narrow" w:hAnsi="Arial Narrow"/>
          <w:b/>
          <w:sz w:val="20"/>
        </w:rPr>
      </w:pPr>
      <w:bookmarkStart w:id="5" w:name="_Ref519003784"/>
      <w:bookmarkStart w:id="6" w:name="_Ref519003781"/>
      <w:bookmarkStart w:id="7" w:name="_Toc525809356"/>
      <w:bookmarkStart w:id="8" w:name="_Toc525809426"/>
      <w:r w:rsidRPr="00FC13F7">
        <w:rPr>
          <w:rFonts w:ascii="Arial Narrow" w:hAnsi="Arial Narrow"/>
          <w:b/>
          <w:sz w:val="20"/>
        </w:rPr>
        <w:t xml:space="preserve">Table </w:t>
      </w:r>
      <w:r w:rsidRPr="00FC13F7">
        <w:rPr>
          <w:rFonts w:ascii="Arial Narrow" w:hAnsi="Arial Narrow"/>
          <w:b/>
          <w:sz w:val="20"/>
        </w:rPr>
        <w:fldChar w:fldCharType="begin"/>
      </w:r>
      <w:r w:rsidRPr="00FC13F7">
        <w:rPr>
          <w:rFonts w:ascii="Arial Narrow" w:hAnsi="Arial Narrow"/>
          <w:b/>
          <w:sz w:val="20"/>
        </w:rPr>
        <w:instrText xml:space="preserve"> SEQ Table \* ARABIC </w:instrText>
      </w:r>
      <w:r w:rsidRPr="00FC13F7">
        <w:rPr>
          <w:rFonts w:ascii="Arial Narrow" w:hAnsi="Arial Narrow"/>
          <w:b/>
          <w:sz w:val="20"/>
        </w:rPr>
        <w:fldChar w:fldCharType="separate"/>
      </w:r>
      <w:r w:rsidR="00E14BA7">
        <w:rPr>
          <w:rFonts w:ascii="Arial Narrow" w:hAnsi="Arial Narrow"/>
          <w:b/>
          <w:noProof/>
          <w:sz w:val="20"/>
        </w:rPr>
        <w:t>3</w:t>
      </w:r>
      <w:r w:rsidRPr="00FC13F7">
        <w:rPr>
          <w:rFonts w:ascii="Arial Narrow" w:hAnsi="Arial Narrow"/>
          <w:b/>
          <w:sz w:val="20"/>
        </w:rPr>
        <w:fldChar w:fldCharType="end"/>
      </w:r>
      <w:bookmarkEnd w:id="5"/>
      <w:r w:rsidRPr="00FC13F7">
        <w:rPr>
          <w:rFonts w:ascii="Arial Narrow" w:hAnsi="Arial Narrow"/>
          <w:b/>
          <w:sz w:val="20"/>
        </w:rPr>
        <w:tab/>
        <w:t xml:space="preserve"> </w:t>
      </w:r>
      <w:bookmarkEnd w:id="6"/>
      <w:bookmarkEnd w:id="7"/>
      <w:bookmarkEnd w:id="8"/>
      <w:r w:rsidRPr="00FC13F7">
        <w:rPr>
          <w:rFonts w:ascii="Arial Narrow" w:hAnsi="Arial Narrow"/>
          <w:b/>
          <w:sz w:val="20"/>
        </w:rPr>
        <w:t xml:space="preserve">Summary of comparative effectiveness </w:t>
      </w:r>
      <w:r w:rsidRPr="00FC13F7">
        <w:rPr>
          <w:rFonts w:ascii="Arial Narrow" w:hAnsi="Arial Narrow"/>
          <w:b/>
          <w:color w:val="FF0000"/>
          <w:sz w:val="20"/>
        </w:rPr>
        <w:t>(Critique)</w:t>
      </w:r>
    </w:p>
    <w:tbl>
      <w:tblPr>
        <w:tblStyle w:val="TableGrid2"/>
        <w:tblW w:w="0" w:type="auto"/>
        <w:tblCellMar>
          <w:left w:w="28" w:type="dxa"/>
          <w:right w:w="28" w:type="dxa"/>
        </w:tblCellMar>
        <w:tblLook w:val="04A0" w:firstRow="1" w:lastRow="0" w:firstColumn="1" w:lastColumn="0" w:noHBand="0" w:noVBand="1"/>
        <w:tblCaption w:val="Summary of comparative effectiveness"/>
        <w:tblDescription w:val="The table describes the length of follow up, pVO2, MLWHFQ, 6MHW, NYHA, VAT and mortality for the FIX-HF-5 and FIX-HF-5C trials."/>
      </w:tblPr>
      <w:tblGrid>
        <w:gridCol w:w="1746"/>
        <w:gridCol w:w="801"/>
        <w:gridCol w:w="1023"/>
        <w:gridCol w:w="935"/>
        <w:gridCol w:w="874"/>
        <w:gridCol w:w="1367"/>
        <w:gridCol w:w="1318"/>
        <w:gridCol w:w="952"/>
      </w:tblGrid>
      <w:tr w:rsidR="001B18ED" w14:paraId="773C8471" w14:textId="77777777" w:rsidTr="008568EF">
        <w:trPr>
          <w:cnfStyle w:val="100000000000" w:firstRow="1" w:lastRow="0" w:firstColumn="0" w:lastColumn="0" w:oddVBand="0" w:evenVBand="0" w:oddHBand="0" w:evenHBand="0" w:firstRowFirstColumn="0" w:firstRowLastColumn="0" w:lastRowFirstColumn="0" w:lastRowLastColumn="0"/>
          <w:tblHeader/>
        </w:trPr>
        <w:tc>
          <w:tcPr>
            <w:tcW w:w="0" w:type="auto"/>
          </w:tcPr>
          <w:p w14:paraId="04AF149C" w14:textId="77777777" w:rsidR="001B18ED" w:rsidRDefault="001B18ED" w:rsidP="00036FFE">
            <w:pPr>
              <w:pStyle w:val="TableHeader1"/>
            </w:pPr>
            <w:r>
              <w:t>Study ID</w:t>
            </w:r>
          </w:p>
        </w:tc>
        <w:tc>
          <w:tcPr>
            <w:tcW w:w="801" w:type="dxa"/>
          </w:tcPr>
          <w:p w14:paraId="4BB64CFC" w14:textId="77777777" w:rsidR="001B18ED" w:rsidRDefault="001B18ED" w:rsidP="00036FFE">
            <w:pPr>
              <w:pStyle w:val="TableHeader1"/>
            </w:pPr>
            <w:r>
              <w:t>Length of follow-up</w:t>
            </w:r>
          </w:p>
        </w:tc>
        <w:tc>
          <w:tcPr>
            <w:tcW w:w="1023" w:type="dxa"/>
          </w:tcPr>
          <w:p w14:paraId="2BB42EBF" w14:textId="77777777" w:rsidR="001B18ED" w:rsidRPr="00BA621D" w:rsidRDefault="001B18ED" w:rsidP="00036FFE">
            <w:pPr>
              <w:pStyle w:val="TableHeader1"/>
            </w:pPr>
            <w:r>
              <w:t>pVO</w:t>
            </w:r>
            <w:r w:rsidRPr="00C100DA">
              <w:rPr>
                <w:snapToGrid w:val="0"/>
                <w:vertAlign w:val="subscript"/>
              </w:rPr>
              <w:t>2</w:t>
            </w:r>
            <w:r>
              <w:t xml:space="preserve"> (mL/kg/min)</w:t>
            </w:r>
          </w:p>
        </w:tc>
        <w:tc>
          <w:tcPr>
            <w:tcW w:w="0" w:type="auto"/>
          </w:tcPr>
          <w:p w14:paraId="3A722F00" w14:textId="77777777" w:rsidR="001B18ED" w:rsidRDefault="001B18ED" w:rsidP="00036FFE">
            <w:pPr>
              <w:pStyle w:val="TableHeader1"/>
            </w:pPr>
            <w:r>
              <w:t>MLWHFQ (points)</w:t>
            </w:r>
          </w:p>
        </w:tc>
        <w:tc>
          <w:tcPr>
            <w:tcW w:w="874" w:type="dxa"/>
          </w:tcPr>
          <w:p w14:paraId="4981F621" w14:textId="77777777" w:rsidR="001B18ED" w:rsidRDefault="001B18ED" w:rsidP="00036FFE">
            <w:pPr>
              <w:pStyle w:val="TableHeader1"/>
            </w:pPr>
            <w:r>
              <w:t>6MHW (meters)</w:t>
            </w:r>
          </w:p>
        </w:tc>
        <w:tc>
          <w:tcPr>
            <w:tcW w:w="1367" w:type="dxa"/>
          </w:tcPr>
          <w:p w14:paraId="19CC35BE" w14:textId="77777777" w:rsidR="001B18ED" w:rsidRDefault="001B18ED" w:rsidP="00036FFE">
            <w:pPr>
              <w:pStyle w:val="TableHeader1"/>
            </w:pPr>
            <w:r>
              <w:t>NYHA improvement (&gt;= 1 class, n/N (%))</w:t>
            </w:r>
          </w:p>
        </w:tc>
        <w:tc>
          <w:tcPr>
            <w:tcW w:w="1318" w:type="dxa"/>
          </w:tcPr>
          <w:p w14:paraId="4A368720" w14:textId="77777777" w:rsidR="001B18ED" w:rsidRDefault="001B18ED" w:rsidP="00036FFE">
            <w:pPr>
              <w:pStyle w:val="TableHeader1"/>
              <w:rPr>
                <w:vanish/>
              </w:rPr>
            </w:pPr>
            <w:r>
              <w:t>VAT</w:t>
            </w:r>
          </w:p>
          <w:p w14:paraId="28EAACF2" w14:textId="77777777" w:rsidR="001B18ED" w:rsidRDefault="001B18ED" w:rsidP="00036FFE">
            <w:pPr>
              <w:pStyle w:val="TableHeader1"/>
            </w:pPr>
            <w:r>
              <w:t>(mL/kg/min)</w:t>
            </w:r>
          </w:p>
        </w:tc>
        <w:tc>
          <w:tcPr>
            <w:tcW w:w="0" w:type="auto"/>
          </w:tcPr>
          <w:p w14:paraId="4DF97CFB" w14:textId="77777777" w:rsidR="001B18ED" w:rsidRDefault="001B18ED" w:rsidP="00036FFE">
            <w:pPr>
              <w:pStyle w:val="TableHeader1"/>
            </w:pPr>
            <w:r>
              <w:t>Mortality (all cause) n/N (%)</w:t>
            </w:r>
          </w:p>
        </w:tc>
      </w:tr>
      <w:tr w:rsidR="001B18ED" w14:paraId="4CC9447B" w14:textId="77777777" w:rsidTr="001B18ED">
        <w:tc>
          <w:tcPr>
            <w:tcW w:w="0" w:type="auto"/>
          </w:tcPr>
          <w:p w14:paraId="67B1EC64" w14:textId="77777777" w:rsidR="001B18ED" w:rsidRDefault="001B18ED" w:rsidP="00036FFE">
            <w:pPr>
              <w:pStyle w:val="Tabletext"/>
            </w:pPr>
            <w:r w:rsidRPr="0060620D">
              <w:t>FIX-HF-5C</w:t>
            </w:r>
          </w:p>
          <w:p w14:paraId="2FC6B695" w14:textId="77777777" w:rsidR="001B18ED" w:rsidRPr="0060620D" w:rsidRDefault="001B18ED" w:rsidP="00036FFE">
            <w:pPr>
              <w:pStyle w:val="Tabletext"/>
            </w:pPr>
            <w:r>
              <w:t>Source: Submission (Table 36 -40) and Abraham et al. (2018)</w:t>
            </w:r>
            <w:hyperlink w:anchor="_ENREF_1" w:tooltip="Abraham, 2018 #1" w:history="1">
              <w:r>
                <w:fldChar w:fldCharType="begin">
                  <w:fldData xml:space="preserve">PEVuZE5vdGU+PENpdGU+PEF1dGhvcj5BYnJhaGFtPC9BdXRob3I+PFllYXI+MjAxODwvWWVhcj48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</w:fldData>
                </w:fldChar>
              </w:r>
              <w:r>
                <w:instrText xml:space="preserve"> ADDIN EN.CITE </w:instrText>
              </w:r>
              <w:r>
                <w:fldChar w:fldCharType="begin">
                  <w:fldData xml:space="preserve">PEVuZE5vdGU+PENpdGU+PEF1dGhvcj5BYnJhaGFtPC9BdXRob3I+PFllYXI+MjAxODwvWWVhcj48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</w:fldData>
                </w:fldChar>
              </w:r>
              <w:r>
                <w:instrText xml:space="preserve"> ADDIN EN.CITE.DATA </w:instrText>
              </w:r>
              <w:r>
                <w:fldChar w:fldCharType="end"/>
              </w:r>
              <w:r>
                <w:fldChar w:fldCharType="separate"/>
              </w:r>
              <w:r w:rsidRPr="000237C0">
                <w:rPr>
                  <w:noProof/>
                  <w:vertAlign w:val="superscript"/>
                </w:rPr>
                <w:t>1</w:t>
              </w:r>
              <w:r>
                <w:fldChar w:fldCharType="end"/>
              </w:r>
            </w:hyperlink>
          </w:p>
        </w:tc>
        <w:tc>
          <w:tcPr>
            <w:tcW w:w="801" w:type="dxa"/>
          </w:tcPr>
          <w:p w14:paraId="75574E70" w14:textId="77777777" w:rsidR="001B18ED" w:rsidRPr="0060620D" w:rsidRDefault="001B18ED" w:rsidP="00036FFE">
            <w:pPr>
              <w:pStyle w:val="Tabletext"/>
            </w:pPr>
            <w:r w:rsidRPr="0060620D">
              <w:t>24 weeks</w:t>
            </w:r>
          </w:p>
        </w:tc>
        <w:tc>
          <w:tcPr>
            <w:tcW w:w="1023" w:type="dxa"/>
          </w:tcPr>
          <w:p w14:paraId="31691680" w14:textId="77777777" w:rsidR="001B18ED" w:rsidRPr="007F6E21" w:rsidRDefault="001B18ED" w:rsidP="00036FFE">
            <w:pPr>
              <w:pStyle w:val="ComTable"/>
            </w:pPr>
            <w:r w:rsidRPr="0060620D">
              <w:rPr>
                <w:rStyle w:val="TabletextChar"/>
                <w:i w:val="0"/>
                <w:color w:val="auto"/>
              </w:rPr>
              <w:t>0.79</w:t>
            </w:r>
            <w:r w:rsidRPr="0060620D">
              <w:rPr>
                <w:color w:val="auto"/>
              </w:rPr>
              <w:t xml:space="preserve"> </w:t>
            </w:r>
            <w:r w:rsidRPr="0060620D">
              <w:t>(-0.09, 1.69)</w:t>
            </w:r>
          </w:p>
          <w:p w14:paraId="2790F110" w14:textId="77777777" w:rsidR="001B18ED" w:rsidRPr="0060620D" w:rsidRDefault="001B18ED" w:rsidP="00036FFE">
            <w:pPr>
              <w:pStyle w:val="ComTable"/>
            </w:pPr>
            <w:r w:rsidRPr="0060620D">
              <w:t xml:space="preserve"> </w:t>
            </w:r>
            <w:r>
              <w:t xml:space="preserve">p </w:t>
            </w:r>
            <w:r w:rsidRPr="0060620D">
              <w:t>= NR (NS)</w:t>
            </w:r>
          </w:p>
        </w:tc>
        <w:tc>
          <w:tcPr>
            <w:tcW w:w="0" w:type="auto"/>
          </w:tcPr>
          <w:p w14:paraId="7E7CAE01" w14:textId="77777777" w:rsidR="001B18ED" w:rsidRPr="007F6E21" w:rsidRDefault="001B18ED" w:rsidP="00036FFE">
            <w:pPr>
              <w:pStyle w:val="Tabletext"/>
              <w:rPr>
                <w:i/>
                <w:color w:val="C00000"/>
              </w:rPr>
            </w:pPr>
            <w:r w:rsidRPr="0060620D">
              <w:t xml:space="preserve">-11.7 </w:t>
            </w:r>
            <w:r w:rsidRPr="0060620D">
              <w:rPr>
                <w:i/>
                <w:color w:val="C00000"/>
              </w:rPr>
              <w:t>[-5.8, -18.1]</w:t>
            </w:r>
          </w:p>
          <w:p w14:paraId="102C493D" w14:textId="77777777" w:rsidR="001B18ED" w:rsidRPr="0060620D" w:rsidRDefault="001B18ED" w:rsidP="00036FFE">
            <w:pPr>
              <w:pStyle w:val="Tabletext"/>
            </w:pPr>
            <w:r w:rsidRPr="00CB2E79">
              <w:rPr>
                <w:i/>
              </w:rPr>
              <w:t>p</w:t>
            </w:r>
            <w:r w:rsidRPr="0060620D">
              <w:t xml:space="preserve"> = NR</w:t>
            </w:r>
          </w:p>
        </w:tc>
        <w:tc>
          <w:tcPr>
            <w:tcW w:w="874" w:type="dxa"/>
          </w:tcPr>
          <w:p w14:paraId="0E0259CB" w14:textId="77777777" w:rsidR="001B18ED" w:rsidRPr="007F6E21" w:rsidRDefault="001B18ED" w:rsidP="00036FFE">
            <w:pPr>
              <w:pStyle w:val="Tabletext"/>
              <w:rPr>
                <w:i/>
                <w:color w:val="C00000"/>
              </w:rPr>
            </w:pPr>
            <w:r w:rsidRPr="0060620D">
              <w:t>33</w:t>
            </w:r>
            <w:r>
              <w:t>.7</w:t>
            </w:r>
            <w:r w:rsidRPr="0060620D">
              <w:t xml:space="preserve"> </w:t>
            </w:r>
            <w:r w:rsidRPr="0060620D">
              <w:rPr>
                <w:i/>
                <w:color w:val="C00000"/>
              </w:rPr>
              <w:t>[6, 60]</w:t>
            </w:r>
          </w:p>
          <w:p w14:paraId="0B3B6FCE" w14:textId="77777777" w:rsidR="001B18ED" w:rsidRPr="0060620D" w:rsidRDefault="001B18ED" w:rsidP="00036FFE">
            <w:pPr>
              <w:pStyle w:val="Tabletext"/>
            </w:pPr>
            <w:r w:rsidRPr="00CB2E79">
              <w:rPr>
                <w:i/>
              </w:rPr>
              <w:t>p</w:t>
            </w:r>
            <w:r w:rsidRPr="0060620D">
              <w:t xml:space="preserve"> = </w:t>
            </w:r>
            <w:r>
              <w:t>0.0093</w:t>
            </w:r>
          </w:p>
        </w:tc>
        <w:tc>
          <w:tcPr>
            <w:tcW w:w="1367" w:type="dxa"/>
          </w:tcPr>
          <w:p w14:paraId="023CE803" w14:textId="77777777" w:rsidR="001B18ED" w:rsidRPr="0060620D" w:rsidRDefault="001B18ED" w:rsidP="00036FFE">
            <w:pPr>
              <w:pStyle w:val="Tabletext"/>
              <w:rPr>
                <w:vanish/>
              </w:rPr>
            </w:pPr>
            <w:r>
              <w:t xml:space="preserve">I; </w:t>
            </w:r>
            <w:r w:rsidRPr="0060620D">
              <w:t>57/70 (81%)</w:t>
            </w:r>
          </w:p>
          <w:p w14:paraId="759D7B13" w14:textId="77777777" w:rsidR="001B18ED" w:rsidRPr="0060620D" w:rsidRDefault="001B18ED" w:rsidP="00036FFE">
            <w:pPr>
              <w:pStyle w:val="Tabletext"/>
              <w:rPr>
                <w:vanish/>
              </w:rPr>
            </w:pPr>
            <w:r>
              <w:t xml:space="preserve">C: </w:t>
            </w:r>
            <w:r w:rsidRPr="0060620D">
              <w:t>32/75 (43%)</w:t>
            </w:r>
          </w:p>
          <w:p w14:paraId="35878CC1" w14:textId="77777777" w:rsidR="001B18ED" w:rsidRPr="0060620D" w:rsidRDefault="001B18ED" w:rsidP="00036FFE">
            <w:pPr>
              <w:pStyle w:val="Tabletext"/>
            </w:pPr>
            <w:r>
              <w:rPr>
                <w:i/>
              </w:rPr>
              <w:t>p</w:t>
            </w:r>
            <w:r w:rsidRPr="0060620D">
              <w:t xml:space="preserve"> &lt; 0.0001</w:t>
            </w:r>
          </w:p>
        </w:tc>
        <w:tc>
          <w:tcPr>
            <w:tcW w:w="1318" w:type="dxa"/>
          </w:tcPr>
          <w:p w14:paraId="2C2F9477" w14:textId="77777777" w:rsidR="001B18ED" w:rsidRPr="0060620D" w:rsidRDefault="001B18ED" w:rsidP="00036FFE">
            <w:pPr>
              <w:pStyle w:val="Tabletext"/>
            </w:pPr>
            <w:r w:rsidRPr="0060620D">
              <w:t>NR</w:t>
            </w:r>
          </w:p>
        </w:tc>
        <w:tc>
          <w:tcPr>
            <w:tcW w:w="0" w:type="auto"/>
          </w:tcPr>
          <w:p w14:paraId="385F7698" w14:textId="77777777" w:rsidR="001B18ED" w:rsidRPr="0060620D" w:rsidRDefault="001B18ED" w:rsidP="00036FFE">
            <w:pPr>
              <w:pStyle w:val="Tabletext"/>
              <w:rPr>
                <w:vanish/>
              </w:rPr>
            </w:pPr>
            <w:r>
              <w:t xml:space="preserve">I: </w:t>
            </w:r>
            <w:r w:rsidRPr="00E826DB">
              <w:rPr>
                <w:i/>
                <w:color w:val="C00000"/>
              </w:rPr>
              <w:t>2/74</w:t>
            </w:r>
            <w:r w:rsidRPr="00E826DB">
              <w:rPr>
                <w:color w:val="C00000"/>
              </w:rPr>
              <w:t xml:space="preserve"> </w:t>
            </w:r>
            <w:r w:rsidRPr="0060620D">
              <w:t>(3%)</w:t>
            </w:r>
          </w:p>
          <w:p w14:paraId="41556522" w14:textId="77777777" w:rsidR="001B18ED" w:rsidRPr="0060620D" w:rsidRDefault="001B18ED" w:rsidP="00036FFE">
            <w:pPr>
              <w:pStyle w:val="Tabletext"/>
              <w:rPr>
                <w:vanish/>
              </w:rPr>
            </w:pPr>
            <w:r>
              <w:t xml:space="preserve">C: </w:t>
            </w:r>
            <w:r w:rsidRPr="00E826DB">
              <w:rPr>
                <w:i/>
                <w:color w:val="C00000"/>
              </w:rPr>
              <w:t>4/86</w:t>
            </w:r>
            <w:r w:rsidRPr="00E826DB">
              <w:rPr>
                <w:color w:val="C00000"/>
              </w:rPr>
              <w:t xml:space="preserve"> </w:t>
            </w:r>
            <w:r w:rsidRPr="0060620D">
              <w:t>(5%)</w:t>
            </w:r>
          </w:p>
          <w:p w14:paraId="0415A0DF" w14:textId="77777777" w:rsidR="001B18ED" w:rsidRPr="00935D2C" w:rsidRDefault="001B18ED" w:rsidP="00036FFE">
            <w:pPr>
              <w:pStyle w:val="Tabletext"/>
            </w:pPr>
            <w:r>
              <w:rPr>
                <w:i/>
              </w:rPr>
              <w:t>p</w:t>
            </w:r>
            <w:r w:rsidRPr="0060620D">
              <w:t xml:space="preserve"> = NS</w:t>
            </w:r>
          </w:p>
        </w:tc>
      </w:tr>
      <w:tr w:rsidR="001B18ED" w14:paraId="0F295757" w14:textId="77777777" w:rsidTr="001B18ED">
        <w:tc>
          <w:tcPr>
            <w:tcW w:w="0" w:type="auto"/>
          </w:tcPr>
          <w:p w14:paraId="605508BC" w14:textId="77777777" w:rsidR="001B18ED" w:rsidRDefault="001B18ED" w:rsidP="00036FFE">
            <w:pPr>
              <w:pStyle w:val="Tabletext"/>
              <w:rPr>
                <w:vanish/>
              </w:rPr>
            </w:pPr>
            <w:r>
              <w:t>FIX-HF-5 subgroup</w:t>
            </w:r>
          </w:p>
          <w:p w14:paraId="393CFD46" w14:textId="77777777" w:rsidR="001B18ED" w:rsidRDefault="001B18ED" w:rsidP="00036FFE">
            <w:pPr>
              <w:pStyle w:val="Tabletext"/>
            </w:pPr>
            <w:r>
              <w:t>Source: Submission (Table 36 -40)</w:t>
            </w:r>
          </w:p>
        </w:tc>
        <w:tc>
          <w:tcPr>
            <w:tcW w:w="801" w:type="dxa"/>
          </w:tcPr>
          <w:p w14:paraId="73CD2C43" w14:textId="77777777" w:rsidR="001B18ED" w:rsidRDefault="001B18ED" w:rsidP="00036FFE">
            <w:pPr>
              <w:pStyle w:val="Tabletext"/>
            </w:pPr>
            <w:r>
              <w:t>24 weeks</w:t>
            </w:r>
          </w:p>
        </w:tc>
        <w:tc>
          <w:tcPr>
            <w:tcW w:w="1023" w:type="dxa"/>
          </w:tcPr>
          <w:p w14:paraId="2127EB45" w14:textId="77777777" w:rsidR="001B18ED" w:rsidRDefault="001B18ED" w:rsidP="00036FFE">
            <w:pPr>
              <w:pStyle w:val="Tabletext"/>
              <w:rPr>
                <w:vanish/>
              </w:rPr>
            </w:pPr>
            <w:r>
              <w:t>1.31 [NR]</w:t>
            </w:r>
          </w:p>
          <w:p w14:paraId="13798352" w14:textId="77777777" w:rsidR="001B18ED" w:rsidRPr="00BA621D" w:rsidRDefault="001B18ED" w:rsidP="00036FFE">
            <w:pPr>
              <w:pStyle w:val="Tabletext"/>
              <w:rPr>
                <w:i/>
              </w:rPr>
            </w:pPr>
            <w:r>
              <w:rPr>
                <w:i/>
              </w:rPr>
              <w:t xml:space="preserve">p = </w:t>
            </w:r>
            <w:r w:rsidRPr="00BB4442">
              <w:t>0.001</w:t>
            </w:r>
          </w:p>
        </w:tc>
        <w:tc>
          <w:tcPr>
            <w:tcW w:w="0" w:type="auto"/>
          </w:tcPr>
          <w:p w14:paraId="37AF9EAE" w14:textId="77777777" w:rsidR="001B18ED" w:rsidRDefault="001B18ED" w:rsidP="00036FFE">
            <w:pPr>
              <w:pStyle w:val="Tabletext"/>
            </w:pPr>
            <w:r>
              <w:t>-10.8 [NR]</w:t>
            </w:r>
          </w:p>
        </w:tc>
        <w:tc>
          <w:tcPr>
            <w:tcW w:w="874" w:type="dxa"/>
          </w:tcPr>
          <w:p w14:paraId="67675466" w14:textId="77777777" w:rsidR="001B18ED" w:rsidRDefault="001B18ED" w:rsidP="00036FFE">
            <w:pPr>
              <w:pStyle w:val="Tabletext"/>
              <w:rPr>
                <w:vanish/>
              </w:rPr>
            </w:pPr>
            <w:r>
              <w:t>21 [NR]</w:t>
            </w:r>
          </w:p>
          <w:p w14:paraId="021DA912" w14:textId="77777777" w:rsidR="001B18ED" w:rsidRPr="00632286" w:rsidRDefault="001B18ED" w:rsidP="00036FFE">
            <w:pPr>
              <w:pStyle w:val="Tabletext"/>
            </w:pPr>
            <w:r>
              <w:rPr>
                <w:i/>
              </w:rPr>
              <w:t xml:space="preserve">p </w:t>
            </w:r>
            <w:r>
              <w:t>= 0.044</w:t>
            </w:r>
          </w:p>
        </w:tc>
        <w:tc>
          <w:tcPr>
            <w:tcW w:w="1367" w:type="dxa"/>
          </w:tcPr>
          <w:p w14:paraId="46EBCD1D" w14:textId="77777777" w:rsidR="001B18ED" w:rsidRDefault="001B18ED" w:rsidP="00036FFE">
            <w:pPr>
              <w:pStyle w:val="Tabletext"/>
            </w:pPr>
            <w:r>
              <w:t xml:space="preserve">Mean change in class: -0.29 [NR] </w:t>
            </w:r>
          </w:p>
          <w:p w14:paraId="5F28A681" w14:textId="77777777" w:rsidR="001B18ED" w:rsidRPr="00592195" w:rsidRDefault="001B18ED" w:rsidP="00036FFE">
            <w:pPr>
              <w:pStyle w:val="Tabletext"/>
            </w:pPr>
            <w:r>
              <w:rPr>
                <w:i/>
              </w:rPr>
              <w:t>p</w:t>
            </w:r>
            <w:r>
              <w:t xml:space="preserve"> = 0.002</w:t>
            </w:r>
          </w:p>
        </w:tc>
        <w:tc>
          <w:tcPr>
            <w:tcW w:w="1318" w:type="dxa"/>
          </w:tcPr>
          <w:p w14:paraId="358892F5" w14:textId="77777777" w:rsidR="001B18ED" w:rsidRDefault="001B18ED" w:rsidP="00036FFE">
            <w:pPr>
              <w:pStyle w:val="Tabletext"/>
              <w:rPr>
                <w:vanish/>
              </w:rPr>
            </w:pPr>
            <w:r>
              <w:t>0.64 [NR]</w:t>
            </w:r>
          </w:p>
          <w:p w14:paraId="537A90A7" w14:textId="77777777" w:rsidR="001B18ED" w:rsidRPr="00592195" w:rsidRDefault="001B18ED" w:rsidP="00036FFE">
            <w:pPr>
              <w:pStyle w:val="Tabletext"/>
            </w:pPr>
            <w:r>
              <w:rPr>
                <w:i/>
              </w:rPr>
              <w:t>p</w:t>
            </w:r>
            <w:r>
              <w:t xml:space="preserve"> = 0.03</w:t>
            </w:r>
          </w:p>
        </w:tc>
        <w:tc>
          <w:tcPr>
            <w:tcW w:w="0" w:type="auto"/>
          </w:tcPr>
          <w:p w14:paraId="200C33BB" w14:textId="77777777" w:rsidR="001B18ED" w:rsidRDefault="001B18ED" w:rsidP="00036FFE">
            <w:pPr>
              <w:pStyle w:val="Tabletext"/>
            </w:pPr>
            <w:r>
              <w:t>NR</w:t>
            </w:r>
          </w:p>
        </w:tc>
      </w:tr>
      <w:tr w:rsidR="001B18ED" w:rsidRPr="00E826DB" w14:paraId="29E027EE" w14:textId="77777777" w:rsidTr="001B18ED">
        <w:tc>
          <w:tcPr>
            <w:tcW w:w="0" w:type="auto"/>
          </w:tcPr>
          <w:p w14:paraId="4008663E" w14:textId="77777777" w:rsidR="001B18ED" w:rsidRPr="00E826DB" w:rsidRDefault="001B18ED" w:rsidP="00036FFE">
            <w:pPr>
              <w:pStyle w:val="Tabletext"/>
              <w:rPr>
                <w:i/>
                <w:vanish/>
                <w:color w:val="C00000"/>
              </w:rPr>
            </w:pPr>
            <w:r w:rsidRPr="00E826DB">
              <w:rPr>
                <w:i/>
                <w:color w:val="C00000"/>
              </w:rPr>
              <w:t>FIX-HF-5 subgroup</w:t>
            </w:r>
          </w:p>
          <w:p w14:paraId="1D4736DC" w14:textId="77777777" w:rsidR="001B18ED" w:rsidRPr="00E826DB" w:rsidRDefault="001B18ED" w:rsidP="00036FFE">
            <w:pPr>
              <w:pStyle w:val="Tabletext"/>
              <w:rPr>
                <w:i/>
                <w:color w:val="C00000"/>
              </w:rPr>
            </w:pPr>
            <w:r w:rsidRPr="00E826DB">
              <w:rPr>
                <w:i/>
                <w:color w:val="C00000"/>
              </w:rPr>
              <w:t xml:space="preserve">Data </w:t>
            </w:r>
            <w:r>
              <w:rPr>
                <w:i/>
                <w:color w:val="C00000"/>
              </w:rPr>
              <w:t>from Abraham et al. (2018)</w:t>
            </w:r>
            <w:hyperlink w:anchor="_ENREF_1" w:tooltip="Abraham, 2018 #1" w:history="1">
              <w:r>
                <w:rPr>
                  <w:i/>
                  <w:color w:val="C00000"/>
                </w:rPr>
                <w:fldChar w:fldCharType="begin">
                  <w:fldData xml:space="preserve">PEVuZE5vdGU+PENpdGU+PEF1dGhvcj5BYnJhaGFtPC9BdXRob3I+PFllYXI+MjAxODwvWWVhcj48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</w:fldData>
                </w:fldChar>
              </w:r>
              <w:r>
                <w:rPr>
                  <w:i/>
                  <w:color w:val="C00000"/>
                </w:rPr>
                <w:instrText xml:space="preserve"> ADDIN EN.CITE </w:instrText>
              </w:r>
              <w:r>
                <w:rPr>
                  <w:i/>
                  <w:color w:val="C00000"/>
                </w:rPr>
                <w:fldChar w:fldCharType="begin">
                  <w:fldData xml:space="preserve">PEVuZE5vdGU+PENpdGU+PEF1dGhvcj5BYnJhaGFtPC9BdXRob3I+PFllYXI+MjAxODwvWWVhcj48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</w:fldData>
                </w:fldChar>
              </w:r>
              <w:r>
                <w:rPr>
                  <w:i/>
                  <w:color w:val="C00000"/>
                </w:rPr>
                <w:instrText xml:space="preserve"> ADDIN EN.CITE.DATA </w:instrText>
              </w:r>
              <w:r>
                <w:rPr>
                  <w:i/>
                  <w:color w:val="C00000"/>
                </w:rPr>
              </w:r>
              <w:r>
                <w:rPr>
                  <w:i/>
                  <w:color w:val="C00000"/>
                </w:rPr>
                <w:fldChar w:fldCharType="end"/>
              </w:r>
              <w:r>
                <w:rPr>
                  <w:i/>
                  <w:color w:val="C00000"/>
                </w:rPr>
              </w:r>
              <w:r>
                <w:rPr>
                  <w:i/>
                  <w:color w:val="C00000"/>
                </w:rPr>
                <w:fldChar w:fldCharType="separate"/>
              </w:r>
              <w:r w:rsidRPr="000237C0">
                <w:rPr>
                  <w:i/>
                  <w:noProof/>
                  <w:color w:val="C00000"/>
                  <w:vertAlign w:val="superscript"/>
                </w:rPr>
                <w:t>1</w:t>
              </w:r>
              <w:r>
                <w:rPr>
                  <w:i/>
                  <w:color w:val="C00000"/>
                </w:rPr>
                <w:fldChar w:fldCharType="end"/>
              </w:r>
            </w:hyperlink>
          </w:p>
        </w:tc>
        <w:tc>
          <w:tcPr>
            <w:tcW w:w="801" w:type="dxa"/>
          </w:tcPr>
          <w:p w14:paraId="501063B2" w14:textId="77777777" w:rsidR="001B18ED" w:rsidRPr="00E826DB" w:rsidRDefault="001B18ED" w:rsidP="00036FFE">
            <w:pPr>
              <w:pStyle w:val="Tabletext"/>
              <w:rPr>
                <w:i/>
                <w:color w:val="C00000"/>
              </w:rPr>
            </w:pPr>
            <w:r w:rsidRPr="00E826DB">
              <w:rPr>
                <w:i/>
                <w:color w:val="C00000"/>
              </w:rPr>
              <w:t>24 weeks</w:t>
            </w:r>
          </w:p>
        </w:tc>
        <w:tc>
          <w:tcPr>
            <w:tcW w:w="1023" w:type="dxa"/>
          </w:tcPr>
          <w:p w14:paraId="1FCD9256" w14:textId="77777777" w:rsidR="001B18ED" w:rsidRPr="00E826DB" w:rsidRDefault="001B18ED" w:rsidP="00036FFE">
            <w:pPr>
              <w:pStyle w:val="Tabletext"/>
              <w:rPr>
                <w:i/>
                <w:vanish/>
                <w:color w:val="C00000"/>
              </w:rPr>
            </w:pPr>
            <w:r w:rsidRPr="00E826DB">
              <w:rPr>
                <w:i/>
                <w:color w:val="C00000"/>
              </w:rPr>
              <w:t>1.04 [0.36, 1.72]</w:t>
            </w:r>
          </w:p>
          <w:p w14:paraId="2C73AB96" w14:textId="77777777" w:rsidR="001B18ED" w:rsidRPr="00E826DB" w:rsidRDefault="001B18ED" w:rsidP="00036FFE">
            <w:pPr>
              <w:pStyle w:val="Tabletext"/>
              <w:rPr>
                <w:i/>
                <w:color w:val="C00000"/>
              </w:rPr>
            </w:pPr>
            <w:r w:rsidRPr="00E826DB">
              <w:rPr>
                <w:i/>
                <w:color w:val="C00000"/>
              </w:rPr>
              <w:t>P = NR</w:t>
            </w:r>
          </w:p>
        </w:tc>
        <w:tc>
          <w:tcPr>
            <w:tcW w:w="0" w:type="auto"/>
          </w:tcPr>
          <w:p w14:paraId="6C8A51C3" w14:textId="77777777" w:rsidR="001B18ED" w:rsidRPr="00E826DB" w:rsidRDefault="001B18ED" w:rsidP="00036FFE">
            <w:pPr>
              <w:pStyle w:val="Tabletext"/>
              <w:rPr>
                <w:i/>
                <w:vanish/>
                <w:color w:val="C00000"/>
              </w:rPr>
            </w:pPr>
            <w:r w:rsidRPr="00E826DB">
              <w:rPr>
                <w:i/>
                <w:color w:val="C00000"/>
              </w:rPr>
              <w:t>-10.7 [-5.8, -15.6]</w:t>
            </w:r>
          </w:p>
          <w:p w14:paraId="116F8F7E" w14:textId="77777777" w:rsidR="001B18ED" w:rsidRPr="00E826DB" w:rsidRDefault="001B18ED" w:rsidP="00036FFE">
            <w:pPr>
              <w:pStyle w:val="Tabletext"/>
              <w:rPr>
                <w:i/>
                <w:color w:val="C00000"/>
              </w:rPr>
            </w:pPr>
            <w:r w:rsidRPr="00E826DB">
              <w:rPr>
                <w:i/>
                <w:color w:val="C00000"/>
              </w:rPr>
              <w:t>P = NR</w:t>
            </w:r>
          </w:p>
        </w:tc>
        <w:tc>
          <w:tcPr>
            <w:tcW w:w="874" w:type="dxa"/>
          </w:tcPr>
          <w:p w14:paraId="7FE08CBE" w14:textId="77777777" w:rsidR="001B18ED" w:rsidRPr="00E826DB" w:rsidRDefault="001B18ED" w:rsidP="00036FFE">
            <w:pPr>
              <w:pStyle w:val="Tabletext"/>
              <w:rPr>
                <w:i/>
                <w:vanish/>
                <w:color w:val="C00000"/>
              </w:rPr>
            </w:pPr>
            <w:r w:rsidRPr="00E826DB">
              <w:rPr>
                <w:i/>
                <w:color w:val="C00000"/>
              </w:rPr>
              <w:t>16.2 [-7.6, 40]</w:t>
            </w:r>
          </w:p>
          <w:p w14:paraId="64844929" w14:textId="77777777" w:rsidR="001B18ED" w:rsidRPr="00E826DB" w:rsidRDefault="001B18ED" w:rsidP="00036FFE">
            <w:pPr>
              <w:pStyle w:val="Tabletext"/>
              <w:rPr>
                <w:i/>
                <w:color w:val="C00000"/>
              </w:rPr>
            </w:pPr>
            <w:r w:rsidRPr="00E826DB">
              <w:rPr>
                <w:i/>
                <w:color w:val="C00000"/>
              </w:rPr>
              <w:t>P = NR (NS)</w:t>
            </w:r>
          </w:p>
        </w:tc>
        <w:tc>
          <w:tcPr>
            <w:tcW w:w="1367" w:type="dxa"/>
          </w:tcPr>
          <w:p w14:paraId="41F798B7" w14:textId="77777777" w:rsidR="001B18ED" w:rsidRPr="00E826DB" w:rsidRDefault="001B18ED" w:rsidP="00036FFE">
            <w:pPr>
              <w:pStyle w:val="Tabletext"/>
              <w:rPr>
                <w:i/>
                <w:vanish/>
                <w:color w:val="C00000"/>
              </w:rPr>
            </w:pPr>
            <w:r w:rsidRPr="00E826DB">
              <w:rPr>
                <w:i/>
                <w:color w:val="C00000"/>
              </w:rPr>
              <w:t>I: 47/103 (46%)</w:t>
            </w:r>
          </w:p>
          <w:p w14:paraId="52AA70C2" w14:textId="77777777" w:rsidR="001B18ED" w:rsidRPr="00E826DB" w:rsidRDefault="001B18ED" w:rsidP="00036FFE">
            <w:pPr>
              <w:pStyle w:val="Tabletext"/>
              <w:rPr>
                <w:i/>
                <w:vanish/>
                <w:color w:val="C00000"/>
              </w:rPr>
            </w:pPr>
            <w:r w:rsidRPr="00E826DB">
              <w:rPr>
                <w:i/>
                <w:color w:val="C00000"/>
              </w:rPr>
              <w:t>C: 27/94 (29%)</w:t>
            </w:r>
          </w:p>
          <w:p w14:paraId="6FB498DE" w14:textId="77777777" w:rsidR="001B18ED" w:rsidRPr="00E826DB" w:rsidRDefault="001B18ED" w:rsidP="00036FFE">
            <w:pPr>
              <w:pStyle w:val="Tabletext"/>
              <w:rPr>
                <w:i/>
                <w:color w:val="C00000"/>
              </w:rPr>
            </w:pPr>
            <w:r w:rsidRPr="00E826DB">
              <w:rPr>
                <w:i/>
                <w:color w:val="C00000"/>
              </w:rPr>
              <w:t>P = NR</w:t>
            </w:r>
          </w:p>
        </w:tc>
        <w:tc>
          <w:tcPr>
            <w:tcW w:w="1318" w:type="dxa"/>
          </w:tcPr>
          <w:p w14:paraId="7E59670B" w14:textId="77777777" w:rsidR="001B18ED" w:rsidRPr="00E826DB" w:rsidRDefault="001B18ED" w:rsidP="00036FFE">
            <w:pPr>
              <w:pStyle w:val="Tabletext"/>
              <w:rPr>
                <w:i/>
                <w:color w:val="C00000"/>
              </w:rPr>
            </w:pPr>
            <w:r w:rsidRPr="00E826DB">
              <w:rPr>
                <w:i/>
                <w:color w:val="C00000"/>
              </w:rPr>
              <w:t>NR</w:t>
            </w:r>
          </w:p>
        </w:tc>
        <w:tc>
          <w:tcPr>
            <w:tcW w:w="0" w:type="auto"/>
          </w:tcPr>
          <w:p w14:paraId="46D30E80" w14:textId="77777777" w:rsidR="001B18ED" w:rsidRPr="00E826DB" w:rsidRDefault="001B18ED" w:rsidP="00036FFE">
            <w:pPr>
              <w:pStyle w:val="Tabletext"/>
              <w:rPr>
                <w:i/>
                <w:color w:val="C00000"/>
              </w:rPr>
            </w:pPr>
            <w:r w:rsidRPr="00E826DB">
              <w:rPr>
                <w:i/>
                <w:color w:val="C00000"/>
              </w:rPr>
              <w:t>NR</w:t>
            </w:r>
          </w:p>
        </w:tc>
      </w:tr>
      <w:tr w:rsidR="001B18ED" w14:paraId="0B536F94" w14:textId="77777777" w:rsidTr="001B18ED">
        <w:tc>
          <w:tcPr>
            <w:tcW w:w="0" w:type="auto"/>
          </w:tcPr>
          <w:p w14:paraId="1768B0BA" w14:textId="77777777" w:rsidR="001B18ED" w:rsidRDefault="001B18ED" w:rsidP="00036FFE">
            <w:pPr>
              <w:pStyle w:val="Tabletext"/>
            </w:pPr>
            <w:r>
              <w:t>FIX-HF-5 subgroup</w:t>
            </w:r>
          </w:p>
          <w:p w14:paraId="26508C30" w14:textId="77777777" w:rsidR="001B18ED" w:rsidRDefault="001B18ED" w:rsidP="00036FFE">
            <w:pPr>
              <w:pStyle w:val="Tabletext"/>
            </w:pPr>
            <w:r>
              <w:t>Source: Submission (Table 36 -40)</w:t>
            </w:r>
          </w:p>
        </w:tc>
        <w:tc>
          <w:tcPr>
            <w:tcW w:w="801" w:type="dxa"/>
          </w:tcPr>
          <w:p w14:paraId="7B1EE540" w14:textId="77777777" w:rsidR="001B18ED" w:rsidRDefault="001B18ED" w:rsidP="00036FFE">
            <w:pPr>
              <w:pStyle w:val="Tabletext"/>
            </w:pPr>
            <w:r>
              <w:t>50 weeks</w:t>
            </w:r>
          </w:p>
        </w:tc>
        <w:tc>
          <w:tcPr>
            <w:tcW w:w="1023" w:type="dxa"/>
          </w:tcPr>
          <w:p w14:paraId="6B4DC3F4" w14:textId="77777777" w:rsidR="001B18ED" w:rsidRDefault="001B18ED" w:rsidP="00036FFE">
            <w:pPr>
              <w:pStyle w:val="Tabletext"/>
              <w:rPr>
                <w:vanish/>
              </w:rPr>
            </w:pPr>
            <w:r>
              <w:t>1.09 [NR]</w:t>
            </w:r>
          </w:p>
          <w:p w14:paraId="216363A6" w14:textId="77777777" w:rsidR="001B18ED" w:rsidRPr="00BA621D" w:rsidRDefault="001B18ED" w:rsidP="00036FFE">
            <w:pPr>
              <w:pStyle w:val="Tabletext"/>
              <w:rPr>
                <w:i/>
              </w:rPr>
            </w:pPr>
            <w:r>
              <w:rPr>
                <w:i/>
              </w:rPr>
              <w:t>P = NR</w:t>
            </w:r>
          </w:p>
        </w:tc>
        <w:tc>
          <w:tcPr>
            <w:tcW w:w="0" w:type="auto"/>
          </w:tcPr>
          <w:p w14:paraId="7CF2A274" w14:textId="77777777" w:rsidR="001B18ED" w:rsidRDefault="001B18ED" w:rsidP="00036FFE">
            <w:pPr>
              <w:pStyle w:val="Tabletext"/>
            </w:pPr>
            <w:r>
              <w:t>NR</w:t>
            </w:r>
          </w:p>
        </w:tc>
        <w:tc>
          <w:tcPr>
            <w:tcW w:w="874" w:type="dxa"/>
          </w:tcPr>
          <w:p w14:paraId="034F4377" w14:textId="77777777" w:rsidR="001B18ED" w:rsidRDefault="001B18ED" w:rsidP="00036FFE">
            <w:pPr>
              <w:pStyle w:val="Tabletext"/>
            </w:pPr>
            <w:r>
              <w:t>NR</w:t>
            </w:r>
          </w:p>
        </w:tc>
        <w:tc>
          <w:tcPr>
            <w:tcW w:w="1367" w:type="dxa"/>
          </w:tcPr>
          <w:p w14:paraId="12DBE182" w14:textId="77777777" w:rsidR="001B18ED" w:rsidRPr="00DE39AF" w:rsidRDefault="001B18ED" w:rsidP="00036FFE">
            <w:pPr>
              <w:pStyle w:val="Tabletext"/>
            </w:pPr>
            <w:r>
              <w:t xml:space="preserve">Mean change in class -0.34 [NR] </w:t>
            </w:r>
            <w:r>
              <w:rPr>
                <w:i/>
              </w:rPr>
              <w:t>p</w:t>
            </w:r>
            <w:r>
              <w:t xml:space="preserve"> = 0.04</w:t>
            </w:r>
          </w:p>
        </w:tc>
        <w:tc>
          <w:tcPr>
            <w:tcW w:w="1318" w:type="dxa"/>
          </w:tcPr>
          <w:p w14:paraId="1866F154" w14:textId="77777777" w:rsidR="001B18ED" w:rsidRDefault="001B18ED" w:rsidP="00036FFE">
            <w:pPr>
              <w:pStyle w:val="Tabletext"/>
            </w:pPr>
            <w:r>
              <w:t>NR</w:t>
            </w:r>
          </w:p>
        </w:tc>
        <w:tc>
          <w:tcPr>
            <w:tcW w:w="0" w:type="auto"/>
          </w:tcPr>
          <w:p w14:paraId="4044D75E" w14:textId="77777777" w:rsidR="001B18ED" w:rsidRDefault="001B18ED" w:rsidP="00036FFE">
            <w:pPr>
              <w:pStyle w:val="Tabletext"/>
              <w:rPr>
                <w:vanish/>
              </w:rPr>
            </w:pPr>
            <w:r>
              <w:t>4/109 (2%)</w:t>
            </w:r>
          </w:p>
          <w:p w14:paraId="2C06FF4D" w14:textId="77777777" w:rsidR="001B18ED" w:rsidRDefault="001B18ED" w:rsidP="00036FFE">
            <w:pPr>
              <w:pStyle w:val="Tabletext"/>
              <w:rPr>
                <w:vanish/>
              </w:rPr>
            </w:pPr>
            <w:r>
              <w:t>2/97 (0.9%)</w:t>
            </w:r>
          </w:p>
          <w:p w14:paraId="237CF1C2" w14:textId="77777777" w:rsidR="001B18ED" w:rsidRPr="00D76F15" w:rsidRDefault="001B18ED" w:rsidP="00036FFE">
            <w:pPr>
              <w:pStyle w:val="Tabletext"/>
            </w:pPr>
            <w:r w:rsidRPr="00BB4442">
              <w:rPr>
                <w:i/>
              </w:rPr>
              <w:t>p</w:t>
            </w:r>
            <w:r>
              <w:t xml:space="preserve"> = 0.69</w:t>
            </w:r>
          </w:p>
        </w:tc>
      </w:tr>
    </w:tbl>
    <w:p w14:paraId="1AEC3AEA" w14:textId="77777777" w:rsidR="001B18ED" w:rsidRPr="001B18ED" w:rsidRDefault="001B18ED" w:rsidP="001B18ED">
      <w:pPr>
        <w:pStyle w:val="Tablenotes1"/>
        <w:rPr>
          <w:rStyle w:val="Tablenotes1Char"/>
          <w:szCs w:val="16"/>
        </w:rPr>
      </w:pPr>
      <w:r w:rsidRPr="001B18ED">
        <w:rPr>
          <w:b/>
          <w:szCs w:val="16"/>
        </w:rPr>
        <w:t>Abbreviations</w:t>
      </w:r>
      <w:bookmarkStart w:id="9" w:name="_Hlk532287895"/>
      <w:r w:rsidRPr="001B18ED">
        <w:rPr>
          <w:szCs w:val="16"/>
        </w:rPr>
        <w:t xml:space="preserve">: 6MHW = six-minute hall-walk test; MLWHFQ = </w:t>
      </w:r>
      <w:r w:rsidRPr="001B18ED">
        <w:rPr>
          <w:rStyle w:val="Tablenotes1Char"/>
          <w:szCs w:val="16"/>
        </w:rPr>
        <w:t>Minnesota living with heart failure questionnaire;</w:t>
      </w:r>
      <w:r w:rsidRPr="001B18ED">
        <w:rPr>
          <w:szCs w:val="16"/>
        </w:rPr>
        <w:t xml:space="preserve"> NR = not reported; NS = not significant; NYHA = New York Heart Association; pVO2 =mixed venous oxygen tension; VAT = </w:t>
      </w:r>
      <w:proofErr w:type="spellStart"/>
      <w:r w:rsidRPr="001B18ED">
        <w:rPr>
          <w:rStyle w:val="Tablenotes1Char"/>
          <w:szCs w:val="16"/>
        </w:rPr>
        <w:t>ventilatory</w:t>
      </w:r>
      <w:proofErr w:type="spellEnd"/>
      <w:r w:rsidRPr="001B18ED">
        <w:rPr>
          <w:rStyle w:val="Tablenotes1Char"/>
          <w:szCs w:val="16"/>
        </w:rPr>
        <w:t xml:space="preserve"> anaerobic threshold</w:t>
      </w:r>
      <w:bookmarkEnd w:id="9"/>
      <w:r w:rsidRPr="001B18ED">
        <w:rPr>
          <w:rStyle w:val="Tablenotes1Char"/>
          <w:szCs w:val="16"/>
        </w:rPr>
        <w:t>.</w:t>
      </w:r>
    </w:p>
    <w:p w14:paraId="739CD4AF" w14:textId="77777777" w:rsidR="001B18ED" w:rsidRPr="001B18ED" w:rsidRDefault="001B18ED" w:rsidP="001B18ED">
      <w:pPr>
        <w:pStyle w:val="Tablenotes1"/>
        <w:rPr>
          <w:szCs w:val="16"/>
        </w:rPr>
      </w:pPr>
      <w:r w:rsidRPr="001B18ED">
        <w:rPr>
          <w:b/>
          <w:szCs w:val="16"/>
        </w:rPr>
        <w:t>Note</w:t>
      </w:r>
      <w:r w:rsidRPr="001B18ED">
        <w:rPr>
          <w:szCs w:val="16"/>
        </w:rPr>
        <w:t>: pVO</w:t>
      </w:r>
      <w:r w:rsidRPr="001B18ED">
        <w:rPr>
          <w:szCs w:val="16"/>
          <w:vertAlign w:val="subscript"/>
        </w:rPr>
        <w:t>2,</w:t>
      </w:r>
      <w:r w:rsidRPr="001B18ED">
        <w:rPr>
          <w:szCs w:val="16"/>
        </w:rPr>
        <w:t xml:space="preserve"> MWHFQ, 6MHW and VAT outcomes are reported as mean treatment difference between groups [95% CI]. NYHA class and Mortality outcomes are reported as (number affected)/ (total patients).</w:t>
      </w:r>
    </w:p>
    <w:p w14:paraId="629827D2" w14:textId="77777777" w:rsidR="001B18ED" w:rsidRPr="00DA4F61" w:rsidRDefault="001B18ED" w:rsidP="00DA4F61">
      <w:pPr>
        <w:pStyle w:val="Tablenotes1"/>
        <w:rPr>
          <w:sz w:val="20"/>
        </w:rPr>
      </w:pPr>
      <w:r w:rsidRPr="001B18ED">
        <w:rPr>
          <w:b/>
          <w:szCs w:val="16"/>
        </w:rPr>
        <w:t>Source</w:t>
      </w:r>
      <w:r w:rsidRPr="001B18ED">
        <w:rPr>
          <w:szCs w:val="16"/>
        </w:rPr>
        <w:t>: Data from FIX-HF-5C trial and FIX-HF-5 trials reproduced from Tables 36 to 40 of the Submission. Data taken from the Submission is shown in black font; data which required correction, or which has been added for the Critique is shown in red italicised text. 95% CI data for the FIX-HF-5C trial extrapolated from Figure 2 in Abraham et al. (2018) and are therefore approximate values.</w:t>
      </w:r>
      <w:r w:rsidRPr="001B18ED">
        <w:rPr>
          <w:sz w:val="20"/>
        </w:rPr>
        <w:t xml:space="preserve"> </w:t>
      </w:r>
    </w:p>
    <w:p w14:paraId="023C9303" w14:textId="77777777" w:rsidR="00F37B9C" w:rsidRDefault="00F37B9C" w:rsidP="00916C86">
      <w:pPr>
        <w:tabs>
          <w:tab w:val="left" w:pos="720"/>
          <w:tab w:val="left" w:pos="1140"/>
        </w:tabs>
        <w:spacing w:after="120"/>
        <w:rPr>
          <w:b/>
          <w:szCs w:val="24"/>
        </w:rPr>
      </w:pPr>
      <w:r w:rsidRPr="00F37B9C">
        <w:rPr>
          <w:b/>
          <w:szCs w:val="24"/>
        </w:rPr>
        <w:t>Clinical Claim</w:t>
      </w:r>
    </w:p>
    <w:p w14:paraId="08A3F0DD" w14:textId="1C313BCE" w:rsidR="001B18ED" w:rsidRPr="00916C86" w:rsidRDefault="001B18ED" w:rsidP="001B18ED">
      <w:pPr>
        <w:rPr>
          <w:b/>
          <w:szCs w:val="24"/>
        </w:rPr>
      </w:pPr>
      <w:r w:rsidRPr="00255EE7">
        <w:rPr>
          <w:szCs w:val="24"/>
        </w:rPr>
        <w:t>On the basis of the benefits and harms reported in the evidence base, the current resubmission proposes that, relative to failed OMT, CCM therapy has non-inferior safety and superior effectiveness.</w:t>
      </w:r>
    </w:p>
    <w:p w14:paraId="145C0775" w14:textId="77777777" w:rsidR="001B18ED" w:rsidRPr="00DA4F61" w:rsidRDefault="001B18ED" w:rsidP="00916C86">
      <w:pPr>
        <w:spacing w:before="240"/>
        <w:rPr>
          <w:szCs w:val="24"/>
        </w:rPr>
      </w:pPr>
      <w:r w:rsidRPr="00255EE7">
        <w:rPr>
          <w:szCs w:val="24"/>
        </w:rPr>
        <w:t xml:space="preserve">The Critique stated that comparative effectiveness data available with a follow-up duration greater than 24 weeks is low quality and at high risk of bias; therefore, there is a lack of certainty in the effect of CCM beyond this period. In addition, there was limited evidence </w:t>
      </w:r>
      <w:r>
        <w:rPr>
          <w:szCs w:val="24"/>
        </w:rPr>
        <w:t>(</w:t>
      </w:r>
      <w:r w:rsidRPr="00255EE7">
        <w:rPr>
          <w:szCs w:val="24"/>
        </w:rPr>
        <w:t>from small subgroup analyses at high risk of bias</w:t>
      </w:r>
      <w:r>
        <w:rPr>
          <w:szCs w:val="24"/>
        </w:rPr>
        <w:t>)</w:t>
      </w:r>
      <w:r w:rsidRPr="00255EE7">
        <w:rPr>
          <w:szCs w:val="24"/>
        </w:rPr>
        <w:t xml:space="preserve"> that CCM may be more effective in patients with a LVEF of 35</w:t>
      </w:r>
      <w:r>
        <w:rPr>
          <w:szCs w:val="24"/>
        </w:rPr>
        <w:t>-</w:t>
      </w:r>
      <w:r w:rsidRPr="00255EE7">
        <w:rPr>
          <w:szCs w:val="24"/>
        </w:rPr>
        <w:t>45</w:t>
      </w:r>
      <w:r>
        <w:rPr>
          <w:szCs w:val="24"/>
        </w:rPr>
        <w:t xml:space="preserve">% </w:t>
      </w:r>
      <w:r w:rsidRPr="00255EE7">
        <w:rPr>
          <w:szCs w:val="24"/>
        </w:rPr>
        <w:t>(compared to the 25-45% criteria of the proposed population).</w:t>
      </w:r>
    </w:p>
    <w:p w14:paraId="2996DDAF" w14:textId="77777777" w:rsidR="00BC1364" w:rsidRPr="00F715D1" w:rsidRDefault="00BC1364" w:rsidP="00F715D1">
      <w:pPr>
        <w:pStyle w:val="Heading1"/>
      </w:pPr>
      <w:r w:rsidRPr="00F715D1">
        <w:lastRenderedPageBreak/>
        <w:t>Economic evaluation</w:t>
      </w:r>
    </w:p>
    <w:p w14:paraId="18E3748C" w14:textId="78BDA59F" w:rsidR="00085BBF" w:rsidRDefault="00DA4F61" w:rsidP="00085BBF">
      <w:pPr>
        <w:spacing w:after="240"/>
        <w:rPr>
          <w:szCs w:val="24"/>
        </w:rPr>
      </w:pPr>
      <w:r w:rsidRPr="00255EE7">
        <w:rPr>
          <w:szCs w:val="24"/>
        </w:rPr>
        <w:t xml:space="preserve">The summary of the current resubmission’s economic evaluation is presented in </w:t>
      </w:r>
      <w:r w:rsidR="00916C86">
        <w:rPr>
          <w:szCs w:val="24"/>
        </w:rPr>
        <w:fldChar w:fldCharType="begin"/>
      </w:r>
      <w:r w:rsidR="00916C86">
        <w:rPr>
          <w:szCs w:val="24"/>
        </w:rPr>
        <w:instrText xml:space="preserve"> REF _Ref535840370 \h </w:instrText>
      </w:r>
      <w:r w:rsidR="00916C86">
        <w:rPr>
          <w:szCs w:val="24"/>
        </w:rPr>
      </w:r>
      <w:r w:rsidR="00916C86">
        <w:rPr>
          <w:szCs w:val="24"/>
        </w:rPr>
        <w:fldChar w:fldCharType="separate"/>
      </w:r>
      <w:r w:rsidR="00E14BA7" w:rsidRPr="00255EE7">
        <w:t xml:space="preserve">Table </w:t>
      </w:r>
      <w:r w:rsidR="00E14BA7">
        <w:rPr>
          <w:noProof/>
        </w:rPr>
        <w:t>4</w:t>
      </w:r>
      <w:r w:rsidR="00916C86">
        <w:rPr>
          <w:szCs w:val="24"/>
        </w:rPr>
        <w:fldChar w:fldCharType="end"/>
      </w:r>
      <w:r w:rsidRPr="00255EE7">
        <w:rPr>
          <w:szCs w:val="24"/>
        </w:rPr>
        <w:t>.</w:t>
      </w:r>
    </w:p>
    <w:p w14:paraId="1DC723F1" w14:textId="1BE6A136" w:rsidR="00DA4F61" w:rsidRPr="00255EE7" w:rsidRDefault="00DA4F61" w:rsidP="00DA4F61">
      <w:pPr>
        <w:pStyle w:val="TableHeader1"/>
      </w:pPr>
      <w:bookmarkStart w:id="10" w:name="_Ref535840370"/>
      <w:r w:rsidRPr="00255EE7">
        <w:t xml:space="preserve">Table </w:t>
      </w:r>
      <w:r w:rsidRPr="00255EE7">
        <w:rPr>
          <w:noProof/>
        </w:rPr>
        <w:fldChar w:fldCharType="begin"/>
      </w:r>
      <w:r w:rsidRPr="00255EE7">
        <w:rPr>
          <w:noProof/>
        </w:rPr>
        <w:instrText xml:space="preserve"> SEQ Table \* ARABIC </w:instrText>
      </w:r>
      <w:r w:rsidRPr="00255EE7">
        <w:rPr>
          <w:noProof/>
        </w:rPr>
        <w:fldChar w:fldCharType="separate"/>
      </w:r>
      <w:r w:rsidR="00E14BA7">
        <w:rPr>
          <w:noProof/>
        </w:rPr>
        <w:t>4</w:t>
      </w:r>
      <w:r w:rsidRPr="00255EE7">
        <w:rPr>
          <w:noProof/>
        </w:rPr>
        <w:fldChar w:fldCharType="end"/>
      </w:r>
      <w:bookmarkEnd w:id="10"/>
      <w:r w:rsidRPr="00255EE7">
        <w:tab/>
        <w:t xml:space="preserve">Summary of the economic evaluation </w:t>
      </w:r>
      <w:r>
        <w:rPr>
          <w:i/>
          <w:color w:val="C00000"/>
        </w:rPr>
        <w:t>(C</w:t>
      </w:r>
      <w:r w:rsidRPr="00255EE7">
        <w:rPr>
          <w:i/>
          <w:color w:val="C00000"/>
        </w:rPr>
        <w:t>ritique)</w:t>
      </w:r>
    </w:p>
    <w:tbl>
      <w:tblPr>
        <w:tblStyle w:val="Leftjustified"/>
        <w:tblW w:w="5000" w:type="pct"/>
        <w:tblLook w:val="01E0" w:firstRow="1" w:lastRow="1" w:firstColumn="1" w:lastColumn="1" w:noHBand="0" w:noVBand="0"/>
        <w:tblCaption w:val="Table 4 Summary of the economic evaluation"/>
        <w:tblDescription w:val="This table describes the key constructs of the economic evaluation that is provided in the assessment report."/>
      </w:tblPr>
      <w:tblGrid>
        <w:gridCol w:w="2829"/>
        <w:gridCol w:w="6187"/>
      </w:tblGrid>
      <w:tr w:rsidR="00DA4F61" w:rsidRPr="00DA4F61" w14:paraId="4F2ED5A2" w14:textId="77777777" w:rsidTr="00C10752">
        <w:trPr>
          <w:cnfStyle w:val="100000000000" w:firstRow="1" w:lastRow="0" w:firstColumn="0" w:lastColumn="0" w:oddVBand="0" w:evenVBand="0" w:oddHBand="0" w:evenHBand="0" w:firstRowFirstColumn="0" w:firstRowLastColumn="0" w:lastRowFirstColumn="0" w:lastRowLastColumn="0"/>
          <w:trHeight w:val="432"/>
          <w:tblHeader/>
        </w:trPr>
        <w:tc>
          <w:tcPr>
            <w:tcW w:w="1569" w:type="pct"/>
          </w:tcPr>
          <w:p w14:paraId="7BBAA76B" w14:textId="77777777" w:rsidR="00DA4F61" w:rsidRPr="00DA4F61" w:rsidRDefault="00DA4F61" w:rsidP="00DA4F61">
            <w:pPr>
              <w:pStyle w:val="Tabletext"/>
            </w:pPr>
            <w:r w:rsidRPr="00DA4F61">
              <w:t>Perspective</w:t>
            </w:r>
          </w:p>
        </w:tc>
        <w:tc>
          <w:tcPr>
            <w:tcW w:w="3431" w:type="pct"/>
          </w:tcPr>
          <w:p w14:paraId="42B5B007" w14:textId="77777777" w:rsidR="00DA4F61" w:rsidRPr="00DA4F61" w:rsidRDefault="00DA4F61" w:rsidP="00DA4F61">
            <w:pPr>
              <w:pStyle w:val="Tabletext"/>
            </w:pPr>
            <w:r w:rsidRPr="00DA4F61">
              <w:t>Healthcare payer (Government) perspective</w:t>
            </w:r>
          </w:p>
        </w:tc>
      </w:tr>
      <w:tr w:rsidR="00DA4F61" w:rsidRPr="00DA4F61" w14:paraId="235ED97D" w14:textId="77777777" w:rsidTr="00C10752">
        <w:trPr>
          <w:trHeight w:val="432"/>
        </w:trPr>
        <w:tc>
          <w:tcPr>
            <w:tcW w:w="1569" w:type="pct"/>
          </w:tcPr>
          <w:p w14:paraId="52C68091" w14:textId="77777777" w:rsidR="00DA4F61" w:rsidRPr="00DA4F61" w:rsidRDefault="00DA4F61" w:rsidP="00DA4F61">
            <w:pPr>
              <w:pStyle w:val="Tabletext"/>
            </w:pPr>
            <w:r w:rsidRPr="00DA4F61">
              <w:t>Intervention</w:t>
            </w:r>
          </w:p>
        </w:tc>
        <w:tc>
          <w:tcPr>
            <w:tcW w:w="3431" w:type="pct"/>
          </w:tcPr>
          <w:p w14:paraId="243F16EA" w14:textId="77777777" w:rsidR="00DA4F61" w:rsidRPr="00DA4F61" w:rsidRDefault="00DA4F61" w:rsidP="00DA4F61">
            <w:pPr>
              <w:pStyle w:val="Tabletext"/>
            </w:pPr>
            <w:r w:rsidRPr="00DA4F61">
              <w:t>Cardiac contractility modulation (CCM) therapy (Optimizer® Smart)</w:t>
            </w:r>
          </w:p>
        </w:tc>
      </w:tr>
      <w:tr w:rsidR="00DA4F61" w:rsidRPr="00DA4F61" w14:paraId="1FB01646" w14:textId="77777777" w:rsidTr="00C10752">
        <w:trPr>
          <w:trHeight w:val="20"/>
        </w:trPr>
        <w:tc>
          <w:tcPr>
            <w:tcW w:w="1569" w:type="pct"/>
          </w:tcPr>
          <w:p w14:paraId="08CA5905" w14:textId="77777777" w:rsidR="00DA4F61" w:rsidRPr="00DA4F61" w:rsidRDefault="00DA4F61" w:rsidP="00DA4F61">
            <w:pPr>
              <w:pStyle w:val="Tabletext"/>
            </w:pPr>
            <w:r w:rsidRPr="00DA4F61">
              <w:t>Comparator</w:t>
            </w:r>
          </w:p>
        </w:tc>
        <w:tc>
          <w:tcPr>
            <w:tcW w:w="3431" w:type="pct"/>
          </w:tcPr>
          <w:p w14:paraId="55C5C8AA" w14:textId="77777777" w:rsidR="00DA4F61" w:rsidRPr="00DA4F61" w:rsidRDefault="00DA4F61" w:rsidP="00DA4F61">
            <w:pPr>
              <w:pStyle w:val="Tabletext"/>
            </w:pPr>
            <w:r w:rsidRPr="00DA4F61">
              <w:t xml:space="preserve">Optimal Medical Therapy (OMT, or otherwise referred as standard of care or </w:t>
            </w:r>
            <w:proofErr w:type="spellStart"/>
            <w:r w:rsidRPr="00DA4F61">
              <w:t>SoC</w:t>
            </w:r>
            <w:proofErr w:type="spellEnd"/>
            <w:r w:rsidRPr="00DA4F61">
              <w:t>)</w:t>
            </w:r>
          </w:p>
        </w:tc>
      </w:tr>
      <w:tr w:rsidR="00DA4F61" w:rsidRPr="00DA4F61" w14:paraId="126735C7" w14:textId="77777777" w:rsidTr="00C10752">
        <w:trPr>
          <w:trHeight w:val="20"/>
        </w:trPr>
        <w:tc>
          <w:tcPr>
            <w:tcW w:w="1569" w:type="pct"/>
          </w:tcPr>
          <w:p w14:paraId="41534037" w14:textId="77777777" w:rsidR="00DA4F61" w:rsidRPr="00DA4F61" w:rsidRDefault="00DA4F61" w:rsidP="00DA4F61">
            <w:pPr>
              <w:pStyle w:val="Tabletext"/>
            </w:pPr>
            <w:r w:rsidRPr="00DA4F61">
              <w:t>Type of economic evaluation</w:t>
            </w:r>
          </w:p>
        </w:tc>
        <w:tc>
          <w:tcPr>
            <w:tcW w:w="3431" w:type="pct"/>
          </w:tcPr>
          <w:p w14:paraId="31D34E14" w14:textId="77777777" w:rsidR="00DA4F61" w:rsidRPr="00DA4F61" w:rsidRDefault="00DA4F61" w:rsidP="00DA4F61">
            <w:pPr>
              <w:pStyle w:val="Tabletext"/>
            </w:pPr>
            <w:r w:rsidRPr="00DA4F61">
              <w:t>Cost utility analysis</w:t>
            </w:r>
          </w:p>
        </w:tc>
      </w:tr>
      <w:tr w:rsidR="00DA4F61" w:rsidRPr="00DA4F61" w14:paraId="0BC7212D" w14:textId="77777777" w:rsidTr="00C10752">
        <w:trPr>
          <w:trHeight w:val="20"/>
        </w:trPr>
        <w:tc>
          <w:tcPr>
            <w:tcW w:w="1569" w:type="pct"/>
          </w:tcPr>
          <w:p w14:paraId="1C86C4F9" w14:textId="77777777" w:rsidR="00DA4F61" w:rsidRPr="00DA4F61" w:rsidRDefault="00DA4F61" w:rsidP="00DA4F61">
            <w:pPr>
              <w:pStyle w:val="Tabletext"/>
            </w:pPr>
            <w:r w:rsidRPr="00DA4F61">
              <w:t>Sources of evidence</w:t>
            </w:r>
          </w:p>
        </w:tc>
        <w:tc>
          <w:tcPr>
            <w:tcW w:w="3431" w:type="pct"/>
          </w:tcPr>
          <w:p w14:paraId="793F4857" w14:textId="77777777" w:rsidR="00DA4F61" w:rsidRPr="00DA4F61" w:rsidRDefault="00DA4F61" w:rsidP="00DA4F61">
            <w:pPr>
              <w:pStyle w:val="Tabletext"/>
            </w:pPr>
            <w:r w:rsidRPr="00DA4F61">
              <w:t>Clinical trial and registry data</w:t>
            </w:r>
          </w:p>
        </w:tc>
      </w:tr>
      <w:tr w:rsidR="00DA4F61" w:rsidRPr="00DA4F61" w14:paraId="302FCDFB" w14:textId="77777777" w:rsidTr="00C10752">
        <w:trPr>
          <w:trHeight w:val="20"/>
        </w:trPr>
        <w:tc>
          <w:tcPr>
            <w:tcW w:w="1569" w:type="pct"/>
            <w:hideMark/>
          </w:tcPr>
          <w:p w14:paraId="715080A7" w14:textId="77777777" w:rsidR="00DA4F61" w:rsidRPr="00DA4F61" w:rsidRDefault="00DA4F61" w:rsidP="00DA4F61">
            <w:pPr>
              <w:pStyle w:val="Tabletext"/>
            </w:pPr>
            <w:r w:rsidRPr="00DA4F61">
              <w:t>Time horizon</w:t>
            </w:r>
          </w:p>
        </w:tc>
        <w:tc>
          <w:tcPr>
            <w:tcW w:w="3431" w:type="pct"/>
            <w:hideMark/>
          </w:tcPr>
          <w:p w14:paraId="3864878C" w14:textId="77777777" w:rsidR="00DA4F61" w:rsidRPr="00DA4F61" w:rsidRDefault="00DA4F61" w:rsidP="00DA4F61">
            <w:pPr>
              <w:pStyle w:val="Tabletext"/>
            </w:pPr>
            <w:r w:rsidRPr="00DA4F61">
              <w:t>Life-time (40 years)</w:t>
            </w:r>
          </w:p>
          <w:p w14:paraId="03B0C986" w14:textId="77777777" w:rsidR="00DA4F61" w:rsidRPr="00DA4F61" w:rsidRDefault="00DA4F61" w:rsidP="00DA4F61">
            <w:pPr>
              <w:pStyle w:val="Tabletext"/>
            </w:pPr>
            <w:r w:rsidRPr="00DA4F61">
              <w:t xml:space="preserve">Shorter cycle lengths were also available </w:t>
            </w:r>
          </w:p>
        </w:tc>
      </w:tr>
      <w:tr w:rsidR="00DA4F61" w:rsidRPr="00DA4F61" w14:paraId="3BA2EF9D" w14:textId="77777777" w:rsidTr="00C10752">
        <w:trPr>
          <w:trHeight w:val="20"/>
        </w:trPr>
        <w:tc>
          <w:tcPr>
            <w:tcW w:w="1569" w:type="pct"/>
            <w:hideMark/>
          </w:tcPr>
          <w:p w14:paraId="34FDE7C8" w14:textId="77777777" w:rsidR="00DA4F61" w:rsidRPr="00DA4F61" w:rsidRDefault="00DA4F61" w:rsidP="00DA4F61">
            <w:pPr>
              <w:pStyle w:val="Tabletext"/>
            </w:pPr>
            <w:r w:rsidRPr="00DA4F61">
              <w:t>Outcomes</w:t>
            </w:r>
          </w:p>
        </w:tc>
        <w:tc>
          <w:tcPr>
            <w:tcW w:w="3431" w:type="pct"/>
          </w:tcPr>
          <w:p w14:paraId="0BB1B615" w14:textId="77777777" w:rsidR="00DA4F61" w:rsidRPr="00DA4F61" w:rsidRDefault="00DA4F61" w:rsidP="00DA4F61">
            <w:pPr>
              <w:pStyle w:val="Tabletext"/>
            </w:pPr>
            <w:r w:rsidRPr="00DA4F61">
              <w:t>LYGs and QALYs</w:t>
            </w:r>
          </w:p>
        </w:tc>
      </w:tr>
      <w:tr w:rsidR="00DA4F61" w:rsidRPr="00DA4F61" w14:paraId="76DAD2EC" w14:textId="77777777" w:rsidTr="00C10752">
        <w:trPr>
          <w:trHeight w:val="20"/>
        </w:trPr>
        <w:tc>
          <w:tcPr>
            <w:tcW w:w="1569" w:type="pct"/>
            <w:hideMark/>
          </w:tcPr>
          <w:p w14:paraId="74CF2569" w14:textId="77777777" w:rsidR="00DA4F61" w:rsidRPr="00DA4F61" w:rsidRDefault="00DA4F61" w:rsidP="00DA4F61">
            <w:pPr>
              <w:pStyle w:val="Tabletext"/>
            </w:pPr>
            <w:r w:rsidRPr="00DA4F61">
              <w:t>Methods used to generate results</w:t>
            </w:r>
          </w:p>
        </w:tc>
        <w:tc>
          <w:tcPr>
            <w:tcW w:w="3431" w:type="pct"/>
          </w:tcPr>
          <w:p w14:paraId="49DB2302" w14:textId="77777777" w:rsidR="00DA4F61" w:rsidRPr="00DA4F61" w:rsidRDefault="00DA4F61" w:rsidP="00DA4F61">
            <w:pPr>
              <w:pStyle w:val="Tabletext"/>
            </w:pPr>
            <w:r w:rsidRPr="00DA4F61">
              <w:t>Trial-based, individual sampling simulation &amp; cohort hybrid model</w:t>
            </w:r>
          </w:p>
        </w:tc>
      </w:tr>
      <w:tr w:rsidR="00DA4F61" w:rsidRPr="00DA4F61" w14:paraId="3BBB5AA4" w14:textId="77777777" w:rsidTr="00C10752">
        <w:trPr>
          <w:trHeight w:val="20"/>
        </w:trPr>
        <w:tc>
          <w:tcPr>
            <w:tcW w:w="1569" w:type="pct"/>
          </w:tcPr>
          <w:p w14:paraId="43DAA7B6" w14:textId="77777777" w:rsidR="00DA4F61" w:rsidRPr="00DA4F61" w:rsidRDefault="00DA4F61" w:rsidP="00DA4F61">
            <w:pPr>
              <w:pStyle w:val="Tabletext"/>
            </w:pPr>
            <w:r w:rsidRPr="00DA4F61">
              <w:t>Health states</w:t>
            </w:r>
          </w:p>
        </w:tc>
        <w:tc>
          <w:tcPr>
            <w:tcW w:w="3431" w:type="pct"/>
          </w:tcPr>
          <w:p w14:paraId="3660D440" w14:textId="77777777" w:rsidR="00DA4F61" w:rsidRPr="00DA4F61" w:rsidRDefault="00DA4F61" w:rsidP="00DA4F61">
            <w:pPr>
              <w:pStyle w:val="Tabletext"/>
            </w:pPr>
            <w:r w:rsidRPr="00DA4F61">
              <w:t>NYHA Classes (I/II, III and IV) and death</w:t>
            </w:r>
          </w:p>
        </w:tc>
      </w:tr>
      <w:tr w:rsidR="00DA4F61" w:rsidRPr="00DA4F61" w14:paraId="7E0AE578" w14:textId="77777777" w:rsidTr="00C10752">
        <w:trPr>
          <w:trHeight w:val="20"/>
        </w:trPr>
        <w:tc>
          <w:tcPr>
            <w:tcW w:w="1569" w:type="pct"/>
            <w:hideMark/>
          </w:tcPr>
          <w:p w14:paraId="1D9112AF" w14:textId="77777777" w:rsidR="00DA4F61" w:rsidRPr="00DA4F61" w:rsidRDefault="00DA4F61" w:rsidP="00DA4F61">
            <w:pPr>
              <w:pStyle w:val="Tabletext"/>
            </w:pPr>
            <w:r w:rsidRPr="00DA4F61">
              <w:t>Cycle length</w:t>
            </w:r>
          </w:p>
        </w:tc>
        <w:tc>
          <w:tcPr>
            <w:tcW w:w="3431" w:type="pct"/>
          </w:tcPr>
          <w:p w14:paraId="61867387" w14:textId="77777777" w:rsidR="00DA4F61" w:rsidRPr="00DA4F61" w:rsidRDefault="00DA4F61" w:rsidP="00DA4F61">
            <w:pPr>
              <w:pStyle w:val="Tabletext"/>
            </w:pPr>
            <w:r w:rsidRPr="00DA4F61">
              <w:t>Monthly</w:t>
            </w:r>
          </w:p>
        </w:tc>
      </w:tr>
      <w:tr w:rsidR="00DA4F61" w:rsidRPr="00DA4F61" w14:paraId="419FF0B6" w14:textId="77777777" w:rsidTr="00C10752">
        <w:trPr>
          <w:trHeight w:val="20"/>
        </w:trPr>
        <w:tc>
          <w:tcPr>
            <w:tcW w:w="1569" w:type="pct"/>
            <w:hideMark/>
          </w:tcPr>
          <w:p w14:paraId="03122E39" w14:textId="77777777" w:rsidR="00DA4F61" w:rsidRPr="00DA4F61" w:rsidRDefault="00DA4F61" w:rsidP="00DA4F61">
            <w:pPr>
              <w:pStyle w:val="Tabletext"/>
            </w:pPr>
            <w:r w:rsidRPr="00DA4F61">
              <w:t>Discount rate</w:t>
            </w:r>
          </w:p>
        </w:tc>
        <w:tc>
          <w:tcPr>
            <w:tcW w:w="3431" w:type="pct"/>
          </w:tcPr>
          <w:p w14:paraId="6B83FD79" w14:textId="77777777" w:rsidR="00DA4F61" w:rsidRPr="00DA4F61" w:rsidRDefault="00DA4F61" w:rsidP="00DA4F61">
            <w:pPr>
              <w:pStyle w:val="Tabletext"/>
            </w:pPr>
            <w:r w:rsidRPr="00DA4F61">
              <w:t>5%</w:t>
            </w:r>
          </w:p>
        </w:tc>
      </w:tr>
      <w:tr w:rsidR="00DA4F61" w:rsidRPr="00DA4F61" w14:paraId="664D4A26" w14:textId="77777777" w:rsidTr="00C10752">
        <w:trPr>
          <w:trHeight w:val="20"/>
        </w:trPr>
        <w:tc>
          <w:tcPr>
            <w:tcW w:w="1569" w:type="pct"/>
            <w:hideMark/>
          </w:tcPr>
          <w:p w14:paraId="2FE25A4C" w14:textId="77777777" w:rsidR="00DA4F61" w:rsidRPr="00DA4F61" w:rsidRDefault="00DA4F61" w:rsidP="00DA4F61">
            <w:pPr>
              <w:pStyle w:val="Tabletext"/>
            </w:pPr>
            <w:r w:rsidRPr="00DA4F61">
              <w:t>Software packages used</w:t>
            </w:r>
          </w:p>
        </w:tc>
        <w:tc>
          <w:tcPr>
            <w:tcW w:w="3431" w:type="pct"/>
          </w:tcPr>
          <w:p w14:paraId="19AEE9D5" w14:textId="77777777" w:rsidR="00DA4F61" w:rsidRPr="00DA4F61" w:rsidRDefault="00DA4F61" w:rsidP="00DA4F61">
            <w:pPr>
              <w:pStyle w:val="Tabletext"/>
            </w:pPr>
            <w:r w:rsidRPr="00DA4F61">
              <w:t>Excel and R</w:t>
            </w:r>
          </w:p>
        </w:tc>
      </w:tr>
    </w:tbl>
    <w:p w14:paraId="3E226F5E" w14:textId="77777777" w:rsidR="00A142A9" w:rsidRDefault="00A142A9" w:rsidP="00A142A9">
      <w:pPr>
        <w:pStyle w:val="Tablenotes"/>
        <w:ind w:left="0" w:firstLine="0"/>
      </w:pPr>
      <w:r w:rsidRPr="00255EE7">
        <w:rPr>
          <w:b/>
        </w:rPr>
        <w:t>Abbreviations</w:t>
      </w:r>
      <w:r w:rsidRPr="00255EE7">
        <w:t>: LYGs = life-years gained; NYHA = New York Heart Association; OMT = optimal medical th</w:t>
      </w:r>
      <w:r>
        <w:t>erapy; QALY = quality-adjusted l</w:t>
      </w:r>
      <w:r w:rsidRPr="00255EE7">
        <w:t>if</w:t>
      </w:r>
      <w:r>
        <w:t xml:space="preserve">e years; </w:t>
      </w:r>
      <w:proofErr w:type="spellStart"/>
      <w:r>
        <w:t>SoC</w:t>
      </w:r>
      <w:proofErr w:type="spellEnd"/>
      <w:r>
        <w:t xml:space="preserve"> = standard of care</w:t>
      </w:r>
    </w:p>
    <w:p w14:paraId="793DF7E8" w14:textId="75468436" w:rsidR="00DA4F61" w:rsidRPr="00255EE7" w:rsidRDefault="005F5988" w:rsidP="00916C86">
      <w:pPr>
        <w:spacing w:after="240"/>
        <w:rPr>
          <w:szCs w:val="24"/>
        </w:rPr>
      </w:pPr>
      <w:r>
        <w:rPr>
          <w:szCs w:val="24"/>
        </w:rPr>
        <w:t>The C</w:t>
      </w:r>
      <w:r w:rsidR="00DA4F61" w:rsidRPr="00255EE7">
        <w:rPr>
          <w:szCs w:val="24"/>
        </w:rPr>
        <w:t xml:space="preserve">ritique stated that the applicant’s economic model was complex, with limited information provided to fully appraise the model and noted several significant model defects. As a result, the </w:t>
      </w:r>
      <w:r w:rsidR="00DA4F61">
        <w:rPr>
          <w:szCs w:val="24"/>
        </w:rPr>
        <w:t>C</w:t>
      </w:r>
      <w:r w:rsidR="00DA4F61" w:rsidRPr="00255EE7">
        <w:rPr>
          <w:szCs w:val="24"/>
        </w:rPr>
        <w:t>ritique advised caution w</w:t>
      </w:r>
      <w:r w:rsidR="00DA4F61">
        <w:rPr>
          <w:szCs w:val="24"/>
        </w:rPr>
        <w:t>hen</w:t>
      </w:r>
      <w:r w:rsidR="00916C86">
        <w:rPr>
          <w:szCs w:val="24"/>
        </w:rPr>
        <w:t xml:space="preserve"> interpreting modelled results.</w:t>
      </w:r>
    </w:p>
    <w:p w14:paraId="4C208EF7" w14:textId="540C4BBD" w:rsidR="00DA4F61" w:rsidRPr="00255EE7" w:rsidRDefault="00DA4F61" w:rsidP="00916C86">
      <w:pPr>
        <w:spacing w:after="240"/>
        <w:rPr>
          <w:szCs w:val="24"/>
        </w:rPr>
      </w:pPr>
      <w:r w:rsidRPr="00255EE7">
        <w:rPr>
          <w:szCs w:val="24"/>
        </w:rPr>
        <w:t xml:space="preserve">The current resubmission’s base-case incremental cost-effectiveness ratio (ICER) was $35,630 per quality-adjusted life year (QALY) gained over </w:t>
      </w:r>
      <w:r>
        <w:rPr>
          <w:szCs w:val="24"/>
        </w:rPr>
        <w:t xml:space="preserve">a </w:t>
      </w:r>
      <w:r w:rsidRPr="00255EE7">
        <w:rPr>
          <w:szCs w:val="24"/>
        </w:rPr>
        <w:t>lifetime</w:t>
      </w:r>
      <w:r>
        <w:rPr>
          <w:szCs w:val="24"/>
        </w:rPr>
        <w:t xml:space="preserve"> time horizon</w:t>
      </w:r>
      <w:r w:rsidRPr="00255EE7">
        <w:rPr>
          <w:szCs w:val="24"/>
        </w:rPr>
        <w:t xml:space="preserve">. The result of this base-case was </w:t>
      </w:r>
      <w:r>
        <w:rPr>
          <w:szCs w:val="24"/>
        </w:rPr>
        <w:t>based</w:t>
      </w:r>
      <w:r w:rsidRPr="00255EE7">
        <w:rPr>
          <w:szCs w:val="24"/>
        </w:rPr>
        <w:t xml:space="preserve"> on </w:t>
      </w:r>
      <w:r>
        <w:rPr>
          <w:szCs w:val="24"/>
        </w:rPr>
        <w:t xml:space="preserve">a number of unsupported </w:t>
      </w:r>
      <w:r w:rsidRPr="00255EE7">
        <w:rPr>
          <w:szCs w:val="24"/>
        </w:rPr>
        <w:t xml:space="preserve">model settings and assumptions. The detailed incremental costs and QALYs are tabulated in </w:t>
      </w:r>
      <w:r w:rsidR="00916C86">
        <w:rPr>
          <w:szCs w:val="24"/>
        </w:rPr>
        <w:fldChar w:fldCharType="begin"/>
      </w:r>
      <w:r w:rsidR="00916C86">
        <w:rPr>
          <w:szCs w:val="24"/>
        </w:rPr>
        <w:instrText xml:space="preserve"> REF _Ref534980893 \h </w:instrText>
      </w:r>
      <w:r w:rsidR="00916C86">
        <w:rPr>
          <w:szCs w:val="24"/>
        </w:rPr>
      </w:r>
      <w:r w:rsidR="00916C86">
        <w:rPr>
          <w:szCs w:val="24"/>
        </w:rPr>
        <w:fldChar w:fldCharType="separate"/>
      </w:r>
      <w:r w:rsidR="00E14BA7" w:rsidRPr="00255EE7">
        <w:t xml:space="preserve">Table </w:t>
      </w:r>
      <w:r w:rsidR="00E14BA7">
        <w:rPr>
          <w:noProof/>
        </w:rPr>
        <w:t>5</w:t>
      </w:r>
      <w:r w:rsidR="00916C86">
        <w:rPr>
          <w:szCs w:val="24"/>
        </w:rPr>
        <w:fldChar w:fldCharType="end"/>
      </w:r>
      <w:r w:rsidRPr="00255EE7">
        <w:rPr>
          <w:szCs w:val="24"/>
        </w:rPr>
        <w:t xml:space="preserve">. The </w:t>
      </w:r>
      <w:r>
        <w:rPr>
          <w:szCs w:val="24"/>
        </w:rPr>
        <w:t>C</w:t>
      </w:r>
      <w:r w:rsidRPr="00255EE7">
        <w:rPr>
          <w:szCs w:val="24"/>
        </w:rPr>
        <w:t xml:space="preserve">ritique identified errors with costing inputs and re-calculated a </w:t>
      </w:r>
      <w:r>
        <w:rPr>
          <w:szCs w:val="24"/>
        </w:rPr>
        <w:t xml:space="preserve">(partially corrected) </w:t>
      </w:r>
      <w:r w:rsidRPr="00255EE7">
        <w:rPr>
          <w:szCs w:val="24"/>
        </w:rPr>
        <w:t>base-case I</w:t>
      </w:r>
      <w:r w:rsidR="00916C86">
        <w:rPr>
          <w:szCs w:val="24"/>
        </w:rPr>
        <w:t>CER of $52,301 per QALY gained.</w:t>
      </w:r>
    </w:p>
    <w:p w14:paraId="1819857B" w14:textId="344BC593" w:rsidR="00DA4F61" w:rsidRPr="00255EE7" w:rsidRDefault="00DA4F61" w:rsidP="00A142A9">
      <w:pPr>
        <w:pStyle w:val="TableHeader1"/>
      </w:pPr>
      <w:bookmarkStart w:id="11" w:name="_Ref534980893"/>
      <w:bookmarkStart w:id="12" w:name="_Toc525809358"/>
      <w:bookmarkStart w:id="13" w:name="_Toc525809428"/>
      <w:r w:rsidRPr="00255EE7">
        <w:t xml:space="preserve">Table </w:t>
      </w:r>
      <w:r w:rsidRPr="00255EE7">
        <w:rPr>
          <w:noProof/>
        </w:rPr>
        <w:fldChar w:fldCharType="begin"/>
      </w:r>
      <w:r w:rsidRPr="00255EE7">
        <w:rPr>
          <w:noProof/>
        </w:rPr>
        <w:instrText xml:space="preserve"> SEQ Table \* ARABIC </w:instrText>
      </w:r>
      <w:r w:rsidRPr="00255EE7">
        <w:rPr>
          <w:noProof/>
        </w:rPr>
        <w:fldChar w:fldCharType="separate"/>
      </w:r>
      <w:r w:rsidR="00E14BA7">
        <w:rPr>
          <w:noProof/>
        </w:rPr>
        <w:t>5</w:t>
      </w:r>
      <w:r w:rsidRPr="00255EE7">
        <w:rPr>
          <w:noProof/>
        </w:rPr>
        <w:fldChar w:fldCharType="end"/>
      </w:r>
      <w:bookmarkEnd w:id="11"/>
      <w:r w:rsidRPr="00255EE7">
        <w:t xml:space="preserve"> </w:t>
      </w:r>
      <w:r w:rsidRPr="00255EE7">
        <w:tab/>
        <w:t xml:space="preserve">Base-case results for </w:t>
      </w:r>
      <w:bookmarkEnd w:id="12"/>
      <w:bookmarkEnd w:id="13"/>
      <w:r w:rsidRPr="00255EE7">
        <w:t>CCM (40 year time horizon)</w:t>
      </w:r>
    </w:p>
    <w:tbl>
      <w:tblPr>
        <w:tblStyle w:val="TableGrid2"/>
        <w:tblW w:w="5000" w:type="pct"/>
        <w:tblLayout w:type="fixed"/>
        <w:tblLook w:val="04A0" w:firstRow="1" w:lastRow="0" w:firstColumn="1" w:lastColumn="0" w:noHBand="0" w:noVBand="1"/>
        <w:tblCaption w:val="Base-Case results for CCM (relative to OMT)"/>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690"/>
        <w:gridCol w:w="1266"/>
        <w:gridCol w:w="1266"/>
        <w:gridCol w:w="1266"/>
        <w:gridCol w:w="1266"/>
        <w:gridCol w:w="1262"/>
      </w:tblGrid>
      <w:tr w:rsidR="00DA4F61" w:rsidRPr="00255EE7" w14:paraId="6D532700" w14:textId="77777777" w:rsidTr="005F5988">
        <w:trPr>
          <w:cnfStyle w:val="100000000000" w:firstRow="1" w:lastRow="0" w:firstColumn="0" w:lastColumn="0" w:oddVBand="0" w:evenVBand="0" w:oddHBand="0" w:evenHBand="0" w:firstRowFirstColumn="0" w:firstRowLastColumn="0" w:lastRowFirstColumn="0" w:lastRowLastColumn="0"/>
          <w:tblHeader/>
        </w:trPr>
        <w:tc>
          <w:tcPr>
            <w:tcW w:w="1492" w:type="pct"/>
            <w:tcBorders>
              <w:bottom w:val="single" w:sz="4" w:space="0" w:color="auto"/>
            </w:tcBorders>
            <w:shd w:val="clear" w:color="auto" w:fill="D9D9D9" w:themeFill="background1" w:themeFillShade="D9"/>
          </w:tcPr>
          <w:p w14:paraId="26227ACE" w14:textId="77777777" w:rsidR="00DA4F61" w:rsidRPr="00A142A9" w:rsidRDefault="00DA4F61" w:rsidP="00A142A9">
            <w:pPr>
              <w:pStyle w:val="Tabletext"/>
              <w:rPr>
                <w:b/>
              </w:rPr>
            </w:pPr>
          </w:p>
        </w:tc>
        <w:tc>
          <w:tcPr>
            <w:tcW w:w="702" w:type="pct"/>
            <w:tcBorders>
              <w:bottom w:val="single" w:sz="4" w:space="0" w:color="auto"/>
            </w:tcBorders>
            <w:shd w:val="clear" w:color="auto" w:fill="D9D9D9" w:themeFill="background1" w:themeFillShade="D9"/>
          </w:tcPr>
          <w:p w14:paraId="13CDF061" w14:textId="77777777" w:rsidR="00DA4F61" w:rsidRPr="00A142A9" w:rsidRDefault="00DA4F61" w:rsidP="00A142A9">
            <w:pPr>
              <w:pStyle w:val="Tabletext"/>
              <w:rPr>
                <w:b/>
              </w:rPr>
            </w:pPr>
            <w:r w:rsidRPr="00A142A9">
              <w:rPr>
                <w:b/>
              </w:rPr>
              <w:t>Cost</w:t>
            </w:r>
          </w:p>
        </w:tc>
        <w:tc>
          <w:tcPr>
            <w:tcW w:w="702" w:type="pct"/>
            <w:tcBorders>
              <w:bottom w:val="single" w:sz="4" w:space="0" w:color="auto"/>
            </w:tcBorders>
            <w:shd w:val="clear" w:color="auto" w:fill="D9D9D9" w:themeFill="background1" w:themeFillShade="D9"/>
          </w:tcPr>
          <w:p w14:paraId="5E8B6DE9" w14:textId="77777777" w:rsidR="00DA4F61" w:rsidRPr="00A142A9" w:rsidRDefault="00DA4F61" w:rsidP="00A142A9">
            <w:pPr>
              <w:pStyle w:val="Tabletext"/>
              <w:rPr>
                <w:b/>
              </w:rPr>
            </w:pPr>
            <w:r w:rsidRPr="00A142A9">
              <w:rPr>
                <w:b/>
              </w:rPr>
              <w:t>Incremental cost</w:t>
            </w:r>
          </w:p>
        </w:tc>
        <w:tc>
          <w:tcPr>
            <w:tcW w:w="702" w:type="pct"/>
            <w:tcBorders>
              <w:bottom w:val="single" w:sz="4" w:space="0" w:color="auto"/>
            </w:tcBorders>
            <w:shd w:val="clear" w:color="auto" w:fill="D9D9D9" w:themeFill="background1" w:themeFillShade="D9"/>
          </w:tcPr>
          <w:p w14:paraId="26047816" w14:textId="77777777" w:rsidR="00DA4F61" w:rsidRPr="00A142A9" w:rsidRDefault="00DA4F61" w:rsidP="00A142A9">
            <w:pPr>
              <w:pStyle w:val="Tabletext"/>
              <w:rPr>
                <w:b/>
              </w:rPr>
            </w:pPr>
            <w:r w:rsidRPr="00A142A9">
              <w:rPr>
                <w:b/>
              </w:rPr>
              <w:t>Effectiveness (QALYs)</w:t>
            </w:r>
          </w:p>
        </w:tc>
        <w:tc>
          <w:tcPr>
            <w:tcW w:w="702" w:type="pct"/>
            <w:tcBorders>
              <w:bottom w:val="single" w:sz="4" w:space="0" w:color="auto"/>
            </w:tcBorders>
            <w:shd w:val="clear" w:color="auto" w:fill="D9D9D9" w:themeFill="background1" w:themeFillShade="D9"/>
          </w:tcPr>
          <w:p w14:paraId="147FA1D0" w14:textId="77777777" w:rsidR="00DA4F61" w:rsidRPr="00A142A9" w:rsidRDefault="00DA4F61" w:rsidP="00A142A9">
            <w:pPr>
              <w:pStyle w:val="Tabletext"/>
              <w:rPr>
                <w:b/>
              </w:rPr>
            </w:pPr>
            <w:r w:rsidRPr="00A142A9">
              <w:rPr>
                <w:b/>
              </w:rPr>
              <w:t>Incremental effectiveness</w:t>
            </w:r>
          </w:p>
        </w:tc>
        <w:tc>
          <w:tcPr>
            <w:tcW w:w="700" w:type="pct"/>
            <w:tcBorders>
              <w:bottom w:val="single" w:sz="4" w:space="0" w:color="auto"/>
            </w:tcBorders>
            <w:shd w:val="clear" w:color="auto" w:fill="D9D9D9" w:themeFill="background1" w:themeFillShade="D9"/>
          </w:tcPr>
          <w:p w14:paraId="7F6F566A" w14:textId="77777777" w:rsidR="00DA4F61" w:rsidRPr="00A142A9" w:rsidRDefault="00DA4F61" w:rsidP="00A142A9">
            <w:pPr>
              <w:pStyle w:val="Tabletext"/>
              <w:rPr>
                <w:b/>
              </w:rPr>
            </w:pPr>
            <w:r w:rsidRPr="00A142A9">
              <w:rPr>
                <w:b/>
              </w:rPr>
              <w:t>ICER</w:t>
            </w:r>
          </w:p>
        </w:tc>
      </w:tr>
      <w:tr w:rsidR="00DA4F61" w:rsidRPr="00255EE7" w14:paraId="4CC310B3" w14:textId="77777777" w:rsidTr="005F5988">
        <w:tc>
          <w:tcPr>
            <w:tcW w:w="1492" w:type="pct"/>
            <w:tcBorders>
              <w:top w:val="single" w:sz="4" w:space="0" w:color="auto"/>
              <w:left w:val="single" w:sz="4" w:space="0" w:color="auto"/>
              <w:bottom w:val="single" w:sz="4" w:space="0" w:color="auto"/>
              <w:right w:val="nil"/>
            </w:tcBorders>
          </w:tcPr>
          <w:p w14:paraId="2A0C2D01" w14:textId="77777777" w:rsidR="00DA4F61" w:rsidRPr="00255EE7" w:rsidRDefault="00DA4F61" w:rsidP="00A142A9">
            <w:pPr>
              <w:pStyle w:val="Tabletext"/>
            </w:pPr>
            <w:r w:rsidRPr="00255EE7">
              <w:t>Applicant’s modelled results</w:t>
            </w:r>
          </w:p>
        </w:tc>
        <w:tc>
          <w:tcPr>
            <w:tcW w:w="702" w:type="pct"/>
            <w:tcBorders>
              <w:top w:val="single" w:sz="4" w:space="0" w:color="auto"/>
              <w:left w:val="nil"/>
              <w:bottom w:val="single" w:sz="4" w:space="0" w:color="auto"/>
              <w:right w:val="nil"/>
            </w:tcBorders>
          </w:tcPr>
          <w:p w14:paraId="30273889" w14:textId="77777777" w:rsidR="00DA4F61" w:rsidRPr="00255EE7" w:rsidRDefault="00DA4F61" w:rsidP="00A142A9">
            <w:pPr>
              <w:pStyle w:val="Tabletext"/>
            </w:pPr>
          </w:p>
        </w:tc>
        <w:tc>
          <w:tcPr>
            <w:tcW w:w="702" w:type="pct"/>
            <w:tcBorders>
              <w:top w:val="single" w:sz="4" w:space="0" w:color="auto"/>
              <w:left w:val="nil"/>
              <w:bottom w:val="single" w:sz="4" w:space="0" w:color="auto"/>
              <w:right w:val="nil"/>
            </w:tcBorders>
          </w:tcPr>
          <w:p w14:paraId="6BB0A9F2" w14:textId="77777777" w:rsidR="00DA4F61" w:rsidRPr="00255EE7" w:rsidRDefault="00DA4F61" w:rsidP="00A142A9">
            <w:pPr>
              <w:pStyle w:val="Tabletext"/>
            </w:pPr>
          </w:p>
        </w:tc>
        <w:tc>
          <w:tcPr>
            <w:tcW w:w="702" w:type="pct"/>
            <w:tcBorders>
              <w:top w:val="single" w:sz="4" w:space="0" w:color="auto"/>
              <w:left w:val="nil"/>
              <w:bottom w:val="single" w:sz="4" w:space="0" w:color="auto"/>
              <w:right w:val="nil"/>
            </w:tcBorders>
          </w:tcPr>
          <w:p w14:paraId="7374A25F" w14:textId="77777777" w:rsidR="00DA4F61" w:rsidRPr="00255EE7" w:rsidRDefault="00DA4F61" w:rsidP="00A142A9">
            <w:pPr>
              <w:pStyle w:val="Tabletext"/>
            </w:pPr>
          </w:p>
        </w:tc>
        <w:tc>
          <w:tcPr>
            <w:tcW w:w="702" w:type="pct"/>
            <w:tcBorders>
              <w:top w:val="single" w:sz="4" w:space="0" w:color="auto"/>
              <w:left w:val="nil"/>
              <w:bottom w:val="single" w:sz="4" w:space="0" w:color="auto"/>
              <w:right w:val="nil"/>
            </w:tcBorders>
          </w:tcPr>
          <w:p w14:paraId="5C860148" w14:textId="77777777" w:rsidR="00DA4F61" w:rsidRPr="00255EE7" w:rsidRDefault="00DA4F61" w:rsidP="00A142A9">
            <w:pPr>
              <w:pStyle w:val="Tabletext"/>
            </w:pPr>
          </w:p>
        </w:tc>
        <w:tc>
          <w:tcPr>
            <w:tcW w:w="700" w:type="pct"/>
            <w:tcBorders>
              <w:top w:val="single" w:sz="4" w:space="0" w:color="auto"/>
              <w:left w:val="nil"/>
              <w:bottom w:val="single" w:sz="4" w:space="0" w:color="auto"/>
              <w:right w:val="single" w:sz="4" w:space="0" w:color="auto"/>
            </w:tcBorders>
          </w:tcPr>
          <w:p w14:paraId="1BEC2138" w14:textId="77777777" w:rsidR="00DA4F61" w:rsidRPr="00255EE7" w:rsidRDefault="00DA4F61" w:rsidP="00A142A9">
            <w:pPr>
              <w:pStyle w:val="Tabletext"/>
            </w:pPr>
          </w:p>
        </w:tc>
      </w:tr>
      <w:tr w:rsidR="00DA4F61" w:rsidRPr="00255EE7" w14:paraId="51413899" w14:textId="77777777" w:rsidTr="005F5988">
        <w:tc>
          <w:tcPr>
            <w:tcW w:w="1492" w:type="pct"/>
            <w:tcBorders>
              <w:top w:val="single" w:sz="4" w:space="0" w:color="auto"/>
            </w:tcBorders>
          </w:tcPr>
          <w:p w14:paraId="72647512" w14:textId="77777777" w:rsidR="00DA4F61" w:rsidRPr="00255EE7" w:rsidRDefault="00DA4F61" w:rsidP="00A142A9">
            <w:pPr>
              <w:pStyle w:val="Tabletext"/>
            </w:pPr>
            <w:r w:rsidRPr="00255EE7">
              <w:t>CCM therapy</w:t>
            </w:r>
          </w:p>
        </w:tc>
        <w:tc>
          <w:tcPr>
            <w:tcW w:w="702" w:type="pct"/>
            <w:tcBorders>
              <w:top w:val="single" w:sz="4" w:space="0" w:color="auto"/>
            </w:tcBorders>
          </w:tcPr>
          <w:p w14:paraId="12EC2FC6" w14:textId="77777777" w:rsidR="00DA4F61" w:rsidRPr="00255EE7" w:rsidRDefault="00DA4F61" w:rsidP="00A142A9">
            <w:pPr>
              <w:pStyle w:val="Tabletext"/>
            </w:pPr>
            <w:r w:rsidRPr="00255EE7">
              <w:t>$128,255</w:t>
            </w:r>
          </w:p>
        </w:tc>
        <w:tc>
          <w:tcPr>
            <w:tcW w:w="702" w:type="pct"/>
            <w:tcBorders>
              <w:top w:val="single" w:sz="4" w:space="0" w:color="auto"/>
            </w:tcBorders>
          </w:tcPr>
          <w:p w14:paraId="09F178B4" w14:textId="77777777" w:rsidR="00DA4F61" w:rsidRPr="00255EE7" w:rsidRDefault="00DA4F61" w:rsidP="00A142A9">
            <w:pPr>
              <w:pStyle w:val="Tabletext"/>
            </w:pPr>
            <w:r w:rsidRPr="00255EE7">
              <w:t>$36,744</w:t>
            </w:r>
          </w:p>
        </w:tc>
        <w:tc>
          <w:tcPr>
            <w:tcW w:w="702" w:type="pct"/>
            <w:tcBorders>
              <w:top w:val="single" w:sz="4" w:space="0" w:color="auto"/>
            </w:tcBorders>
          </w:tcPr>
          <w:p w14:paraId="0FB04698" w14:textId="77777777" w:rsidR="00DA4F61" w:rsidRPr="00255EE7" w:rsidRDefault="00DA4F61" w:rsidP="00A142A9">
            <w:pPr>
              <w:pStyle w:val="Tabletext"/>
            </w:pPr>
            <w:r w:rsidRPr="00255EE7">
              <w:t>5.790</w:t>
            </w:r>
          </w:p>
        </w:tc>
        <w:tc>
          <w:tcPr>
            <w:tcW w:w="702" w:type="pct"/>
            <w:tcBorders>
              <w:top w:val="single" w:sz="4" w:space="0" w:color="auto"/>
            </w:tcBorders>
          </w:tcPr>
          <w:p w14:paraId="7890E758" w14:textId="77777777" w:rsidR="00DA4F61" w:rsidRPr="00255EE7" w:rsidRDefault="00DA4F61" w:rsidP="00A142A9">
            <w:pPr>
              <w:pStyle w:val="Tabletext"/>
            </w:pPr>
            <w:r w:rsidRPr="00255EE7">
              <w:t>1.03</w:t>
            </w:r>
          </w:p>
        </w:tc>
        <w:tc>
          <w:tcPr>
            <w:tcW w:w="700" w:type="pct"/>
            <w:tcBorders>
              <w:top w:val="single" w:sz="4" w:space="0" w:color="auto"/>
            </w:tcBorders>
          </w:tcPr>
          <w:p w14:paraId="6A0808A9" w14:textId="77777777" w:rsidR="00DA4F61" w:rsidRPr="00255EE7" w:rsidRDefault="00DA4F61" w:rsidP="00A142A9">
            <w:pPr>
              <w:pStyle w:val="Tabletext"/>
            </w:pPr>
            <w:r w:rsidRPr="00255EE7">
              <w:t>$35,630</w:t>
            </w:r>
          </w:p>
        </w:tc>
      </w:tr>
      <w:tr w:rsidR="00DA4F61" w:rsidRPr="00255EE7" w14:paraId="38BB4309" w14:textId="77777777" w:rsidTr="005F5988">
        <w:tc>
          <w:tcPr>
            <w:tcW w:w="1492" w:type="pct"/>
            <w:tcBorders>
              <w:bottom w:val="single" w:sz="4" w:space="0" w:color="auto"/>
            </w:tcBorders>
          </w:tcPr>
          <w:p w14:paraId="4E25336D" w14:textId="77777777" w:rsidR="00DA4F61" w:rsidRPr="00255EE7" w:rsidRDefault="00DA4F61" w:rsidP="00A142A9">
            <w:pPr>
              <w:pStyle w:val="Tabletext"/>
            </w:pPr>
            <w:r w:rsidRPr="00255EE7">
              <w:t>OMT</w:t>
            </w:r>
          </w:p>
        </w:tc>
        <w:tc>
          <w:tcPr>
            <w:tcW w:w="702" w:type="pct"/>
            <w:tcBorders>
              <w:bottom w:val="single" w:sz="4" w:space="0" w:color="auto"/>
            </w:tcBorders>
          </w:tcPr>
          <w:p w14:paraId="0432C161" w14:textId="77777777" w:rsidR="00DA4F61" w:rsidRPr="00255EE7" w:rsidRDefault="00DA4F61" w:rsidP="00A142A9">
            <w:pPr>
              <w:pStyle w:val="Tabletext"/>
            </w:pPr>
            <w:r w:rsidRPr="00255EE7">
              <w:t>$91,511</w:t>
            </w:r>
          </w:p>
        </w:tc>
        <w:tc>
          <w:tcPr>
            <w:tcW w:w="702" w:type="pct"/>
            <w:tcBorders>
              <w:bottom w:val="single" w:sz="4" w:space="0" w:color="auto"/>
            </w:tcBorders>
          </w:tcPr>
          <w:p w14:paraId="2A31657B" w14:textId="77777777" w:rsidR="00DA4F61" w:rsidRPr="00255EE7" w:rsidRDefault="00DA4F61" w:rsidP="00A142A9">
            <w:pPr>
              <w:pStyle w:val="Tabletext"/>
            </w:pPr>
          </w:p>
        </w:tc>
        <w:tc>
          <w:tcPr>
            <w:tcW w:w="702" w:type="pct"/>
            <w:tcBorders>
              <w:bottom w:val="single" w:sz="4" w:space="0" w:color="auto"/>
            </w:tcBorders>
          </w:tcPr>
          <w:p w14:paraId="440EDED9" w14:textId="77777777" w:rsidR="00DA4F61" w:rsidRPr="00255EE7" w:rsidRDefault="00DA4F61" w:rsidP="00A142A9">
            <w:pPr>
              <w:pStyle w:val="Tabletext"/>
            </w:pPr>
            <w:r w:rsidRPr="00255EE7">
              <w:t>4.759</w:t>
            </w:r>
          </w:p>
        </w:tc>
        <w:tc>
          <w:tcPr>
            <w:tcW w:w="702" w:type="pct"/>
            <w:tcBorders>
              <w:bottom w:val="single" w:sz="4" w:space="0" w:color="auto"/>
            </w:tcBorders>
          </w:tcPr>
          <w:p w14:paraId="09880965" w14:textId="77777777" w:rsidR="00DA4F61" w:rsidRPr="00255EE7" w:rsidRDefault="00DA4F61" w:rsidP="00A142A9">
            <w:pPr>
              <w:pStyle w:val="Tabletext"/>
            </w:pPr>
          </w:p>
        </w:tc>
        <w:tc>
          <w:tcPr>
            <w:tcW w:w="700" w:type="pct"/>
            <w:tcBorders>
              <w:bottom w:val="single" w:sz="4" w:space="0" w:color="auto"/>
            </w:tcBorders>
          </w:tcPr>
          <w:p w14:paraId="42DD2402" w14:textId="77777777" w:rsidR="00DA4F61" w:rsidRPr="00255EE7" w:rsidRDefault="00DA4F61" w:rsidP="00A142A9">
            <w:pPr>
              <w:pStyle w:val="Tabletext"/>
            </w:pPr>
          </w:p>
        </w:tc>
      </w:tr>
      <w:tr w:rsidR="005F5988" w:rsidRPr="00255EE7" w14:paraId="604E3CEF" w14:textId="77777777" w:rsidTr="005F5988">
        <w:tc>
          <w:tcPr>
            <w:tcW w:w="5000" w:type="pct"/>
            <w:gridSpan w:val="6"/>
            <w:tcBorders>
              <w:top w:val="single" w:sz="4" w:space="0" w:color="auto"/>
              <w:left w:val="single" w:sz="4" w:space="0" w:color="auto"/>
              <w:bottom w:val="single" w:sz="4" w:space="0" w:color="auto"/>
              <w:right w:val="single" w:sz="4" w:space="0" w:color="auto"/>
            </w:tcBorders>
          </w:tcPr>
          <w:p w14:paraId="61A05E4B" w14:textId="69500D07" w:rsidR="005F5988" w:rsidRPr="005F5988" w:rsidRDefault="005F5988" w:rsidP="005F5988">
            <w:pPr>
              <w:pStyle w:val="Tabletext"/>
              <w:rPr>
                <w:i/>
              </w:rPr>
            </w:pPr>
            <w:r w:rsidRPr="00255EE7">
              <w:rPr>
                <w:i/>
                <w:color w:val="C00000"/>
              </w:rPr>
              <w:t>Critique r</w:t>
            </w:r>
            <w:r>
              <w:rPr>
                <w:i/>
                <w:color w:val="C00000"/>
              </w:rPr>
              <w:t xml:space="preserve">e-calculated </w:t>
            </w:r>
            <w:r w:rsidRPr="00255EE7">
              <w:rPr>
                <w:i/>
                <w:color w:val="C00000"/>
              </w:rPr>
              <w:t>modelled results</w:t>
            </w:r>
          </w:p>
        </w:tc>
      </w:tr>
      <w:tr w:rsidR="00DA4F61" w:rsidRPr="00255EE7" w14:paraId="6015A05D" w14:textId="77777777" w:rsidTr="005F5988">
        <w:tc>
          <w:tcPr>
            <w:tcW w:w="1492" w:type="pct"/>
            <w:tcBorders>
              <w:top w:val="single" w:sz="4" w:space="0" w:color="auto"/>
            </w:tcBorders>
          </w:tcPr>
          <w:p w14:paraId="348486EC" w14:textId="77777777" w:rsidR="00DA4F61" w:rsidRPr="00255EE7" w:rsidRDefault="00DA4F61" w:rsidP="00A142A9">
            <w:pPr>
              <w:pStyle w:val="Tabletext"/>
            </w:pPr>
            <w:r w:rsidRPr="00255EE7">
              <w:t>CCM therapy</w:t>
            </w:r>
          </w:p>
        </w:tc>
        <w:tc>
          <w:tcPr>
            <w:tcW w:w="702" w:type="pct"/>
            <w:tcBorders>
              <w:top w:val="single" w:sz="4" w:space="0" w:color="auto"/>
            </w:tcBorders>
          </w:tcPr>
          <w:p w14:paraId="5B38ED5D" w14:textId="77777777" w:rsidR="00DA4F61" w:rsidRPr="00255EE7" w:rsidRDefault="00DA4F61" w:rsidP="00A142A9">
            <w:pPr>
              <w:pStyle w:val="Tabletext"/>
              <w:rPr>
                <w:i/>
                <w:color w:val="C00000"/>
              </w:rPr>
            </w:pPr>
            <w:r w:rsidRPr="00255EE7">
              <w:rPr>
                <w:i/>
                <w:color w:val="C00000"/>
              </w:rPr>
              <w:t>$162,296</w:t>
            </w:r>
          </w:p>
        </w:tc>
        <w:tc>
          <w:tcPr>
            <w:tcW w:w="702" w:type="pct"/>
            <w:tcBorders>
              <w:top w:val="single" w:sz="4" w:space="0" w:color="auto"/>
            </w:tcBorders>
          </w:tcPr>
          <w:p w14:paraId="31F6FCA0" w14:textId="77777777" w:rsidR="00DA4F61" w:rsidRPr="00255EE7" w:rsidRDefault="00DA4F61" w:rsidP="00A142A9">
            <w:pPr>
              <w:pStyle w:val="Tabletext"/>
              <w:rPr>
                <w:i/>
                <w:color w:val="C00000"/>
              </w:rPr>
            </w:pPr>
            <w:r w:rsidRPr="00255EE7">
              <w:rPr>
                <w:i/>
                <w:color w:val="C00000"/>
              </w:rPr>
              <w:t>$53,937</w:t>
            </w:r>
          </w:p>
        </w:tc>
        <w:tc>
          <w:tcPr>
            <w:tcW w:w="702" w:type="pct"/>
            <w:tcBorders>
              <w:top w:val="single" w:sz="4" w:space="0" w:color="auto"/>
            </w:tcBorders>
          </w:tcPr>
          <w:p w14:paraId="6B4658EB" w14:textId="77777777" w:rsidR="00DA4F61" w:rsidRPr="00255EE7" w:rsidRDefault="00DA4F61" w:rsidP="00A142A9">
            <w:pPr>
              <w:pStyle w:val="Tabletext"/>
            </w:pPr>
            <w:r w:rsidRPr="00255EE7">
              <w:t>5.790</w:t>
            </w:r>
          </w:p>
        </w:tc>
        <w:tc>
          <w:tcPr>
            <w:tcW w:w="702" w:type="pct"/>
            <w:tcBorders>
              <w:top w:val="single" w:sz="4" w:space="0" w:color="auto"/>
            </w:tcBorders>
          </w:tcPr>
          <w:p w14:paraId="04CE2490" w14:textId="77777777" w:rsidR="00DA4F61" w:rsidRPr="00255EE7" w:rsidRDefault="00DA4F61" w:rsidP="00A142A9">
            <w:pPr>
              <w:pStyle w:val="Tabletext"/>
            </w:pPr>
            <w:r w:rsidRPr="00255EE7">
              <w:t>1.03</w:t>
            </w:r>
          </w:p>
        </w:tc>
        <w:tc>
          <w:tcPr>
            <w:tcW w:w="700" w:type="pct"/>
            <w:tcBorders>
              <w:top w:val="single" w:sz="4" w:space="0" w:color="auto"/>
            </w:tcBorders>
          </w:tcPr>
          <w:p w14:paraId="735D5F15" w14:textId="77777777" w:rsidR="00DA4F61" w:rsidRPr="00255EE7" w:rsidRDefault="00DA4F61" w:rsidP="00A142A9">
            <w:pPr>
              <w:pStyle w:val="Tabletext"/>
              <w:rPr>
                <w:i/>
              </w:rPr>
            </w:pPr>
            <w:r w:rsidRPr="00255EE7">
              <w:rPr>
                <w:i/>
                <w:color w:val="C00000"/>
              </w:rPr>
              <w:t>$52,301</w:t>
            </w:r>
          </w:p>
        </w:tc>
      </w:tr>
      <w:tr w:rsidR="00DA4F61" w:rsidRPr="00255EE7" w14:paraId="468EEDE0" w14:textId="77777777" w:rsidTr="005F5988">
        <w:tc>
          <w:tcPr>
            <w:tcW w:w="1492" w:type="pct"/>
          </w:tcPr>
          <w:p w14:paraId="38B5F3D1" w14:textId="77777777" w:rsidR="00DA4F61" w:rsidRPr="00255EE7" w:rsidRDefault="00DA4F61" w:rsidP="00A142A9">
            <w:pPr>
              <w:pStyle w:val="Tabletext"/>
            </w:pPr>
            <w:r w:rsidRPr="00255EE7">
              <w:t>OMT</w:t>
            </w:r>
          </w:p>
        </w:tc>
        <w:tc>
          <w:tcPr>
            <w:tcW w:w="702" w:type="pct"/>
          </w:tcPr>
          <w:p w14:paraId="37575F36" w14:textId="77777777" w:rsidR="00DA4F61" w:rsidRPr="00255EE7" w:rsidRDefault="00DA4F61" w:rsidP="00A142A9">
            <w:pPr>
              <w:pStyle w:val="Tabletext"/>
              <w:rPr>
                <w:i/>
                <w:color w:val="C00000"/>
              </w:rPr>
            </w:pPr>
            <w:r w:rsidRPr="00255EE7">
              <w:rPr>
                <w:i/>
                <w:color w:val="C00000"/>
              </w:rPr>
              <w:t>$108,359</w:t>
            </w:r>
          </w:p>
        </w:tc>
        <w:tc>
          <w:tcPr>
            <w:tcW w:w="702" w:type="pct"/>
          </w:tcPr>
          <w:p w14:paraId="2DEC5CA1" w14:textId="77777777" w:rsidR="00DA4F61" w:rsidRPr="00255EE7" w:rsidRDefault="00DA4F61" w:rsidP="00A142A9">
            <w:pPr>
              <w:pStyle w:val="Tabletext"/>
              <w:rPr>
                <w:i/>
                <w:color w:val="C00000"/>
              </w:rPr>
            </w:pPr>
          </w:p>
        </w:tc>
        <w:tc>
          <w:tcPr>
            <w:tcW w:w="702" w:type="pct"/>
          </w:tcPr>
          <w:p w14:paraId="5FAA674D" w14:textId="77777777" w:rsidR="00DA4F61" w:rsidRPr="00255EE7" w:rsidRDefault="00DA4F61" w:rsidP="00A142A9">
            <w:pPr>
              <w:pStyle w:val="Tabletext"/>
            </w:pPr>
            <w:r w:rsidRPr="00255EE7">
              <w:t>4.759</w:t>
            </w:r>
          </w:p>
        </w:tc>
        <w:tc>
          <w:tcPr>
            <w:tcW w:w="702" w:type="pct"/>
          </w:tcPr>
          <w:p w14:paraId="2749D482" w14:textId="77777777" w:rsidR="00DA4F61" w:rsidRPr="00255EE7" w:rsidRDefault="00DA4F61" w:rsidP="00A142A9">
            <w:pPr>
              <w:pStyle w:val="Tabletext"/>
            </w:pPr>
          </w:p>
        </w:tc>
        <w:tc>
          <w:tcPr>
            <w:tcW w:w="700" w:type="pct"/>
          </w:tcPr>
          <w:p w14:paraId="566A4968" w14:textId="77777777" w:rsidR="00DA4F61" w:rsidRPr="00255EE7" w:rsidRDefault="00DA4F61" w:rsidP="00A142A9">
            <w:pPr>
              <w:pStyle w:val="Tabletext"/>
            </w:pPr>
          </w:p>
        </w:tc>
      </w:tr>
    </w:tbl>
    <w:p w14:paraId="74489512" w14:textId="77777777" w:rsidR="00DA4F61" w:rsidRPr="00916C86" w:rsidRDefault="00DA4F61" w:rsidP="00DA4F61">
      <w:pPr>
        <w:pStyle w:val="Tablenotes1"/>
        <w:rPr>
          <w:rFonts w:cs="Times New Roman"/>
          <w:szCs w:val="18"/>
        </w:rPr>
      </w:pPr>
      <w:r w:rsidRPr="00916C86">
        <w:rPr>
          <w:rFonts w:cs="Times New Roman"/>
          <w:szCs w:val="18"/>
        </w:rPr>
        <w:t>CCM = cardiac contractility modulation; ICER = Incremental Cost Effectiveness Ratio; OMT = optimal medical therapy; QALY =quality-adjusted life year</w:t>
      </w:r>
    </w:p>
    <w:p w14:paraId="1F8BC68E" w14:textId="77777777" w:rsidR="00DA4F61" w:rsidRPr="00916C86" w:rsidRDefault="00DA4F61" w:rsidP="00DA4F61">
      <w:pPr>
        <w:pStyle w:val="Tablenotes1"/>
        <w:rPr>
          <w:rFonts w:cs="Times New Roman"/>
          <w:szCs w:val="18"/>
        </w:rPr>
      </w:pPr>
      <w:r w:rsidRPr="00916C86">
        <w:rPr>
          <w:rFonts w:cs="Times New Roman"/>
          <w:szCs w:val="18"/>
        </w:rPr>
        <w:t>Italics represents Critique’s updated base-case economic evaluation</w:t>
      </w:r>
    </w:p>
    <w:p w14:paraId="504D0888" w14:textId="3955806A" w:rsidR="00DA4F61" w:rsidRPr="00255EE7" w:rsidRDefault="00DA4F61" w:rsidP="00085BBF">
      <w:pPr>
        <w:spacing w:after="240"/>
        <w:rPr>
          <w:szCs w:val="24"/>
        </w:rPr>
      </w:pPr>
      <w:r w:rsidRPr="00255EE7">
        <w:rPr>
          <w:szCs w:val="24"/>
        </w:rPr>
        <w:t>The MSAC previously considered the key drivers of the revised economic model to be NYHA distribution, the method used to estimate utility weights and the time horizon (PSD 1387.1 2016, p3). The resubmission presented results from probabilistic sensitivity analys</w:t>
      </w:r>
      <w:r>
        <w:rPr>
          <w:szCs w:val="24"/>
        </w:rPr>
        <w:t>e</w:t>
      </w:r>
      <w:r w:rsidRPr="00255EE7">
        <w:rPr>
          <w:szCs w:val="24"/>
        </w:rPr>
        <w:t>s and deterministic sensitivity analys</w:t>
      </w:r>
      <w:r>
        <w:rPr>
          <w:szCs w:val="24"/>
        </w:rPr>
        <w:t>e</w:t>
      </w:r>
      <w:r w:rsidRPr="00255EE7">
        <w:rPr>
          <w:szCs w:val="24"/>
        </w:rPr>
        <w:t>s, including assessments of previously identified model drivers (</w:t>
      </w:r>
      <w:r w:rsidR="00916C86">
        <w:rPr>
          <w:szCs w:val="24"/>
        </w:rPr>
        <w:fldChar w:fldCharType="begin"/>
      </w:r>
      <w:r w:rsidR="00916C86">
        <w:rPr>
          <w:szCs w:val="24"/>
        </w:rPr>
        <w:instrText xml:space="preserve"> REF _Ref536797346 \h </w:instrText>
      </w:r>
      <w:r w:rsidR="00916C86">
        <w:rPr>
          <w:szCs w:val="24"/>
        </w:rPr>
      </w:r>
      <w:r w:rsidR="00916C86">
        <w:rPr>
          <w:szCs w:val="24"/>
        </w:rPr>
        <w:fldChar w:fldCharType="separate"/>
      </w:r>
      <w:r w:rsidR="00E14BA7" w:rsidRPr="00255EE7">
        <w:t xml:space="preserve">Table </w:t>
      </w:r>
      <w:r w:rsidR="00E14BA7">
        <w:rPr>
          <w:noProof/>
        </w:rPr>
        <w:t>6</w:t>
      </w:r>
      <w:r w:rsidR="00916C86">
        <w:rPr>
          <w:szCs w:val="24"/>
        </w:rPr>
        <w:fldChar w:fldCharType="end"/>
      </w:r>
      <w:r w:rsidRPr="00255EE7">
        <w:rPr>
          <w:szCs w:val="24"/>
        </w:rPr>
        <w:t>).</w:t>
      </w:r>
    </w:p>
    <w:p w14:paraId="48BE1484" w14:textId="5440B6BB" w:rsidR="00DA4F61" w:rsidRPr="00255EE7" w:rsidRDefault="00DA4F61" w:rsidP="00085BBF">
      <w:pPr>
        <w:pStyle w:val="TableHeader1"/>
        <w:keepNext/>
        <w:keepLines/>
      </w:pPr>
      <w:bookmarkStart w:id="14" w:name="_Ref536797346"/>
      <w:r w:rsidRPr="00255EE7">
        <w:lastRenderedPageBreak/>
        <w:t xml:space="preserve">Table </w:t>
      </w:r>
      <w:r w:rsidRPr="00255EE7">
        <w:rPr>
          <w:noProof/>
        </w:rPr>
        <w:fldChar w:fldCharType="begin"/>
      </w:r>
      <w:r w:rsidRPr="00255EE7">
        <w:rPr>
          <w:noProof/>
        </w:rPr>
        <w:instrText xml:space="preserve"> SEQ Table \* ARABIC </w:instrText>
      </w:r>
      <w:r w:rsidRPr="00255EE7">
        <w:rPr>
          <w:noProof/>
        </w:rPr>
        <w:fldChar w:fldCharType="separate"/>
      </w:r>
      <w:r w:rsidR="00E14BA7">
        <w:rPr>
          <w:noProof/>
        </w:rPr>
        <w:t>6</w:t>
      </w:r>
      <w:r w:rsidRPr="00255EE7">
        <w:rPr>
          <w:noProof/>
        </w:rPr>
        <w:fldChar w:fldCharType="end"/>
      </w:r>
      <w:bookmarkEnd w:id="14"/>
      <w:r w:rsidRPr="00255EE7">
        <w:t xml:space="preserve"> Deterministic sensitivity analysis results </w:t>
      </w:r>
    </w:p>
    <w:tbl>
      <w:tblPr>
        <w:tblStyle w:val="TableGrid2"/>
        <w:tblW w:w="0" w:type="auto"/>
        <w:tblLook w:val="04A0" w:firstRow="1" w:lastRow="0" w:firstColumn="1" w:lastColumn="0" w:noHBand="0" w:noVBand="1"/>
        <w:tblCaption w:val="Base case results with sensitivity analysis (10 year time horizon)"/>
        <w:tblDescription w:val="Results of sensitivity analysis"/>
      </w:tblPr>
      <w:tblGrid>
        <w:gridCol w:w="4815"/>
        <w:gridCol w:w="1559"/>
        <w:gridCol w:w="1477"/>
        <w:gridCol w:w="809"/>
      </w:tblGrid>
      <w:tr w:rsidR="00DA4F61" w:rsidRPr="00255EE7" w14:paraId="69E2EF7F" w14:textId="77777777" w:rsidTr="00036FFE">
        <w:trPr>
          <w:cnfStyle w:val="100000000000" w:firstRow="1" w:lastRow="0" w:firstColumn="0" w:lastColumn="0" w:oddVBand="0" w:evenVBand="0" w:oddHBand="0" w:evenHBand="0" w:firstRowFirstColumn="0" w:firstRowLastColumn="0" w:lastRowFirstColumn="0" w:lastRowLastColumn="0"/>
          <w:tblHeader/>
        </w:trPr>
        <w:tc>
          <w:tcPr>
            <w:tcW w:w="4815" w:type="dxa"/>
            <w:tcBorders>
              <w:bottom w:val="single" w:sz="4" w:space="0" w:color="auto"/>
            </w:tcBorders>
            <w:shd w:val="clear" w:color="auto" w:fill="D9D9D9" w:themeFill="background1" w:themeFillShade="D9"/>
          </w:tcPr>
          <w:p w14:paraId="3F25DE13" w14:textId="77777777" w:rsidR="00DA4F61" w:rsidRPr="00A142A9" w:rsidRDefault="00DA4F61" w:rsidP="00085BBF">
            <w:pPr>
              <w:pStyle w:val="Tabletext"/>
              <w:keepNext/>
              <w:keepLines/>
              <w:rPr>
                <w:b/>
              </w:rPr>
            </w:pPr>
          </w:p>
        </w:tc>
        <w:tc>
          <w:tcPr>
            <w:tcW w:w="1559" w:type="dxa"/>
            <w:tcBorders>
              <w:bottom w:val="single" w:sz="4" w:space="0" w:color="auto"/>
            </w:tcBorders>
            <w:shd w:val="clear" w:color="auto" w:fill="D9D9D9" w:themeFill="background1" w:themeFillShade="D9"/>
          </w:tcPr>
          <w:p w14:paraId="2AC55BBD" w14:textId="77777777" w:rsidR="00DA4F61" w:rsidRPr="00A142A9" w:rsidRDefault="00DA4F61" w:rsidP="00085BBF">
            <w:pPr>
              <w:pStyle w:val="Tabletext"/>
              <w:keepNext/>
              <w:keepLines/>
              <w:rPr>
                <w:b/>
              </w:rPr>
            </w:pPr>
            <w:r w:rsidRPr="00A142A9">
              <w:rPr>
                <w:b/>
              </w:rPr>
              <w:t>Incremental cost</w:t>
            </w:r>
          </w:p>
        </w:tc>
        <w:tc>
          <w:tcPr>
            <w:tcW w:w="1477" w:type="dxa"/>
            <w:tcBorders>
              <w:bottom w:val="single" w:sz="4" w:space="0" w:color="auto"/>
            </w:tcBorders>
            <w:shd w:val="clear" w:color="auto" w:fill="D9D9D9" w:themeFill="background1" w:themeFillShade="D9"/>
          </w:tcPr>
          <w:p w14:paraId="705D3D85" w14:textId="77777777" w:rsidR="00DA4F61" w:rsidRPr="00A142A9" w:rsidRDefault="00DA4F61" w:rsidP="00085BBF">
            <w:pPr>
              <w:pStyle w:val="Tabletext"/>
              <w:keepNext/>
              <w:keepLines/>
              <w:rPr>
                <w:b/>
              </w:rPr>
            </w:pPr>
            <w:r w:rsidRPr="00A142A9">
              <w:rPr>
                <w:b/>
              </w:rPr>
              <w:t>Incremental effectiveness</w:t>
            </w:r>
          </w:p>
        </w:tc>
        <w:tc>
          <w:tcPr>
            <w:tcW w:w="0" w:type="auto"/>
            <w:tcBorders>
              <w:bottom w:val="single" w:sz="4" w:space="0" w:color="auto"/>
            </w:tcBorders>
            <w:shd w:val="clear" w:color="auto" w:fill="D9D9D9" w:themeFill="background1" w:themeFillShade="D9"/>
          </w:tcPr>
          <w:p w14:paraId="440E0BAE" w14:textId="77777777" w:rsidR="00DA4F61" w:rsidRPr="00A142A9" w:rsidRDefault="00DA4F61" w:rsidP="00085BBF">
            <w:pPr>
              <w:pStyle w:val="Tabletext"/>
              <w:keepNext/>
              <w:keepLines/>
              <w:rPr>
                <w:b/>
              </w:rPr>
            </w:pPr>
            <w:r w:rsidRPr="00A142A9">
              <w:rPr>
                <w:b/>
              </w:rPr>
              <w:t>ICER</w:t>
            </w:r>
          </w:p>
        </w:tc>
      </w:tr>
      <w:tr w:rsidR="00DA4F61" w:rsidRPr="00255EE7" w14:paraId="16FD09D4" w14:textId="77777777" w:rsidTr="00036FFE">
        <w:tc>
          <w:tcPr>
            <w:tcW w:w="4815" w:type="dxa"/>
          </w:tcPr>
          <w:p w14:paraId="420ABA72" w14:textId="77777777" w:rsidR="00DA4F61" w:rsidRPr="00255EE7" w:rsidRDefault="00DA4F61" w:rsidP="00085BBF">
            <w:pPr>
              <w:pStyle w:val="Tabletext"/>
              <w:keepNext/>
              <w:keepLines/>
            </w:pPr>
            <w:r w:rsidRPr="00255EE7">
              <w:t>Time horizon 10 years (base case = 40 years)</w:t>
            </w:r>
          </w:p>
          <w:p w14:paraId="309F830D" w14:textId="0DD8EBFB" w:rsidR="00DA4F61" w:rsidRPr="00255EE7" w:rsidRDefault="00DA4F61" w:rsidP="005F5988">
            <w:pPr>
              <w:pStyle w:val="Tabletext"/>
              <w:keepNext/>
              <w:keepLines/>
            </w:pPr>
            <w:r w:rsidRPr="00255EE7">
              <w:rPr>
                <w:i/>
                <w:color w:val="C00000"/>
              </w:rPr>
              <w:t>Critique re-calculated modelled results (updated base case)</w:t>
            </w:r>
          </w:p>
        </w:tc>
        <w:tc>
          <w:tcPr>
            <w:tcW w:w="1559" w:type="dxa"/>
          </w:tcPr>
          <w:p w14:paraId="7273692E" w14:textId="77777777" w:rsidR="00DA4F61" w:rsidRPr="00255EE7" w:rsidRDefault="00DA4F61" w:rsidP="00085BBF">
            <w:pPr>
              <w:pStyle w:val="Tabletext"/>
              <w:keepNext/>
              <w:keepLines/>
            </w:pPr>
            <w:r w:rsidRPr="00255EE7">
              <w:t>$32,299</w:t>
            </w:r>
          </w:p>
        </w:tc>
        <w:tc>
          <w:tcPr>
            <w:tcW w:w="1477" w:type="dxa"/>
          </w:tcPr>
          <w:p w14:paraId="5096F349" w14:textId="77777777" w:rsidR="00DA4F61" w:rsidRPr="00255EE7" w:rsidRDefault="00DA4F61" w:rsidP="00085BBF">
            <w:pPr>
              <w:pStyle w:val="Tabletext"/>
              <w:keepNext/>
              <w:keepLines/>
            </w:pPr>
            <w:r w:rsidRPr="00255EE7">
              <w:t>0.61</w:t>
            </w:r>
          </w:p>
        </w:tc>
        <w:tc>
          <w:tcPr>
            <w:tcW w:w="0" w:type="auto"/>
          </w:tcPr>
          <w:p w14:paraId="4A000ED0" w14:textId="77777777" w:rsidR="00DA4F61" w:rsidRPr="00255EE7" w:rsidRDefault="00DA4F61" w:rsidP="00085BBF">
            <w:pPr>
              <w:pStyle w:val="Tabletext"/>
              <w:keepNext/>
              <w:keepLines/>
            </w:pPr>
            <w:r w:rsidRPr="00255EE7">
              <w:t>$52,753</w:t>
            </w:r>
          </w:p>
          <w:p w14:paraId="7F450C7D" w14:textId="77777777" w:rsidR="00DA4F61" w:rsidRPr="00255EE7" w:rsidRDefault="00DA4F61" w:rsidP="00085BBF">
            <w:pPr>
              <w:pStyle w:val="Tabletext"/>
              <w:keepNext/>
              <w:keepLines/>
            </w:pPr>
            <w:r w:rsidRPr="00255EE7">
              <w:rPr>
                <w:i/>
                <w:color w:val="C00000"/>
              </w:rPr>
              <w:t>$69,758</w:t>
            </w:r>
          </w:p>
        </w:tc>
      </w:tr>
      <w:tr w:rsidR="00DA4F61" w:rsidRPr="00255EE7" w14:paraId="3A454A48" w14:textId="77777777" w:rsidTr="00036FFE">
        <w:tc>
          <w:tcPr>
            <w:tcW w:w="4815" w:type="dxa"/>
          </w:tcPr>
          <w:p w14:paraId="046ECB95" w14:textId="77777777" w:rsidR="00DA4F61" w:rsidRPr="00255EE7" w:rsidRDefault="00DA4F61" w:rsidP="00085BBF">
            <w:pPr>
              <w:pStyle w:val="Tabletext"/>
              <w:keepNext/>
              <w:keepLines/>
            </w:pPr>
            <w:r w:rsidRPr="00255EE7">
              <w:t>Utility values (base case = literature values from NICE CG108)</w:t>
            </w:r>
          </w:p>
          <w:p w14:paraId="2984C422" w14:textId="77777777" w:rsidR="00DA4F61" w:rsidRPr="00255EE7" w:rsidRDefault="00DA4F61" w:rsidP="00085BBF">
            <w:pPr>
              <w:pStyle w:val="Tabletext"/>
              <w:keepNext/>
              <w:keepLines/>
            </w:pPr>
            <w:r w:rsidRPr="00255EE7">
              <w:t>+0.1 utility NYHA class</w:t>
            </w:r>
          </w:p>
          <w:p w14:paraId="65651E3F" w14:textId="77777777" w:rsidR="00DA4F61" w:rsidRPr="00255EE7" w:rsidRDefault="00DA4F61" w:rsidP="00085BBF">
            <w:pPr>
              <w:pStyle w:val="Tabletext"/>
              <w:keepNext/>
              <w:keepLines/>
            </w:pPr>
            <w:r w:rsidRPr="00255EE7">
              <w:t>-0.1 utility NYHA class</w:t>
            </w:r>
          </w:p>
        </w:tc>
        <w:tc>
          <w:tcPr>
            <w:tcW w:w="1559" w:type="dxa"/>
          </w:tcPr>
          <w:p w14:paraId="7346452E" w14:textId="77777777" w:rsidR="00DA4F61" w:rsidRPr="00255EE7" w:rsidRDefault="00DA4F61" w:rsidP="00085BBF">
            <w:pPr>
              <w:pStyle w:val="Tabletext"/>
              <w:keepNext/>
              <w:keepLines/>
            </w:pPr>
          </w:p>
          <w:p w14:paraId="69D8DDEF" w14:textId="77777777" w:rsidR="00DA4F61" w:rsidRPr="00255EE7" w:rsidRDefault="00DA4F61" w:rsidP="00085BBF">
            <w:pPr>
              <w:pStyle w:val="Tabletext"/>
              <w:keepNext/>
              <w:keepLines/>
            </w:pPr>
            <w:r w:rsidRPr="00255EE7">
              <w:t>$36,744</w:t>
            </w:r>
          </w:p>
          <w:p w14:paraId="3FC70D24" w14:textId="77777777" w:rsidR="00DA4F61" w:rsidRPr="00255EE7" w:rsidRDefault="00DA4F61" w:rsidP="00085BBF">
            <w:pPr>
              <w:pStyle w:val="Tabletext"/>
              <w:keepNext/>
              <w:keepLines/>
            </w:pPr>
            <w:r w:rsidRPr="00255EE7">
              <w:t>$36,744</w:t>
            </w:r>
          </w:p>
        </w:tc>
        <w:tc>
          <w:tcPr>
            <w:tcW w:w="1477" w:type="dxa"/>
          </w:tcPr>
          <w:p w14:paraId="524FE675" w14:textId="77777777" w:rsidR="00DA4F61" w:rsidRPr="00255EE7" w:rsidRDefault="00DA4F61" w:rsidP="00085BBF">
            <w:pPr>
              <w:pStyle w:val="Tabletext"/>
              <w:keepNext/>
              <w:keepLines/>
            </w:pPr>
          </w:p>
          <w:p w14:paraId="5E49022D" w14:textId="77777777" w:rsidR="00DA4F61" w:rsidRPr="00255EE7" w:rsidRDefault="00DA4F61" w:rsidP="00085BBF">
            <w:pPr>
              <w:pStyle w:val="Tabletext"/>
              <w:keepNext/>
              <w:keepLines/>
            </w:pPr>
            <w:r w:rsidRPr="00255EE7">
              <w:t>1.13</w:t>
            </w:r>
          </w:p>
          <w:p w14:paraId="31E552DD" w14:textId="77777777" w:rsidR="00DA4F61" w:rsidRPr="00255EE7" w:rsidRDefault="00DA4F61" w:rsidP="00085BBF">
            <w:pPr>
              <w:pStyle w:val="Tabletext"/>
              <w:keepNext/>
              <w:keepLines/>
            </w:pPr>
            <w:r w:rsidRPr="00255EE7">
              <w:t>0.93</w:t>
            </w:r>
          </w:p>
        </w:tc>
        <w:tc>
          <w:tcPr>
            <w:tcW w:w="0" w:type="auto"/>
          </w:tcPr>
          <w:p w14:paraId="45A8ABF2" w14:textId="77777777" w:rsidR="00DA4F61" w:rsidRPr="00255EE7" w:rsidRDefault="00DA4F61" w:rsidP="00085BBF">
            <w:pPr>
              <w:pStyle w:val="Tabletext"/>
              <w:keepNext/>
              <w:keepLines/>
            </w:pPr>
          </w:p>
          <w:p w14:paraId="72D93D93" w14:textId="77777777" w:rsidR="00DA4F61" w:rsidRPr="00255EE7" w:rsidRDefault="00DA4F61" w:rsidP="00085BBF">
            <w:pPr>
              <w:pStyle w:val="Tabletext"/>
              <w:keepNext/>
              <w:keepLines/>
            </w:pPr>
            <w:r w:rsidRPr="00255EE7">
              <w:t>$32,485</w:t>
            </w:r>
          </w:p>
          <w:p w14:paraId="131C285E" w14:textId="77777777" w:rsidR="00DA4F61" w:rsidRPr="00255EE7" w:rsidRDefault="00DA4F61" w:rsidP="00085BBF">
            <w:pPr>
              <w:pStyle w:val="Tabletext"/>
              <w:keepNext/>
              <w:keepLines/>
            </w:pPr>
            <w:r w:rsidRPr="00255EE7">
              <w:t>$39,450</w:t>
            </w:r>
          </w:p>
        </w:tc>
      </w:tr>
      <w:tr w:rsidR="00DA4F61" w:rsidRPr="00255EE7" w14:paraId="5BB4B05F" w14:textId="77777777" w:rsidTr="00036FFE">
        <w:tc>
          <w:tcPr>
            <w:tcW w:w="4815" w:type="dxa"/>
          </w:tcPr>
          <w:p w14:paraId="0F3F8579" w14:textId="77777777" w:rsidR="00DA4F61" w:rsidRPr="00255EE7" w:rsidRDefault="00DA4F61" w:rsidP="00A142A9">
            <w:pPr>
              <w:pStyle w:val="Tabletext"/>
              <w:rPr>
                <w:vertAlign w:val="superscript"/>
              </w:rPr>
            </w:pPr>
            <w:r w:rsidRPr="00255EE7">
              <w:t>Hospitalisation cost (base case = weighted avg. of AR-DRGs)</w:t>
            </w:r>
            <w:r w:rsidRPr="00255EE7">
              <w:rPr>
                <w:vertAlign w:val="superscript"/>
              </w:rPr>
              <w:t>a</w:t>
            </w:r>
          </w:p>
          <w:p w14:paraId="12F03A38" w14:textId="77777777" w:rsidR="00DA4F61" w:rsidRPr="00255EE7" w:rsidRDefault="00DA4F61" w:rsidP="00A142A9">
            <w:pPr>
              <w:pStyle w:val="Tabletext"/>
            </w:pPr>
            <w:r w:rsidRPr="00255EE7">
              <w:t xml:space="preserve">Higher estimate </w:t>
            </w:r>
          </w:p>
          <w:p w14:paraId="24F61FDB" w14:textId="77777777" w:rsidR="00DA4F61" w:rsidRPr="00255EE7" w:rsidDel="006E4A0C" w:rsidRDefault="00DA4F61" w:rsidP="00A142A9">
            <w:pPr>
              <w:pStyle w:val="Tabletext"/>
            </w:pPr>
            <w:r w:rsidRPr="00255EE7">
              <w:t>Lower estimate</w:t>
            </w:r>
          </w:p>
        </w:tc>
        <w:tc>
          <w:tcPr>
            <w:tcW w:w="1559" w:type="dxa"/>
          </w:tcPr>
          <w:p w14:paraId="1130E02A" w14:textId="77777777" w:rsidR="00DA4F61" w:rsidRPr="00255EE7" w:rsidRDefault="00DA4F61" w:rsidP="00A142A9">
            <w:pPr>
              <w:pStyle w:val="Tabletext"/>
            </w:pPr>
          </w:p>
          <w:p w14:paraId="1B14694D" w14:textId="77777777" w:rsidR="00DA4F61" w:rsidRPr="00255EE7" w:rsidRDefault="00DA4F61" w:rsidP="00A142A9">
            <w:pPr>
              <w:pStyle w:val="Tabletext"/>
            </w:pPr>
            <w:r w:rsidRPr="00255EE7">
              <w:t>$36,267</w:t>
            </w:r>
          </w:p>
          <w:p w14:paraId="791871BB" w14:textId="77777777" w:rsidR="00DA4F61" w:rsidRPr="00255EE7" w:rsidRDefault="00DA4F61" w:rsidP="00A142A9">
            <w:pPr>
              <w:pStyle w:val="Tabletext"/>
            </w:pPr>
            <w:r w:rsidRPr="00255EE7">
              <w:t>$37,101</w:t>
            </w:r>
          </w:p>
        </w:tc>
        <w:tc>
          <w:tcPr>
            <w:tcW w:w="1477" w:type="dxa"/>
          </w:tcPr>
          <w:p w14:paraId="39D00D11" w14:textId="77777777" w:rsidR="00DA4F61" w:rsidRPr="00255EE7" w:rsidRDefault="00DA4F61" w:rsidP="00A142A9">
            <w:pPr>
              <w:pStyle w:val="Tabletext"/>
            </w:pPr>
          </w:p>
          <w:p w14:paraId="7D922202" w14:textId="77777777" w:rsidR="00DA4F61" w:rsidRPr="00255EE7" w:rsidRDefault="00DA4F61" w:rsidP="00A142A9">
            <w:pPr>
              <w:pStyle w:val="Tabletext"/>
            </w:pPr>
            <w:r w:rsidRPr="00255EE7">
              <w:t>1.03</w:t>
            </w:r>
          </w:p>
          <w:p w14:paraId="6A2FA8F3" w14:textId="77777777" w:rsidR="00DA4F61" w:rsidRPr="00255EE7" w:rsidRDefault="00DA4F61" w:rsidP="00A142A9">
            <w:pPr>
              <w:pStyle w:val="Tabletext"/>
            </w:pPr>
            <w:r w:rsidRPr="00255EE7">
              <w:t>1.03</w:t>
            </w:r>
          </w:p>
        </w:tc>
        <w:tc>
          <w:tcPr>
            <w:tcW w:w="0" w:type="auto"/>
          </w:tcPr>
          <w:p w14:paraId="417166CB" w14:textId="77777777" w:rsidR="00DA4F61" w:rsidRPr="00255EE7" w:rsidRDefault="00DA4F61" w:rsidP="00A142A9">
            <w:pPr>
              <w:pStyle w:val="Tabletext"/>
            </w:pPr>
          </w:p>
          <w:p w14:paraId="36813E88" w14:textId="77777777" w:rsidR="00DA4F61" w:rsidRPr="00255EE7" w:rsidRDefault="00DA4F61" w:rsidP="00A142A9">
            <w:pPr>
              <w:pStyle w:val="Tabletext"/>
            </w:pPr>
            <w:r w:rsidRPr="00255EE7">
              <w:t>$35,167</w:t>
            </w:r>
          </w:p>
          <w:p w14:paraId="1748B782" w14:textId="77777777" w:rsidR="00DA4F61" w:rsidRPr="00255EE7" w:rsidRDefault="00DA4F61" w:rsidP="00A142A9">
            <w:pPr>
              <w:pStyle w:val="Tabletext"/>
            </w:pPr>
            <w:r w:rsidRPr="00255EE7">
              <w:t>$35,976</w:t>
            </w:r>
          </w:p>
        </w:tc>
      </w:tr>
    </w:tbl>
    <w:p w14:paraId="3DDF048E" w14:textId="77777777" w:rsidR="00DA4F61" w:rsidRPr="00255EE7" w:rsidRDefault="00DA4F61" w:rsidP="00A142A9">
      <w:pPr>
        <w:pStyle w:val="Tablenotes"/>
        <w:spacing w:after="0"/>
        <w:ind w:left="0" w:firstLine="0"/>
      </w:pPr>
      <w:r w:rsidRPr="00255EE7">
        <w:t>CCM = cardiac contractility modulation; DRG = Diagnosis related group; ICER = Incremental Cost Effectiveness Ratio; NYHA = New York Heart Association; OMT = optimal medical therapy; QALY =quality-adjusted life year</w:t>
      </w:r>
    </w:p>
    <w:p w14:paraId="2FBE7F79" w14:textId="77777777" w:rsidR="00DA4F61" w:rsidRPr="00255EE7" w:rsidRDefault="00DA4F61" w:rsidP="00A142A9">
      <w:pPr>
        <w:pStyle w:val="Tablenotes"/>
        <w:spacing w:after="0"/>
        <w:ind w:left="0" w:firstLine="0"/>
      </w:pPr>
      <w:proofErr w:type="gramStart"/>
      <w:r w:rsidRPr="00255EE7">
        <w:rPr>
          <w:vertAlign w:val="superscript"/>
        </w:rPr>
        <w:t>a</w:t>
      </w:r>
      <w:proofErr w:type="gramEnd"/>
      <w:r w:rsidRPr="00255EE7">
        <w:rPr>
          <w:vertAlign w:val="superscript"/>
        </w:rPr>
        <w:t xml:space="preserve"> </w:t>
      </w:r>
      <w:r w:rsidRPr="00255EE7">
        <w:t>F62A and F62B, based on number of separations</w:t>
      </w:r>
    </w:p>
    <w:p w14:paraId="3A2D0E2A" w14:textId="77777777" w:rsidR="00DA4F61" w:rsidRPr="00255EE7" w:rsidRDefault="00DA4F61" w:rsidP="00A142A9">
      <w:pPr>
        <w:pStyle w:val="Tablenotes"/>
        <w:ind w:left="0" w:firstLine="0"/>
      </w:pPr>
      <w:r w:rsidRPr="00255EE7">
        <w:t>Italics represents Critique’s updated base-case economic evaluation</w:t>
      </w:r>
    </w:p>
    <w:p w14:paraId="28228352" w14:textId="732117AE" w:rsidR="00DA4F61" w:rsidRPr="00255EE7" w:rsidRDefault="00DA4F61" w:rsidP="00916C86">
      <w:pPr>
        <w:spacing w:after="240"/>
        <w:rPr>
          <w:szCs w:val="24"/>
        </w:rPr>
      </w:pPr>
      <w:r w:rsidRPr="00255EE7">
        <w:rPr>
          <w:szCs w:val="24"/>
        </w:rPr>
        <w:t xml:space="preserve">Using the recalculated base-case model, the </w:t>
      </w:r>
      <w:r>
        <w:rPr>
          <w:szCs w:val="24"/>
        </w:rPr>
        <w:t>C</w:t>
      </w:r>
      <w:r w:rsidRPr="00255EE7">
        <w:rPr>
          <w:szCs w:val="24"/>
        </w:rPr>
        <w:t>ritique presented additional deterministic sensitivity analyses (</w:t>
      </w:r>
      <w:r w:rsidR="00FC717C">
        <w:rPr>
          <w:szCs w:val="24"/>
        </w:rPr>
        <w:t>Figure 2</w:t>
      </w:r>
      <w:r w:rsidR="00916C86">
        <w:rPr>
          <w:szCs w:val="24"/>
        </w:rPr>
        <w:t>).</w:t>
      </w:r>
    </w:p>
    <w:p w14:paraId="4F14A8A5" w14:textId="7370FE53" w:rsidR="00DA4F61" w:rsidRPr="006674F7" w:rsidRDefault="00DA4F61" w:rsidP="006674F7">
      <w:pPr>
        <w:rPr>
          <w:rFonts w:ascii="Arial Narrow" w:hAnsi="Arial Narrow"/>
          <w:b/>
          <w:sz w:val="20"/>
        </w:rPr>
      </w:pPr>
      <w:bookmarkStart w:id="15" w:name="_Ref532391766"/>
      <w:r w:rsidRPr="006674F7">
        <w:rPr>
          <w:rFonts w:ascii="Arial Narrow" w:hAnsi="Arial Narrow"/>
          <w:b/>
          <w:sz w:val="20"/>
        </w:rPr>
        <w:t xml:space="preserve">Figure </w:t>
      </w:r>
      <w:bookmarkEnd w:id="15"/>
      <w:r w:rsidR="00FC717C">
        <w:rPr>
          <w:rFonts w:ascii="Arial Narrow" w:hAnsi="Arial Narrow"/>
          <w:b/>
          <w:sz w:val="20"/>
        </w:rPr>
        <w:t>2</w:t>
      </w:r>
      <w:r w:rsidRPr="006674F7">
        <w:rPr>
          <w:rFonts w:ascii="Arial Narrow" w:hAnsi="Arial Narrow"/>
          <w:b/>
          <w:sz w:val="20"/>
        </w:rPr>
        <w:tab/>
        <w:t xml:space="preserve">Deterministic sensitivity analyses performed for the Critique, Tornado Diagram. </w:t>
      </w:r>
    </w:p>
    <w:p w14:paraId="6696A332" w14:textId="77777777" w:rsidR="00DA4F61" w:rsidRDefault="00DA4F61" w:rsidP="005754FD">
      <w:pPr>
        <w:pStyle w:val="Tablenotes0"/>
      </w:pPr>
      <w:r>
        <w:rPr>
          <w:noProof/>
          <w:lang w:eastAsia="en-AU"/>
        </w:rPr>
        <w:drawing>
          <wp:inline distT="0" distB="0" distL="0" distR="0" wp14:anchorId="1CF33E60" wp14:editId="3AACA172">
            <wp:extent cx="5274310" cy="2885703"/>
            <wp:effectExtent l="0" t="0" r="2540" b="10160"/>
            <wp:docPr id="17" name="Chart 17" descr="Figure 12 Deterministic sensitivity analyses performed for the Critique, Tornado Diagram. ">
              <a:extLst xmlns:a="http://schemas.openxmlformats.org/drawingml/2006/main">
                <a:ext uri="{FF2B5EF4-FFF2-40B4-BE49-F238E27FC236}">
                  <a16:creationId xmlns:a16="http://schemas.microsoft.com/office/drawing/2014/main" id="{A3FE0A63-A9A0-4A33-9D8F-062B5BE89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FFAC87" w14:textId="77777777" w:rsidR="00DA4F61" w:rsidRDefault="00DA4F61" w:rsidP="005754FD">
      <w:pPr>
        <w:pStyle w:val="Tablenotes0"/>
      </w:pPr>
      <w:r>
        <w:rPr>
          <w:b/>
        </w:rPr>
        <w:t xml:space="preserve">Source: </w:t>
      </w:r>
      <w:r w:rsidRPr="0031241A">
        <w:t>Compi</w:t>
      </w:r>
      <w:r>
        <w:t xml:space="preserve">led for the Critique. </w:t>
      </w:r>
    </w:p>
    <w:p w14:paraId="5A8A7814" w14:textId="77777777" w:rsidR="00DA4F61" w:rsidRDefault="00DA4F61" w:rsidP="005754FD">
      <w:pPr>
        <w:pStyle w:val="Tablenotes0"/>
      </w:pPr>
      <w:r>
        <w:t>NYHA = New York heart association; IPD = individual patient data; LVEF = left ventricular ejection fraction; ICER = incremental cost-effectiveness ratio; QALY = quality adjusted life years</w:t>
      </w:r>
    </w:p>
    <w:p w14:paraId="0D2D8A95" w14:textId="77777777" w:rsidR="00DA4F61" w:rsidRDefault="00DA4F61" w:rsidP="00A142A9">
      <w:pPr>
        <w:pStyle w:val="Tablenotes"/>
      </w:pPr>
      <w:r>
        <w:t>Note, results ranked based on the magnitude of impact to the base case</w:t>
      </w:r>
    </w:p>
    <w:p w14:paraId="272A3E83" w14:textId="77777777" w:rsidR="00BC1364" w:rsidRDefault="00BC1364" w:rsidP="00F715D1">
      <w:pPr>
        <w:pStyle w:val="Heading1"/>
      </w:pPr>
      <w:r w:rsidRPr="00F715D1">
        <w:t>Financial/budgetary impacts</w:t>
      </w:r>
    </w:p>
    <w:p w14:paraId="1F9C7E4E" w14:textId="128594A1" w:rsidR="00916C86" w:rsidRDefault="00374A2A" w:rsidP="00916C86">
      <w:pPr>
        <w:spacing w:after="240"/>
        <w:rPr>
          <w:szCs w:val="24"/>
        </w:rPr>
      </w:pPr>
      <w:r w:rsidRPr="00255EE7">
        <w:rPr>
          <w:szCs w:val="24"/>
        </w:rPr>
        <w:t>An epidemiological approach was used to estimate the financial implications of introducing CCM (i.e. Optimizer</w:t>
      </w:r>
      <w:r w:rsidRPr="00255EE7">
        <w:rPr>
          <w:szCs w:val="24"/>
          <w:vertAlign w:val="superscript"/>
        </w:rPr>
        <w:t>®</w:t>
      </w:r>
      <w:r w:rsidRPr="00255EE7">
        <w:rPr>
          <w:szCs w:val="24"/>
        </w:rPr>
        <w:t xml:space="preserve"> Smart device) to the MBS. The MBS costs were estimated assuming a 75% MBS rebate (i.e. in-hospital service). The expected financial implications over the first 5</w:t>
      </w:r>
      <w:r w:rsidR="00916C86">
        <w:rPr>
          <w:szCs w:val="24"/>
        </w:rPr>
        <w:t> </w:t>
      </w:r>
      <w:r w:rsidRPr="00255EE7">
        <w:rPr>
          <w:szCs w:val="24"/>
        </w:rPr>
        <w:t xml:space="preserve">years following listing of CCM therapy on the MBS are summarised in </w:t>
      </w:r>
      <w:r w:rsidR="00916C86" w:rsidRPr="00FC717C">
        <w:rPr>
          <w:szCs w:val="24"/>
        </w:rPr>
        <w:fldChar w:fldCharType="begin"/>
      </w:r>
      <w:r w:rsidR="00916C86" w:rsidRPr="00FC717C">
        <w:rPr>
          <w:szCs w:val="24"/>
        </w:rPr>
        <w:instrText xml:space="preserve"> REF _Ref404438173 \h </w:instrText>
      </w:r>
      <w:r w:rsidR="00FC717C" w:rsidRPr="00FC717C">
        <w:rPr>
          <w:szCs w:val="24"/>
        </w:rPr>
        <w:instrText xml:space="preserve"> \* MERGEFORMAT </w:instrText>
      </w:r>
      <w:r w:rsidR="00916C86" w:rsidRPr="00FC717C">
        <w:rPr>
          <w:szCs w:val="24"/>
        </w:rPr>
      </w:r>
      <w:r w:rsidR="00916C86" w:rsidRPr="00FC717C">
        <w:rPr>
          <w:szCs w:val="24"/>
        </w:rPr>
        <w:fldChar w:fldCharType="separate"/>
      </w:r>
      <w:r w:rsidR="00E14BA7" w:rsidRPr="00E14BA7">
        <w:rPr>
          <w:szCs w:val="24"/>
        </w:rPr>
        <w:t xml:space="preserve">Table </w:t>
      </w:r>
      <w:r w:rsidR="00E14BA7" w:rsidRPr="00E14BA7">
        <w:rPr>
          <w:noProof/>
          <w:szCs w:val="24"/>
        </w:rPr>
        <w:t>7</w:t>
      </w:r>
      <w:r w:rsidR="00916C86" w:rsidRPr="00FC717C">
        <w:rPr>
          <w:szCs w:val="24"/>
        </w:rPr>
        <w:fldChar w:fldCharType="end"/>
      </w:r>
      <w:r w:rsidR="00916C86" w:rsidRPr="00FC717C">
        <w:rPr>
          <w:szCs w:val="24"/>
        </w:rPr>
        <w:t>.</w:t>
      </w:r>
      <w:r w:rsidR="00916C86">
        <w:rPr>
          <w:szCs w:val="24"/>
        </w:rPr>
        <w:br w:type="page"/>
      </w:r>
    </w:p>
    <w:p w14:paraId="316D8C33" w14:textId="37D72F02" w:rsidR="00374A2A" w:rsidRPr="006674F7" w:rsidRDefault="00374A2A" w:rsidP="006674F7">
      <w:pPr>
        <w:rPr>
          <w:rFonts w:ascii="Arial Narrow" w:hAnsi="Arial Narrow"/>
          <w:b/>
          <w:sz w:val="20"/>
        </w:rPr>
      </w:pPr>
      <w:bookmarkStart w:id="16" w:name="_Ref404438173"/>
      <w:bookmarkStart w:id="17" w:name="_Ref395200110"/>
      <w:bookmarkStart w:id="18" w:name="_Toc393197779"/>
      <w:bookmarkStart w:id="19" w:name="_Toc393378192"/>
      <w:bookmarkStart w:id="20" w:name="_Toc525809361"/>
      <w:bookmarkStart w:id="21" w:name="_Toc525809431"/>
      <w:r w:rsidRPr="006674F7">
        <w:rPr>
          <w:rFonts w:ascii="Arial Narrow" w:hAnsi="Arial Narrow"/>
          <w:b/>
          <w:sz w:val="20"/>
        </w:rPr>
        <w:lastRenderedPageBreak/>
        <w:t xml:space="preserve">Table </w:t>
      </w:r>
      <w:r w:rsidR="00003593" w:rsidRPr="006674F7">
        <w:rPr>
          <w:rFonts w:ascii="Arial Narrow" w:hAnsi="Arial Narrow"/>
          <w:b/>
          <w:sz w:val="20"/>
        </w:rPr>
        <w:fldChar w:fldCharType="begin"/>
      </w:r>
      <w:r w:rsidR="00003593" w:rsidRPr="006674F7">
        <w:rPr>
          <w:rFonts w:ascii="Arial Narrow" w:hAnsi="Arial Narrow"/>
          <w:b/>
          <w:sz w:val="20"/>
        </w:rPr>
        <w:instrText xml:space="preserve"> SEQ Table \* ARABIC </w:instrText>
      </w:r>
      <w:r w:rsidR="00003593" w:rsidRPr="006674F7">
        <w:rPr>
          <w:rFonts w:ascii="Arial Narrow" w:hAnsi="Arial Narrow"/>
          <w:b/>
          <w:sz w:val="20"/>
        </w:rPr>
        <w:fldChar w:fldCharType="separate"/>
      </w:r>
      <w:r w:rsidR="00E14BA7">
        <w:rPr>
          <w:rFonts w:ascii="Arial Narrow" w:hAnsi="Arial Narrow"/>
          <w:b/>
          <w:noProof/>
          <w:sz w:val="20"/>
        </w:rPr>
        <w:t>7</w:t>
      </w:r>
      <w:r w:rsidR="00003593" w:rsidRPr="006674F7">
        <w:rPr>
          <w:rFonts w:ascii="Arial Narrow" w:hAnsi="Arial Narrow"/>
          <w:b/>
          <w:sz w:val="20"/>
        </w:rPr>
        <w:fldChar w:fldCharType="end"/>
      </w:r>
      <w:bookmarkEnd w:id="16"/>
      <w:r w:rsidRPr="006674F7">
        <w:rPr>
          <w:rFonts w:ascii="Arial Narrow" w:hAnsi="Arial Narrow"/>
          <w:b/>
          <w:sz w:val="20"/>
        </w:rPr>
        <w:tab/>
        <w:t xml:space="preserve">Total number of services and financial burden to the MBS over 5 years </w:t>
      </w:r>
    </w:p>
    <w:tbl>
      <w:tblPr>
        <w:tblStyle w:val="Leftjustified"/>
        <w:tblW w:w="5000" w:type="pct"/>
        <w:tblLayout w:type="fixed"/>
        <w:tblLook w:val="04A0" w:firstRow="1" w:lastRow="0" w:firstColumn="1" w:lastColumn="0" w:noHBand="0" w:noVBand="1"/>
        <w:tblCaption w:val="Total number of services and financial burden to the MBS over 5 years "/>
        <w:tblDescription w:val="Summary of costs of introducing CCM therapy to MBS"/>
      </w:tblPr>
      <w:tblGrid>
        <w:gridCol w:w="1910"/>
        <w:gridCol w:w="1084"/>
        <w:gridCol w:w="1084"/>
        <w:gridCol w:w="1084"/>
        <w:gridCol w:w="1084"/>
        <w:gridCol w:w="1086"/>
        <w:gridCol w:w="1684"/>
      </w:tblGrid>
      <w:tr w:rsidR="00374A2A" w:rsidRPr="000C6CC8" w14:paraId="576473EF" w14:textId="77777777" w:rsidTr="00036FFE">
        <w:trPr>
          <w:cnfStyle w:val="100000000000" w:firstRow="1" w:lastRow="0" w:firstColumn="0" w:lastColumn="0" w:oddVBand="0" w:evenVBand="0" w:oddHBand="0" w:evenHBand="0" w:firstRowFirstColumn="0" w:firstRowLastColumn="0" w:lastRowFirstColumn="0" w:lastRowLastColumn="0"/>
          <w:trHeight w:val="300"/>
          <w:tblHeader/>
        </w:trPr>
        <w:tc>
          <w:tcPr>
            <w:tcW w:w="1059" w:type="pct"/>
          </w:tcPr>
          <w:p w14:paraId="52A85B44" w14:textId="77777777" w:rsidR="00374A2A" w:rsidRPr="000C6CC8" w:rsidRDefault="00374A2A" w:rsidP="00036FFE">
            <w:pPr>
              <w:pStyle w:val="Tabletext"/>
              <w:rPr>
                <w:b/>
              </w:rPr>
            </w:pPr>
          </w:p>
        </w:tc>
        <w:tc>
          <w:tcPr>
            <w:tcW w:w="601" w:type="pct"/>
          </w:tcPr>
          <w:p w14:paraId="1FC21845" w14:textId="77777777" w:rsidR="00374A2A" w:rsidRPr="000C6CC8" w:rsidRDefault="00374A2A" w:rsidP="00036FFE">
            <w:pPr>
              <w:pStyle w:val="Tabletext"/>
              <w:rPr>
                <w:b/>
              </w:rPr>
            </w:pPr>
            <w:r w:rsidRPr="000C6CC8">
              <w:rPr>
                <w:b/>
              </w:rPr>
              <w:t>Year 1</w:t>
            </w:r>
          </w:p>
        </w:tc>
        <w:tc>
          <w:tcPr>
            <w:tcW w:w="601" w:type="pct"/>
          </w:tcPr>
          <w:p w14:paraId="7429DD5D" w14:textId="77777777" w:rsidR="00374A2A" w:rsidRPr="000C6CC8" w:rsidRDefault="00374A2A" w:rsidP="00036FFE">
            <w:pPr>
              <w:pStyle w:val="Tabletext"/>
              <w:rPr>
                <w:b/>
              </w:rPr>
            </w:pPr>
            <w:r w:rsidRPr="000C6CC8">
              <w:rPr>
                <w:b/>
              </w:rPr>
              <w:t>Year 2</w:t>
            </w:r>
          </w:p>
        </w:tc>
        <w:tc>
          <w:tcPr>
            <w:tcW w:w="601" w:type="pct"/>
          </w:tcPr>
          <w:p w14:paraId="051E31E0" w14:textId="77777777" w:rsidR="00374A2A" w:rsidRPr="000C6CC8" w:rsidRDefault="00374A2A" w:rsidP="00036FFE">
            <w:pPr>
              <w:pStyle w:val="Tabletext"/>
              <w:rPr>
                <w:b/>
              </w:rPr>
            </w:pPr>
            <w:r w:rsidRPr="000C6CC8">
              <w:rPr>
                <w:b/>
              </w:rPr>
              <w:t>Year 3</w:t>
            </w:r>
          </w:p>
        </w:tc>
        <w:tc>
          <w:tcPr>
            <w:tcW w:w="601" w:type="pct"/>
          </w:tcPr>
          <w:p w14:paraId="726BFFDD" w14:textId="77777777" w:rsidR="00374A2A" w:rsidRPr="000C6CC8" w:rsidRDefault="00374A2A" w:rsidP="00036FFE">
            <w:pPr>
              <w:pStyle w:val="Tabletext"/>
              <w:rPr>
                <w:b/>
              </w:rPr>
            </w:pPr>
            <w:r w:rsidRPr="000C6CC8">
              <w:rPr>
                <w:b/>
              </w:rPr>
              <w:t>Year 4</w:t>
            </w:r>
          </w:p>
        </w:tc>
        <w:tc>
          <w:tcPr>
            <w:tcW w:w="602" w:type="pct"/>
          </w:tcPr>
          <w:p w14:paraId="3443C8E8" w14:textId="77777777" w:rsidR="00374A2A" w:rsidRPr="000C6CC8" w:rsidRDefault="00374A2A" w:rsidP="00036FFE">
            <w:pPr>
              <w:pStyle w:val="Tabletext"/>
              <w:rPr>
                <w:b/>
              </w:rPr>
            </w:pPr>
            <w:r w:rsidRPr="000C6CC8">
              <w:rPr>
                <w:b/>
              </w:rPr>
              <w:t>Year 5</w:t>
            </w:r>
          </w:p>
        </w:tc>
        <w:tc>
          <w:tcPr>
            <w:tcW w:w="934" w:type="pct"/>
          </w:tcPr>
          <w:p w14:paraId="277F3D6E" w14:textId="77777777" w:rsidR="00374A2A" w:rsidRPr="000C6CC8" w:rsidRDefault="00374A2A" w:rsidP="00036FFE">
            <w:pPr>
              <w:pStyle w:val="Tabletext"/>
              <w:rPr>
                <w:b/>
              </w:rPr>
            </w:pPr>
            <w:r w:rsidRPr="000C6CC8">
              <w:rPr>
                <w:b/>
              </w:rPr>
              <w:t>Reference</w:t>
            </w:r>
          </w:p>
        </w:tc>
      </w:tr>
      <w:tr w:rsidR="00374A2A" w:rsidRPr="000C6CC8" w14:paraId="4AE252AA" w14:textId="77777777" w:rsidTr="00036FFE">
        <w:trPr>
          <w:trHeight w:val="300"/>
        </w:trPr>
        <w:tc>
          <w:tcPr>
            <w:tcW w:w="1059" w:type="pct"/>
          </w:tcPr>
          <w:p w14:paraId="43C082E6" w14:textId="77777777" w:rsidR="00374A2A" w:rsidRPr="000C6CC8" w:rsidRDefault="00374A2A" w:rsidP="00036FFE">
            <w:pPr>
              <w:pStyle w:val="Tabletext"/>
              <w:rPr>
                <w:b/>
              </w:rPr>
            </w:pPr>
            <w:r w:rsidRPr="000C6CC8">
              <w:rPr>
                <w:b/>
              </w:rPr>
              <w:t>CCM Therapy</w:t>
            </w:r>
          </w:p>
        </w:tc>
        <w:tc>
          <w:tcPr>
            <w:tcW w:w="601" w:type="pct"/>
          </w:tcPr>
          <w:p w14:paraId="4B6A7AAF" w14:textId="77777777" w:rsidR="00374A2A" w:rsidRPr="000C6CC8" w:rsidRDefault="00374A2A" w:rsidP="00036FFE">
            <w:pPr>
              <w:pStyle w:val="Tabletext"/>
              <w:rPr>
                <w:b/>
              </w:rPr>
            </w:pPr>
          </w:p>
        </w:tc>
        <w:tc>
          <w:tcPr>
            <w:tcW w:w="601" w:type="pct"/>
          </w:tcPr>
          <w:p w14:paraId="4EF17034" w14:textId="77777777" w:rsidR="00374A2A" w:rsidRPr="000C6CC8" w:rsidRDefault="00374A2A" w:rsidP="00036FFE">
            <w:pPr>
              <w:pStyle w:val="Tabletext"/>
              <w:rPr>
                <w:b/>
              </w:rPr>
            </w:pPr>
          </w:p>
        </w:tc>
        <w:tc>
          <w:tcPr>
            <w:tcW w:w="601" w:type="pct"/>
          </w:tcPr>
          <w:p w14:paraId="1F6A528F" w14:textId="77777777" w:rsidR="00374A2A" w:rsidRPr="000C6CC8" w:rsidRDefault="00374A2A" w:rsidP="00036FFE">
            <w:pPr>
              <w:pStyle w:val="Tabletext"/>
              <w:rPr>
                <w:b/>
              </w:rPr>
            </w:pPr>
          </w:p>
        </w:tc>
        <w:tc>
          <w:tcPr>
            <w:tcW w:w="601" w:type="pct"/>
          </w:tcPr>
          <w:p w14:paraId="4CEDFF5B" w14:textId="77777777" w:rsidR="00374A2A" w:rsidRPr="000C6CC8" w:rsidRDefault="00374A2A" w:rsidP="00036FFE">
            <w:pPr>
              <w:pStyle w:val="Tabletext"/>
              <w:rPr>
                <w:b/>
              </w:rPr>
            </w:pPr>
          </w:p>
        </w:tc>
        <w:tc>
          <w:tcPr>
            <w:tcW w:w="602" w:type="pct"/>
          </w:tcPr>
          <w:p w14:paraId="616A23DE" w14:textId="77777777" w:rsidR="00374A2A" w:rsidRPr="000C6CC8" w:rsidRDefault="00374A2A" w:rsidP="00036FFE">
            <w:pPr>
              <w:pStyle w:val="Tabletext"/>
              <w:rPr>
                <w:b/>
              </w:rPr>
            </w:pPr>
          </w:p>
        </w:tc>
        <w:tc>
          <w:tcPr>
            <w:tcW w:w="934" w:type="pct"/>
          </w:tcPr>
          <w:p w14:paraId="3FEEE55F" w14:textId="77777777" w:rsidR="00374A2A" w:rsidRPr="000C6CC8" w:rsidRDefault="00374A2A" w:rsidP="00036FFE">
            <w:pPr>
              <w:pStyle w:val="Tabletext"/>
              <w:rPr>
                <w:b/>
                <w:sz w:val="18"/>
              </w:rPr>
            </w:pPr>
          </w:p>
        </w:tc>
      </w:tr>
      <w:tr w:rsidR="00374A2A" w:rsidRPr="007165D0" w14:paraId="05A31F80" w14:textId="77777777" w:rsidTr="00036FFE">
        <w:trPr>
          <w:trHeight w:val="300"/>
        </w:trPr>
        <w:tc>
          <w:tcPr>
            <w:tcW w:w="1059" w:type="pct"/>
          </w:tcPr>
          <w:p w14:paraId="678A25D6" w14:textId="77777777" w:rsidR="00374A2A" w:rsidRPr="00B33A3F" w:rsidRDefault="00374A2A" w:rsidP="00036FFE">
            <w:pPr>
              <w:pStyle w:val="Tabletext"/>
            </w:pPr>
            <w:r w:rsidRPr="007165D0">
              <w:t>Insertion/removal of IPG</w:t>
            </w:r>
            <w:r>
              <w:t xml:space="preserve"> </w:t>
            </w:r>
            <w:r w:rsidRPr="008509D1">
              <w:rPr>
                <w:color w:val="FF0000"/>
                <w:lang w:eastAsia="ja-JP"/>
              </w:rPr>
              <w:t>A</w:t>
            </w:r>
            <w:r w:rsidRPr="007165D0">
              <w:t xml:space="preserve"> </w:t>
            </w:r>
            <w:r w:rsidRPr="007165D0">
              <w:rPr>
                <w:i/>
              </w:rPr>
              <w:t>(no. of services)</w:t>
            </w:r>
            <w:r>
              <w:t xml:space="preserve"> </w:t>
            </w:r>
          </w:p>
        </w:tc>
        <w:tc>
          <w:tcPr>
            <w:tcW w:w="601" w:type="pct"/>
          </w:tcPr>
          <w:p w14:paraId="39DA7A07" w14:textId="77777777" w:rsidR="00374A2A" w:rsidRPr="007165D0" w:rsidRDefault="00374A2A" w:rsidP="00036FFE">
            <w:pPr>
              <w:pStyle w:val="Tabletext"/>
            </w:pPr>
            <w:r w:rsidRPr="007165D0">
              <w:t>123</w:t>
            </w:r>
          </w:p>
        </w:tc>
        <w:tc>
          <w:tcPr>
            <w:tcW w:w="601" w:type="pct"/>
          </w:tcPr>
          <w:p w14:paraId="0D883EFB" w14:textId="77777777" w:rsidR="00374A2A" w:rsidRPr="007165D0" w:rsidRDefault="00374A2A" w:rsidP="00036FFE">
            <w:pPr>
              <w:pStyle w:val="Tabletext"/>
            </w:pPr>
            <w:r w:rsidRPr="007165D0">
              <w:t>500</w:t>
            </w:r>
          </w:p>
        </w:tc>
        <w:tc>
          <w:tcPr>
            <w:tcW w:w="601" w:type="pct"/>
          </w:tcPr>
          <w:p w14:paraId="3EE4CDE5" w14:textId="77777777" w:rsidR="00374A2A" w:rsidRPr="007165D0" w:rsidRDefault="00374A2A" w:rsidP="00036FFE">
            <w:pPr>
              <w:pStyle w:val="Tabletext"/>
            </w:pPr>
            <w:r w:rsidRPr="007165D0">
              <w:t>764</w:t>
            </w:r>
          </w:p>
        </w:tc>
        <w:tc>
          <w:tcPr>
            <w:tcW w:w="601" w:type="pct"/>
          </w:tcPr>
          <w:p w14:paraId="6ABB9232" w14:textId="77777777" w:rsidR="00374A2A" w:rsidRPr="007165D0" w:rsidRDefault="00374A2A" w:rsidP="00036FFE">
            <w:pPr>
              <w:pStyle w:val="Tabletext"/>
            </w:pPr>
            <w:r w:rsidRPr="007165D0">
              <w:t>1,039</w:t>
            </w:r>
          </w:p>
        </w:tc>
        <w:tc>
          <w:tcPr>
            <w:tcW w:w="602" w:type="pct"/>
          </w:tcPr>
          <w:p w14:paraId="38E4775C" w14:textId="77777777" w:rsidR="00374A2A" w:rsidRPr="007165D0" w:rsidRDefault="00374A2A" w:rsidP="00036FFE">
            <w:pPr>
              <w:pStyle w:val="Tabletext"/>
            </w:pPr>
            <w:r w:rsidRPr="007165D0">
              <w:t>1,325</w:t>
            </w:r>
          </w:p>
        </w:tc>
        <w:tc>
          <w:tcPr>
            <w:tcW w:w="934" w:type="pct"/>
          </w:tcPr>
          <w:p w14:paraId="2FC3CD2E" w14:textId="77777777" w:rsidR="00374A2A" w:rsidRPr="007165D0" w:rsidRDefault="00374A2A" w:rsidP="00036FFE">
            <w:pPr>
              <w:pStyle w:val="Tabletext"/>
              <w:rPr>
                <w:sz w:val="18"/>
              </w:rPr>
            </w:pPr>
            <w:r w:rsidRPr="007165D0">
              <w:rPr>
                <w:sz w:val="18"/>
              </w:rPr>
              <w:t>A1</w:t>
            </w:r>
          </w:p>
        </w:tc>
      </w:tr>
      <w:tr w:rsidR="00374A2A" w:rsidRPr="007165D0" w14:paraId="07188700" w14:textId="77777777" w:rsidTr="00036FFE">
        <w:trPr>
          <w:trHeight w:val="315"/>
        </w:trPr>
        <w:tc>
          <w:tcPr>
            <w:tcW w:w="1059" w:type="pct"/>
          </w:tcPr>
          <w:p w14:paraId="5DFC3768" w14:textId="77777777" w:rsidR="00374A2A" w:rsidRPr="00763386" w:rsidRDefault="00374A2A" w:rsidP="00036FFE">
            <w:pPr>
              <w:pStyle w:val="Tabletext"/>
            </w:pPr>
            <w:r w:rsidRPr="007165D0">
              <w:rPr>
                <w:i/>
              </w:rPr>
              <w:t>Subtotal cost</w:t>
            </w:r>
            <w:r>
              <w:rPr>
                <w:i/>
              </w:rPr>
              <w:t xml:space="preserve"> </w:t>
            </w:r>
          </w:p>
        </w:tc>
        <w:tc>
          <w:tcPr>
            <w:tcW w:w="601" w:type="pct"/>
          </w:tcPr>
          <w:p w14:paraId="2FE67CAE" w14:textId="77777777" w:rsidR="00374A2A" w:rsidRPr="007165D0" w:rsidRDefault="00374A2A" w:rsidP="00036FFE">
            <w:pPr>
              <w:pStyle w:val="Tabletext"/>
            </w:pPr>
            <w:r w:rsidRPr="007165D0">
              <w:rPr>
                <w:lang w:val="en-US"/>
              </w:rPr>
              <w:t>$23,474</w:t>
            </w:r>
          </w:p>
        </w:tc>
        <w:tc>
          <w:tcPr>
            <w:tcW w:w="601" w:type="pct"/>
          </w:tcPr>
          <w:p w14:paraId="3849E844" w14:textId="77777777" w:rsidR="00374A2A" w:rsidRPr="007165D0" w:rsidRDefault="00374A2A" w:rsidP="00036FFE">
            <w:pPr>
              <w:pStyle w:val="Tabletext"/>
            </w:pPr>
            <w:r w:rsidRPr="007165D0">
              <w:rPr>
                <w:lang w:val="en-US"/>
              </w:rPr>
              <w:t>$95,749</w:t>
            </w:r>
          </w:p>
        </w:tc>
        <w:tc>
          <w:tcPr>
            <w:tcW w:w="601" w:type="pct"/>
          </w:tcPr>
          <w:p w14:paraId="0660565E" w14:textId="77777777" w:rsidR="00374A2A" w:rsidRPr="007165D0" w:rsidRDefault="00374A2A" w:rsidP="00036FFE">
            <w:pPr>
              <w:pStyle w:val="Tabletext"/>
            </w:pPr>
            <w:r w:rsidRPr="007165D0">
              <w:rPr>
                <w:lang w:val="en-US"/>
              </w:rPr>
              <w:t>$146,460</w:t>
            </w:r>
          </w:p>
        </w:tc>
        <w:tc>
          <w:tcPr>
            <w:tcW w:w="601" w:type="pct"/>
          </w:tcPr>
          <w:p w14:paraId="38DE0993" w14:textId="77777777" w:rsidR="00374A2A" w:rsidRPr="007165D0" w:rsidRDefault="00374A2A" w:rsidP="00036FFE">
            <w:pPr>
              <w:pStyle w:val="Tabletext"/>
            </w:pPr>
            <w:r w:rsidRPr="007165D0">
              <w:rPr>
                <w:lang w:val="en-US"/>
              </w:rPr>
              <w:t>$199,137</w:t>
            </w:r>
          </w:p>
        </w:tc>
        <w:tc>
          <w:tcPr>
            <w:tcW w:w="602" w:type="pct"/>
          </w:tcPr>
          <w:p w14:paraId="3922136F" w14:textId="77777777" w:rsidR="00374A2A" w:rsidRPr="007165D0" w:rsidRDefault="00374A2A" w:rsidP="00036FFE">
            <w:pPr>
              <w:pStyle w:val="Tabletext"/>
            </w:pPr>
            <w:r w:rsidRPr="007165D0">
              <w:rPr>
                <w:lang w:val="en-US"/>
              </w:rPr>
              <w:t>$253,837</w:t>
            </w:r>
          </w:p>
        </w:tc>
        <w:tc>
          <w:tcPr>
            <w:tcW w:w="934" w:type="pct"/>
          </w:tcPr>
          <w:p w14:paraId="6B506AA7" w14:textId="77777777" w:rsidR="00374A2A" w:rsidRPr="007165D0" w:rsidRDefault="00374A2A" w:rsidP="00036FFE">
            <w:pPr>
              <w:pStyle w:val="Tabletext"/>
              <w:rPr>
                <w:sz w:val="18"/>
                <w:lang w:val="en-US"/>
              </w:rPr>
            </w:pPr>
            <w:r w:rsidRPr="007165D0">
              <w:rPr>
                <w:sz w:val="18"/>
                <w:lang w:val="en-US"/>
              </w:rPr>
              <w:t>(A1*$192) = P1</w:t>
            </w:r>
          </w:p>
        </w:tc>
      </w:tr>
      <w:tr w:rsidR="00374A2A" w:rsidRPr="007165D0" w14:paraId="16756547" w14:textId="77777777" w:rsidTr="00036FFE">
        <w:trPr>
          <w:trHeight w:val="315"/>
        </w:trPr>
        <w:tc>
          <w:tcPr>
            <w:tcW w:w="1059" w:type="pct"/>
          </w:tcPr>
          <w:p w14:paraId="52FFC811" w14:textId="77777777" w:rsidR="00374A2A" w:rsidRPr="00763386" w:rsidRDefault="00374A2A" w:rsidP="00036FFE">
            <w:pPr>
              <w:pStyle w:val="Tabletext"/>
              <w:rPr>
                <w:vertAlign w:val="superscript"/>
              </w:rPr>
            </w:pPr>
            <w:r w:rsidRPr="007165D0">
              <w:t xml:space="preserve">Insertion/removal of leads </w:t>
            </w:r>
            <w:r w:rsidRPr="008509D1">
              <w:rPr>
                <w:color w:val="FF0000"/>
                <w:lang w:eastAsia="ja-JP"/>
              </w:rPr>
              <w:t>B</w:t>
            </w:r>
            <w:r>
              <w:rPr>
                <w:color w:val="FF0000"/>
                <w:lang w:eastAsia="ja-JP"/>
              </w:rPr>
              <w:t>,</w:t>
            </w:r>
            <w:r w:rsidRPr="008509D1">
              <w:rPr>
                <w:color w:val="FF0000"/>
                <w:lang w:eastAsia="ja-JP"/>
              </w:rPr>
              <w:t xml:space="preserve"> C</w:t>
            </w:r>
            <w:r>
              <w:rPr>
                <w:color w:val="FF0000"/>
                <w:vertAlign w:val="superscript"/>
                <w:lang w:eastAsia="ja-JP"/>
              </w:rPr>
              <w:t>*</w:t>
            </w:r>
          </w:p>
          <w:p w14:paraId="39AB0F70" w14:textId="77777777" w:rsidR="00374A2A" w:rsidRPr="007165D0" w:rsidRDefault="00374A2A" w:rsidP="00036FFE">
            <w:pPr>
              <w:pStyle w:val="Tabletext"/>
            </w:pPr>
            <w:r w:rsidRPr="007165D0">
              <w:rPr>
                <w:i/>
              </w:rPr>
              <w:t>(no. of services)</w:t>
            </w:r>
          </w:p>
        </w:tc>
        <w:tc>
          <w:tcPr>
            <w:tcW w:w="601" w:type="pct"/>
          </w:tcPr>
          <w:p w14:paraId="727C1EAA" w14:textId="77777777" w:rsidR="00374A2A" w:rsidRPr="007165D0" w:rsidRDefault="00374A2A" w:rsidP="00036FFE">
            <w:pPr>
              <w:pStyle w:val="Tabletext"/>
            </w:pPr>
            <w:r w:rsidRPr="007165D0">
              <w:t>123</w:t>
            </w:r>
          </w:p>
        </w:tc>
        <w:tc>
          <w:tcPr>
            <w:tcW w:w="601" w:type="pct"/>
          </w:tcPr>
          <w:p w14:paraId="1EB15DF0" w14:textId="77777777" w:rsidR="00374A2A" w:rsidRPr="007165D0" w:rsidRDefault="00374A2A" w:rsidP="00036FFE">
            <w:pPr>
              <w:pStyle w:val="Tabletext"/>
            </w:pPr>
            <w:r w:rsidRPr="007165D0">
              <w:t>500</w:t>
            </w:r>
          </w:p>
        </w:tc>
        <w:tc>
          <w:tcPr>
            <w:tcW w:w="601" w:type="pct"/>
          </w:tcPr>
          <w:p w14:paraId="156D9589" w14:textId="77777777" w:rsidR="00374A2A" w:rsidRPr="007165D0" w:rsidRDefault="00374A2A" w:rsidP="00036FFE">
            <w:pPr>
              <w:pStyle w:val="Tabletext"/>
            </w:pPr>
            <w:r w:rsidRPr="007165D0">
              <w:t>764</w:t>
            </w:r>
          </w:p>
        </w:tc>
        <w:tc>
          <w:tcPr>
            <w:tcW w:w="601" w:type="pct"/>
          </w:tcPr>
          <w:p w14:paraId="280E57FA" w14:textId="77777777" w:rsidR="00374A2A" w:rsidRPr="007165D0" w:rsidRDefault="00374A2A" w:rsidP="00036FFE">
            <w:pPr>
              <w:pStyle w:val="Tabletext"/>
            </w:pPr>
            <w:r w:rsidRPr="007165D0">
              <w:t>1,039</w:t>
            </w:r>
          </w:p>
        </w:tc>
        <w:tc>
          <w:tcPr>
            <w:tcW w:w="602" w:type="pct"/>
          </w:tcPr>
          <w:p w14:paraId="4951D5EE" w14:textId="77777777" w:rsidR="00374A2A" w:rsidRPr="007165D0" w:rsidRDefault="00374A2A" w:rsidP="00036FFE">
            <w:pPr>
              <w:pStyle w:val="Tabletext"/>
            </w:pPr>
            <w:r w:rsidRPr="007165D0">
              <w:t>1,325</w:t>
            </w:r>
          </w:p>
        </w:tc>
        <w:tc>
          <w:tcPr>
            <w:tcW w:w="934" w:type="pct"/>
          </w:tcPr>
          <w:p w14:paraId="6388E992" w14:textId="77777777" w:rsidR="00374A2A" w:rsidRPr="007165D0" w:rsidRDefault="00374A2A" w:rsidP="00036FFE">
            <w:pPr>
              <w:pStyle w:val="Tabletext"/>
              <w:rPr>
                <w:sz w:val="18"/>
              </w:rPr>
            </w:pPr>
            <w:r w:rsidRPr="007165D0">
              <w:rPr>
                <w:sz w:val="18"/>
              </w:rPr>
              <w:t>A1</w:t>
            </w:r>
          </w:p>
        </w:tc>
      </w:tr>
      <w:tr w:rsidR="00374A2A" w:rsidRPr="007165D0" w14:paraId="0867F195" w14:textId="77777777" w:rsidTr="00036FFE">
        <w:trPr>
          <w:trHeight w:val="315"/>
        </w:trPr>
        <w:tc>
          <w:tcPr>
            <w:tcW w:w="1059" w:type="pct"/>
          </w:tcPr>
          <w:p w14:paraId="30BB031A" w14:textId="77777777" w:rsidR="00374A2A" w:rsidRPr="007165D0" w:rsidRDefault="00374A2A" w:rsidP="00036FFE">
            <w:pPr>
              <w:pStyle w:val="Tabletext"/>
              <w:rPr>
                <w:i/>
              </w:rPr>
            </w:pPr>
            <w:r w:rsidRPr="007165D0">
              <w:rPr>
                <w:i/>
              </w:rPr>
              <w:t>Subtotal cost</w:t>
            </w:r>
          </w:p>
        </w:tc>
        <w:tc>
          <w:tcPr>
            <w:tcW w:w="601" w:type="pct"/>
          </w:tcPr>
          <w:p w14:paraId="1172B9AA" w14:textId="77777777" w:rsidR="00374A2A" w:rsidRPr="007165D0" w:rsidRDefault="00374A2A" w:rsidP="00036FFE">
            <w:pPr>
              <w:pStyle w:val="Tabletext"/>
            </w:pPr>
            <w:r w:rsidRPr="007165D0">
              <w:rPr>
                <w:lang w:val="en-US"/>
              </w:rPr>
              <w:t>$86,072</w:t>
            </w:r>
          </w:p>
        </w:tc>
        <w:tc>
          <w:tcPr>
            <w:tcW w:w="601" w:type="pct"/>
          </w:tcPr>
          <w:p w14:paraId="79497197" w14:textId="77777777" w:rsidR="00374A2A" w:rsidRPr="007165D0" w:rsidRDefault="00374A2A" w:rsidP="00036FFE">
            <w:pPr>
              <w:pStyle w:val="Tabletext"/>
            </w:pPr>
            <w:r w:rsidRPr="007165D0">
              <w:rPr>
                <w:lang w:val="en-US"/>
              </w:rPr>
              <w:t>$351,088</w:t>
            </w:r>
          </w:p>
        </w:tc>
        <w:tc>
          <w:tcPr>
            <w:tcW w:w="601" w:type="pct"/>
          </w:tcPr>
          <w:p w14:paraId="1197AEF6" w14:textId="77777777" w:rsidR="00374A2A" w:rsidRPr="007165D0" w:rsidRDefault="00374A2A" w:rsidP="00036FFE">
            <w:pPr>
              <w:pStyle w:val="Tabletext"/>
            </w:pPr>
            <w:r w:rsidRPr="007165D0">
              <w:rPr>
                <w:lang w:val="en-US"/>
              </w:rPr>
              <w:t>$537,033</w:t>
            </w:r>
          </w:p>
        </w:tc>
        <w:tc>
          <w:tcPr>
            <w:tcW w:w="601" w:type="pct"/>
          </w:tcPr>
          <w:p w14:paraId="031FC5A6" w14:textId="77777777" w:rsidR="00374A2A" w:rsidRPr="007165D0" w:rsidRDefault="00374A2A" w:rsidP="00036FFE">
            <w:pPr>
              <w:pStyle w:val="Tabletext"/>
            </w:pPr>
            <w:r w:rsidRPr="007165D0">
              <w:rPr>
                <w:lang w:val="en-US"/>
              </w:rPr>
              <w:t>$730,185</w:t>
            </w:r>
          </w:p>
        </w:tc>
        <w:tc>
          <w:tcPr>
            <w:tcW w:w="602" w:type="pct"/>
          </w:tcPr>
          <w:p w14:paraId="74EE2035" w14:textId="77777777" w:rsidR="00374A2A" w:rsidRPr="007165D0" w:rsidRDefault="00374A2A" w:rsidP="00036FFE">
            <w:pPr>
              <w:pStyle w:val="Tabletext"/>
            </w:pPr>
            <w:r w:rsidRPr="007165D0">
              <w:rPr>
                <w:lang w:val="en-US"/>
              </w:rPr>
              <w:t>$930,758</w:t>
            </w:r>
          </w:p>
        </w:tc>
        <w:tc>
          <w:tcPr>
            <w:tcW w:w="934" w:type="pct"/>
          </w:tcPr>
          <w:p w14:paraId="6E568638" w14:textId="77777777" w:rsidR="00374A2A" w:rsidRPr="007165D0" w:rsidRDefault="00374A2A" w:rsidP="00036FFE">
            <w:pPr>
              <w:pStyle w:val="Tabletext"/>
              <w:rPr>
                <w:sz w:val="18"/>
                <w:lang w:val="en-US"/>
              </w:rPr>
            </w:pPr>
            <w:r w:rsidRPr="007165D0">
              <w:rPr>
                <w:sz w:val="18"/>
                <w:lang w:val="en-US"/>
              </w:rPr>
              <w:t>(A1*$703) = P2</w:t>
            </w:r>
          </w:p>
        </w:tc>
      </w:tr>
      <w:tr w:rsidR="00374A2A" w:rsidRPr="007165D0" w14:paraId="6B8ED785" w14:textId="77777777" w:rsidTr="00036FFE">
        <w:trPr>
          <w:trHeight w:val="315"/>
        </w:trPr>
        <w:tc>
          <w:tcPr>
            <w:tcW w:w="1059" w:type="pct"/>
          </w:tcPr>
          <w:p w14:paraId="16AB8F83" w14:textId="77777777" w:rsidR="00374A2A" w:rsidRPr="007165D0" w:rsidRDefault="00374A2A" w:rsidP="00036FFE">
            <w:pPr>
              <w:pStyle w:val="Tabletext"/>
            </w:pPr>
            <w:r w:rsidRPr="007165D0">
              <w:t>Interrogation of IPG</w:t>
            </w:r>
            <w:r>
              <w:t xml:space="preserve"> </w:t>
            </w:r>
            <w:r w:rsidRPr="008509D1">
              <w:rPr>
                <w:color w:val="FF0000"/>
                <w:lang w:eastAsia="ja-JP"/>
              </w:rPr>
              <w:t>D</w:t>
            </w:r>
          </w:p>
          <w:p w14:paraId="4EAD58C6" w14:textId="77777777" w:rsidR="00374A2A" w:rsidRPr="007165D0" w:rsidRDefault="00374A2A" w:rsidP="00036FFE">
            <w:pPr>
              <w:pStyle w:val="Tabletext"/>
              <w:rPr>
                <w:i/>
              </w:rPr>
            </w:pPr>
            <w:r w:rsidRPr="007165D0">
              <w:rPr>
                <w:i/>
              </w:rPr>
              <w:t>(no. of services)</w:t>
            </w:r>
          </w:p>
        </w:tc>
        <w:tc>
          <w:tcPr>
            <w:tcW w:w="601" w:type="pct"/>
          </w:tcPr>
          <w:p w14:paraId="6B338901" w14:textId="77777777" w:rsidR="00374A2A" w:rsidRPr="007165D0" w:rsidRDefault="00374A2A" w:rsidP="00036FFE">
            <w:pPr>
              <w:pStyle w:val="Tabletext"/>
            </w:pPr>
            <w:r w:rsidRPr="007165D0">
              <w:t>245</w:t>
            </w:r>
          </w:p>
        </w:tc>
        <w:tc>
          <w:tcPr>
            <w:tcW w:w="601" w:type="pct"/>
          </w:tcPr>
          <w:p w14:paraId="331BECD7" w14:textId="77777777" w:rsidR="00374A2A" w:rsidRPr="007165D0" w:rsidRDefault="00374A2A" w:rsidP="00036FFE">
            <w:pPr>
              <w:pStyle w:val="Tabletext"/>
            </w:pPr>
            <w:r w:rsidRPr="007165D0">
              <w:t>1,122</w:t>
            </w:r>
          </w:p>
        </w:tc>
        <w:tc>
          <w:tcPr>
            <w:tcW w:w="601" w:type="pct"/>
          </w:tcPr>
          <w:p w14:paraId="5159C926" w14:textId="77777777" w:rsidR="00374A2A" w:rsidRPr="007165D0" w:rsidRDefault="00374A2A" w:rsidP="00036FFE">
            <w:pPr>
              <w:pStyle w:val="Tabletext"/>
            </w:pPr>
            <w:r w:rsidRPr="007165D0">
              <w:t>2,151</w:t>
            </w:r>
          </w:p>
        </w:tc>
        <w:tc>
          <w:tcPr>
            <w:tcW w:w="601" w:type="pct"/>
          </w:tcPr>
          <w:p w14:paraId="7C8696DC" w14:textId="77777777" w:rsidR="00374A2A" w:rsidRPr="007165D0" w:rsidRDefault="00374A2A" w:rsidP="00036FFE">
            <w:pPr>
              <w:pStyle w:val="Tabletext"/>
            </w:pPr>
            <w:r w:rsidRPr="007165D0">
              <w:t>3,465</w:t>
            </w:r>
          </w:p>
        </w:tc>
        <w:tc>
          <w:tcPr>
            <w:tcW w:w="602" w:type="pct"/>
          </w:tcPr>
          <w:p w14:paraId="525670E1" w14:textId="77777777" w:rsidR="00374A2A" w:rsidRPr="007165D0" w:rsidRDefault="00374A2A" w:rsidP="00036FFE">
            <w:pPr>
              <w:pStyle w:val="Tabletext"/>
            </w:pPr>
            <w:r w:rsidRPr="007165D0">
              <w:t>5,067</w:t>
            </w:r>
          </w:p>
        </w:tc>
        <w:tc>
          <w:tcPr>
            <w:tcW w:w="934" w:type="pct"/>
          </w:tcPr>
          <w:p w14:paraId="5935446C" w14:textId="77777777" w:rsidR="00374A2A" w:rsidRPr="007165D0" w:rsidRDefault="00374A2A" w:rsidP="00036FFE">
            <w:pPr>
              <w:pStyle w:val="Tabletext"/>
              <w:rPr>
                <w:sz w:val="18"/>
              </w:rPr>
            </w:pPr>
            <w:r w:rsidRPr="007165D0">
              <w:rPr>
                <w:sz w:val="18"/>
              </w:rPr>
              <w:t>A2</w:t>
            </w:r>
          </w:p>
        </w:tc>
      </w:tr>
      <w:tr w:rsidR="00374A2A" w:rsidRPr="007165D0" w14:paraId="1E233409" w14:textId="77777777" w:rsidTr="00036FFE">
        <w:trPr>
          <w:trHeight w:val="315"/>
        </w:trPr>
        <w:tc>
          <w:tcPr>
            <w:tcW w:w="1059" w:type="pct"/>
          </w:tcPr>
          <w:p w14:paraId="61EF05EC" w14:textId="77777777" w:rsidR="00374A2A" w:rsidRPr="007165D0" w:rsidRDefault="00374A2A" w:rsidP="00036FFE">
            <w:pPr>
              <w:pStyle w:val="Tabletext"/>
              <w:rPr>
                <w:i/>
              </w:rPr>
            </w:pPr>
            <w:r w:rsidRPr="007165D0">
              <w:rPr>
                <w:i/>
              </w:rPr>
              <w:t>Subtotal cost</w:t>
            </w:r>
          </w:p>
        </w:tc>
        <w:tc>
          <w:tcPr>
            <w:tcW w:w="601" w:type="pct"/>
          </w:tcPr>
          <w:p w14:paraId="29C30B46" w14:textId="77777777" w:rsidR="00374A2A" w:rsidRPr="007165D0" w:rsidRDefault="00374A2A" w:rsidP="00036FFE">
            <w:pPr>
              <w:pStyle w:val="Tabletext"/>
            </w:pPr>
            <w:r w:rsidRPr="007165D0">
              <w:rPr>
                <w:lang w:val="en-US"/>
              </w:rPr>
              <w:t>$14,530</w:t>
            </w:r>
          </w:p>
        </w:tc>
        <w:tc>
          <w:tcPr>
            <w:tcW w:w="601" w:type="pct"/>
          </w:tcPr>
          <w:p w14:paraId="3A943C6B" w14:textId="77777777" w:rsidR="00374A2A" w:rsidRPr="007165D0" w:rsidRDefault="00374A2A" w:rsidP="00036FFE">
            <w:pPr>
              <w:pStyle w:val="Tabletext"/>
            </w:pPr>
            <w:r w:rsidRPr="007165D0">
              <w:rPr>
                <w:lang w:val="en-US"/>
              </w:rPr>
              <w:t>$66,533</w:t>
            </w:r>
          </w:p>
        </w:tc>
        <w:tc>
          <w:tcPr>
            <w:tcW w:w="601" w:type="pct"/>
          </w:tcPr>
          <w:p w14:paraId="63DEB35B" w14:textId="77777777" w:rsidR="00374A2A" w:rsidRPr="007165D0" w:rsidRDefault="00374A2A" w:rsidP="00036FFE">
            <w:pPr>
              <w:pStyle w:val="Tabletext"/>
            </w:pPr>
            <w:r w:rsidRPr="007165D0">
              <w:rPr>
                <w:lang w:val="en-US"/>
              </w:rPr>
              <w:t>$127,558</w:t>
            </w:r>
          </w:p>
        </w:tc>
        <w:tc>
          <w:tcPr>
            <w:tcW w:w="601" w:type="pct"/>
          </w:tcPr>
          <w:p w14:paraId="719385C5" w14:textId="77777777" w:rsidR="00374A2A" w:rsidRPr="007165D0" w:rsidRDefault="00374A2A" w:rsidP="00036FFE">
            <w:pPr>
              <w:pStyle w:val="Tabletext"/>
            </w:pPr>
            <w:r w:rsidRPr="007165D0">
              <w:rPr>
                <w:lang w:val="en-US"/>
              </w:rPr>
              <w:t>$205,494</w:t>
            </w:r>
          </w:p>
        </w:tc>
        <w:tc>
          <w:tcPr>
            <w:tcW w:w="602" w:type="pct"/>
          </w:tcPr>
          <w:p w14:paraId="437FBCFE" w14:textId="77777777" w:rsidR="00374A2A" w:rsidRPr="007165D0" w:rsidRDefault="00374A2A" w:rsidP="00036FFE">
            <w:pPr>
              <w:pStyle w:val="Tabletext"/>
            </w:pPr>
            <w:r w:rsidRPr="007165D0">
              <w:rPr>
                <w:lang w:val="en-US"/>
              </w:rPr>
              <w:t>$300,986</w:t>
            </w:r>
          </w:p>
        </w:tc>
        <w:tc>
          <w:tcPr>
            <w:tcW w:w="934" w:type="pct"/>
          </w:tcPr>
          <w:p w14:paraId="168241CE" w14:textId="77777777" w:rsidR="00374A2A" w:rsidRPr="007165D0" w:rsidRDefault="00374A2A" w:rsidP="00036FFE">
            <w:pPr>
              <w:pStyle w:val="Tabletext"/>
              <w:rPr>
                <w:sz w:val="18"/>
                <w:lang w:val="en-US"/>
              </w:rPr>
            </w:pPr>
            <w:r w:rsidRPr="007165D0">
              <w:rPr>
                <w:sz w:val="18"/>
                <w:lang w:val="en-US"/>
              </w:rPr>
              <w:t>(A2 × $59) = P3</w:t>
            </w:r>
          </w:p>
        </w:tc>
      </w:tr>
      <w:tr w:rsidR="00374A2A" w:rsidRPr="007165D0" w14:paraId="3DB0BA92" w14:textId="77777777" w:rsidTr="00036FFE">
        <w:trPr>
          <w:trHeight w:val="315"/>
        </w:trPr>
        <w:tc>
          <w:tcPr>
            <w:tcW w:w="1059" w:type="pct"/>
          </w:tcPr>
          <w:p w14:paraId="478FF996" w14:textId="77777777" w:rsidR="00374A2A" w:rsidRPr="007165D0" w:rsidRDefault="00374A2A" w:rsidP="00036FFE">
            <w:pPr>
              <w:pStyle w:val="Tabletext"/>
            </w:pPr>
            <w:r w:rsidRPr="007165D0">
              <w:t>Sub-total number of services</w:t>
            </w:r>
          </w:p>
        </w:tc>
        <w:tc>
          <w:tcPr>
            <w:tcW w:w="601" w:type="pct"/>
          </w:tcPr>
          <w:p w14:paraId="7966D1CC" w14:textId="77777777" w:rsidR="00374A2A" w:rsidRPr="007165D0" w:rsidRDefault="00374A2A" w:rsidP="00036FFE">
            <w:pPr>
              <w:pStyle w:val="Tabletext"/>
            </w:pPr>
            <w:r w:rsidRPr="007165D0">
              <w:t>490</w:t>
            </w:r>
          </w:p>
        </w:tc>
        <w:tc>
          <w:tcPr>
            <w:tcW w:w="601" w:type="pct"/>
          </w:tcPr>
          <w:p w14:paraId="788B64EF" w14:textId="77777777" w:rsidR="00374A2A" w:rsidRPr="007165D0" w:rsidRDefault="00374A2A" w:rsidP="00036FFE">
            <w:pPr>
              <w:pStyle w:val="Tabletext"/>
            </w:pPr>
            <w:r w:rsidRPr="007165D0">
              <w:t>2,121</w:t>
            </w:r>
          </w:p>
        </w:tc>
        <w:tc>
          <w:tcPr>
            <w:tcW w:w="601" w:type="pct"/>
          </w:tcPr>
          <w:p w14:paraId="16AC1F56" w14:textId="77777777" w:rsidR="00374A2A" w:rsidRPr="007165D0" w:rsidRDefault="00374A2A" w:rsidP="00036FFE">
            <w:pPr>
              <w:pStyle w:val="Tabletext"/>
            </w:pPr>
            <w:r w:rsidRPr="007165D0">
              <w:t>3,680</w:t>
            </w:r>
          </w:p>
        </w:tc>
        <w:tc>
          <w:tcPr>
            <w:tcW w:w="601" w:type="pct"/>
          </w:tcPr>
          <w:p w14:paraId="643AD91E" w14:textId="77777777" w:rsidR="00374A2A" w:rsidRPr="007165D0" w:rsidRDefault="00374A2A" w:rsidP="00036FFE">
            <w:pPr>
              <w:pStyle w:val="Tabletext"/>
            </w:pPr>
            <w:r w:rsidRPr="007165D0">
              <w:t>5,544</w:t>
            </w:r>
          </w:p>
        </w:tc>
        <w:tc>
          <w:tcPr>
            <w:tcW w:w="602" w:type="pct"/>
          </w:tcPr>
          <w:p w14:paraId="40A83A8D" w14:textId="77777777" w:rsidR="00374A2A" w:rsidRPr="007165D0" w:rsidRDefault="00374A2A" w:rsidP="00036FFE">
            <w:pPr>
              <w:pStyle w:val="Tabletext"/>
            </w:pPr>
            <w:r w:rsidRPr="007165D0">
              <w:t>7,725</w:t>
            </w:r>
          </w:p>
        </w:tc>
        <w:tc>
          <w:tcPr>
            <w:tcW w:w="934" w:type="pct"/>
          </w:tcPr>
          <w:p w14:paraId="10DB0738" w14:textId="77777777" w:rsidR="00374A2A" w:rsidRPr="007165D0" w:rsidRDefault="00374A2A" w:rsidP="00036FFE">
            <w:pPr>
              <w:pStyle w:val="Tabletext"/>
              <w:rPr>
                <w:sz w:val="18"/>
              </w:rPr>
            </w:pPr>
            <w:r w:rsidRPr="007165D0">
              <w:rPr>
                <w:sz w:val="18"/>
              </w:rPr>
              <w:t>((A1 × 2) + A2) = B1</w:t>
            </w:r>
          </w:p>
        </w:tc>
      </w:tr>
      <w:tr w:rsidR="00374A2A" w:rsidRPr="007165D0" w14:paraId="778CE867" w14:textId="77777777" w:rsidTr="00036FFE">
        <w:trPr>
          <w:trHeight w:val="315"/>
        </w:trPr>
        <w:tc>
          <w:tcPr>
            <w:tcW w:w="1059" w:type="pct"/>
          </w:tcPr>
          <w:p w14:paraId="3FF25AF7" w14:textId="77777777" w:rsidR="00374A2A" w:rsidRPr="007165D0" w:rsidRDefault="00374A2A" w:rsidP="00036FFE">
            <w:pPr>
              <w:pStyle w:val="Tabletext"/>
            </w:pPr>
            <w:r w:rsidRPr="007165D0">
              <w:t>Sub-total cost</w:t>
            </w:r>
          </w:p>
        </w:tc>
        <w:tc>
          <w:tcPr>
            <w:tcW w:w="601" w:type="pct"/>
          </w:tcPr>
          <w:p w14:paraId="4F988D19" w14:textId="77777777" w:rsidR="00374A2A" w:rsidRPr="007165D0" w:rsidRDefault="00374A2A" w:rsidP="00036FFE">
            <w:pPr>
              <w:pStyle w:val="Tabletext"/>
            </w:pPr>
            <w:r w:rsidRPr="007165D0">
              <w:t>$124,076</w:t>
            </w:r>
          </w:p>
        </w:tc>
        <w:tc>
          <w:tcPr>
            <w:tcW w:w="601" w:type="pct"/>
          </w:tcPr>
          <w:p w14:paraId="2A69C9FB" w14:textId="77777777" w:rsidR="00374A2A" w:rsidRPr="007165D0" w:rsidRDefault="00374A2A" w:rsidP="00036FFE">
            <w:pPr>
              <w:pStyle w:val="Tabletext"/>
            </w:pPr>
            <w:r w:rsidRPr="007165D0">
              <w:t>$513,370</w:t>
            </w:r>
          </w:p>
        </w:tc>
        <w:tc>
          <w:tcPr>
            <w:tcW w:w="601" w:type="pct"/>
          </w:tcPr>
          <w:p w14:paraId="37766A1E" w14:textId="77777777" w:rsidR="00374A2A" w:rsidRPr="007165D0" w:rsidRDefault="00374A2A" w:rsidP="00036FFE">
            <w:pPr>
              <w:pStyle w:val="Tabletext"/>
            </w:pPr>
            <w:r w:rsidRPr="007165D0">
              <w:t>$811,050</w:t>
            </w:r>
          </w:p>
        </w:tc>
        <w:tc>
          <w:tcPr>
            <w:tcW w:w="601" w:type="pct"/>
          </w:tcPr>
          <w:p w14:paraId="54D1C2C2" w14:textId="77777777" w:rsidR="00374A2A" w:rsidRPr="007165D0" w:rsidRDefault="00374A2A" w:rsidP="00036FFE">
            <w:pPr>
              <w:pStyle w:val="Tabletext"/>
            </w:pPr>
            <w:r w:rsidRPr="007165D0">
              <w:t>$1,134,816</w:t>
            </w:r>
          </w:p>
        </w:tc>
        <w:tc>
          <w:tcPr>
            <w:tcW w:w="602" w:type="pct"/>
          </w:tcPr>
          <w:p w14:paraId="0E297FB8" w14:textId="77777777" w:rsidR="00374A2A" w:rsidRPr="007165D0" w:rsidRDefault="00374A2A" w:rsidP="00036FFE">
            <w:pPr>
              <w:pStyle w:val="Tabletext"/>
            </w:pPr>
            <w:r w:rsidRPr="007165D0">
              <w:t>$1,485,581</w:t>
            </w:r>
          </w:p>
        </w:tc>
        <w:tc>
          <w:tcPr>
            <w:tcW w:w="934" w:type="pct"/>
          </w:tcPr>
          <w:p w14:paraId="69157741" w14:textId="77777777" w:rsidR="00374A2A" w:rsidRPr="007165D0" w:rsidRDefault="00374A2A" w:rsidP="00036FFE">
            <w:pPr>
              <w:pStyle w:val="Tabletext"/>
              <w:rPr>
                <w:sz w:val="18"/>
              </w:rPr>
            </w:pPr>
            <w:r w:rsidRPr="007165D0">
              <w:rPr>
                <w:sz w:val="18"/>
              </w:rPr>
              <w:t>(P1 + P2 + P3) = S1</w:t>
            </w:r>
          </w:p>
        </w:tc>
      </w:tr>
      <w:tr w:rsidR="00374A2A" w:rsidRPr="000C6CC8" w14:paraId="4B4F0547" w14:textId="77777777" w:rsidTr="00036FFE">
        <w:trPr>
          <w:trHeight w:val="765"/>
        </w:trPr>
        <w:tc>
          <w:tcPr>
            <w:tcW w:w="1059" w:type="pct"/>
          </w:tcPr>
          <w:p w14:paraId="73BCB7EB" w14:textId="77777777" w:rsidR="00374A2A" w:rsidRPr="000C6CC8" w:rsidRDefault="00374A2A" w:rsidP="00036FFE">
            <w:pPr>
              <w:pStyle w:val="Tabletext"/>
              <w:rPr>
                <w:b/>
              </w:rPr>
            </w:pPr>
            <w:r w:rsidRPr="000C6CC8">
              <w:rPr>
                <w:b/>
              </w:rPr>
              <w:t>Co-administered services currently MBS listed</w:t>
            </w:r>
          </w:p>
        </w:tc>
        <w:tc>
          <w:tcPr>
            <w:tcW w:w="601" w:type="pct"/>
          </w:tcPr>
          <w:p w14:paraId="29E89FFE" w14:textId="77777777" w:rsidR="00374A2A" w:rsidRPr="000C6CC8" w:rsidRDefault="00374A2A" w:rsidP="00036FFE">
            <w:pPr>
              <w:pStyle w:val="Tabletext"/>
              <w:rPr>
                <w:b/>
              </w:rPr>
            </w:pPr>
          </w:p>
        </w:tc>
        <w:tc>
          <w:tcPr>
            <w:tcW w:w="601" w:type="pct"/>
          </w:tcPr>
          <w:p w14:paraId="5C4EA338" w14:textId="77777777" w:rsidR="00374A2A" w:rsidRPr="000C6CC8" w:rsidRDefault="00374A2A" w:rsidP="00036FFE">
            <w:pPr>
              <w:pStyle w:val="Tabletext"/>
              <w:rPr>
                <w:b/>
              </w:rPr>
            </w:pPr>
          </w:p>
        </w:tc>
        <w:tc>
          <w:tcPr>
            <w:tcW w:w="601" w:type="pct"/>
          </w:tcPr>
          <w:p w14:paraId="4FD89447" w14:textId="77777777" w:rsidR="00374A2A" w:rsidRPr="000C6CC8" w:rsidRDefault="00374A2A" w:rsidP="00036FFE">
            <w:pPr>
              <w:pStyle w:val="Tabletext"/>
              <w:rPr>
                <w:b/>
              </w:rPr>
            </w:pPr>
          </w:p>
        </w:tc>
        <w:tc>
          <w:tcPr>
            <w:tcW w:w="601" w:type="pct"/>
          </w:tcPr>
          <w:p w14:paraId="42BD4813" w14:textId="77777777" w:rsidR="00374A2A" w:rsidRPr="000C6CC8" w:rsidRDefault="00374A2A" w:rsidP="00036FFE">
            <w:pPr>
              <w:pStyle w:val="Tabletext"/>
              <w:rPr>
                <w:b/>
              </w:rPr>
            </w:pPr>
          </w:p>
        </w:tc>
        <w:tc>
          <w:tcPr>
            <w:tcW w:w="602" w:type="pct"/>
          </w:tcPr>
          <w:p w14:paraId="7282EA66" w14:textId="77777777" w:rsidR="00374A2A" w:rsidRPr="000C6CC8" w:rsidRDefault="00374A2A" w:rsidP="00036FFE">
            <w:pPr>
              <w:pStyle w:val="Tabletext"/>
              <w:rPr>
                <w:b/>
              </w:rPr>
            </w:pPr>
          </w:p>
        </w:tc>
        <w:tc>
          <w:tcPr>
            <w:tcW w:w="934" w:type="pct"/>
          </w:tcPr>
          <w:p w14:paraId="236741AB" w14:textId="77777777" w:rsidR="00374A2A" w:rsidRPr="000C6CC8" w:rsidRDefault="00374A2A" w:rsidP="00036FFE">
            <w:pPr>
              <w:pStyle w:val="Tabletext"/>
              <w:rPr>
                <w:b/>
                <w:sz w:val="18"/>
              </w:rPr>
            </w:pPr>
          </w:p>
        </w:tc>
      </w:tr>
      <w:tr w:rsidR="00374A2A" w:rsidRPr="007165D0" w14:paraId="147AE949" w14:textId="77777777" w:rsidTr="00036FFE">
        <w:trPr>
          <w:trHeight w:val="300"/>
        </w:trPr>
        <w:tc>
          <w:tcPr>
            <w:tcW w:w="1059" w:type="pct"/>
          </w:tcPr>
          <w:p w14:paraId="318A4B90" w14:textId="77777777" w:rsidR="00374A2A" w:rsidRPr="007165D0" w:rsidRDefault="00374A2A" w:rsidP="00036FFE">
            <w:pPr>
              <w:pStyle w:val="Tabletext"/>
              <w:rPr>
                <w:i/>
              </w:rPr>
            </w:pPr>
            <w:r w:rsidRPr="007165D0">
              <w:rPr>
                <w:i/>
              </w:rPr>
              <w:t xml:space="preserve">No. of services per year for each co-administered MBS service </w:t>
            </w:r>
          </w:p>
        </w:tc>
        <w:tc>
          <w:tcPr>
            <w:tcW w:w="601" w:type="pct"/>
          </w:tcPr>
          <w:p w14:paraId="218193D4" w14:textId="77777777" w:rsidR="00374A2A" w:rsidRPr="007165D0" w:rsidRDefault="00374A2A" w:rsidP="00036FFE">
            <w:pPr>
              <w:pStyle w:val="Tabletext"/>
            </w:pPr>
            <w:r w:rsidRPr="007165D0">
              <w:t>123</w:t>
            </w:r>
          </w:p>
        </w:tc>
        <w:tc>
          <w:tcPr>
            <w:tcW w:w="601" w:type="pct"/>
          </w:tcPr>
          <w:p w14:paraId="0310EE8E" w14:textId="77777777" w:rsidR="00374A2A" w:rsidRPr="007165D0" w:rsidRDefault="00374A2A" w:rsidP="00036FFE">
            <w:pPr>
              <w:pStyle w:val="Tabletext"/>
            </w:pPr>
            <w:r w:rsidRPr="007165D0">
              <w:t>500</w:t>
            </w:r>
          </w:p>
        </w:tc>
        <w:tc>
          <w:tcPr>
            <w:tcW w:w="601" w:type="pct"/>
          </w:tcPr>
          <w:p w14:paraId="3B9C7C74" w14:textId="77777777" w:rsidR="00374A2A" w:rsidRPr="007165D0" w:rsidRDefault="00374A2A" w:rsidP="00036FFE">
            <w:pPr>
              <w:pStyle w:val="Tabletext"/>
            </w:pPr>
            <w:r w:rsidRPr="007165D0">
              <w:t>764</w:t>
            </w:r>
          </w:p>
        </w:tc>
        <w:tc>
          <w:tcPr>
            <w:tcW w:w="601" w:type="pct"/>
          </w:tcPr>
          <w:p w14:paraId="7D5F30D3" w14:textId="77777777" w:rsidR="00374A2A" w:rsidRPr="007165D0" w:rsidRDefault="00374A2A" w:rsidP="00036FFE">
            <w:pPr>
              <w:pStyle w:val="Tabletext"/>
            </w:pPr>
            <w:r w:rsidRPr="007165D0">
              <w:t>1,039</w:t>
            </w:r>
          </w:p>
        </w:tc>
        <w:tc>
          <w:tcPr>
            <w:tcW w:w="602" w:type="pct"/>
          </w:tcPr>
          <w:p w14:paraId="47E118D2" w14:textId="77777777" w:rsidR="00374A2A" w:rsidRPr="007165D0" w:rsidRDefault="00374A2A" w:rsidP="00036FFE">
            <w:pPr>
              <w:pStyle w:val="Tabletext"/>
            </w:pPr>
            <w:r w:rsidRPr="007165D0">
              <w:t>1,325</w:t>
            </w:r>
          </w:p>
        </w:tc>
        <w:tc>
          <w:tcPr>
            <w:tcW w:w="934" w:type="pct"/>
          </w:tcPr>
          <w:p w14:paraId="21820808" w14:textId="77777777" w:rsidR="00374A2A" w:rsidRPr="007165D0" w:rsidRDefault="00374A2A" w:rsidP="00036FFE">
            <w:pPr>
              <w:pStyle w:val="Tabletext"/>
              <w:rPr>
                <w:sz w:val="18"/>
              </w:rPr>
            </w:pPr>
            <w:r w:rsidRPr="007165D0">
              <w:rPr>
                <w:sz w:val="18"/>
              </w:rPr>
              <w:t>A1</w:t>
            </w:r>
          </w:p>
        </w:tc>
      </w:tr>
      <w:tr w:rsidR="00374A2A" w:rsidRPr="007165D0" w14:paraId="1DD6CAC0" w14:textId="77777777" w:rsidTr="00036FFE">
        <w:trPr>
          <w:trHeight w:val="300"/>
        </w:trPr>
        <w:tc>
          <w:tcPr>
            <w:tcW w:w="1059" w:type="pct"/>
          </w:tcPr>
          <w:p w14:paraId="4A5448D8" w14:textId="77777777" w:rsidR="00374A2A" w:rsidRPr="007165D0" w:rsidRDefault="00374A2A" w:rsidP="00036FFE">
            <w:pPr>
              <w:pStyle w:val="Tabletext"/>
              <w:rPr>
                <w:i/>
              </w:rPr>
            </w:pPr>
            <w:r w:rsidRPr="007165D0">
              <w:t xml:space="preserve">Consultant Surgeon </w:t>
            </w:r>
            <w:r w:rsidRPr="007165D0">
              <w:rPr>
                <w:i/>
              </w:rPr>
              <w:t>(subtotal cost)</w:t>
            </w:r>
          </w:p>
        </w:tc>
        <w:tc>
          <w:tcPr>
            <w:tcW w:w="601" w:type="pct"/>
          </w:tcPr>
          <w:p w14:paraId="1E7B7092" w14:textId="77777777" w:rsidR="00374A2A" w:rsidRPr="007165D0" w:rsidRDefault="00374A2A" w:rsidP="00036FFE">
            <w:pPr>
              <w:pStyle w:val="Tabletext"/>
            </w:pPr>
            <w:r w:rsidRPr="007165D0">
              <w:rPr>
                <w:lang w:val="en-US"/>
              </w:rPr>
              <w:t>$14,077</w:t>
            </w:r>
          </w:p>
        </w:tc>
        <w:tc>
          <w:tcPr>
            <w:tcW w:w="601" w:type="pct"/>
          </w:tcPr>
          <w:p w14:paraId="009A4C50" w14:textId="77777777" w:rsidR="00374A2A" w:rsidRPr="007165D0" w:rsidRDefault="00374A2A" w:rsidP="00036FFE">
            <w:pPr>
              <w:pStyle w:val="Tabletext"/>
            </w:pPr>
            <w:r w:rsidRPr="007165D0">
              <w:rPr>
                <w:lang w:val="en-US"/>
              </w:rPr>
              <w:t>$57,419</w:t>
            </w:r>
          </w:p>
        </w:tc>
        <w:tc>
          <w:tcPr>
            <w:tcW w:w="601" w:type="pct"/>
          </w:tcPr>
          <w:p w14:paraId="3A6E402D" w14:textId="77777777" w:rsidR="00374A2A" w:rsidRPr="007165D0" w:rsidRDefault="00374A2A" w:rsidP="00036FFE">
            <w:pPr>
              <w:pStyle w:val="Tabletext"/>
            </w:pPr>
            <w:r w:rsidRPr="007165D0">
              <w:rPr>
                <w:lang w:val="en-US"/>
              </w:rPr>
              <w:t>$87,830</w:t>
            </w:r>
          </w:p>
        </w:tc>
        <w:tc>
          <w:tcPr>
            <w:tcW w:w="601" w:type="pct"/>
          </w:tcPr>
          <w:p w14:paraId="32A0D125" w14:textId="77777777" w:rsidR="00374A2A" w:rsidRPr="007165D0" w:rsidRDefault="00374A2A" w:rsidP="00036FFE">
            <w:pPr>
              <w:pStyle w:val="Tabletext"/>
            </w:pPr>
            <w:r w:rsidRPr="007165D0">
              <w:rPr>
                <w:lang w:val="en-US"/>
              </w:rPr>
              <w:t>$119,420</w:t>
            </w:r>
          </w:p>
        </w:tc>
        <w:tc>
          <w:tcPr>
            <w:tcW w:w="602" w:type="pct"/>
          </w:tcPr>
          <w:p w14:paraId="5E8452BA" w14:textId="77777777" w:rsidR="00374A2A" w:rsidRPr="007165D0" w:rsidRDefault="00374A2A" w:rsidP="00036FFE">
            <w:pPr>
              <w:pStyle w:val="Tabletext"/>
            </w:pPr>
            <w:r w:rsidRPr="007165D0">
              <w:rPr>
                <w:lang w:val="en-US"/>
              </w:rPr>
              <w:t>$152,223</w:t>
            </w:r>
          </w:p>
        </w:tc>
        <w:tc>
          <w:tcPr>
            <w:tcW w:w="934" w:type="pct"/>
          </w:tcPr>
          <w:p w14:paraId="1566A50E" w14:textId="77777777" w:rsidR="00374A2A" w:rsidRPr="007165D0" w:rsidRDefault="00374A2A" w:rsidP="00036FFE">
            <w:pPr>
              <w:pStyle w:val="Tabletext"/>
              <w:rPr>
                <w:sz w:val="18"/>
                <w:lang w:val="en-US"/>
              </w:rPr>
            </w:pPr>
            <w:r w:rsidRPr="007165D0">
              <w:rPr>
                <w:sz w:val="18"/>
                <w:lang w:val="en-US"/>
              </w:rPr>
              <w:t>(A1 × $115) = P4</w:t>
            </w:r>
          </w:p>
        </w:tc>
      </w:tr>
      <w:tr w:rsidR="00374A2A" w:rsidRPr="007165D0" w14:paraId="2F7DE621" w14:textId="77777777" w:rsidTr="00036FFE">
        <w:trPr>
          <w:trHeight w:val="300"/>
        </w:trPr>
        <w:tc>
          <w:tcPr>
            <w:tcW w:w="1059" w:type="pct"/>
          </w:tcPr>
          <w:p w14:paraId="542CF839" w14:textId="77777777" w:rsidR="00374A2A" w:rsidRPr="007165D0" w:rsidRDefault="00374A2A" w:rsidP="00036FFE">
            <w:pPr>
              <w:pStyle w:val="Tabletext"/>
            </w:pPr>
            <w:r w:rsidRPr="007165D0">
              <w:t>Anaesthetist</w:t>
            </w:r>
          </w:p>
          <w:p w14:paraId="5C3B7FB1" w14:textId="77777777" w:rsidR="00374A2A" w:rsidRPr="007165D0" w:rsidRDefault="00374A2A" w:rsidP="00036FFE">
            <w:pPr>
              <w:pStyle w:val="Tabletext"/>
            </w:pPr>
            <w:r w:rsidRPr="007165D0">
              <w:rPr>
                <w:i/>
              </w:rPr>
              <w:t>(subtotal cost)</w:t>
            </w:r>
          </w:p>
        </w:tc>
        <w:tc>
          <w:tcPr>
            <w:tcW w:w="601" w:type="pct"/>
          </w:tcPr>
          <w:p w14:paraId="719E9319" w14:textId="77777777" w:rsidR="00374A2A" w:rsidRPr="007165D0" w:rsidRDefault="00374A2A" w:rsidP="00036FFE">
            <w:pPr>
              <w:pStyle w:val="Tabletext"/>
            </w:pPr>
            <w:r w:rsidRPr="007165D0">
              <w:rPr>
                <w:lang w:val="en-US"/>
              </w:rPr>
              <w:t>$4,012</w:t>
            </w:r>
          </w:p>
        </w:tc>
        <w:tc>
          <w:tcPr>
            <w:tcW w:w="601" w:type="pct"/>
          </w:tcPr>
          <w:p w14:paraId="6B7E1234" w14:textId="77777777" w:rsidR="00374A2A" w:rsidRPr="007165D0" w:rsidRDefault="00374A2A" w:rsidP="00036FFE">
            <w:pPr>
              <w:pStyle w:val="Tabletext"/>
            </w:pPr>
            <w:r w:rsidRPr="007165D0">
              <w:rPr>
                <w:lang w:val="en-US"/>
              </w:rPr>
              <w:t>$16,366</w:t>
            </w:r>
          </w:p>
        </w:tc>
        <w:tc>
          <w:tcPr>
            <w:tcW w:w="601" w:type="pct"/>
          </w:tcPr>
          <w:p w14:paraId="5E8D32ED" w14:textId="77777777" w:rsidR="00374A2A" w:rsidRPr="007165D0" w:rsidRDefault="00374A2A" w:rsidP="00036FFE">
            <w:pPr>
              <w:pStyle w:val="Tabletext"/>
            </w:pPr>
            <w:r w:rsidRPr="007165D0">
              <w:rPr>
                <w:lang w:val="en-US"/>
              </w:rPr>
              <w:t>$25,034</w:t>
            </w:r>
          </w:p>
        </w:tc>
        <w:tc>
          <w:tcPr>
            <w:tcW w:w="601" w:type="pct"/>
          </w:tcPr>
          <w:p w14:paraId="69E78670" w14:textId="77777777" w:rsidR="00374A2A" w:rsidRPr="007165D0" w:rsidRDefault="00374A2A" w:rsidP="00036FFE">
            <w:pPr>
              <w:pStyle w:val="Tabletext"/>
            </w:pPr>
            <w:r w:rsidRPr="007165D0">
              <w:rPr>
                <w:lang w:val="en-US"/>
              </w:rPr>
              <w:t>$34,038</w:t>
            </w:r>
          </w:p>
        </w:tc>
        <w:tc>
          <w:tcPr>
            <w:tcW w:w="602" w:type="pct"/>
          </w:tcPr>
          <w:p w14:paraId="721D5671" w14:textId="77777777" w:rsidR="00374A2A" w:rsidRPr="007165D0" w:rsidRDefault="00374A2A" w:rsidP="00036FFE">
            <w:pPr>
              <w:pStyle w:val="Tabletext"/>
            </w:pPr>
            <w:r w:rsidRPr="007165D0">
              <w:rPr>
                <w:lang w:val="en-US"/>
              </w:rPr>
              <w:t>$43,388</w:t>
            </w:r>
          </w:p>
        </w:tc>
        <w:tc>
          <w:tcPr>
            <w:tcW w:w="934" w:type="pct"/>
          </w:tcPr>
          <w:p w14:paraId="6A8A327F" w14:textId="77777777" w:rsidR="00374A2A" w:rsidRPr="007165D0" w:rsidRDefault="00374A2A" w:rsidP="00036FFE">
            <w:pPr>
              <w:pStyle w:val="Tabletext"/>
              <w:rPr>
                <w:sz w:val="18"/>
                <w:lang w:val="en-US"/>
              </w:rPr>
            </w:pPr>
            <w:r w:rsidRPr="007165D0">
              <w:rPr>
                <w:sz w:val="18"/>
                <w:lang w:val="en-US"/>
              </w:rPr>
              <w:t>(A1 × $33) = P5</w:t>
            </w:r>
          </w:p>
          <w:p w14:paraId="52C01F4E" w14:textId="77777777" w:rsidR="00374A2A" w:rsidRPr="007165D0" w:rsidRDefault="00374A2A" w:rsidP="00036FFE">
            <w:pPr>
              <w:pStyle w:val="Tabletext"/>
              <w:rPr>
                <w:sz w:val="18"/>
                <w:lang w:val="en-US"/>
              </w:rPr>
            </w:pPr>
          </w:p>
        </w:tc>
      </w:tr>
      <w:tr w:rsidR="00374A2A" w:rsidRPr="007165D0" w14:paraId="3C80FBCE" w14:textId="77777777" w:rsidTr="00036FFE">
        <w:trPr>
          <w:trHeight w:val="300"/>
        </w:trPr>
        <w:tc>
          <w:tcPr>
            <w:tcW w:w="1059" w:type="pct"/>
          </w:tcPr>
          <w:p w14:paraId="0BF23DF5" w14:textId="77777777" w:rsidR="00374A2A" w:rsidRPr="007165D0" w:rsidRDefault="00374A2A" w:rsidP="00036FFE">
            <w:pPr>
              <w:pStyle w:val="Tabletext"/>
            </w:pPr>
            <w:r w:rsidRPr="007165D0">
              <w:t>Anaesthesia initiation</w:t>
            </w:r>
          </w:p>
          <w:p w14:paraId="673F9BCB" w14:textId="77777777" w:rsidR="00374A2A" w:rsidRPr="007165D0" w:rsidRDefault="00374A2A" w:rsidP="00036FFE">
            <w:pPr>
              <w:pStyle w:val="Tabletext"/>
            </w:pPr>
            <w:r w:rsidRPr="007165D0">
              <w:rPr>
                <w:i/>
              </w:rPr>
              <w:t>(subtotal cost)</w:t>
            </w:r>
          </w:p>
        </w:tc>
        <w:tc>
          <w:tcPr>
            <w:tcW w:w="601" w:type="pct"/>
          </w:tcPr>
          <w:p w14:paraId="0E48B901" w14:textId="77777777" w:rsidR="00374A2A" w:rsidRPr="007165D0" w:rsidRDefault="00374A2A" w:rsidP="00036FFE">
            <w:pPr>
              <w:pStyle w:val="Tabletext"/>
            </w:pPr>
            <w:r w:rsidRPr="007165D0">
              <w:rPr>
                <w:lang w:val="en-US"/>
              </w:rPr>
              <w:t>$12,735</w:t>
            </w:r>
          </w:p>
        </w:tc>
        <w:tc>
          <w:tcPr>
            <w:tcW w:w="601" w:type="pct"/>
          </w:tcPr>
          <w:p w14:paraId="16EE1151" w14:textId="77777777" w:rsidR="00374A2A" w:rsidRPr="007165D0" w:rsidRDefault="00374A2A" w:rsidP="00036FFE">
            <w:pPr>
              <w:pStyle w:val="Tabletext"/>
            </w:pPr>
            <w:r w:rsidRPr="007165D0">
              <w:rPr>
                <w:lang w:val="en-US"/>
              </w:rPr>
              <w:t>$51,947</w:t>
            </w:r>
          </w:p>
        </w:tc>
        <w:tc>
          <w:tcPr>
            <w:tcW w:w="601" w:type="pct"/>
          </w:tcPr>
          <w:p w14:paraId="461AFB82" w14:textId="77777777" w:rsidR="00374A2A" w:rsidRPr="007165D0" w:rsidRDefault="00374A2A" w:rsidP="00036FFE">
            <w:pPr>
              <w:pStyle w:val="Tabletext"/>
            </w:pPr>
            <w:r w:rsidRPr="007165D0">
              <w:rPr>
                <w:lang w:val="en-US"/>
              </w:rPr>
              <w:t>$79,460</w:t>
            </w:r>
          </w:p>
        </w:tc>
        <w:tc>
          <w:tcPr>
            <w:tcW w:w="601" w:type="pct"/>
          </w:tcPr>
          <w:p w14:paraId="142F9514" w14:textId="77777777" w:rsidR="00374A2A" w:rsidRPr="007165D0" w:rsidRDefault="00374A2A" w:rsidP="00036FFE">
            <w:pPr>
              <w:pStyle w:val="Tabletext"/>
            </w:pPr>
            <w:r w:rsidRPr="007165D0">
              <w:rPr>
                <w:lang w:val="en-US"/>
              </w:rPr>
              <w:t>$108,039</w:t>
            </w:r>
          </w:p>
        </w:tc>
        <w:tc>
          <w:tcPr>
            <w:tcW w:w="602" w:type="pct"/>
          </w:tcPr>
          <w:p w14:paraId="0076D47F" w14:textId="77777777" w:rsidR="00374A2A" w:rsidRPr="007165D0" w:rsidRDefault="00374A2A" w:rsidP="00036FFE">
            <w:pPr>
              <w:pStyle w:val="Tabletext"/>
            </w:pPr>
            <w:r w:rsidRPr="007165D0">
              <w:rPr>
                <w:lang w:val="en-US"/>
              </w:rPr>
              <w:t>$137,716</w:t>
            </w:r>
          </w:p>
        </w:tc>
        <w:tc>
          <w:tcPr>
            <w:tcW w:w="934" w:type="pct"/>
          </w:tcPr>
          <w:p w14:paraId="69C2B066" w14:textId="77777777" w:rsidR="00374A2A" w:rsidRPr="007165D0" w:rsidRDefault="00374A2A" w:rsidP="00036FFE">
            <w:pPr>
              <w:pStyle w:val="Tabletext"/>
              <w:rPr>
                <w:sz w:val="18"/>
                <w:lang w:val="en-US"/>
              </w:rPr>
            </w:pPr>
            <w:r w:rsidRPr="007165D0">
              <w:rPr>
                <w:sz w:val="18"/>
                <w:lang w:val="en-US"/>
              </w:rPr>
              <w:t>(A1 × $104) = P6</w:t>
            </w:r>
          </w:p>
          <w:p w14:paraId="6CF635F5" w14:textId="77777777" w:rsidR="00374A2A" w:rsidRPr="007165D0" w:rsidRDefault="00374A2A" w:rsidP="00036FFE">
            <w:pPr>
              <w:pStyle w:val="Tabletext"/>
              <w:rPr>
                <w:sz w:val="18"/>
                <w:lang w:val="en-US"/>
              </w:rPr>
            </w:pPr>
          </w:p>
        </w:tc>
      </w:tr>
      <w:tr w:rsidR="00374A2A" w:rsidRPr="007165D0" w14:paraId="542CA480" w14:textId="77777777" w:rsidTr="00036FFE">
        <w:trPr>
          <w:trHeight w:val="300"/>
        </w:trPr>
        <w:tc>
          <w:tcPr>
            <w:tcW w:w="1059" w:type="pct"/>
          </w:tcPr>
          <w:p w14:paraId="3B48D4CB" w14:textId="77777777" w:rsidR="00374A2A" w:rsidRPr="007165D0" w:rsidRDefault="00374A2A" w:rsidP="00036FFE">
            <w:pPr>
              <w:pStyle w:val="Tabletext"/>
            </w:pPr>
            <w:r w:rsidRPr="007165D0">
              <w:t>Anaesthesia (1 hour)</w:t>
            </w:r>
          </w:p>
          <w:p w14:paraId="74184A1B" w14:textId="77777777" w:rsidR="00374A2A" w:rsidRPr="007165D0" w:rsidRDefault="00374A2A" w:rsidP="00036FFE">
            <w:pPr>
              <w:pStyle w:val="Tabletext"/>
            </w:pPr>
            <w:r w:rsidRPr="007165D0">
              <w:rPr>
                <w:i/>
              </w:rPr>
              <w:t>(subtotal cost)</w:t>
            </w:r>
          </w:p>
        </w:tc>
        <w:tc>
          <w:tcPr>
            <w:tcW w:w="601" w:type="pct"/>
          </w:tcPr>
          <w:p w14:paraId="62DFF042" w14:textId="77777777" w:rsidR="00374A2A" w:rsidRPr="007165D0" w:rsidRDefault="00374A2A" w:rsidP="00036FFE">
            <w:pPr>
              <w:pStyle w:val="Tabletext"/>
            </w:pPr>
            <w:r w:rsidRPr="007165D0">
              <w:rPr>
                <w:lang w:val="en-US"/>
              </w:rPr>
              <w:t>$7,277</w:t>
            </w:r>
          </w:p>
        </w:tc>
        <w:tc>
          <w:tcPr>
            <w:tcW w:w="601" w:type="pct"/>
          </w:tcPr>
          <w:p w14:paraId="4410F6F5" w14:textId="77777777" w:rsidR="00374A2A" w:rsidRPr="007165D0" w:rsidRDefault="00374A2A" w:rsidP="00036FFE">
            <w:pPr>
              <w:pStyle w:val="Tabletext"/>
            </w:pPr>
            <w:r w:rsidRPr="007165D0">
              <w:rPr>
                <w:lang w:val="en-US"/>
              </w:rPr>
              <w:t>$29,684</w:t>
            </w:r>
          </w:p>
        </w:tc>
        <w:tc>
          <w:tcPr>
            <w:tcW w:w="601" w:type="pct"/>
          </w:tcPr>
          <w:p w14:paraId="59DEECD2" w14:textId="77777777" w:rsidR="00374A2A" w:rsidRPr="007165D0" w:rsidRDefault="00374A2A" w:rsidP="00036FFE">
            <w:pPr>
              <w:pStyle w:val="Tabletext"/>
            </w:pPr>
            <w:r w:rsidRPr="007165D0">
              <w:rPr>
                <w:lang w:val="en-US"/>
              </w:rPr>
              <w:t>$45,406</w:t>
            </w:r>
          </w:p>
        </w:tc>
        <w:tc>
          <w:tcPr>
            <w:tcW w:w="601" w:type="pct"/>
          </w:tcPr>
          <w:p w14:paraId="583009A2" w14:textId="77777777" w:rsidR="00374A2A" w:rsidRPr="007165D0" w:rsidRDefault="00374A2A" w:rsidP="00036FFE">
            <w:pPr>
              <w:pStyle w:val="Tabletext"/>
            </w:pPr>
            <w:r w:rsidRPr="007165D0">
              <w:rPr>
                <w:lang w:val="en-US"/>
              </w:rPr>
              <w:t>$61,737</w:t>
            </w:r>
          </w:p>
        </w:tc>
        <w:tc>
          <w:tcPr>
            <w:tcW w:w="602" w:type="pct"/>
          </w:tcPr>
          <w:p w14:paraId="45EE616B" w14:textId="77777777" w:rsidR="00374A2A" w:rsidRPr="007165D0" w:rsidRDefault="00374A2A" w:rsidP="00036FFE">
            <w:pPr>
              <w:pStyle w:val="Tabletext"/>
            </w:pPr>
            <w:r w:rsidRPr="007165D0">
              <w:rPr>
                <w:lang w:val="en-US"/>
              </w:rPr>
              <w:t>$78,695</w:t>
            </w:r>
          </w:p>
        </w:tc>
        <w:tc>
          <w:tcPr>
            <w:tcW w:w="934" w:type="pct"/>
          </w:tcPr>
          <w:p w14:paraId="651C3058" w14:textId="77777777" w:rsidR="00374A2A" w:rsidRPr="007165D0" w:rsidRDefault="00374A2A" w:rsidP="00036FFE">
            <w:pPr>
              <w:pStyle w:val="Tabletext"/>
              <w:rPr>
                <w:sz w:val="18"/>
                <w:lang w:val="en-US"/>
              </w:rPr>
            </w:pPr>
            <w:r w:rsidRPr="007165D0">
              <w:rPr>
                <w:sz w:val="18"/>
                <w:lang w:val="en-US"/>
              </w:rPr>
              <w:t>(A1 × $59) = P7</w:t>
            </w:r>
          </w:p>
          <w:p w14:paraId="05777E15" w14:textId="77777777" w:rsidR="00374A2A" w:rsidRPr="007165D0" w:rsidRDefault="00374A2A" w:rsidP="00036FFE">
            <w:pPr>
              <w:pStyle w:val="Tabletext"/>
              <w:rPr>
                <w:sz w:val="18"/>
                <w:lang w:val="en-US"/>
              </w:rPr>
            </w:pPr>
          </w:p>
        </w:tc>
      </w:tr>
      <w:tr w:rsidR="00374A2A" w:rsidRPr="007165D0" w14:paraId="7B02F071" w14:textId="77777777" w:rsidTr="00036FFE">
        <w:trPr>
          <w:trHeight w:val="300"/>
        </w:trPr>
        <w:tc>
          <w:tcPr>
            <w:tcW w:w="1059" w:type="pct"/>
          </w:tcPr>
          <w:p w14:paraId="4FAF972B" w14:textId="77777777" w:rsidR="00374A2A" w:rsidRPr="007165D0" w:rsidRDefault="00374A2A" w:rsidP="00036FFE">
            <w:pPr>
              <w:pStyle w:val="Tabletext"/>
            </w:pPr>
            <w:r w:rsidRPr="007165D0">
              <w:t>X-ray</w:t>
            </w:r>
          </w:p>
          <w:p w14:paraId="1E473034" w14:textId="77777777" w:rsidR="00374A2A" w:rsidRPr="007165D0" w:rsidRDefault="00374A2A" w:rsidP="00036FFE">
            <w:pPr>
              <w:pStyle w:val="Tabletext"/>
            </w:pPr>
            <w:r w:rsidRPr="007165D0">
              <w:rPr>
                <w:i/>
              </w:rPr>
              <w:t>(subtotal cost)</w:t>
            </w:r>
          </w:p>
        </w:tc>
        <w:tc>
          <w:tcPr>
            <w:tcW w:w="601" w:type="pct"/>
          </w:tcPr>
          <w:p w14:paraId="2C10FDBA" w14:textId="77777777" w:rsidR="00374A2A" w:rsidRPr="007165D0" w:rsidRDefault="00374A2A" w:rsidP="00036FFE">
            <w:pPr>
              <w:pStyle w:val="Tabletext"/>
            </w:pPr>
            <w:r w:rsidRPr="007165D0">
              <w:rPr>
                <w:lang w:val="en-US"/>
              </w:rPr>
              <w:t>$3,253</w:t>
            </w:r>
          </w:p>
        </w:tc>
        <w:tc>
          <w:tcPr>
            <w:tcW w:w="601" w:type="pct"/>
          </w:tcPr>
          <w:p w14:paraId="22E2A350" w14:textId="77777777" w:rsidR="00374A2A" w:rsidRPr="007165D0" w:rsidRDefault="00374A2A" w:rsidP="00036FFE">
            <w:pPr>
              <w:pStyle w:val="Tabletext"/>
            </w:pPr>
            <w:r w:rsidRPr="007165D0">
              <w:rPr>
                <w:lang w:val="en-US"/>
              </w:rPr>
              <w:t>$13,268</w:t>
            </w:r>
          </w:p>
        </w:tc>
        <w:tc>
          <w:tcPr>
            <w:tcW w:w="601" w:type="pct"/>
          </w:tcPr>
          <w:p w14:paraId="6B9FE643" w14:textId="77777777" w:rsidR="00374A2A" w:rsidRPr="007165D0" w:rsidRDefault="00374A2A" w:rsidP="00036FFE">
            <w:pPr>
              <w:pStyle w:val="Tabletext"/>
            </w:pPr>
            <w:r w:rsidRPr="007165D0">
              <w:rPr>
                <w:lang w:val="en-US"/>
              </w:rPr>
              <w:t>$20,295</w:t>
            </w:r>
          </w:p>
        </w:tc>
        <w:tc>
          <w:tcPr>
            <w:tcW w:w="601" w:type="pct"/>
          </w:tcPr>
          <w:p w14:paraId="70518D00" w14:textId="77777777" w:rsidR="00374A2A" w:rsidRPr="007165D0" w:rsidRDefault="00374A2A" w:rsidP="00036FFE">
            <w:pPr>
              <w:pStyle w:val="Tabletext"/>
            </w:pPr>
            <w:r w:rsidRPr="007165D0">
              <w:rPr>
                <w:lang w:val="en-US"/>
              </w:rPr>
              <w:t>$27,594</w:t>
            </w:r>
          </w:p>
        </w:tc>
        <w:tc>
          <w:tcPr>
            <w:tcW w:w="602" w:type="pct"/>
          </w:tcPr>
          <w:p w14:paraId="039B322A" w14:textId="77777777" w:rsidR="00374A2A" w:rsidRPr="007165D0" w:rsidRDefault="00374A2A" w:rsidP="00036FFE">
            <w:pPr>
              <w:pStyle w:val="Tabletext"/>
            </w:pPr>
            <w:r w:rsidRPr="007165D0">
              <w:rPr>
                <w:lang w:val="en-US"/>
              </w:rPr>
              <w:t>$35,174</w:t>
            </w:r>
          </w:p>
        </w:tc>
        <w:tc>
          <w:tcPr>
            <w:tcW w:w="934" w:type="pct"/>
          </w:tcPr>
          <w:p w14:paraId="73E01DCB" w14:textId="77777777" w:rsidR="00374A2A" w:rsidRPr="007165D0" w:rsidRDefault="00374A2A" w:rsidP="00036FFE">
            <w:pPr>
              <w:pStyle w:val="Tabletext"/>
              <w:rPr>
                <w:sz w:val="18"/>
                <w:lang w:val="en-US"/>
              </w:rPr>
            </w:pPr>
            <w:r w:rsidRPr="007165D0">
              <w:rPr>
                <w:sz w:val="18"/>
                <w:lang w:val="en-US"/>
              </w:rPr>
              <w:t>(A1 × $27) = P8</w:t>
            </w:r>
          </w:p>
          <w:p w14:paraId="77E3D8D9" w14:textId="77777777" w:rsidR="00374A2A" w:rsidRPr="007165D0" w:rsidRDefault="00374A2A" w:rsidP="00036FFE">
            <w:pPr>
              <w:pStyle w:val="Tabletext"/>
              <w:rPr>
                <w:sz w:val="18"/>
                <w:lang w:val="en-US"/>
              </w:rPr>
            </w:pPr>
          </w:p>
        </w:tc>
      </w:tr>
      <w:tr w:rsidR="00374A2A" w:rsidRPr="007165D0" w14:paraId="28BA1E21" w14:textId="77777777" w:rsidTr="00036FFE">
        <w:trPr>
          <w:trHeight w:val="300"/>
        </w:trPr>
        <w:tc>
          <w:tcPr>
            <w:tcW w:w="1059" w:type="pct"/>
          </w:tcPr>
          <w:p w14:paraId="3ACF29BE" w14:textId="77777777" w:rsidR="00374A2A" w:rsidRPr="007165D0" w:rsidRDefault="00374A2A" w:rsidP="00036FFE">
            <w:pPr>
              <w:pStyle w:val="Tabletext"/>
            </w:pPr>
            <w:r w:rsidRPr="007165D0">
              <w:t>Sub-total number of services</w:t>
            </w:r>
          </w:p>
        </w:tc>
        <w:tc>
          <w:tcPr>
            <w:tcW w:w="601" w:type="pct"/>
          </w:tcPr>
          <w:p w14:paraId="38814041" w14:textId="77777777" w:rsidR="00374A2A" w:rsidRPr="007165D0" w:rsidRDefault="00374A2A" w:rsidP="00036FFE">
            <w:pPr>
              <w:pStyle w:val="Tabletext"/>
              <w:rPr>
                <w:lang w:val="en-US"/>
              </w:rPr>
            </w:pPr>
            <w:r w:rsidRPr="007165D0">
              <w:rPr>
                <w:lang w:val="en-US"/>
              </w:rPr>
              <w:t>613</w:t>
            </w:r>
          </w:p>
        </w:tc>
        <w:tc>
          <w:tcPr>
            <w:tcW w:w="601" w:type="pct"/>
          </w:tcPr>
          <w:p w14:paraId="518ADC79" w14:textId="77777777" w:rsidR="00374A2A" w:rsidRPr="007165D0" w:rsidRDefault="00374A2A" w:rsidP="00036FFE">
            <w:pPr>
              <w:pStyle w:val="Tabletext"/>
              <w:rPr>
                <w:lang w:val="en-US"/>
              </w:rPr>
            </w:pPr>
            <w:r w:rsidRPr="007165D0">
              <w:rPr>
                <w:lang w:val="en-US"/>
              </w:rPr>
              <w:t>2,499</w:t>
            </w:r>
          </w:p>
        </w:tc>
        <w:tc>
          <w:tcPr>
            <w:tcW w:w="601" w:type="pct"/>
          </w:tcPr>
          <w:p w14:paraId="5738E626" w14:textId="77777777" w:rsidR="00374A2A" w:rsidRPr="007165D0" w:rsidRDefault="00374A2A" w:rsidP="00036FFE">
            <w:pPr>
              <w:pStyle w:val="Tabletext"/>
              <w:rPr>
                <w:lang w:val="en-US"/>
              </w:rPr>
            </w:pPr>
            <w:r w:rsidRPr="007165D0">
              <w:rPr>
                <w:lang w:val="en-US"/>
              </w:rPr>
              <w:t>3,822</w:t>
            </w:r>
          </w:p>
        </w:tc>
        <w:tc>
          <w:tcPr>
            <w:tcW w:w="601" w:type="pct"/>
          </w:tcPr>
          <w:p w14:paraId="3CE211A0" w14:textId="77777777" w:rsidR="00374A2A" w:rsidRPr="007165D0" w:rsidRDefault="00374A2A" w:rsidP="00036FFE">
            <w:pPr>
              <w:pStyle w:val="Tabletext"/>
              <w:rPr>
                <w:lang w:val="en-US"/>
              </w:rPr>
            </w:pPr>
            <w:r w:rsidRPr="007165D0">
              <w:rPr>
                <w:lang w:val="en-US"/>
              </w:rPr>
              <w:t>5,197</w:t>
            </w:r>
          </w:p>
        </w:tc>
        <w:tc>
          <w:tcPr>
            <w:tcW w:w="602" w:type="pct"/>
          </w:tcPr>
          <w:p w14:paraId="47CB0E73" w14:textId="77777777" w:rsidR="00374A2A" w:rsidRPr="007165D0" w:rsidRDefault="00374A2A" w:rsidP="00036FFE">
            <w:pPr>
              <w:pStyle w:val="Tabletext"/>
              <w:rPr>
                <w:lang w:val="en-US"/>
              </w:rPr>
            </w:pPr>
            <w:r w:rsidRPr="007165D0">
              <w:rPr>
                <w:lang w:val="en-US"/>
              </w:rPr>
              <w:t>6,624</w:t>
            </w:r>
          </w:p>
        </w:tc>
        <w:tc>
          <w:tcPr>
            <w:tcW w:w="934" w:type="pct"/>
          </w:tcPr>
          <w:p w14:paraId="53F63E1F" w14:textId="77777777" w:rsidR="00374A2A" w:rsidRPr="007165D0" w:rsidRDefault="00374A2A" w:rsidP="00036FFE">
            <w:pPr>
              <w:pStyle w:val="Tabletext"/>
              <w:rPr>
                <w:sz w:val="18"/>
                <w:lang w:val="en-US"/>
              </w:rPr>
            </w:pPr>
            <w:r w:rsidRPr="007165D0">
              <w:rPr>
                <w:sz w:val="18"/>
                <w:lang w:val="en-US"/>
              </w:rPr>
              <w:t>(A1 × 5) = B2</w:t>
            </w:r>
          </w:p>
        </w:tc>
      </w:tr>
      <w:tr w:rsidR="00374A2A" w:rsidRPr="007165D0" w14:paraId="3493BA40" w14:textId="77777777" w:rsidTr="00036FFE">
        <w:trPr>
          <w:trHeight w:val="300"/>
        </w:trPr>
        <w:tc>
          <w:tcPr>
            <w:tcW w:w="1059" w:type="pct"/>
          </w:tcPr>
          <w:p w14:paraId="07229CED" w14:textId="77777777" w:rsidR="00374A2A" w:rsidRPr="007165D0" w:rsidRDefault="00374A2A" w:rsidP="00036FFE">
            <w:pPr>
              <w:pStyle w:val="Tabletext"/>
            </w:pPr>
            <w:r w:rsidRPr="007165D0">
              <w:t>Sub-total cost</w:t>
            </w:r>
          </w:p>
        </w:tc>
        <w:tc>
          <w:tcPr>
            <w:tcW w:w="601" w:type="pct"/>
          </w:tcPr>
          <w:p w14:paraId="55EAE7C5" w14:textId="77777777" w:rsidR="00374A2A" w:rsidRPr="007165D0" w:rsidRDefault="00374A2A" w:rsidP="00036FFE">
            <w:pPr>
              <w:pStyle w:val="Tabletext"/>
            </w:pPr>
            <w:r w:rsidRPr="007165D0">
              <w:t>$41,355</w:t>
            </w:r>
          </w:p>
        </w:tc>
        <w:tc>
          <w:tcPr>
            <w:tcW w:w="601" w:type="pct"/>
          </w:tcPr>
          <w:p w14:paraId="2FCA48D5" w14:textId="77777777" w:rsidR="00374A2A" w:rsidRPr="007165D0" w:rsidRDefault="00374A2A" w:rsidP="00036FFE">
            <w:pPr>
              <w:pStyle w:val="Tabletext"/>
            </w:pPr>
            <w:r w:rsidRPr="007165D0">
              <w:t>$168,685</w:t>
            </w:r>
          </w:p>
        </w:tc>
        <w:tc>
          <w:tcPr>
            <w:tcW w:w="601" w:type="pct"/>
          </w:tcPr>
          <w:p w14:paraId="7E58EC2A" w14:textId="77777777" w:rsidR="00374A2A" w:rsidRPr="007165D0" w:rsidRDefault="00374A2A" w:rsidP="00036FFE">
            <w:pPr>
              <w:pStyle w:val="Tabletext"/>
            </w:pPr>
            <w:r w:rsidRPr="007165D0">
              <w:t>$258,025</w:t>
            </w:r>
          </w:p>
        </w:tc>
        <w:tc>
          <w:tcPr>
            <w:tcW w:w="601" w:type="pct"/>
          </w:tcPr>
          <w:p w14:paraId="346910D4" w14:textId="77777777" w:rsidR="00374A2A" w:rsidRPr="007165D0" w:rsidRDefault="00374A2A" w:rsidP="00036FFE">
            <w:pPr>
              <w:pStyle w:val="Tabletext"/>
            </w:pPr>
            <w:r w:rsidRPr="007165D0">
              <w:t>$350,828</w:t>
            </w:r>
          </w:p>
        </w:tc>
        <w:tc>
          <w:tcPr>
            <w:tcW w:w="602" w:type="pct"/>
          </w:tcPr>
          <w:p w14:paraId="3DB75B60" w14:textId="77777777" w:rsidR="00374A2A" w:rsidRPr="007165D0" w:rsidRDefault="00374A2A" w:rsidP="00036FFE">
            <w:pPr>
              <w:pStyle w:val="Tabletext"/>
            </w:pPr>
            <w:r w:rsidRPr="007165D0">
              <w:t>$447,196</w:t>
            </w:r>
          </w:p>
        </w:tc>
        <w:tc>
          <w:tcPr>
            <w:tcW w:w="934" w:type="pct"/>
          </w:tcPr>
          <w:p w14:paraId="3E393ADB" w14:textId="77777777" w:rsidR="00374A2A" w:rsidRPr="007165D0" w:rsidRDefault="00374A2A" w:rsidP="00036FFE">
            <w:pPr>
              <w:pStyle w:val="Tabletext"/>
              <w:rPr>
                <w:sz w:val="18"/>
              </w:rPr>
            </w:pPr>
            <w:r w:rsidRPr="007165D0">
              <w:rPr>
                <w:sz w:val="18"/>
              </w:rPr>
              <w:t>(P4 + P5 + P6 + P7 + P8) = S2</w:t>
            </w:r>
          </w:p>
        </w:tc>
      </w:tr>
      <w:tr w:rsidR="00374A2A" w:rsidRPr="007165D0" w14:paraId="59FB3E10" w14:textId="77777777" w:rsidTr="00036FFE">
        <w:trPr>
          <w:trHeight w:val="315"/>
        </w:trPr>
        <w:tc>
          <w:tcPr>
            <w:tcW w:w="1059" w:type="pct"/>
          </w:tcPr>
          <w:p w14:paraId="225D0929" w14:textId="77777777" w:rsidR="00374A2A" w:rsidRPr="000C6CC8" w:rsidRDefault="00374A2A" w:rsidP="00036FFE">
            <w:pPr>
              <w:pStyle w:val="Tabletext"/>
              <w:rPr>
                <w:b/>
              </w:rPr>
            </w:pPr>
            <w:r w:rsidRPr="000C6CC8">
              <w:rPr>
                <w:b/>
              </w:rPr>
              <w:t>Total services</w:t>
            </w:r>
          </w:p>
        </w:tc>
        <w:tc>
          <w:tcPr>
            <w:tcW w:w="601" w:type="pct"/>
          </w:tcPr>
          <w:p w14:paraId="6635308D" w14:textId="77777777" w:rsidR="00374A2A" w:rsidRPr="007165D0" w:rsidRDefault="00374A2A" w:rsidP="00036FFE">
            <w:pPr>
              <w:pStyle w:val="Tabletext"/>
            </w:pPr>
            <w:r w:rsidRPr="007165D0">
              <w:t>1,103</w:t>
            </w:r>
          </w:p>
        </w:tc>
        <w:tc>
          <w:tcPr>
            <w:tcW w:w="601" w:type="pct"/>
          </w:tcPr>
          <w:p w14:paraId="21947614" w14:textId="77777777" w:rsidR="00374A2A" w:rsidRPr="007165D0" w:rsidRDefault="00374A2A" w:rsidP="00036FFE">
            <w:pPr>
              <w:pStyle w:val="Tabletext"/>
            </w:pPr>
            <w:r w:rsidRPr="007165D0">
              <w:t>4,620</w:t>
            </w:r>
          </w:p>
        </w:tc>
        <w:tc>
          <w:tcPr>
            <w:tcW w:w="601" w:type="pct"/>
          </w:tcPr>
          <w:p w14:paraId="5782A379" w14:textId="77777777" w:rsidR="00374A2A" w:rsidRPr="007165D0" w:rsidRDefault="00374A2A" w:rsidP="00036FFE">
            <w:pPr>
              <w:pStyle w:val="Tabletext"/>
            </w:pPr>
            <w:r w:rsidRPr="007165D0">
              <w:t>7,502</w:t>
            </w:r>
          </w:p>
        </w:tc>
        <w:tc>
          <w:tcPr>
            <w:tcW w:w="601" w:type="pct"/>
          </w:tcPr>
          <w:p w14:paraId="49C63A5D" w14:textId="77777777" w:rsidR="00374A2A" w:rsidRPr="007165D0" w:rsidRDefault="00374A2A" w:rsidP="00036FFE">
            <w:pPr>
              <w:pStyle w:val="Tabletext"/>
            </w:pPr>
            <w:r w:rsidRPr="007165D0">
              <w:t>10,741</w:t>
            </w:r>
          </w:p>
        </w:tc>
        <w:tc>
          <w:tcPr>
            <w:tcW w:w="602" w:type="pct"/>
          </w:tcPr>
          <w:p w14:paraId="54B9E0B8" w14:textId="77777777" w:rsidR="00374A2A" w:rsidRPr="007165D0" w:rsidRDefault="00374A2A" w:rsidP="00036FFE">
            <w:pPr>
              <w:pStyle w:val="Tabletext"/>
            </w:pPr>
            <w:r w:rsidRPr="007165D0">
              <w:t>14,349</w:t>
            </w:r>
          </w:p>
        </w:tc>
        <w:tc>
          <w:tcPr>
            <w:tcW w:w="934" w:type="pct"/>
          </w:tcPr>
          <w:p w14:paraId="79EED200" w14:textId="77777777" w:rsidR="00374A2A" w:rsidRPr="007165D0" w:rsidRDefault="00374A2A" w:rsidP="00036FFE">
            <w:pPr>
              <w:pStyle w:val="Tabletext"/>
              <w:rPr>
                <w:sz w:val="18"/>
              </w:rPr>
            </w:pPr>
            <w:r w:rsidRPr="007165D0">
              <w:rPr>
                <w:sz w:val="18"/>
              </w:rPr>
              <w:t>B1 + B2</w:t>
            </w:r>
          </w:p>
        </w:tc>
      </w:tr>
      <w:tr w:rsidR="00374A2A" w:rsidRPr="007165D0" w14:paraId="040A90CE" w14:textId="77777777" w:rsidTr="00036FFE">
        <w:trPr>
          <w:trHeight w:val="315"/>
        </w:trPr>
        <w:tc>
          <w:tcPr>
            <w:tcW w:w="1059" w:type="pct"/>
          </w:tcPr>
          <w:p w14:paraId="1688D397" w14:textId="77777777" w:rsidR="00374A2A" w:rsidRPr="000C6CC8" w:rsidRDefault="00374A2A" w:rsidP="00036FFE">
            <w:pPr>
              <w:pStyle w:val="Tabletext"/>
              <w:rPr>
                <w:b/>
              </w:rPr>
            </w:pPr>
            <w:r w:rsidRPr="000C6CC8">
              <w:rPr>
                <w:b/>
              </w:rPr>
              <w:t>Total cost (Intervention)</w:t>
            </w:r>
          </w:p>
        </w:tc>
        <w:tc>
          <w:tcPr>
            <w:tcW w:w="601" w:type="pct"/>
          </w:tcPr>
          <w:p w14:paraId="1A2A114A" w14:textId="77777777" w:rsidR="00374A2A" w:rsidRPr="007165D0" w:rsidRDefault="00374A2A" w:rsidP="00036FFE">
            <w:pPr>
              <w:pStyle w:val="Tabletext"/>
            </w:pPr>
            <w:r w:rsidRPr="007165D0">
              <w:rPr>
                <w:i/>
                <w:lang w:val="en-US"/>
              </w:rPr>
              <w:t>$165,430</w:t>
            </w:r>
          </w:p>
        </w:tc>
        <w:tc>
          <w:tcPr>
            <w:tcW w:w="601" w:type="pct"/>
          </w:tcPr>
          <w:p w14:paraId="5AE5F7A8" w14:textId="77777777" w:rsidR="00374A2A" w:rsidRPr="007165D0" w:rsidRDefault="00374A2A" w:rsidP="00036FFE">
            <w:pPr>
              <w:pStyle w:val="Tabletext"/>
            </w:pPr>
            <w:r w:rsidRPr="007165D0">
              <w:rPr>
                <w:i/>
                <w:lang w:val="en-US"/>
              </w:rPr>
              <w:t>$682,055</w:t>
            </w:r>
          </w:p>
        </w:tc>
        <w:tc>
          <w:tcPr>
            <w:tcW w:w="601" w:type="pct"/>
          </w:tcPr>
          <w:p w14:paraId="435AD594" w14:textId="77777777" w:rsidR="00374A2A" w:rsidRPr="007165D0" w:rsidRDefault="00374A2A" w:rsidP="00036FFE">
            <w:pPr>
              <w:pStyle w:val="Tabletext"/>
            </w:pPr>
            <w:r w:rsidRPr="007165D0">
              <w:rPr>
                <w:i/>
                <w:lang w:val="en-US"/>
              </w:rPr>
              <w:t>$1,069,075</w:t>
            </w:r>
          </w:p>
        </w:tc>
        <w:tc>
          <w:tcPr>
            <w:tcW w:w="601" w:type="pct"/>
          </w:tcPr>
          <w:p w14:paraId="0EC057AD" w14:textId="77777777" w:rsidR="00374A2A" w:rsidRPr="007165D0" w:rsidRDefault="00374A2A" w:rsidP="00036FFE">
            <w:pPr>
              <w:pStyle w:val="Tabletext"/>
            </w:pPr>
            <w:r w:rsidRPr="007165D0">
              <w:rPr>
                <w:i/>
                <w:lang w:val="en-US"/>
              </w:rPr>
              <w:t>$1,485,644</w:t>
            </w:r>
          </w:p>
        </w:tc>
        <w:tc>
          <w:tcPr>
            <w:tcW w:w="602" w:type="pct"/>
          </w:tcPr>
          <w:p w14:paraId="03F03136" w14:textId="77777777" w:rsidR="00374A2A" w:rsidRPr="007165D0" w:rsidRDefault="00374A2A" w:rsidP="00036FFE">
            <w:pPr>
              <w:pStyle w:val="Tabletext"/>
            </w:pPr>
            <w:r w:rsidRPr="007165D0">
              <w:rPr>
                <w:i/>
                <w:lang w:val="en-US"/>
              </w:rPr>
              <w:t>$1,932,777</w:t>
            </w:r>
          </w:p>
        </w:tc>
        <w:tc>
          <w:tcPr>
            <w:tcW w:w="934" w:type="pct"/>
          </w:tcPr>
          <w:p w14:paraId="309CA249" w14:textId="77777777" w:rsidR="00374A2A" w:rsidRPr="007165D0" w:rsidRDefault="00374A2A" w:rsidP="00036FFE">
            <w:pPr>
              <w:pStyle w:val="Tabletext"/>
              <w:rPr>
                <w:sz w:val="18"/>
                <w:lang w:val="en-US"/>
              </w:rPr>
            </w:pPr>
            <w:r w:rsidRPr="007165D0">
              <w:rPr>
                <w:sz w:val="18"/>
                <w:lang w:val="en-US"/>
              </w:rPr>
              <w:t>S1 + S2</w:t>
            </w:r>
          </w:p>
        </w:tc>
      </w:tr>
    </w:tbl>
    <w:p w14:paraId="2461F0DA" w14:textId="77777777" w:rsidR="00374A2A" w:rsidRDefault="00374A2A" w:rsidP="005754FD">
      <w:pPr>
        <w:pStyle w:val="Tablenotes0"/>
      </w:pPr>
      <w:r w:rsidRPr="00C6546F">
        <w:rPr>
          <w:b/>
        </w:rPr>
        <w:t>Source:</w:t>
      </w:r>
      <w:r w:rsidRPr="00B93010">
        <w:t xml:space="preserve"> </w:t>
      </w:r>
      <w:r>
        <w:t>Compiled from the Critique using information presented in t</w:t>
      </w:r>
      <w:r w:rsidRPr="00B93010">
        <w:t>able</w:t>
      </w:r>
      <w:r>
        <w:t>s 65, 67 and</w:t>
      </w:r>
      <w:r w:rsidRPr="00B93010">
        <w:t xml:space="preserve"> 6</w:t>
      </w:r>
      <w:r>
        <w:t>8, p.154-56, Section E of the Submission.</w:t>
      </w:r>
    </w:p>
    <w:p w14:paraId="5C618FA5" w14:textId="77777777" w:rsidR="00374A2A" w:rsidRDefault="00374A2A" w:rsidP="005754FD">
      <w:pPr>
        <w:pStyle w:val="Tablenotes0"/>
      </w:pPr>
      <w:r w:rsidRPr="00C6546F">
        <w:rPr>
          <w:b/>
        </w:rPr>
        <w:t>Abbreviations:</w:t>
      </w:r>
      <w:r w:rsidRPr="00AD2936">
        <w:t xml:space="preserve"> MBS = Medicare Benefits Schedule, IPG = Implantable Pulse Generator.</w:t>
      </w:r>
    </w:p>
    <w:p w14:paraId="25D08C7A" w14:textId="77777777" w:rsidR="00374A2A" w:rsidRPr="00AD2936" w:rsidRDefault="00374A2A" w:rsidP="005754FD">
      <w:pPr>
        <w:pStyle w:val="Tablenotes0"/>
      </w:pPr>
      <w:r>
        <w:t>*The leads price is based on average price of the insertion/removal of 2 or 3 leads (of $628.05 and $777.05 at 75% benefit respectively)</w:t>
      </w:r>
    </w:p>
    <w:p w14:paraId="7143CD00" w14:textId="5DB69314" w:rsidR="00916C86" w:rsidRDefault="00374A2A" w:rsidP="00916C86">
      <w:pPr>
        <w:spacing w:before="240"/>
      </w:pPr>
      <w:r>
        <w:t xml:space="preserve">The financial implications of introducing CCM therapy to the government health budget is summarised </w:t>
      </w:r>
      <w:r w:rsidRPr="00FC717C">
        <w:rPr>
          <w:szCs w:val="24"/>
        </w:rPr>
        <w:t xml:space="preserve">in </w:t>
      </w:r>
      <w:r w:rsidR="00916C86" w:rsidRPr="00FC717C">
        <w:rPr>
          <w:szCs w:val="24"/>
        </w:rPr>
        <w:fldChar w:fldCharType="begin"/>
      </w:r>
      <w:r w:rsidR="00916C86" w:rsidRPr="00FC717C">
        <w:rPr>
          <w:szCs w:val="24"/>
        </w:rPr>
        <w:instrText xml:space="preserve"> REF _Ref536797348 \h </w:instrText>
      </w:r>
      <w:r w:rsidR="00FC717C" w:rsidRPr="00FC717C">
        <w:rPr>
          <w:szCs w:val="24"/>
        </w:rPr>
        <w:instrText xml:space="preserve"> \* MERGEFORMAT </w:instrText>
      </w:r>
      <w:r w:rsidR="00916C86" w:rsidRPr="00FC717C">
        <w:rPr>
          <w:szCs w:val="24"/>
        </w:rPr>
      </w:r>
      <w:r w:rsidR="00916C86" w:rsidRPr="00FC717C">
        <w:rPr>
          <w:szCs w:val="24"/>
        </w:rPr>
        <w:fldChar w:fldCharType="separate"/>
      </w:r>
      <w:r w:rsidR="00E14BA7" w:rsidRPr="00E14BA7">
        <w:rPr>
          <w:szCs w:val="24"/>
        </w:rPr>
        <w:t xml:space="preserve">Table </w:t>
      </w:r>
      <w:r w:rsidR="00E14BA7" w:rsidRPr="00E14BA7">
        <w:rPr>
          <w:noProof/>
          <w:szCs w:val="24"/>
        </w:rPr>
        <w:t>8</w:t>
      </w:r>
      <w:r w:rsidR="00916C86" w:rsidRPr="00FC717C">
        <w:rPr>
          <w:szCs w:val="24"/>
        </w:rPr>
        <w:fldChar w:fldCharType="end"/>
      </w:r>
      <w:r>
        <w:t>.</w:t>
      </w:r>
      <w:r w:rsidR="00916C86">
        <w:br w:type="page"/>
      </w:r>
    </w:p>
    <w:p w14:paraId="6E0BECEA" w14:textId="0C186EBA" w:rsidR="00374A2A" w:rsidRPr="006674F7" w:rsidRDefault="00374A2A" w:rsidP="006674F7">
      <w:pPr>
        <w:rPr>
          <w:rFonts w:ascii="Arial Narrow" w:hAnsi="Arial Narrow"/>
          <w:b/>
          <w:sz w:val="20"/>
        </w:rPr>
      </w:pPr>
      <w:bookmarkStart w:id="22" w:name="_Ref536797348"/>
      <w:r w:rsidRPr="006674F7">
        <w:rPr>
          <w:rFonts w:ascii="Arial Narrow" w:hAnsi="Arial Narrow"/>
          <w:b/>
          <w:sz w:val="20"/>
        </w:rPr>
        <w:lastRenderedPageBreak/>
        <w:t xml:space="preserve">Table </w:t>
      </w:r>
      <w:r w:rsidRPr="006674F7">
        <w:rPr>
          <w:rFonts w:ascii="Arial Narrow" w:hAnsi="Arial Narrow"/>
          <w:b/>
          <w:sz w:val="20"/>
        </w:rPr>
        <w:fldChar w:fldCharType="begin"/>
      </w:r>
      <w:r w:rsidRPr="006674F7">
        <w:rPr>
          <w:rFonts w:ascii="Arial Narrow" w:hAnsi="Arial Narrow"/>
          <w:b/>
          <w:sz w:val="20"/>
        </w:rPr>
        <w:instrText xml:space="preserve"> SEQ Table \* ARABIC </w:instrText>
      </w:r>
      <w:r w:rsidRPr="006674F7">
        <w:rPr>
          <w:rFonts w:ascii="Arial Narrow" w:hAnsi="Arial Narrow"/>
          <w:b/>
          <w:sz w:val="20"/>
        </w:rPr>
        <w:fldChar w:fldCharType="separate"/>
      </w:r>
      <w:r w:rsidR="00E14BA7">
        <w:rPr>
          <w:rFonts w:ascii="Arial Narrow" w:hAnsi="Arial Narrow"/>
          <w:b/>
          <w:noProof/>
          <w:sz w:val="20"/>
        </w:rPr>
        <w:t>8</w:t>
      </w:r>
      <w:r w:rsidRPr="006674F7">
        <w:rPr>
          <w:rFonts w:ascii="Arial Narrow" w:hAnsi="Arial Narrow"/>
          <w:b/>
          <w:sz w:val="20"/>
        </w:rPr>
        <w:fldChar w:fldCharType="end"/>
      </w:r>
      <w:bookmarkEnd w:id="17"/>
      <w:bookmarkEnd w:id="22"/>
      <w:r w:rsidRPr="006674F7">
        <w:rPr>
          <w:rFonts w:ascii="Arial Narrow" w:hAnsi="Arial Narrow"/>
          <w:b/>
          <w:sz w:val="20"/>
        </w:rPr>
        <w:tab/>
        <w:t>Total costs to the MBS and other government budgets associated with</w:t>
      </w:r>
      <w:bookmarkEnd w:id="18"/>
      <w:bookmarkEnd w:id="19"/>
      <w:bookmarkEnd w:id="20"/>
      <w:bookmarkEnd w:id="21"/>
      <w:r w:rsidRPr="006674F7">
        <w:rPr>
          <w:rFonts w:ascii="Arial Narrow" w:hAnsi="Arial Narrow"/>
          <w:b/>
          <w:sz w:val="20"/>
        </w:rPr>
        <w:t xml:space="preserve"> introduction of CCM therapy</w:t>
      </w:r>
    </w:p>
    <w:tbl>
      <w:tblPr>
        <w:tblStyle w:val="TableGrid9"/>
        <w:tblW w:w="5000" w:type="pct"/>
        <w:tblLook w:val="04A0" w:firstRow="1" w:lastRow="0" w:firstColumn="1" w:lastColumn="0" w:noHBand="0" w:noVBand="1"/>
        <w:tblCaption w:val="Total costs to the MBS associated with introduction of CCM therapy"/>
        <w:tblDescription w:val="Summary of financial impact of CCM therapy"/>
      </w:tblPr>
      <w:tblGrid>
        <w:gridCol w:w="3191"/>
        <w:gridCol w:w="1087"/>
        <w:gridCol w:w="1185"/>
        <w:gridCol w:w="1185"/>
        <w:gridCol w:w="1185"/>
        <w:gridCol w:w="1183"/>
      </w:tblGrid>
      <w:tr w:rsidR="00374A2A" w:rsidRPr="00546152" w14:paraId="397F1A51" w14:textId="77777777" w:rsidTr="00036FFE">
        <w:trPr>
          <w:tblHeader/>
        </w:trPr>
        <w:tc>
          <w:tcPr>
            <w:tcW w:w="1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CC005" w14:textId="77777777" w:rsidR="00374A2A" w:rsidRPr="00546152" w:rsidRDefault="00374A2A" w:rsidP="00036FFE">
            <w:pPr>
              <w:pStyle w:val="Tabletext"/>
              <w:rPr>
                <w:lang w:val="en-US"/>
              </w:rPr>
            </w:pPr>
          </w:p>
        </w:tc>
        <w:tc>
          <w:tcPr>
            <w:tcW w:w="6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AF7920" w14:textId="77777777" w:rsidR="00374A2A" w:rsidRPr="00546152" w:rsidRDefault="00374A2A" w:rsidP="00036FFE">
            <w:pPr>
              <w:pStyle w:val="Tabletext"/>
              <w:rPr>
                <w:lang w:val="en-US"/>
              </w:rPr>
            </w:pPr>
            <w:r w:rsidRPr="00546152">
              <w:rPr>
                <w:b/>
                <w:lang w:val="en-US"/>
              </w:rPr>
              <w:t>Year 1</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69D63" w14:textId="77777777" w:rsidR="00374A2A" w:rsidRPr="00546152" w:rsidRDefault="00374A2A" w:rsidP="00036FFE">
            <w:pPr>
              <w:pStyle w:val="Tabletext"/>
              <w:rPr>
                <w:lang w:val="en-US"/>
              </w:rPr>
            </w:pPr>
            <w:r w:rsidRPr="00546152">
              <w:rPr>
                <w:b/>
                <w:lang w:val="en-US"/>
              </w:rPr>
              <w:t>Year 2</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0B3DB" w14:textId="77777777" w:rsidR="00374A2A" w:rsidRPr="00546152" w:rsidRDefault="00374A2A" w:rsidP="00036FFE">
            <w:pPr>
              <w:pStyle w:val="Tabletext"/>
              <w:rPr>
                <w:lang w:val="en-US"/>
              </w:rPr>
            </w:pPr>
            <w:r w:rsidRPr="00546152">
              <w:rPr>
                <w:b/>
                <w:lang w:val="en-US"/>
              </w:rPr>
              <w:t>Year 3</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50D10A" w14:textId="77777777" w:rsidR="00374A2A" w:rsidRPr="00546152" w:rsidRDefault="00374A2A" w:rsidP="00036FFE">
            <w:pPr>
              <w:pStyle w:val="Tabletext"/>
              <w:rPr>
                <w:lang w:val="en-US"/>
              </w:rPr>
            </w:pPr>
            <w:r w:rsidRPr="00546152">
              <w:rPr>
                <w:b/>
                <w:lang w:val="en-US"/>
              </w:rPr>
              <w:t>Year 4</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06FD6" w14:textId="77777777" w:rsidR="00374A2A" w:rsidRPr="00546152" w:rsidRDefault="00374A2A" w:rsidP="00036FFE">
            <w:pPr>
              <w:pStyle w:val="Tabletext"/>
              <w:rPr>
                <w:lang w:val="en-US"/>
              </w:rPr>
            </w:pPr>
            <w:r w:rsidRPr="00546152">
              <w:rPr>
                <w:b/>
                <w:lang w:val="en-US"/>
              </w:rPr>
              <w:t>Year 5</w:t>
            </w:r>
          </w:p>
        </w:tc>
      </w:tr>
      <w:tr w:rsidR="00374A2A" w:rsidRPr="00546152" w14:paraId="138D5BD9" w14:textId="77777777" w:rsidTr="00036FFE">
        <w:tc>
          <w:tcPr>
            <w:tcW w:w="1770" w:type="pct"/>
            <w:tcBorders>
              <w:top w:val="single" w:sz="4" w:space="0" w:color="auto"/>
              <w:left w:val="single" w:sz="4" w:space="0" w:color="auto"/>
              <w:bottom w:val="single" w:sz="4" w:space="0" w:color="auto"/>
              <w:right w:val="single" w:sz="4" w:space="0" w:color="auto"/>
            </w:tcBorders>
            <w:vAlign w:val="center"/>
          </w:tcPr>
          <w:p w14:paraId="5C216A65" w14:textId="77777777" w:rsidR="00374A2A" w:rsidRPr="00C67123" w:rsidRDefault="00374A2A" w:rsidP="00036FFE">
            <w:pPr>
              <w:pStyle w:val="Tabletext"/>
              <w:rPr>
                <w:vertAlign w:val="superscript"/>
                <w:lang w:val="en-US"/>
              </w:rPr>
            </w:pPr>
            <w:r>
              <w:rPr>
                <w:lang w:val="en-US"/>
              </w:rPr>
              <w:t xml:space="preserve">Patients treated with CCM </w:t>
            </w:r>
            <w:proofErr w:type="spellStart"/>
            <w:r>
              <w:rPr>
                <w:lang w:val="en-US"/>
              </w:rPr>
              <w:t>therapy</w:t>
            </w:r>
            <w:r>
              <w:rPr>
                <w:vertAlign w:val="superscript"/>
                <w:lang w:val="en-US"/>
              </w:rPr>
              <w:t>a</w:t>
            </w:r>
            <w:proofErr w:type="spellEnd"/>
          </w:p>
        </w:tc>
        <w:tc>
          <w:tcPr>
            <w:tcW w:w="603" w:type="pct"/>
            <w:tcBorders>
              <w:top w:val="single" w:sz="4" w:space="0" w:color="auto"/>
              <w:left w:val="single" w:sz="4" w:space="0" w:color="auto"/>
              <w:bottom w:val="single" w:sz="4" w:space="0" w:color="auto"/>
              <w:right w:val="single" w:sz="4" w:space="0" w:color="auto"/>
            </w:tcBorders>
          </w:tcPr>
          <w:p w14:paraId="08FB7DC9" w14:textId="77777777" w:rsidR="00374A2A" w:rsidRPr="00546152" w:rsidRDefault="00374A2A" w:rsidP="005F5988">
            <w:pPr>
              <w:pStyle w:val="Tabletext"/>
              <w:jc w:val="right"/>
              <w:rPr>
                <w:lang w:val="en-US"/>
              </w:rPr>
            </w:pPr>
            <w:r w:rsidRPr="00433C60">
              <w:rPr>
                <w:lang w:val="en-US"/>
              </w:rPr>
              <w:t>123</w:t>
            </w:r>
          </w:p>
        </w:tc>
        <w:tc>
          <w:tcPr>
            <w:tcW w:w="657" w:type="pct"/>
            <w:tcBorders>
              <w:top w:val="single" w:sz="4" w:space="0" w:color="auto"/>
              <w:left w:val="single" w:sz="4" w:space="0" w:color="auto"/>
              <w:bottom w:val="single" w:sz="4" w:space="0" w:color="auto"/>
              <w:right w:val="single" w:sz="4" w:space="0" w:color="auto"/>
            </w:tcBorders>
          </w:tcPr>
          <w:p w14:paraId="33153A5F" w14:textId="77777777" w:rsidR="00374A2A" w:rsidRPr="00546152" w:rsidRDefault="00374A2A" w:rsidP="005F5988">
            <w:pPr>
              <w:pStyle w:val="Tabletext"/>
              <w:jc w:val="right"/>
              <w:rPr>
                <w:lang w:val="en-US"/>
              </w:rPr>
            </w:pPr>
            <w:r w:rsidRPr="00433C60">
              <w:rPr>
                <w:lang w:val="en-US"/>
              </w:rPr>
              <w:t>500</w:t>
            </w:r>
          </w:p>
        </w:tc>
        <w:tc>
          <w:tcPr>
            <w:tcW w:w="657" w:type="pct"/>
            <w:tcBorders>
              <w:top w:val="single" w:sz="4" w:space="0" w:color="auto"/>
              <w:left w:val="single" w:sz="4" w:space="0" w:color="auto"/>
              <w:bottom w:val="single" w:sz="4" w:space="0" w:color="auto"/>
              <w:right w:val="single" w:sz="4" w:space="0" w:color="auto"/>
            </w:tcBorders>
          </w:tcPr>
          <w:p w14:paraId="506D2ABF" w14:textId="77777777" w:rsidR="00374A2A" w:rsidRPr="00546152" w:rsidRDefault="00374A2A" w:rsidP="005F5988">
            <w:pPr>
              <w:pStyle w:val="Tabletext"/>
              <w:jc w:val="right"/>
              <w:rPr>
                <w:lang w:val="en-US"/>
              </w:rPr>
            </w:pPr>
            <w:r w:rsidRPr="00433C60">
              <w:rPr>
                <w:lang w:val="en-US"/>
              </w:rPr>
              <w:t>764</w:t>
            </w:r>
          </w:p>
        </w:tc>
        <w:tc>
          <w:tcPr>
            <w:tcW w:w="657" w:type="pct"/>
            <w:tcBorders>
              <w:top w:val="single" w:sz="4" w:space="0" w:color="auto"/>
              <w:left w:val="single" w:sz="4" w:space="0" w:color="auto"/>
              <w:bottom w:val="single" w:sz="4" w:space="0" w:color="auto"/>
              <w:right w:val="single" w:sz="4" w:space="0" w:color="auto"/>
            </w:tcBorders>
          </w:tcPr>
          <w:p w14:paraId="070DD23C" w14:textId="77777777" w:rsidR="00374A2A" w:rsidRPr="00546152" w:rsidRDefault="00374A2A" w:rsidP="005F5988">
            <w:pPr>
              <w:pStyle w:val="Tabletext"/>
              <w:jc w:val="right"/>
              <w:rPr>
                <w:lang w:val="en-US"/>
              </w:rPr>
            </w:pPr>
            <w:r w:rsidRPr="00433C60">
              <w:rPr>
                <w:lang w:val="en-US"/>
              </w:rPr>
              <w:t>1,039</w:t>
            </w:r>
          </w:p>
        </w:tc>
        <w:tc>
          <w:tcPr>
            <w:tcW w:w="657" w:type="pct"/>
            <w:tcBorders>
              <w:top w:val="single" w:sz="4" w:space="0" w:color="auto"/>
              <w:left w:val="single" w:sz="4" w:space="0" w:color="auto"/>
              <w:bottom w:val="single" w:sz="4" w:space="0" w:color="auto"/>
              <w:right w:val="single" w:sz="4" w:space="0" w:color="auto"/>
            </w:tcBorders>
          </w:tcPr>
          <w:p w14:paraId="3846EA0A" w14:textId="77777777" w:rsidR="00374A2A" w:rsidRPr="00546152" w:rsidRDefault="00374A2A" w:rsidP="005F5988">
            <w:pPr>
              <w:pStyle w:val="Tabletext"/>
              <w:jc w:val="right"/>
              <w:rPr>
                <w:lang w:val="en-US"/>
              </w:rPr>
            </w:pPr>
            <w:r w:rsidRPr="00433C60">
              <w:rPr>
                <w:lang w:val="en-US"/>
              </w:rPr>
              <w:t>1,325</w:t>
            </w:r>
          </w:p>
        </w:tc>
      </w:tr>
      <w:tr w:rsidR="00374A2A" w:rsidRPr="00546152" w14:paraId="289165F3" w14:textId="77777777" w:rsidTr="00036FFE">
        <w:tc>
          <w:tcPr>
            <w:tcW w:w="1770" w:type="pct"/>
            <w:tcBorders>
              <w:top w:val="single" w:sz="4" w:space="0" w:color="auto"/>
              <w:left w:val="single" w:sz="4" w:space="0" w:color="auto"/>
              <w:bottom w:val="single" w:sz="4" w:space="0" w:color="auto"/>
              <w:right w:val="single" w:sz="4" w:space="0" w:color="auto"/>
            </w:tcBorders>
            <w:vAlign w:val="center"/>
            <w:hideMark/>
          </w:tcPr>
          <w:p w14:paraId="310961FC" w14:textId="77777777" w:rsidR="00374A2A" w:rsidRPr="00546152" w:rsidRDefault="00374A2A" w:rsidP="00036FFE">
            <w:pPr>
              <w:pStyle w:val="Tabletext"/>
              <w:rPr>
                <w:lang w:val="en-US"/>
              </w:rPr>
            </w:pPr>
            <w:r w:rsidRPr="00546152">
              <w:rPr>
                <w:lang w:val="en-US"/>
              </w:rPr>
              <w:t>Cost to government from PBS/RPBS</w:t>
            </w:r>
          </w:p>
        </w:tc>
        <w:tc>
          <w:tcPr>
            <w:tcW w:w="603" w:type="pct"/>
            <w:tcBorders>
              <w:top w:val="single" w:sz="4" w:space="0" w:color="auto"/>
              <w:left w:val="single" w:sz="4" w:space="0" w:color="auto"/>
              <w:bottom w:val="single" w:sz="4" w:space="0" w:color="auto"/>
              <w:right w:val="single" w:sz="4" w:space="0" w:color="auto"/>
            </w:tcBorders>
            <w:vAlign w:val="center"/>
            <w:hideMark/>
          </w:tcPr>
          <w:p w14:paraId="5000C555" w14:textId="77777777" w:rsidR="00374A2A" w:rsidRPr="00546152" w:rsidRDefault="00374A2A" w:rsidP="005F5988">
            <w:pPr>
              <w:pStyle w:val="Tabletext"/>
              <w:jc w:val="right"/>
              <w:rPr>
                <w:lang w:val="en-US"/>
              </w:rPr>
            </w:pPr>
            <w:r w:rsidRPr="00546152">
              <w:rPr>
                <w:lang w:val="en-US"/>
              </w:rPr>
              <w:t>$0</w:t>
            </w:r>
          </w:p>
        </w:tc>
        <w:tc>
          <w:tcPr>
            <w:tcW w:w="657" w:type="pct"/>
            <w:tcBorders>
              <w:top w:val="single" w:sz="4" w:space="0" w:color="auto"/>
              <w:left w:val="single" w:sz="4" w:space="0" w:color="auto"/>
              <w:bottom w:val="single" w:sz="4" w:space="0" w:color="auto"/>
              <w:right w:val="single" w:sz="4" w:space="0" w:color="auto"/>
            </w:tcBorders>
            <w:vAlign w:val="center"/>
            <w:hideMark/>
          </w:tcPr>
          <w:p w14:paraId="489F1DFA" w14:textId="77777777" w:rsidR="00374A2A" w:rsidRPr="00546152" w:rsidRDefault="00374A2A" w:rsidP="005F5988">
            <w:pPr>
              <w:pStyle w:val="Tabletext"/>
              <w:jc w:val="right"/>
              <w:rPr>
                <w:lang w:val="en-US"/>
              </w:rPr>
            </w:pPr>
            <w:r w:rsidRPr="00546152">
              <w:rPr>
                <w:lang w:val="en-US"/>
              </w:rPr>
              <w:t>$0</w:t>
            </w:r>
          </w:p>
        </w:tc>
        <w:tc>
          <w:tcPr>
            <w:tcW w:w="657" w:type="pct"/>
            <w:tcBorders>
              <w:top w:val="single" w:sz="4" w:space="0" w:color="auto"/>
              <w:left w:val="single" w:sz="4" w:space="0" w:color="auto"/>
              <w:bottom w:val="single" w:sz="4" w:space="0" w:color="auto"/>
              <w:right w:val="single" w:sz="4" w:space="0" w:color="auto"/>
            </w:tcBorders>
            <w:vAlign w:val="center"/>
            <w:hideMark/>
          </w:tcPr>
          <w:p w14:paraId="1B4DE055" w14:textId="77777777" w:rsidR="00374A2A" w:rsidRPr="00546152" w:rsidRDefault="00374A2A" w:rsidP="005F5988">
            <w:pPr>
              <w:pStyle w:val="Tabletext"/>
              <w:jc w:val="right"/>
              <w:rPr>
                <w:lang w:val="en-US"/>
              </w:rPr>
            </w:pPr>
            <w:r w:rsidRPr="00546152">
              <w:rPr>
                <w:lang w:val="en-US"/>
              </w:rPr>
              <w:t>$0</w:t>
            </w:r>
          </w:p>
        </w:tc>
        <w:tc>
          <w:tcPr>
            <w:tcW w:w="657" w:type="pct"/>
            <w:tcBorders>
              <w:top w:val="single" w:sz="4" w:space="0" w:color="auto"/>
              <w:left w:val="single" w:sz="4" w:space="0" w:color="auto"/>
              <w:bottom w:val="single" w:sz="4" w:space="0" w:color="auto"/>
              <w:right w:val="single" w:sz="4" w:space="0" w:color="auto"/>
            </w:tcBorders>
            <w:vAlign w:val="center"/>
            <w:hideMark/>
          </w:tcPr>
          <w:p w14:paraId="15A3CE8F" w14:textId="77777777" w:rsidR="00374A2A" w:rsidRPr="00546152" w:rsidRDefault="00374A2A" w:rsidP="005F5988">
            <w:pPr>
              <w:pStyle w:val="Tabletext"/>
              <w:jc w:val="right"/>
              <w:rPr>
                <w:lang w:val="en-US"/>
              </w:rPr>
            </w:pPr>
            <w:r w:rsidRPr="00546152">
              <w:rPr>
                <w:lang w:val="en-US"/>
              </w:rPr>
              <w:t>$0</w:t>
            </w:r>
          </w:p>
        </w:tc>
        <w:tc>
          <w:tcPr>
            <w:tcW w:w="657" w:type="pct"/>
            <w:tcBorders>
              <w:top w:val="single" w:sz="4" w:space="0" w:color="auto"/>
              <w:left w:val="single" w:sz="4" w:space="0" w:color="auto"/>
              <w:bottom w:val="single" w:sz="4" w:space="0" w:color="auto"/>
              <w:right w:val="single" w:sz="4" w:space="0" w:color="auto"/>
            </w:tcBorders>
            <w:vAlign w:val="center"/>
            <w:hideMark/>
          </w:tcPr>
          <w:p w14:paraId="483807D6" w14:textId="77777777" w:rsidR="00374A2A" w:rsidRPr="00546152" w:rsidRDefault="00374A2A" w:rsidP="005F5988">
            <w:pPr>
              <w:pStyle w:val="Tabletext"/>
              <w:jc w:val="right"/>
              <w:rPr>
                <w:lang w:val="en-US"/>
              </w:rPr>
            </w:pPr>
            <w:r w:rsidRPr="00546152">
              <w:rPr>
                <w:lang w:val="en-US"/>
              </w:rPr>
              <w:t>$0</w:t>
            </w:r>
          </w:p>
        </w:tc>
      </w:tr>
      <w:tr w:rsidR="00374A2A" w:rsidRPr="00546152" w14:paraId="27FFC512" w14:textId="77777777" w:rsidTr="00036FFE">
        <w:tc>
          <w:tcPr>
            <w:tcW w:w="1770" w:type="pct"/>
            <w:tcBorders>
              <w:top w:val="single" w:sz="4" w:space="0" w:color="auto"/>
              <w:left w:val="single" w:sz="4" w:space="0" w:color="auto"/>
              <w:bottom w:val="single" w:sz="4" w:space="0" w:color="auto"/>
              <w:right w:val="single" w:sz="4" w:space="0" w:color="auto"/>
            </w:tcBorders>
            <w:vAlign w:val="center"/>
            <w:hideMark/>
          </w:tcPr>
          <w:p w14:paraId="6D00E082" w14:textId="77777777" w:rsidR="00374A2A" w:rsidRPr="00BC44F4" w:rsidRDefault="00374A2A" w:rsidP="00036FFE">
            <w:pPr>
              <w:pStyle w:val="Tabletext"/>
              <w:rPr>
                <w:vertAlign w:val="superscript"/>
                <w:lang w:val="en-US"/>
              </w:rPr>
            </w:pPr>
            <w:r w:rsidRPr="00546152">
              <w:rPr>
                <w:lang w:val="en-US"/>
              </w:rPr>
              <w:t xml:space="preserve">Cost to government from </w:t>
            </w:r>
            <w:proofErr w:type="spellStart"/>
            <w:r w:rsidRPr="00546152">
              <w:rPr>
                <w:lang w:val="en-US"/>
              </w:rPr>
              <w:t>MBS</w:t>
            </w:r>
            <w:r>
              <w:rPr>
                <w:vertAlign w:val="superscript"/>
                <w:lang w:val="en-US"/>
              </w:rPr>
              <w:t>b</w:t>
            </w:r>
            <w:proofErr w:type="spellEnd"/>
          </w:p>
        </w:tc>
        <w:tc>
          <w:tcPr>
            <w:tcW w:w="603" w:type="pct"/>
            <w:tcBorders>
              <w:top w:val="single" w:sz="4" w:space="0" w:color="auto"/>
              <w:left w:val="single" w:sz="4" w:space="0" w:color="auto"/>
              <w:bottom w:val="single" w:sz="4" w:space="0" w:color="auto"/>
              <w:right w:val="single" w:sz="4" w:space="0" w:color="auto"/>
            </w:tcBorders>
            <w:hideMark/>
          </w:tcPr>
          <w:p w14:paraId="55B1D522" w14:textId="77777777" w:rsidR="00374A2A" w:rsidRPr="00546152" w:rsidRDefault="00374A2A" w:rsidP="005F5988">
            <w:pPr>
              <w:pStyle w:val="Tabletext"/>
              <w:jc w:val="right"/>
              <w:rPr>
                <w:lang w:val="en-US"/>
              </w:rPr>
            </w:pPr>
            <w:r w:rsidRPr="00B60F04">
              <w:rPr>
                <w:lang w:val="en-US"/>
              </w:rPr>
              <w:t>$165,430</w:t>
            </w:r>
          </w:p>
        </w:tc>
        <w:tc>
          <w:tcPr>
            <w:tcW w:w="657" w:type="pct"/>
            <w:tcBorders>
              <w:top w:val="single" w:sz="4" w:space="0" w:color="auto"/>
              <w:left w:val="single" w:sz="4" w:space="0" w:color="auto"/>
              <w:bottom w:val="single" w:sz="4" w:space="0" w:color="auto"/>
              <w:right w:val="single" w:sz="4" w:space="0" w:color="auto"/>
            </w:tcBorders>
            <w:hideMark/>
          </w:tcPr>
          <w:p w14:paraId="224A6793" w14:textId="77777777" w:rsidR="00374A2A" w:rsidRPr="00546152" w:rsidRDefault="00374A2A" w:rsidP="005F5988">
            <w:pPr>
              <w:pStyle w:val="Tabletext"/>
              <w:jc w:val="right"/>
              <w:rPr>
                <w:lang w:val="en-US"/>
              </w:rPr>
            </w:pPr>
            <w:r w:rsidRPr="00B60F04">
              <w:rPr>
                <w:lang w:val="en-US"/>
              </w:rPr>
              <w:t>$682,055</w:t>
            </w:r>
          </w:p>
        </w:tc>
        <w:tc>
          <w:tcPr>
            <w:tcW w:w="657" w:type="pct"/>
            <w:tcBorders>
              <w:top w:val="single" w:sz="4" w:space="0" w:color="auto"/>
              <w:left w:val="single" w:sz="4" w:space="0" w:color="auto"/>
              <w:bottom w:val="single" w:sz="4" w:space="0" w:color="auto"/>
              <w:right w:val="single" w:sz="4" w:space="0" w:color="auto"/>
            </w:tcBorders>
            <w:hideMark/>
          </w:tcPr>
          <w:p w14:paraId="1B742D4C" w14:textId="77777777" w:rsidR="00374A2A" w:rsidRPr="00546152" w:rsidRDefault="00374A2A" w:rsidP="005F5988">
            <w:pPr>
              <w:pStyle w:val="Tabletext"/>
              <w:jc w:val="right"/>
              <w:rPr>
                <w:lang w:val="en-US"/>
              </w:rPr>
            </w:pPr>
            <w:r w:rsidRPr="00B60F04">
              <w:rPr>
                <w:lang w:val="en-US"/>
              </w:rPr>
              <w:t>$1,069,075</w:t>
            </w:r>
          </w:p>
        </w:tc>
        <w:tc>
          <w:tcPr>
            <w:tcW w:w="657" w:type="pct"/>
            <w:tcBorders>
              <w:top w:val="single" w:sz="4" w:space="0" w:color="auto"/>
              <w:left w:val="single" w:sz="4" w:space="0" w:color="auto"/>
              <w:bottom w:val="single" w:sz="4" w:space="0" w:color="auto"/>
              <w:right w:val="single" w:sz="4" w:space="0" w:color="auto"/>
            </w:tcBorders>
            <w:hideMark/>
          </w:tcPr>
          <w:p w14:paraId="52FA8D9B" w14:textId="77777777" w:rsidR="00374A2A" w:rsidRPr="00546152" w:rsidRDefault="00374A2A" w:rsidP="005F5988">
            <w:pPr>
              <w:pStyle w:val="Tabletext"/>
              <w:jc w:val="right"/>
              <w:rPr>
                <w:lang w:val="en-US"/>
              </w:rPr>
            </w:pPr>
            <w:r w:rsidRPr="00B60F04">
              <w:rPr>
                <w:lang w:val="en-US"/>
              </w:rPr>
              <w:t>$1,485,644</w:t>
            </w:r>
          </w:p>
        </w:tc>
        <w:tc>
          <w:tcPr>
            <w:tcW w:w="657" w:type="pct"/>
            <w:tcBorders>
              <w:top w:val="single" w:sz="4" w:space="0" w:color="auto"/>
              <w:left w:val="single" w:sz="4" w:space="0" w:color="auto"/>
              <w:bottom w:val="single" w:sz="4" w:space="0" w:color="auto"/>
              <w:right w:val="single" w:sz="4" w:space="0" w:color="auto"/>
            </w:tcBorders>
            <w:hideMark/>
          </w:tcPr>
          <w:p w14:paraId="71175AB5" w14:textId="77777777" w:rsidR="00374A2A" w:rsidRPr="00546152" w:rsidRDefault="00374A2A" w:rsidP="005F5988">
            <w:pPr>
              <w:pStyle w:val="Tabletext"/>
              <w:jc w:val="right"/>
              <w:rPr>
                <w:lang w:val="en-US"/>
              </w:rPr>
            </w:pPr>
            <w:r w:rsidRPr="00B60F04">
              <w:rPr>
                <w:lang w:val="en-US"/>
              </w:rPr>
              <w:t>$1,932,777</w:t>
            </w:r>
          </w:p>
        </w:tc>
      </w:tr>
      <w:tr w:rsidR="00374A2A" w:rsidRPr="00546152" w14:paraId="5B0FE316" w14:textId="77777777" w:rsidTr="00036FFE">
        <w:tc>
          <w:tcPr>
            <w:tcW w:w="1770" w:type="pct"/>
            <w:tcBorders>
              <w:top w:val="single" w:sz="4" w:space="0" w:color="auto"/>
              <w:left w:val="single" w:sz="4" w:space="0" w:color="auto"/>
              <w:bottom w:val="single" w:sz="4" w:space="0" w:color="auto"/>
              <w:right w:val="single" w:sz="4" w:space="0" w:color="auto"/>
            </w:tcBorders>
            <w:vAlign w:val="center"/>
            <w:hideMark/>
          </w:tcPr>
          <w:p w14:paraId="1A380BFF" w14:textId="77777777" w:rsidR="00374A2A" w:rsidRPr="00546152" w:rsidRDefault="00374A2A" w:rsidP="00036FFE">
            <w:pPr>
              <w:pStyle w:val="Tabletext"/>
              <w:rPr>
                <w:lang w:val="en-US"/>
              </w:rPr>
            </w:pPr>
            <w:r>
              <w:rPr>
                <w:lang w:val="en-US"/>
              </w:rPr>
              <w:t xml:space="preserve">Cost of </w:t>
            </w:r>
            <w:proofErr w:type="spellStart"/>
            <w:r>
              <w:rPr>
                <w:lang w:val="en-US"/>
              </w:rPr>
              <w:t>hospitalisation</w:t>
            </w:r>
            <w:proofErr w:type="spellEnd"/>
          </w:p>
        </w:tc>
        <w:tc>
          <w:tcPr>
            <w:tcW w:w="603" w:type="pct"/>
            <w:tcBorders>
              <w:top w:val="single" w:sz="4" w:space="0" w:color="auto"/>
              <w:left w:val="single" w:sz="4" w:space="0" w:color="auto"/>
              <w:bottom w:val="single" w:sz="4" w:space="0" w:color="auto"/>
              <w:right w:val="single" w:sz="4" w:space="0" w:color="auto"/>
            </w:tcBorders>
            <w:hideMark/>
          </w:tcPr>
          <w:p w14:paraId="733101E9" w14:textId="77777777" w:rsidR="00374A2A" w:rsidRPr="00546152" w:rsidRDefault="00374A2A" w:rsidP="005F5988">
            <w:pPr>
              <w:pStyle w:val="Tabletext"/>
              <w:jc w:val="right"/>
              <w:rPr>
                <w:lang w:val="en-US"/>
              </w:rPr>
            </w:pPr>
            <w:r w:rsidRPr="008A23E9">
              <w:rPr>
                <w:lang w:val="en-US"/>
              </w:rPr>
              <w:t>$1,040,784</w:t>
            </w:r>
          </w:p>
        </w:tc>
        <w:tc>
          <w:tcPr>
            <w:tcW w:w="657" w:type="pct"/>
            <w:tcBorders>
              <w:top w:val="single" w:sz="4" w:space="0" w:color="auto"/>
              <w:left w:val="single" w:sz="4" w:space="0" w:color="auto"/>
              <w:bottom w:val="single" w:sz="4" w:space="0" w:color="auto"/>
              <w:right w:val="single" w:sz="4" w:space="0" w:color="auto"/>
            </w:tcBorders>
            <w:hideMark/>
          </w:tcPr>
          <w:p w14:paraId="3A234467" w14:textId="77777777" w:rsidR="00374A2A" w:rsidRPr="00546152" w:rsidRDefault="00374A2A" w:rsidP="005F5988">
            <w:pPr>
              <w:pStyle w:val="Tabletext"/>
              <w:jc w:val="right"/>
              <w:rPr>
                <w:lang w:val="en-US"/>
              </w:rPr>
            </w:pPr>
            <w:r w:rsidRPr="008A23E9">
              <w:rPr>
                <w:lang w:val="en-US"/>
              </w:rPr>
              <w:t>$4,245,360</w:t>
            </w:r>
          </w:p>
        </w:tc>
        <w:tc>
          <w:tcPr>
            <w:tcW w:w="657" w:type="pct"/>
            <w:tcBorders>
              <w:top w:val="single" w:sz="4" w:space="0" w:color="auto"/>
              <w:left w:val="single" w:sz="4" w:space="0" w:color="auto"/>
              <w:bottom w:val="single" w:sz="4" w:space="0" w:color="auto"/>
              <w:right w:val="single" w:sz="4" w:space="0" w:color="auto"/>
            </w:tcBorders>
            <w:hideMark/>
          </w:tcPr>
          <w:p w14:paraId="7603E786" w14:textId="77777777" w:rsidR="00374A2A" w:rsidRPr="00546152" w:rsidRDefault="00374A2A" w:rsidP="005F5988">
            <w:pPr>
              <w:pStyle w:val="Tabletext"/>
              <w:jc w:val="right"/>
              <w:rPr>
                <w:lang w:val="en-US"/>
              </w:rPr>
            </w:pPr>
            <w:r w:rsidRPr="008A23E9">
              <w:rPr>
                <w:lang w:val="en-US"/>
              </w:rPr>
              <w:t>$6,493,808</w:t>
            </w:r>
          </w:p>
        </w:tc>
        <w:tc>
          <w:tcPr>
            <w:tcW w:w="657" w:type="pct"/>
            <w:tcBorders>
              <w:top w:val="single" w:sz="4" w:space="0" w:color="auto"/>
              <w:left w:val="single" w:sz="4" w:space="0" w:color="auto"/>
              <w:bottom w:val="single" w:sz="4" w:space="0" w:color="auto"/>
              <w:right w:val="single" w:sz="4" w:space="0" w:color="auto"/>
            </w:tcBorders>
            <w:hideMark/>
          </w:tcPr>
          <w:p w14:paraId="0ED60428" w14:textId="77777777" w:rsidR="00374A2A" w:rsidRPr="00546152" w:rsidRDefault="00374A2A" w:rsidP="005F5988">
            <w:pPr>
              <w:pStyle w:val="Tabletext"/>
              <w:jc w:val="right"/>
              <w:rPr>
                <w:lang w:val="en-US"/>
              </w:rPr>
            </w:pPr>
            <w:r w:rsidRPr="008A23E9">
              <w:rPr>
                <w:lang w:val="en-US"/>
              </w:rPr>
              <w:t>$8,829,415</w:t>
            </w:r>
          </w:p>
        </w:tc>
        <w:tc>
          <w:tcPr>
            <w:tcW w:w="657" w:type="pct"/>
            <w:tcBorders>
              <w:top w:val="single" w:sz="4" w:space="0" w:color="auto"/>
              <w:left w:val="single" w:sz="4" w:space="0" w:color="auto"/>
              <w:bottom w:val="single" w:sz="4" w:space="0" w:color="auto"/>
              <w:right w:val="single" w:sz="4" w:space="0" w:color="auto"/>
            </w:tcBorders>
            <w:hideMark/>
          </w:tcPr>
          <w:p w14:paraId="436A2B67" w14:textId="77777777" w:rsidR="00374A2A" w:rsidRPr="00546152" w:rsidRDefault="00374A2A" w:rsidP="005F5988">
            <w:pPr>
              <w:pStyle w:val="Tabletext"/>
              <w:jc w:val="right"/>
              <w:rPr>
                <w:lang w:val="en-US"/>
              </w:rPr>
            </w:pPr>
            <w:r w:rsidRPr="008A23E9">
              <w:rPr>
                <w:lang w:val="en-US"/>
              </w:rPr>
              <w:t>$11,254,744</w:t>
            </w:r>
          </w:p>
        </w:tc>
      </w:tr>
      <w:tr w:rsidR="00374A2A" w:rsidRPr="00546152" w14:paraId="36030D25" w14:textId="77777777" w:rsidTr="00036FFE">
        <w:tc>
          <w:tcPr>
            <w:tcW w:w="1770" w:type="pct"/>
            <w:tcBorders>
              <w:top w:val="single" w:sz="4" w:space="0" w:color="auto"/>
              <w:left w:val="single" w:sz="4" w:space="0" w:color="auto"/>
              <w:bottom w:val="single" w:sz="4" w:space="0" w:color="auto"/>
              <w:right w:val="single" w:sz="4" w:space="0" w:color="auto"/>
            </w:tcBorders>
            <w:vAlign w:val="center"/>
            <w:hideMark/>
          </w:tcPr>
          <w:p w14:paraId="0B87A693" w14:textId="77777777" w:rsidR="00374A2A" w:rsidRPr="00B60F04" w:rsidRDefault="00374A2A" w:rsidP="00036FFE">
            <w:pPr>
              <w:pStyle w:val="Tabletext"/>
              <w:rPr>
                <w:lang w:val="en-US"/>
              </w:rPr>
            </w:pPr>
            <w:r w:rsidRPr="00C65D93">
              <w:rPr>
                <w:lang w:val="en-US"/>
              </w:rPr>
              <w:t xml:space="preserve">Cost offset of </w:t>
            </w:r>
            <w:r>
              <w:rPr>
                <w:lang w:val="en-US"/>
              </w:rPr>
              <w:t xml:space="preserve">CCM </w:t>
            </w:r>
            <w:proofErr w:type="spellStart"/>
            <w:r>
              <w:rPr>
                <w:lang w:val="en-US"/>
              </w:rPr>
              <w:t>h</w:t>
            </w:r>
            <w:r w:rsidRPr="00C65D93">
              <w:rPr>
                <w:lang w:val="en-US"/>
              </w:rPr>
              <w:t>ospitalisation</w:t>
            </w:r>
            <w:proofErr w:type="spellEnd"/>
          </w:p>
        </w:tc>
        <w:tc>
          <w:tcPr>
            <w:tcW w:w="603" w:type="pct"/>
            <w:tcBorders>
              <w:top w:val="single" w:sz="4" w:space="0" w:color="auto"/>
              <w:left w:val="single" w:sz="4" w:space="0" w:color="auto"/>
              <w:bottom w:val="single" w:sz="4" w:space="0" w:color="auto"/>
              <w:right w:val="single" w:sz="4" w:space="0" w:color="auto"/>
            </w:tcBorders>
            <w:hideMark/>
          </w:tcPr>
          <w:p w14:paraId="6E0E183C" w14:textId="77777777" w:rsidR="00374A2A" w:rsidRPr="00B60F04" w:rsidRDefault="00374A2A" w:rsidP="005F5988">
            <w:pPr>
              <w:pStyle w:val="Tabletext"/>
              <w:jc w:val="right"/>
              <w:rPr>
                <w:lang w:val="en-US"/>
              </w:rPr>
            </w:pPr>
            <w:r w:rsidRPr="00B60F04">
              <w:rPr>
                <w:lang w:val="en-US"/>
              </w:rPr>
              <w:t>-$133,772</w:t>
            </w:r>
          </w:p>
        </w:tc>
        <w:tc>
          <w:tcPr>
            <w:tcW w:w="657" w:type="pct"/>
            <w:tcBorders>
              <w:top w:val="single" w:sz="4" w:space="0" w:color="auto"/>
              <w:left w:val="single" w:sz="4" w:space="0" w:color="auto"/>
              <w:bottom w:val="single" w:sz="4" w:space="0" w:color="auto"/>
              <w:right w:val="single" w:sz="4" w:space="0" w:color="auto"/>
            </w:tcBorders>
            <w:hideMark/>
          </w:tcPr>
          <w:p w14:paraId="2DC4B6E6" w14:textId="77777777" w:rsidR="00374A2A" w:rsidRPr="00B60F04" w:rsidRDefault="00374A2A" w:rsidP="005F5988">
            <w:pPr>
              <w:pStyle w:val="Tabletext"/>
              <w:jc w:val="right"/>
              <w:rPr>
                <w:lang w:val="en-US"/>
              </w:rPr>
            </w:pPr>
            <w:r w:rsidRPr="00B60F04">
              <w:rPr>
                <w:lang w:val="en-US"/>
              </w:rPr>
              <w:t>-$411,885</w:t>
            </w:r>
          </w:p>
        </w:tc>
        <w:tc>
          <w:tcPr>
            <w:tcW w:w="657" w:type="pct"/>
            <w:tcBorders>
              <w:top w:val="single" w:sz="4" w:space="0" w:color="auto"/>
              <w:left w:val="single" w:sz="4" w:space="0" w:color="auto"/>
              <w:bottom w:val="single" w:sz="4" w:space="0" w:color="auto"/>
              <w:right w:val="single" w:sz="4" w:space="0" w:color="auto"/>
            </w:tcBorders>
            <w:hideMark/>
          </w:tcPr>
          <w:p w14:paraId="6EA96E31" w14:textId="77777777" w:rsidR="00374A2A" w:rsidRPr="00B60F04" w:rsidRDefault="00374A2A" w:rsidP="005F5988">
            <w:pPr>
              <w:pStyle w:val="Tabletext"/>
              <w:jc w:val="right"/>
              <w:rPr>
                <w:lang w:val="en-US"/>
              </w:rPr>
            </w:pPr>
            <w:r w:rsidRPr="00B60F04">
              <w:rPr>
                <w:lang w:val="en-US"/>
              </w:rPr>
              <w:t>-$288,994</w:t>
            </w:r>
          </w:p>
        </w:tc>
        <w:tc>
          <w:tcPr>
            <w:tcW w:w="657" w:type="pct"/>
            <w:tcBorders>
              <w:top w:val="single" w:sz="4" w:space="0" w:color="auto"/>
              <w:left w:val="single" w:sz="4" w:space="0" w:color="auto"/>
              <w:bottom w:val="single" w:sz="4" w:space="0" w:color="auto"/>
              <w:right w:val="single" w:sz="4" w:space="0" w:color="auto"/>
            </w:tcBorders>
            <w:hideMark/>
          </w:tcPr>
          <w:p w14:paraId="74F5496E" w14:textId="77777777" w:rsidR="00374A2A" w:rsidRPr="00B60F04" w:rsidRDefault="00374A2A" w:rsidP="005F5988">
            <w:pPr>
              <w:pStyle w:val="Tabletext"/>
              <w:jc w:val="right"/>
              <w:rPr>
                <w:lang w:val="en-US"/>
              </w:rPr>
            </w:pPr>
            <w:r w:rsidRPr="00B60F04">
              <w:rPr>
                <w:lang w:val="en-US"/>
              </w:rPr>
              <w:t>-$300,196</w:t>
            </w:r>
          </w:p>
        </w:tc>
        <w:tc>
          <w:tcPr>
            <w:tcW w:w="657" w:type="pct"/>
            <w:tcBorders>
              <w:top w:val="single" w:sz="4" w:space="0" w:color="auto"/>
              <w:left w:val="single" w:sz="4" w:space="0" w:color="auto"/>
              <w:bottom w:val="single" w:sz="4" w:space="0" w:color="auto"/>
              <w:right w:val="single" w:sz="4" w:space="0" w:color="auto"/>
            </w:tcBorders>
            <w:hideMark/>
          </w:tcPr>
          <w:p w14:paraId="010EF614" w14:textId="77777777" w:rsidR="00374A2A" w:rsidRPr="00B60F04" w:rsidRDefault="00374A2A" w:rsidP="005F5988">
            <w:pPr>
              <w:pStyle w:val="Tabletext"/>
              <w:jc w:val="right"/>
              <w:rPr>
                <w:lang w:val="en-US"/>
              </w:rPr>
            </w:pPr>
            <w:r w:rsidRPr="00B60F04">
              <w:rPr>
                <w:lang w:val="en-US"/>
              </w:rPr>
              <w:t>-$311,728</w:t>
            </w:r>
          </w:p>
        </w:tc>
      </w:tr>
      <w:tr w:rsidR="00374A2A" w:rsidRPr="00546152" w14:paraId="3988BF5E" w14:textId="77777777" w:rsidTr="00036FFE">
        <w:tc>
          <w:tcPr>
            <w:tcW w:w="1770" w:type="pct"/>
            <w:tcBorders>
              <w:top w:val="single" w:sz="4" w:space="0" w:color="auto"/>
              <w:left w:val="single" w:sz="4" w:space="0" w:color="auto"/>
              <w:bottom w:val="single" w:sz="4" w:space="0" w:color="auto"/>
              <w:right w:val="single" w:sz="4" w:space="0" w:color="auto"/>
            </w:tcBorders>
            <w:vAlign w:val="center"/>
          </w:tcPr>
          <w:p w14:paraId="2E1C20E8" w14:textId="77777777" w:rsidR="00374A2A" w:rsidRPr="00C67123" w:rsidRDefault="00374A2A" w:rsidP="00036FFE">
            <w:pPr>
              <w:pStyle w:val="Tabletext"/>
              <w:rPr>
                <w:lang w:val="en-US"/>
              </w:rPr>
            </w:pPr>
            <w:r w:rsidRPr="00B60F04">
              <w:rPr>
                <w:lang w:val="en-US"/>
              </w:rPr>
              <w:t>Cost of CCM device</w:t>
            </w:r>
            <w:r>
              <w:rPr>
                <w:lang w:val="en-US"/>
              </w:rPr>
              <w:t xml:space="preserve"> (Optimizer</w:t>
            </w:r>
            <w:r w:rsidRPr="00C67123">
              <w:rPr>
                <w:vertAlign w:val="superscript"/>
                <w:lang w:val="en-US"/>
              </w:rPr>
              <w:t>®</w:t>
            </w:r>
            <w:r>
              <w:rPr>
                <w:lang w:val="en-US"/>
              </w:rPr>
              <w:t>)</w:t>
            </w:r>
          </w:p>
        </w:tc>
        <w:tc>
          <w:tcPr>
            <w:tcW w:w="603" w:type="pct"/>
            <w:tcBorders>
              <w:top w:val="single" w:sz="4" w:space="0" w:color="auto"/>
              <w:left w:val="single" w:sz="4" w:space="0" w:color="auto"/>
              <w:bottom w:val="single" w:sz="4" w:space="0" w:color="auto"/>
              <w:right w:val="single" w:sz="4" w:space="0" w:color="auto"/>
            </w:tcBorders>
          </w:tcPr>
          <w:p w14:paraId="082728C5" w14:textId="77777777" w:rsidR="00374A2A" w:rsidRPr="00B60F04" w:rsidRDefault="00374A2A" w:rsidP="005F5988">
            <w:pPr>
              <w:pStyle w:val="Tabletext"/>
              <w:jc w:val="right"/>
              <w:rPr>
                <w:lang w:val="en-US"/>
              </w:rPr>
            </w:pPr>
            <w:r w:rsidRPr="00B60F04">
              <w:rPr>
                <w:lang w:val="en-US"/>
              </w:rPr>
              <w:t>$3,995,786</w:t>
            </w:r>
          </w:p>
        </w:tc>
        <w:tc>
          <w:tcPr>
            <w:tcW w:w="657" w:type="pct"/>
            <w:tcBorders>
              <w:top w:val="single" w:sz="4" w:space="0" w:color="auto"/>
              <w:left w:val="single" w:sz="4" w:space="0" w:color="auto"/>
              <w:bottom w:val="single" w:sz="4" w:space="0" w:color="auto"/>
              <w:right w:val="single" w:sz="4" w:space="0" w:color="auto"/>
            </w:tcBorders>
          </w:tcPr>
          <w:p w14:paraId="6153C1CA" w14:textId="77777777" w:rsidR="00374A2A" w:rsidRPr="00B60F04" w:rsidRDefault="00374A2A" w:rsidP="005F5988">
            <w:pPr>
              <w:pStyle w:val="Tabletext"/>
              <w:jc w:val="right"/>
              <w:rPr>
                <w:lang w:val="en-US"/>
              </w:rPr>
            </w:pPr>
            <w:r w:rsidRPr="00B60F04">
              <w:rPr>
                <w:lang w:val="en-US"/>
              </w:rPr>
              <w:t>$16,298,810</w:t>
            </w:r>
          </w:p>
        </w:tc>
        <w:tc>
          <w:tcPr>
            <w:tcW w:w="657" w:type="pct"/>
            <w:tcBorders>
              <w:top w:val="single" w:sz="4" w:space="0" w:color="auto"/>
              <w:left w:val="single" w:sz="4" w:space="0" w:color="auto"/>
              <w:bottom w:val="single" w:sz="4" w:space="0" w:color="auto"/>
              <w:right w:val="single" w:sz="4" w:space="0" w:color="auto"/>
            </w:tcBorders>
          </w:tcPr>
          <w:p w14:paraId="653E535F" w14:textId="77777777" w:rsidR="00374A2A" w:rsidRPr="00B60F04" w:rsidRDefault="00374A2A" w:rsidP="005F5988">
            <w:pPr>
              <w:pStyle w:val="Tabletext"/>
              <w:jc w:val="right"/>
              <w:rPr>
                <w:lang w:val="en-US"/>
              </w:rPr>
            </w:pPr>
            <w:r w:rsidRPr="00B60F04">
              <w:rPr>
                <w:lang w:val="en-US"/>
              </w:rPr>
              <w:t>$24,931,067</w:t>
            </w:r>
          </w:p>
        </w:tc>
        <w:tc>
          <w:tcPr>
            <w:tcW w:w="657" w:type="pct"/>
            <w:tcBorders>
              <w:top w:val="single" w:sz="4" w:space="0" w:color="auto"/>
              <w:left w:val="single" w:sz="4" w:space="0" w:color="auto"/>
              <w:bottom w:val="single" w:sz="4" w:space="0" w:color="auto"/>
              <w:right w:val="single" w:sz="4" w:space="0" w:color="auto"/>
            </w:tcBorders>
          </w:tcPr>
          <w:p w14:paraId="2311606B" w14:textId="77777777" w:rsidR="00374A2A" w:rsidRPr="00B60F04" w:rsidRDefault="00374A2A" w:rsidP="005F5988">
            <w:pPr>
              <w:pStyle w:val="Tabletext"/>
              <w:jc w:val="right"/>
              <w:rPr>
                <w:lang w:val="en-US"/>
              </w:rPr>
            </w:pPr>
            <w:r w:rsidRPr="00B60F04">
              <w:rPr>
                <w:lang w:val="en-US"/>
              </w:rPr>
              <w:t>$33,897,941</w:t>
            </w:r>
          </w:p>
        </w:tc>
        <w:tc>
          <w:tcPr>
            <w:tcW w:w="657" w:type="pct"/>
            <w:tcBorders>
              <w:top w:val="single" w:sz="4" w:space="0" w:color="auto"/>
              <w:left w:val="single" w:sz="4" w:space="0" w:color="auto"/>
              <w:bottom w:val="single" w:sz="4" w:space="0" w:color="auto"/>
              <w:right w:val="single" w:sz="4" w:space="0" w:color="auto"/>
            </w:tcBorders>
          </w:tcPr>
          <w:p w14:paraId="6CACBAD7" w14:textId="77777777" w:rsidR="00374A2A" w:rsidRPr="00B60F04" w:rsidRDefault="00374A2A" w:rsidP="005F5988">
            <w:pPr>
              <w:pStyle w:val="Tabletext"/>
              <w:jc w:val="right"/>
              <w:rPr>
                <w:lang w:val="en-US"/>
              </w:rPr>
            </w:pPr>
            <w:r w:rsidRPr="00B60F04">
              <w:rPr>
                <w:lang w:val="en-US"/>
              </w:rPr>
              <w:t>$43,209,282</w:t>
            </w:r>
          </w:p>
        </w:tc>
      </w:tr>
      <w:tr w:rsidR="00374A2A" w:rsidRPr="00546152" w14:paraId="433B4845" w14:textId="77777777" w:rsidTr="00036FFE">
        <w:tc>
          <w:tcPr>
            <w:tcW w:w="1770" w:type="pct"/>
            <w:tcBorders>
              <w:top w:val="single" w:sz="4" w:space="0" w:color="auto"/>
              <w:left w:val="single" w:sz="4" w:space="0" w:color="auto"/>
              <w:bottom w:val="single" w:sz="4" w:space="0" w:color="auto"/>
              <w:right w:val="single" w:sz="4" w:space="0" w:color="auto"/>
            </w:tcBorders>
            <w:vAlign w:val="center"/>
            <w:hideMark/>
          </w:tcPr>
          <w:p w14:paraId="4E225D54" w14:textId="77777777" w:rsidR="00374A2A" w:rsidRPr="00C67123" w:rsidRDefault="00374A2A" w:rsidP="00036FFE">
            <w:pPr>
              <w:pStyle w:val="Tabletext"/>
              <w:rPr>
                <w:b/>
                <w:lang w:val="en-US"/>
              </w:rPr>
            </w:pPr>
            <w:r w:rsidRPr="00C67123">
              <w:rPr>
                <w:b/>
                <w:lang w:val="en-US"/>
              </w:rPr>
              <w:t>Total net cost of CCM</w:t>
            </w:r>
          </w:p>
        </w:tc>
        <w:tc>
          <w:tcPr>
            <w:tcW w:w="603" w:type="pct"/>
            <w:tcBorders>
              <w:top w:val="single" w:sz="4" w:space="0" w:color="auto"/>
              <w:left w:val="single" w:sz="4" w:space="0" w:color="auto"/>
              <w:bottom w:val="single" w:sz="4" w:space="0" w:color="auto"/>
              <w:right w:val="single" w:sz="4" w:space="0" w:color="auto"/>
            </w:tcBorders>
            <w:hideMark/>
          </w:tcPr>
          <w:p w14:paraId="176333BD" w14:textId="77777777" w:rsidR="00374A2A" w:rsidRPr="00C67123" w:rsidRDefault="00374A2A" w:rsidP="005F5988">
            <w:pPr>
              <w:pStyle w:val="Tabletext"/>
              <w:jc w:val="right"/>
              <w:rPr>
                <w:b/>
                <w:lang w:val="en-US"/>
              </w:rPr>
            </w:pPr>
            <w:r w:rsidRPr="00C67123">
              <w:rPr>
                <w:b/>
                <w:lang w:val="en-US"/>
              </w:rPr>
              <w:t>$5,068,228</w:t>
            </w:r>
          </w:p>
        </w:tc>
        <w:tc>
          <w:tcPr>
            <w:tcW w:w="657" w:type="pct"/>
            <w:tcBorders>
              <w:top w:val="single" w:sz="4" w:space="0" w:color="auto"/>
              <w:left w:val="single" w:sz="4" w:space="0" w:color="auto"/>
              <w:bottom w:val="single" w:sz="4" w:space="0" w:color="auto"/>
              <w:right w:val="single" w:sz="4" w:space="0" w:color="auto"/>
            </w:tcBorders>
            <w:hideMark/>
          </w:tcPr>
          <w:p w14:paraId="53C4936E" w14:textId="77777777" w:rsidR="00374A2A" w:rsidRPr="00C67123" w:rsidRDefault="00374A2A" w:rsidP="005F5988">
            <w:pPr>
              <w:pStyle w:val="Tabletext"/>
              <w:jc w:val="right"/>
              <w:rPr>
                <w:b/>
                <w:lang w:val="en-US"/>
              </w:rPr>
            </w:pPr>
            <w:r w:rsidRPr="00C67123">
              <w:rPr>
                <w:b/>
                <w:lang w:val="en-US"/>
              </w:rPr>
              <w:t>$20,814,340</w:t>
            </w:r>
          </w:p>
        </w:tc>
        <w:tc>
          <w:tcPr>
            <w:tcW w:w="657" w:type="pct"/>
            <w:tcBorders>
              <w:top w:val="single" w:sz="4" w:space="0" w:color="auto"/>
              <w:left w:val="single" w:sz="4" w:space="0" w:color="auto"/>
              <w:bottom w:val="single" w:sz="4" w:space="0" w:color="auto"/>
              <w:right w:val="single" w:sz="4" w:space="0" w:color="auto"/>
            </w:tcBorders>
            <w:hideMark/>
          </w:tcPr>
          <w:p w14:paraId="3758BE86" w14:textId="77777777" w:rsidR="00374A2A" w:rsidRPr="00C67123" w:rsidRDefault="00374A2A" w:rsidP="005F5988">
            <w:pPr>
              <w:pStyle w:val="Tabletext"/>
              <w:jc w:val="right"/>
              <w:rPr>
                <w:b/>
                <w:lang w:val="en-US"/>
              </w:rPr>
            </w:pPr>
            <w:r w:rsidRPr="00C67123">
              <w:rPr>
                <w:b/>
                <w:lang w:val="en-US"/>
              </w:rPr>
              <w:t>$32,204,957</w:t>
            </w:r>
          </w:p>
        </w:tc>
        <w:tc>
          <w:tcPr>
            <w:tcW w:w="657" w:type="pct"/>
            <w:tcBorders>
              <w:top w:val="single" w:sz="4" w:space="0" w:color="auto"/>
              <w:left w:val="single" w:sz="4" w:space="0" w:color="auto"/>
              <w:bottom w:val="single" w:sz="4" w:space="0" w:color="auto"/>
              <w:right w:val="single" w:sz="4" w:space="0" w:color="auto"/>
            </w:tcBorders>
            <w:hideMark/>
          </w:tcPr>
          <w:p w14:paraId="6291F32B" w14:textId="77777777" w:rsidR="00374A2A" w:rsidRPr="00C67123" w:rsidRDefault="00374A2A" w:rsidP="005F5988">
            <w:pPr>
              <w:pStyle w:val="Tabletext"/>
              <w:jc w:val="right"/>
              <w:rPr>
                <w:b/>
                <w:lang w:val="en-US"/>
              </w:rPr>
            </w:pPr>
            <w:r w:rsidRPr="00C67123">
              <w:rPr>
                <w:b/>
                <w:lang w:val="en-US"/>
              </w:rPr>
              <w:t>$43,912,803</w:t>
            </w:r>
          </w:p>
        </w:tc>
        <w:tc>
          <w:tcPr>
            <w:tcW w:w="657" w:type="pct"/>
            <w:tcBorders>
              <w:top w:val="single" w:sz="4" w:space="0" w:color="auto"/>
              <w:left w:val="single" w:sz="4" w:space="0" w:color="auto"/>
              <w:bottom w:val="single" w:sz="4" w:space="0" w:color="auto"/>
              <w:right w:val="single" w:sz="4" w:space="0" w:color="auto"/>
            </w:tcBorders>
            <w:hideMark/>
          </w:tcPr>
          <w:p w14:paraId="142AA652" w14:textId="77777777" w:rsidR="00374A2A" w:rsidRPr="00C67123" w:rsidRDefault="00374A2A" w:rsidP="005F5988">
            <w:pPr>
              <w:pStyle w:val="Tabletext"/>
              <w:jc w:val="right"/>
              <w:rPr>
                <w:b/>
                <w:lang w:val="en-US"/>
              </w:rPr>
            </w:pPr>
            <w:r w:rsidRPr="00C67123">
              <w:rPr>
                <w:b/>
                <w:lang w:val="en-US"/>
              </w:rPr>
              <w:t>$56,085,075</w:t>
            </w:r>
          </w:p>
        </w:tc>
      </w:tr>
    </w:tbl>
    <w:p w14:paraId="5450468C" w14:textId="77777777" w:rsidR="00374A2A" w:rsidRDefault="00374A2A" w:rsidP="005754FD">
      <w:pPr>
        <w:pStyle w:val="Tablenotes0"/>
      </w:pPr>
      <w:r>
        <w:t>CCM = Cardiac contractility modulation; MBS = Medicare Benefits Schedule; PBS = Pharmaceutical Benefits Scheme</w:t>
      </w:r>
    </w:p>
    <w:p w14:paraId="26AF4DA4" w14:textId="77777777" w:rsidR="00374A2A" w:rsidRDefault="00374A2A" w:rsidP="00374A2A">
      <w:pPr>
        <w:pStyle w:val="Tablenotes1"/>
      </w:pPr>
      <w:proofErr w:type="gramStart"/>
      <w:r>
        <w:rPr>
          <w:vertAlign w:val="superscript"/>
        </w:rPr>
        <w:t>a</w:t>
      </w:r>
      <w:proofErr w:type="gramEnd"/>
      <w:r>
        <w:rPr>
          <w:vertAlign w:val="superscript"/>
        </w:rPr>
        <w:t xml:space="preserve"> </w:t>
      </w:r>
      <w:r>
        <w:t>Resubmission estimated a 2% uptake rate for CCM, rising to 20% over 5 years</w:t>
      </w:r>
    </w:p>
    <w:p w14:paraId="2E424BD2" w14:textId="77777777" w:rsidR="00374A2A" w:rsidRDefault="00374A2A" w:rsidP="00374A2A">
      <w:pPr>
        <w:pStyle w:val="Tablenotes1"/>
        <w:rPr>
          <w:szCs w:val="24"/>
          <w:u w:val="single"/>
        </w:rPr>
      </w:pPr>
      <w:proofErr w:type="gramStart"/>
      <w:r>
        <w:rPr>
          <w:vertAlign w:val="superscript"/>
        </w:rPr>
        <w:t>b</w:t>
      </w:r>
      <w:proofErr w:type="gramEnd"/>
      <w:r>
        <w:rPr>
          <w:vertAlign w:val="superscript"/>
        </w:rPr>
        <w:t xml:space="preserve"> </w:t>
      </w:r>
      <w:r w:rsidRPr="00BC44F4">
        <w:t xml:space="preserve">Resubmission </w:t>
      </w:r>
      <w:r>
        <w:t>calculated using the 75</w:t>
      </w:r>
      <w:r w:rsidRPr="00BC44F4">
        <w:t>%</w:t>
      </w:r>
      <w:r>
        <w:t xml:space="preserve"> rebate level (in-hospital service)</w:t>
      </w:r>
    </w:p>
    <w:p w14:paraId="40637674" w14:textId="77777777" w:rsidR="00374A2A" w:rsidRPr="00374A2A" w:rsidRDefault="00374A2A" w:rsidP="00374A2A">
      <w:pPr>
        <w:rPr>
          <w:szCs w:val="24"/>
        </w:rPr>
      </w:pPr>
      <w:r w:rsidRPr="00255EE7">
        <w:rPr>
          <w:szCs w:val="24"/>
        </w:rPr>
        <w:t xml:space="preserve">The </w:t>
      </w:r>
      <w:r>
        <w:rPr>
          <w:szCs w:val="24"/>
        </w:rPr>
        <w:t>C</w:t>
      </w:r>
      <w:r w:rsidRPr="00255EE7">
        <w:rPr>
          <w:szCs w:val="24"/>
        </w:rPr>
        <w:t>ritique stated the net cost to the MBS is predicted to be greater than the current resubmission’s estimates due to uncertain</w:t>
      </w:r>
      <w:r>
        <w:rPr>
          <w:szCs w:val="24"/>
        </w:rPr>
        <w:t>ty in defining the eligible</w:t>
      </w:r>
      <w:r w:rsidRPr="00255EE7">
        <w:rPr>
          <w:szCs w:val="24"/>
        </w:rPr>
        <w:t xml:space="preserve"> population, potentially underestimated uptake</w:t>
      </w:r>
      <w:r>
        <w:rPr>
          <w:szCs w:val="24"/>
        </w:rPr>
        <w:t>,</w:t>
      </w:r>
      <w:r w:rsidRPr="00255EE7">
        <w:rPr>
          <w:szCs w:val="24"/>
        </w:rPr>
        <w:t xml:space="preserve"> and the additional service costs which may be </w:t>
      </w:r>
      <w:r>
        <w:rPr>
          <w:szCs w:val="24"/>
        </w:rPr>
        <w:t>associated with the use of CCM devices</w:t>
      </w:r>
      <w:r w:rsidRPr="00255EE7">
        <w:rPr>
          <w:szCs w:val="24"/>
        </w:rPr>
        <w:t>.</w:t>
      </w:r>
    </w:p>
    <w:p w14:paraId="42C41EB3" w14:textId="77777777" w:rsidR="005754FD" w:rsidRDefault="006A0D97" w:rsidP="005754FD">
      <w:pPr>
        <w:pStyle w:val="Heading1"/>
      </w:pPr>
      <w:r w:rsidRPr="00F715D1">
        <w:t>Key issues from</w:t>
      </w:r>
      <w:r w:rsidR="005754FD">
        <w:t xml:space="preserve"> </w:t>
      </w:r>
      <w:r w:rsidRPr="00F715D1">
        <w:t>ESC for MSAC</w:t>
      </w:r>
    </w:p>
    <w:tbl>
      <w:tblPr>
        <w:tblStyle w:val="TableGrid"/>
        <w:tblW w:w="0" w:type="auto"/>
        <w:tblLook w:val="04A0" w:firstRow="1" w:lastRow="0" w:firstColumn="1" w:lastColumn="0" w:noHBand="0" w:noVBand="1"/>
        <w:tblCaption w:val="Key issues from ESC for MSAC"/>
        <w:tblDescription w:val="Summary of key issues"/>
      </w:tblPr>
      <w:tblGrid>
        <w:gridCol w:w="2830"/>
        <w:gridCol w:w="6186"/>
      </w:tblGrid>
      <w:tr w:rsidR="005043F3" w:rsidRPr="00376883" w14:paraId="55F69247" w14:textId="77777777" w:rsidTr="008568EF">
        <w:trPr>
          <w:trHeight w:val="531"/>
          <w:tblHeader/>
        </w:trPr>
        <w:tc>
          <w:tcPr>
            <w:tcW w:w="2830" w:type="dxa"/>
            <w:tcBorders>
              <w:top w:val="single" w:sz="4" w:space="0" w:color="auto"/>
              <w:left w:val="single" w:sz="4" w:space="0" w:color="auto"/>
              <w:bottom w:val="single" w:sz="4" w:space="0" w:color="auto"/>
              <w:right w:val="single" w:sz="4" w:space="0" w:color="auto"/>
            </w:tcBorders>
            <w:vAlign w:val="center"/>
            <w:hideMark/>
          </w:tcPr>
          <w:p w14:paraId="78DA9BB4" w14:textId="77777777" w:rsidR="005043F3" w:rsidRPr="00376883" w:rsidRDefault="005043F3" w:rsidP="008568EF">
            <w:pPr>
              <w:pStyle w:val="Tabletext"/>
              <w:rPr>
                <w:rFonts w:ascii="Times New Roman" w:hAnsi="Times New Roman" w:cs="Times New Roman"/>
                <w:b/>
                <w:sz w:val="24"/>
              </w:rPr>
            </w:pPr>
            <w:r w:rsidRPr="00376883">
              <w:rPr>
                <w:rFonts w:ascii="Times New Roman" w:hAnsi="Times New Roman" w:cs="Times New Roman"/>
                <w:b/>
                <w:sz w:val="24"/>
              </w:rPr>
              <w:t>ESC key issue</w:t>
            </w:r>
          </w:p>
        </w:tc>
        <w:tc>
          <w:tcPr>
            <w:tcW w:w="6186" w:type="dxa"/>
            <w:tcBorders>
              <w:top w:val="single" w:sz="4" w:space="0" w:color="auto"/>
              <w:left w:val="single" w:sz="4" w:space="0" w:color="auto"/>
              <w:bottom w:val="single" w:sz="4" w:space="0" w:color="auto"/>
              <w:right w:val="single" w:sz="4" w:space="0" w:color="auto"/>
            </w:tcBorders>
            <w:vAlign w:val="center"/>
            <w:hideMark/>
          </w:tcPr>
          <w:p w14:paraId="7594510F" w14:textId="77777777" w:rsidR="005043F3" w:rsidRPr="00376883" w:rsidRDefault="005043F3" w:rsidP="008568EF">
            <w:pPr>
              <w:pStyle w:val="Tabletext"/>
              <w:rPr>
                <w:rFonts w:ascii="Times New Roman" w:hAnsi="Times New Roman" w:cs="Times New Roman"/>
                <w:b/>
                <w:sz w:val="24"/>
              </w:rPr>
            </w:pPr>
            <w:r w:rsidRPr="00376883">
              <w:rPr>
                <w:rFonts w:ascii="Times New Roman" w:hAnsi="Times New Roman" w:cs="Times New Roman"/>
                <w:b/>
                <w:sz w:val="24"/>
              </w:rPr>
              <w:t>ESC advice to MSAC</w:t>
            </w:r>
          </w:p>
        </w:tc>
      </w:tr>
      <w:tr w:rsidR="005043F3" w:rsidRPr="00376883" w14:paraId="41DE3587" w14:textId="77777777" w:rsidTr="00036FFE">
        <w:tc>
          <w:tcPr>
            <w:tcW w:w="2830" w:type="dxa"/>
            <w:tcBorders>
              <w:top w:val="single" w:sz="4" w:space="0" w:color="auto"/>
              <w:left w:val="single" w:sz="4" w:space="0" w:color="auto"/>
              <w:bottom w:val="single" w:sz="4" w:space="0" w:color="auto"/>
              <w:right w:val="single" w:sz="4" w:space="0" w:color="auto"/>
            </w:tcBorders>
            <w:hideMark/>
          </w:tcPr>
          <w:p w14:paraId="6F5681EF" w14:textId="77777777" w:rsidR="005043F3" w:rsidRPr="00376883" w:rsidRDefault="005043F3" w:rsidP="008568EF">
            <w:pPr>
              <w:pStyle w:val="Tabletext"/>
              <w:rPr>
                <w:rFonts w:ascii="Times New Roman" w:hAnsi="Times New Roman" w:cs="Times New Roman"/>
                <w:sz w:val="24"/>
              </w:rPr>
            </w:pPr>
            <w:r w:rsidRPr="00376883">
              <w:rPr>
                <w:rFonts w:ascii="Times New Roman" w:hAnsi="Times New Roman" w:cs="Times New Roman"/>
                <w:sz w:val="24"/>
              </w:rPr>
              <w:t>Comparative safety</w:t>
            </w:r>
          </w:p>
        </w:tc>
        <w:tc>
          <w:tcPr>
            <w:tcW w:w="6186" w:type="dxa"/>
            <w:tcBorders>
              <w:top w:val="single" w:sz="4" w:space="0" w:color="auto"/>
              <w:left w:val="single" w:sz="4" w:space="0" w:color="auto"/>
              <w:bottom w:val="single" w:sz="4" w:space="0" w:color="auto"/>
              <w:right w:val="single" w:sz="4" w:space="0" w:color="auto"/>
            </w:tcBorders>
            <w:hideMark/>
          </w:tcPr>
          <w:p w14:paraId="64C3AD5A" w14:textId="77777777" w:rsidR="005043F3" w:rsidRPr="00376883" w:rsidRDefault="005043F3" w:rsidP="008568EF">
            <w:pPr>
              <w:pStyle w:val="Tabletext"/>
              <w:rPr>
                <w:rFonts w:ascii="Times New Roman" w:hAnsi="Times New Roman" w:cs="Times New Roman"/>
                <w:sz w:val="24"/>
              </w:rPr>
            </w:pPr>
            <w:r w:rsidRPr="00376883">
              <w:rPr>
                <w:rFonts w:ascii="Times New Roman" w:hAnsi="Times New Roman" w:cs="Times New Roman"/>
                <w:sz w:val="24"/>
              </w:rPr>
              <w:t>Device-related adverse effects appear to be rare. Intervention appears to be safe.</w:t>
            </w:r>
          </w:p>
        </w:tc>
      </w:tr>
      <w:tr w:rsidR="005043F3" w:rsidRPr="00376883" w14:paraId="566B417F" w14:textId="77777777" w:rsidTr="00036FFE">
        <w:tc>
          <w:tcPr>
            <w:tcW w:w="2830" w:type="dxa"/>
            <w:tcBorders>
              <w:top w:val="single" w:sz="4" w:space="0" w:color="auto"/>
              <w:left w:val="single" w:sz="4" w:space="0" w:color="auto"/>
              <w:bottom w:val="single" w:sz="4" w:space="0" w:color="auto"/>
              <w:right w:val="single" w:sz="4" w:space="0" w:color="auto"/>
            </w:tcBorders>
            <w:hideMark/>
          </w:tcPr>
          <w:p w14:paraId="04B86219" w14:textId="77777777" w:rsidR="005043F3" w:rsidRPr="00376883" w:rsidRDefault="005043F3" w:rsidP="008568EF">
            <w:pPr>
              <w:pStyle w:val="Tabletext"/>
              <w:rPr>
                <w:rFonts w:ascii="Times New Roman" w:hAnsi="Times New Roman" w:cs="Times New Roman"/>
                <w:sz w:val="24"/>
              </w:rPr>
            </w:pPr>
            <w:r w:rsidRPr="00376883">
              <w:rPr>
                <w:rFonts w:ascii="Times New Roman" w:hAnsi="Times New Roman" w:cs="Times New Roman"/>
                <w:sz w:val="24"/>
              </w:rPr>
              <w:t>Comparative effectiveness</w:t>
            </w:r>
          </w:p>
        </w:tc>
        <w:tc>
          <w:tcPr>
            <w:tcW w:w="6186" w:type="dxa"/>
            <w:tcBorders>
              <w:top w:val="single" w:sz="4" w:space="0" w:color="auto"/>
              <w:left w:val="single" w:sz="4" w:space="0" w:color="auto"/>
              <w:bottom w:val="single" w:sz="4" w:space="0" w:color="auto"/>
              <w:right w:val="single" w:sz="4" w:space="0" w:color="auto"/>
            </w:tcBorders>
            <w:hideMark/>
          </w:tcPr>
          <w:p w14:paraId="30981BB2" w14:textId="77777777" w:rsidR="005043F3" w:rsidRPr="00376883" w:rsidRDefault="005043F3" w:rsidP="008568EF">
            <w:pPr>
              <w:pStyle w:val="Tabletext"/>
              <w:rPr>
                <w:rFonts w:ascii="Times New Roman" w:hAnsi="Times New Roman" w:cs="Times New Roman"/>
                <w:sz w:val="24"/>
              </w:rPr>
            </w:pPr>
            <w:r w:rsidRPr="00376883">
              <w:rPr>
                <w:rFonts w:ascii="Times New Roman" w:hAnsi="Times New Roman" w:cs="Times New Roman"/>
                <w:sz w:val="24"/>
              </w:rPr>
              <w:t>There is insufficient evidence to be certain of clinical effectiveness.</w:t>
            </w:r>
          </w:p>
        </w:tc>
      </w:tr>
      <w:tr w:rsidR="005043F3" w:rsidRPr="00376883" w14:paraId="75CE0921" w14:textId="77777777" w:rsidTr="00036FFE">
        <w:tc>
          <w:tcPr>
            <w:tcW w:w="2830" w:type="dxa"/>
            <w:tcBorders>
              <w:top w:val="single" w:sz="4" w:space="0" w:color="auto"/>
              <w:left w:val="single" w:sz="4" w:space="0" w:color="auto"/>
              <w:bottom w:val="single" w:sz="4" w:space="0" w:color="auto"/>
              <w:right w:val="single" w:sz="4" w:space="0" w:color="auto"/>
            </w:tcBorders>
            <w:hideMark/>
          </w:tcPr>
          <w:p w14:paraId="6BBC8A10" w14:textId="77777777" w:rsidR="005043F3" w:rsidRPr="00376883" w:rsidRDefault="005043F3" w:rsidP="008568EF">
            <w:pPr>
              <w:pStyle w:val="Tabletext"/>
              <w:rPr>
                <w:rFonts w:ascii="Times New Roman" w:hAnsi="Times New Roman" w:cs="Times New Roman"/>
                <w:sz w:val="24"/>
              </w:rPr>
            </w:pPr>
            <w:r w:rsidRPr="00376883">
              <w:rPr>
                <w:rFonts w:ascii="Times New Roman" w:hAnsi="Times New Roman" w:cs="Times New Roman"/>
                <w:sz w:val="24"/>
              </w:rPr>
              <w:t>Proposed patient population</w:t>
            </w:r>
          </w:p>
        </w:tc>
        <w:tc>
          <w:tcPr>
            <w:tcW w:w="6186" w:type="dxa"/>
            <w:tcBorders>
              <w:top w:val="single" w:sz="4" w:space="0" w:color="auto"/>
              <w:left w:val="single" w:sz="4" w:space="0" w:color="auto"/>
              <w:bottom w:val="single" w:sz="4" w:space="0" w:color="auto"/>
              <w:right w:val="single" w:sz="4" w:space="0" w:color="auto"/>
            </w:tcBorders>
          </w:tcPr>
          <w:p w14:paraId="3B097B5A" w14:textId="77777777" w:rsidR="005043F3" w:rsidRPr="00376883" w:rsidRDefault="005043F3" w:rsidP="008568EF">
            <w:pPr>
              <w:pStyle w:val="Tabletext"/>
              <w:rPr>
                <w:rFonts w:ascii="Times New Roman" w:hAnsi="Times New Roman" w:cs="Times New Roman"/>
                <w:sz w:val="24"/>
              </w:rPr>
            </w:pPr>
            <w:r w:rsidRPr="00376883">
              <w:rPr>
                <w:rFonts w:ascii="Times New Roman" w:hAnsi="Times New Roman" w:cs="Times New Roman"/>
                <w:sz w:val="24"/>
              </w:rPr>
              <w:t>The inclusion of patients with atrial fibrillation will require further evidence.</w:t>
            </w:r>
          </w:p>
        </w:tc>
      </w:tr>
      <w:tr w:rsidR="005043F3" w:rsidRPr="00376883" w14:paraId="31C628D4" w14:textId="77777777" w:rsidTr="00036FFE">
        <w:tc>
          <w:tcPr>
            <w:tcW w:w="2830" w:type="dxa"/>
            <w:tcBorders>
              <w:top w:val="single" w:sz="4" w:space="0" w:color="auto"/>
              <w:left w:val="single" w:sz="4" w:space="0" w:color="auto"/>
              <w:bottom w:val="single" w:sz="4" w:space="0" w:color="auto"/>
              <w:right w:val="single" w:sz="4" w:space="0" w:color="auto"/>
            </w:tcBorders>
            <w:hideMark/>
          </w:tcPr>
          <w:p w14:paraId="7C41243B" w14:textId="77777777" w:rsidR="005043F3" w:rsidRPr="00376883" w:rsidRDefault="005043F3" w:rsidP="008568EF">
            <w:pPr>
              <w:pStyle w:val="Tabletext"/>
              <w:rPr>
                <w:rFonts w:ascii="Times New Roman" w:hAnsi="Times New Roman" w:cs="Times New Roman"/>
                <w:sz w:val="24"/>
              </w:rPr>
            </w:pPr>
            <w:r w:rsidRPr="00376883">
              <w:rPr>
                <w:rFonts w:ascii="Times New Roman" w:hAnsi="Times New Roman" w:cs="Times New Roman"/>
                <w:sz w:val="24"/>
              </w:rPr>
              <w:t>Implementation issues if approved</w:t>
            </w:r>
          </w:p>
        </w:tc>
        <w:tc>
          <w:tcPr>
            <w:tcW w:w="6186" w:type="dxa"/>
            <w:tcBorders>
              <w:top w:val="single" w:sz="4" w:space="0" w:color="auto"/>
              <w:left w:val="single" w:sz="4" w:space="0" w:color="auto"/>
              <w:bottom w:val="single" w:sz="4" w:space="0" w:color="auto"/>
              <w:right w:val="single" w:sz="4" w:space="0" w:color="auto"/>
            </w:tcBorders>
          </w:tcPr>
          <w:p w14:paraId="6A17E557" w14:textId="77777777" w:rsidR="005043F3" w:rsidRPr="00376883" w:rsidRDefault="005043F3" w:rsidP="008568EF">
            <w:pPr>
              <w:pStyle w:val="Tabletext"/>
              <w:rPr>
                <w:rFonts w:ascii="Times New Roman" w:hAnsi="Times New Roman" w:cs="Times New Roman"/>
                <w:sz w:val="24"/>
              </w:rPr>
            </w:pPr>
            <w:r w:rsidRPr="00376883">
              <w:rPr>
                <w:rFonts w:ascii="Times New Roman" w:hAnsi="Times New Roman" w:cs="Times New Roman"/>
                <w:sz w:val="24"/>
              </w:rPr>
              <w:t>Accreditation of specialists as required by current Cardiac Implantable Electronic Devices guidelines of the Cardiac Society of Australia and New Zealand (CSANZ). Decisions will need to be made about who is able to implant the device, their competence and how often they should be monitored. It would be useful to seek advice from CSANZ on this issue.</w:t>
            </w:r>
          </w:p>
        </w:tc>
      </w:tr>
      <w:tr w:rsidR="005043F3" w:rsidRPr="00376883" w14:paraId="420FE8FB" w14:textId="77777777" w:rsidTr="00036FFE">
        <w:tc>
          <w:tcPr>
            <w:tcW w:w="2830" w:type="dxa"/>
            <w:tcBorders>
              <w:top w:val="single" w:sz="4" w:space="0" w:color="auto"/>
              <w:left w:val="single" w:sz="4" w:space="0" w:color="auto"/>
              <w:bottom w:val="single" w:sz="4" w:space="0" w:color="auto"/>
              <w:right w:val="single" w:sz="4" w:space="0" w:color="auto"/>
            </w:tcBorders>
            <w:hideMark/>
          </w:tcPr>
          <w:p w14:paraId="1A1907E9" w14:textId="77777777" w:rsidR="005043F3" w:rsidRPr="00376883" w:rsidRDefault="005043F3" w:rsidP="008568EF">
            <w:pPr>
              <w:pStyle w:val="Tabletext"/>
              <w:rPr>
                <w:rFonts w:ascii="Times New Roman" w:hAnsi="Times New Roman" w:cs="Times New Roman"/>
                <w:sz w:val="24"/>
              </w:rPr>
            </w:pPr>
            <w:r w:rsidRPr="00376883">
              <w:rPr>
                <w:rFonts w:ascii="Times New Roman" w:hAnsi="Times New Roman" w:cs="Times New Roman"/>
                <w:sz w:val="24"/>
              </w:rPr>
              <w:t>Over-extrapolation remains a key issue</w:t>
            </w:r>
          </w:p>
        </w:tc>
        <w:tc>
          <w:tcPr>
            <w:tcW w:w="6186" w:type="dxa"/>
            <w:tcBorders>
              <w:top w:val="single" w:sz="4" w:space="0" w:color="auto"/>
              <w:left w:val="single" w:sz="4" w:space="0" w:color="auto"/>
              <w:bottom w:val="single" w:sz="4" w:space="0" w:color="auto"/>
              <w:right w:val="single" w:sz="4" w:space="0" w:color="auto"/>
            </w:tcBorders>
          </w:tcPr>
          <w:p w14:paraId="4D5146A4" w14:textId="77777777" w:rsidR="005043F3" w:rsidRPr="00376883" w:rsidRDefault="005043F3" w:rsidP="008568EF">
            <w:pPr>
              <w:pStyle w:val="Tabletext"/>
              <w:rPr>
                <w:rFonts w:ascii="Times New Roman" w:hAnsi="Times New Roman" w:cs="Times New Roman"/>
                <w:sz w:val="24"/>
              </w:rPr>
            </w:pPr>
            <w:r w:rsidRPr="00376883">
              <w:rPr>
                <w:rFonts w:ascii="Times New Roman" w:hAnsi="Times New Roman" w:cs="Times New Roman"/>
                <w:sz w:val="24"/>
              </w:rPr>
              <w:t>The effectiveness data and extrapolation methods do not address the concerns previously identified by MSAC: the economic model relies on a consistent proportional reduction in survival for up to 40 years post treatment, based on RCT evidence of a treatment-induced improvement in NYHA class 12 months after treatment. The assumptions in the model, that a) NYHA class will not decline over time due to disease progression, and b) that all heart failure patients have the same probability of death regardless of NYHA class, are clinically implausible.</w:t>
            </w:r>
          </w:p>
        </w:tc>
      </w:tr>
      <w:tr w:rsidR="005043F3" w:rsidRPr="00376883" w14:paraId="360DD18B" w14:textId="77777777" w:rsidTr="00036FFE">
        <w:tc>
          <w:tcPr>
            <w:tcW w:w="2830" w:type="dxa"/>
            <w:tcBorders>
              <w:top w:val="single" w:sz="4" w:space="0" w:color="auto"/>
              <w:left w:val="single" w:sz="4" w:space="0" w:color="auto"/>
              <w:bottom w:val="single" w:sz="4" w:space="0" w:color="auto"/>
              <w:right w:val="single" w:sz="4" w:space="0" w:color="auto"/>
            </w:tcBorders>
          </w:tcPr>
          <w:p w14:paraId="7769B222" w14:textId="77777777" w:rsidR="005043F3" w:rsidRPr="00376883" w:rsidRDefault="005043F3" w:rsidP="008568EF">
            <w:pPr>
              <w:pStyle w:val="Tabletext"/>
              <w:rPr>
                <w:rFonts w:ascii="Times New Roman" w:hAnsi="Times New Roman" w:cs="Times New Roman"/>
                <w:sz w:val="24"/>
              </w:rPr>
            </w:pPr>
            <w:r w:rsidRPr="00376883">
              <w:rPr>
                <w:rFonts w:ascii="Times New Roman" w:hAnsi="Times New Roman" w:cs="Times New Roman"/>
                <w:sz w:val="24"/>
              </w:rPr>
              <w:t>Errors and misleading descriptions of the model, and use of unsubstantiated methods and assumptions</w:t>
            </w:r>
          </w:p>
        </w:tc>
        <w:tc>
          <w:tcPr>
            <w:tcW w:w="6186" w:type="dxa"/>
            <w:tcBorders>
              <w:top w:val="single" w:sz="4" w:space="0" w:color="auto"/>
              <w:left w:val="single" w:sz="4" w:space="0" w:color="auto"/>
              <w:bottom w:val="single" w:sz="4" w:space="0" w:color="auto"/>
              <w:right w:val="single" w:sz="4" w:space="0" w:color="auto"/>
            </w:tcBorders>
          </w:tcPr>
          <w:p w14:paraId="2CE3B119" w14:textId="77777777" w:rsidR="005043F3" w:rsidRPr="00376883" w:rsidRDefault="005043F3" w:rsidP="008568EF">
            <w:pPr>
              <w:pStyle w:val="Tabletext"/>
              <w:rPr>
                <w:rFonts w:ascii="Times New Roman" w:hAnsi="Times New Roman" w:cs="Times New Roman"/>
                <w:sz w:val="24"/>
              </w:rPr>
            </w:pPr>
            <w:r w:rsidRPr="00376883">
              <w:rPr>
                <w:rFonts w:ascii="Times New Roman" w:hAnsi="Times New Roman" w:cs="Times New Roman"/>
                <w:sz w:val="24"/>
              </w:rPr>
              <w:t>The ICERs reported in the SBA are incorrect and MSAC should rely on the corrected ICERs presented in the Critique. MSAC should also note the many remaining issues with the model that were not sufficiently described or justified by the applicant and could not be verified and/or corrected by the Assessment Group.</w:t>
            </w:r>
          </w:p>
        </w:tc>
      </w:tr>
      <w:tr w:rsidR="005043F3" w:rsidRPr="00376883" w14:paraId="5081E20E" w14:textId="77777777" w:rsidTr="00036FFE">
        <w:tc>
          <w:tcPr>
            <w:tcW w:w="2830" w:type="dxa"/>
            <w:tcBorders>
              <w:top w:val="single" w:sz="4" w:space="0" w:color="auto"/>
              <w:left w:val="single" w:sz="4" w:space="0" w:color="auto"/>
              <w:bottom w:val="single" w:sz="4" w:space="0" w:color="auto"/>
              <w:right w:val="single" w:sz="4" w:space="0" w:color="auto"/>
            </w:tcBorders>
          </w:tcPr>
          <w:p w14:paraId="4B2C8395" w14:textId="77777777" w:rsidR="005043F3" w:rsidRPr="00376883" w:rsidRDefault="005043F3" w:rsidP="008568EF">
            <w:pPr>
              <w:pStyle w:val="Tabletext"/>
              <w:rPr>
                <w:rFonts w:ascii="Times New Roman" w:hAnsi="Times New Roman" w:cs="Times New Roman"/>
                <w:sz w:val="24"/>
              </w:rPr>
            </w:pPr>
            <w:r w:rsidRPr="00376883">
              <w:rPr>
                <w:rFonts w:ascii="Times New Roman" w:hAnsi="Times New Roman" w:cs="Times New Roman"/>
                <w:sz w:val="24"/>
              </w:rPr>
              <w:lastRenderedPageBreak/>
              <w:t>Uncertainty in financial estimates</w:t>
            </w:r>
          </w:p>
        </w:tc>
        <w:tc>
          <w:tcPr>
            <w:tcW w:w="6186" w:type="dxa"/>
            <w:tcBorders>
              <w:top w:val="single" w:sz="4" w:space="0" w:color="auto"/>
              <w:left w:val="single" w:sz="4" w:space="0" w:color="auto"/>
              <w:bottom w:val="single" w:sz="4" w:space="0" w:color="auto"/>
              <w:right w:val="single" w:sz="4" w:space="0" w:color="auto"/>
            </w:tcBorders>
          </w:tcPr>
          <w:p w14:paraId="05C0CCEA" w14:textId="77777777" w:rsidR="005043F3" w:rsidRPr="00376883" w:rsidRDefault="005043F3" w:rsidP="008568EF">
            <w:pPr>
              <w:pStyle w:val="Tabletext"/>
              <w:rPr>
                <w:rFonts w:ascii="Times New Roman" w:hAnsi="Times New Roman" w:cs="Times New Roman"/>
                <w:sz w:val="24"/>
              </w:rPr>
            </w:pPr>
            <w:r w:rsidRPr="00376883">
              <w:rPr>
                <w:rFonts w:ascii="Times New Roman" w:hAnsi="Times New Roman" w:cs="Times New Roman"/>
                <w:sz w:val="24"/>
              </w:rPr>
              <w:t>Although the projected impact to the MBS budget appears modest, there is significant uncertainty regarding the size of the total likely eligible patient population and the rate of uptake of the IPG devices, and hence uncertainty regarding the total cost to the health system.</w:t>
            </w:r>
          </w:p>
        </w:tc>
      </w:tr>
    </w:tbl>
    <w:p w14:paraId="62D409EF" w14:textId="77777777" w:rsidR="005043F3" w:rsidRPr="005754FD" w:rsidRDefault="005043F3" w:rsidP="00916C86">
      <w:pPr>
        <w:keepNext/>
        <w:spacing w:before="240" w:after="240"/>
        <w:outlineLvl w:val="0"/>
        <w:rPr>
          <w:b/>
          <w:color w:val="000000"/>
          <w:szCs w:val="24"/>
          <w:u w:val="single"/>
        </w:rPr>
      </w:pPr>
      <w:r w:rsidRPr="005754FD">
        <w:rPr>
          <w:b/>
          <w:color w:val="000000"/>
          <w:szCs w:val="24"/>
          <w:u w:val="single"/>
        </w:rPr>
        <w:t>ESC Discussion</w:t>
      </w:r>
    </w:p>
    <w:p w14:paraId="7B8E1247" w14:textId="77777777" w:rsidR="005043F3" w:rsidRPr="00255EE7" w:rsidRDefault="005043F3" w:rsidP="00916C86">
      <w:pPr>
        <w:spacing w:after="240"/>
        <w:rPr>
          <w:color w:val="000000"/>
          <w:szCs w:val="24"/>
        </w:rPr>
      </w:pPr>
      <w:r w:rsidRPr="00255EE7">
        <w:rPr>
          <w:color w:val="000000"/>
          <w:szCs w:val="24"/>
        </w:rPr>
        <w:t xml:space="preserve">Application 1387.2 is a resubmission requesting Medicare Benefits Schedule (MBS) listing of cardiac contractility modulation (CCM) therapy (Optimizer™ SMART system) for patients with chronic heart failure (HF) who have failed to respond to optimal medical therapy (OMT). ESC recalled that CCM therapy has been previously considered twice by MSAC and rejected on the basis of </w:t>
      </w:r>
      <w:r w:rsidRPr="00255EE7">
        <w:rPr>
          <w:color w:val="000000"/>
          <w:szCs w:val="24"/>
          <w:lang w:val="en-US"/>
        </w:rPr>
        <w:t>uncertain clinical and cost-effectiveness, particularly related to lack of evidence on long-term morbidity and mortality.</w:t>
      </w:r>
    </w:p>
    <w:p w14:paraId="146022AF" w14:textId="77777777" w:rsidR="005043F3" w:rsidRPr="00255EE7" w:rsidRDefault="005043F3" w:rsidP="005043F3">
      <w:pPr>
        <w:spacing w:after="240"/>
        <w:rPr>
          <w:color w:val="000000"/>
          <w:szCs w:val="24"/>
        </w:rPr>
      </w:pPr>
      <w:r w:rsidRPr="00255EE7">
        <w:rPr>
          <w:color w:val="000000"/>
          <w:szCs w:val="24"/>
        </w:rPr>
        <w:t>ESC noted that the resubmission includes results of the FIX-HF-5C confirmatory trial, which was published in 2018. New data also includes a subgroup analysis of the original FIX-HF-5 trial</w:t>
      </w:r>
      <w:r w:rsidRPr="00CB11A4">
        <w:rPr>
          <w:color w:val="000000"/>
          <w:szCs w:val="24"/>
        </w:rPr>
        <w:t xml:space="preserve">. The resubmission also included data from an ongoing registry study (CCM-REG), </w:t>
      </w:r>
      <w:r>
        <w:rPr>
          <w:color w:val="000000"/>
          <w:szCs w:val="24"/>
        </w:rPr>
        <w:t>with</w:t>
      </w:r>
      <w:r w:rsidRPr="00CB11A4">
        <w:rPr>
          <w:color w:val="000000"/>
          <w:szCs w:val="24"/>
        </w:rPr>
        <w:t xml:space="preserve"> data </w:t>
      </w:r>
      <w:r>
        <w:rPr>
          <w:color w:val="000000"/>
          <w:szCs w:val="24"/>
        </w:rPr>
        <w:t xml:space="preserve">provided </w:t>
      </w:r>
      <w:r w:rsidRPr="00CB11A4">
        <w:rPr>
          <w:color w:val="000000"/>
          <w:szCs w:val="24"/>
        </w:rPr>
        <w:t>for 140 patients.</w:t>
      </w:r>
    </w:p>
    <w:p w14:paraId="471F54D6" w14:textId="77777777" w:rsidR="005043F3" w:rsidRPr="00255EE7" w:rsidRDefault="005043F3" w:rsidP="005043F3">
      <w:pPr>
        <w:spacing w:after="240"/>
        <w:rPr>
          <w:color w:val="000000"/>
          <w:szCs w:val="24"/>
        </w:rPr>
      </w:pPr>
      <w:r w:rsidRPr="00255EE7">
        <w:rPr>
          <w:color w:val="000000"/>
          <w:szCs w:val="24"/>
        </w:rPr>
        <w:t xml:space="preserve">ESC noted that the CCM device considered in the previous submissions was the Optimizer IV System (which requires three leads: two ventricular and one atrial). The current resubmission relates to the latest Optimizer SMART System (which only requires two ventricular leads, with an optional atrial lead). Most patients will have three leads implanted; patients with atrial fibrillation (AF) only require the two ventricular leads. ESC noted the implicit assumption in the resubmission that the clinical evidence presented, which largely relates to the Optimizer IV device, can be directly applied to the SMART device. However, ESC noted that AF was among the exclusion criteria for the </w:t>
      </w:r>
      <w:r w:rsidRPr="00255EE7">
        <w:rPr>
          <w:color w:val="000000"/>
          <w:szCs w:val="24"/>
          <w:lang w:val="en-US"/>
        </w:rPr>
        <w:t>FIX-HF-5(C) trials</w:t>
      </w:r>
      <w:r w:rsidRPr="00255EE7">
        <w:rPr>
          <w:color w:val="000000"/>
          <w:szCs w:val="24"/>
        </w:rPr>
        <w:t>.</w:t>
      </w:r>
    </w:p>
    <w:p w14:paraId="1806779A" w14:textId="77777777" w:rsidR="005043F3" w:rsidRPr="00255EE7" w:rsidRDefault="005043F3" w:rsidP="005043F3">
      <w:pPr>
        <w:spacing w:after="240"/>
        <w:rPr>
          <w:color w:val="000000"/>
          <w:szCs w:val="24"/>
        </w:rPr>
      </w:pPr>
      <w:r w:rsidRPr="00255EE7">
        <w:rPr>
          <w:color w:val="000000"/>
          <w:szCs w:val="24"/>
        </w:rPr>
        <w:t>ESC noted that an application has been made for the device to be listed on the Prostheses List (13 February 2019). The application has been referred to the Cardiac Prostheses Clinical Advisory Group for advice on whether the device satisfies the criteria for listing on the Prostheses List. If the device is not listed on the Prostheses List, there is the potential for significant out-of-pocket costs for patients.</w:t>
      </w:r>
    </w:p>
    <w:p w14:paraId="4B270AF6" w14:textId="77777777" w:rsidR="005043F3" w:rsidRPr="00255EE7" w:rsidRDefault="005043F3" w:rsidP="005043F3">
      <w:pPr>
        <w:spacing w:after="240"/>
        <w:rPr>
          <w:color w:val="000000"/>
          <w:szCs w:val="24"/>
        </w:rPr>
      </w:pPr>
      <w:r w:rsidRPr="00255EE7">
        <w:rPr>
          <w:color w:val="000000"/>
          <w:szCs w:val="24"/>
        </w:rPr>
        <w:t xml:space="preserve">ESC considered that the proposed item descriptors adequately cover the proposed population, although there is no evidence to support use in AF patients. ESC also queried how frequently </w:t>
      </w:r>
      <w:r>
        <w:rPr>
          <w:color w:val="000000"/>
          <w:szCs w:val="24"/>
        </w:rPr>
        <w:t>(</w:t>
      </w:r>
      <w:r w:rsidRPr="00255EE7">
        <w:rPr>
          <w:color w:val="000000"/>
          <w:szCs w:val="24"/>
        </w:rPr>
        <w:t>and why</w:t>
      </w:r>
      <w:r>
        <w:rPr>
          <w:color w:val="000000"/>
          <w:szCs w:val="24"/>
        </w:rPr>
        <w:t>)</w:t>
      </w:r>
      <w:r w:rsidRPr="00255EE7">
        <w:rPr>
          <w:color w:val="000000"/>
          <w:szCs w:val="24"/>
        </w:rPr>
        <w:t xml:space="preserve"> interrogation of the device would be required.</w:t>
      </w:r>
    </w:p>
    <w:p w14:paraId="33DC6C2A" w14:textId="77777777" w:rsidR="005043F3" w:rsidRPr="00255EE7" w:rsidRDefault="005043F3" w:rsidP="005043F3">
      <w:pPr>
        <w:spacing w:after="240"/>
        <w:rPr>
          <w:color w:val="000000"/>
          <w:szCs w:val="24"/>
        </w:rPr>
      </w:pPr>
      <w:r w:rsidRPr="00255EE7">
        <w:rPr>
          <w:color w:val="000000"/>
          <w:szCs w:val="24"/>
        </w:rPr>
        <w:t>ESC noted that the low rate of adverse events in the Critique’s updated analysis using the new trial data (</w:t>
      </w:r>
      <w:r>
        <w:rPr>
          <w:color w:val="000000"/>
          <w:szCs w:val="24"/>
        </w:rPr>
        <w:t xml:space="preserve">from </w:t>
      </w:r>
      <w:r w:rsidRPr="00255EE7">
        <w:rPr>
          <w:color w:val="000000"/>
          <w:szCs w:val="24"/>
        </w:rPr>
        <w:t>more than 2500 patients) was consistent with data in previous submissions. The FIX-HF-5C trial showed no statistical differences in serious adverse events between the CCM and OMT groups. ESC therefore considered CCM has non-inferior safety as previously accepted by MSAC.</w:t>
      </w:r>
    </w:p>
    <w:p w14:paraId="2A2E5735" w14:textId="67F68AE6" w:rsidR="005043F3" w:rsidRPr="00255EE7" w:rsidRDefault="005043F3" w:rsidP="005043F3">
      <w:pPr>
        <w:spacing w:after="240"/>
        <w:rPr>
          <w:color w:val="000000"/>
          <w:szCs w:val="24"/>
        </w:rPr>
      </w:pPr>
      <w:r w:rsidRPr="00255EE7">
        <w:rPr>
          <w:color w:val="000000"/>
          <w:szCs w:val="24"/>
        </w:rPr>
        <w:t>ESC noted outcome data from the FIX-HF-5C trial. For pVO</w:t>
      </w:r>
      <w:r w:rsidRPr="00255EE7">
        <w:rPr>
          <w:color w:val="000000"/>
          <w:szCs w:val="24"/>
          <w:vertAlign w:val="subscript"/>
        </w:rPr>
        <w:t>2</w:t>
      </w:r>
      <w:r w:rsidRPr="00255EE7">
        <w:rPr>
          <w:color w:val="000000"/>
          <w:szCs w:val="24"/>
        </w:rPr>
        <w:t xml:space="preserve">, results were mixed and there was no significant difference between CCM and OMT arms. CCM was associated with statistically significant improvements in the 6MWT, the Minnesota Living </w:t>
      </w:r>
      <w:proofErr w:type="gramStart"/>
      <w:r w:rsidRPr="00255EE7">
        <w:rPr>
          <w:color w:val="000000"/>
          <w:szCs w:val="24"/>
        </w:rPr>
        <w:t>With</w:t>
      </w:r>
      <w:proofErr w:type="gramEnd"/>
      <w:r w:rsidRPr="00255EE7">
        <w:rPr>
          <w:color w:val="000000"/>
          <w:szCs w:val="24"/>
        </w:rPr>
        <w:t xml:space="preserve"> Heart Failure Questionnaire (MLWHFQ) and New York Heart Association (NYHA) class </w:t>
      </w:r>
      <w:r w:rsidR="0041106F">
        <w:rPr>
          <w:color w:val="000000"/>
          <w:szCs w:val="24"/>
        </w:rPr>
        <w:t>at 24 weeks follow-up. However,</w:t>
      </w:r>
      <w:r w:rsidR="00C31EC8">
        <w:rPr>
          <w:color w:val="000000"/>
          <w:szCs w:val="24"/>
        </w:rPr>
        <w:t xml:space="preserve"> ESC considered the </w:t>
      </w:r>
      <w:r w:rsidRPr="00255EE7">
        <w:rPr>
          <w:color w:val="000000"/>
          <w:szCs w:val="24"/>
        </w:rPr>
        <w:t xml:space="preserve">wide confidence intervals reflect uncertainty about the true magnitude of the effect. ESC also noted that the 6MWT is a subjective test and </w:t>
      </w:r>
      <w:r w:rsidRPr="00255EE7">
        <w:rPr>
          <w:color w:val="000000"/>
          <w:szCs w:val="24"/>
        </w:rPr>
        <w:lastRenderedPageBreak/>
        <w:t xml:space="preserve">depends on factors other than HF, and that although there appears to be improvement in NYHA class, </w:t>
      </w:r>
      <w:r>
        <w:rPr>
          <w:color w:val="000000"/>
          <w:szCs w:val="24"/>
        </w:rPr>
        <w:t xml:space="preserve">it too is an essentially subjective measure and hence </w:t>
      </w:r>
      <w:r w:rsidRPr="00255EE7">
        <w:rPr>
          <w:color w:val="000000"/>
          <w:szCs w:val="24"/>
        </w:rPr>
        <w:t xml:space="preserve">the reliability of this result is uncertain because the trials were not blinded. The more objective outcome of </w:t>
      </w:r>
      <w:proofErr w:type="spellStart"/>
      <w:r w:rsidRPr="00255EE7">
        <w:rPr>
          <w:color w:val="000000"/>
          <w:szCs w:val="24"/>
        </w:rPr>
        <w:t>ventilatory</w:t>
      </w:r>
      <w:proofErr w:type="spellEnd"/>
      <w:r w:rsidRPr="00255EE7">
        <w:rPr>
          <w:color w:val="000000"/>
          <w:szCs w:val="24"/>
        </w:rPr>
        <w:t xml:space="preserve"> anaerobic threshold showed no improvement with CCM.</w:t>
      </w:r>
    </w:p>
    <w:p w14:paraId="4ED45ED3" w14:textId="77777777" w:rsidR="005043F3" w:rsidRPr="00255EE7" w:rsidRDefault="005043F3" w:rsidP="005043F3">
      <w:pPr>
        <w:spacing w:after="240"/>
        <w:rPr>
          <w:color w:val="000000"/>
          <w:szCs w:val="24"/>
        </w:rPr>
      </w:pPr>
      <w:r w:rsidRPr="00255EE7">
        <w:rPr>
          <w:color w:val="000000"/>
          <w:szCs w:val="24"/>
        </w:rPr>
        <w:t>ESC noted that the FIX-HF-5C trial (24 weeks follow-up) and the FIX-HF-5 subgroup (50 weeks follow-up) showed no statistical difference in mortality after CCM. There was also no statistical difference between mortality associated with CCM and mortality predicted by the Seattle Heart Failure Model over three years follow-up (CCM-REG study). ESC noted that comparative effectiveness data with a follow-up duration longer than 24 weeks is of low quality and at high risk of bias.</w:t>
      </w:r>
    </w:p>
    <w:p w14:paraId="4446A4EF" w14:textId="77777777" w:rsidR="005043F3" w:rsidRPr="00255EE7" w:rsidRDefault="005043F3" w:rsidP="005043F3">
      <w:pPr>
        <w:spacing w:after="240"/>
        <w:rPr>
          <w:color w:val="000000"/>
          <w:szCs w:val="24"/>
        </w:rPr>
      </w:pPr>
      <w:r w:rsidRPr="00255EE7">
        <w:rPr>
          <w:color w:val="000000"/>
          <w:szCs w:val="24"/>
        </w:rPr>
        <w:t xml:space="preserve">ESC noted limited evidence from the FIX-HF-5 subgroup analysis that CCM may be more effective in patients with an LVEF of 35–45% (compared with 25–45% specified for the proposed population). However, </w:t>
      </w:r>
      <w:r>
        <w:rPr>
          <w:color w:val="000000"/>
          <w:szCs w:val="24"/>
        </w:rPr>
        <w:t xml:space="preserve">ESC agreed with the Critique that </w:t>
      </w:r>
      <w:r w:rsidRPr="00255EE7">
        <w:rPr>
          <w:color w:val="000000"/>
          <w:szCs w:val="24"/>
        </w:rPr>
        <w:t>this analysis is at high risk of bias and this result should be interpreted with caution.</w:t>
      </w:r>
    </w:p>
    <w:p w14:paraId="65324E52" w14:textId="74B3E657" w:rsidR="005043F3" w:rsidRPr="00255EE7" w:rsidRDefault="005043F3" w:rsidP="005043F3">
      <w:pPr>
        <w:spacing w:after="240"/>
        <w:rPr>
          <w:color w:val="000000"/>
          <w:szCs w:val="24"/>
        </w:rPr>
      </w:pPr>
      <w:r w:rsidRPr="00255EE7">
        <w:rPr>
          <w:szCs w:val="24"/>
        </w:rPr>
        <w:t xml:space="preserve">ESC noted that the Critique identified and corrected a number of calculation errors in the economic model presented in the resubmission. </w:t>
      </w:r>
      <w:r w:rsidRPr="00255EE7">
        <w:rPr>
          <w:color w:val="000000"/>
          <w:szCs w:val="24"/>
        </w:rPr>
        <w:t xml:space="preserve">The errors significantly favoured CCM. The Critique’s corrections increased the </w:t>
      </w:r>
      <w:r>
        <w:rPr>
          <w:color w:val="000000"/>
          <w:szCs w:val="24"/>
        </w:rPr>
        <w:t xml:space="preserve">reported base case </w:t>
      </w:r>
      <w:r w:rsidRPr="00255EE7">
        <w:rPr>
          <w:color w:val="000000"/>
          <w:szCs w:val="24"/>
        </w:rPr>
        <w:t xml:space="preserve">ICER from $36,000 per QALY to $52,000 per QALY. ESC noted that the applicant did not </w:t>
      </w:r>
      <w:r w:rsidR="00C31EC8">
        <w:rPr>
          <w:color w:val="000000"/>
          <w:szCs w:val="24"/>
        </w:rPr>
        <w:t xml:space="preserve">specifically </w:t>
      </w:r>
      <w:r w:rsidRPr="00255EE7">
        <w:rPr>
          <w:color w:val="000000"/>
          <w:szCs w:val="24"/>
        </w:rPr>
        <w:t>dispute any of the</w:t>
      </w:r>
      <w:r w:rsidR="00C31EC8">
        <w:rPr>
          <w:color w:val="000000"/>
          <w:szCs w:val="24"/>
        </w:rPr>
        <w:t xml:space="preserve"> claimed</w:t>
      </w:r>
      <w:r w:rsidRPr="00255EE7">
        <w:rPr>
          <w:color w:val="000000"/>
          <w:szCs w:val="24"/>
        </w:rPr>
        <w:t xml:space="preserve"> corrections in their pre-ESC</w:t>
      </w:r>
      <w:r w:rsidR="00085BBF">
        <w:rPr>
          <w:color w:val="000000"/>
          <w:szCs w:val="24"/>
        </w:rPr>
        <w:t xml:space="preserve"> response. ESC therefore advised</w:t>
      </w:r>
      <w:r w:rsidRPr="00255EE7">
        <w:rPr>
          <w:color w:val="000000"/>
          <w:szCs w:val="24"/>
        </w:rPr>
        <w:t xml:space="preserve"> MSAC to use ICERs calculated by the Critique when assessing this application</w:t>
      </w:r>
      <w:r>
        <w:rPr>
          <w:color w:val="000000"/>
          <w:szCs w:val="24"/>
        </w:rPr>
        <w:t>, noting the sources of uncertainty that still remain with the modelling (see below)</w:t>
      </w:r>
      <w:r w:rsidRPr="00255EE7">
        <w:rPr>
          <w:color w:val="000000"/>
          <w:szCs w:val="24"/>
        </w:rPr>
        <w:t>.</w:t>
      </w:r>
    </w:p>
    <w:p w14:paraId="55F39666" w14:textId="11A544FD" w:rsidR="005043F3" w:rsidRPr="00255EE7" w:rsidRDefault="005043F3" w:rsidP="005043F3">
      <w:pPr>
        <w:spacing w:after="240"/>
        <w:rPr>
          <w:color w:val="000000"/>
          <w:szCs w:val="24"/>
        </w:rPr>
      </w:pPr>
      <w:r w:rsidRPr="00255EE7">
        <w:rPr>
          <w:color w:val="000000"/>
          <w:szCs w:val="24"/>
        </w:rPr>
        <w:t xml:space="preserve">ESC agreed with the Critique that there was little information in the resubmission about how the model was developed and implemented, which made assessment </w:t>
      </w:r>
      <w:r>
        <w:rPr>
          <w:color w:val="000000"/>
          <w:szCs w:val="24"/>
        </w:rPr>
        <w:t xml:space="preserve">and verification </w:t>
      </w:r>
      <w:r w:rsidRPr="00255EE7">
        <w:rPr>
          <w:color w:val="000000"/>
          <w:szCs w:val="24"/>
        </w:rPr>
        <w:t xml:space="preserve">of the model difficult. </w:t>
      </w:r>
      <w:r w:rsidRPr="00255EE7">
        <w:rPr>
          <w:color w:val="000000"/>
          <w:szCs w:val="24"/>
          <w:lang w:val="en-US"/>
        </w:rPr>
        <w:t xml:space="preserve">ESC considered that </w:t>
      </w:r>
      <w:r w:rsidRPr="00255EE7">
        <w:rPr>
          <w:color w:val="000000"/>
          <w:szCs w:val="24"/>
        </w:rPr>
        <w:t xml:space="preserve">the model was effectively a trial-based individual sampling simulation and cohort hybrid model. The health states included in the model were NYHA Classes (I/II, III and IV) and death, but ESC noted that </w:t>
      </w:r>
      <w:r>
        <w:rPr>
          <w:color w:val="000000"/>
          <w:szCs w:val="24"/>
        </w:rPr>
        <w:t>mathematically</w:t>
      </w:r>
      <w:r w:rsidRPr="00255EE7">
        <w:rPr>
          <w:color w:val="000000"/>
          <w:szCs w:val="24"/>
        </w:rPr>
        <w:t xml:space="preserve"> the model behaved with only two states – alive and dead.</w:t>
      </w:r>
    </w:p>
    <w:p w14:paraId="7CDDB57F" w14:textId="77777777" w:rsidR="005043F3" w:rsidRPr="00255EE7" w:rsidRDefault="005043F3" w:rsidP="005043F3">
      <w:pPr>
        <w:spacing w:after="120"/>
        <w:rPr>
          <w:color w:val="000000"/>
          <w:szCs w:val="24"/>
        </w:rPr>
      </w:pPr>
      <w:r w:rsidRPr="00255EE7">
        <w:rPr>
          <w:color w:val="000000"/>
          <w:szCs w:val="24"/>
        </w:rPr>
        <w:t>ESC noted the following issues with the revised economic model:</w:t>
      </w:r>
    </w:p>
    <w:p w14:paraId="6088BF4C" w14:textId="5710F33F" w:rsidR="005043F3" w:rsidRPr="00255EE7" w:rsidRDefault="005043F3" w:rsidP="005043F3">
      <w:pPr>
        <w:numPr>
          <w:ilvl w:val="0"/>
          <w:numId w:val="26"/>
        </w:numPr>
        <w:spacing w:after="240"/>
        <w:contextualSpacing/>
        <w:rPr>
          <w:color w:val="000000"/>
          <w:szCs w:val="24"/>
        </w:rPr>
      </w:pPr>
      <w:r w:rsidRPr="00255EE7">
        <w:rPr>
          <w:color w:val="000000"/>
          <w:szCs w:val="24"/>
        </w:rPr>
        <w:t xml:space="preserve">the model </w:t>
      </w:r>
      <w:r>
        <w:rPr>
          <w:color w:val="000000"/>
          <w:szCs w:val="24"/>
        </w:rPr>
        <w:t>appeared to be</w:t>
      </w:r>
      <w:r w:rsidRPr="00255EE7">
        <w:rPr>
          <w:color w:val="000000"/>
          <w:szCs w:val="24"/>
        </w:rPr>
        <w:t xml:space="preserve"> based on a previously published model for </w:t>
      </w:r>
      <w:proofErr w:type="spellStart"/>
      <w:r w:rsidRPr="00255EE7">
        <w:rPr>
          <w:color w:val="000000"/>
          <w:szCs w:val="24"/>
          <w:lang w:val="en-US"/>
        </w:rPr>
        <w:t>ivabradine</w:t>
      </w:r>
      <w:proofErr w:type="spellEnd"/>
      <w:r w:rsidRPr="00255EE7">
        <w:rPr>
          <w:color w:val="000000"/>
          <w:szCs w:val="24"/>
          <w:lang w:val="en-US"/>
        </w:rPr>
        <w:t xml:space="preserve"> but many aspects of the model seem to have been </w:t>
      </w:r>
      <w:r w:rsidRPr="00255EE7">
        <w:rPr>
          <w:color w:val="000000"/>
          <w:szCs w:val="24"/>
        </w:rPr>
        <w:t xml:space="preserve">adopted </w:t>
      </w:r>
      <w:r w:rsidRPr="00255EE7">
        <w:rPr>
          <w:color w:val="000000"/>
          <w:szCs w:val="24"/>
          <w:lang w:val="en-US"/>
        </w:rPr>
        <w:t xml:space="preserve">without any apparent scrutiny or justification; ESC </w:t>
      </w:r>
      <w:r>
        <w:rPr>
          <w:color w:val="000000"/>
          <w:szCs w:val="24"/>
          <w:lang w:val="en-US"/>
        </w:rPr>
        <w:t>considered</w:t>
      </w:r>
      <w:r w:rsidRPr="00255EE7">
        <w:rPr>
          <w:color w:val="000000"/>
          <w:szCs w:val="24"/>
          <w:lang w:val="en-US"/>
        </w:rPr>
        <w:t xml:space="preserve"> that the applicant’s pre-ESC response did not adequately address these concerns</w:t>
      </w:r>
      <w:r w:rsidR="00732868">
        <w:rPr>
          <w:color w:val="000000"/>
          <w:szCs w:val="24"/>
          <w:lang w:val="en-US"/>
        </w:rPr>
        <w:t>; and</w:t>
      </w:r>
    </w:p>
    <w:p w14:paraId="791FB1AE" w14:textId="77777777" w:rsidR="005043F3" w:rsidRPr="00255EE7" w:rsidRDefault="005043F3" w:rsidP="005043F3">
      <w:pPr>
        <w:numPr>
          <w:ilvl w:val="0"/>
          <w:numId w:val="26"/>
        </w:numPr>
        <w:spacing w:after="240"/>
        <w:ind w:left="714" w:hanging="357"/>
        <w:rPr>
          <w:color w:val="000000"/>
          <w:szCs w:val="24"/>
        </w:rPr>
      </w:pPr>
      <w:r w:rsidRPr="00255EE7">
        <w:rPr>
          <w:color w:val="000000"/>
          <w:szCs w:val="24"/>
        </w:rPr>
        <w:t xml:space="preserve">the time horizon was extended to 40 years (lifetime), despite MSAC’s advice that </w:t>
      </w:r>
      <w:r>
        <w:rPr>
          <w:color w:val="000000"/>
          <w:szCs w:val="24"/>
        </w:rPr>
        <w:t xml:space="preserve">time horizons of </w:t>
      </w:r>
      <w:r w:rsidRPr="00255EE7">
        <w:rPr>
          <w:color w:val="000000"/>
          <w:szCs w:val="24"/>
        </w:rPr>
        <w:t xml:space="preserve">30 years and 15 years in the </w:t>
      </w:r>
      <w:r>
        <w:rPr>
          <w:color w:val="000000"/>
          <w:szCs w:val="24"/>
        </w:rPr>
        <w:t xml:space="preserve">two </w:t>
      </w:r>
      <w:r w:rsidRPr="00255EE7">
        <w:rPr>
          <w:color w:val="000000"/>
          <w:szCs w:val="24"/>
        </w:rPr>
        <w:t xml:space="preserve">previous submissions </w:t>
      </w:r>
      <w:r>
        <w:rPr>
          <w:color w:val="000000"/>
          <w:szCs w:val="24"/>
        </w:rPr>
        <w:t xml:space="preserve">(respectively) </w:t>
      </w:r>
      <w:r w:rsidRPr="00255EE7">
        <w:rPr>
          <w:color w:val="000000"/>
          <w:szCs w:val="24"/>
        </w:rPr>
        <w:t xml:space="preserve"> </w:t>
      </w:r>
      <w:r>
        <w:rPr>
          <w:color w:val="000000"/>
          <w:szCs w:val="24"/>
        </w:rPr>
        <w:t xml:space="preserve">were </w:t>
      </w:r>
      <w:r w:rsidRPr="00255EE7">
        <w:rPr>
          <w:color w:val="000000"/>
          <w:szCs w:val="24"/>
        </w:rPr>
        <w:t>over-extrapolation</w:t>
      </w:r>
      <w:r>
        <w:rPr>
          <w:color w:val="000000"/>
          <w:szCs w:val="24"/>
        </w:rPr>
        <w:t>s</w:t>
      </w:r>
      <w:r w:rsidRPr="00255EE7">
        <w:rPr>
          <w:color w:val="000000"/>
          <w:szCs w:val="24"/>
        </w:rPr>
        <w:t xml:space="preserve"> from </w:t>
      </w:r>
      <w:r>
        <w:rPr>
          <w:color w:val="000000"/>
          <w:szCs w:val="24"/>
        </w:rPr>
        <w:t>the available</w:t>
      </w:r>
      <w:r w:rsidRPr="00255EE7">
        <w:rPr>
          <w:color w:val="000000"/>
          <w:szCs w:val="24"/>
        </w:rPr>
        <w:t xml:space="preserve"> 12 month</w:t>
      </w:r>
      <w:r>
        <w:rPr>
          <w:color w:val="000000"/>
          <w:szCs w:val="24"/>
        </w:rPr>
        <w:t xml:space="preserve"> data and not consistent with the  50% 5-year mortality rates associated with heart failure with reduced ejection fraction</w:t>
      </w:r>
      <w:r w:rsidRPr="00255EE7">
        <w:rPr>
          <w:color w:val="000000"/>
          <w:szCs w:val="24"/>
        </w:rPr>
        <w:t>.</w:t>
      </w:r>
    </w:p>
    <w:p w14:paraId="4FF04FB4" w14:textId="50DA76FF" w:rsidR="005043F3" w:rsidRPr="00255EE7" w:rsidRDefault="005043F3" w:rsidP="005043F3">
      <w:pPr>
        <w:spacing w:after="240"/>
        <w:rPr>
          <w:color w:val="000000"/>
          <w:szCs w:val="24"/>
        </w:rPr>
      </w:pPr>
      <w:r w:rsidRPr="00255EE7">
        <w:rPr>
          <w:szCs w:val="24"/>
        </w:rPr>
        <w:t xml:space="preserve">ESC noted that </w:t>
      </w:r>
      <w:r w:rsidRPr="00255EE7">
        <w:rPr>
          <w:color w:val="000000"/>
          <w:szCs w:val="24"/>
        </w:rPr>
        <w:t xml:space="preserve">although the resubmission includes data from the FIX-HF-5C trial, the model still relies on 12-month effectiveness data. Although the model includes the option to run the extrapolation using single-arm registry data, </w:t>
      </w:r>
      <w:r>
        <w:rPr>
          <w:color w:val="000000"/>
          <w:szCs w:val="24"/>
        </w:rPr>
        <w:t xml:space="preserve">this only extends the basis of the extrapolation from one year data to three year data. </w:t>
      </w:r>
      <w:r w:rsidRPr="00255EE7">
        <w:rPr>
          <w:color w:val="000000"/>
          <w:szCs w:val="24"/>
        </w:rPr>
        <w:t xml:space="preserve">ESC agreed with the Critique that the use of the 40-year model introduces </w:t>
      </w:r>
      <w:r>
        <w:rPr>
          <w:color w:val="000000"/>
          <w:szCs w:val="24"/>
        </w:rPr>
        <w:t>additional</w:t>
      </w:r>
      <w:r w:rsidRPr="00255EE7">
        <w:rPr>
          <w:color w:val="000000"/>
          <w:szCs w:val="24"/>
        </w:rPr>
        <w:t xml:space="preserve"> issues and higher levels of uncertainty than </w:t>
      </w:r>
      <w:r>
        <w:rPr>
          <w:color w:val="000000"/>
          <w:szCs w:val="24"/>
        </w:rPr>
        <w:t xml:space="preserve">the models </w:t>
      </w:r>
      <w:r w:rsidRPr="00255EE7">
        <w:rPr>
          <w:color w:val="000000"/>
          <w:szCs w:val="24"/>
        </w:rPr>
        <w:t>previous</w:t>
      </w:r>
      <w:r>
        <w:rPr>
          <w:color w:val="000000"/>
          <w:szCs w:val="24"/>
        </w:rPr>
        <w:t>ly considered by MSAC</w:t>
      </w:r>
      <w:r w:rsidRPr="00255EE7">
        <w:rPr>
          <w:color w:val="000000"/>
          <w:szCs w:val="24"/>
        </w:rPr>
        <w:t xml:space="preserve">. </w:t>
      </w:r>
      <w:r>
        <w:rPr>
          <w:color w:val="000000"/>
          <w:szCs w:val="24"/>
        </w:rPr>
        <w:t>ESC considered that t</w:t>
      </w:r>
      <w:r w:rsidRPr="00255EE7">
        <w:rPr>
          <w:color w:val="000000"/>
          <w:szCs w:val="24"/>
        </w:rPr>
        <w:t>he applicant’s pre-ESC response did not adequately address the issue of over-extrapolation fr</w:t>
      </w:r>
      <w:r w:rsidR="00085BBF">
        <w:rPr>
          <w:color w:val="000000"/>
          <w:szCs w:val="24"/>
        </w:rPr>
        <w:t>om 1 year of data. ESC considered</w:t>
      </w:r>
      <w:r w:rsidRPr="00255EE7">
        <w:rPr>
          <w:color w:val="000000"/>
          <w:szCs w:val="24"/>
        </w:rPr>
        <w:t xml:space="preserve"> a more appropriate time horizon to be 5–10 years.</w:t>
      </w:r>
    </w:p>
    <w:p w14:paraId="512E9105" w14:textId="77777777" w:rsidR="005043F3" w:rsidRDefault="005043F3" w:rsidP="005043F3">
      <w:pPr>
        <w:spacing w:after="240"/>
        <w:rPr>
          <w:color w:val="000000"/>
          <w:szCs w:val="24"/>
        </w:rPr>
      </w:pPr>
      <w:r w:rsidRPr="00255EE7">
        <w:rPr>
          <w:color w:val="000000"/>
          <w:szCs w:val="24"/>
        </w:rPr>
        <w:lastRenderedPageBreak/>
        <w:t>ESC noted that patients enter both arms of the model (CCM and OMT) in NYHA class III, which aligns with the proposed MBS population. ESC queried whether the rapidity of patient movement from NYHA III to NYHA I/II in the CCM arm is appropriate given the subjectivity of assessment and outcome measures. ESC also noted that, not only is the model overly reliant on 12-month data, maintaining patient distributions at 12 months for the following 39 years of the time horizon</w:t>
      </w:r>
      <w:r>
        <w:rPr>
          <w:color w:val="000000"/>
          <w:szCs w:val="24"/>
        </w:rPr>
        <w:t>, the premise of the model</w:t>
      </w:r>
      <w:r w:rsidRPr="00255EE7">
        <w:rPr>
          <w:color w:val="000000"/>
          <w:szCs w:val="24"/>
        </w:rPr>
        <w:t xml:space="preserve"> is not clinically plausible.</w:t>
      </w:r>
    </w:p>
    <w:p w14:paraId="027E447D" w14:textId="7142E306" w:rsidR="005043F3" w:rsidRPr="00255EE7" w:rsidRDefault="005043F3" w:rsidP="005043F3">
      <w:pPr>
        <w:spacing w:after="240"/>
        <w:rPr>
          <w:color w:val="000000"/>
          <w:szCs w:val="24"/>
        </w:rPr>
      </w:pPr>
      <w:r w:rsidRPr="00255EE7">
        <w:rPr>
          <w:color w:val="000000"/>
          <w:szCs w:val="24"/>
        </w:rPr>
        <w:t>ESC noted that the distributions</w:t>
      </w:r>
      <w:r>
        <w:rPr>
          <w:color w:val="000000"/>
          <w:szCs w:val="24"/>
        </w:rPr>
        <w:t xml:space="preserve"> across NYHA classes</w:t>
      </w:r>
      <w:r w:rsidRPr="00255EE7">
        <w:rPr>
          <w:color w:val="000000"/>
          <w:szCs w:val="24"/>
        </w:rPr>
        <w:t xml:space="preserve"> at 12 months drives the between-arm differences in costs and outcomes for the remainder of the model.</w:t>
      </w:r>
      <w:r>
        <w:rPr>
          <w:color w:val="000000"/>
          <w:szCs w:val="24"/>
        </w:rPr>
        <w:t xml:space="preserve"> </w:t>
      </w:r>
      <w:r w:rsidRPr="00255EE7">
        <w:rPr>
          <w:color w:val="000000"/>
          <w:szCs w:val="24"/>
        </w:rPr>
        <w:t>ESC queried why modelling of survival benefit did not include the accepted relationship between NYHA class and mortality. Instead, survival curves were fitted to individual patient data (IPD) from trials</w:t>
      </w:r>
      <w:r>
        <w:rPr>
          <w:color w:val="000000"/>
          <w:szCs w:val="24"/>
        </w:rPr>
        <w:t xml:space="preserve"> (noting that no</w:t>
      </w:r>
      <w:r w:rsidRPr="00255EE7">
        <w:rPr>
          <w:color w:val="000000"/>
          <w:szCs w:val="24"/>
        </w:rPr>
        <w:t xml:space="preserve"> description </w:t>
      </w:r>
      <w:r>
        <w:rPr>
          <w:color w:val="000000"/>
          <w:szCs w:val="24"/>
        </w:rPr>
        <w:t>was provided by the applicant as to exactly which</w:t>
      </w:r>
      <w:r w:rsidRPr="00255EE7">
        <w:rPr>
          <w:color w:val="000000"/>
          <w:szCs w:val="24"/>
        </w:rPr>
        <w:t xml:space="preserve"> trial data were used</w:t>
      </w:r>
      <w:r>
        <w:rPr>
          <w:color w:val="000000"/>
          <w:szCs w:val="24"/>
        </w:rPr>
        <w:t xml:space="preserve"> for this)</w:t>
      </w:r>
      <w:r w:rsidRPr="00255EE7">
        <w:rPr>
          <w:color w:val="000000"/>
          <w:szCs w:val="24"/>
        </w:rPr>
        <w:t>. Given the very low frequency of death in the FIX-HF-5 trial (which was not statistically significant), ESC queried whether this was a valid approach.</w:t>
      </w:r>
    </w:p>
    <w:p w14:paraId="41161074" w14:textId="77777777" w:rsidR="005043F3" w:rsidRPr="00255EE7" w:rsidRDefault="005043F3" w:rsidP="005043F3">
      <w:pPr>
        <w:spacing w:after="240"/>
        <w:rPr>
          <w:color w:val="000000"/>
          <w:szCs w:val="24"/>
        </w:rPr>
      </w:pPr>
      <w:r w:rsidRPr="00255EE7">
        <w:rPr>
          <w:color w:val="000000"/>
          <w:szCs w:val="24"/>
        </w:rPr>
        <w:t xml:space="preserve">ESC noted that the resubmission claimed to incorporate mortality data from general HF populations to prevent the survival of the CCM cohort from exceeding general population mortality. However, as noted in the Critique, the extrapolated survival data </w:t>
      </w:r>
      <w:r>
        <w:rPr>
          <w:color w:val="000000"/>
          <w:szCs w:val="24"/>
        </w:rPr>
        <w:t>(based on either the trial data or the registry data) yielded</w:t>
      </w:r>
      <w:r w:rsidRPr="00255EE7">
        <w:rPr>
          <w:color w:val="000000"/>
          <w:szCs w:val="24"/>
        </w:rPr>
        <w:t xml:space="preserve"> higher survival for CCM recipients than for the general population. This </w:t>
      </w:r>
      <w:r>
        <w:rPr>
          <w:color w:val="000000"/>
          <w:szCs w:val="24"/>
        </w:rPr>
        <w:t>undermines the results generated by the model.</w:t>
      </w:r>
      <w:r w:rsidRPr="00255EE7">
        <w:rPr>
          <w:color w:val="000000"/>
          <w:szCs w:val="24"/>
        </w:rPr>
        <w:t xml:space="preserve"> The Critique identified </w:t>
      </w:r>
      <w:r>
        <w:rPr>
          <w:color w:val="000000"/>
          <w:szCs w:val="24"/>
        </w:rPr>
        <w:t xml:space="preserve">the issues associated with the method for extrapolating survival </w:t>
      </w:r>
      <w:r w:rsidRPr="00255EE7">
        <w:rPr>
          <w:color w:val="000000"/>
          <w:szCs w:val="24"/>
        </w:rPr>
        <w:t>as one of the most significant defects of the model.</w:t>
      </w:r>
    </w:p>
    <w:p w14:paraId="06820FF5" w14:textId="77777777" w:rsidR="005043F3" w:rsidRPr="00255EE7" w:rsidRDefault="005043F3" w:rsidP="005043F3">
      <w:pPr>
        <w:spacing w:after="240"/>
        <w:rPr>
          <w:color w:val="000000"/>
          <w:szCs w:val="24"/>
        </w:rPr>
      </w:pPr>
      <w:r w:rsidRPr="00255EE7">
        <w:rPr>
          <w:color w:val="000000"/>
          <w:szCs w:val="24"/>
        </w:rPr>
        <w:t xml:space="preserve">ESC noted that the description provided in the resubmission for how patients move between NYHA classes was inadequate. The applicant’s pre-ESC response explained that the statistical model describing the distribution of patients across NYHA classes in the first 12 months was prepared by York Health Economics Consortium (YHEC), but provided no further detail. ESC noted that although the applicant claimed that fixing NYHA classes after 12 months (last observation carried forward, LOCF) is a conservative approach, this is clinically implausible and indicates </w:t>
      </w:r>
      <w:r>
        <w:rPr>
          <w:color w:val="000000"/>
          <w:szCs w:val="24"/>
        </w:rPr>
        <w:t>erroneous assumptions</w:t>
      </w:r>
      <w:r w:rsidRPr="00255EE7">
        <w:rPr>
          <w:color w:val="000000"/>
          <w:szCs w:val="24"/>
        </w:rPr>
        <w:t xml:space="preserve"> with</w:t>
      </w:r>
      <w:r>
        <w:rPr>
          <w:color w:val="000000"/>
          <w:szCs w:val="24"/>
        </w:rPr>
        <w:t>in</w:t>
      </w:r>
      <w:r w:rsidRPr="00255EE7">
        <w:rPr>
          <w:color w:val="000000"/>
          <w:szCs w:val="24"/>
        </w:rPr>
        <w:t xml:space="preserve"> the model. ESC agreed with the Critique that LOCF is not an appropriate way to correct the model.</w:t>
      </w:r>
    </w:p>
    <w:p w14:paraId="46AADE01" w14:textId="0D23C1DD" w:rsidR="005043F3" w:rsidRPr="00255EE7" w:rsidRDefault="005043F3" w:rsidP="005043F3">
      <w:pPr>
        <w:spacing w:after="240"/>
        <w:rPr>
          <w:color w:val="000000"/>
          <w:szCs w:val="24"/>
        </w:rPr>
      </w:pPr>
      <w:r w:rsidRPr="00255EE7">
        <w:rPr>
          <w:color w:val="000000"/>
          <w:szCs w:val="24"/>
        </w:rPr>
        <w:t xml:space="preserve">ESC noted that, despite the claim in the submission that MLWHFQ scores from IPD in the FIX-HF-5(C) trial were mapped to EQ-5D utility weights (using two published algorithms) and applied in the model, the base case used utility weights sourced from the literature. The Critique concluded that the literature-based weights and the way they were applied in the model appeared to be more reliable, but using these weights </w:t>
      </w:r>
      <w:r w:rsidR="00732868">
        <w:rPr>
          <w:color w:val="000000"/>
          <w:szCs w:val="24"/>
        </w:rPr>
        <w:t xml:space="preserve">in the model </w:t>
      </w:r>
      <w:r w:rsidRPr="00255EE7">
        <w:rPr>
          <w:color w:val="000000"/>
          <w:szCs w:val="24"/>
        </w:rPr>
        <w:t>slightly favoured CCM. ESC noted that an option to use IPD values was available in the model.</w:t>
      </w:r>
    </w:p>
    <w:p w14:paraId="2413A874" w14:textId="77777777" w:rsidR="005043F3" w:rsidRPr="00255EE7" w:rsidRDefault="005043F3" w:rsidP="005043F3">
      <w:pPr>
        <w:spacing w:after="120"/>
        <w:rPr>
          <w:color w:val="000000"/>
          <w:szCs w:val="24"/>
        </w:rPr>
      </w:pPr>
      <w:r w:rsidRPr="00255EE7">
        <w:rPr>
          <w:color w:val="000000"/>
          <w:szCs w:val="24"/>
        </w:rPr>
        <w:t>ESC noted results of the Critique’s sensitivity analyses (using the Critique’s corrected base-case ICER of $52,000):</w:t>
      </w:r>
    </w:p>
    <w:p w14:paraId="213226AF" w14:textId="77777777" w:rsidR="005043F3" w:rsidRPr="00255EE7" w:rsidRDefault="005043F3" w:rsidP="005043F3">
      <w:pPr>
        <w:numPr>
          <w:ilvl w:val="0"/>
          <w:numId w:val="27"/>
        </w:numPr>
        <w:spacing w:after="240"/>
        <w:contextualSpacing/>
        <w:rPr>
          <w:color w:val="000000"/>
          <w:szCs w:val="24"/>
        </w:rPr>
      </w:pPr>
      <w:r w:rsidRPr="00255EE7">
        <w:rPr>
          <w:color w:val="000000"/>
          <w:szCs w:val="24"/>
        </w:rPr>
        <w:t>time horizon of 5 years – ICER $144,000/QALY</w:t>
      </w:r>
    </w:p>
    <w:p w14:paraId="1C02D86D" w14:textId="77777777" w:rsidR="005043F3" w:rsidRPr="00255EE7" w:rsidRDefault="005043F3" w:rsidP="005043F3">
      <w:pPr>
        <w:numPr>
          <w:ilvl w:val="0"/>
          <w:numId w:val="27"/>
        </w:numPr>
        <w:spacing w:after="240"/>
        <w:contextualSpacing/>
        <w:rPr>
          <w:color w:val="000000"/>
          <w:szCs w:val="24"/>
        </w:rPr>
      </w:pPr>
      <w:r w:rsidRPr="00255EE7">
        <w:rPr>
          <w:color w:val="000000"/>
          <w:szCs w:val="24"/>
        </w:rPr>
        <w:t>using the same probability of survival for both arms (i.e. removing survival benefit and assuming survival of CCM recipients is the same as for the general population) – ICER $138,000/QALY</w:t>
      </w:r>
    </w:p>
    <w:p w14:paraId="343580B3" w14:textId="77777777" w:rsidR="005043F3" w:rsidRPr="00255EE7" w:rsidRDefault="005043F3" w:rsidP="005043F3">
      <w:pPr>
        <w:numPr>
          <w:ilvl w:val="0"/>
          <w:numId w:val="27"/>
        </w:numPr>
        <w:spacing w:after="240"/>
        <w:contextualSpacing/>
        <w:rPr>
          <w:color w:val="000000"/>
          <w:szCs w:val="24"/>
        </w:rPr>
      </w:pPr>
      <w:r w:rsidRPr="00255EE7">
        <w:rPr>
          <w:color w:val="000000"/>
          <w:szCs w:val="24"/>
        </w:rPr>
        <w:t>using full extrapolation for NYHA class (i.e. removing the LOCF assumption and allowing the NYHA state to be fully extrapolated using the model supplied in the submission) – ICER $88,000;</w:t>
      </w:r>
    </w:p>
    <w:p w14:paraId="0397283A" w14:textId="77777777" w:rsidR="005043F3" w:rsidRPr="00255EE7" w:rsidRDefault="005043F3" w:rsidP="005043F3">
      <w:pPr>
        <w:numPr>
          <w:ilvl w:val="0"/>
          <w:numId w:val="27"/>
        </w:numPr>
        <w:spacing w:after="240"/>
        <w:ind w:left="714" w:hanging="357"/>
        <w:rPr>
          <w:color w:val="000000"/>
          <w:szCs w:val="24"/>
        </w:rPr>
      </w:pPr>
      <w:proofErr w:type="gramStart"/>
      <w:r w:rsidRPr="00255EE7">
        <w:rPr>
          <w:color w:val="000000"/>
          <w:szCs w:val="24"/>
        </w:rPr>
        <w:t>using</w:t>
      </w:r>
      <w:proofErr w:type="gramEnd"/>
      <w:r w:rsidRPr="00255EE7">
        <w:rPr>
          <w:color w:val="000000"/>
          <w:szCs w:val="24"/>
        </w:rPr>
        <w:t xml:space="preserve"> the utility weights </w:t>
      </w:r>
      <w:r>
        <w:rPr>
          <w:color w:val="000000"/>
          <w:szCs w:val="24"/>
        </w:rPr>
        <w:t xml:space="preserve">derived </w:t>
      </w:r>
      <w:r w:rsidRPr="00255EE7">
        <w:rPr>
          <w:color w:val="000000"/>
          <w:szCs w:val="24"/>
        </w:rPr>
        <w:t>from trial IPD – ICER $70,000.</w:t>
      </w:r>
    </w:p>
    <w:p w14:paraId="58EEDA56" w14:textId="77777777" w:rsidR="005043F3" w:rsidRPr="00255EE7" w:rsidRDefault="005043F3" w:rsidP="005043F3">
      <w:pPr>
        <w:spacing w:after="240"/>
        <w:rPr>
          <w:color w:val="000000"/>
          <w:szCs w:val="24"/>
        </w:rPr>
      </w:pPr>
      <w:r w:rsidRPr="00255EE7">
        <w:rPr>
          <w:color w:val="000000"/>
          <w:szCs w:val="24"/>
        </w:rPr>
        <w:t xml:space="preserve">ESC noted that financial and budgetary impacts were determined using a combined market share and epidemiological approach. ESC noted that the Critique incorporated 2018 </w:t>
      </w:r>
      <w:r w:rsidRPr="00255EE7">
        <w:rPr>
          <w:color w:val="000000"/>
          <w:szCs w:val="24"/>
        </w:rPr>
        <w:lastRenderedPageBreak/>
        <w:t>Australian HF guidelines</w:t>
      </w:r>
      <w:r>
        <w:rPr>
          <w:color w:val="000000"/>
          <w:szCs w:val="24"/>
        </w:rPr>
        <w:t xml:space="preserve"> (published after the application was submitted),</w:t>
      </w:r>
      <w:r w:rsidRPr="00255EE7">
        <w:rPr>
          <w:color w:val="000000"/>
          <w:szCs w:val="24"/>
        </w:rPr>
        <w:t xml:space="preserve"> and considered this to be </w:t>
      </w:r>
      <w:r>
        <w:rPr>
          <w:color w:val="000000"/>
          <w:szCs w:val="24"/>
        </w:rPr>
        <w:t xml:space="preserve">a more </w:t>
      </w:r>
      <w:r w:rsidRPr="00255EE7">
        <w:rPr>
          <w:color w:val="000000"/>
          <w:szCs w:val="24"/>
        </w:rPr>
        <w:t>appropriate</w:t>
      </w:r>
      <w:r>
        <w:rPr>
          <w:color w:val="000000"/>
          <w:szCs w:val="24"/>
        </w:rPr>
        <w:t xml:space="preserve"> approach</w:t>
      </w:r>
      <w:r w:rsidRPr="00255EE7">
        <w:rPr>
          <w:color w:val="000000"/>
          <w:szCs w:val="24"/>
        </w:rPr>
        <w:t>.</w:t>
      </w:r>
    </w:p>
    <w:p w14:paraId="5E3B07F5" w14:textId="77777777" w:rsidR="005043F3" w:rsidRPr="00255EE7" w:rsidRDefault="005043F3" w:rsidP="005043F3">
      <w:pPr>
        <w:keepNext/>
        <w:spacing w:after="120"/>
        <w:rPr>
          <w:color w:val="000000"/>
          <w:szCs w:val="24"/>
        </w:rPr>
      </w:pPr>
      <w:r w:rsidRPr="00255EE7">
        <w:rPr>
          <w:color w:val="000000"/>
          <w:szCs w:val="24"/>
        </w:rPr>
        <w:t>ESC noted uncertainty in the population estimate provided in the submission, arising from:</w:t>
      </w:r>
    </w:p>
    <w:p w14:paraId="19AD1F5E" w14:textId="77777777" w:rsidR="005043F3" w:rsidRPr="00255EE7" w:rsidRDefault="005043F3" w:rsidP="005043F3">
      <w:pPr>
        <w:numPr>
          <w:ilvl w:val="0"/>
          <w:numId w:val="28"/>
        </w:numPr>
        <w:spacing w:after="240"/>
        <w:contextualSpacing/>
        <w:rPr>
          <w:color w:val="000000"/>
          <w:szCs w:val="24"/>
        </w:rPr>
      </w:pPr>
      <w:r w:rsidRPr="00255EE7">
        <w:rPr>
          <w:color w:val="000000"/>
          <w:szCs w:val="24"/>
        </w:rPr>
        <w:t>potential underestimation of the number of patients with HF (1.75%) – according to 2018 national guidelines, 2.1% of Australian adults have HF</w:t>
      </w:r>
      <w:r>
        <w:rPr>
          <w:color w:val="000000"/>
          <w:szCs w:val="24"/>
        </w:rPr>
        <w:t>;</w:t>
      </w:r>
    </w:p>
    <w:p w14:paraId="21991911" w14:textId="77777777" w:rsidR="005043F3" w:rsidRPr="00255EE7" w:rsidRDefault="005043F3" w:rsidP="005043F3">
      <w:pPr>
        <w:numPr>
          <w:ilvl w:val="0"/>
          <w:numId w:val="28"/>
        </w:numPr>
        <w:spacing w:after="240"/>
        <w:contextualSpacing/>
        <w:rPr>
          <w:color w:val="000000"/>
          <w:szCs w:val="24"/>
        </w:rPr>
      </w:pPr>
      <w:r w:rsidRPr="00255EE7">
        <w:rPr>
          <w:color w:val="000000"/>
          <w:szCs w:val="24"/>
        </w:rPr>
        <w:t xml:space="preserve">potential overestimation of the number of HF patients who have systolic left ventricular dysfunction (SLVD) (78%) – the Critique noted that larger studies have estimated that about </w:t>
      </w:r>
      <w:r>
        <w:rPr>
          <w:color w:val="000000"/>
          <w:szCs w:val="24"/>
        </w:rPr>
        <w:t xml:space="preserve">50% </w:t>
      </w:r>
      <w:r w:rsidRPr="00255EE7">
        <w:rPr>
          <w:color w:val="000000"/>
          <w:szCs w:val="24"/>
        </w:rPr>
        <w:t>of HF patients exhibit SLVD</w:t>
      </w:r>
      <w:r>
        <w:rPr>
          <w:color w:val="000000"/>
          <w:szCs w:val="24"/>
        </w:rPr>
        <w:t>;</w:t>
      </w:r>
    </w:p>
    <w:p w14:paraId="09635255" w14:textId="77777777" w:rsidR="005043F3" w:rsidRPr="00255EE7" w:rsidRDefault="005043F3" w:rsidP="005043F3">
      <w:pPr>
        <w:numPr>
          <w:ilvl w:val="0"/>
          <w:numId w:val="28"/>
        </w:numPr>
        <w:spacing w:after="240"/>
        <w:contextualSpacing/>
        <w:rPr>
          <w:color w:val="000000"/>
          <w:szCs w:val="24"/>
        </w:rPr>
      </w:pPr>
      <w:r w:rsidRPr="00255EE7">
        <w:rPr>
          <w:color w:val="000000"/>
          <w:szCs w:val="24"/>
        </w:rPr>
        <w:t xml:space="preserve">lack of a clear definition of ‘failed OMT’ (26.5%) – this makes it difficult to judge </w:t>
      </w:r>
      <w:r>
        <w:rPr>
          <w:color w:val="000000"/>
          <w:szCs w:val="24"/>
        </w:rPr>
        <w:t xml:space="preserve">the </w:t>
      </w:r>
      <w:r w:rsidRPr="00255EE7">
        <w:rPr>
          <w:color w:val="000000"/>
          <w:szCs w:val="24"/>
        </w:rPr>
        <w:t>applicability of the estimate used (failed OMT was inferred from the percentage of patients in an RCT, with different population demographics, who died or were hospitalised for HF after use of ACE inhibitors)</w:t>
      </w:r>
      <w:r>
        <w:rPr>
          <w:color w:val="000000"/>
          <w:szCs w:val="24"/>
        </w:rPr>
        <w:t>;</w:t>
      </w:r>
    </w:p>
    <w:p w14:paraId="425A4059" w14:textId="77777777" w:rsidR="005043F3" w:rsidRPr="00255EE7" w:rsidRDefault="005043F3" w:rsidP="005043F3">
      <w:pPr>
        <w:numPr>
          <w:ilvl w:val="0"/>
          <w:numId w:val="28"/>
        </w:numPr>
        <w:spacing w:after="240"/>
        <w:contextualSpacing/>
        <w:rPr>
          <w:color w:val="000000"/>
          <w:szCs w:val="24"/>
        </w:rPr>
      </w:pPr>
      <w:r w:rsidRPr="00255EE7">
        <w:rPr>
          <w:color w:val="000000"/>
          <w:szCs w:val="24"/>
        </w:rPr>
        <w:t>potential overestimation of the number of patients with QRS &lt;120ms (69%)  based on analysis of Swedish Heart Failure Registry data (2000–2011)</w:t>
      </w:r>
      <w:r>
        <w:rPr>
          <w:color w:val="000000"/>
          <w:szCs w:val="24"/>
        </w:rPr>
        <w:t xml:space="preserve"> - whereas</w:t>
      </w:r>
      <w:r w:rsidRPr="00255EE7">
        <w:rPr>
          <w:color w:val="000000"/>
          <w:szCs w:val="24"/>
        </w:rPr>
        <w:t xml:space="preserve"> the estimate from </w:t>
      </w:r>
      <w:r>
        <w:rPr>
          <w:color w:val="000000"/>
          <w:szCs w:val="24"/>
        </w:rPr>
        <w:t xml:space="preserve">an </w:t>
      </w:r>
      <w:r w:rsidRPr="00255EE7">
        <w:rPr>
          <w:color w:val="000000"/>
          <w:szCs w:val="24"/>
        </w:rPr>
        <w:t>analysis of Registry data for 2000–2013 was 56%</w:t>
      </w:r>
      <w:r>
        <w:rPr>
          <w:color w:val="000000"/>
          <w:szCs w:val="24"/>
        </w:rPr>
        <w:t>;</w:t>
      </w:r>
    </w:p>
    <w:p w14:paraId="1B637C63" w14:textId="77777777" w:rsidR="005043F3" w:rsidRPr="00255EE7" w:rsidRDefault="005043F3" w:rsidP="005043F3">
      <w:pPr>
        <w:numPr>
          <w:ilvl w:val="0"/>
          <w:numId w:val="28"/>
        </w:numPr>
        <w:spacing w:after="240"/>
        <w:contextualSpacing/>
        <w:rPr>
          <w:color w:val="000000"/>
          <w:szCs w:val="24"/>
        </w:rPr>
      </w:pPr>
      <w:r w:rsidRPr="00255EE7">
        <w:rPr>
          <w:color w:val="000000"/>
          <w:szCs w:val="24"/>
        </w:rPr>
        <w:t xml:space="preserve">the estimate for the proportion of patients in NYHA class III (31%) – uncertain given misalignments between the data source and </w:t>
      </w:r>
      <w:r>
        <w:rPr>
          <w:color w:val="000000"/>
          <w:szCs w:val="24"/>
        </w:rPr>
        <w:t xml:space="preserve">the </w:t>
      </w:r>
      <w:r w:rsidRPr="00255EE7">
        <w:rPr>
          <w:color w:val="000000"/>
          <w:szCs w:val="24"/>
        </w:rPr>
        <w:t>proposed populations</w:t>
      </w:r>
      <w:r>
        <w:rPr>
          <w:color w:val="000000"/>
          <w:szCs w:val="24"/>
        </w:rPr>
        <w:t>;</w:t>
      </w:r>
    </w:p>
    <w:p w14:paraId="52A7A493" w14:textId="32B2717B" w:rsidR="005043F3" w:rsidRPr="00255EE7" w:rsidRDefault="005043F3" w:rsidP="005043F3">
      <w:pPr>
        <w:numPr>
          <w:ilvl w:val="0"/>
          <w:numId w:val="28"/>
        </w:numPr>
        <w:spacing w:after="240"/>
        <w:ind w:left="714" w:hanging="357"/>
        <w:rPr>
          <w:color w:val="000000"/>
          <w:szCs w:val="24"/>
        </w:rPr>
      </w:pPr>
      <w:proofErr w:type="gramStart"/>
      <w:r w:rsidRPr="00255EE7">
        <w:rPr>
          <w:color w:val="000000"/>
          <w:szCs w:val="24"/>
        </w:rPr>
        <w:t>estimates</w:t>
      </w:r>
      <w:proofErr w:type="gramEnd"/>
      <w:r w:rsidRPr="00255EE7">
        <w:rPr>
          <w:color w:val="000000"/>
          <w:szCs w:val="24"/>
        </w:rPr>
        <w:t xml:space="preserve"> of the percentage of patients with reduced ejection fraction were applied twice, </w:t>
      </w:r>
      <w:r>
        <w:rPr>
          <w:color w:val="000000"/>
          <w:szCs w:val="24"/>
        </w:rPr>
        <w:t>once as the</w:t>
      </w:r>
      <w:r w:rsidRPr="00255EE7">
        <w:rPr>
          <w:color w:val="000000"/>
          <w:szCs w:val="24"/>
        </w:rPr>
        <w:t xml:space="preserve"> proportion with SLVD and </w:t>
      </w:r>
      <w:r>
        <w:rPr>
          <w:color w:val="000000"/>
          <w:szCs w:val="24"/>
        </w:rPr>
        <w:t xml:space="preserve">once as the </w:t>
      </w:r>
      <w:r w:rsidRPr="00255EE7">
        <w:rPr>
          <w:color w:val="000000"/>
          <w:szCs w:val="24"/>
        </w:rPr>
        <w:t>proportion with LVEF of 25–45%</w:t>
      </w:r>
      <w:r w:rsidR="00D64590">
        <w:rPr>
          <w:color w:val="000000"/>
          <w:szCs w:val="24"/>
        </w:rPr>
        <w:t>;</w:t>
      </w:r>
      <w:r>
        <w:rPr>
          <w:color w:val="000000"/>
          <w:szCs w:val="24"/>
        </w:rPr>
        <w:t xml:space="preserve"> this</w:t>
      </w:r>
      <w:r w:rsidRPr="00255EE7">
        <w:rPr>
          <w:color w:val="000000"/>
          <w:szCs w:val="24"/>
        </w:rPr>
        <w:t xml:space="preserve"> was </w:t>
      </w:r>
      <w:r>
        <w:rPr>
          <w:color w:val="000000"/>
          <w:szCs w:val="24"/>
        </w:rPr>
        <w:t xml:space="preserve">considered to be </w:t>
      </w:r>
      <w:r w:rsidRPr="00255EE7">
        <w:rPr>
          <w:color w:val="000000"/>
          <w:szCs w:val="24"/>
        </w:rPr>
        <w:t>inappropriate.</w:t>
      </w:r>
    </w:p>
    <w:p w14:paraId="0461879A" w14:textId="77777777" w:rsidR="005043F3" w:rsidRPr="00255EE7" w:rsidRDefault="005043F3" w:rsidP="005043F3">
      <w:pPr>
        <w:spacing w:after="240"/>
        <w:rPr>
          <w:color w:val="000000"/>
          <w:szCs w:val="24"/>
        </w:rPr>
      </w:pPr>
      <w:r w:rsidRPr="00255EE7">
        <w:rPr>
          <w:color w:val="000000"/>
          <w:szCs w:val="24"/>
        </w:rPr>
        <w:t xml:space="preserve">ESC noted that after </w:t>
      </w:r>
      <w:r>
        <w:rPr>
          <w:color w:val="000000"/>
          <w:szCs w:val="24"/>
        </w:rPr>
        <w:t xml:space="preserve">the Critique </w:t>
      </w:r>
      <w:r w:rsidRPr="00255EE7">
        <w:rPr>
          <w:color w:val="000000"/>
          <w:szCs w:val="24"/>
        </w:rPr>
        <w:t>appl</w:t>
      </w:r>
      <w:r>
        <w:rPr>
          <w:color w:val="000000"/>
          <w:szCs w:val="24"/>
        </w:rPr>
        <w:t>ied</w:t>
      </w:r>
      <w:r w:rsidRPr="00255EE7">
        <w:rPr>
          <w:color w:val="000000"/>
          <w:szCs w:val="24"/>
        </w:rPr>
        <w:t xml:space="preserve"> corrections to compensate for these issues, the estimated eligible patient pool nearly doubled</w:t>
      </w:r>
      <w:r>
        <w:rPr>
          <w:color w:val="000000"/>
          <w:szCs w:val="24"/>
        </w:rPr>
        <w:t xml:space="preserve"> </w:t>
      </w:r>
      <w:r w:rsidRPr="00255EE7">
        <w:rPr>
          <w:color w:val="000000"/>
          <w:szCs w:val="24"/>
        </w:rPr>
        <w:t>to more than 11,200 compared with the resubmission estimate of about 6,100.</w:t>
      </w:r>
    </w:p>
    <w:p w14:paraId="2C9BDD83" w14:textId="77777777" w:rsidR="005043F3" w:rsidRPr="00255EE7" w:rsidRDefault="005043F3" w:rsidP="005043F3">
      <w:pPr>
        <w:spacing w:after="240"/>
        <w:rPr>
          <w:color w:val="000000"/>
          <w:szCs w:val="24"/>
          <w:lang w:val="en-US"/>
        </w:rPr>
      </w:pPr>
      <w:r w:rsidRPr="00255EE7">
        <w:rPr>
          <w:color w:val="000000"/>
          <w:szCs w:val="24"/>
        </w:rPr>
        <w:t xml:space="preserve">ESC noted that the resubmission did not appropriately account for incident versus prevalent cases of HF. ESC also noted that the uptake rates applied over years 1 to 5 (2%, </w:t>
      </w:r>
      <w:r w:rsidRPr="00255EE7">
        <w:rPr>
          <w:color w:val="000000"/>
          <w:szCs w:val="24"/>
          <w:lang w:val="en-US"/>
        </w:rPr>
        <w:t>8%, 12%, 16% and 20%, respectively) were not adequately justified and appear unreasonable. ESC noted advice received by the Assessment Group that uptake may be closer to 25–50%.</w:t>
      </w:r>
    </w:p>
    <w:p w14:paraId="728DB7C3" w14:textId="77777777" w:rsidR="005043F3" w:rsidRPr="00255EE7" w:rsidRDefault="005043F3" w:rsidP="005043F3">
      <w:pPr>
        <w:spacing w:after="240"/>
        <w:rPr>
          <w:color w:val="000000"/>
          <w:szCs w:val="24"/>
          <w:lang w:val="en-US"/>
        </w:rPr>
      </w:pPr>
      <w:r w:rsidRPr="00255EE7">
        <w:rPr>
          <w:color w:val="000000"/>
          <w:szCs w:val="24"/>
        </w:rPr>
        <w:t>ESC noted that cost estimates in the resubmission were similar to previous estimates</w:t>
      </w:r>
      <w:r w:rsidRPr="00255EE7">
        <w:rPr>
          <w:color w:val="000000"/>
          <w:szCs w:val="24"/>
          <w:lang w:val="en-US"/>
        </w:rPr>
        <w:t xml:space="preserve"> but that some costs were underestimated. After including adverse event costs, the Critique estimated an updated base case for financial burden to the health system slightly higher than that in the resubmission ($56.6 million after 5 years vs $56.1 million).</w:t>
      </w:r>
    </w:p>
    <w:p w14:paraId="41CFB77D" w14:textId="77777777" w:rsidR="005043F3" w:rsidRPr="00255EE7" w:rsidRDefault="005043F3" w:rsidP="005043F3">
      <w:pPr>
        <w:spacing w:after="240"/>
        <w:rPr>
          <w:color w:val="000000"/>
          <w:szCs w:val="24"/>
          <w:lang w:val="en-US"/>
        </w:rPr>
      </w:pPr>
      <w:r w:rsidRPr="00255EE7">
        <w:rPr>
          <w:color w:val="000000"/>
          <w:szCs w:val="24"/>
          <w:lang w:val="en-US"/>
        </w:rPr>
        <w:t>ESC noted results of the Critique’s sensitivity analyses which used the updated base case and applied +/–25% eligible patient numbers, +/–25% uptake rate each year, updated initial eligible population pool, and uptake of 25% in Year 1 and 50% each year thereafter. ESC noted that these were all one-way analyses, with estimated total costs to the health system of potentially up to $140 million in Year 5.</w:t>
      </w:r>
    </w:p>
    <w:p w14:paraId="58BF15CB" w14:textId="77777777" w:rsidR="005043F3" w:rsidRPr="00255EE7" w:rsidRDefault="005043F3" w:rsidP="005043F3">
      <w:pPr>
        <w:spacing w:after="240"/>
        <w:rPr>
          <w:color w:val="000000"/>
          <w:szCs w:val="24"/>
        </w:rPr>
      </w:pPr>
      <w:r w:rsidRPr="00255EE7">
        <w:rPr>
          <w:color w:val="000000"/>
          <w:szCs w:val="24"/>
        </w:rPr>
        <w:t>ESC noted that potential MBS service utilisation is uncertain. Current use of CCM devices in Australia is low (</w:t>
      </w:r>
      <w:r>
        <w:rPr>
          <w:color w:val="000000"/>
          <w:szCs w:val="24"/>
        </w:rPr>
        <w:t xml:space="preserve">to date </w:t>
      </w:r>
      <w:r w:rsidRPr="00255EE7">
        <w:rPr>
          <w:color w:val="000000"/>
          <w:szCs w:val="24"/>
        </w:rPr>
        <w:t xml:space="preserve">the device has been used in only 18 patients). Consumer groups were unaware of the devices and were therefore unable to </w:t>
      </w:r>
      <w:proofErr w:type="gramStart"/>
      <w:r>
        <w:rPr>
          <w:color w:val="000000"/>
          <w:szCs w:val="24"/>
        </w:rPr>
        <w:t>advise</w:t>
      </w:r>
      <w:proofErr w:type="gramEnd"/>
      <w:r w:rsidRPr="00255EE7">
        <w:rPr>
          <w:color w:val="000000"/>
          <w:szCs w:val="24"/>
        </w:rPr>
        <w:t xml:space="preserve"> as to their </w:t>
      </w:r>
      <w:r>
        <w:rPr>
          <w:color w:val="000000"/>
          <w:szCs w:val="24"/>
        </w:rPr>
        <w:t xml:space="preserve">likely </w:t>
      </w:r>
      <w:r w:rsidRPr="00255EE7">
        <w:rPr>
          <w:color w:val="000000"/>
          <w:szCs w:val="24"/>
        </w:rPr>
        <w:t>value to consumers.</w:t>
      </w:r>
    </w:p>
    <w:p w14:paraId="35B3EF5A" w14:textId="77777777" w:rsidR="005043F3" w:rsidRDefault="005043F3" w:rsidP="005043F3">
      <w:pPr>
        <w:spacing w:after="240"/>
        <w:rPr>
          <w:color w:val="000000"/>
          <w:szCs w:val="24"/>
        </w:rPr>
      </w:pPr>
      <w:r w:rsidRPr="00255EE7">
        <w:rPr>
          <w:color w:val="000000"/>
          <w:szCs w:val="24"/>
        </w:rPr>
        <w:t xml:space="preserve">ESC also noted a potential implementation issue because the </w:t>
      </w:r>
      <w:r w:rsidRPr="00255EE7">
        <w:rPr>
          <w:color w:val="000000"/>
          <w:szCs w:val="24"/>
          <w:lang w:val="en-US"/>
        </w:rPr>
        <w:t xml:space="preserve">Cardiac Implantable Electronic Devices guidelines </w:t>
      </w:r>
      <w:r>
        <w:rPr>
          <w:color w:val="000000"/>
          <w:szCs w:val="24"/>
          <w:lang w:val="en-US"/>
        </w:rPr>
        <w:t xml:space="preserve">of the </w:t>
      </w:r>
      <w:r w:rsidRPr="00255EE7">
        <w:rPr>
          <w:color w:val="000000"/>
          <w:szCs w:val="24"/>
          <w:lang w:val="en-US"/>
        </w:rPr>
        <w:t>Cardiac Society of Australia and New Zealand</w:t>
      </w:r>
      <w:r>
        <w:rPr>
          <w:color w:val="000000"/>
          <w:szCs w:val="24"/>
          <w:lang w:val="en-US"/>
        </w:rPr>
        <w:t xml:space="preserve"> (CSANZ)</w:t>
      </w:r>
      <w:r w:rsidRPr="00255EE7">
        <w:rPr>
          <w:color w:val="000000"/>
          <w:szCs w:val="24"/>
          <w:lang w:val="en-US"/>
        </w:rPr>
        <w:t xml:space="preserve"> require specialists to be accredited</w:t>
      </w:r>
      <w:r>
        <w:rPr>
          <w:color w:val="000000"/>
          <w:szCs w:val="24"/>
          <w:lang w:val="en-US"/>
        </w:rPr>
        <w:t>. Decisions</w:t>
      </w:r>
      <w:r>
        <w:rPr>
          <w:color w:val="000000"/>
          <w:szCs w:val="24"/>
        </w:rPr>
        <w:t xml:space="preserve"> will </w:t>
      </w:r>
      <w:r w:rsidRPr="00255EE7">
        <w:rPr>
          <w:color w:val="000000"/>
          <w:szCs w:val="24"/>
        </w:rPr>
        <w:t xml:space="preserve">need to be made about who is able to implant the device, their competence and how often they should be monitored. ESC suggested it would be useful to </w:t>
      </w:r>
      <w:r>
        <w:rPr>
          <w:color w:val="000000"/>
          <w:szCs w:val="24"/>
        </w:rPr>
        <w:t>seek advice from CSANZ on this issue</w:t>
      </w:r>
      <w:r w:rsidRPr="00255EE7">
        <w:rPr>
          <w:color w:val="000000"/>
          <w:szCs w:val="24"/>
        </w:rPr>
        <w:t>.</w:t>
      </w:r>
      <w:bookmarkStart w:id="23" w:name="Editing"/>
      <w:bookmarkEnd w:id="23"/>
    </w:p>
    <w:p w14:paraId="52F22B08" w14:textId="77777777" w:rsidR="00D90A38" w:rsidRPr="00F715D1" w:rsidRDefault="00BC1364" w:rsidP="00F715D1">
      <w:pPr>
        <w:pStyle w:val="Heading1"/>
      </w:pPr>
      <w:r w:rsidRPr="00F715D1">
        <w:lastRenderedPageBreak/>
        <w:t>Other significant factors</w:t>
      </w:r>
    </w:p>
    <w:p w14:paraId="2F69BBDB" w14:textId="132064A2" w:rsidR="00BC1364" w:rsidRPr="00916C86" w:rsidRDefault="00916C86" w:rsidP="00F715D1">
      <w:pPr>
        <w:spacing w:after="240"/>
        <w:rPr>
          <w:szCs w:val="24"/>
        </w:rPr>
      </w:pPr>
      <w:r w:rsidRPr="00916C86">
        <w:rPr>
          <w:szCs w:val="24"/>
        </w:rPr>
        <w:t>Nil</w:t>
      </w:r>
    </w:p>
    <w:p w14:paraId="25D593DB" w14:textId="30FEEAEF" w:rsidR="006674F7" w:rsidRPr="006674F7" w:rsidRDefault="006674F7" w:rsidP="006674F7">
      <w:pPr>
        <w:pStyle w:val="Heading1"/>
      </w:pPr>
      <w:r w:rsidRPr="006674F7">
        <w:t>Applicant’s comments on MSAC’s Public Summary Document</w:t>
      </w:r>
    </w:p>
    <w:p w14:paraId="07B50754" w14:textId="57E9224C" w:rsidR="00C93A3E" w:rsidRPr="006674F7" w:rsidRDefault="00C93A3E" w:rsidP="006674F7">
      <w:pPr>
        <w:spacing w:before="240"/>
      </w:pPr>
      <w:r w:rsidRPr="006674F7">
        <w:t xml:space="preserve">Impulse Dynamics </w:t>
      </w:r>
      <w:r w:rsidR="00F24021" w:rsidRPr="006674F7">
        <w:t>i</w:t>
      </w:r>
      <w:r w:rsidRPr="006674F7">
        <w:t>s disappointed with MSAC’s decision not to support public funding of cardiac contractility modulation (CCM) therapy. Improvement in NYHA class is a well-established, independent predictor of mortality benefit and CCM therapy significantly improves this outcome. Therefore</w:t>
      </w:r>
      <w:r w:rsidR="00F24021" w:rsidRPr="006674F7">
        <w:t>,</w:t>
      </w:r>
      <w:r w:rsidRPr="006674F7">
        <w:t xml:space="preserve"> it is highly likely that patients will benefit from a mortality reduction should CCM be funded.</w:t>
      </w:r>
      <w:r w:rsidR="00F24021" w:rsidRPr="006674F7">
        <w:t xml:space="preserve"> P</w:t>
      </w:r>
      <w:r w:rsidRPr="006674F7">
        <w:t xml:space="preserve">ooled data from </w:t>
      </w:r>
      <w:r w:rsidR="00F24021" w:rsidRPr="006674F7">
        <w:t>the FIX-HF-5C and FIX-HF trials</w:t>
      </w:r>
      <w:r w:rsidRPr="006674F7">
        <w:t xml:space="preserve"> also demonstrated a significant difference in the composite endpoint of cardiovascular mortality and heart failure hospitalisation.</w:t>
      </w:r>
      <w:r w:rsidR="00D31B4B" w:rsidRPr="006674F7">
        <w:t xml:space="preserve"> Impulse Dynamics strongly disagrees with the analysis provided in the Critique in which </w:t>
      </w:r>
      <w:r w:rsidR="000B31C4" w:rsidRPr="006674F7">
        <w:t>a number of changes</w:t>
      </w:r>
      <w:r w:rsidR="00D31B4B" w:rsidRPr="006674F7">
        <w:t xml:space="preserve"> were made</w:t>
      </w:r>
      <w:r w:rsidR="000B31C4" w:rsidRPr="006674F7">
        <w:t xml:space="preserve"> to the model and alternate ICERs and sensitivity analys</w:t>
      </w:r>
      <w:r w:rsidR="00130C41" w:rsidRPr="006674F7">
        <w:t>e</w:t>
      </w:r>
      <w:r w:rsidR="000B31C4" w:rsidRPr="006674F7">
        <w:t>s</w:t>
      </w:r>
      <w:r w:rsidR="00D31B4B" w:rsidRPr="006674F7">
        <w:t xml:space="preserve"> were generated</w:t>
      </w:r>
      <w:r w:rsidR="000B31C4" w:rsidRPr="006674F7">
        <w:t xml:space="preserve">. Due to the lack of transparency regarding these changes, Impulse Dynamics was unable to verify whether they had validity and in fact it is likely they underestimate the cost-effectiveness of CCM therapy. </w:t>
      </w:r>
      <w:r w:rsidRPr="006674F7">
        <w:t xml:space="preserve">It is unfortunate that patients with very few viable treatment options will be denied access to this potentially useful therapy.  </w:t>
      </w:r>
    </w:p>
    <w:p w14:paraId="2AE0D8CB" w14:textId="687536DE" w:rsidR="00AC16E8" w:rsidRPr="006674F7" w:rsidRDefault="006674F7" w:rsidP="006674F7">
      <w:pPr>
        <w:pStyle w:val="Heading1"/>
      </w:pPr>
      <w:r w:rsidRPr="00F715D1">
        <w:t xml:space="preserve">Other significant </w:t>
      </w:r>
      <w:proofErr w:type="spellStart"/>
      <w:r w:rsidRPr="00F715D1">
        <w:t>factors</w:t>
      </w:r>
      <w:r w:rsidR="00AC16E8" w:rsidRPr="006674F7">
        <w:t>Further</w:t>
      </w:r>
      <w:proofErr w:type="spellEnd"/>
      <w:r w:rsidR="00AC16E8" w:rsidRPr="006674F7">
        <w:t xml:space="preserve"> information on MSAC</w:t>
      </w:r>
    </w:p>
    <w:p w14:paraId="44A0F00D" w14:textId="4D5271D5" w:rsidR="00AF6CE0" w:rsidRPr="0041106F" w:rsidRDefault="00271F18" w:rsidP="0041106F">
      <w:pPr>
        <w:spacing w:after="240"/>
        <w:rPr>
          <w:color w:val="0000FF"/>
          <w:szCs w:val="24"/>
          <w:u w:val="single"/>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AF6CE0" w:rsidRPr="0041106F"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E327B" w16cid:durableId="213323BC"/>
  <w16cid:commentId w16cid:paraId="1955604E" w16cid:durableId="213325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2B58F" w14:textId="77777777" w:rsidR="00FC13F7" w:rsidRDefault="00FC13F7" w:rsidP="00065623">
      <w:r>
        <w:separator/>
      </w:r>
    </w:p>
  </w:endnote>
  <w:endnote w:type="continuationSeparator" w:id="0">
    <w:p w14:paraId="5CFC6D06" w14:textId="77777777" w:rsidR="00FC13F7" w:rsidRDefault="00FC13F7"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ED9F9" w14:textId="77777777" w:rsidR="00FF567E" w:rsidRDefault="00FF5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2BF77DD3" w14:textId="48C8DE72" w:rsidR="00FC13F7" w:rsidRDefault="00FC13F7">
        <w:pPr>
          <w:pStyle w:val="Footer"/>
          <w:jc w:val="right"/>
        </w:pPr>
        <w:r>
          <w:fldChar w:fldCharType="begin"/>
        </w:r>
        <w:r>
          <w:instrText xml:space="preserve"> PAGE   \* MERGEFORMAT </w:instrText>
        </w:r>
        <w:r>
          <w:fldChar w:fldCharType="separate"/>
        </w:r>
        <w:r w:rsidR="00E14BA7">
          <w:rPr>
            <w:noProof/>
          </w:rPr>
          <w:t>6</w:t>
        </w:r>
        <w:r>
          <w:rPr>
            <w:noProof/>
          </w:rPr>
          <w:fldChar w:fldCharType="end"/>
        </w:r>
      </w:p>
    </w:sdtContent>
  </w:sdt>
  <w:p w14:paraId="50A2D979" w14:textId="77777777" w:rsidR="00FC13F7" w:rsidRDefault="00FC1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6D1F7" w14:textId="77777777" w:rsidR="00FF567E" w:rsidRDefault="00FF5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5E725" w14:textId="77777777" w:rsidR="00FC13F7" w:rsidRDefault="00FC13F7" w:rsidP="00065623">
      <w:r>
        <w:separator/>
      </w:r>
    </w:p>
  </w:footnote>
  <w:footnote w:type="continuationSeparator" w:id="0">
    <w:p w14:paraId="4C5091F6" w14:textId="77777777" w:rsidR="00FC13F7" w:rsidRDefault="00FC13F7"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E5E9E" w14:textId="77777777" w:rsidR="00FF567E" w:rsidRDefault="00FF5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2D4FB" w14:textId="77777777" w:rsidR="00FF567E" w:rsidRDefault="00FF5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40914" w14:textId="77777777" w:rsidR="00FF567E" w:rsidRDefault="00FF5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256D"/>
    <w:multiLevelType w:val="hybridMultilevel"/>
    <w:tmpl w:val="FC26D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F8B526"/>
    <w:multiLevelType w:val="hybridMultilevel"/>
    <w:tmpl w:val="8E37B4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D322079"/>
    <w:multiLevelType w:val="hybridMultilevel"/>
    <w:tmpl w:val="F154C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B76E3E"/>
    <w:multiLevelType w:val="hybridMultilevel"/>
    <w:tmpl w:val="1E9A5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8E81FDC"/>
    <w:multiLevelType w:val="hybridMultilevel"/>
    <w:tmpl w:val="505C5B5E"/>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2"/>
  </w:num>
  <w:num w:numId="4">
    <w:abstractNumId w:val="16"/>
  </w:num>
  <w:num w:numId="5">
    <w:abstractNumId w:val="10"/>
  </w:num>
  <w:num w:numId="6">
    <w:abstractNumId w:val="15"/>
  </w:num>
  <w:num w:numId="7">
    <w:abstractNumId w:val="21"/>
  </w:num>
  <w:num w:numId="8">
    <w:abstractNumId w:val="11"/>
  </w:num>
  <w:num w:numId="9">
    <w:abstractNumId w:val="29"/>
  </w:num>
  <w:num w:numId="10">
    <w:abstractNumId w:val="1"/>
  </w:num>
  <w:num w:numId="11">
    <w:abstractNumId w:val="20"/>
  </w:num>
  <w:num w:numId="12">
    <w:abstractNumId w:val="22"/>
  </w:num>
  <w:num w:numId="13">
    <w:abstractNumId w:val="5"/>
  </w:num>
  <w:num w:numId="14">
    <w:abstractNumId w:val="27"/>
  </w:num>
  <w:num w:numId="15">
    <w:abstractNumId w:val="19"/>
  </w:num>
  <w:num w:numId="16">
    <w:abstractNumId w:val="24"/>
  </w:num>
  <w:num w:numId="17">
    <w:abstractNumId w:val="12"/>
  </w:num>
  <w:num w:numId="18">
    <w:abstractNumId w:val="13"/>
  </w:num>
  <w:num w:numId="19">
    <w:abstractNumId w:val="26"/>
  </w:num>
  <w:num w:numId="20">
    <w:abstractNumId w:val="25"/>
  </w:num>
  <w:num w:numId="21">
    <w:abstractNumId w:val="4"/>
  </w:num>
  <w:num w:numId="22">
    <w:abstractNumId w:val="9"/>
  </w:num>
  <w:num w:numId="23">
    <w:abstractNumId w:val="3"/>
  </w:num>
  <w:num w:numId="24">
    <w:abstractNumId w:val="8"/>
  </w:num>
  <w:num w:numId="25">
    <w:abstractNumId w:val="6"/>
  </w:num>
  <w:num w:numId="26">
    <w:abstractNumId w:val="18"/>
  </w:num>
  <w:num w:numId="27">
    <w:abstractNumId w:val="23"/>
  </w:num>
  <w:num w:numId="28">
    <w:abstractNumId w:val="0"/>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3593"/>
    <w:rsid w:val="00007312"/>
    <w:rsid w:val="00011A36"/>
    <w:rsid w:val="000317F2"/>
    <w:rsid w:val="0003545A"/>
    <w:rsid w:val="00036FFE"/>
    <w:rsid w:val="00047606"/>
    <w:rsid w:val="00061E3E"/>
    <w:rsid w:val="00065623"/>
    <w:rsid w:val="00065FA9"/>
    <w:rsid w:val="000756B9"/>
    <w:rsid w:val="00085BBF"/>
    <w:rsid w:val="00096B67"/>
    <w:rsid w:val="00096DAF"/>
    <w:rsid w:val="000B31C4"/>
    <w:rsid w:val="000C2F47"/>
    <w:rsid w:val="000D2B9A"/>
    <w:rsid w:val="000D4F6B"/>
    <w:rsid w:val="000D6C00"/>
    <w:rsid w:val="000E3F35"/>
    <w:rsid w:val="000E4E04"/>
    <w:rsid w:val="000F14B4"/>
    <w:rsid w:val="000F75DF"/>
    <w:rsid w:val="001023DC"/>
    <w:rsid w:val="00103DAE"/>
    <w:rsid w:val="00130C41"/>
    <w:rsid w:val="001328FA"/>
    <w:rsid w:val="00132A11"/>
    <w:rsid w:val="00133ACE"/>
    <w:rsid w:val="0014454D"/>
    <w:rsid w:val="00147AAF"/>
    <w:rsid w:val="001552C0"/>
    <w:rsid w:val="001640B1"/>
    <w:rsid w:val="0018435E"/>
    <w:rsid w:val="00193514"/>
    <w:rsid w:val="00196EED"/>
    <w:rsid w:val="001B18ED"/>
    <w:rsid w:val="001B2A44"/>
    <w:rsid w:val="001D22C9"/>
    <w:rsid w:val="002041A1"/>
    <w:rsid w:val="002054F0"/>
    <w:rsid w:val="00230D6B"/>
    <w:rsid w:val="00232068"/>
    <w:rsid w:val="002330F2"/>
    <w:rsid w:val="00243D9E"/>
    <w:rsid w:val="00253B66"/>
    <w:rsid w:val="00261DF1"/>
    <w:rsid w:val="00271F18"/>
    <w:rsid w:val="0027585C"/>
    <w:rsid w:val="00280583"/>
    <w:rsid w:val="002825A7"/>
    <w:rsid w:val="00282779"/>
    <w:rsid w:val="0028334D"/>
    <w:rsid w:val="00293B68"/>
    <w:rsid w:val="002B7FFA"/>
    <w:rsid w:val="002C2BCF"/>
    <w:rsid w:val="002F279D"/>
    <w:rsid w:val="002F43B8"/>
    <w:rsid w:val="00332A39"/>
    <w:rsid w:val="00336856"/>
    <w:rsid w:val="0034554D"/>
    <w:rsid w:val="00352224"/>
    <w:rsid w:val="003671E6"/>
    <w:rsid w:val="00374A2A"/>
    <w:rsid w:val="00376883"/>
    <w:rsid w:val="00384272"/>
    <w:rsid w:val="00386D67"/>
    <w:rsid w:val="003945B8"/>
    <w:rsid w:val="003C252E"/>
    <w:rsid w:val="003D7F29"/>
    <w:rsid w:val="00405A6B"/>
    <w:rsid w:val="00407B1F"/>
    <w:rsid w:val="0041106F"/>
    <w:rsid w:val="0041184F"/>
    <w:rsid w:val="00414C57"/>
    <w:rsid w:val="0041758C"/>
    <w:rsid w:val="00423AE9"/>
    <w:rsid w:val="00433AE1"/>
    <w:rsid w:val="0045126D"/>
    <w:rsid w:val="004539DE"/>
    <w:rsid w:val="00496027"/>
    <w:rsid w:val="004A2CF1"/>
    <w:rsid w:val="004C3035"/>
    <w:rsid w:val="004C307F"/>
    <w:rsid w:val="004D6F85"/>
    <w:rsid w:val="004E4BA8"/>
    <w:rsid w:val="004F340F"/>
    <w:rsid w:val="004F7B7C"/>
    <w:rsid w:val="005043F3"/>
    <w:rsid w:val="00522139"/>
    <w:rsid w:val="0052243D"/>
    <w:rsid w:val="00532435"/>
    <w:rsid w:val="00550354"/>
    <w:rsid w:val="0056760D"/>
    <w:rsid w:val="00571236"/>
    <w:rsid w:val="005754FD"/>
    <w:rsid w:val="005953A1"/>
    <w:rsid w:val="005A4362"/>
    <w:rsid w:val="005B5434"/>
    <w:rsid w:val="005C4961"/>
    <w:rsid w:val="005D0332"/>
    <w:rsid w:val="005D0D8C"/>
    <w:rsid w:val="005F5988"/>
    <w:rsid w:val="00600109"/>
    <w:rsid w:val="00607815"/>
    <w:rsid w:val="00660486"/>
    <w:rsid w:val="006674F7"/>
    <w:rsid w:val="006776AE"/>
    <w:rsid w:val="006A0D97"/>
    <w:rsid w:val="006B1F86"/>
    <w:rsid w:val="006C0A91"/>
    <w:rsid w:val="006D537C"/>
    <w:rsid w:val="007054BB"/>
    <w:rsid w:val="00707064"/>
    <w:rsid w:val="00714FC5"/>
    <w:rsid w:val="00730683"/>
    <w:rsid w:val="00732868"/>
    <w:rsid w:val="0073523C"/>
    <w:rsid w:val="0075261F"/>
    <w:rsid w:val="0075468E"/>
    <w:rsid w:val="00762E87"/>
    <w:rsid w:val="007665D8"/>
    <w:rsid w:val="00766E36"/>
    <w:rsid w:val="007765F4"/>
    <w:rsid w:val="00776633"/>
    <w:rsid w:val="00784D53"/>
    <w:rsid w:val="00797797"/>
    <w:rsid w:val="007A63C9"/>
    <w:rsid w:val="007B26F2"/>
    <w:rsid w:val="007B32D1"/>
    <w:rsid w:val="007B7095"/>
    <w:rsid w:val="007C11DA"/>
    <w:rsid w:val="007D24E1"/>
    <w:rsid w:val="007D6288"/>
    <w:rsid w:val="007F4CE9"/>
    <w:rsid w:val="007F4E20"/>
    <w:rsid w:val="008055A9"/>
    <w:rsid w:val="008066E4"/>
    <w:rsid w:val="00822C7E"/>
    <w:rsid w:val="0083372D"/>
    <w:rsid w:val="00836577"/>
    <w:rsid w:val="00847060"/>
    <w:rsid w:val="00847A36"/>
    <w:rsid w:val="008568EF"/>
    <w:rsid w:val="00856A33"/>
    <w:rsid w:val="008657BF"/>
    <w:rsid w:val="00892620"/>
    <w:rsid w:val="008C7D37"/>
    <w:rsid w:val="008D2B70"/>
    <w:rsid w:val="008D5885"/>
    <w:rsid w:val="008E0690"/>
    <w:rsid w:val="008E1D9D"/>
    <w:rsid w:val="00916C86"/>
    <w:rsid w:val="00923FA2"/>
    <w:rsid w:val="0096060D"/>
    <w:rsid w:val="00974A50"/>
    <w:rsid w:val="0097585A"/>
    <w:rsid w:val="009924B0"/>
    <w:rsid w:val="009942C9"/>
    <w:rsid w:val="009A725A"/>
    <w:rsid w:val="009B23E2"/>
    <w:rsid w:val="009B35C4"/>
    <w:rsid w:val="009C630A"/>
    <w:rsid w:val="009E0D98"/>
    <w:rsid w:val="009E6562"/>
    <w:rsid w:val="009F2048"/>
    <w:rsid w:val="00A068A1"/>
    <w:rsid w:val="00A1207D"/>
    <w:rsid w:val="00A12B37"/>
    <w:rsid w:val="00A12FD8"/>
    <w:rsid w:val="00A142A9"/>
    <w:rsid w:val="00A346FC"/>
    <w:rsid w:val="00A46D77"/>
    <w:rsid w:val="00A73261"/>
    <w:rsid w:val="00A846F2"/>
    <w:rsid w:val="00A84F93"/>
    <w:rsid w:val="00A85CDB"/>
    <w:rsid w:val="00AB1AC5"/>
    <w:rsid w:val="00AB3BFC"/>
    <w:rsid w:val="00AB5FB7"/>
    <w:rsid w:val="00AC16E8"/>
    <w:rsid w:val="00AC4F2E"/>
    <w:rsid w:val="00AD0C37"/>
    <w:rsid w:val="00AD385F"/>
    <w:rsid w:val="00AD6DA4"/>
    <w:rsid w:val="00AE52B1"/>
    <w:rsid w:val="00AE6E2A"/>
    <w:rsid w:val="00AF6CE0"/>
    <w:rsid w:val="00B03EAB"/>
    <w:rsid w:val="00B13054"/>
    <w:rsid w:val="00B16F78"/>
    <w:rsid w:val="00B31E9C"/>
    <w:rsid w:val="00B35595"/>
    <w:rsid w:val="00B40D99"/>
    <w:rsid w:val="00B51C6D"/>
    <w:rsid w:val="00B5227E"/>
    <w:rsid w:val="00B83DD2"/>
    <w:rsid w:val="00B86D64"/>
    <w:rsid w:val="00BA1DE0"/>
    <w:rsid w:val="00BA4AC5"/>
    <w:rsid w:val="00BC1364"/>
    <w:rsid w:val="00BC2667"/>
    <w:rsid w:val="00BC7DE9"/>
    <w:rsid w:val="00BF479B"/>
    <w:rsid w:val="00C02577"/>
    <w:rsid w:val="00C10752"/>
    <w:rsid w:val="00C1348E"/>
    <w:rsid w:val="00C204FB"/>
    <w:rsid w:val="00C20BEE"/>
    <w:rsid w:val="00C2158D"/>
    <w:rsid w:val="00C31EC8"/>
    <w:rsid w:val="00C32EDA"/>
    <w:rsid w:val="00C67DD2"/>
    <w:rsid w:val="00C725CB"/>
    <w:rsid w:val="00C76F5C"/>
    <w:rsid w:val="00C777CA"/>
    <w:rsid w:val="00C93A3E"/>
    <w:rsid w:val="00C96BAD"/>
    <w:rsid w:val="00CA53A6"/>
    <w:rsid w:val="00CA6944"/>
    <w:rsid w:val="00CB0F8E"/>
    <w:rsid w:val="00CB7E7D"/>
    <w:rsid w:val="00CC2911"/>
    <w:rsid w:val="00CC3332"/>
    <w:rsid w:val="00CE142C"/>
    <w:rsid w:val="00CF0C6D"/>
    <w:rsid w:val="00CF7307"/>
    <w:rsid w:val="00CF7C68"/>
    <w:rsid w:val="00D124FA"/>
    <w:rsid w:val="00D31B4B"/>
    <w:rsid w:val="00D340DE"/>
    <w:rsid w:val="00D37991"/>
    <w:rsid w:val="00D55723"/>
    <w:rsid w:val="00D62FAD"/>
    <w:rsid w:val="00D64355"/>
    <w:rsid w:val="00D64590"/>
    <w:rsid w:val="00D70450"/>
    <w:rsid w:val="00D83BFD"/>
    <w:rsid w:val="00D90A38"/>
    <w:rsid w:val="00DA0515"/>
    <w:rsid w:val="00DA171E"/>
    <w:rsid w:val="00DA4F61"/>
    <w:rsid w:val="00DA56AA"/>
    <w:rsid w:val="00DB5833"/>
    <w:rsid w:val="00DD2858"/>
    <w:rsid w:val="00DE3DE7"/>
    <w:rsid w:val="00E000D1"/>
    <w:rsid w:val="00E0250B"/>
    <w:rsid w:val="00E03E33"/>
    <w:rsid w:val="00E059E0"/>
    <w:rsid w:val="00E14BA7"/>
    <w:rsid w:val="00E3642A"/>
    <w:rsid w:val="00E36643"/>
    <w:rsid w:val="00E415C4"/>
    <w:rsid w:val="00E50016"/>
    <w:rsid w:val="00E50EAA"/>
    <w:rsid w:val="00E656D6"/>
    <w:rsid w:val="00E72E87"/>
    <w:rsid w:val="00E977EE"/>
    <w:rsid w:val="00EA2F24"/>
    <w:rsid w:val="00EA39AF"/>
    <w:rsid w:val="00EA67A2"/>
    <w:rsid w:val="00EB630F"/>
    <w:rsid w:val="00EB6B6F"/>
    <w:rsid w:val="00EC4F98"/>
    <w:rsid w:val="00F12F02"/>
    <w:rsid w:val="00F24021"/>
    <w:rsid w:val="00F32E0D"/>
    <w:rsid w:val="00F35134"/>
    <w:rsid w:val="00F37B9C"/>
    <w:rsid w:val="00F41812"/>
    <w:rsid w:val="00F715D1"/>
    <w:rsid w:val="00F72715"/>
    <w:rsid w:val="00F73333"/>
    <w:rsid w:val="00F95D8F"/>
    <w:rsid w:val="00FB350A"/>
    <w:rsid w:val="00FB4C5D"/>
    <w:rsid w:val="00FC13F7"/>
    <w:rsid w:val="00FC717C"/>
    <w:rsid w:val="00FE1C3F"/>
    <w:rsid w:val="00FE731D"/>
    <w:rsid w:val="00FF56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35A3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5043F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5043F3"/>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5043F3"/>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600109"/>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600109"/>
    <w:rPr>
      <w:rFonts w:ascii="Arial Narrow" w:eastAsia="Times New Roman" w:hAnsi="Arial Narrow" w:cs="Arial"/>
      <w:b/>
      <w:bCs/>
      <w:iCs/>
      <w:sz w:val="20"/>
      <w:szCs w:val="20"/>
      <w:lang w:eastAsia="en-US"/>
    </w:rPr>
  </w:style>
  <w:style w:type="paragraph" w:customStyle="1" w:styleId="Tablenotes">
    <w:name w:val="Table notes"/>
    <w:basedOn w:val="Normal"/>
    <w:qFormat/>
    <w:rsid w:val="000D4F6B"/>
    <w:pPr>
      <w:spacing w:after="240"/>
      <w:ind w:left="1440" w:hanging="1440"/>
    </w:pPr>
    <w:rPr>
      <w:rFonts w:ascii="Arial Narrow" w:hAnsi="Arial Narrow"/>
      <w:sz w:val="18"/>
      <w:szCs w:val="24"/>
    </w:rPr>
  </w:style>
  <w:style w:type="table" w:customStyle="1" w:styleId="TableGrid2">
    <w:name w:val="Table Grid2"/>
    <w:basedOn w:val="TableNormal"/>
    <w:next w:val="TableGrid"/>
    <w:rsid w:val="001B18ED"/>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notes1">
    <w:name w:val="Tablenotes 1"/>
    <w:basedOn w:val="Normal"/>
    <w:link w:val="Tablenotes1Char"/>
    <w:qFormat/>
    <w:rsid w:val="001B18ED"/>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1B18ED"/>
    <w:rPr>
      <w:rFonts w:ascii="Arial Narrow" w:eastAsia="Times New Roman" w:hAnsi="Arial Narrow" w:cs="Arial"/>
      <w:snapToGrid w:val="0"/>
      <w:sz w:val="18"/>
      <w:szCs w:val="20"/>
      <w:lang w:eastAsia="en-US"/>
    </w:rPr>
  </w:style>
  <w:style w:type="paragraph" w:customStyle="1" w:styleId="ComTable">
    <w:name w:val="Com_Table"/>
    <w:basedOn w:val="Normal"/>
    <w:qFormat/>
    <w:rsid w:val="001B18ED"/>
    <w:pPr>
      <w:tabs>
        <w:tab w:val="num" w:pos="720"/>
      </w:tabs>
      <w:spacing w:before="40" w:after="40"/>
      <w:jc w:val="both"/>
    </w:pPr>
    <w:rPr>
      <w:rFonts w:ascii="Arial Narrow" w:hAnsi="Arial Narrow" w:cs="Tahoma"/>
      <w:i/>
      <w:color w:val="C00000"/>
      <w:sz w:val="20"/>
    </w:rPr>
  </w:style>
  <w:style w:type="paragraph" w:customStyle="1" w:styleId="TableHeader1">
    <w:name w:val="Table Header1"/>
    <w:basedOn w:val="Normal"/>
    <w:link w:val="TableHeader1Char"/>
    <w:qFormat/>
    <w:rsid w:val="001B18ED"/>
    <w:pPr>
      <w:spacing w:before="40" w:after="40"/>
      <w:jc w:val="both"/>
    </w:pPr>
    <w:rPr>
      <w:rFonts w:ascii="Arial Narrow" w:hAnsi="Arial Narrow" w:cs="Tahoma"/>
      <w:b/>
      <w:sz w:val="20"/>
      <w:szCs w:val="22"/>
    </w:rPr>
  </w:style>
  <w:style w:type="character" w:customStyle="1" w:styleId="TableHeader1Char">
    <w:name w:val="Table Header1 Char"/>
    <w:basedOn w:val="DefaultParagraphFont"/>
    <w:link w:val="TableHeader1"/>
    <w:rsid w:val="001B18ED"/>
    <w:rPr>
      <w:rFonts w:ascii="Arial Narrow" w:eastAsia="Times New Roman" w:hAnsi="Arial Narrow" w:cs="Tahoma"/>
      <w:b/>
      <w:sz w:val="20"/>
    </w:rPr>
  </w:style>
  <w:style w:type="paragraph" w:customStyle="1" w:styleId="Tablenotes0">
    <w:name w:val="Tablenotes"/>
    <w:basedOn w:val="Normal"/>
    <w:link w:val="TablenotesChar"/>
    <w:autoRedefine/>
    <w:qFormat/>
    <w:rsid w:val="005754FD"/>
    <w:pPr>
      <w:widowControl w:val="0"/>
      <w:spacing w:before="6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0"/>
    <w:rsid w:val="005754FD"/>
    <w:rPr>
      <w:rFonts w:ascii="Arial Narrow" w:eastAsia="Times New Roman" w:hAnsi="Arial Narrow" w:cs="Arial"/>
      <w:snapToGrid w:val="0"/>
      <w:sz w:val="18"/>
      <w:szCs w:val="20"/>
      <w:lang w:eastAsia="en-US"/>
    </w:rPr>
  </w:style>
  <w:style w:type="table" w:customStyle="1" w:styleId="TableGrid9">
    <w:name w:val="Table Grid9"/>
    <w:basedOn w:val="TableNormal"/>
    <w:next w:val="TableGrid"/>
    <w:uiPriority w:val="39"/>
    <w:rsid w:val="00374A2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ftjustified">
    <w:name w:val="Left justified"/>
    <w:basedOn w:val="TableNormal"/>
    <w:rsid w:val="00374A2A"/>
    <w:pPr>
      <w:spacing w:before="40" w:after="40"/>
    </w:pPr>
    <w:rPr>
      <w:rFonts w:ascii="Arial Narrow" w:eastAsia="SimSun" w:hAnsi="Arial Narrow"/>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wordWrap/>
      </w:pPr>
      <w:rPr>
        <w:rFonts w:ascii="Arial Narrow" w:hAnsi="Arial Narrow"/>
        <w:b w:val="0"/>
        <w:sz w:val="20"/>
      </w:rPr>
      <w:tblPr/>
      <w:tcPr>
        <w:shd w:val="clear" w:color="auto" w:fill="F2F2F2" w:themeFill="background1" w:themeFillShade="F2"/>
      </w:tcPr>
    </w:tblStylePr>
  </w:style>
  <w:style w:type="paragraph" w:customStyle="1" w:styleId="BulletBeforeDash">
    <w:name w:val="BulletBeforeDash"/>
    <w:basedOn w:val="Normal"/>
    <w:rsid w:val="00003593"/>
    <w:pPr>
      <w:numPr>
        <w:numId w:val="29"/>
      </w:numPr>
    </w:pPr>
    <w:rPr>
      <w:color w:val="000000"/>
    </w:rPr>
  </w:style>
  <w:style w:type="paragraph" w:customStyle="1" w:styleId="Bullet">
    <w:name w:val="Bullet"/>
    <w:basedOn w:val="BulletBeforeDash"/>
    <w:qFormat/>
    <w:rsid w:val="00003593"/>
    <w:pPr>
      <w:spacing w:after="120"/>
    </w:pPr>
  </w:style>
  <w:style w:type="paragraph" w:customStyle="1" w:styleId="BulletLast">
    <w:name w:val="BulletLast"/>
    <w:basedOn w:val="Bullet"/>
    <w:qFormat/>
    <w:rsid w:val="00003593"/>
    <w:pPr>
      <w:spacing w:after="240"/>
    </w:pPr>
  </w:style>
  <w:style w:type="paragraph" w:customStyle="1" w:styleId="Comment">
    <w:name w:val="Comment"/>
    <w:basedOn w:val="Normal"/>
    <w:link w:val="CommentChar"/>
    <w:qFormat/>
    <w:rsid w:val="00423AE9"/>
    <w:pPr>
      <w:tabs>
        <w:tab w:val="num" w:pos="720"/>
      </w:tabs>
      <w:spacing w:before="120" w:after="120" w:line="312" w:lineRule="auto"/>
      <w:jc w:val="both"/>
    </w:pPr>
    <w:rPr>
      <w:rFonts w:ascii="Calibri" w:eastAsia="SimSun" w:hAnsi="Calibri" w:cs="Tahoma"/>
      <w:i/>
      <w:color w:val="C00000"/>
      <w:sz w:val="22"/>
      <w:szCs w:val="22"/>
    </w:rPr>
  </w:style>
  <w:style w:type="character" w:customStyle="1" w:styleId="CommentChar">
    <w:name w:val="Comment Char"/>
    <w:basedOn w:val="DefaultParagraphFont"/>
    <w:link w:val="Comment"/>
    <w:rsid w:val="00423AE9"/>
    <w:rPr>
      <w:rFonts w:ascii="Calibri" w:eastAsia="SimSun" w:hAnsi="Calibri" w:cs="Tahoma"/>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http://intranet.surgeons.org/department/RAASProjectOffice/Projects/DHA/DHA%201844%20MSAC%20-%20SBA%201387.2%20-%20Optimizer%20CCM/Section%20D%20working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5415495107417"/>
          <c:y val="4.8415492957746498E-2"/>
          <c:w val="0.64278455380893396"/>
          <c:h val="0.78144026560940505"/>
        </c:manualLayout>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C00000"/>
              </a:solidFill>
              <a:ln>
                <a:solidFill>
                  <a:srgbClr val="C00000"/>
                </a:solidFill>
              </a:ln>
              <a:effectLst/>
            </c:spPr>
            <c:extLst>
              <c:ext xmlns:c16="http://schemas.microsoft.com/office/drawing/2014/chart" uri="{C3380CC4-5D6E-409C-BE32-E72D297353CC}">
                <c16:uniqueId val="{00000001-81F7-4565-B73D-9BB590F19B50}"/>
              </c:ext>
            </c:extLst>
          </c:dPt>
          <c:dPt>
            <c:idx val="3"/>
            <c:invertIfNegative val="0"/>
            <c:bubble3D val="0"/>
            <c:spPr>
              <a:solidFill>
                <a:srgbClr val="C00000"/>
              </a:solidFill>
              <a:ln>
                <a:solidFill>
                  <a:srgbClr val="C00000"/>
                </a:solidFill>
              </a:ln>
              <a:effectLst/>
            </c:spPr>
            <c:extLst>
              <c:ext xmlns:c16="http://schemas.microsoft.com/office/drawing/2014/chart" uri="{C3380CC4-5D6E-409C-BE32-E72D297353CC}">
                <c16:uniqueId val="{00000003-81F7-4565-B73D-9BB590F19B50}"/>
              </c:ext>
            </c:extLst>
          </c:dPt>
          <c:dPt>
            <c:idx val="5"/>
            <c:invertIfNegative val="0"/>
            <c:bubble3D val="0"/>
            <c:spPr>
              <a:solidFill>
                <a:srgbClr val="C00000"/>
              </a:solidFill>
              <a:ln>
                <a:solidFill>
                  <a:srgbClr val="C00000"/>
                </a:solidFill>
              </a:ln>
              <a:effectLst/>
            </c:spPr>
            <c:extLst>
              <c:ext xmlns:c16="http://schemas.microsoft.com/office/drawing/2014/chart" uri="{C3380CC4-5D6E-409C-BE32-E72D297353CC}">
                <c16:uniqueId val="{00000005-81F7-4565-B73D-9BB590F19B50}"/>
              </c:ext>
            </c:extLst>
          </c:dPt>
          <c:dLbls>
            <c:dLbl>
              <c:idx val="0"/>
              <c:layout>
                <c:manualLayout>
                  <c:x val="-5.0502150992262497E-2"/>
                  <c:y val="5.8722413219474299E-3"/>
                </c:manualLayout>
              </c:layout>
              <c:spPr>
                <a:solidFill>
                  <a:schemeClr val="bg1"/>
                </a:solid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1F7-4565-B73D-9BB590F19B50}"/>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Sens.Anal_UPDATED!$D$4:$D$13</c:f>
              <c:strCache>
                <c:ptCount val="10"/>
                <c:pt idx="0">
                  <c:v>Base case</c:v>
                </c:pt>
                <c:pt idx="1">
                  <c:v> 25-35% LVEF Subgroup </c:v>
                </c:pt>
                <c:pt idx="2">
                  <c:v> Literature based hospitalisation Rate </c:v>
                </c:pt>
                <c:pt idx="3">
                  <c:v> Including Registry Patients </c:v>
                </c:pt>
                <c:pt idx="4">
                  <c:v> 35-45% LVEF Subgroup </c:v>
                </c:pt>
                <c:pt idx="5">
                  <c:v> Registry Patients 
&amp; NYHA Not Mantained </c:v>
                </c:pt>
                <c:pt idx="6">
                  <c:v> IPD Derived Utility </c:v>
                </c:pt>
                <c:pt idx="7">
                  <c:v> NYHA Full Extrapolation </c:v>
                </c:pt>
                <c:pt idx="8">
                  <c:v> No Survival Benefit </c:v>
                </c:pt>
                <c:pt idx="9">
                  <c:v> Time Horizon: 5-year  </c:v>
                </c:pt>
              </c:strCache>
            </c:strRef>
          </c:cat>
          <c:val>
            <c:numRef>
              <c:f>Sens.Anal_UPDATED!$E$4:$E$13</c:f>
              <c:numCache>
                <c:formatCode>_-"$"* #,##0_-;\-"$"* #,##0_-;_-"$"* "-"??_-;_-@_-</c:formatCode>
                <c:ptCount val="10"/>
                <c:pt idx="0">
                  <c:v>52301</c:v>
                </c:pt>
                <c:pt idx="1">
                  <c:v>51650</c:v>
                </c:pt>
                <c:pt idx="2">
                  <c:v>52971</c:v>
                </c:pt>
                <c:pt idx="3">
                  <c:v>45934</c:v>
                </c:pt>
                <c:pt idx="4">
                  <c:v>61123</c:v>
                </c:pt>
                <c:pt idx="5">
                  <c:v>43024</c:v>
                </c:pt>
                <c:pt idx="6">
                  <c:v>70702</c:v>
                </c:pt>
                <c:pt idx="7">
                  <c:v>88376</c:v>
                </c:pt>
                <c:pt idx="8">
                  <c:v>138833</c:v>
                </c:pt>
                <c:pt idx="9">
                  <c:v>144386</c:v>
                </c:pt>
              </c:numCache>
            </c:numRef>
          </c:val>
          <c:extLst>
            <c:ext xmlns:c16="http://schemas.microsoft.com/office/drawing/2014/chart" uri="{C3380CC4-5D6E-409C-BE32-E72D297353CC}">
              <c16:uniqueId val="{00000007-81F7-4565-B73D-9BB590F19B50}"/>
            </c:ext>
          </c:extLst>
        </c:ser>
        <c:dLbls>
          <c:showLegendKey val="0"/>
          <c:showVal val="0"/>
          <c:showCatName val="0"/>
          <c:showSerName val="0"/>
          <c:showPercent val="0"/>
          <c:showBubbleSize val="0"/>
        </c:dLbls>
        <c:gapWidth val="53"/>
        <c:axId val="-2024186528"/>
        <c:axId val="-2024772368"/>
      </c:barChart>
      <c:catAx>
        <c:axId val="-202418652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AU"/>
                  <a:t>Scenarios</a:t>
                </a:r>
              </a:p>
            </c:rich>
          </c:tx>
          <c:layout>
            <c:manualLayout>
              <c:xMode val="edge"/>
              <c:yMode val="edge"/>
              <c:x val="2.53968253968254E-2"/>
              <c:y val="4.2544605001297899E-2"/>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024772368"/>
        <c:crossesAt val="52301"/>
        <c:auto val="1"/>
        <c:lblAlgn val="ctr"/>
        <c:lblOffset val="100"/>
        <c:noMultiLvlLbl val="0"/>
      </c:catAx>
      <c:valAx>
        <c:axId val="-2024772368"/>
        <c:scaling>
          <c:orientation val="minMax"/>
        </c:scaling>
        <c:delete val="0"/>
        <c:axPos val="b"/>
        <c:majorGridlines>
          <c:spPr>
            <a:ln w="6350"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AU"/>
                  <a:t>ICER ($ per QALY gained)</a:t>
                </a:r>
              </a:p>
            </c:rich>
          </c:tx>
          <c:layout>
            <c:manualLayout>
              <c:xMode val="edge"/>
              <c:yMode val="edge"/>
              <c:x val="0.75845219347581605"/>
              <c:y val="0.9261390787690000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_-&quot;$&quot;* #,##0_-;\-&quot;$&quot;* #,##0_-;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0241865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DA56-7655-4519-9102-0D34A6DE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7193</Words>
  <Characters>41001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1387.2 - Final PSD</vt:lpstr>
    </vt:vector>
  </TitlesOfParts>
  <Company/>
  <LinksUpToDate>false</LinksUpToDate>
  <CharactersWithSpaces>48098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1387.2 - Final PSD</dc:title>
  <dc:creator/>
  <cp:lastModifiedBy/>
  <cp:revision>1</cp:revision>
  <dcterms:created xsi:type="dcterms:W3CDTF">2019-09-26T01:25:00Z</dcterms:created>
  <dcterms:modified xsi:type="dcterms:W3CDTF">2019-09-26T01:36:00Z</dcterms:modified>
</cp:coreProperties>
</file>