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0BAE8" w14:textId="77777777" w:rsidR="00DE0A72" w:rsidRPr="00707064" w:rsidRDefault="00DE0A72" w:rsidP="00DE0A72">
      <w:pPr>
        <w:spacing w:after="240"/>
        <w:jc w:val="center"/>
        <w:rPr>
          <w:b/>
          <w:i/>
          <w:szCs w:val="24"/>
          <w:highlight w:val="yellow"/>
        </w:rPr>
      </w:pPr>
      <w:r>
        <w:rPr>
          <w:rFonts w:ascii="Arial" w:hAnsi="Arial" w:cs="Arial"/>
          <w:b/>
          <w:noProof/>
          <w:color w:val="000080"/>
          <w:sz w:val="28"/>
          <w:szCs w:val="28"/>
        </w:rPr>
        <w:drawing>
          <wp:inline distT="0" distB="0" distL="0" distR="0" wp14:anchorId="70CC030B" wp14:editId="5D9DAA8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6AF2DB8" w14:textId="77777777" w:rsidR="00DE0A72" w:rsidRPr="00F715D1" w:rsidRDefault="00DE0A72" w:rsidP="00DE0A72">
      <w:pPr>
        <w:pStyle w:val="Title"/>
        <w:tabs>
          <w:tab w:val="left" w:pos="1926"/>
          <w:tab w:val="center" w:pos="4513"/>
        </w:tabs>
        <w:jc w:val="left"/>
      </w:pPr>
      <w:r>
        <w:tab/>
      </w:r>
      <w:r>
        <w:tab/>
      </w:r>
      <w:r w:rsidRPr="00F715D1">
        <w:t>Public Summary Document</w:t>
      </w:r>
    </w:p>
    <w:p w14:paraId="6979EB12" w14:textId="77777777" w:rsidR="00DE0A72" w:rsidRPr="00F715D1" w:rsidRDefault="00DE0A72" w:rsidP="00DE0A72">
      <w:pPr>
        <w:pStyle w:val="Subtitle"/>
      </w:pPr>
      <w:r w:rsidRPr="00F715D1">
        <w:t xml:space="preserve">Application No. </w:t>
      </w:r>
      <w:r>
        <w:t>1553</w:t>
      </w:r>
      <w:r w:rsidRPr="00F715D1">
        <w:t xml:space="preserve"> – </w:t>
      </w:r>
      <w:r>
        <w:t>Transmural fixation of aortic endograft adjunct to endovas</w:t>
      </w:r>
      <w:r w:rsidR="001E4FA6">
        <w:t>c</w:t>
      </w:r>
      <w:r>
        <w:t>ular aneurysm repair using helical anchors</w:t>
      </w:r>
    </w:p>
    <w:p w14:paraId="053BFBB7" w14:textId="77777777" w:rsidR="00DE0A72" w:rsidRPr="00F715D1" w:rsidRDefault="00DE0A72" w:rsidP="00DE0A72">
      <w:pPr>
        <w:tabs>
          <w:tab w:val="left" w:pos="3686"/>
        </w:tabs>
        <w:spacing w:after="2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Medtronic Australasia</w:t>
      </w:r>
    </w:p>
    <w:p w14:paraId="69345DB7" w14:textId="77777777" w:rsidR="00DE0A72" w:rsidRPr="00F715D1" w:rsidRDefault="00DE0A72" w:rsidP="00DE0A72">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78</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3 April 2020</w:t>
      </w:r>
    </w:p>
    <w:p w14:paraId="18FC2534" w14:textId="77777777" w:rsidR="00DE0A72" w:rsidRPr="00B03EAB" w:rsidRDefault="00DE0A72" w:rsidP="00DE0A72">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1C2BE8B3" w14:textId="77777777" w:rsidR="00DE0A72" w:rsidRPr="00F715D1" w:rsidRDefault="00DE0A72" w:rsidP="00DE0A72">
      <w:pPr>
        <w:pStyle w:val="Heading1"/>
      </w:pPr>
      <w:r w:rsidRPr="00F715D1">
        <w:t xml:space="preserve">Purpose of application </w:t>
      </w:r>
    </w:p>
    <w:p w14:paraId="5B8AE654" w14:textId="1EC4650A" w:rsidR="00CB2414" w:rsidRPr="00154A9C" w:rsidRDefault="00CB2414" w:rsidP="00CB2414">
      <w:r w:rsidRPr="00154A9C">
        <w:t>An application requesting Medicare Benefits Schedule (MBS) listing of transmural fixation of aortic endograft using helical anchors (EndoAnchors</w:t>
      </w:r>
      <w:r w:rsidR="004304E5">
        <w:t>®</w:t>
      </w:r>
      <w:r w:rsidR="005B16AE">
        <w:t xml:space="preserve"> [EA]</w:t>
      </w:r>
      <w:r w:rsidRPr="00154A9C">
        <w:t>) for the treatment of aortic aneurysms of the abdominal and thoracic region adjunct to endovascular aneurysm repair</w:t>
      </w:r>
      <w:r w:rsidR="005B16AE">
        <w:t xml:space="preserve"> </w:t>
      </w:r>
      <w:r w:rsidR="00DD079A">
        <w:t xml:space="preserve">was </w:t>
      </w:r>
      <w:r w:rsidRPr="00154A9C">
        <w:t>received from Medtronic Australasia by the Department of Health.</w:t>
      </w:r>
    </w:p>
    <w:p w14:paraId="7AB31368" w14:textId="77777777" w:rsidR="00DE0A72" w:rsidRPr="00F715D1" w:rsidRDefault="00DE0A72" w:rsidP="00DE0A72">
      <w:pPr>
        <w:pStyle w:val="Heading1"/>
      </w:pPr>
      <w:r w:rsidRPr="00F715D1">
        <w:t>MSAC’s advice to the Minister</w:t>
      </w:r>
    </w:p>
    <w:p w14:paraId="01A37C03" w14:textId="2D2A360B" w:rsidR="00890A2A" w:rsidRDefault="00FD2CBA" w:rsidP="00DE0A72">
      <w:pPr>
        <w:pStyle w:val="Default"/>
        <w:spacing w:after="240"/>
      </w:pPr>
      <w:r w:rsidRPr="001342D1">
        <w:t xml:space="preserve">After considering the strength of the available evidence in relation to comparative safety, </w:t>
      </w:r>
      <w:r>
        <w:t>clinical effectiveness and cost-</w:t>
      </w:r>
      <w:r w:rsidRPr="001342D1">
        <w:t xml:space="preserve">effectiveness, </w:t>
      </w:r>
      <w:r w:rsidRPr="00736001">
        <w:t xml:space="preserve">MSAC did not support the public funding of transmural fixation of aortic endograft adjunct to endovascular aneurysm repair using helical anchors, </w:t>
      </w:r>
      <w:r w:rsidRPr="006F5CD6">
        <w:t>due to insufficient evidence to support non-inferiority in terms of effectiveness and safety over the alternative treatment approaches. MSAC was also concerned that usage would not be limited to high-risk patients (identified as having “hostile anatomies”) but that this procedure would also be used in a wider patient population where the use of helical anchors is likely to be associated with higher costs and no, or limited, incremental benefit.</w:t>
      </w:r>
    </w:p>
    <w:tbl>
      <w:tblPr>
        <w:tblStyle w:val="TableGrid"/>
        <w:tblW w:w="0" w:type="auto"/>
        <w:tblLook w:val="04A0" w:firstRow="1" w:lastRow="0" w:firstColumn="1" w:lastColumn="0" w:noHBand="0" w:noVBand="1"/>
        <w:tblDescription w:val="Consumer summary of MSAC consideration"/>
      </w:tblPr>
      <w:tblGrid>
        <w:gridCol w:w="9016"/>
      </w:tblGrid>
      <w:tr w:rsidR="00890A2A" w14:paraId="5708C19C" w14:textId="77777777" w:rsidTr="00890A2A">
        <w:trPr>
          <w:tblHeader/>
        </w:trPr>
        <w:tc>
          <w:tcPr>
            <w:tcW w:w="9016" w:type="dxa"/>
          </w:tcPr>
          <w:p w14:paraId="275DDD8A" w14:textId="5501798A" w:rsidR="00890A2A" w:rsidRDefault="00890A2A" w:rsidP="00890A2A">
            <w:pPr>
              <w:pStyle w:val="Default"/>
              <w:spacing w:before="120" w:after="120"/>
              <w:rPr>
                <w:i/>
                <w:color w:val="auto"/>
              </w:rPr>
            </w:pPr>
            <w:r>
              <w:rPr>
                <w:b/>
                <w:color w:val="auto"/>
                <w:sz w:val="24"/>
                <w:szCs w:val="24"/>
              </w:rPr>
              <w:t>Consumer summary</w:t>
            </w:r>
          </w:p>
        </w:tc>
      </w:tr>
      <w:tr w:rsidR="00890A2A" w14:paraId="266CA9CB" w14:textId="77777777" w:rsidTr="00890A2A">
        <w:tc>
          <w:tcPr>
            <w:tcW w:w="9016" w:type="dxa"/>
          </w:tcPr>
          <w:p w14:paraId="36F4B755" w14:textId="77777777" w:rsidR="00890A2A" w:rsidRPr="00251162" w:rsidRDefault="00890A2A" w:rsidP="00890A2A">
            <w:pPr>
              <w:pStyle w:val="Default"/>
              <w:spacing w:before="120" w:after="240"/>
              <w:rPr>
                <w:color w:val="auto"/>
                <w:sz w:val="24"/>
                <w:szCs w:val="24"/>
              </w:rPr>
            </w:pPr>
            <w:r w:rsidRPr="00251162">
              <w:rPr>
                <w:color w:val="auto"/>
                <w:sz w:val="24"/>
                <w:szCs w:val="24"/>
              </w:rPr>
              <w:t xml:space="preserve">Medtronic Australasia applied for public funding through the Medicare Benefits Schedule (MBS) for the use of helical anchors </w:t>
            </w:r>
            <w:r w:rsidRPr="00251162">
              <w:rPr>
                <w:sz w:val="24"/>
                <w:szCs w:val="24"/>
              </w:rPr>
              <w:t xml:space="preserve">(EndoAnchors) </w:t>
            </w:r>
            <w:r w:rsidRPr="00251162">
              <w:rPr>
                <w:color w:val="auto"/>
                <w:sz w:val="24"/>
                <w:szCs w:val="24"/>
              </w:rPr>
              <w:t>when repairing aneurysms in the aorta.</w:t>
            </w:r>
          </w:p>
          <w:p w14:paraId="652A03C8" w14:textId="77777777" w:rsidR="00890A2A" w:rsidRPr="00251162" w:rsidRDefault="00890A2A" w:rsidP="00890A2A">
            <w:pPr>
              <w:pStyle w:val="Default"/>
              <w:spacing w:before="120" w:after="240"/>
              <w:rPr>
                <w:color w:val="auto"/>
                <w:sz w:val="24"/>
                <w:szCs w:val="24"/>
              </w:rPr>
            </w:pPr>
            <w:r w:rsidRPr="00251162">
              <w:rPr>
                <w:color w:val="auto"/>
                <w:sz w:val="24"/>
                <w:szCs w:val="24"/>
              </w:rPr>
              <w:t>Arteries carry blood away from the heart to other organs. The aorta is the main artery in the body. When an artery wall weakens, it can result in a bulge, which is called an aneurysm. If the aneurysm fills with blood and then ruptures, it bleeds inside the body. The endovascular aneurysm repair procedure involves placing a covered stent graft (a metal mesh tube with a layer of fabric) into</w:t>
            </w:r>
            <w:r>
              <w:rPr>
                <w:color w:val="auto"/>
                <w:sz w:val="24"/>
                <w:szCs w:val="24"/>
              </w:rPr>
              <w:t xml:space="preserve"> the artery next to the</w:t>
            </w:r>
            <w:r w:rsidRPr="00251162">
              <w:rPr>
                <w:color w:val="auto"/>
                <w:sz w:val="24"/>
                <w:szCs w:val="24"/>
              </w:rPr>
              <w:t xml:space="preserve"> aneurysm</w:t>
            </w:r>
            <w:r>
              <w:rPr>
                <w:color w:val="auto"/>
                <w:sz w:val="24"/>
                <w:szCs w:val="24"/>
              </w:rPr>
              <w:t xml:space="preserve"> </w:t>
            </w:r>
            <w:r w:rsidRPr="00251162">
              <w:rPr>
                <w:color w:val="auto"/>
                <w:sz w:val="24"/>
                <w:szCs w:val="24"/>
              </w:rPr>
              <w:t xml:space="preserve">that </w:t>
            </w:r>
            <w:r>
              <w:rPr>
                <w:color w:val="auto"/>
                <w:sz w:val="24"/>
                <w:szCs w:val="24"/>
              </w:rPr>
              <w:t xml:space="preserve">is </w:t>
            </w:r>
            <w:r w:rsidRPr="00251162">
              <w:rPr>
                <w:color w:val="auto"/>
                <w:sz w:val="24"/>
                <w:szCs w:val="24"/>
              </w:rPr>
              <w:t xml:space="preserve">at risk of rupturing. This provides a route for the blood to flow, rather than pooling inside the bulge. </w:t>
            </w:r>
            <w:r w:rsidRPr="00251162">
              <w:rPr>
                <w:color w:val="auto"/>
                <w:sz w:val="24"/>
                <w:szCs w:val="24"/>
              </w:rPr>
              <w:lastRenderedPageBreak/>
              <w:t>Helical anchors are</w:t>
            </w:r>
            <w:r>
              <w:rPr>
                <w:color w:val="auto"/>
                <w:sz w:val="24"/>
                <w:szCs w:val="24"/>
              </w:rPr>
              <w:t xml:space="preserve"> proposed for </w:t>
            </w:r>
            <w:r w:rsidRPr="00251162">
              <w:rPr>
                <w:color w:val="auto"/>
                <w:sz w:val="24"/>
                <w:szCs w:val="24"/>
              </w:rPr>
              <w:t xml:space="preserve">use to improve the seal between the graft and the artery and help fix the graft </w:t>
            </w:r>
            <w:r>
              <w:rPr>
                <w:color w:val="auto"/>
                <w:sz w:val="24"/>
                <w:szCs w:val="24"/>
              </w:rPr>
              <w:t>in</w:t>
            </w:r>
            <w:r w:rsidRPr="00251162">
              <w:rPr>
                <w:color w:val="auto"/>
                <w:sz w:val="24"/>
                <w:szCs w:val="24"/>
              </w:rPr>
              <w:t xml:space="preserve"> the correct position.</w:t>
            </w:r>
          </w:p>
          <w:p w14:paraId="17DFE993" w14:textId="77777777" w:rsidR="00890A2A" w:rsidRDefault="00890A2A" w:rsidP="00890A2A">
            <w:pPr>
              <w:pStyle w:val="Default"/>
              <w:spacing w:before="120" w:after="240"/>
              <w:rPr>
                <w:sz w:val="24"/>
                <w:szCs w:val="24"/>
              </w:rPr>
            </w:pPr>
            <w:r w:rsidRPr="00251162">
              <w:rPr>
                <w:sz w:val="24"/>
                <w:szCs w:val="24"/>
              </w:rPr>
              <w:t>MSAC found that there was not enough evidence to show that the use of helical anchors was any better or safer than other approaches currently used to treat aortic aneurysms. The studies that look at the effectiveness and safety of helical anchors are of low quality and only include small numbers of patients.</w:t>
            </w:r>
          </w:p>
          <w:p w14:paraId="04105EAF" w14:textId="77777777" w:rsidR="00890A2A" w:rsidRPr="00251162" w:rsidRDefault="00890A2A" w:rsidP="00890A2A">
            <w:pPr>
              <w:pStyle w:val="Default"/>
              <w:spacing w:before="120" w:after="240"/>
              <w:rPr>
                <w:b/>
                <w:color w:val="auto"/>
                <w:sz w:val="24"/>
                <w:szCs w:val="24"/>
              </w:rPr>
            </w:pPr>
            <w:r w:rsidRPr="006F5CD6">
              <w:rPr>
                <w:sz w:val="24"/>
                <w:szCs w:val="24"/>
              </w:rPr>
              <w:t>MSAC suggested that the Department might like to initiate discussions with the vascular surgeon craft group that supports the work of the Prosthesis List Advisory Committee and with public hospital providers of this service to help answer the question of whether there is a clinical need for a particular group of patients that has not yet been addressed.</w:t>
            </w:r>
          </w:p>
          <w:p w14:paraId="030D0E7C" w14:textId="77777777" w:rsidR="00890A2A" w:rsidRPr="00251162" w:rsidRDefault="00890A2A" w:rsidP="00890A2A">
            <w:pPr>
              <w:pStyle w:val="Default"/>
              <w:spacing w:after="120"/>
              <w:rPr>
                <w:b/>
                <w:color w:val="auto"/>
                <w:sz w:val="24"/>
                <w:szCs w:val="24"/>
              </w:rPr>
            </w:pPr>
            <w:r w:rsidRPr="00251162">
              <w:rPr>
                <w:b/>
                <w:color w:val="auto"/>
                <w:sz w:val="24"/>
                <w:szCs w:val="24"/>
              </w:rPr>
              <w:t>MSAC’s advice to the Commonwealth Minister of Health</w:t>
            </w:r>
          </w:p>
          <w:p w14:paraId="05F86CA5" w14:textId="26F15349" w:rsidR="00890A2A" w:rsidRDefault="00890A2A" w:rsidP="00890A2A">
            <w:pPr>
              <w:pStyle w:val="Default"/>
              <w:spacing w:after="240"/>
              <w:rPr>
                <w:i/>
                <w:color w:val="auto"/>
              </w:rPr>
            </w:pPr>
            <w:r w:rsidRPr="006F5CD6">
              <w:rPr>
                <w:sz w:val="24"/>
                <w:szCs w:val="24"/>
              </w:rPr>
              <w:t>MSAC did not support the public funding of this procedure, rejecting the application on the basis of poor-quality clinical evidence, particularly in relation to safety.</w:t>
            </w:r>
          </w:p>
        </w:tc>
      </w:tr>
    </w:tbl>
    <w:p w14:paraId="4A3F97AF" w14:textId="77777777" w:rsidR="00DE0A72" w:rsidRPr="00F715D1" w:rsidRDefault="00DE0A72" w:rsidP="00DE0A72">
      <w:pPr>
        <w:pStyle w:val="Heading1"/>
      </w:pPr>
      <w:r w:rsidRPr="00F715D1">
        <w:lastRenderedPageBreak/>
        <w:t xml:space="preserve">Summary of consideration and rationale for MSAC’s advice </w:t>
      </w:r>
    </w:p>
    <w:p w14:paraId="04AAF636" w14:textId="70813241" w:rsidR="00912A5A" w:rsidRDefault="00FD2CBA" w:rsidP="00912A5A">
      <w:r>
        <w:t xml:space="preserve">MSAC noted that this application seeks </w:t>
      </w:r>
      <w:r w:rsidRPr="000C5A33">
        <w:t xml:space="preserve">listing of transmural fixation of aortic endograft using helical anchors </w:t>
      </w:r>
      <w:r w:rsidR="002874EA" w:rsidRPr="00154A9C">
        <w:t xml:space="preserve">(EndoAnchors) </w:t>
      </w:r>
      <w:r w:rsidRPr="000C5A33">
        <w:t xml:space="preserve">for patients with aortic aneurysm </w:t>
      </w:r>
      <w:r w:rsidR="00912A5A" w:rsidRPr="00912A5A">
        <w:t xml:space="preserve">adjunct to </w:t>
      </w:r>
      <w:r w:rsidR="008D79CB">
        <w:t xml:space="preserve">abdominal </w:t>
      </w:r>
      <w:r w:rsidR="00912A5A" w:rsidRPr="00912A5A">
        <w:t>endovascular aneurysm repair (EVAR)</w:t>
      </w:r>
      <w:r w:rsidR="00093813">
        <w:t xml:space="preserve"> or thoracic endovascular aneurysm repair (TEVAR)</w:t>
      </w:r>
      <w:r w:rsidR="0097315C">
        <w:t>.</w:t>
      </w:r>
    </w:p>
    <w:p w14:paraId="482548C2" w14:textId="5FEB8791" w:rsidR="00BA2BBD" w:rsidRDefault="00093813" w:rsidP="001408EE">
      <w:pPr>
        <w:spacing w:before="240" w:after="240"/>
      </w:pPr>
      <w:r>
        <w:t>MSAC noted th</w:t>
      </w:r>
      <w:r w:rsidR="009F2A4A">
        <w:t>at the application</w:t>
      </w:r>
      <w:r>
        <w:t xml:space="preserve"> proposes this intervention will be used in patients with an aneurysm that has a hostile neck anatomy (population 1) and in patients </w:t>
      </w:r>
      <w:r w:rsidRPr="00093813">
        <w:t>with a Type Ia endoleak and/or graft migration during or after T/EVAR</w:t>
      </w:r>
      <w:r w:rsidR="00CB2C61">
        <w:t xml:space="preserve"> (population 2). Taken together, </w:t>
      </w:r>
      <w:r w:rsidR="001E4FA6">
        <w:t xml:space="preserve">the </w:t>
      </w:r>
      <w:r w:rsidR="00CB2C61">
        <w:t xml:space="preserve">applicant claims </w:t>
      </w:r>
      <w:r w:rsidR="001E4FA6">
        <w:t xml:space="preserve">that </w:t>
      </w:r>
      <w:r w:rsidR="00CB2C61">
        <w:t xml:space="preserve">these patients represent a small proportion of all aneurysm repairs </w:t>
      </w:r>
      <w:r w:rsidR="00BA2BBD" w:rsidRPr="00BA2BBD">
        <w:t xml:space="preserve">(between 10% and 20% for </w:t>
      </w:r>
      <w:r w:rsidR="00BA2BBD">
        <w:t xml:space="preserve">Abdominal </w:t>
      </w:r>
      <w:r w:rsidR="00BA2BBD" w:rsidRPr="00BA2BBD">
        <w:t>A</w:t>
      </w:r>
      <w:r w:rsidR="00BA2BBD">
        <w:t xml:space="preserve">ortic </w:t>
      </w:r>
      <w:r w:rsidR="00BA2BBD" w:rsidRPr="00BA2BBD">
        <w:t>A</w:t>
      </w:r>
      <w:r w:rsidR="00BA2BBD">
        <w:t>neurysms (AAA)</w:t>
      </w:r>
      <w:r w:rsidR="00BA2BBD" w:rsidRPr="00BA2BBD">
        <w:t xml:space="preserve"> and 2.5% and 5% for T</w:t>
      </w:r>
      <w:r w:rsidR="00BA2BBD">
        <w:t xml:space="preserve">horacic </w:t>
      </w:r>
      <w:r w:rsidR="00BA2BBD" w:rsidRPr="00BA2BBD">
        <w:t>A</w:t>
      </w:r>
      <w:r w:rsidR="00BA2BBD">
        <w:t xml:space="preserve">ortic </w:t>
      </w:r>
      <w:r w:rsidR="00BA2BBD" w:rsidRPr="00BA2BBD">
        <w:t>A</w:t>
      </w:r>
      <w:r w:rsidR="00BA2BBD">
        <w:t>neurysms (TAA</w:t>
      </w:r>
      <w:r w:rsidR="00BA2BBD" w:rsidRPr="00BA2BBD">
        <w:t>)</w:t>
      </w:r>
      <w:r w:rsidR="00BA2BBD">
        <w:t>).</w:t>
      </w:r>
    </w:p>
    <w:p w14:paraId="1647B369" w14:textId="521DAA07" w:rsidR="00BA2BBD" w:rsidRPr="001408EE" w:rsidRDefault="00BA2BBD" w:rsidP="00FD2CBA">
      <w:r w:rsidRPr="006F5CD6">
        <w:t>MSA</w:t>
      </w:r>
      <w:r w:rsidR="001E4FA6" w:rsidRPr="006F5CD6">
        <w:t>C acknowledged that using helical</w:t>
      </w:r>
      <w:r w:rsidRPr="006F5CD6">
        <w:t xml:space="preserve"> anchors with an off-the-shelf tube or bifurcated graft offered the possibility of a more timely intervention for population 1 than use of a custom made fenestrat</w:t>
      </w:r>
      <w:r w:rsidR="009F2A4A" w:rsidRPr="006F5CD6">
        <w:t>ed or branch graft that</w:t>
      </w:r>
      <w:r w:rsidR="00113898" w:rsidRPr="006F5CD6">
        <w:t xml:space="preserve"> can</w:t>
      </w:r>
      <w:r w:rsidR="009F2A4A" w:rsidRPr="006F5CD6">
        <w:t xml:space="preserve"> take 1</w:t>
      </w:r>
      <w:r w:rsidRPr="006F5CD6">
        <w:t xml:space="preserve">–2 months to </w:t>
      </w:r>
      <w:r w:rsidR="001E4FA6" w:rsidRPr="006F5CD6">
        <w:t xml:space="preserve">manufacture. </w:t>
      </w:r>
      <w:r w:rsidR="00AD66FF" w:rsidRPr="006F5CD6">
        <w:t>However</w:t>
      </w:r>
      <w:r w:rsidR="001E4FA6" w:rsidRPr="006F5CD6">
        <w:t>, MSAC was concerned that helical</w:t>
      </w:r>
      <w:r w:rsidR="00AD66FF" w:rsidRPr="006F5CD6">
        <w:t xml:space="preserve"> anchors would be more widely used as adjunct to T/EVAR in uncomplicated aneurysm repairs.</w:t>
      </w:r>
    </w:p>
    <w:p w14:paraId="28E6B21B" w14:textId="5A64F305" w:rsidR="00113898" w:rsidRDefault="005F7095" w:rsidP="001408EE">
      <w:pPr>
        <w:spacing w:before="240"/>
      </w:pPr>
      <w:r w:rsidRPr="00395A8A">
        <w:t xml:space="preserve">MSAC noted </w:t>
      </w:r>
      <w:r w:rsidR="001E4FA6">
        <w:t xml:space="preserve">that </w:t>
      </w:r>
      <w:r w:rsidRPr="00395A8A">
        <w:t xml:space="preserve">there are no direct comparative studies of the proposed </w:t>
      </w:r>
      <w:r w:rsidR="00395A8A" w:rsidRPr="00395A8A">
        <w:t>intervention</w:t>
      </w:r>
      <w:r w:rsidRPr="00395A8A">
        <w:t xml:space="preserve"> and the </w:t>
      </w:r>
      <w:r w:rsidR="00395A8A" w:rsidRPr="00395A8A">
        <w:t xml:space="preserve">intervention </w:t>
      </w:r>
      <w:r w:rsidRPr="00395A8A">
        <w:t xml:space="preserve">that will be replaced. </w:t>
      </w:r>
      <w:r w:rsidR="00113898">
        <w:t>Overall</w:t>
      </w:r>
      <w:r w:rsidR="008931C0">
        <w:t>,</w:t>
      </w:r>
      <w:r w:rsidR="00113898">
        <w:t xml:space="preserve"> the</w:t>
      </w:r>
      <w:r w:rsidRPr="00395A8A">
        <w:t xml:space="preserve"> </w:t>
      </w:r>
      <w:r w:rsidR="001E4FA6">
        <w:t>application</w:t>
      </w:r>
      <w:r w:rsidRPr="00395A8A">
        <w:t xml:space="preserve"> instead relies </w:t>
      </w:r>
      <w:r w:rsidR="00113898">
        <w:t xml:space="preserve">predominantly on single arm open studies or on single arms of randomised studies. </w:t>
      </w:r>
      <w:r w:rsidR="004304E5" w:rsidRPr="004304E5">
        <w:t>The main evidence base for the proposed intervention is the ANCHOR registry, a prospective non-randomised study in 838 patients.</w:t>
      </w:r>
      <w:r w:rsidR="004304E5">
        <w:t xml:space="preserve"> </w:t>
      </w:r>
      <w:r w:rsidR="00160194">
        <w:t>The r</w:t>
      </w:r>
      <w:r w:rsidR="00113898">
        <w:t xml:space="preserve">esults </w:t>
      </w:r>
      <w:r w:rsidR="00160194">
        <w:t xml:space="preserve">from </w:t>
      </w:r>
      <w:r w:rsidRPr="00395A8A">
        <w:t>seven s</w:t>
      </w:r>
      <w:r w:rsidR="00395A8A" w:rsidRPr="00395A8A">
        <w:t>tudies of the proposed intervention,</w:t>
      </w:r>
      <w:r w:rsidRPr="00395A8A">
        <w:t xml:space="preserve"> 11 studies of the comparator for population 1 and 14 studies of the comparators for population 2</w:t>
      </w:r>
      <w:r w:rsidR="00395A8A" w:rsidRPr="00395A8A">
        <w:t xml:space="preserve"> </w:t>
      </w:r>
      <w:r w:rsidR="004304E5">
        <w:t xml:space="preserve">are used by the applicant </w:t>
      </w:r>
      <w:r w:rsidR="00395A8A" w:rsidRPr="00395A8A">
        <w:t>to conduct a naïve indirect comparison (see Table 4)</w:t>
      </w:r>
      <w:r w:rsidRPr="00395A8A">
        <w:t>.</w:t>
      </w:r>
      <w:r w:rsidR="00395A8A" w:rsidRPr="00395A8A">
        <w:t xml:space="preserve"> </w:t>
      </w:r>
      <w:r w:rsidR="00113898">
        <w:t xml:space="preserve"> </w:t>
      </w:r>
      <w:r w:rsidR="00395A8A" w:rsidRPr="006F5CD6">
        <w:t>MSAC did not accept the applicant’s arguments that this comparison was sufficiently robust to support a non-inferiority claim.</w:t>
      </w:r>
    </w:p>
    <w:p w14:paraId="2C7CBFE1" w14:textId="45ABA3EF" w:rsidR="00BA0530" w:rsidRDefault="00395A8A" w:rsidP="001408EE">
      <w:pPr>
        <w:spacing w:before="240"/>
      </w:pPr>
      <w:r>
        <w:t xml:space="preserve">In terms of safety, </w:t>
      </w:r>
      <w:r w:rsidR="00590DFD">
        <w:t xml:space="preserve">MSAC noted that </w:t>
      </w:r>
      <w:r>
        <w:t>although the results presented by the applicant suggest the proposed intervention (EVAR + EA) has similar</w:t>
      </w:r>
      <w:r w:rsidR="00FD2CBA" w:rsidRPr="003D5230">
        <w:t xml:space="preserve"> 30</w:t>
      </w:r>
      <w:r w:rsidR="00FD2CBA">
        <w:t xml:space="preserve">-day </w:t>
      </w:r>
      <w:r w:rsidR="00FD2CBA" w:rsidRPr="003D5230">
        <w:t xml:space="preserve">mortality </w:t>
      </w:r>
      <w:r>
        <w:t>to</w:t>
      </w:r>
      <w:r w:rsidR="00FD2CBA" w:rsidRPr="003D5230">
        <w:t xml:space="preserve"> complex EVAR </w:t>
      </w:r>
      <w:r>
        <w:t xml:space="preserve">in </w:t>
      </w:r>
      <w:r w:rsidR="00FD2CBA">
        <w:t xml:space="preserve">Population </w:t>
      </w:r>
      <w:r>
        <w:t>1</w:t>
      </w:r>
      <w:r w:rsidR="00FD2CBA" w:rsidRPr="003D5230">
        <w:t xml:space="preserve"> and</w:t>
      </w:r>
      <w:r>
        <w:t xml:space="preserve"> to revision EVAR in population 2, </w:t>
      </w:r>
      <w:r w:rsidR="00590DFD">
        <w:t>with</w:t>
      </w:r>
      <w:r>
        <w:t xml:space="preserve"> potentially </w:t>
      </w:r>
      <w:r w:rsidR="00FD2CBA" w:rsidRPr="003D5230">
        <w:t xml:space="preserve">lower mortality than </w:t>
      </w:r>
      <w:r w:rsidR="00590DFD">
        <w:t xml:space="preserve">open repair </w:t>
      </w:r>
      <w:r>
        <w:t>in</w:t>
      </w:r>
      <w:r w:rsidR="00FD2CBA" w:rsidRPr="003D5230">
        <w:t xml:space="preserve"> </w:t>
      </w:r>
      <w:r w:rsidR="00FD2CBA">
        <w:t xml:space="preserve">Population </w:t>
      </w:r>
      <w:r w:rsidR="00FD2CBA" w:rsidRPr="003D5230">
        <w:t>2</w:t>
      </w:r>
      <w:r>
        <w:t xml:space="preserve">, the data on safety were incomplete with only </w:t>
      </w:r>
      <w:r w:rsidR="00590DFD">
        <w:t>3</w:t>
      </w:r>
      <w:r>
        <w:t xml:space="preserve"> (of 7) </w:t>
      </w:r>
      <w:r>
        <w:lastRenderedPageBreak/>
        <w:t xml:space="preserve">EVAR+EA, 7 (of 11) complex EVAR and </w:t>
      </w:r>
      <w:r w:rsidR="001E4FA6">
        <w:t>7 (of 14) revision/</w:t>
      </w:r>
      <w:r w:rsidR="00590DFD">
        <w:t>open repair studies reporting adverse events.</w:t>
      </w:r>
      <w:r w:rsidR="00590DFD" w:rsidRPr="00590DFD">
        <w:t xml:space="preserve"> </w:t>
      </w:r>
      <w:r w:rsidR="00590DFD">
        <w:t>In addition</w:t>
      </w:r>
      <w:r w:rsidR="001E4FA6">
        <w:t>,</w:t>
      </w:r>
      <w:r w:rsidR="00590DFD">
        <w:t xml:space="preserve"> </w:t>
      </w:r>
      <w:r w:rsidR="00590DFD" w:rsidRPr="00154A9C">
        <w:t xml:space="preserve">there was considerable variation in how these events were </w:t>
      </w:r>
      <w:r w:rsidR="001E4FA6">
        <w:t>reported</w:t>
      </w:r>
      <w:r w:rsidR="00590DFD" w:rsidRPr="00154A9C">
        <w:t xml:space="preserve"> rendering a comparison between groups inappropriate.</w:t>
      </w:r>
    </w:p>
    <w:p w14:paraId="68B18FAA" w14:textId="3A6753C7" w:rsidR="00BA0530" w:rsidRDefault="00BA0530" w:rsidP="001408EE">
      <w:pPr>
        <w:spacing w:before="240"/>
      </w:pPr>
      <w:r w:rsidRPr="006F5CD6">
        <w:t>MSAC considered whether the ANCHOR registry could provide more data in relation to safety; however, MSAC noted that there was only a small number of events and therefore it is not sufficiently large</w:t>
      </w:r>
      <w:r w:rsidR="00113898" w:rsidRPr="006F5CD6">
        <w:t xml:space="preserve"> to </w:t>
      </w:r>
      <w:r w:rsidR="003C7ED2" w:rsidRPr="006F5CD6">
        <w:t xml:space="preserve">elucidate </w:t>
      </w:r>
      <w:r w:rsidRPr="006F5CD6">
        <w:t xml:space="preserve">the safety </w:t>
      </w:r>
      <w:r w:rsidR="00113898" w:rsidRPr="006F5CD6">
        <w:t>of the intervention.</w:t>
      </w:r>
    </w:p>
    <w:p w14:paraId="278B7D25" w14:textId="43E518FA" w:rsidR="00590DFD" w:rsidRDefault="00590DFD" w:rsidP="001408EE">
      <w:pPr>
        <w:spacing w:before="240"/>
      </w:pPr>
      <w:r>
        <w:t>In terms of effectiveness</w:t>
      </w:r>
      <w:r w:rsidR="001E4FA6">
        <w:t>,</w:t>
      </w:r>
      <w:r>
        <w:t xml:space="preserve"> MSAC noted there was a suggestion that there may be slightly more persistent Type 1a endoleaks with the intervention, EVAR + EA, in population 2, </w:t>
      </w:r>
      <w:r w:rsidRPr="006F5CD6">
        <w:t>but again MSAC considered the overall evidence base insufficient to support a</w:t>
      </w:r>
      <w:r w:rsidR="00160194" w:rsidRPr="006F5CD6">
        <w:t xml:space="preserve"> robust comparison of the intervention versus current treatment</w:t>
      </w:r>
      <w:r w:rsidRPr="006F5CD6">
        <w:t>.</w:t>
      </w:r>
    </w:p>
    <w:p w14:paraId="2D4CCF7B" w14:textId="77777777" w:rsidR="00590DFD" w:rsidRDefault="00590DFD" w:rsidP="001408EE">
      <w:pPr>
        <w:spacing w:before="240"/>
      </w:pPr>
      <w:r>
        <w:t xml:space="preserve">MSAC noted the </w:t>
      </w:r>
      <w:r w:rsidR="009F2A4A">
        <w:t>application</w:t>
      </w:r>
      <w:r>
        <w:t xml:space="preserve"> presented a cost-comparison of the intervention versus the comparators for Populations 1 and 2. In preparing this analysis, the </w:t>
      </w:r>
      <w:r w:rsidR="001E4FA6">
        <w:t>application</w:t>
      </w:r>
      <w:r>
        <w:t xml:space="preserve"> split the populations by aneurysm location</w:t>
      </w:r>
      <w:r w:rsidRPr="00590DFD">
        <w:t xml:space="preserve"> (abdominal and thoracic)</w:t>
      </w:r>
      <w:r>
        <w:t>, as follows</w:t>
      </w:r>
      <w:r w:rsidR="009F2A4A">
        <w:t>:</w:t>
      </w:r>
    </w:p>
    <w:p w14:paraId="76C06FC1" w14:textId="77777777" w:rsidR="00590DFD" w:rsidRPr="00154A9C" w:rsidRDefault="00590DFD" w:rsidP="00590DFD">
      <w:pPr>
        <w:pStyle w:val="ListParagraph"/>
        <w:numPr>
          <w:ilvl w:val="0"/>
          <w:numId w:val="8"/>
        </w:numPr>
        <w:contextualSpacing w:val="0"/>
      </w:pPr>
      <w:r w:rsidRPr="00154A9C">
        <w:t xml:space="preserve">Population 1a: initial AAA repair </w:t>
      </w:r>
    </w:p>
    <w:p w14:paraId="4F8C49A8" w14:textId="77777777" w:rsidR="00590DFD" w:rsidRPr="00154A9C" w:rsidRDefault="00590DFD" w:rsidP="00590DFD">
      <w:pPr>
        <w:pStyle w:val="ListParagraph"/>
        <w:numPr>
          <w:ilvl w:val="0"/>
          <w:numId w:val="8"/>
        </w:numPr>
        <w:contextualSpacing w:val="0"/>
      </w:pPr>
      <w:r w:rsidRPr="00154A9C">
        <w:t xml:space="preserve">Population 1b: initial TAA repair </w:t>
      </w:r>
    </w:p>
    <w:p w14:paraId="53F28653" w14:textId="77777777" w:rsidR="00590DFD" w:rsidRPr="00154A9C" w:rsidRDefault="00590DFD" w:rsidP="00590DFD">
      <w:pPr>
        <w:pStyle w:val="ListParagraph"/>
        <w:numPr>
          <w:ilvl w:val="0"/>
          <w:numId w:val="8"/>
        </w:numPr>
        <w:contextualSpacing w:val="0"/>
      </w:pPr>
      <w:r w:rsidRPr="00154A9C">
        <w:t xml:space="preserve">Population 2a: revision AAA repair </w:t>
      </w:r>
    </w:p>
    <w:p w14:paraId="268E660E" w14:textId="418361A4" w:rsidR="0061794D" w:rsidRDefault="00590DFD" w:rsidP="0061794D">
      <w:pPr>
        <w:pStyle w:val="ListParagraph"/>
        <w:numPr>
          <w:ilvl w:val="0"/>
          <w:numId w:val="8"/>
        </w:numPr>
        <w:contextualSpacing w:val="0"/>
      </w:pPr>
      <w:r w:rsidRPr="00154A9C">
        <w:t>Population 2b: revision TAA repair.</w:t>
      </w:r>
    </w:p>
    <w:p w14:paraId="2880F774" w14:textId="6703FEA6" w:rsidR="00F760DC" w:rsidRDefault="0061794D" w:rsidP="001408EE">
      <w:pPr>
        <w:spacing w:before="240"/>
      </w:pPr>
      <w:r>
        <w:t>The application then further divides these populations to take account of the different comparator procedures used.  Overall</w:t>
      </w:r>
      <w:r w:rsidR="001E4FA6">
        <w:t>, the application</w:t>
      </w:r>
      <w:r>
        <w:t xml:space="preserve"> presented eight (8) separate cost-comparisons</w:t>
      </w:r>
      <w:r w:rsidR="00F760DC">
        <w:t>,</w:t>
      </w:r>
      <w:r>
        <w:t xml:space="preserve"> with the intervention claimed to be cost saving in two scenarios and to have an additional cost in 6</w:t>
      </w:r>
      <w:r w:rsidR="001408EE">
        <w:t xml:space="preserve"> scenarios (see Tables 7 – 10).</w:t>
      </w:r>
    </w:p>
    <w:p w14:paraId="3B035598" w14:textId="3787ACE9" w:rsidR="00590DFD" w:rsidRPr="007439DE" w:rsidRDefault="00F760DC" w:rsidP="001408EE">
      <w:pPr>
        <w:spacing w:before="240"/>
      </w:pPr>
      <w:r>
        <w:t>The MSAC agreed with the commentary and its ESC that these cost-comparisons are associated with significant uncertainty</w:t>
      </w:r>
      <w:r w:rsidR="001E4FA6">
        <w:t>,</w:t>
      </w:r>
      <w:r>
        <w:t xml:space="preserve"> particularly relating to the number </w:t>
      </w:r>
      <w:r w:rsidR="00160194">
        <w:t>and</w:t>
      </w:r>
      <w:r>
        <w:t xml:space="preserve"> type of grafts and stents used in </w:t>
      </w:r>
      <w:r w:rsidRPr="007439DE">
        <w:t>the comparator arms. However</w:t>
      </w:r>
      <w:r w:rsidR="00BD0A66" w:rsidRPr="007439DE">
        <w:t>,</w:t>
      </w:r>
      <w:r w:rsidRPr="007439DE">
        <w:t xml:space="preserve"> MSAC ac</w:t>
      </w:r>
      <w:r w:rsidR="00BD0A66" w:rsidRPr="007439DE">
        <w:t>cepted the application</w:t>
      </w:r>
      <w:r w:rsidRPr="007439DE">
        <w:t>’s use of the cost of a fenestrated graft ($</w:t>
      </w:r>
      <w:r w:rsidR="007B0B41" w:rsidRPr="007439DE">
        <w:rPr>
          <w:b/>
        </w:rPr>
        <w:t>redacted</w:t>
      </w:r>
      <w:r w:rsidRPr="007439DE">
        <w:t xml:space="preserve">) in estimating the cost of FEVAR and agreed with ESC that the </w:t>
      </w:r>
      <w:r w:rsidR="00BD0A66" w:rsidRPr="007439DE">
        <w:t>application</w:t>
      </w:r>
      <w:r w:rsidRPr="007439DE">
        <w:t xml:space="preserve"> had appropriately </w:t>
      </w:r>
      <w:r w:rsidR="00BD0A66" w:rsidRPr="007439DE">
        <w:t>dealt with wastage of the helical</w:t>
      </w:r>
      <w:r w:rsidRPr="007439DE">
        <w:t xml:space="preserve"> anchors. MSAC also considered the cost comparison with chimney grafts was likely redundant as these grafts are rarely now used in clinical practice. Likewise the comparison with open surgery </w:t>
      </w:r>
      <w:r w:rsidR="0051407F" w:rsidRPr="007439DE">
        <w:t>may also not be informative in this setting, as current practice is to use revision EVAR in most patient</w:t>
      </w:r>
      <w:r w:rsidR="00BD0A66" w:rsidRPr="007439DE">
        <w:t>s</w:t>
      </w:r>
      <w:r w:rsidR="0051407F" w:rsidRPr="007439DE">
        <w:t>.</w:t>
      </w:r>
    </w:p>
    <w:p w14:paraId="76485680" w14:textId="24907C7C" w:rsidR="00590DFD" w:rsidRDefault="00F760DC" w:rsidP="001408EE">
      <w:pPr>
        <w:spacing w:before="240"/>
      </w:pPr>
      <w:r w:rsidRPr="007439DE">
        <w:t xml:space="preserve">MSAC noted the application had not attempted to calculate a weighted average price across the different cost scenarios. The pre-MSAC response attempted to address this issue by presenting estimates </w:t>
      </w:r>
      <w:r w:rsidR="00BD0A66" w:rsidRPr="007439DE">
        <w:t>of use across the populations 1a</w:t>
      </w:r>
      <w:r w:rsidRPr="007439DE">
        <w:t xml:space="preserve">, 1b, 2a and 2b. The applicant claimed this demonstrated the proposed intervention would be associated with a cost saving </w:t>
      </w:r>
      <w:r w:rsidR="0051407F" w:rsidRPr="007439DE">
        <w:t xml:space="preserve">of </w:t>
      </w:r>
      <w:r w:rsidRPr="007439DE">
        <w:t>$</w:t>
      </w:r>
      <w:r w:rsidR="007B0B41" w:rsidRPr="007439DE">
        <w:rPr>
          <w:b/>
        </w:rPr>
        <w:t>redacted</w:t>
      </w:r>
      <w:r w:rsidR="00160194" w:rsidRPr="007439DE">
        <w:t xml:space="preserve"> on average</w:t>
      </w:r>
      <w:r w:rsidR="0051407F" w:rsidRPr="007439DE">
        <w:t>. The MSAC noted this saving is driven primarily by the assumption that most patients</w:t>
      </w:r>
      <w:r w:rsidR="0051407F">
        <w:t xml:space="preserve"> will be in Population 1a and by the costs of the devices used in the comparat</w:t>
      </w:r>
      <w:r w:rsidR="00BD0A66">
        <w:t>or arms of Populations 1a and 2</w:t>
      </w:r>
      <w:r w:rsidR="0051407F">
        <w:t>a</w:t>
      </w:r>
      <w:r w:rsidR="00160194">
        <w:t xml:space="preserve">, </w:t>
      </w:r>
      <w:r w:rsidR="0059664E">
        <w:t>and that all of these inputs</w:t>
      </w:r>
      <w:r w:rsidR="00160194">
        <w:t xml:space="preserve"> are associated with uncertainty.</w:t>
      </w:r>
    </w:p>
    <w:p w14:paraId="29BFEC20" w14:textId="34AAC509" w:rsidR="00FD2CBA" w:rsidRDefault="00FD2CBA" w:rsidP="001408EE">
      <w:pPr>
        <w:spacing w:before="240"/>
      </w:pPr>
      <w:r>
        <w:t xml:space="preserve">MSAC </w:t>
      </w:r>
      <w:r w:rsidR="0051407F">
        <w:t xml:space="preserve">reiterated its concern of the </w:t>
      </w:r>
      <w:r>
        <w:t xml:space="preserve">potential for </w:t>
      </w:r>
      <w:r w:rsidR="0051407F">
        <w:t>use</w:t>
      </w:r>
      <w:r w:rsidRPr="00661A46">
        <w:t xml:space="preserve"> beyond </w:t>
      </w:r>
      <w:r>
        <w:t xml:space="preserve">Population 1 </w:t>
      </w:r>
      <w:r w:rsidR="0051407F">
        <w:t xml:space="preserve">and 2 </w:t>
      </w:r>
      <w:r w:rsidRPr="00661A46">
        <w:t>patients</w:t>
      </w:r>
      <w:r w:rsidR="0051407F">
        <w:t xml:space="preserve">, </w:t>
      </w:r>
      <w:r>
        <w:t xml:space="preserve">as some vascular surgeons </w:t>
      </w:r>
      <w:r w:rsidR="0051407F">
        <w:t>may also wish to use EVAR+EA</w:t>
      </w:r>
      <w:r>
        <w:t xml:space="preserve"> more broadly</w:t>
      </w:r>
      <w:r w:rsidR="0051407F">
        <w:t xml:space="preserve"> in situations where </w:t>
      </w:r>
      <w:r w:rsidR="0051407F" w:rsidRPr="00736001">
        <w:t xml:space="preserve">the use of helical anchors </w:t>
      </w:r>
      <w:r w:rsidR="0051407F">
        <w:t>will</w:t>
      </w:r>
      <w:r w:rsidR="0051407F" w:rsidRPr="00736001">
        <w:t xml:space="preserve"> be associated with higher costs and no, or limited, incremental benefit.</w:t>
      </w:r>
    </w:p>
    <w:p w14:paraId="42D25D58" w14:textId="77777777" w:rsidR="00FD2CBA" w:rsidRDefault="00FD2CBA" w:rsidP="001408EE">
      <w:pPr>
        <w:spacing w:before="240"/>
      </w:pPr>
      <w:r>
        <w:t xml:space="preserve">MSAC noted </w:t>
      </w:r>
      <w:r w:rsidR="009F2A4A">
        <w:t>the application used</w:t>
      </w:r>
      <w:r w:rsidR="0051407F">
        <w:t xml:space="preserve"> a</w:t>
      </w:r>
      <w:r w:rsidRPr="00E76D03">
        <w:t xml:space="preserve"> hybrid market share</w:t>
      </w:r>
      <w:r>
        <w:t xml:space="preserve"> –</w:t>
      </w:r>
      <w:r w:rsidRPr="00E76D03">
        <w:t xml:space="preserve"> epidemiological approach</w:t>
      </w:r>
      <w:r w:rsidR="0051407F">
        <w:t xml:space="preserve"> to estimate overall usage</w:t>
      </w:r>
      <w:r>
        <w:t>, giving a total of</w:t>
      </w:r>
      <w:r w:rsidRPr="00E76D03">
        <w:t xml:space="preserve"> 111 </w:t>
      </w:r>
      <w:r>
        <w:t xml:space="preserve">procedures </w:t>
      </w:r>
      <w:r w:rsidRPr="00E76D03">
        <w:t>in Y</w:t>
      </w:r>
      <w:r>
        <w:t>ea</w:t>
      </w:r>
      <w:r w:rsidRPr="00E76D03">
        <w:t>r 5</w:t>
      </w:r>
      <w:r>
        <w:t xml:space="preserve">. However, </w:t>
      </w:r>
      <w:r w:rsidR="0051407F">
        <w:t xml:space="preserve">for the reason given in the paragraph above, </w:t>
      </w:r>
      <w:r>
        <w:t xml:space="preserve">MSAC </w:t>
      </w:r>
      <w:r w:rsidR="0051407F">
        <w:t xml:space="preserve">considered </w:t>
      </w:r>
      <w:r>
        <w:t xml:space="preserve">this uptake </w:t>
      </w:r>
      <w:r w:rsidR="0051407F">
        <w:t>likely</w:t>
      </w:r>
      <w:r>
        <w:t xml:space="preserve"> underestimated. </w:t>
      </w:r>
    </w:p>
    <w:p w14:paraId="341DDFC6" w14:textId="5E48EE4C" w:rsidR="00FD2CBA" w:rsidRDefault="00FD2CBA" w:rsidP="00FD2CBA">
      <w:r w:rsidRPr="006F5CD6">
        <w:lastRenderedPageBreak/>
        <w:t xml:space="preserve">MSAC </w:t>
      </w:r>
      <w:r w:rsidR="00BA0530" w:rsidRPr="006F5CD6">
        <w:t xml:space="preserve">considered that </w:t>
      </w:r>
      <w:r w:rsidRPr="006F5CD6">
        <w:t xml:space="preserve">further defining the </w:t>
      </w:r>
      <w:r w:rsidR="00BA0530" w:rsidRPr="006F5CD6">
        <w:t xml:space="preserve">patient </w:t>
      </w:r>
      <w:r w:rsidRPr="006F5CD6">
        <w:t xml:space="preserve">population </w:t>
      </w:r>
      <w:r w:rsidR="00BA0530" w:rsidRPr="006F5CD6">
        <w:t xml:space="preserve">to </w:t>
      </w:r>
      <w:r w:rsidRPr="006F5CD6">
        <w:t xml:space="preserve">identify patients who </w:t>
      </w:r>
      <w:r w:rsidR="00BA0530" w:rsidRPr="006F5CD6">
        <w:t>are most likely to</w:t>
      </w:r>
      <w:r w:rsidRPr="006F5CD6">
        <w:t xml:space="preserve"> benefit from the intervention</w:t>
      </w:r>
      <w:r w:rsidR="00BA0530" w:rsidRPr="006F5CD6">
        <w:t xml:space="preserve"> may provide a way forward for the applicant. However</w:t>
      </w:r>
      <w:r w:rsidR="009F2A4A" w:rsidRPr="006F5CD6">
        <w:t>,</w:t>
      </w:r>
      <w:r w:rsidR="00BA0530" w:rsidRPr="006F5CD6">
        <w:t xml:space="preserve"> MSAC noted that such an approach would only be successful if accompanied by better quality evidence of comparative effectiveness and safety</w:t>
      </w:r>
      <w:r w:rsidRPr="006F5CD6">
        <w:t xml:space="preserve">. </w:t>
      </w:r>
      <w:r w:rsidR="00BA0530" w:rsidRPr="006F5CD6">
        <w:t>Alternatively, the applicant may wish to pursue a listing that would allow usage in a broader p</w:t>
      </w:r>
      <w:r w:rsidR="005F40D7" w:rsidRPr="006F5CD6">
        <w:t xml:space="preserve">opulation but at a lower cost. </w:t>
      </w:r>
      <w:r w:rsidR="00BA0530" w:rsidRPr="006F5CD6">
        <w:t xml:space="preserve">MSAC </w:t>
      </w:r>
      <w:r w:rsidR="0059664E" w:rsidRPr="006F5CD6">
        <w:t xml:space="preserve">also </w:t>
      </w:r>
      <w:r w:rsidR="003C7ED2" w:rsidRPr="006F5CD6">
        <w:t xml:space="preserve">requested the applicant provide further information to support its request for a higher price </w:t>
      </w:r>
      <w:r w:rsidR="00BA0530" w:rsidRPr="006F5CD6">
        <w:t>for the anchors when used in TAA versus AAA.</w:t>
      </w:r>
    </w:p>
    <w:p w14:paraId="791E7CA1" w14:textId="77777777" w:rsidR="00FD2CBA" w:rsidRPr="00FD2CBA" w:rsidRDefault="00FD2CBA" w:rsidP="001408EE">
      <w:pPr>
        <w:pStyle w:val="Heading2"/>
        <w:spacing w:before="240"/>
        <w:rPr>
          <w:u w:val="none"/>
        </w:rPr>
      </w:pPr>
      <w:r w:rsidRPr="00FD2CBA">
        <w:rPr>
          <w:u w:val="none"/>
        </w:rPr>
        <w:t>Other discussion</w:t>
      </w:r>
    </w:p>
    <w:p w14:paraId="21A01431" w14:textId="64D0C904" w:rsidR="00DE0A72" w:rsidRDefault="00FD2CBA" w:rsidP="00FD2CBA">
      <w:pPr>
        <w:spacing w:after="240"/>
      </w:pPr>
      <w:r>
        <w:t xml:space="preserve">MSAC suggested that the Department might like to initiate discussions with the vascular </w:t>
      </w:r>
      <w:r w:rsidR="00BA0530">
        <w:t>surgeon craft group</w:t>
      </w:r>
      <w:r w:rsidR="00A43461">
        <w:t xml:space="preserve"> that supports the work of the Prosthesis List Advisory Committee (PLAC)</w:t>
      </w:r>
      <w:r w:rsidR="00BA0530">
        <w:t xml:space="preserve"> to help refine the patient groups in whom the proposed intervention is likely to be used</w:t>
      </w:r>
      <w:r>
        <w:t xml:space="preserve">. </w:t>
      </w:r>
      <w:r w:rsidR="009F2A4A">
        <w:t>MSAC suggested i</w:t>
      </w:r>
      <w:r>
        <w:t>t may be useful to get data from the jurisdictions on use in public hospitals and which patient groups are receiving this treatment. This information could help answer the question of whether there is a clinical need for a patient subgroup that has not yet been addressed.</w:t>
      </w:r>
    </w:p>
    <w:p w14:paraId="53B6B7C0" w14:textId="219EB15A" w:rsidR="00A43461" w:rsidRDefault="00A43461" w:rsidP="00FD2CBA">
      <w:pPr>
        <w:spacing w:after="240"/>
      </w:pPr>
      <w:r>
        <w:t>MSAC requested this matter be referred to the PLAC Secretariat in the Depar</w:t>
      </w:r>
      <w:r w:rsidR="002318BE">
        <w:t>t</w:t>
      </w:r>
      <w:r>
        <w:t>ment.</w:t>
      </w:r>
    </w:p>
    <w:p w14:paraId="15335E44" w14:textId="77777777" w:rsidR="00DE0A72" w:rsidRPr="00F715D1" w:rsidRDefault="00DE0A72" w:rsidP="00DE0A72">
      <w:pPr>
        <w:pStyle w:val="Heading1"/>
      </w:pPr>
      <w:r w:rsidRPr="00F715D1">
        <w:t>Background</w:t>
      </w:r>
    </w:p>
    <w:p w14:paraId="6EB40E99" w14:textId="77777777" w:rsidR="00CB2414" w:rsidRPr="00154A9C" w:rsidRDefault="00CB2414" w:rsidP="00CB2414">
      <w:r w:rsidRPr="00154A9C">
        <w:t>This is the first submission (Applicant Developed Assessment Report [ADAR]) for transmural fixation of aortic endograft adjunct to EVAR using helical anchors (EndoAnchors [EA]). MSAC has not previously considered this application</w:t>
      </w:r>
      <w:r w:rsidR="00166E97">
        <w:t>.</w:t>
      </w:r>
    </w:p>
    <w:p w14:paraId="0CA0F0C2" w14:textId="77777777" w:rsidR="00DE0A72" w:rsidRPr="00F715D1" w:rsidRDefault="00DE0A72" w:rsidP="00DE0A72">
      <w:pPr>
        <w:pStyle w:val="Heading1"/>
      </w:pPr>
      <w:r w:rsidRPr="00F715D1">
        <w:t>Prerequisites to implementation of any funding advice</w:t>
      </w:r>
    </w:p>
    <w:p w14:paraId="7628BA54" w14:textId="62D26ECD" w:rsidR="00CB2414" w:rsidRPr="00154A9C" w:rsidRDefault="00CB2414" w:rsidP="007E7F19">
      <w:pPr>
        <w:spacing w:after="240"/>
      </w:pPr>
      <w:r w:rsidRPr="00154A9C">
        <w:t xml:space="preserve">Items on the Australian Register of Therapeutic Goods (ARTG) that are relevant </w:t>
      </w:r>
      <w:r w:rsidR="007E7F19">
        <w:t xml:space="preserve">to this application are shown in </w:t>
      </w:r>
      <w:r w:rsidR="007E7F19">
        <w:fldChar w:fldCharType="begin"/>
      </w:r>
      <w:r w:rsidR="007E7F19">
        <w:instrText xml:space="preserve"> REF _Ref43982320 \h </w:instrText>
      </w:r>
      <w:r w:rsidR="007E7F19">
        <w:fldChar w:fldCharType="separate"/>
      </w:r>
      <w:r w:rsidR="007E7F19">
        <w:t xml:space="preserve">Table </w:t>
      </w:r>
      <w:r w:rsidR="007E7F19">
        <w:rPr>
          <w:noProof/>
        </w:rPr>
        <w:t>1</w:t>
      </w:r>
      <w:r w:rsidR="007E7F19">
        <w:fldChar w:fldCharType="end"/>
      </w:r>
      <w:r w:rsidR="001408EE">
        <w:t xml:space="preserve">. </w:t>
      </w:r>
    </w:p>
    <w:p w14:paraId="13812CEB" w14:textId="6717B6BE" w:rsidR="00CB2414" w:rsidRPr="00CB3BC6" w:rsidRDefault="007E7F19" w:rsidP="00CB3BC6">
      <w:pPr>
        <w:rPr>
          <w:rFonts w:ascii="Arial Narrow" w:hAnsi="Arial Narrow"/>
          <w:b/>
          <w:sz w:val="20"/>
        </w:rPr>
      </w:pPr>
      <w:bookmarkStart w:id="0" w:name="_Ref43982320"/>
      <w:bookmarkStart w:id="1" w:name="_Toc381969859"/>
      <w:bookmarkStart w:id="2" w:name="_Toc21528024"/>
      <w:r w:rsidRPr="00CB3BC6">
        <w:rPr>
          <w:rFonts w:ascii="Arial Narrow" w:hAnsi="Arial Narrow"/>
          <w:b/>
          <w:sz w:val="20"/>
        </w:rPr>
        <w:t xml:space="preserve">Table </w:t>
      </w:r>
      <w:r w:rsidRPr="00CB3BC6">
        <w:rPr>
          <w:rFonts w:ascii="Arial Narrow" w:hAnsi="Arial Narrow"/>
          <w:b/>
          <w:sz w:val="20"/>
        </w:rPr>
        <w:fldChar w:fldCharType="begin"/>
      </w:r>
      <w:r w:rsidRPr="00CB3BC6">
        <w:rPr>
          <w:rFonts w:ascii="Arial Narrow" w:hAnsi="Arial Narrow"/>
          <w:b/>
          <w:sz w:val="20"/>
        </w:rPr>
        <w:instrText xml:space="preserve"> SEQ Table \* ARABIC </w:instrText>
      </w:r>
      <w:r w:rsidRPr="00CB3BC6">
        <w:rPr>
          <w:rFonts w:ascii="Arial Narrow" w:hAnsi="Arial Narrow"/>
          <w:b/>
          <w:sz w:val="20"/>
        </w:rPr>
        <w:fldChar w:fldCharType="separate"/>
      </w:r>
      <w:r w:rsidR="00E05271">
        <w:rPr>
          <w:rFonts w:ascii="Arial Narrow" w:hAnsi="Arial Narrow"/>
          <w:b/>
          <w:noProof/>
          <w:sz w:val="20"/>
        </w:rPr>
        <w:t>1</w:t>
      </w:r>
      <w:r w:rsidRPr="00CB3BC6">
        <w:rPr>
          <w:rFonts w:ascii="Arial Narrow" w:hAnsi="Arial Narrow"/>
          <w:b/>
          <w:sz w:val="20"/>
        </w:rPr>
        <w:fldChar w:fldCharType="end"/>
      </w:r>
      <w:bookmarkEnd w:id="0"/>
      <w:r w:rsidRPr="00CB3BC6">
        <w:rPr>
          <w:rFonts w:ascii="Arial Narrow" w:hAnsi="Arial Narrow"/>
          <w:b/>
          <w:sz w:val="20"/>
        </w:rPr>
        <w:tab/>
      </w:r>
      <w:r w:rsidR="00CB2414" w:rsidRPr="00CB3BC6">
        <w:rPr>
          <w:rFonts w:ascii="Arial Narrow" w:hAnsi="Arial Narrow"/>
          <w:b/>
          <w:sz w:val="20"/>
        </w:rPr>
        <w:t>Helical anchor listed on the ARTG</w:t>
      </w:r>
      <w:bookmarkEnd w:id="1"/>
      <w:bookmarkEnd w:id="2"/>
    </w:p>
    <w:tbl>
      <w:tblPr>
        <w:tblStyle w:val="TableGrid1"/>
        <w:tblW w:w="0" w:type="auto"/>
        <w:tblLook w:val="04A0" w:firstRow="1" w:lastRow="0" w:firstColumn="1" w:lastColumn="0" w:noHBand="0" w:noVBand="1"/>
        <w:tblCaption w:val="Table 10 XXX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988"/>
        <w:gridCol w:w="1134"/>
        <w:gridCol w:w="3969"/>
        <w:gridCol w:w="1701"/>
        <w:gridCol w:w="1169"/>
      </w:tblGrid>
      <w:tr w:rsidR="00CB2414" w:rsidRPr="00154A9C" w14:paraId="010DCDC6" w14:textId="77777777" w:rsidTr="007E7F19">
        <w:trPr>
          <w:cnfStyle w:val="100000000000" w:firstRow="1" w:lastRow="0" w:firstColumn="0" w:lastColumn="0" w:oddVBand="0" w:evenVBand="0" w:oddHBand="0" w:evenHBand="0" w:firstRowFirstColumn="0" w:firstRowLastColumn="0" w:lastRowFirstColumn="0" w:lastRowLastColumn="0"/>
          <w:tblHeader/>
        </w:trPr>
        <w:tc>
          <w:tcPr>
            <w:tcW w:w="988" w:type="dxa"/>
          </w:tcPr>
          <w:p w14:paraId="5DA4E559" w14:textId="77777777" w:rsidR="00CB2414" w:rsidRPr="00154A9C" w:rsidRDefault="00CB2414" w:rsidP="00CB2414">
            <w:pPr>
              <w:pStyle w:val="TableHeading"/>
            </w:pPr>
            <w:r w:rsidRPr="00154A9C">
              <w:t>ARTG no.</w:t>
            </w:r>
          </w:p>
        </w:tc>
        <w:tc>
          <w:tcPr>
            <w:tcW w:w="1134" w:type="dxa"/>
          </w:tcPr>
          <w:p w14:paraId="19FF6718" w14:textId="77777777" w:rsidR="00CB2414" w:rsidRPr="00154A9C" w:rsidRDefault="00CB2414" w:rsidP="00CB2414">
            <w:pPr>
              <w:pStyle w:val="TableHeading"/>
            </w:pPr>
            <w:r w:rsidRPr="00154A9C">
              <w:t>Product no.</w:t>
            </w:r>
          </w:p>
        </w:tc>
        <w:tc>
          <w:tcPr>
            <w:tcW w:w="3969" w:type="dxa"/>
          </w:tcPr>
          <w:p w14:paraId="7622BC70" w14:textId="77777777" w:rsidR="00CB2414" w:rsidRPr="00154A9C" w:rsidRDefault="00CB2414" w:rsidP="00CB2414">
            <w:pPr>
              <w:pStyle w:val="TableHeading"/>
            </w:pPr>
            <w:r w:rsidRPr="00154A9C">
              <w:t>Product description</w:t>
            </w:r>
          </w:p>
        </w:tc>
        <w:tc>
          <w:tcPr>
            <w:tcW w:w="1701" w:type="dxa"/>
          </w:tcPr>
          <w:p w14:paraId="2DA401C9" w14:textId="77777777" w:rsidR="00CB2414" w:rsidRPr="00154A9C" w:rsidRDefault="00CB2414" w:rsidP="00CB2414">
            <w:pPr>
              <w:pStyle w:val="TableHeading"/>
            </w:pPr>
            <w:r w:rsidRPr="00154A9C">
              <w:t>Product category</w:t>
            </w:r>
          </w:p>
        </w:tc>
        <w:tc>
          <w:tcPr>
            <w:tcW w:w="1169" w:type="dxa"/>
          </w:tcPr>
          <w:p w14:paraId="07E5417B" w14:textId="77777777" w:rsidR="00CB2414" w:rsidRPr="00154A9C" w:rsidRDefault="00CB2414" w:rsidP="00CB2414">
            <w:pPr>
              <w:pStyle w:val="TableHeading"/>
            </w:pPr>
            <w:r w:rsidRPr="00154A9C">
              <w:t>Sponsor</w:t>
            </w:r>
          </w:p>
        </w:tc>
      </w:tr>
      <w:tr w:rsidR="00CB2414" w:rsidRPr="00154A9C" w14:paraId="1FFCAD71" w14:textId="77777777" w:rsidTr="007E7F19">
        <w:tc>
          <w:tcPr>
            <w:tcW w:w="988" w:type="dxa"/>
          </w:tcPr>
          <w:p w14:paraId="099BE05A" w14:textId="77777777" w:rsidR="00CB2414" w:rsidRPr="00154A9C" w:rsidRDefault="00CB2414" w:rsidP="00CB2414">
            <w:pPr>
              <w:pStyle w:val="Tabletext"/>
            </w:pPr>
            <w:r w:rsidRPr="00154A9C">
              <w:t>283911</w:t>
            </w:r>
          </w:p>
        </w:tc>
        <w:tc>
          <w:tcPr>
            <w:tcW w:w="1134" w:type="dxa"/>
          </w:tcPr>
          <w:p w14:paraId="3BFA91BF" w14:textId="77777777" w:rsidR="00CB2414" w:rsidRPr="00154A9C" w:rsidRDefault="00CB2414" w:rsidP="00CB2414">
            <w:pPr>
              <w:pStyle w:val="Tabletext"/>
            </w:pPr>
            <w:r w:rsidRPr="00154A9C">
              <w:t>45612</w:t>
            </w:r>
          </w:p>
        </w:tc>
        <w:tc>
          <w:tcPr>
            <w:tcW w:w="3969" w:type="dxa"/>
          </w:tcPr>
          <w:p w14:paraId="16B62272" w14:textId="77777777" w:rsidR="00CB2414" w:rsidRPr="001408EE" w:rsidRDefault="00CB2414" w:rsidP="00CB2414">
            <w:pPr>
              <w:pStyle w:val="Tabletext"/>
              <w:rPr>
                <w:sz w:val="19"/>
                <w:szCs w:val="19"/>
              </w:rPr>
            </w:pPr>
            <w:r w:rsidRPr="001408EE">
              <w:rPr>
                <w:sz w:val="19"/>
                <w:szCs w:val="19"/>
              </w:rPr>
              <w:t xml:space="preserve">The Aptus Heli-FX EndoAnchor System </w:t>
            </w:r>
            <w:r w:rsidRPr="001408EE">
              <w:rPr>
                <w:noProof/>
                <w:sz w:val="19"/>
                <w:szCs w:val="19"/>
              </w:rPr>
              <w:t>is comprised</w:t>
            </w:r>
            <w:r w:rsidRPr="001408EE">
              <w:rPr>
                <w:sz w:val="19"/>
                <w:szCs w:val="19"/>
              </w:rPr>
              <w:t xml:space="preserve"> of an endovascular suture (the EndoAnchor) and implantation means (the Heli-FX Applier) as well as a steerable guide sheath (the Heli-FX Guide) for access and delivery within the vasculature </w:t>
            </w:r>
          </w:p>
        </w:tc>
        <w:tc>
          <w:tcPr>
            <w:tcW w:w="1701" w:type="dxa"/>
          </w:tcPr>
          <w:p w14:paraId="6454274F" w14:textId="77777777" w:rsidR="00CB2414" w:rsidRPr="00154A9C" w:rsidRDefault="00CB2414" w:rsidP="00CB2414">
            <w:pPr>
              <w:pStyle w:val="Tabletext"/>
            </w:pPr>
            <w:r w:rsidRPr="00154A9C">
              <w:t>Medical Device Class III</w:t>
            </w:r>
          </w:p>
        </w:tc>
        <w:tc>
          <w:tcPr>
            <w:tcW w:w="1169" w:type="dxa"/>
          </w:tcPr>
          <w:p w14:paraId="0B74EEE0" w14:textId="77777777" w:rsidR="00CB2414" w:rsidRPr="00154A9C" w:rsidRDefault="00CB2414" w:rsidP="00CB2414">
            <w:pPr>
              <w:pStyle w:val="Tabletext"/>
            </w:pPr>
            <w:r w:rsidRPr="00154A9C">
              <w:t>Medtronic Australasia Pty Ltd</w:t>
            </w:r>
          </w:p>
        </w:tc>
      </w:tr>
      <w:tr w:rsidR="00CB2414" w:rsidRPr="00154A9C" w14:paraId="5F120BE3" w14:textId="77777777" w:rsidTr="007E7F19">
        <w:tc>
          <w:tcPr>
            <w:tcW w:w="988" w:type="dxa"/>
          </w:tcPr>
          <w:p w14:paraId="3B968604" w14:textId="77777777" w:rsidR="00CB2414" w:rsidRPr="00154A9C" w:rsidRDefault="00CB2414" w:rsidP="00CB2414">
            <w:pPr>
              <w:pStyle w:val="Tabletext"/>
            </w:pPr>
            <w:r w:rsidRPr="00154A9C">
              <w:t>283912</w:t>
            </w:r>
          </w:p>
        </w:tc>
        <w:tc>
          <w:tcPr>
            <w:tcW w:w="1134" w:type="dxa"/>
          </w:tcPr>
          <w:p w14:paraId="18A0299D" w14:textId="77777777" w:rsidR="00CB2414" w:rsidRPr="00154A9C" w:rsidRDefault="00CB2414" w:rsidP="00CB2414">
            <w:pPr>
              <w:pStyle w:val="Tabletext"/>
            </w:pPr>
            <w:r w:rsidRPr="00154A9C">
              <w:t>45612</w:t>
            </w:r>
          </w:p>
        </w:tc>
        <w:tc>
          <w:tcPr>
            <w:tcW w:w="3969" w:type="dxa"/>
          </w:tcPr>
          <w:p w14:paraId="53691D90" w14:textId="77777777" w:rsidR="00CB2414" w:rsidRPr="001408EE" w:rsidRDefault="00CB2414" w:rsidP="00CB2414">
            <w:pPr>
              <w:pStyle w:val="Tabletext"/>
              <w:rPr>
                <w:sz w:val="19"/>
                <w:szCs w:val="19"/>
              </w:rPr>
            </w:pPr>
            <w:r w:rsidRPr="001408EE">
              <w:rPr>
                <w:sz w:val="19"/>
                <w:szCs w:val="19"/>
              </w:rPr>
              <w:t xml:space="preserve">The Aptus Heli-FX Thoracic EndoAnchor System </w:t>
            </w:r>
            <w:r w:rsidRPr="001408EE">
              <w:rPr>
                <w:noProof/>
                <w:sz w:val="19"/>
                <w:szCs w:val="19"/>
              </w:rPr>
              <w:t>is comprised</w:t>
            </w:r>
            <w:r w:rsidRPr="001408EE">
              <w:rPr>
                <w:sz w:val="19"/>
                <w:szCs w:val="19"/>
              </w:rPr>
              <w:t xml:space="preserve"> of an endovascular suture (the EndoAnchor) and an implantation means (the Heli-FX Applier) as well as a steerable guide sheath (the Heli-FX Guide) for access and delivery within the vasculature </w:t>
            </w:r>
          </w:p>
        </w:tc>
        <w:tc>
          <w:tcPr>
            <w:tcW w:w="1701" w:type="dxa"/>
          </w:tcPr>
          <w:p w14:paraId="029FF9A1" w14:textId="77777777" w:rsidR="00CB2414" w:rsidRPr="00154A9C" w:rsidRDefault="00CB2414" w:rsidP="00CB2414">
            <w:pPr>
              <w:pStyle w:val="Tabletext"/>
            </w:pPr>
            <w:r w:rsidRPr="00154A9C">
              <w:t>Medical Device Class III</w:t>
            </w:r>
          </w:p>
        </w:tc>
        <w:tc>
          <w:tcPr>
            <w:tcW w:w="1169" w:type="dxa"/>
          </w:tcPr>
          <w:p w14:paraId="4E384092" w14:textId="77777777" w:rsidR="00CB2414" w:rsidRPr="00154A9C" w:rsidRDefault="00CB2414" w:rsidP="00CB2414">
            <w:pPr>
              <w:pStyle w:val="Tabletext"/>
            </w:pPr>
            <w:r w:rsidRPr="00154A9C">
              <w:t>Medtronic Australasia Pty Ltd</w:t>
            </w:r>
          </w:p>
        </w:tc>
      </w:tr>
      <w:tr w:rsidR="00CB2414" w:rsidRPr="00154A9C" w14:paraId="551DF5D3" w14:textId="77777777" w:rsidTr="007E7F19">
        <w:tc>
          <w:tcPr>
            <w:tcW w:w="988" w:type="dxa"/>
          </w:tcPr>
          <w:p w14:paraId="1FEC0204" w14:textId="10B48C55" w:rsidR="00CB2414" w:rsidRPr="00154A9C" w:rsidRDefault="001408EE" w:rsidP="00CB2414">
            <w:pPr>
              <w:pStyle w:val="Tabletext"/>
            </w:pPr>
            <w:r>
              <w:t>298952</w:t>
            </w:r>
          </w:p>
        </w:tc>
        <w:tc>
          <w:tcPr>
            <w:tcW w:w="1134" w:type="dxa"/>
          </w:tcPr>
          <w:p w14:paraId="3C160475" w14:textId="77777777" w:rsidR="00CB2414" w:rsidRPr="00154A9C" w:rsidRDefault="00CB2414" w:rsidP="00CB2414">
            <w:pPr>
              <w:pStyle w:val="Tabletext"/>
            </w:pPr>
            <w:r w:rsidRPr="00154A9C">
              <w:t>45612</w:t>
            </w:r>
          </w:p>
        </w:tc>
        <w:tc>
          <w:tcPr>
            <w:tcW w:w="3969" w:type="dxa"/>
          </w:tcPr>
          <w:p w14:paraId="33B5CE67" w14:textId="77777777" w:rsidR="00CB2414" w:rsidRPr="001408EE" w:rsidRDefault="00CB2414" w:rsidP="00CB2414">
            <w:pPr>
              <w:pStyle w:val="Tabletext"/>
              <w:rPr>
                <w:sz w:val="19"/>
                <w:szCs w:val="19"/>
              </w:rPr>
            </w:pPr>
            <w:r w:rsidRPr="001408EE">
              <w:rPr>
                <w:sz w:val="19"/>
                <w:szCs w:val="19"/>
              </w:rPr>
              <w:t xml:space="preserve">The Aptus Heli-FX EndoAnchor System </w:t>
            </w:r>
            <w:r w:rsidRPr="001408EE">
              <w:rPr>
                <w:noProof/>
                <w:sz w:val="19"/>
                <w:szCs w:val="19"/>
              </w:rPr>
              <w:t>is comprised</w:t>
            </w:r>
            <w:r w:rsidRPr="001408EE">
              <w:rPr>
                <w:sz w:val="19"/>
                <w:szCs w:val="19"/>
              </w:rPr>
              <w:t xml:space="preserve"> of an endovascular suture (the EndoAnchor) and implantation means (the Heli-FX Applier) as well as a steerable guide sheath (the Heli-FX Guide) for access and delivery within the vasculature</w:t>
            </w:r>
          </w:p>
        </w:tc>
        <w:tc>
          <w:tcPr>
            <w:tcW w:w="1701" w:type="dxa"/>
          </w:tcPr>
          <w:p w14:paraId="60BC0D59" w14:textId="77777777" w:rsidR="00CB2414" w:rsidRPr="00154A9C" w:rsidRDefault="00CB2414" w:rsidP="00CB2414">
            <w:pPr>
              <w:pStyle w:val="Tabletext"/>
            </w:pPr>
            <w:r w:rsidRPr="00154A9C">
              <w:t>Medical Device Class III</w:t>
            </w:r>
          </w:p>
        </w:tc>
        <w:tc>
          <w:tcPr>
            <w:tcW w:w="1169" w:type="dxa"/>
          </w:tcPr>
          <w:p w14:paraId="2958F78F" w14:textId="77777777" w:rsidR="00CB2414" w:rsidRPr="00154A9C" w:rsidRDefault="00CB2414" w:rsidP="00CB2414">
            <w:pPr>
              <w:pStyle w:val="Tabletext"/>
            </w:pPr>
            <w:r w:rsidRPr="00154A9C">
              <w:t>Medtronic Australasia Pty Ltd</w:t>
            </w:r>
          </w:p>
        </w:tc>
      </w:tr>
      <w:tr w:rsidR="00CB2414" w:rsidRPr="00154A9C" w14:paraId="1BF752FF" w14:textId="77777777" w:rsidTr="007E7F19">
        <w:tc>
          <w:tcPr>
            <w:tcW w:w="988" w:type="dxa"/>
          </w:tcPr>
          <w:p w14:paraId="796C876D" w14:textId="77777777" w:rsidR="00CB2414" w:rsidRPr="00154A9C" w:rsidRDefault="00CB2414" w:rsidP="00CB2414">
            <w:pPr>
              <w:pStyle w:val="Tabletext"/>
            </w:pPr>
            <w:r w:rsidRPr="00154A9C">
              <w:t>298953</w:t>
            </w:r>
          </w:p>
        </w:tc>
        <w:tc>
          <w:tcPr>
            <w:tcW w:w="1134" w:type="dxa"/>
          </w:tcPr>
          <w:p w14:paraId="53945064" w14:textId="77777777" w:rsidR="00CB2414" w:rsidRPr="00154A9C" w:rsidRDefault="00CB2414" w:rsidP="00CB2414">
            <w:pPr>
              <w:pStyle w:val="Tabletext"/>
            </w:pPr>
            <w:r w:rsidRPr="00154A9C">
              <w:t>45612</w:t>
            </w:r>
          </w:p>
        </w:tc>
        <w:tc>
          <w:tcPr>
            <w:tcW w:w="3969" w:type="dxa"/>
          </w:tcPr>
          <w:p w14:paraId="7BDCE677" w14:textId="77777777" w:rsidR="00CB2414" w:rsidRPr="001408EE" w:rsidRDefault="00CB2414" w:rsidP="00CB2414">
            <w:pPr>
              <w:pStyle w:val="Tabletext"/>
              <w:rPr>
                <w:sz w:val="19"/>
                <w:szCs w:val="19"/>
              </w:rPr>
            </w:pPr>
            <w:r w:rsidRPr="001408EE">
              <w:rPr>
                <w:sz w:val="19"/>
                <w:szCs w:val="19"/>
              </w:rPr>
              <w:t xml:space="preserve">The Heli-FX Thoracic EndoAnchor System </w:t>
            </w:r>
            <w:r w:rsidRPr="001408EE">
              <w:rPr>
                <w:noProof/>
                <w:sz w:val="19"/>
                <w:szCs w:val="19"/>
              </w:rPr>
              <w:t>is comprised</w:t>
            </w:r>
            <w:r w:rsidRPr="001408EE">
              <w:rPr>
                <w:sz w:val="19"/>
                <w:szCs w:val="19"/>
              </w:rPr>
              <w:t xml:space="preserve"> of an endovascular suture (the EndoAnchor) and an implantation means (the Heli-FX Applier) as well as a steerable guide sheath (the Heli-FX Guide) for access and delivery within the vasculature</w:t>
            </w:r>
          </w:p>
        </w:tc>
        <w:tc>
          <w:tcPr>
            <w:tcW w:w="1701" w:type="dxa"/>
          </w:tcPr>
          <w:p w14:paraId="648250C6" w14:textId="77777777" w:rsidR="00CB2414" w:rsidRPr="00154A9C" w:rsidRDefault="00CB2414" w:rsidP="00CB2414">
            <w:pPr>
              <w:pStyle w:val="Tabletext"/>
            </w:pPr>
            <w:r w:rsidRPr="00154A9C">
              <w:t>Medical Device Class III</w:t>
            </w:r>
          </w:p>
        </w:tc>
        <w:tc>
          <w:tcPr>
            <w:tcW w:w="1169" w:type="dxa"/>
          </w:tcPr>
          <w:p w14:paraId="7661AB58" w14:textId="77777777" w:rsidR="00CB2414" w:rsidRPr="00154A9C" w:rsidRDefault="00CB2414" w:rsidP="00CB2414">
            <w:pPr>
              <w:pStyle w:val="Tabletext"/>
            </w:pPr>
            <w:r w:rsidRPr="00154A9C">
              <w:t>Medtronic Australasia Pty Ltd</w:t>
            </w:r>
          </w:p>
        </w:tc>
      </w:tr>
    </w:tbl>
    <w:p w14:paraId="7A37B635" w14:textId="77777777" w:rsidR="00CB2414" w:rsidRPr="00154A9C" w:rsidRDefault="00CB2414" w:rsidP="00CB2414">
      <w:pPr>
        <w:pStyle w:val="TableNotes"/>
      </w:pPr>
      <w:r w:rsidRPr="00154A9C">
        <w:t>Source: Table 8, p36 of ADAR</w:t>
      </w:r>
    </w:p>
    <w:p w14:paraId="46560A96" w14:textId="77777777" w:rsidR="00DE0A72" w:rsidRPr="00F715D1" w:rsidRDefault="00DE0A72" w:rsidP="00DE0A72">
      <w:pPr>
        <w:pStyle w:val="Heading1"/>
      </w:pPr>
      <w:r w:rsidRPr="00F715D1">
        <w:lastRenderedPageBreak/>
        <w:t>Proposal for public funding</w:t>
      </w:r>
    </w:p>
    <w:p w14:paraId="6A3FED95" w14:textId="1CA888E8" w:rsidR="00CB2414" w:rsidRPr="00154A9C" w:rsidRDefault="00CB2414" w:rsidP="00CB2414">
      <w:r w:rsidRPr="00154A9C">
        <w:t>The proposed MBS item descriptors are summarised in</w:t>
      </w:r>
      <w:r w:rsidR="00CB3BC6">
        <w:t xml:space="preserve"> </w:t>
      </w:r>
      <w:r w:rsidR="00CB3BC6">
        <w:fldChar w:fldCharType="begin"/>
      </w:r>
      <w:r w:rsidR="00CB3BC6">
        <w:instrText xml:space="preserve"> REF _Ref43982401 \h </w:instrText>
      </w:r>
      <w:r w:rsidR="00CB3BC6">
        <w:fldChar w:fldCharType="separate"/>
      </w:r>
      <w:r w:rsidR="00CB3BC6">
        <w:t xml:space="preserve">Table </w:t>
      </w:r>
      <w:r w:rsidR="00CB3BC6">
        <w:rPr>
          <w:noProof/>
        </w:rPr>
        <w:t>2</w:t>
      </w:r>
      <w:r w:rsidR="00CB3BC6">
        <w:fldChar w:fldCharType="end"/>
      </w:r>
      <w:r w:rsidR="00875308">
        <w:t xml:space="preserve">. </w:t>
      </w:r>
    </w:p>
    <w:p w14:paraId="318A67A3" w14:textId="6A12311D" w:rsidR="00CB2414" w:rsidRPr="00CB3BC6" w:rsidDel="00A134DA" w:rsidRDefault="00CB3BC6" w:rsidP="00CB3BC6">
      <w:pPr>
        <w:spacing w:before="240"/>
        <w:rPr>
          <w:rFonts w:ascii="Arial Narrow" w:hAnsi="Arial Narrow"/>
          <w:b/>
          <w:sz w:val="20"/>
        </w:rPr>
      </w:pPr>
      <w:bookmarkStart w:id="3" w:name="_Ref43982401"/>
      <w:bookmarkStart w:id="4" w:name="_Toc21528017"/>
      <w:r w:rsidRPr="00CB3BC6">
        <w:rPr>
          <w:rFonts w:ascii="Arial Narrow" w:hAnsi="Arial Narrow"/>
          <w:b/>
          <w:sz w:val="20"/>
        </w:rPr>
        <w:t xml:space="preserve">Table </w:t>
      </w:r>
      <w:r w:rsidRPr="00CB3BC6">
        <w:rPr>
          <w:rFonts w:ascii="Arial Narrow" w:hAnsi="Arial Narrow"/>
          <w:b/>
          <w:sz w:val="20"/>
        </w:rPr>
        <w:fldChar w:fldCharType="begin"/>
      </w:r>
      <w:r w:rsidRPr="00CB3BC6">
        <w:rPr>
          <w:rFonts w:ascii="Arial Narrow" w:hAnsi="Arial Narrow"/>
          <w:b/>
          <w:sz w:val="20"/>
        </w:rPr>
        <w:instrText xml:space="preserve"> SEQ Table \* ARABIC </w:instrText>
      </w:r>
      <w:r w:rsidRPr="00CB3BC6">
        <w:rPr>
          <w:rFonts w:ascii="Arial Narrow" w:hAnsi="Arial Narrow"/>
          <w:b/>
          <w:sz w:val="20"/>
        </w:rPr>
        <w:fldChar w:fldCharType="separate"/>
      </w:r>
      <w:r w:rsidR="00E05271">
        <w:rPr>
          <w:rFonts w:ascii="Arial Narrow" w:hAnsi="Arial Narrow"/>
          <w:b/>
          <w:noProof/>
          <w:sz w:val="20"/>
        </w:rPr>
        <w:t>2</w:t>
      </w:r>
      <w:r w:rsidRPr="00CB3BC6">
        <w:rPr>
          <w:rFonts w:ascii="Arial Narrow" w:hAnsi="Arial Narrow"/>
          <w:b/>
          <w:sz w:val="20"/>
        </w:rPr>
        <w:fldChar w:fldCharType="end"/>
      </w:r>
      <w:bookmarkEnd w:id="3"/>
      <w:r w:rsidRPr="00CB3BC6">
        <w:rPr>
          <w:rFonts w:ascii="Arial Narrow" w:hAnsi="Arial Narrow"/>
          <w:b/>
          <w:sz w:val="20"/>
        </w:rPr>
        <w:tab/>
      </w:r>
      <w:r w:rsidR="00CB2414" w:rsidRPr="00CB3BC6" w:rsidDel="00A134DA">
        <w:rPr>
          <w:rFonts w:ascii="Arial Narrow" w:hAnsi="Arial Narrow"/>
          <w:b/>
          <w:sz w:val="20"/>
        </w:rPr>
        <w:t>Proposed MBS item descriptor</w:t>
      </w:r>
      <w:r w:rsidR="00CB2414" w:rsidRPr="00CB3BC6">
        <w:rPr>
          <w:rFonts w:ascii="Arial Narrow" w:hAnsi="Arial Narrow"/>
          <w:b/>
          <w:sz w:val="20"/>
        </w:rPr>
        <w:t>s</w:t>
      </w:r>
      <w:bookmarkEnd w:id="4"/>
    </w:p>
    <w:tbl>
      <w:tblPr>
        <w:tblStyle w:val="TableGrid1"/>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16"/>
      </w:tblGrid>
      <w:tr w:rsidR="00CB2414" w:rsidRPr="00154A9C" w:rsidDel="00A134DA" w14:paraId="6CBFB5EB" w14:textId="77777777" w:rsidTr="00890A2A">
        <w:trPr>
          <w:cnfStyle w:val="100000000000" w:firstRow="1" w:lastRow="0" w:firstColumn="0" w:lastColumn="0" w:oddVBand="0" w:evenVBand="0" w:oddHBand="0" w:evenHBand="0" w:firstRowFirstColumn="0" w:firstRowLastColumn="0" w:lastRowFirstColumn="0" w:lastRowLastColumn="0"/>
          <w:tblHeader/>
        </w:trPr>
        <w:tc>
          <w:tcPr>
            <w:tcW w:w="9019" w:type="dxa"/>
          </w:tcPr>
          <w:p w14:paraId="25B6B162" w14:textId="77777777" w:rsidR="00CB2414" w:rsidRPr="00154A9C" w:rsidDel="00A134DA" w:rsidRDefault="00CB2414" w:rsidP="00CB2414">
            <w:pPr>
              <w:pStyle w:val="Tabletext"/>
              <w:jc w:val="right"/>
            </w:pPr>
            <w:r w:rsidRPr="00154A9C" w:rsidDel="00A134DA">
              <w:t xml:space="preserve">Category </w:t>
            </w:r>
            <w:r w:rsidRPr="00154A9C">
              <w:t>3</w:t>
            </w:r>
            <w:r w:rsidRPr="00154A9C" w:rsidDel="00A134DA">
              <w:t xml:space="preserve"> – </w:t>
            </w:r>
            <w:r w:rsidRPr="00154A9C">
              <w:t>THERAPEUTIC PROCEDURES</w:t>
            </w:r>
          </w:p>
        </w:tc>
      </w:tr>
      <w:tr w:rsidR="00CB2414" w:rsidRPr="00154A9C" w:rsidDel="00A134DA" w14:paraId="09C67B0D" w14:textId="77777777" w:rsidTr="00CB2414">
        <w:tc>
          <w:tcPr>
            <w:tcW w:w="9019" w:type="dxa"/>
            <w:shd w:val="clear" w:color="auto" w:fill="auto"/>
          </w:tcPr>
          <w:p w14:paraId="11B2F6DA" w14:textId="77777777" w:rsidR="00CB2414" w:rsidRPr="00154A9C" w:rsidRDefault="00CB2414" w:rsidP="00CB2414">
            <w:pPr>
              <w:pStyle w:val="Tabletext"/>
              <w:rPr>
                <w:u w:val="single" w:color="FF0000"/>
              </w:rPr>
            </w:pPr>
            <w:r w:rsidRPr="00154A9C">
              <w:rPr>
                <w:u w:val="single" w:color="FF0000"/>
              </w:rPr>
              <w:t xml:space="preserve">Proposed item descriptor: </w:t>
            </w:r>
          </w:p>
          <w:p w14:paraId="19B4D40D" w14:textId="77777777" w:rsidR="00CB2414" w:rsidRPr="00154A9C" w:rsidRDefault="00CB2414" w:rsidP="00CB2414">
            <w:pPr>
              <w:pStyle w:val="Tabletext"/>
              <w:rPr>
                <w:u w:color="FF0000"/>
              </w:rPr>
            </w:pPr>
            <w:r w:rsidRPr="00154A9C">
              <w:rPr>
                <w:u w:color="FF0000"/>
              </w:rPr>
              <w:t>ABDOMINAL AORTIC ANEURYSM, with transmural fixation of endograft to the aorta using helical anchors adjunct to endovascular aneurysm repair by tube graft in patients:</w:t>
            </w:r>
          </w:p>
          <w:p w14:paraId="4937BBCE" w14:textId="77777777" w:rsidR="00CB2414" w:rsidRPr="00154A9C" w:rsidRDefault="00CB2414" w:rsidP="00CB2414">
            <w:pPr>
              <w:pStyle w:val="Tabletext"/>
              <w:rPr>
                <w:u w:color="FF0000"/>
              </w:rPr>
            </w:pPr>
            <w:r w:rsidRPr="00154A9C">
              <w:rPr>
                <w:u w:color="FF0000"/>
              </w:rPr>
              <w:t xml:space="preserve">With an aneurysm neck anatomy </w:t>
            </w:r>
            <w:r w:rsidRPr="00154A9C">
              <w:t>length &lt;10mm, diameter &gt;28 mm, angulation &gt;60 degrees or aortic neck is conical OR</w:t>
            </w:r>
          </w:p>
          <w:p w14:paraId="7A2CB9CE" w14:textId="77777777" w:rsidR="00CB2414" w:rsidRPr="00154A9C" w:rsidRDefault="00CB2414" w:rsidP="00CB2414">
            <w:pPr>
              <w:pStyle w:val="Tabletext"/>
              <w:rPr>
                <w:u w:color="FF0000"/>
              </w:rPr>
            </w:pPr>
            <w:r w:rsidRPr="00154A9C">
              <w:t>Patients with a Type Ia endoleak during or following previous aneurysm repair or</w:t>
            </w:r>
          </w:p>
          <w:p w14:paraId="20E10A3A" w14:textId="77777777" w:rsidR="00CB2414" w:rsidRPr="00154A9C" w:rsidRDefault="00CB2414" w:rsidP="00CB2414">
            <w:pPr>
              <w:pStyle w:val="Tabletext"/>
              <w:rPr>
                <w:u w:color="FF0000"/>
              </w:rPr>
            </w:pPr>
            <w:r w:rsidRPr="00154A9C">
              <w:rPr>
                <w:u w:color="FF0000"/>
              </w:rPr>
              <w:t xml:space="preserve">Patients with a device migration </w:t>
            </w:r>
            <w:r w:rsidRPr="00154A9C">
              <w:t>following previous aneurysm repair, where migration is</w:t>
            </w:r>
            <w:r w:rsidRPr="00154A9C">
              <w:rPr>
                <w:u w:color="FF0000"/>
              </w:rPr>
              <w:t xml:space="preserve"> defined as </w:t>
            </w:r>
            <w:r w:rsidRPr="00154A9C">
              <w:t>movement of the endograft greater than 10 mm or any migration of the graft which necessitates any intervention or causes endoleaks.</w:t>
            </w:r>
          </w:p>
          <w:p w14:paraId="7452063E" w14:textId="77777777" w:rsidR="00CB2414" w:rsidRPr="00154A9C" w:rsidDel="00A134DA" w:rsidRDefault="00CB2414" w:rsidP="00CB2414">
            <w:pPr>
              <w:pStyle w:val="Tabletext"/>
            </w:pPr>
            <w:r w:rsidRPr="00154A9C">
              <w:rPr>
                <w:u w:color="FF0000"/>
              </w:rPr>
              <w:t>Fee: $1,665.41</w:t>
            </w:r>
          </w:p>
        </w:tc>
      </w:tr>
      <w:tr w:rsidR="00CB2414" w:rsidRPr="00154A9C" w:rsidDel="00A134DA" w14:paraId="191D3B44" w14:textId="77777777" w:rsidTr="00CB2414">
        <w:tc>
          <w:tcPr>
            <w:tcW w:w="9019" w:type="dxa"/>
            <w:shd w:val="clear" w:color="auto" w:fill="auto"/>
          </w:tcPr>
          <w:p w14:paraId="1E6B6563" w14:textId="77777777" w:rsidR="00CB2414" w:rsidRPr="00154A9C" w:rsidDel="00A134DA" w:rsidRDefault="00CB2414" w:rsidP="00CB2414">
            <w:pPr>
              <w:pStyle w:val="Tabletext"/>
              <w:jc w:val="right"/>
            </w:pPr>
            <w:r w:rsidRPr="00154A9C" w:rsidDel="00A134DA">
              <w:t xml:space="preserve">Category </w:t>
            </w:r>
            <w:r w:rsidRPr="00154A9C">
              <w:t>3</w:t>
            </w:r>
            <w:r w:rsidRPr="00154A9C" w:rsidDel="00A134DA">
              <w:t xml:space="preserve"> – </w:t>
            </w:r>
            <w:r w:rsidRPr="00154A9C">
              <w:t>THERAPEUTIC PROCEDURES</w:t>
            </w:r>
          </w:p>
        </w:tc>
      </w:tr>
      <w:tr w:rsidR="00CB2414" w:rsidRPr="00154A9C" w:rsidDel="00A134DA" w14:paraId="798B45D4" w14:textId="77777777" w:rsidTr="00CB2414">
        <w:tc>
          <w:tcPr>
            <w:tcW w:w="9019" w:type="dxa"/>
            <w:shd w:val="clear" w:color="auto" w:fill="auto"/>
          </w:tcPr>
          <w:p w14:paraId="1177714E" w14:textId="77777777" w:rsidR="00CB2414" w:rsidRPr="00154A9C" w:rsidRDefault="00CB2414" w:rsidP="00CB2414">
            <w:pPr>
              <w:pStyle w:val="Tabletext"/>
              <w:rPr>
                <w:u w:val="single" w:color="FF0000"/>
              </w:rPr>
            </w:pPr>
            <w:r w:rsidRPr="00154A9C">
              <w:rPr>
                <w:u w:val="single" w:color="FF0000"/>
              </w:rPr>
              <w:t xml:space="preserve">Proposed item descriptor: </w:t>
            </w:r>
          </w:p>
          <w:p w14:paraId="2E426965" w14:textId="77777777" w:rsidR="00CB2414" w:rsidRPr="00154A9C" w:rsidRDefault="00CB2414" w:rsidP="00CB2414">
            <w:pPr>
              <w:pStyle w:val="Tabletext"/>
              <w:rPr>
                <w:u w:color="FF0000"/>
              </w:rPr>
            </w:pPr>
            <w:r w:rsidRPr="00154A9C">
              <w:rPr>
                <w:u w:color="FF0000"/>
              </w:rPr>
              <w:t>ABDOMINAL AORTIC ANEURYSM, transmural fixation of endograft to the aorta using helical anchors adjunct to endovascular aneurysm repair by bifurcation graft to one or both iliac arteries in patients:</w:t>
            </w:r>
          </w:p>
          <w:p w14:paraId="44D21A0A" w14:textId="77777777" w:rsidR="00CB2414" w:rsidRPr="00154A9C" w:rsidRDefault="00CB2414" w:rsidP="00CB2414">
            <w:pPr>
              <w:pStyle w:val="Tabletext"/>
              <w:rPr>
                <w:u w:color="FF0000"/>
              </w:rPr>
            </w:pPr>
            <w:r w:rsidRPr="00154A9C">
              <w:rPr>
                <w:u w:color="FF0000"/>
              </w:rPr>
              <w:t xml:space="preserve">With an aneurysm neck anatomy </w:t>
            </w:r>
            <w:r w:rsidRPr="00154A9C">
              <w:t>length &lt;10mm, diameter &gt;28 mm, angulation &gt;60 degrees or aortic neck is conical OR</w:t>
            </w:r>
          </w:p>
          <w:p w14:paraId="4B3DBD03" w14:textId="77777777" w:rsidR="00CB2414" w:rsidRPr="00154A9C" w:rsidRDefault="00CB2414" w:rsidP="00CB2414">
            <w:pPr>
              <w:pStyle w:val="Tabletext"/>
              <w:rPr>
                <w:u w:color="FF0000"/>
              </w:rPr>
            </w:pPr>
            <w:r w:rsidRPr="00154A9C">
              <w:t>Patients with a Type Ia endoleak during or following previous aneurysm repair, or</w:t>
            </w:r>
          </w:p>
          <w:p w14:paraId="1A88EB97" w14:textId="77777777" w:rsidR="00CB2414" w:rsidRPr="00154A9C" w:rsidRDefault="00CB2414" w:rsidP="00CB2414">
            <w:pPr>
              <w:pStyle w:val="Tabletext"/>
              <w:rPr>
                <w:u w:color="FF0000"/>
              </w:rPr>
            </w:pPr>
            <w:r w:rsidRPr="00154A9C">
              <w:rPr>
                <w:u w:color="FF0000"/>
              </w:rPr>
              <w:t xml:space="preserve">Patients with a device migration </w:t>
            </w:r>
            <w:r w:rsidRPr="00154A9C">
              <w:t>following previous aneurysm repair, where migration is</w:t>
            </w:r>
            <w:r w:rsidRPr="00154A9C">
              <w:rPr>
                <w:u w:color="FF0000"/>
              </w:rPr>
              <w:t xml:space="preserve"> defined as </w:t>
            </w:r>
            <w:r w:rsidRPr="00154A9C">
              <w:t>movement of the endograft greater than 10 mm or any migration of the graft which necessitates any intervention or causes endoleaks.</w:t>
            </w:r>
          </w:p>
          <w:p w14:paraId="11C2CEFC" w14:textId="77777777" w:rsidR="00CB2414" w:rsidRPr="00154A9C" w:rsidDel="00A134DA" w:rsidRDefault="00CB2414" w:rsidP="00CB2414">
            <w:pPr>
              <w:pStyle w:val="Tabletext"/>
            </w:pPr>
            <w:r w:rsidRPr="00154A9C">
              <w:rPr>
                <w:u w:color="FF0000"/>
              </w:rPr>
              <w:t>Fee: $1850.53</w:t>
            </w:r>
          </w:p>
        </w:tc>
      </w:tr>
      <w:tr w:rsidR="00CB2414" w:rsidRPr="00154A9C" w:rsidDel="00A134DA" w14:paraId="39B1BD55" w14:textId="77777777" w:rsidTr="00CB2414">
        <w:tc>
          <w:tcPr>
            <w:tcW w:w="9019" w:type="dxa"/>
            <w:shd w:val="clear" w:color="auto" w:fill="auto"/>
          </w:tcPr>
          <w:p w14:paraId="6F02BD44" w14:textId="77777777" w:rsidR="00CB2414" w:rsidRPr="00154A9C" w:rsidRDefault="00CB2414" w:rsidP="00CB2414">
            <w:pPr>
              <w:pStyle w:val="Tabletext"/>
              <w:rPr>
                <w:u w:val="single" w:color="FF0000"/>
              </w:rPr>
            </w:pPr>
            <w:r w:rsidRPr="00154A9C">
              <w:rPr>
                <w:u w:val="single" w:color="FF0000"/>
              </w:rPr>
              <w:t xml:space="preserve">Proposed item descriptor: </w:t>
            </w:r>
          </w:p>
          <w:p w14:paraId="5723BF3B" w14:textId="77777777" w:rsidR="00CB2414" w:rsidRPr="00154A9C" w:rsidRDefault="00CB2414" w:rsidP="00CB2414">
            <w:pPr>
              <w:pStyle w:val="Tabletext"/>
              <w:rPr>
                <w:u w:color="FF0000"/>
              </w:rPr>
            </w:pPr>
            <w:r w:rsidRPr="00154A9C">
              <w:rPr>
                <w:u w:color="FF0000"/>
              </w:rPr>
              <w:t>THORACIC AORTIC ANEURYSM, transmural fixation of endograft to the aorta using helical anchors adjunct to endovascular aneurysm repair in patients:</w:t>
            </w:r>
          </w:p>
          <w:p w14:paraId="116C1912" w14:textId="77777777" w:rsidR="00CB2414" w:rsidRPr="00154A9C" w:rsidRDefault="00CB2414" w:rsidP="00CB2414">
            <w:pPr>
              <w:pStyle w:val="Tabletext"/>
              <w:rPr>
                <w:u w:color="FF0000"/>
              </w:rPr>
            </w:pPr>
            <w:r w:rsidRPr="00154A9C">
              <w:rPr>
                <w:u w:color="FF0000"/>
              </w:rPr>
              <w:t xml:space="preserve">With an aneurysm neck </w:t>
            </w:r>
            <w:r w:rsidRPr="00154A9C">
              <w:t>diameter ≥ 40mm, length &lt;20 mm for TEVAR OR</w:t>
            </w:r>
          </w:p>
          <w:p w14:paraId="7B0A8AD2" w14:textId="77777777" w:rsidR="00CB2414" w:rsidRPr="00154A9C" w:rsidRDefault="00CB2414" w:rsidP="00CB2414">
            <w:pPr>
              <w:pStyle w:val="Tabletext"/>
              <w:rPr>
                <w:u w:color="FF0000"/>
              </w:rPr>
            </w:pPr>
            <w:r w:rsidRPr="00154A9C">
              <w:t>Patients with a Type Ia endoleak during or following previous aneurysm repair, or</w:t>
            </w:r>
          </w:p>
          <w:p w14:paraId="5E7C9ED6" w14:textId="77777777" w:rsidR="00CB2414" w:rsidRPr="00154A9C" w:rsidRDefault="00CB2414" w:rsidP="00CB2414">
            <w:pPr>
              <w:pStyle w:val="Tabletext"/>
              <w:rPr>
                <w:u w:color="FF0000"/>
              </w:rPr>
            </w:pPr>
            <w:r w:rsidRPr="00154A9C">
              <w:rPr>
                <w:u w:color="FF0000"/>
              </w:rPr>
              <w:t xml:space="preserve">Patients with a device migration </w:t>
            </w:r>
            <w:r w:rsidRPr="00154A9C">
              <w:t>following previous aneurysm repair, where migration is</w:t>
            </w:r>
            <w:r w:rsidRPr="00154A9C">
              <w:rPr>
                <w:u w:color="FF0000"/>
              </w:rPr>
              <w:t xml:space="preserve"> defined as </w:t>
            </w:r>
            <w:r w:rsidRPr="00154A9C">
              <w:t>movement of the endograft greater than 10 mm or any migration of the graft which necessitates any intervention or causes endoleaks.</w:t>
            </w:r>
          </w:p>
          <w:p w14:paraId="6DE65E04" w14:textId="77777777" w:rsidR="00CB2414" w:rsidRPr="00154A9C" w:rsidDel="00A134DA" w:rsidRDefault="00CB2414" w:rsidP="00CB2414">
            <w:pPr>
              <w:pStyle w:val="Tabletext"/>
            </w:pPr>
            <w:r w:rsidRPr="00154A9C">
              <w:rPr>
                <w:u w:color="FF0000"/>
              </w:rPr>
              <w:t>Fee: $2,399.05</w:t>
            </w:r>
          </w:p>
        </w:tc>
      </w:tr>
    </w:tbl>
    <w:p w14:paraId="72B945B6" w14:textId="77777777" w:rsidR="00CB2414" w:rsidRPr="00154A9C" w:rsidRDefault="00CB2414" w:rsidP="00CB2414">
      <w:pPr>
        <w:pStyle w:val="TableNotes"/>
      </w:pPr>
      <w:r w:rsidRPr="00154A9C">
        <w:t>Source: Table 1, p 20 of ADAR</w:t>
      </w:r>
    </w:p>
    <w:p w14:paraId="54047D37" w14:textId="1A3D5FFF" w:rsidR="002762A4" w:rsidRDefault="00CB2414" w:rsidP="00CB2414">
      <w:r w:rsidRPr="00154A9C">
        <w:t>The proposed item descriptors in the ADAR differ to that provided in the ratified PICO</w:t>
      </w:r>
      <w:r w:rsidR="007E6D4E">
        <w:rPr>
          <w:rStyle w:val="FootnoteReference"/>
        </w:rPr>
        <w:footnoteReference w:id="1"/>
      </w:r>
      <w:r w:rsidRPr="00154A9C">
        <w:t xml:space="preserve">. The ADAR justified this change on the basis that the fee for endovascular repair of aortic aneurysm differ by location (abdominal and thoracic) and by the type of graft used (tube or bifurcated graft). Consequently, three separate MBS item codes for helical anchors adjunct to </w:t>
      </w:r>
      <w:r w:rsidR="007E6D4E" w:rsidRPr="00154A9C">
        <w:t>thoracic endovascular aneurysm repair (</w:t>
      </w:r>
      <w:r w:rsidRPr="00154A9C">
        <w:t>T/EVAR</w:t>
      </w:r>
      <w:r w:rsidR="007E6D4E">
        <w:t>)</w:t>
      </w:r>
      <w:r w:rsidRPr="00154A9C">
        <w:t xml:space="preserve"> are proposed based on MBS items 33116, 33119 and 33103. An increase in fees is proposed to account for the additional time for insertion of the helical anchors. The applicant </w:t>
      </w:r>
      <w:r w:rsidR="00166E97">
        <w:t xml:space="preserve">noted it </w:t>
      </w:r>
      <w:r w:rsidRPr="00154A9C">
        <w:t>would support alternate arrangements and structuring of the proposed MBS code/s for the proposed service should MSAC consider this appropriate.</w:t>
      </w:r>
    </w:p>
    <w:p w14:paraId="4B449B58" w14:textId="77777777" w:rsidR="002762A4" w:rsidRPr="00154A9C" w:rsidRDefault="002762A4" w:rsidP="00875308">
      <w:pPr>
        <w:spacing w:before="240"/>
      </w:pPr>
      <w:r>
        <w:t xml:space="preserve">In the pre-MSAC response, the applicant provided clarification regarding the calculations undertaken to justify the fee increase (time taken for thoracic endovascular aneurysm repair (T/EVAR) + EA compared with time taken for T/EVAR). The applicant clarified that Table 83 of the ADAR reports the additional time EA insertion added to procedure durations in the ANCHOR registry; 16% for the primary AAA population, 22% for revision AAA, 11% for primary TAA and 14% for revision TAA. As stated in the ADAR (pg. 210), a weighted average was calculated across all patients in the ANCHOR registry, resulting in an estimation </w:t>
      </w:r>
      <w:r>
        <w:lastRenderedPageBreak/>
        <w:t>of EA+T/EVAR taking 17% longer than standard T/EVAR procedures, based on procedure durations of 144.8 minutes with EA insertion versus 123.6 minutes without EA insertion.</w:t>
      </w:r>
    </w:p>
    <w:p w14:paraId="22085C2F" w14:textId="77777777" w:rsidR="00DE0A72" w:rsidRPr="00F715D1" w:rsidRDefault="00DE0A72" w:rsidP="00DE0A72">
      <w:pPr>
        <w:pStyle w:val="Heading1"/>
      </w:pPr>
      <w:r w:rsidRPr="00F715D1">
        <w:t xml:space="preserve">Summary of </w:t>
      </w:r>
      <w:r>
        <w:t>public c</w:t>
      </w:r>
      <w:r w:rsidRPr="00F715D1">
        <w:t>onsultation</w:t>
      </w:r>
      <w:r>
        <w:t xml:space="preserve"> f</w:t>
      </w:r>
      <w:r w:rsidRPr="00F715D1">
        <w:t>eedback</w:t>
      </w:r>
      <w:r>
        <w:t>/c</w:t>
      </w:r>
      <w:r w:rsidRPr="00F715D1">
        <w:t>onsumer Issues</w:t>
      </w:r>
    </w:p>
    <w:p w14:paraId="35C5290D" w14:textId="77777777" w:rsidR="00CB2414" w:rsidRPr="00154A9C" w:rsidRDefault="00CB2414" w:rsidP="00CB2414">
      <w:r w:rsidRPr="00154A9C">
        <w:t>Targeted consultation feedback was received from Australian and New Zealand Society for Vascular Surgery (ANZSVS) supporting the listing of the proposed item. In ANZSVS opinion, the benefits of transmural fixation of aortic endograft adjunct to EVAR using helical anchors include possible improved security of repair and avoidance of more complex repair. The ANZSVS was unclear on the durability of helical anchors.</w:t>
      </w:r>
    </w:p>
    <w:p w14:paraId="67C4B77B" w14:textId="77777777" w:rsidR="00DE0A72" w:rsidRPr="00F715D1" w:rsidRDefault="00DE0A72" w:rsidP="00DE0A72">
      <w:pPr>
        <w:pStyle w:val="Heading1"/>
      </w:pPr>
      <w:r w:rsidRPr="00F715D1">
        <w:t>Proposed intervention’s place in clinical management</w:t>
      </w:r>
    </w:p>
    <w:p w14:paraId="00BFC8C6" w14:textId="77777777" w:rsidR="00DE0A72" w:rsidRPr="007E6D4E" w:rsidRDefault="00DE0A72" w:rsidP="007E6D4E">
      <w:pPr>
        <w:pStyle w:val="Heading2"/>
        <w:rPr>
          <w:b/>
          <w:i w:val="0"/>
          <w:u w:val="none"/>
        </w:rPr>
      </w:pPr>
      <w:r w:rsidRPr="007E6D4E">
        <w:rPr>
          <w:b/>
          <w:i w:val="0"/>
          <w:u w:val="none"/>
        </w:rPr>
        <w:t>Description of Proposed Intervention</w:t>
      </w:r>
    </w:p>
    <w:p w14:paraId="25F9F36F" w14:textId="47AB6B43" w:rsidR="00CB2414" w:rsidRPr="00154A9C" w:rsidRDefault="00CB2414" w:rsidP="00CB2414">
      <w:r w:rsidRPr="00154A9C">
        <w:t>The proposed medical service is the fixation of aortic endografts using helical anchors adjun</w:t>
      </w:r>
      <w:r w:rsidR="00875308">
        <w:t>ctive to aortic EVAR or T/EVAR.</w:t>
      </w:r>
    </w:p>
    <w:p w14:paraId="7A008923" w14:textId="1CDBA289" w:rsidR="00CB2414" w:rsidRPr="00875308" w:rsidRDefault="00CB2414" w:rsidP="00875308">
      <w:pPr>
        <w:spacing w:before="240"/>
      </w:pPr>
      <w:r w:rsidRPr="00154A9C">
        <w:t xml:space="preserve">Helical anchors are implanted during either an initial T/EVAR to prevent endoleak (patients with hostile anatomy), fix a Type Ia endoleak </w:t>
      </w:r>
      <w:r w:rsidR="003A0F5E">
        <w:t>and/</w:t>
      </w:r>
      <w:r w:rsidR="00482CCF">
        <w:t xml:space="preserve">or graft migration </w:t>
      </w:r>
      <w:r w:rsidRPr="00154A9C">
        <w:t>detected immediately following graft placement, or during T/EVAR undertaken to fix a postoperatively detected Type Ia endoleak</w:t>
      </w:r>
      <w:r w:rsidR="00EB67B4">
        <w:t xml:space="preserve"> and</w:t>
      </w:r>
      <w:r w:rsidR="00B26336">
        <w:t>/or graft migration</w:t>
      </w:r>
      <w:r w:rsidRPr="00154A9C">
        <w:t xml:space="preserve"> remote from the index procedure (revision). For patients with hostile anatomy, helical anchors are used in conjunction with “standard” T/EVAR grafts, defined as tube and bifurcated grafts. The helical anchor is purported to improve the seal between the graft and the vessel, fixing the graft into the correct position. Computed tomography angiography (CTA) is performed prior to the procedure to assess the anatomy of the aorta, determine graft use</w:t>
      </w:r>
      <w:r w:rsidR="00875308">
        <w:t xml:space="preserve"> and to determine eligibility.</w:t>
      </w:r>
    </w:p>
    <w:p w14:paraId="0199F4C9" w14:textId="77777777" w:rsidR="00DE0A72" w:rsidRPr="007E6D4E" w:rsidRDefault="00DE0A72" w:rsidP="00875308">
      <w:pPr>
        <w:pStyle w:val="Heading2"/>
        <w:spacing w:before="240"/>
        <w:rPr>
          <w:b/>
          <w:i w:val="0"/>
          <w:u w:val="none"/>
        </w:rPr>
      </w:pPr>
      <w:r w:rsidRPr="007E6D4E">
        <w:rPr>
          <w:b/>
          <w:i w:val="0"/>
          <w:u w:val="none"/>
        </w:rPr>
        <w:t>Description of Medical Condition(s)</w:t>
      </w:r>
    </w:p>
    <w:p w14:paraId="4E291D6D" w14:textId="1945B65F" w:rsidR="00CB2414" w:rsidRPr="00154A9C" w:rsidRDefault="00CB2414" w:rsidP="00CB2414">
      <w:r w:rsidRPr="00154A9C">
        <w:t>An aneurysm is defined as an artery that has localised dilatation more than 1.5 times greater than the usual diameter of that artery (Johnson et al. 1991). When the aneurysm occurs in the aorta it is referred to as an aortic abdominal or thoracic aneurysm dependent on its location. Most aortic aneurysms occur in the abdomen (referred to as AAA) with thoracic aortic aneurysms (TAA) occurring less frequently. Aortic aneurysms (AAs) are often asymptomatic and are often identified incidentally through imaging for symptoms unrelated to the AA. The natural history is ongoing expansion of the aneurysm, with the risk of rupture increasing with increasing size. Patients with a ruptured aneurysm have more than 50% risk of death before hospitalisation or treatment (Chaikof et al. 2018). Whilst AA is rare in people &lt; 50 years old, the prevalence increases sharply with increasing age wit</w:t>
      </w:r>
      <w:r w:rsidR="00875308">
        <w:t>h more men than women affected.</w:t>
      </w:r>
    </w:p>
    <w:p w14:paraId="1A5AC6CA" w14:textId="77777777" w:rsidR="00CB2414" w:rsidRPr="00154A9C" w:rsidRDefault="00CB2414" w:rsidP="00875308">
      <w:pPr>
        <w:spacing w:before="240"/>
      </w:pPr>
      <w:r w:rsidRPr="00154A9C">
        <w:t>The medical service is proposed for use in two patient populations:</w:t>
      </w:r>
    </w:p>
    <w:p w14:paraId="2788E9A2" w14:textId="77777777" w:rsidR="00CB2414" w:rsidRPr="00154A9C" w:rsidRDefault="00CB2414" w:rsidP="007E6D4E">
      <w:pPr>
        <w:pStyle w:val="ListParagraph"/>
        <w:numPr>
          <w:ilvl w:val="0"/>
          <w:numId w:val="4"/>
        </w:numPr>
      </w:pPr>
      <w:r w:rsidRPr="00154A9C">
        <w:rPr>
          <w:b/>
          <w:bCs/>
        </w:rPr>
        <w:t xml:space="preserve">Population 1: </w:t>
      </w:r>
      <w:r w:rsidRPr="00154A9C">
        <w:t xml:space="preserve">Patients with an aortic abdominal aneurysm </w:t>
      </w:r>
      <w:r w:rsidR="00166E97">
        <w:t xml:space="preserve">(AAA) </w:t>
      </w:r>
      <w:r w:rsidRPr="00154A9C">
        <w:t xml:space="preserve">or thoracic aortic aneurysm </w:t>
      </w:r>
      <w:r w:rsidR="00166E97">
        <w:t xml:space="preserve">(TAA) </w:t>
      </w:r>
      <w:r w:rsidRPr="00154A9C">
        <w:t>who are undergoing initial T/EVAR and who have a hostile neck anatomy (defined as length &lt;10mm, diameter &gt;28 mm, angulation &gt;60 degr</w:t>
      </w:r>
      <w:r w:rsidR="007E6D4E">
        <w:t xml:space="preserve">ees or aortic neck </w:t>
      </w:r>
      <w:r w:rsidRPr="00154A9C">
        <w:t>is conical for EVAR and diameter ≥ 40mm, length &lt;20 mm for TEVAR).</w:t>
      </w:r>
    </w:p>
    <w:p w14:paraId="6D13898F" w14:textId="0AF0142F" w:rsidR="00CB2414" w:rsidRPr="00154A9C" w:rsidRDefault="00CB2414" w:rsidP="00CB2414">
      <w:pPr>
        <w:pStyle w:val="ListParagraph"/>
        <w:numPr>
          <w:ilvl w:val="0"/>
          <w:numId w:val="4"/>
        </w:numPr>
      </w:pPr>
      <w:r w:rsidRPr="00154A9C">
        <w:rPr>
          <w:b/>
          <w:bCs/>
        </w:rPr>
        <w:t>Population 2:</w:t>
      </w:r>
      <w:r w:rsidRPr="00154A9C">
        <w:t xml:space="preserve"> Patients with a Type Ia endoleak and/or graft migration during or after T/EVAR, where migration is defined as movement of the endograft greater than 10 mm; or, any migration of the graft which necessitates any intervention or causes endoleaks.</w:t>
      </w:r>
    </w:p>
    <w:p w14:paraId="5ABA6D09" w14:textId="44DDC4BC" w:rsidR="00166E97" w:rsidRDefault="00CB2414" w:rsidP="00875308">
      <w:pPr>
        <w:spacing w:before="240" w:after="240"/>
      </w:pPr>
      <w:r w:rsidRPr="00154A9C">
        <w:t>Use of helical anchors in patients who have experienced aneurysm rupture is outside the scope of the application.</w:t>
      </w:r>
    </w:p>
    <w:p w14:paraId="3C568356" w14:textId="703F7233" w:rsidR="00CB2414" w:rsidRDefault="00CB2414" w:rsidP="00875308">
      <w:pPr>
        <w:spacing w:after="240"/>
      </w:pPr>
      <w:r w:rsidRPr="00154A9C">
        <w:lastRenderedPageBreak/>
        <w:t xml:space="preserve">The proposed clinical management </w:t>
      </w:r>
      <w:r w:rsidRPr="00CB3BC6">
        <w:rPr>
          <w:szCs w:val="24"/>
        </w:rPr>
        <w:t>algorithm (</w:t>
      </w:r>
      <w:r w:rsidR="00CB3BC6" w:rsidRPr="00CB3BC6">
        <w:rPr>
          <w:szCs w:val="24"/>
        </w:rPr>
        <w:fldChar w:fldCharType="begin"/>
      </w:r>
      <w:r w:rsidR="00CB3BC6" w:rsidRPr="00CB3BC6">
        <w:rPr>
          <w:szCs w:val="24"/>
        </w:rPr>
        <w:instrText xml:space="preserve"> REF _Ref43982506 \h  \* MERGEFORMAT </w:instrText>
      </w:r>
      <w:r w:rsidR="00CB3BC6" w:rsidRPr="00CB3BC6">
        <w:rPr>
          <w:szCs w:val="24"/>
        </w:rPr>
      </w:r>
      <w:r w:rsidR="00CB3BC6" w:rsidRPr="00CB3BC6">
        <w:rPr>
          <w:szCs w:val="24"/>
        </w:rPr>
        <w:fldChar w:fldCharType="separate"/>
      </w:r>
      <w:r w:rsidR="00CB3BC6" w:rsidRPr="00CB3BC6">
        <w:rPr>
          <w:szCs w:val="24"/>
        </w:rPr>
        <w:t>Figure 1</w:t>
      </w:r>
      <w:r w:rsidR="00CB3BC6" w:rsidRPr="00CB3BC6">
        <w:rPr>
          <w:szCs w:val="24"/>
        </w:rPr>
        <w:fldChar w:fldCharType="end"/>
      </w:r>
      <w:r w:rsidRPr="00CB3BC6">
        <w:rPr>
          <w:szCs w:val="24"/>
        </w:rPr>
        <w:t>) indicates</w:t>
      </w:r>
      <w:r w:rsidRPr="00154A9C">
        <w:t xml:space="preserve"> that in Population 1, helical anchors are proposed to replace the use of complex T/EVAR surgery (with fenestrated, branched or chimney grafts). In Population 2, helical anchors are proposed to replace the use of additional components such as extension cuffs and ballooning. Helical anchors are also proposed to eliminate the need for open repair in some patients.</w:t>
      </w:r>
    </w:p>
    <w:p w14:paraId="536F52C8" w14:textId="0C853C4D" w:rsidR="00CB2414" w:rsidRPr="00154A9C" w:rsidRDefault="00E22195" w:rsidP="00875308">
      <w:pPr>
        <w:keepNext/>
        <w:keepLines/>
      </w:pPr>
      <w:r w:rsidRPr="00154A9C">
        <w:object w:dxaOrig="11340" w:dyaOrig="8415" w14:anchorId="04A45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posed clinical management algorithm" style="width:394.5pt;height:291pt" o:ole="">
            <v:imagedata r:id="rId10" o:title=""/>
          </v:shape>
          <o:OLEObject Type="Embed" ProgID="Visio.Drawing.15" ShapeID="_x0000_i1025" DrawAspect="Content" ObjectID="_1655877808" r:id="rId11"/>
        </w:object>
      </w:r>
    </w:p>
    <w:p w14:paraId="70C79C7E" w14:textId="2A85F450" w:rsidR="00CB2414" w:rsidRPr="00CB3BC6" w:rsidRDefault="00CB3BC6" w:rsidP="00CB3BC6">
      <w:pPr>
        <w:spacing w:before="240"/>
        <w:rPr>
          <w:rFonts w:ascii="Arial Narrow" w:hAnsi="Arial Narrow"/>
          <w:b/>
          <w:sz w:val="20"/>
        </w:rPr>
      </w:pPr>
      <w:bookmarkStart w:id="5" w:name="_Ref43982506"/>
      <w:bookmarkStart w:id="6" w:name="_Toc21528159"/>
      <w:bookmarkStart w:id="7" w:name="_Ref35863470"/>
      <w:r w:rsidRPr="00CB3BC6">
        <w:rPr>
          <w:rFonts w:ascii="Arial Narrow" w:hAnsi="Arial Narrow"/>
          <w:b/>
          <w:sz w:val="20"/>
        </w:rPr>
        <w:t xml:space="preserve">Figure </w:t>
      </w:r>
      <w:r w:rsidRPr="00CB3BC6">
        <w:rPr>
          <w:rFonts w:ascii="Arial Narrow" w:hAnsi="Arial Narrow"/>
          <w:b/>
          <w:sz w:val="20"/>
        </w:rPr>
        <w:fldChar w:fldCharType="begin"/>
      </w:r>
      <w:r w:rsidRPr="00CB3BC6">
        <w:rPr>
          <w:rFonts w:ascii="Arial Narrow" w:hAnsi="Arial Narrow"/>
          <w:b/>
          <w:sz w:val="20"/>
        </w:rPr>
        <w:instrText xml:space="preserve"> SEQ Figure \* ARABIC </w:instrText>
      </w:r>
      <w:r w:rsidRPr="00CB3BC6">
        <w:rPr>
          <w:rFonts w:ascii="Arial Narrow" w:hAnsi="Arial Narrow"/>
          <w:b/>
          <w:sz w:val="20"/>
        </w:rPr>
        <w:fldChar w:fldCharType="separate"/>
      </w:r>
      <w:r w:rsidRPr="00CB3BC6">
        <w:rPr>
          <w:rFonts w:ascii="Arial Narrow" w:hAnsi="Arial Narrow"/>
          <w:b/>
          <w:sz w:val="20"/>
        </w:rPr>
        <w:t>1</w:t>
      </w:r>
      <w:r w:rsidRPr="00CB3BC6">
        <w:rPr>
          <w:rFonts w:ascii="Arial Narrow" w:hAnsi="Arial Narrow"/>
          <w:b/>
          <w:sz w:val="20"/>
        </w:rPr>
        <w:fldChar w:fldCharType="end"/>
      </w:r>
      <w:bookmarkEnd w:id="5"/>
      <w:r w:rsidRPr="00CB3BC6">
        <w:rPr>
          <w:rFonts w:ascii="Arial Narrow" w:hAnsi="Arial Narrow"/>
          <w:b/>
          <w:sz w:val="20"/>
        </w:rPr>
        <w:tab/>
      </w:r>
      <w:r w:rsidR="00CB2414" w:rsidRPr="00CB3BC6">
        <w:rPr>
          <w:rFonts w:ascii="Arial Narrow" w:hAnsi="Arial Narrow"/>
          <w:b/>
          <w:sz w:val="20"/>
        </w:rPr>
        <w:t>Proposed clinical management algorithm</w:t>
      </w:r>
      <w:bookmarkEnd w:id="6"/>
      <w:bookmarkEnd w:id="7"/>
    </w:p>
    <w:p w14:paraId="34CB85CF" w14:textId="77777777" w:rsidR="00CB2414" w:rsidRPr="00154A9C" w:rsidRDefault="00CB2414" w:rsidP="00CB2414">
      <w:pPr>
        <w:pStyle w:val="Tablenotes0"/>
      </w:pPr>
      <w:r w:rsidRPr="00154A9C">
        <w:t>Note: Population 1 is highlighted in yellow; Population 2 is highlighted in green. The proposed intervention is shown in bold. 1: Hostile neck anatomy is defined as length &lt;10 mm, diameter &gt;28 mm, angulation &gt;60 degrees or aortic neck is conical. 2: Complex T/EVAR refers to the use of fenestrated, branched or chimney grafts. 3: Additional components may include repositioning of the graft, aggressive ballooning, cuffs, extenders, converters. 4: In conjunction with simple tube or bifurcated grafts. 5. Migration defined as movement of the endograft greater than 10 mm or any migration of the graft which necessitates any intervention or causes endoleaks.</w:t>
      </w:r>
    </w:p>
    <w:p w14:paraId="7ED92FBC" w14:textId="77777777" w:rsidR="00CB2414" w:rsidRPr="00154A9C" w:rsidRDefault="00CB2414" w:rsidP="00CB2414">
      <w:pPr>
        <w:pStyle w:val="Tablenotes0"/>
      </w:pPr>
      <w:r w:rsidRPr="00154A9C">
        <w:t xml:space="preserve">Abbreviations: AAA = abdominal aortic aneurysm, HA = helical anchors, TAA = thoracic aortic aneurysm, T/EVAR = thoracic endovascular aneurysm repair or endovascular aneurysm repair. </w:t>
      </w:r>
    </w:p>
    <w:p w14:paraId="6D0941D2" w14:textId="77777777" w:rsidR="00CB2414" w:rsidRPr="00154A9C" w:rsidRDefault="00CB2414" w:rsidP="00CB2414">
      <w:pPr>
        <w:pStyle w:val="Tablenotes0"/>
      </w:pPr>
      <w:r w:rsidRPr="00154A9C">
        <w:t>Source: Figure 12, p57 of ADAR</w:t>
      </w:r>
    </w:p>
    <w:p w14:paraId="172EFF51" w14:textId="77777777" w:rsidR="00DE0A72" w:rsidRPr="00F715D1" w:rsidRDefault="00DE0A72" w:rsidP="00DE0A72">
      <w:pPr>
        <w:pStyle w:val="Heading1"/>
      </w:pPr>
      <w:r w:rsidRPr="00F715D1">
        <w:t xml:space="preserve">Comparator </w:t>
      </w:r>
    </w:p>
    <w:p w14:paraId="01057ACE" w14:textId="77777777" w:rsidR="00CB2414" w:rsidRPr="00154A9C" w:rsidRDefault="00CB2414" w:rsidP="00CB2414">
      <w:pPr>
        <w:pStyle w:val="Heading2"/>
      </w:pPr>
      <w:r w:rsidRPr="00154A9C">
        <w:t>Population 1</w:t>
      </w:r>
    </w:p>
    <w:p w14:paraId="4FC6C4EF" w14:textId="622F8B9D" w:rsidR="00CB2414" w:rsidRPr="00154A9C" w:rsidRDefault="00CB2414" w:rsidP="00CB2414">
      <w:r w:rsidRPr="00154A9C">
        <w:t xml:space="preserve">The comparator for Population 1 is </w:t>
      </w:r>
      <w:r w:rsidRPr="00154A9C">
        <w:rPr>
          <w:noProof/>
        </w:rPr>
        <w:t>use</w:t>
      </w:r>
      <w:r w:rsidRPr="00154A9C">
        <w:t xml:space="preserve"> of complex grafts defined as fenestrated, branched or chimney grafts. These grafts are used in patients with hostile anatomy where there may be insufficient healthy aorta above the graft to provide adequate sealing; therefore, standard (tube and bifurcated) grafts </w:t>
      </w:r>
      <w:r w:rsidR="00875308">
        <w:t>may not be appropriate for use.</w:t>
      </w:r>
    </w:p>
    <w:p w14:paraId="177DE303" w14:textId="77777777" w:rsidR="00CB2414" w:rsidRPr="00154A9C" w:rsidRDefault="00CB2414" w:rsidP="00875308">
      <w:pPr>
        <w:pStyle w:val="Heading2"/>
        <w:spacing w:before="240"/>
      </w:pPr>
      <w:r w:rsidRPr="00154A9C">
        <w:t>Population 2</w:t>
      </w:r>
    </w:p>
    <w:p w14:paraId="537AA9EE" w14:textId="77777777" w:rsidR="00CB2414" w:rsidRPr="00154A9C" w:rsidRDefault="00CB2414" w:rsidP="00CB2414">
      <w:r w:rsidRPr="00154A9C">
        <w:t>The comparators for Population 2 (both for Type Ia endoleak and migration) are:</w:t>
      </w:r>
    </w:p>
    <w:p w14:paraId="23D5E003" w14:textId="77777777" w:rsidR="00CB2414" w:rsidRPr="00154A9C" w:rsidRDefault="00CB2414" w:rsidP="00CB2414">
      <w:pPr>
        <w:pStyle w:val="ListParagraph"/>
        <w:numPr>
          <w:ilvl w:val="0"/>
          <w:numId w:val="5"/>
        </w:numPr>
      </w:pPr>
      <w:r w:rsidRPr="00154A9C">
        <w:t xml:space="preserve">Revision T/EVAR including </w:t>
      </w:r>
      <w:r w:rsidRPr="00154A9C">
        <w:rPr>
          <w:noProof/>
        </w:rPr>
        <w:t>addition</w:t>
      </w:r>
      <w:r w:rsidRPr="00154A9C">
        <w:t xml:space="preserve"> of component pieces </w:t>
      </w:r>
      <w:r w:rsidRPr="00154A9C">
        <w:rPr>
          <w:noProof/>
        </w:rPr>
        <w:t>and/or</w:t>
      </w:r>
      <w:r w:rsidRPr="00154A9C">
        <w:t xml:space="preserve"> repositioning of </w:t>
      </w:r>
      <w:r w:rsidRPr="00154A9C">
        <w:rPr>
          <w:noProof/>
        </w:rPr>
        <w:t>stent</w:t>
      </w:r>
      <w:r w:rsidRPr="00154A9C">
        <w:t xml:space="preserve">-graft, and/or aggressive ballooning </w:t>
      </w:r>
      <w:r w:rsidRPr="00154A9C">
        <w:rPr>
          <w:noProof/>
        </w:rPr>
        <w:t>i.e.</w:t>
      </w:r>
      <w:r w:rsidRPr="00154A9C">
        <w:t xml:space="preserve"> angioplasty) or complex grafts</w:t>
      </w:r>
    </w:p>
    <w:p w14:paraId="0D5E48E4" w14:textId="644968E7" w:rsidR="00CB2414" w:rsidRPr="00154A9C" w:rsidRDefault="00CB2414" w:rsidP="00875308">
      <w:pPr>
        <w:pStyle w:val="ListParagraph"/>
        <w:numPr>
          <w:ilvl w:val="0"/>
          <w:numId w:val="5"/>
        </w:numPr>
      </w:pPr>
      <w:r w:rsidRPr="00154A9C">
        <w:t>Open repair.</w:t>
      </w:r>
    </w:p>
    <w:p w14:paraId="450D6FCE" w14:textId="7DE60145" w:rsidR="00CB2414" w:rsidRPr="00CB3BC6" w:rsidRDefault="00CB2414" w:rsidP="00875308">
      <w:pPr>
        <w:spacing w:before="240"/>
        <w:rPr>
          <w:szCs w:val="24"/>
        </w:rPr>
      </w:pPr>
      <w:r w:rsidRPr="00154A9C">
        <w:t xml:space="preserve">The MBS item descriptors for the relevant comparators are provided </w:t>
      </w:r>
      <w:r w:rsidRPr="00CB3BC6">
        <w:rPr>
          <w:szCs w:val="24"/>
        </w:rPr>
        <w:t>in</w:t>
      </w:r>
      <w:r w:rsidR="00CB3BC6" w:rsidRPr="00CB3BC6">
        <w:rPr>
          <w:szCs w:val="24"/>
        </w:rPr>
        <w:t xml:space="preserve"> </w:t>
      </w:r>
      <w:r w:rsidR="00CB3BC6" w:rsidRPr="00CB3BC6">
        <w:rPr>
          <w:szCs w:val="24"/>
        </w:rPr>
        <w:fldChar w:fldCharType="begin"/>
      </w:r>
      <w:r w:rsidR="00CB3BC6" w:rsidRPr="00CB3BC6">
        <w:rPr>
          <w:szCs w:val="24"/>
        </w:rPr>
        <w:instrText xml:space="preserve"> REF _Ref43982614 \h  \* MERGEFORMAT </w:instrText>
      </w:r>
      <w:r w:rsidR="00CB3BC6" w:rsidRPr="00CB3BC6">
        <w:rPr>
          <w:szCs w:val="24"/>
        </w:rPr>
      </w:r>
      <w:r w:rsidR="00CB3BC6" w:rsidRPr="00CB3BC6">
        <w:rPr>
          <w:szCs w:val="24"/>
        </w:rPr>
        <w:fldChar w:fldCharType="separate"/>
      </w:r>
      <w:r w:rsidR="00CB3BC6" w:rsidRPr="00CB3BC6">
        <w:rPr>
          <w:szCs w:val="24"/>
        </w:rPr>
        <w:t>Table 3</w:t>
      </w:r>
      <w:r w:rsidR="00CB3BC6" w:rsidRPr="00CB3BC6">
        <w:rPr>
          <w:szCs w:val="24"/>
        </w:rPr>
        <w:fldChar w:fldCharType="end"/>
      </w:r>
      <w:r w:rsidR="00875308" w:rsidRPr="00CB3BC6">
        <w:rPr>
          <w:szCs w:val="24"/>
        </w:rPr>
        <w:t>.</w:t>
      </w:r>
    </w:p>
    <w:p w14:paraId="6C3C2D7B" w14:textId="747F7014" w:rsidR="00CB2414" w:rsidRPr="00154A9C" w:rsidRDefault="00CB2414" w:rsidP="00875308">
      <w:r w:rsidRPr="00154A9C">
        <w:t>There are no specific MBS item numbers associated with the insertion of complex grafts (fenestrated, chimney or branched grafts); rather for a complex EVAR procedure MBS items 33116 or 33119 are claimed (despite this procedure taking longer to perform than a standard EVAR procedure) with the addition of translu</w:t>
      </w:r>
      <w:r w:rsidR="00875308">
        <w:t xml:space="preserve">minal stent insertion claimed. </w:t>
      </w:r>
    </w:p>
    <w:p w14:paraId="197D7733" w14:textId="5C32716B" w:rsidR="00CB2414" w:rsidRPr="00154A9C" w:rsidRDefault="00CB2414" w:rsidP="00875308">
      <w:pPr>
        <w:spacing w:before="240"/>
      </w:pPr>
      <w:r w:rsidRPr="00154A9C">
        <w:t>There are no specific MBS item numbers limited to TEVAR procedures. Two items, 33103 and 33109 relevant to TAA repair, do not necessarily preclude tre</w:t>
      </w:r>
      <w:r w:rsidR="00875308">
        <w:t>atment via endovascular means.</w:t>
      </w:r>
    </w:p>
    <w:p w14:paraId="7D52A38F" w14:textId="1EFA7BC7" w:rsidR="00CB2414" w:rsidRPr="00CB3BC6" w:rsidRDefault="00CB3BC6" w:rsidP="00CB3BC6">
      <w:pPr>
        <w:spacing w:before="240"/>
        <w:rPr>
          <w:rFonts w:ascii="Arial Narrow" w:hAnsi="Arial Narrow"/>
          <w:b/>
          <w:sz w:val="20"/>
        </w:rPr>
      </w:pPr>
      <w:bookmarkStart w:id="8" w:name="_Ref43982614"/>
      <w:bookmarkStart w:id="9" w:name="_Ref350151231"/>
      <w:bookmarkStart w:id="10" w:name="_Toc350258536"/>
      <w:bookmarkStart w:id="11" w:name="_Toc381969860"/>
      <w:bookmarkStart w:id="12" w:name="_Toc21528030"/>
      <w:r w:rsidRPr="00CB3BC6">
        <w:rPr>
          <w:rFonts w:ascii="Arial Narrow" w:hAnsi="Arial Narrow"/>
          <w:b/>
          <w:sz w:val="20"/>
        </w:rPr>
        <w:t xml:space="preserve">Table </w:t>
      </w:r>
      <w:r w:rsidRPr="00CB3BC6">
        <w:rPr>
          <w:rFonts w:ascii="Arial Narrow" w:hAnsi="Arial Narrow"/>
          <w:b/>
          <w:sz w:val="20"/>
        </w:rPr>
        <w:fldChar w:fldCharType="begin"/>
      </w:r>
      <w:r w:rsidRPr="00CB3BC6">
        <w:rPr>
          <w:rFonts w:ascii="Arial Narrow" w:hAnsi="Arial Narrow"/>
          <w:b/>
          <w:sz w:val="20"/>
        </w:rPr>
        <w:instrText xml:space="preserve"> SEQ Table \* ARABIC </w:instrText>
      </w:r>
      <w:r w:rsidRPr="00CB3BC6">
        <w:rPr>
          <w:rFonts w:ascii="Arial Narrow" w:hAnsi="Arial Narrow"/>
          <w:b/>
          <w:sz w:val="20"/>
        </w:rPr>
        <w:fldChar w:fldCharType="separate"/>
      </w:r>
      <w:r w:rsidR="00E05271">
        <w:rPr>
          <w:rFonts w:ascii="Arial Narrow" w:hAnsi="Arial Narrow"/>
          <w:b/>
          <w:noProof/>
          <w:sz w:val="20"/>
        </w:rPr>
        <w:t>3</w:t>
      </w:r>
      <w:r w:rsidRPr="00CB3BC6">
        <w:rPr>
          <w:rFonts w:ascii="Arial Narrow" w:hAnsi="Arial Narrow"/>
          <w:b/>
          <w:sz w:val="20"/>
        </w:rPr>
        <w:fldChar w:fldCharType="end"/>
      </w:r>
      <w:bookmarkEnd w:id="8"/>
      <w:r w:rsidRPr="00CB3BC6">
        <w:rPr>
          <w:rFonts w:ascii="Arial Narrow" w:hAnsi="Arial Narrow"/>
          <w:b/>
          <w:sz w:val="20"/>
        </w:rPr>
        <w:tab/>
      </w:r>
      <w:r w:rsidR="00CB2414" w:rsidRPr="00CB3BC6">
        <w:rPr>
          <w:rFonts w:ascii="Arial Narrow" w:hAnsi="Arial Narrow"/>
          <w:b/>
          <w:sz w:val="20"/>
        </w:rPr>
        <w:t xml:space="preserve">Relevant MBS item for the </w:t>
      </w:r>
      <w:bookmarkEnd w:id="9"/>
      <w:bookmarkEnd w:id="10"/>
      <w:r w:rsidR="00CB2414" w:rsidRPr="00CB3BC6">
        <w:rPr>
          <w:rFonts w:ascii="Arial Narrow" w:hAnsi="Arial Narrow"/>
          <w:b/>
          <w:sz w:val="20"/>
        </w:rPr>
        <w:t>comparator</w:t>
      </w:r>
      <w:bookmarkEnd w:id="11"/>
      <w:r w:rsidR="00CB2414" w:rsidRPr="00CB3BC6">
        <w:rPr>
          <w:rFonts w:ascii="Arial Narrow" w:hAnsi="Arial Narrow"/>
          <w:b/>
          <w:sz w:val="20"/>
        </w:rPr>
        <w:t>s</w:t>
      </w:r>
      <w:bookmarkEnd w:id="1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434"/>
        <w:gridCol w:w="5558"/>
        <w:gridCol w:w="1559"/>
      </w:tblGrid>
      <w:tr w:rsidR="00CB2414" w:rsidRPr="00154A9C" w14:paraId="49A40FF4" w14:textId="77777777" w:rsidTr="00CB2414">
        <w:trPr>
          <w:tblHeader/>
        </w:trPr>
        <w:tc>
          <w:tcPr>
            <w:tcW w:w="1521" w:type="dxa"/>
            <w:tcBorders>
              <w:bottom w:val="single" w:sz="4" w:space="0" w:color="auto"/>
            </w:tcBorders>
            <w:shd w:val="clear" w:color="auto" w:fill="auto"/>
          </w:tcPr>
          <w:p w14:paraId="6659A274" w14:textId="77777777" w:rsidR="00CB2414" w:rsidRPr="00154A9C" w:rsidRDefault="00CB2414" w:rsidP="00CB2414">
            <w:pPr>
              <w:pStyle w:val="Tabletext"/>
              <w:rPr>
                <w:b/>
                <w:bCs/>
              </w:rPr>
            </w:pPr>
            <w:r w:rsidRPr="00154A9C">
              <w:rPr>
                <w:b/>
                <w:bCs/>
              </w:rPr>
              <w:t>MBS item</w:t>
            </w:r>
          </w:p>
        </w:tc>
        <w:tc>
          <w:tcPr>
            <w:tcW w:w="5992" w:type="dxa"/>
            <w:gridSpan w:val="2"/>
            <w:tcBorders>
              <w:bottom w:val="single" w:sz="4" w:space="0" w:color="auto"/>
            </w:tcBorders>
            <w:shd w:val="clear" w:color="auto" w:fill="auto"/>
          </w:tcPr>
          <w:p w14:paraId="17BA1F93" w14:textId="77777777" w:rsidR="00CB2414" w:rsidRPr="00154A9C" w:rsidRDefault="00CB2414" w:rsidP="00CB2414">
            <w:pPr>
              <w:pStyle w:val="Tabletext"/>
              <w:rPr>
                <w:b/>
                <w:bCs/>
              </w:rPr>
            </w:pPr>
            <w:r w:rsidRPr="00154A9C">
              <w:rPr>
                <w:b/>
                <w:bCs/>
              </w:rPr>
              <w:t>MBS item descriptor</w:t>
            </w:r>
          </w:p>
        </w:tc>
        <w:tc>
          <w:tcPr>
            <w:tcW w:w="1559" w:type="dxa"/>
            <w:tcBorders>
              <w:bottom w:val="single" w:sz="4" w:space="0" w:color="auto"/>
            </w:tcBorders>
            <w:shd w:val="clear" w:color="auto" w:fill="auto"/>
          </w:tcPr>
          <w:p w14:paraId="5A59FF4D" w14:textId="77777777" w:rsidR="00CB2414" w:rsidRPr="00154A9C" w:rsidRDefault="00CB2414" w:rsidP="00CB2414">
            <w:pPr>
              <w:pStyle w:val="Tabletext"/>
              <w:rPr>
                <w:b/>
                <w:bCs/>
              </w:rPr>
            </w:pPr>
            <w:r w:rsidRPr="00154A9C">
              <w:rPr>
                <w:b/>
                <w:bCs/>
              </w:rPr>
              <w:t>Fee</w:t>
            </w:r>
          </w:p>
        </w:tc>
      </w:tr>
      <w:tr w:rsidR="00CB2414" w:rsidRPr="00154A9C" w14:paraId="28A231AE" w14:textId="77777777" w:rsidTr="00CB2414">
        <w:tc>
          <w:tcPr>
            <w:tcW w:w="1955" w:type="dxa"/>
            <w:gridSpan w:val="2"/>
            <w:tcBorders>
              <w:left w:val="single" w:sz="4" w:space="0" w:color="auto"/>
              <w:right w:val="nil"/>
            </w:tcBorders>
            <w:shd w:val="clear" w:color="auto" w:fill="auto"/>
          </w:tcPr>
          <w:p w14:paraId="3604DB75" w14:textId="77777777" w:rsidR="00CB2414" w:rsidRPr="00154A9C" w:rsidRDefault="00CB2414" w:rsidP="00CB2414">
            <w:pPr>
              <w:pStyle w:val="Tabletext"/>
              <w:rPr>
                <w:b/>
                <w:bCs/>
              </w:rPr>
            </w:pPr>
            <w:r w:rsidRPr="00154A9C">
              <w:rPr>
                <w:b/>
                <w:bCs/>
              </w:rPr>
              <w:t>Primary procedures</w:t>
            </w:r>
          </w:p>
        </w:tc>
        <w:tc>
          <w:tcPr>
            <w:tcW w:w="5558" w:type="dxa"/>
            <w:tcBorders>
              <w:left w:val="nil"/>
              <w:right w:val="nil"/>
            </w:tcBorders>
            <w:shd w:val="clear" w:color="auto" w:fill="auto"/>
          </w:tcPr>
          <w:p w14:paraId="7363ECD8" w14:textId="77777777" w:rsidR="00CB2414" w:rsidRPr="00154A9C" w:rsidRDefault="00CB2414" w:rsidP="00CB2414">
            <w:pPr>
              <w:pStyle w:val="Tabletext"/>
              <w:rPr>
                <w:b/>
                <w:bCs/>
              </w:rPr>
            </w:pPr>
          </w:p>
        </w:tc>
        <w:tc>
          <w:tcPr>
            <w:tcW w:w="1559" w:type="dxa"/>
            <w:tcBorders>
              <w:left w:val="nil"/>
            </w:tcBorders>
            <w:shd w:val="clear" w:color="auto" w:fill="auto"/>
          </w:tcPr>
          <w:p w14:paraId="5B821666" w14:textId="77777777" w:rsidR="00CB2414" w:rsidRPr="00154A9C" w:rsidRDefault="00CB2414" w:rsidP="00CB2414">
            <w:pPr>
              <w:pStyle w:val="Tabletext"/>
              <w:rPr>
                <w:b/>
                <w:bCs/>
              </w:rPr>
            </w:pPr>
          </w:p>
        </w:tc>
      </w:tr>
      <w:tr w:rsidR="00CB2414" w:rsidRPr="00154A9C" w14:paraId="5BCC9F41" w14:textId="77777777" w:rsidTr="00CB2414">
        <w:tc>
          <w:tcPr>
            <w:tcW w:w="1521" w:type="dxa"/>
            <w:shd w:val="clear" w:color="auto" w:fill="auto"/>
          </w:tcPr>
          <w:p w14:paraId="7158A5E4" w14:textId="77777777" w:rsidR="00CB2414" w:rsidRPr="00154A9C" w:rsidRDefault="00CB2414" w:rsidP="00CB2414">
            <w:pPr>
              <w:pStyle w:val="Tabletext"/>
            </w:pPr>
            <w:r w:rsidRPr="00154A9C">
              <w:t>33116 (tube)</w:t>
            </w:r>
          </w:p>
        </w:tc>
        <w:tc>
          <w:tcPr>
            <w:tcW w:w="5992" w:type="dxa"/>
            <w:gridSpan w:val="2"/>
            <w:shd w:val="clear" w:color="auto" w:fill="auto"/>
          </w:tcPr>
          <w:p w14:paraId="70E1192E" w14:textId="77777777" w:rsidR="00CB2414" w:rsidRPr="00154A9C" w:rsidRDefault="00CB2414" w:rsidP="00CB2414">
            <w:pPr>
              <w:pStyle w:val="Tabletext"/>
            </w:pPr>
            <w:r w:rsidRPr="00154A9C">
              <w:t>INFRARENAL ABDOMINAL AORTIC ANEURYSM, replacement by tube graft using endovascular repair procedure, excluding associated radiological services</w:t>
            </w:r>
          </w:p>
        </w:tc>
        <w:tc>
          <w:tcPr>
            <w:tcW w:w="1559" w:type="dxa"/>
            <w:shd w:val="clear" w:color="auto" w:fill="auto"/>
          </w:tcPr>
          <w:p w14:paraId="068FF592" w14:textId="77777777" w:rsidR="00CB2414" w:rsidRPr="00154A9C" w:rsidRDefault="00CB2414" w:rsidP="00CB2414">
            <w:pPr>
              <w:pStyle w:val="Tabletext"/>
            </w:pPr>
            <w:r w:rsidRPr="00154A9C">
              <w:t>$1,421.40</w:t>
            </w:r>
          </w:p>
        </w:tc>
      </w:tr>
      <w:tr w:rsidR="00CB2414" w:rsidRPr="00154A9C" w14:paraId="12AFD970" w14:textId="77777777" w:rsidTr="00CB2414">
        <w:tc>
          <w:tcPr>
            <w:tcW w:w="1521" w:type="dxa"/>
            <w:tcBorders>
              <w:bottom w:val="single" w:sz="4" w:space="0" w:color="auto"/>
            </w:tcBorders>
            <w:shd w:val="clear" w:color="auto" w:fill="auto"/>
          </w:tcPr>
          <w:p w14:paraId="540669D0" w14:textId="77777777" w:rsidR="00CB2414" w:rsidRPr="00154A9C" w:rsidRDefault="00CB2414" w:rsidP="00CB2414">
            <w:pPr>
              <w:pStyle w:val="Tabletext"/>
            </w:pPr>
            <w:r w:rsidRPr="00154A9C">
              <w:t>33119 (bifurcated)</w:t>
            </w:r>
          </w:p>
        </w:tc>
        <w:tc>
          <w:tcPr>
            <w:tcW w:w="5992" w:type="dxa"/>
            <w:gridSpan w:val="2"/>
            <w:tcBorders>
              <w:bottom w:val="single" w:sz="4" w:space="0" w:color="auto"/>
            </w:tcBorders>
            <w:shd w:val="clear" w:color="auto" w:fill="auto"/>
          </w:tcPr>
          <w:p w14:paraId="15162B4E" w14:textId="77777777" w:rsidR="00CB2414" w:rsidRPr="00154A9C" w:rsidRDefault="00CB2414" w:rsidP="00CB2414">
            <w:pPr>
              <w:pStyle w:val="Tabletext"/>
            </w:pPr>
            <w:r w:rsidRPr="00154A9C">
              <w:t>INFRARENAL ABDOMINAL AORTIC ANEURYSM, replacement by bifurcation graft to one or both iliac arteries using endovascular repair procedure, excluding associated radiological services</w:t>
            </w:r>
          </w:p>
        </w:tc>
        <w:tc>
          <w:tcPr>
            <w:tcW w:w="1559" w:type="dxa"/>
            <w:tcBorders>
              <w:bottom w:val="single" w:sz="4" w:space="0" w:color="auto"/>
            </w:tcBorders>
            <w:shd w:val="clear" w:color="auto" w:fill="auto"/>
          </w:tcPr>
          <w:p w14:paraId="0E88018B" w14:textId="77777777" w:rsidR="00CB2414" w:rsidRPr="00154A9C" w:rsidRDefault="00CB2414" w:rsidP="00CB2414">
            <w:pPr>
              <w:pStyle w:val="Tabletext"/>
            </w:pPr>
            <w:r w:rsidRPr="00154A9C">
              <w:t>$1,579.40</w:t>
            </w:r>
          </w:p>
        </w:tc>
      </w:tr>
      <w:tr w:rsidR="00CB2414" w:rsidRPr="00154A9C" w14:paraId="1DEFBE08" w14:textId="77777777" w:rsidTr="00CB2414">
        <w:tc>
          <w:tcPr>
            <w:tcW w:w="1521" w:type="dxa"/>
            <w:tcBorders>
              <w:top w:val="single" w:sz="4" w:space="0" w:color="auto"/>
              <w:left w:val="single" w:sz="4" w:space="0" w:color="auto"/>
              <w:bottom w:val="single" w:sz="4" w:space="0" w:color="auto"/>
              <w:right w:val="single" w:sz="4" w:space="0" w:color="auto"/>
            </w:tcBorders>
            <w:shd w:val="clear" w:color="auto" w:fill="auto"/>
          </w:tcPr>
          <w:p w14:paraId="7F354A0B" w14:textId="77777777" w:rsidR="00CB2414" w:rsidRPr="00154A9C" w:rsidRDefault="00CB2414" w:rsidP="00CB2414">
            <w:pPr>
              <w:pStyle w:val="Tabletext"/>
            </w:pPr>
            <w:r w:rsidRPr="00154A9C">
              <w:t xml:space="preserve">33112 </w:t>
            </w:r>
          </w:p>
        </w:tc>
        <w:tc>
          <w:tcPr>
            <w:tcW w:w="5992" w:type="dxa"/>
            <w:gridSpan w:val="2"/>
            <w:tcBorders>
              <w:top w:val="single" w:sz="4" w:space="0" w:color="auto"/>
              <w:left w:val="single" w:sz="4" w:space="0" w:color="auto"/>
              <w:bottom w:val="single" w:sz="4" w:space="0" w:color="auto"/>
              <w:right w:val="single" w:sz="4" w:space="0" w:color="auto"/>
            </w:tcBorders>
            <w:shd w:val="clear" w:color="auto" w:fill="auto"/>
          </w:tcPr>
          <w:p w14:paraId="3A667637" w14:textId="77777777" w:rsidR="00CB2414" w:rsidRPr="00154A9C" w:rsidRDefault="00CB2414" w:rsidP="00CB2414">
            <w:pPr>
              <w:pStyle w:val="Tabletext"/>
            </w:pPr>
            <w:r w:rsidRPr="00154A9C">
              <w:t xml:space="preserve">SUPRARENAL </w:t>
            </w:r>
            <w:r w:rsidRPr="00154A9C">
              <w:rPr>
                <w:rStyle w:val="highlight"/>
              </w:rPr>
              <w:t>ABDOMINAL</w:t>
            </w:r>
            <w:r w:rsidRPr="00154A9C">
              <w:t xml:space="preserve"> </w:t>
            </w:r>
            <w:r w:rsidRPr="00154A9C">
              <w:rPr>
                <w:rStyle w:val="highlight"/>
              </w:rPr>
              <w:t>AORTIC</w:t>
            </w:r>
            <w:r w:rsidRPr="00154A9C">
              <w:t xml:space="preserve"> ANEURYSM, replacement by graft including re-implantation of arteries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D1FD51" w14:textId="77777777" w:rsidR="00CB2414" w:rsidRPr="00154A9C" w:rsidRDefault="00CB2414" w:rsidP="00CB2414">
            <w:pPr>
              <w:pStyle w:val="Tabletext"/>
            </w:pPr>
            <w:r w:rsidRPr="00154A9C">
              <w:t>$2,146.90</w:t>
            </w:r>
          </w:p>
        </w:tc>
      </w:tr>
      <w:tr w:rsidR="00CB2414" w:rsidRPr="00154A9C" w14:paraId="79F0E30F" w14:textId="77777777" w:rsidTr="00CB2414">
        <w:tc>
          <w:tcPr>
            <w:tcW w:w="1521" w:type="dxa"/>
            <w:tcBorders>
              <w:top w:val="single" w:sz="4" w:space="0" w:color="auto"/>
              <w:left w:val="single" w:sz="4" w:space="0" w:color="auto"/>
              <w:bottom w:val="single" w:sz="4" w:space="0" w:color="auto"/>
              <w:right w:val="single" w:sz="4" w:space="0" w:color="auto"/>
            </w:tcBorders>
            <w:shd w:val="clear" w:color="auto" w:fill="auto"/>
          </w:tcPr>
          <w:p w14:paraId="1159F5D3" w14:textId="77777777" w:rsidR="00CB2414" w:rsidRPr="00154A9C" w:rsidRDefault="00CB2414" w:rsidP="00CB2414">
            <w:pPr>
              <w:pStyle w:val="Tabletext"/>
            </w:pPr>
            <w:r w:rsidRPr="00154A9C">
              <w:lastRenderedPageBreak/>
              <w:t>33115 (tube)</w:t>
            </w:r>
          </w:p>
        </w:tc>
        <w:tc>
          <w:tcPr>
            <w:tcW w:w="5992" w:type="dxa"/>
            <w:gridSpan w:val="2"/>
            <w:tcBorders>
              <w:top w:val="single" w:sz="4" w:space="0" w:color="auto"/>
              <w:left w:val="single" w:sz="4" w:space="0" w:color="auto"/>
              <w:bottom w:val="single" w:sz="4" w:space="0" w:color="auto"/>
              <w:right w:val="single" w:sz="4" w:space="0" w:color="auto"/>
            </w:tcBorders>
            <w:shd w:val="clear" w:color="auto" w:fill="auto"/>
          </w:tcPr>
          <w:p w14:paraId="43386CFA" w14:textId="77777777" w:rsidR="00CB2414" w:rsidRPr="00154A9C" w:rsidRDefault="00CB2414" w:rsidP="00CB2414">
            <w:pPr>
              <w:pStyle w:val="Tabletext"/>
            </w:pPr>
            <w:r w:rsidRPr="00154A9C">
              <w:t>INFRARENAL ABDOMINAL AORTIC ANEURYSM, replacement by tube graft, not being a service associated with a service to which item 33116 applies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B99E0A" w14:textId="77777777" w:rsidR="00CB2414" w:rsidRPr="00154A9C" w:rsidRDefault="00CB2414" w:rsidP="00CB2414">
            <w:pPr>
              <w:pStyle w:val="Tabletext"/>
            </w:pPr>
            <w:r w:rsidRPr="00154A9C">
              <w:t>$1,444.10</w:t>
            </w:r>
          </w:p>
        </w:tc>
      </w:tr>
      <w:tr w:rsidR="00CB2414" w:rsidRPr="00154A9C" w14:paraId="494055A5" w14:textId="77777777" w:rsidTr="00CB2414">
        <w:tc>
          <w:tcPr>
            <w:tcW w:w="1521" w:type="dxa"/>
            <w:tcBorders>
              <w:top w:val="single" w:sz="4" w:space="0" w:color="auto"/>
              <w:left w:val="single" w:sz="4" w:space="0" w:color="auto"/>
              <w:bottom w:val="single" w:sz="4" w:space="0" w:color="auto"/>
              <w:right w:val="single" w:sz="4" w:space="0" w:color="auto"/>
            </w:tcBorders>
            <w:shd w:val="clear" w:color="auto" w:fill="auto"/>
          </w:tcPr>
          <w:p w14:paraId="2943B933" w14:textId="77777777" w:rsidR="00CB2414" w:rsidRPr="00154A9C" w:rsidRDefault="00CB2414" w:rsidP="00CB2414">
            <w:pPr>
              <w:pStyle w:val="Tabletext"/>
            </w:pPr>
            <w:r w:rsidRPr="00154A9C">
              <w:t>33118 (bifurcated)</w:t>
            </w:r>
          </w:p>
        </w:tc>
        <w:tc>
          <w:tcPr>
            <w:tcW w:w="5992" w:type="dxa"/>
            <w:gridSpan w:val="2"/>
            <w:tcBorders>
              <w:top w:val="single" w:sz="4" w:space="0" w:color="auto"/>
              <w:left w:val="single" w:sz="4" w:space="0" w:color="auto"/>
              <w:bottom w:val="single" w:sz="4" w:space="0" w:color="auto"/>
              <w:right w:val="single" w:sz="4" w:space="0" w:color="auto"/>
            </w:tcBorders>
            <w:shd w:val="clear" w:color="auto" w:fill="auto"/>
          </w:tcPr>
          <w:p w14:paraId="2624B205" w14:textId="77777777" w:rsidR="00CB2414" w:rsidRPr="00154A9C" w:rsidRDefault="00CB2414" w:rsidP="00CB2414">
            <w:pPr>
              <w:pStyle w:val="Tabletext"/>
            </w:pPr>
            <w:r w:rsidRPr="00154A9C">
              <w:t>INFRARENAL ABDOMINAL AORTIC ANEURYSM, replacement by bifurcation graft to iliac arteries (with or without excision of common iliac aneurysms) not being a service associated with a service to which item 33119 applies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CE3125" w14:textId="77777777" w:rsidR="00CB2414" w:rsidRPr="00154A9C" w:rsidRDefault="00CB2414" w:rsidP="00CB2414">
            <w:pPr>
              <w:pStyle w:val="Tabletext"/>
            </w:pPr>
            <w:r w:rsidRPr="00154A9C">
              <w:t>$1,604.55</w:t>
            </w:r>
          </w:p>
        </w:tc>
      </w:tr>
      <w:tr w:rsidR="00CB2414" w:rsidRPr="00154A9C" w14:paraId="278569A6" w14:textId="77777777" w:rsidTr="00CB2414">
        <w:tc>
          <w:tcPr>
            <w:tcW w:w="1521" w:type="dxa"/>
            <w:tcBorders>
              <w:top w:val="single" w:sz="4" w:space="0" w:color="auto"/>
              <w:left w:val="single" w:sz="4" w:space="0" w:color="auto"/>
              <w:bottom w:val="single" w:sz="4" w:space="0" w:color="auto"/>
              <w:right w:val="single" w:sz="4" w:space="0" w:color="auto"/>
            </w:tcBorders>
            <w:shd w:val="clear" w:color="auto" w:fill="auto"/>
          </w:tcPr>
          <w:p w14:paraId="442288C9" w14:textId="77777777" w:rsidR="00CB2414" w:rsidRPr="00154A9C" w:rsidRDefault="00CB2414" w:rsidP="00CB2414">
            <w:pPr>
              <w:pStyle w:val="Tabletext"/>
            </w:pPr>
            <w:r w:rsidRPr="00154A9C">
              <w:t xml:space="preserve">33121 </w:t>
            </w:r>
            <w:r w:rsidRPr="00154A9C">
              <w:rPr>
                <w:lang w:val="en-GB" w:eastAsia="ja-JP"/>
              </w:rPr>
              <w:t>(bifurcation graft to 1 or both femoral arteries)</w:t>
            </w:r>
          </w:p>
        </w:tc>
        <w:tc>
          <w:tcPr>
            <w:tcW w:w="5992" w:type="dxa"/>
            <w:gridSpan w:val="2"/>
            <w:tcBorders>
              <w:top w:val="single" w:sz="4" w:space="0" w:color="auto"/>
              <w:left w:val="single" w:sz="4" w:space="0" w:color="auto"/>
              <w:bottom w:val="single" w:sz="4" w:space="0" w:color="auto"/>
              <w:right w:val="single" w:sz="4" w:space="0" w:color="auto"/>
            </w:tcBorders>
            <w:shd w:val="clear" w:color="auto" w:fill="auto"/>
          </w:tcPr>
          <w:p w14:paraId="7BE66BCB" w14:textId="77777777" w:rsidR="00CB2414" w:rsidRPr="00154A9C" w:rsidRDefault="00CB2414" w:rsidP="00CB2414">
            <w:pPr>
              <w:pStyle w:val="Tabletext"/>
            </w:pPr>
            <w:r w:rsidRPr="00154A9C">
              <w:t>INFRARENAL ABDOMINAL AORTIC ANEURYSM, replacement by bifurcation graft to 1 or both femoral arteries (with or without excision or bypass of common iliac aneurysms)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C256B6" w14:textId="77777777" w:rsidR="00CB2414" w:rsidRPr="00154A9C" w:rsidRDefault="00CB2414" w:rsidP="00CB2414">
            <w:pPr>
              <w:pStyle w:val="Tabletext"/>
            </w:pPr>
            <w:r w:rsidRPr="00154A9C">
              <w:t>$1,765.05</w:t>
            </w:r>
          </w:p>
        </w:tc>
      </w:tr>
      <w:tr w:rsidR="00CB2414" w:rsidRPr="00154A9C" w14:paraId="4826D448" w14:textId="77777777" w:rsidTr="00CB2414">
        <w:tc>
          <w:tcPr>
            <w:tcW w:w="1521" w:type="dxa"/>
            <w:tcBorders>
              <w:bottom w:val="single" w:sz="4" w:space="0" w:color="auto"/>
              <w:right w:val="single" w:sz="4" w:space="0" w:color="auto"/>
            </w:tcBorders>
            <w:shd w:val="clear" w:color="auto" w:fill="auto"/>
          </w:tcPr>
          <w:p w14:paraId="4432BD80" w14:textId="77777777" w:rsidR="00CB2414" w:rsidRPr="00154A9C" w:rsidRDefault="00CB2414" w:rsidP="00CB2414">
            <w:pPr>
              <w:pStyle w:val="Tabletext"/>
              <w:rPr>
                <w:b/>
                <w:bCs/>
              </w:rPr>
            </w:pPr>
            <w:r w:rsidRPr="00154A9C">
              <w:t>33103</w:t>
            </w:r>
          </w:p>
        </w:tc>
        <w:tc>
          <w:tcPr>
            <w:tcW w:w="5992" w:type="dxa"/>
            <w:gridSpan w:val="2"/>
            <w:tcBorders>
              <w:left w:val="single" w:sz="4" w:space="0" w:color="auto"/>
              <w:bottom w:val="single" w:sz="4" w:space="0" w:color="auto"/>
              <w:right w:val="single" w:sz="4" w:space="0" w:color="auto"/>
            </w:tcBorders>
            <w:shd w:val="clear" w:color="auto" w:fill="auto"/>
          </w:tcPr>
          <w:p w14:paraId="699CBA2E" w14:textId="77777777" w:rsidR="00CB2414" w:rsidRPr="00154A9C" w:rsidRDefault="00CB2414" w:rsidP="00CB2414">
            <w:pPr>
              <w:pStyle w:val="Tabletext"/>
              <w:rPr>
                <w:b/>
                <w:bCs/>
              </w:rPr>
            </w:pPr>
            <w:r w:rsidRPr="00154A9C">
              <w:t>THORACIC ANEURYSM, replacement by graft</w:t>
            </w:r>
          </w:p>
        </w:tc>
        <w:tc>
          <w:tcPr>
            <w:tcW w:w="1559" w:type="dxa"/>
            <w:tcBorders>
              <w:left w:val="single" w:sz="4" w:space="0" w:color="auto"/>
              <w:bottom w:val="single" w:sz="4" w:space="0" w:color="auto"/>
            </w:tcBorders>
            <w:shd w:val="clear" w:color="auto" w:fill="auto"/>
          </w:tcPr>
          <w:p w14:paraId="3C9F5904" w14:textId="77777777" w:rsidR="00CB2414" w:rsidRPr="00154A9C" w:rsidRDefault="00CB2414" w:rsidP="00CB2414">
            <w:pPr>
              <w:pStyle w:val="Tabletext"/>
              <w:rPr>
                <w:b/>
                <w:bCs/>
              </w:rPr>
            </w:pPr>
            <w:r w:rsidRPr="00154A9C">
              <w:t>$2,047.55</w:t>
            </w:r>
          </w:p>
        </w:tc>
      </w:tr>
      <w:tr w:rsidR="00CB2414" w:rsidRPr="00154A9C" w14:paraId="7DFA9BF7" w14:textId="77777777" w:rsidTr="00CB2414">
        <w:tc>
          <w:tcPr>
            <w:tcW w:w="1521" w:type="dxa"/>
            <w:tcBorders>
              <w:bottom w:val="single" w:sz="4" w:space="0" w:color="auto"/>
              <w:right w:val="single" w:sz="4" w:space="0" w:color="auto"/>
            </w:tcBorders>
            <w:shd w:val="clear" w:color="auto" w:fill="auto"/>
          </w:tcPr>
          <w:p w14:paraId="14AAA23B" w14:textId="77777777" w:rsidR="00CB2414" w:rsidRPr="00154A9C" w:rsidRDefault="00CB2414" w:rsidP="00CB2414">
            <w:pPr>
              <w:pStyle w:val="Tabletext"/>
              <w:rPr>
                <w:b/>
                <w:bCs/>
              </w:rPr>
            </w:pPr>
            <w:r w:rsidRPr="00154A9C">
              <w:t>33109</w:t>
            </w:r>
          </w:p>
        </w:tc>
        <w:tc>
          <w:tcPr>
            <w:tcW w:w="5992" w:type="dxa"/>
            <w:gridSpan w:val="2"/>
            <w:tcBorders>
              <w:left w:val="single" w:sz="4" w:space="0" w:color="auto"/>
              <w:bottom w:val="single" w:sz="4" w:space="0" w:color="auto"/>
              <w:right w:val="single" w:sz="4" w:space="0" w:color="auto"/>
            </w:tcBorders>
            <w:shd w:val="clear" w:color="auto" w:fill="auto"/>
          </w:tcPr>
          <w:p w14:paraId="711E5D44" w14:textId="77777777" w:rsidR="00CB2414" w:rsidRPr="00154A9C" w:rsidRDefault="00CB2414" w:rsidP="00CB2414">
            <w:pPr>
              <w:pStyle w:val="Tabletext"/>
              <w:rPr>
                <w:b/>
                <w:bCs/>
              </w:rPr>
            </w:pPr>
            <w:r w:rsidRPr="00154A9C">
              <w:t>Thoracoabdominal ANEURYSM, replacement by graft including re-implantation of arteries</w:t>
            </w:r>
          </w:p>
        </w:tc>
        <w:tc>
          <w:tcPr>
            <w:tcW w:w="1559" w:type="dxa"/>
            <w:tcBorders>
              <w:left w:val="single" w:sz="4" w:space="0" w:color="auto"/>
              <w:bottom w:val="single" w:sz="4" w:space="0" w:color="auto"/>
            </w:tcBorders>
            <w:shd w:val="clear" w:color="auto" w:fill="auto"/>
          </w:tcPr>
          <w:p w14:paraId="34ECDD82" w14:textId="77777777" w:rsidR="00CB2414" w:rsidRPr="00154A9C" w:rsidRDefault="00CB2414" w:rsidP="00CB2414">
            <w:pPr>
              <w:pStyle w:val="Tabletext"/>
              <w:rPr>
                <w:b/>
                <w:bCs/>
              </w:rPr>
            </w:pPr>
            <w:r w:rsidRPr="00154A9C">
              <w:t>$2,475.50</w:t>
            </w:r>
          </w:p>
        </w:tc>
      </w:tr>
      <w:tr w:rsidR="00CB2414" w:rsidRPr="00154A9C" w14:paraId="7A48A06E" w14:textId="77777777" w:rsidTr="00CB2414">
        <w:tc>
          <w:tcPr>
            <w:tcW w:w="9072" w:type="dxa"/>
            <w:gridSpan w:val="4"/>
            <w:tcBorders>
              <w:top w:val="single" w:sz="4" w:space="0" w:color="auto"/>
              <w:left w:val="single" w:sz="4" w:space="0" w:color="auto"/>
              <w:bottom w:val="single" w:sz="4" w:space="0" w:color="auto"/>
              <w:right w:val="single" w:sz="4" w:space="0" w:color="auto"/>
            </w:tcBorders>
            <w:shd w:val="clear" w:color="auto" w:fill="auto"/>
          </w:tcPr>
          <w:p w14:paraId="123E4779" w14:textId="77777777" w:rsidR="00CB2414" w:rsidRPr="00154A9C" w:rsidRDefault="00CB2414" w:rsidP="00CB2414">
            <w:pPr>
              <w:pStyle w:val="Tabletext"/>
              <w:rPr>
                <w:b/>
                <w:bCs/>
              </w:rPr>
            </w:pPr>
            <w:r w:rsidRPr="00154A9C">
              <w:rPr>
                <w:b/>
                <w:bCs/>
              </w:rPr>
              <w:t>Auxiliary medical procedures / revision procedures</w:t>
            </w:r>
          </w:p>
        </w:tc>
      </w:tr>
      <w:tr w:rsidR="00CB2414" w:rsidRPr="00154A9C" w14:paraId="3818C61A" w14:textId="77777777" w:rsidTr="00CB2414">
        <w:tc>
          <w:tcPr>
            <w:tcW w:w="1521" w:type="dxa"/>
            <w:tcBorders>
              <w:top w:val="single" w:sz="4" w:space="0" w:color="auto"/>
              <w:left w:val="single" w:sz="4" w:space="0" w:color="auto"/>
              <w:bottom w:val="single" w:sz="4" w:space="0" w:color="auto"/>
              <w:right w:val="single" w:sz="4" w:space="0" w:color="auto"/>
            </w:tcBorders>
            <w:shd w:val="clear" w:color="auto" w:fill="auto"/>
          </w:tcPr>
          <w:p w14:paraId="4F3F93FF" w14:textId="77777777" w:rsidR="00CB2414" w:rsidRPr="00154A9C" w:rsidRDefault="00CB2414" w:rsidP="00CB2414">
            <w:pPr>
              <w:pStyle w:val="Tabletext"/>
            </w:pPr>
            <w:r w:rsidRPr="00154A9C">
              <w:t>35303</w:t>
            </w:r>
          </w:p>
        </w:tc>
        <w:tc>
          <w:tcPr>
            <w:tcW w:w="5992" w:type="dxa"/>
            <w:gridSpan w:val="2"/>
            <w:tcBorders>
              <w:top w:val="single" w:sz="4" w:space="0" w:color="auto"/>
              <w:left w:val="single" w:sz="4" w:space="0" w:color="auto"/>
              <w:bottom w:val="single" w:sz="4" w:space="0" w:color="auto"/>
              <w:right w:val="single" w:sz="4" w:space="0" w:color="auto"/>
            </w:tcBorders>
            <w:shd w:val="clear" w:color="auto" w:fill="auto"/>
          </w:tcPr>
          <w:p w14:paraId="551D772D" w14:textId="77777777" w:rsidR="00CB2414" w:rsidRPr="00154A9C" w:rsidRDefault="00CB2414" w:rsidP="00CB2414">
            <w:pPr>
              <w:pStyle w:val="Tabletext"/>
            </w:pPr>
            <w:r w:rsidRPr="00154A9C">
              <w:t>TRANSLUMINAL BALLOON ANGIOPLASTY of aortic arch branches, aortic visceral branches, or more than 1 peripheral artery or vein of 1 limb, percutaneous or by open exposure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71D582" w14:textId="77777777" w:rsidR="00CB2414" w:rsidRPr="00154A9C" w:rsidRDefault="00CB2414" w:rsidP="00CB2414">
            <w:pPr>
              <w:pStyle w:val="Tabletext"/>
            </w:pPr>
            <w:r w:rsidRPr="00154A9C">
              <w:t>$671.35</w:t>
            </w:r>
          </w:p>
        </w:tc>
      </w:tr>
      <w:tr w:rsidR="00CB2414" w:rsidRPr="00154A9C" w14:paraId="4AD5D2B1" w14:textId="77777777" w:rsidTr="00CB2414">
        <w:tc>
          <w:tcPr>
            <w:tcW w:w="1521" w:type="dxa"/>
            <w:tcBorders>
              <w:top w:val="single" w:sz="4" w:space="0" w:color="auto"/>
              <w:left w:val="single" w:sz="4" w:space="0" w:color="auto"/>
              <w:bottom w:val="single" w:sz="4" w:space="0" w:color="auto"/>
              <w:right w:val="single" w:sz="4" w:space="0" w:color="auto"/>
            </w:tcBorders>
            <w:shd w:val="clear" w:color="auto" w:fill="auto"/>
          </w:tcPr>
          <w:p w14:paraId="2974A02C" w14:textId="77777777" w:rsidR="00CB2414" w:rsidRPr="00154A9C" w:rsidRDefault="00CB2414" w:rsidP="00CB2414">
            <w:pPr>
              <w:pStyle w:val="Tabletext"/>
            </w:pPr>
            <w:r w:rsidRPr="00154A9C">
              <w:t>35309</w:t>
            </w:r>
          </w:p>
        </w:tc>
        <w:tc>
          <w:tcPr>
            <w:tcW w:w="5992" w:type="dxa"/>
            <w:gridSpan w:val="2"/>
            <w:tcBorders>
              <w:top w:val="single" w:sz="4" w:space="0" w:color="auto"/>
              <w:left w:val="single" w:sz="4" w:space="0" w:color="auto"/>
              <w:bottom w:val="single" w:sz="4" w:space="0" w:color="auto"/>
              <w:right w:val="single" w:sz="4" w:space="0" w:color="auto"/>
            </w:tcBorders>
            <w:shd w:val="clear" w:color="auto" w:fill="auto"/>
          </w:tcPr>
          <w:p w14:paraId="7A3191D2" w14:textId="77777777" w:rsidR="00CB2414" w:rsidRPr="00154A9C" w:rsidRDefault="00CB2414" w:rsidP="00CB2414">
            <w:pPr>
              <w:pStyle w:val="Tabletext"/>
            </w:pPr>
            <w:r w:rsidRPr="00154A9C">
              <w:t>TRANSLUMINAL STENT INSERTION, 1 or more stents, including associated balloon dilatation for visceral arteries or veins, or more than 1 peripheral artery or vein of 1 limb, percutaneous or by open exposure, excluding associated radiological services or preparation, and excluding aftercare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B41D53" w14:textId="77777777" w:rsidR="00CB2414" w:rsidRPr="00154A9C" w:rsidRDefault="00CB2414" w:rsidP="00CB2414">
            <w:pPr>
              <w:pStyle w:val="Tabletext"/>
            </w:pPr>
            <w:r w:rsidRPr="00154A9C">
              <w:t>$744.55</w:t>
            </w:r>
          </w:p>
        </w:tc>
      </w:tr>
      <w:tr w:rsidR="00CB2414" w:rsidRPr="00154A9C" w14:paraId="55066497" w14:textId="77777777" w:rsidTr="00CB2414">
        <w:tc>
          <w:tcPr>
            <w:tcW w:w="1521" w:type="dxa"/>
            <w:tcBorders>
              <w:top w:val="single" w:sz="4" w:space="0" w:color="auto"/>
              <w:left w:val="single" w:sz="4" w:space="0" w:color="auto"/>
              <w:bottom w:val="single" w:sz="4" w:space="0" w:color="auto"/>
              <w:right w:val="single" w:sz="4" w:space="0" w:color="auto"/>
            </w:tcBorders>
            <w:shd w:val="clear" w:color="auto" w:fill="auto"/>
          </w:tcPr>
          <w:p w14:paraId="0800AC77" w14:textId="77777777" w:rsidR="00CB2414" w:rsidRPr="00154A9C" w:rsidRDefault="00CB2414" w:rsidP="00CB2414">
            <w:pPr>
              <w:pStyle w:val="Tabletext"/>
            </w:pPr>
            <w:r w:rsidRPr="00154A9C">
              <w:t>35309</w:t>
            </w:r>
          </w:p>
        </w:tc>
        <w:tc>
          <w:tcPr>
            <w:tcW w:w="5992" w:type="dxa"/>
            <w:gridSpan w:val="2"/>
            <w:tcBorders>
              <w:top w:val="single" w:sz="4" w:space="0" w:color="auto"/>
              <w:left w:val="single" w:sz="4" w:space="0" w:color="auto"/>
              <w:bottom w:val="single" w:sz="4" w:space="0" w:color="auto"/>
              <w:right w:val="single" w:sz="4" w:space="0" w:color="auto"/>
            </w:tcBorders>
            <w:shd w:val="clear" w:color="auto" w:fill="auto"/>
          </w:tcPr>
          <w:p w14:paraId="1CE514BE" w14:textId="77777777" w:rsidR="00CB2414" w:rsidRPr="00154A9C" w:rsidRDefault="00CB2414" w:rsidP="00CB2414">
            <w:pPr>
              <w:pStyle w:val="Tabletext"/>
            </w:pPr>
            <w:r w:rsidRPr="00154A9C">
              <w:t>TRANSLUMINAL STENT INSERTION, 1 or more stents, including associated balloon dilatation for visceral arteries or veins, or more than 1 peripheral artery or vein of 1 limb, percutaneous or by open exposure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5989C1" w14:textId="77777777" w:rsidR="00CB2414" w:rsidRPr="00154A9C" w:rsidRDefault="00CB2414" w:rsidP="00CB2414">
            <w:pPr>
              <w:pStyle w:val="Tabletext"/>
            </w:pPr>
            <w:r w:rsidRPr="00154A9C">
              <w:t>$762.35</w:t>
            </w:r>
          </w:p>
        </w:tc>
      </w:tr>
    </w:tbl>
    <w:p w14:paraId="714DC686" w14:textId="77777777" w:rsidR="00CB2414" w:rsidRPr="00154A9C" w:rsidRDefault="00CB2414" w:rsidP="00CB2414">
      <w:pPr>
        <w:pStyle w:val="Tablenotes0"/>
      </w:pPr>
      <w:r w:rsidRPr="00154A9C">
        <w:t>AAA, abdominal aortic aneurysm; TAA, thoracic aortic aneurysm</w:t>
      </w:r>
    </w:p>
    <w:p w14:paraId="4FC6026F" w14:textId="77777777" w:rsidR="00CB2414" w:rsidRPr="00154A9C" w:rsidRDefault="00CB2414" w:rsidP="00CB2414">
      <w:pPr>
        <w:pStyle w:val="Tablenotes0"/>
      </w:pPr>
      <w:r w:rsidRPr="00154A9C">
        <w:t>Source: Table 14, p54 of ADAR</w:t>
      </w:r>
    </w:p>
    <w:p w14:paraId="7A582A9F" w14:textId="77777777" w:rsidR="00DE0A72" w:rsidRPr="00F715D1" w:rsidRDefault="00DE0A72" w:rsidP="00DE0A72">
      <w:pPr>
        <w:pStyle w:val="Heading1"/>
      </w:pPr>
      <w:r w:rsidRPr="00F715D1">
        <w:t>Comparative safety</w:t>
      </w:r>
    </w:p>
    <w:p w14:paraId="23680ED9" w14:textId="77777777" w:rsidR="00CB2414" w:rsidRPr="00154A9C" w:rsidRDefault="00CB2414" w:rsidP="00CB2414">
      <w:r w:rsidRPr="00154A9C">
        <w:t xml:space="preserve">Seven EVAR+EA studies were considered relevant to this submission with data available for either Population 1 and/or Population 2. The pivotal evidence is a large (N=838) prospective registry representing real-world use from &gt;100 centres across the globe with minimal selection bias. In the context of non-comparative case series studies (NHMRC level evidence level IV), two of the seven studies had a low level of bias, and five studies were considered to have a moderate level of bias. </w:t>
      </w:r>
    </w:p>
    <w:p w14:paraId="4DA1DE29" w14:textId="394AFF61" w:rsidR="00CB2414" w:rsidRPr="00154A9C" w:rsidRDefault="00CB2414" w:rsidP="00CB2414">
      <w:r w:rsidRPr="00154A9C">
        <w:t xml:space="preserve">Eleven studies of complex EVAR in Population 1 were included in the naïve indirect comparison with EVAR+EA for Population 1. Most of the studies were conducted in countries with similar health care systems including six from the USA, two from the UK, two from multiple European countries (including France, Italy and Sweden) and one study from Japan. In the context of non-comparative case series studies (NHMRC level evidence level IV), five of the 11 studies had a low level of bias and the remaining six studies were considered to </w:t>
      </w:r>
      <w:r w:rsidR="00875308">
        <w:t xml:space="preserve">have a moderate level of bias. </w:t>
      </w:r>
    </w:p>
    <w:p w14:paraId="5BC8DA8F" w14:textId="29BA7955" w:rsidR="00CB2414" w:rsidRPr="00154A9C" w:rsidRDefault="00CB2414" w:rsidP="00875308">
      <w:pPr>
        <w:spacing w:before="240"/>
      </w:pPr>
      <w:r w:rsidRPr="00154A9C">
        <w:t>Fourteen studies of revision EVAR or open conversion (OC) were included in the naïve indirect comparison with EVAR+EA for Population 2. All studies were conducted in countries with similar health care systems including the USA and Europe. In the context of non-comparative case series studies (NHMRC level evidence level IV), three of the 14 studies had a low level of bias, one had high level bias and the remaining nine studies were considered to have a moderate level</w:t>
      </w:r>
      <w:r w:rsidR="00875308">
        <w:t xml:space="preserve"> of bias.</w:t>
      </w:r>
    </w:p>
    <w:p w14:paraId="0FF007FA" w14:textId="28A7D85F" w:rsidR="00CB2414" w:rsidRPr="00154A9C" w:rsidRDefault="00CB2414" w:rsidP="00875308">
      <w:pPr>
        <w:spacing w:before="240"/>
      </w:pPr>
      <w:r w:rsidRPr="00154A9C">
        <w:t xml:space="preserve">The commentary noted that the included studies were single-arm case series studies or a single arm of a comparative study (six studies), which have a high risk of bias and a low level of evidence (NHMRC level evidence level IV).  Given that the studies do not have a </w:t>
      </w:r>
      <w:r w:rsidRPr="00154A9C">
        <w:lastRenderedPageBreak/>
        <w:t xml:space="preserve">comparator group; all comparisons are </w:t>
      </w:r>
      <w:r w:rsidR="00166E97">
        <w:t xml:space="preserve">naïve </w:t>
      </w:r>
      <w:r w:rsidRPr="00154A9C">
        <w:t>indirect. The ADAR stated that the assessment of exchangeability did not identify any concerning differences between the two groups that are expected to adversely bias the results of the comparative analysis for both Population 1 and Population 2. However, the commentary noted that the assessment of exchangeability is restricted by the limited information provided by the included studies and it cannot be easily quantified to what extent the differences between studies impact the comparison of outcomes. These differences pose a high risk of bias and must be considered when interpreting the results of the naïve</w:t>
      </w:r>
      <w:r w:rsidR="00166E97">
        <w:t xml:space="preserve"> indirect</w:t>
      </w:r>
      <w:r w:rsidR="00875308">
        <w:t xml:space="preserve"> comparisons.</w:t>
      </w:r>
    </w:p>
    <w:p w14:paraId="74B1C521" w14:textId="41F8223F" w:rsidR="00875308" w:rsidRDefault="00CB2414" w:rsidP="00875308">
      <w:pPr>
        <w:spacing w:before="240"/>
      </w:pPr>
      <w:r w:rsidRPr="00154A9C">
        <w:t xml:space="preserve">A summary of study design, </w:t>
      </w:r>
      <w:r w:rsidR="00166E97">
        <w:t>patient numbers (</w:t>
      </w:r>
      <w:r w:rsidRPr="00154A9C">
        <w:t>N</w:t>
      </w:r>
      <w:r w:rsidR="00166E97">
        <w:t>)</w:t>
      </w:r>
      <w:r w:rsidRPr="00154A9C">
        <w:t xml:space="preserve"> and included populations is provided below in</w:t>
      </w:r>
      <w:r w:rsidR="00CB3BC6">
        <w:t xml:space="preserve"> </w:t>
      </w:r>
      <w:r w:rsidR="00CB3BC6" w:rsidRPr="00CB3BC6">
        <w:rPr>
          <w:szCs w:val="24"/>
        </w:rPr>
        <w:fldChar w:fldCharType="begin"/>
      </w:r>
      <w:r w:rsidR="00CB3BC6" w:rsidRPr="00CB3BC6">
        <w:rPr>
          <w:szCs w:val="24"/>
        </w:rPr>
        <w:instrText xml:space="preserve"> REF _Ref43982683 \h  \* MERGEFORMAT </w:instrText>
      </w:r>
      <w:r w:rsidR="00CB3BC6" w:rsidRPr="00CB3BC6">
        <w:rPr>
          <w:szCs w:val="24"/>
        </w:rPr>
      </w:r>
      <w:r w:rsidR="00CB3BC6" w:rsidRPr="00CB3BC6">
        <w:rPr>
          <w:szCs w:val="24"/>
        </w:rPr>
        <w:fldChar w:fldCharType="separate"/>
      </w:r>
      <w:r w:rsidR="00CB3BC6" w:rsidRPr="00CB3BC6">
        <w:rPr>
          <w:szCs w:val="24"/>
        </w:rPr>
        <w:t>Table 4</w:t>
      </w:r>
      <w:r w:rsidR="00CB3BC6" w:rsidRPr="00CB3BC6">
        <w:rPr>
          <w:szCs w:val="24"/>
        </w:rPr>
        <w:fldChar w:fldCharType="end"/>
      </w:r>
      <w:r w:rsidR="00875308">
        <w:t>.</w:t>
      </w:r>
      <w:r w:rsidR="00875308">
        <w:br w:type="page"/>
      </w:r>
    </w:p>
    <w:p w14:paraId="3EC7BA90" w14:textId="372BA5D4" w:rsidR="00CB2414" w:rsidRPr="00CB3BC6" w:rsidRDefault="00CB3BC6" w:rsidP="00CB3BC6">
      <w:pPr>
        <w:rPr>
          <w:rFonts w:ascii="Arial Narrow" w:hAnsi="Arial Narrow"/>
          <w:b/>
          <w:sz w:val="20"/>
        </w:rPr>
      </w:pPr>
      <w:bookmarkStart w:id="13" w:name="_Ref43982683"/>
      <w:bookmarkStart w:id="14" w:name="_Toc30609780"/>
      <w:r w:rsidRPr="00CB3BC6">
        <w:rPr>
          <w:rFonts w:ascii="Arial Narrow" w:hAnsi="Arial Narrow"/>
          <w:b/>
          <w:sz w:val="20"/>
        </w:rPr>
        <w:lastRenderedPageBreak/>
        <w:t xml:space="preserve">Table </w:t>
      </w:r>
      <w:r w:rsidRPr="00CB3BC6">
        <w:rPr>
          <w:rFonts w:ascii="Arial Narrow" w:hAnsi="Arial Narrow"/>
          <w:b/>
          <w:sz w:val="20"/>
        </w:rPr>
        <w:fldChar w:fldCharType="begin"/>
      </w:r>
      <w:r w:rsidRPr="00CB3BC6">
        <w:rPr>
          <w:rFonts w:ascii="Arial Narrow" w:hAnsi="Arial Narrow"/>
          <w:b/>
          <w:sz w:val="20"/>
        </w:rPr>
        <w:instrText xml:space="preserve"> SEQ Table \* ARABIC </w:instrText>
      </w:r>
      <w:r w:rsidRPr="00CB3BC6">
        <w:rPr>
          <w:rFonts w:ascii="Arial Narrow" w:hAnsi="Arial Narrow"/>
          <w:b/>
          <w:sz w:val="20"/>
        </w:rPr>
        <w:fldChar w:fldCharType="separate"/>
      </w:r>
      <w:r w:rsidR="00E05271">
        <w:rPr>
          <w:rFonts w:ascii="Arial Narrow" w:hAnsi="Arial Narrow"/>
          <w:b/>
          <w:noProof/>
          <w:sz w:val="20"/>
        </w:rPr>
        <w:t>4</w:t>
      </w:r>
      <w:r w:rsidRPr="00CB3BC6">
        <w:rPr>
          <w:rFonts w:ascii="Arial Narrow" w:hAnsi="Arial Narrow"/>
          <w:b/>
          <w:sz w:val="20"/>
        </w:rPr>
        <w:fldChar w:fldCharType="end"/>
      </w:r>
      <w:bookmarkEnd w:id="13"/>
      <w:r w:rsidRPr="00CB3BC6">
        <w:rPr>
          <w:rFonts w:ascii="Arial Narrow" w:hAnsi="Arial Narrow"/>
          <w:b/>
          <w:sz w:val="20"/>
        </w:rPr>
        <w:tab/>
      </w:r>
      <w:r w:rsidR="00CB2414" w:rsidRPr="00CB3BC6">
        <w:rPr>
          <w:rFonts w:ascii="Arial Narrow" w:hAnsi="Arial Narrow"/>
          <w:b/>
          <w:sz w:val="20"/>
        </w:rPr>
        <w:t>Selected studies</w:t>
      </w:r>
      <w:bookmarkEnd w:id="14"/>
    </w:p>
    <w:tbl>
      <w:tblPr>
        <w:tblStyle w:val="TableGrid1"/>
        <w:tblW w:w="5107" w:type="pct"/>
        <w:tblLook w:val="04A0" w:firstRow="1" w:lastRow="0" w:firstColumn="1" w:lastColumn="0" w:noHBand="0" w:noVBand="1"/>
        <w:tblCaption w:val="Table 22  "/>
        <w:tblDescription w:val="Revised Helical anchor utilisation applied in the cost-minimisation analysis, by population"/>
      </w:tblPr>
      <w:tblGrid>
        <w:gridCol w:w="1271"/>
        <w:gridCol w:w="1663"/>
        <w:gridCol w:w="490"/>
        <w:gridCol w:w="5785"/>
      </w:tblGrid>
      <w:tr w:rsidR="00CB2414" w:rsidRPr="00154A9C" w14:paraId="008494F4" w14:textId="77777777" w:rsidTr="00CB2414">
        <w:trPr>
          <w:cnfStyle w:val="100000000000" w:firstRow="1" w:lastRow="0" w:firstColumn="0" w:lastColumn="0" w:oddVBand="0" w:evenVBand="0" w:oddHBand="0" w:evenHBand="0" w:firstRowFirstColumn="0" w:firstRowLastColumn="0" w:lastRowFirstColumn="0" w:lastRowLastColumn="0"/>
          <w:cantSplit/>
          <w:trHeight w:val="125"/>
          <w:tblHeader/>
        </w:trPr>
        <w:tc>
          <w:tcPr>
            <w:tcW w:w="690" w:type="pct"/>
            <w:tcBorders>
              <w:bottom w:val="single" w:sz="4" w:space="0" w:color="auto"/>
            </w:tcBorders>
          </w:tcPr>
          <w:p w14:paraId="0F4CF7EA" w14:textId="77777777" w:rsidR="00CB2414" w:rsidRPr="00154A9C" w:rsidRDefault="00CB2414" w:rsidP="00CB2414">
            <w:pPr>
              <w:pStyle w:val="TableHeading"/>
              <w:tabs>
                <w:tab w:val="left" w:pos="177"/>
              </w:tabs>
            </w:pPr>
            <w:r w:rsidRPr="00154A9C">
              <w:t>Studies</w:t>
            </w:r>
          </w:p>
        </w:tc>
        <w:tc>
          <w:tcPr>
            <w:tcW w:w="903" w:type="pct"/>
            <w:tcBorders>
              <w:bottom w:val="single" w:sz="4" w:space="0" w:color="auto"/>
            </w:tcBorders>
          </w:tcPr>
          <w:p w14:paraId="16CF7812" w14:textId="77777777" w:rsidR="00CB2414" w:rsidRPr="00154A9C" w:rsidRDefault="00CB2414" w:rsidP="00CB2414">
            <w:pPr>
              <w:pStyle w:val="TableHeading"/>
              <w:tabs>
                <w:tab w:val="left" w:pos="177"/>
              </w:tabs>
              <w:jc w:val="center"/>
            </w:pPr>
            <w:r w:rsidRPr="00154A9C">
              <w:t>Design</w:t>
            </w:r>
          </w:p>
        </w:tc>
        <w:tc>
          <w:tcPr>
            <w:tcW w:w="266" w:type="pct"/>
            <w:tcBorders>
              <w:bottom w:val="single" w:sz="4" w:space="0" w:color="auto"/>
            </w:tcBorders>
          </w:tcPr>
          <w:p w14:paraId="303DF686" w14:textId="77777777" w:rsidR="00CB2414" w:rsidRPr="00154A9C" w:rsidRDefault="00CB2414" w:rsidP="00CB2414">
            <w:pPr>
              <w:pStyle w:val="TableHeading"/>
              <w:tabs>
                <w:tab w:val="left" w:pos="177"/>
              </w:tabs>
              <w:jc w:val="center"/>
            </w:pPr>
            <w:r w:rsidRPr="00154A9C">
              <w:t>N</w:t>
            </w:r>
          </w:p>
        </w:tc>
        <w:tc>
          <w:tcPr>
            <w:tcW w:w="3141" w:type="pct"/>
            <w:tcBorders>
              <w:bottom w:val="single" w:sz="4" w:space="0" w:color="auto"/>
            </w:tcBorders>
          </w:tcPr>
          <w:p w14:paraId="54273E0F" w14:textId="77777777" w:rsidR="00CB2414" w:rsidRPr="00154A9C" w:rsidRDefault="00CB2414" w:rsidP="00CB2414">
            <w:pPr>
              <w:pStyle w:val="TableHeading"/>
              <w:tabs>
                <w:tab w:val="left" w:pos="177"/>
              </w:tabs>
              <w:jc w:val="center"/>
            </w:pPr>
            <w:r w:rsidRPr="00154A9C">
              <w:t>Population</w:t>
            </w:r>
          </w:p>
        </w:tc>
      </w:tr>
      <w:tr w:rsidR="00CB2414" w:rsidRPr="00154A9C" w14:paraId="08EEB06D" w14:textId="77777777" w:rsidTr="00CB2414">
        <w:trPr>
          <w:trHeight w:val="253"/>
        </w:trPr>
        <w:tc>
          <w:tcPr>
            <w:tcW w:w="690" w:type="pct"/>
            <w:tcBorders>
              <w:right w:val="nil"/>
            </w:tcBorders>
          </w:tcPr>
          <w:p w14:paraId="7952FD66" w14:textId="77777777" w:rsidR="00CB2414" w:rsidRPr="00154A9C" w:rsidRDefault="00CB2414" w:rsidP="00CB2414">
            <w:pPr>
              <w:pStyle w:val="Tabletext"/>
              <w:keepNext/>
              <w:tabs>
                <w:tab w:val="left" w:pos="177"/>
              </w:tabs>
              <w:rPr>
                <w:b/>
                <w:bCs/>
              </w:rPr>
            </w:pPr>
            <w:r w:rsidRPr="00154A9C">
              <w:rPr>
                <w:b/>
                <w:bCs/>
              </w:rPr>
              <w:t>Helical anchors</w:t>
            </w:r>
          </w:p>
        </w:tc>
        <w:tc>
          <w:tcPr>
            <w:tcW w:w="903" w:type="pct"/>
            <w:tcBorders>
              <w:left w:val="nil"/>
              <w:right w:val="nil"/>
            </w:tcBorders>
          </w:tcPr>
          <w:p w14:paraId="7FD02B10" w14:textId="77777777" w:rsidR="00CB2414" w:rsidRPr="00154A9C" w:rsidRDefault="00CB2414" w:rsidP="00CB2414">
            <w:pPr>
              <w:pStyle w:val="Tabletext"/>
              <w:keepNext/>
              <w:tabs>
                <w:tab w:val="left" w:pos="177"/>
              </w:tabs>
            </w:pPr>
          </w:p>
        </w:tc>
        <w:tc>
          <w:tcPr>
            <w:tcW w:w="266" w:type="pct"/>
            <w:tcBorders>
              <w:left w:val="nil"/>
              <w:right w:val="nil"/>
            </w:tcBorders>
          </w:tcPr>
          <w:p w14:paraId="7010F7AD" w14:textId="77777777" w:rsidR="00CB2414" w:rsidRPr="00154A9C" w:rsidRDefault="00CB2414" w:rsidP="00CB2414">
            <w:pPr>
              <w:pStyle w:val="Tabletext"/>
              <w:keepNext/>
              <w:tabs>
                <w:tab w:val="left" w:pos="177"/>
              </w:tabs>
            </w:pPr>
          </w:p>
        </w:tc>
        <w:tc>
          <w:tcPr>
            <w:tcW w:w="3141" w:type="pct"/>
            <w:tcBorders>
              <w:left w:val="nil"/>
            </w:tcBorders>
          </w:tcPr>
          <w:p w14:paraId="55FA9338" w14:textId="77777777" w:rsidR="00CB2414" w:rsidRPr="00154A9C" w:rsidRDefault="00CB2414" w:rsidP="00CB2414">
            <w:pPr>
              <w:pStyle w:val="Tabletext"/>
              <w:keepNext/>
              <w:tabs>
                <w:tab w:val="left" w:pos="177"/>
              </w:tabs>
            </w:pPr>
          </w:p>
        </w:tc>
      </w:tr>
      <w:tr w:rsidR="00CB2414" w:rsidRPr="00154A9C" w14:paraId="0476997D" w14:textId="77777777" w:rsidTr="00CB2414">
        <w:trPr>
          <w:trHeight w:val="253"/>
        </w:trPr>
        <w:tc>
          <w:tcPr>
            <w:tcW w:w="690" w:type="pct"/>
          </w:tcPr>
          <w:p w14:paraId="47F2FA59" w14:textId="77777777" w:rsidR="00CB2414" w:rsidRPr="00154A9C" w:rsidRDefault="00CB2414" w:rsidP="00CB2414">
            <w:pPr>
              <w:pStyle w:val="Tabletext"/>
              <w:keepNext/>
              <w:tabs>
                <w:tab w:val="left" w:pos="177"/>
              </w:tabs>
            </w:pPr>
            <w:r w:rsidRPr="00154A9C">
              <w:t>ANCHOR</w:t>
            </w:r>
          </w:p>
        </w:tc>
        <w:tc>
          <w:tcPr>
            <w:tcW w:w="903" w:type="pct"/>
          </w:tcPr>
          <w:p w14:paraId="4F7AFD60" w14:textId="77777777" w:rsidR="00CB2414" w:rsidRPr="00154A9C" w:rsidRDefault="00CB2414" w:rsidP="00CB2414">
            <w:pPr>
              <w:pStyle w:val="Tabletext"/>
              <w:keepNext/>
              <w:tabs>
                <w:tab w:val="left" w:pos="177"/>
              </w:tabs>
            </w:pPr>
            <w:r w:rsidRPr="00154A9C">
              <w:rPr>
                <w:bCs/>
              </w:rPr>
              <w:t xml:space="preserve">Prospective, non-randomised, multicentre, registry </w:t>
            </w:r>
          </w:p>
        </w:tc>
        <w:tc>
          <w:tcPr>
            <w:tcW w:w="266" w:type="pct"/>
          </w:tcPr>
          <w:p w14:paraId="3C572BEF" w14:textId="77777777" w:rsidR="00CB2414" w:rsidRPr="00154A9C" w:rsidRDefault="00CB2414" w:rsidP="00CB2414">
            <w:pPr>
              <w:pStyle w:val="Tabletext"/>
              <w:keepNext/>
              <w:tabs>
                <w:tab w:val="left" w:pos="177"/>
              </w:tabs>
              <w:jc w:val="center"/>
            </w:pPr>
            <w:r w:rsidRPr="00154A9C">
              <w:t>838</w:t>
            </w:r>
          </w:p>
        </w:tc>
        <w:tc>
          <w:tcPr>
            <w:tcW w:w="3141" w:type="pct"/>
          </w:tcPr>
          <w:p w14:paraId="773D446A" w14:textId="77777777" w:rsidR="00CB2414" w:rsidRPr="00154A9C" w:rsidRDefault="00CB2414" w:rsidP="00CB2414">
            <w:pPr>
              <w:keepNext/>
              <w:spacing w:after="40"/>
            </w:pPr>
            <w:r w:rsidRPr="00154A9C">
              <w:rPr>
                <w:bCs/>
              </w:rPr>
              <w:t>Initial aneurysm treatment, either prophylactic or to treat Type Ia endoleak (n=609);</w:t>
            </w:r>
            <w:r w:rsidRPr="00154A9C">
              <w:rPr>
                <w:bCs/>
                <w:u w:val="single"/>
              </w:rPr>
              <w:t xml:space="preserve"> </w:t>
            </w:r>
            <w:r w:rsidRPr="00154A9C">
              <w:rPr>
                <w:bCs/>
              </w:rPr>
              <w:t>secondary procedure to arrest migration or treat Type Ia endoleaks (n=229)</w:t>
            </w:r>
          </w:p>
        </w:tc>
      </w:tr>
      <w:tr w:rsidR="00CB2414" w:rsidRPr="00154A9C" w14:paraId="324ECF09" w14:textId="77777777" w:rsidTr="00CB2414">
        <w:trPr>
          <w:trHeight w:val="253"/>
        </w:trPr>
        <w:tc>
          <w:tcPr>
            <w:tcW w:w="690" w:type="pct"/>
          </w:tcPr>
          <w:p w14:paraId="54EAF101" w14:textId="77777777" w:rsidR="00CB2414" w:rsidRPr="00154A9C" w:rsidRDefault="00CB2414" w:rsidP="00CB2414">
            <w:pPr>
              <w:pStyle w:val="Tabletext"/>
              <w:tabs>
                <w:tab w:val="left" w:pos="177"/>
              </w:tabs>
            </w:pPr>
            <w:r w:rsidRPr="00154A9C">
              <w:t>De Vries 2014</w:t>
            </w:r>
          </w:p>
        </w:tc>
        <w:tc>
          <w:tcPr>
            <w:tcW w:w="903" w:type="pct"/>
          </w:tcPr>
          <w:p w14:paraId="542C8DBA" w14:textId="77777777" w:rsidR="00CB2414" w:rsidRPr="00154A9C" w:rsidRDefault="00CB2414" w:rsidP="00CB2414">
            <w:pPr>
              <w:pStyle w:val="Tabletext"/>
              <w:tabs>
                <w:tab w:val="left" w:pos="177"/>
              </w:tabs>
            </w:pPr>
            <w:r w:rsidRPr="00154A9C">
              <w:rPr>
                <w:bCs/>
              </w:rPr>
              <w:t xml:space="preserve">Prospective, non-randomised, multicentre, registry </w:t>
            </w:r>
          </w:p>
        </w:tc>
        <w:tc>
          <w:tcPr>
            <w:tcW w:w="266" w:type="pct"/>
          </w:tcPr>
          <w:p w14:paraId="4C45F4A8" w14:textId="77777777" w:rsidR="00CB2414" w:rsidRPr="00154A9C" w:rsidRDefault="00CB2414" w:rsidP="00CB2414">
            <w:pPr>
              <w:pStyle w:val="Tabletext"/>
              <w:tabs>
                <w:tab w:val="left" w:pos="177"/>
              </w:tabs>
              <w:jc w:val="center"/>
            </w:pPr>
            <w:r w:rsidRPr="00154A9C">
              <w:t>319</w:t>
            </w:r>
          </w:p>
        </w:tc>
        <w:tc>
          <w:tcPr>
            <w:tcW w:w="3141" w:type="pct"/>
          </w:tcPr>
          <w:p w14:paraId="32C7B3F0" w14:textId="77777777" w:rsidR="00CB2414" w:rsidRPr="00154A9C" w:rsidRDefault="00CB2414" w:rsidP="00CB2414">
            <w:pPr>
              <w:pStyle w:val="Tabletext"/>
              <w:tabs>
                <w:tab w:val="left" w:pos="177"/>
              </w:tabs>
            </w:pPr>
            <w:r w:rsidRPr="00154A9C">
              <w:rPr>
                <w:bCs/>
              </w:rPr>
              <w:t>Initial EVAR procedure (n=242); and patients who had helical anchor placement remote from the initial EVAR procedure when the patients presented with Type Ia endoleak, endograft migration or both (n=77)</w:t>
            </w:r>
          </w:p>
        </w:tc>
      </w:tr>
      <w:tr w:rsidR="00CB2414" w:rsidRPr="00154A9C" w14:paraId="02D1BAB7" w14:textId="77777777" w:rsidTr="00CB2414">
        <w:trPr>
          <w:trHeight w:val="253"/>
        </w:trPr>
        <w:tc>
          <w:tcPr>
            <w:tcW w:w="690" w:type="pct"/>
          </w:tcPr>
          <w:p w14:paraId="146965BD" w14:textId="77777777" w:rsidR="00CB2414" w:rsidRPr="00154A9C" w:rsidRDefault="00CB2414" w:rsidP="00CB2414">
            <w:pPr>
              <w:pStyle w:val="Tabletext"/>
              <w:tabs>
                <w:tab w:val="left" w:pos="177"/>
              </w:tabs>
            </w:pPr>
            <w:r w:rsidRPr="00154A9C">
              <w:t>Ongstad 2016</w:t>
            </w:r>
          </w:p>
        </w:tc>
        <w:tc>
          <w:tcPr>
            <w:tcW w:w="903" w:type="pct"/>
          </w:tcPr>
          <w:p w14:paraId="2A70B27E" w14:textId="77777777" w:rsidR="00CB2414" w:rsidRPr="00154A9C" w:rsidRDefault="00CB2414" w:rsidP="00CB2414">
            <w:pPr>
              <w:pStyle w:val="Tabletext"/>
              <w:tabs>
                <w:tab w:val="left" w:pos="177"/>
              </w:tabs>
            </w:pPr>
            <w:r w:rsidRPr="00154A9C">
              <w:t>Retrospective, single-arm, review</w:t>
            </w:r>
          </w:p>
        </w:tc>
        <w:tc>
          <w:tcPr>
            <w:tcW w:w="266" w:type="pct"/>
          </w:tcPr>
          <w:p w14:paraId="407C5368" w14:textId="77777777" w:rsidR="00CB2414" w:rsidRPr="00154A9C" w:rsidRDefault="00CB2414" w:rsidP="00CB2414">
            <w:pPr>
              <w:pStyle w:val="Tabletext"/>
              <w:tabs>
                <w:tab w:val="left" w:pos="177"/>
              </w:tabs>
              <w:jc w:val="center"/>
            </w:pPr>
            <w:r w:rsidRPr="00154A9C">
              <w:t>54</w:t>
            </w:r>
          </w:p>
        </w:tc>
        <w:tc>
          <w:tcPr>
            <w:tcW w:w="3141" w:type="pct"/>
          </w:tcPr>
          <w:p w14:paraId="7C988921" w14:textId="77777777" w:rsidR="00CB2414" w:rsidRPr="00154A9C" w:rsidRDefault="00CB2414" w:rsidP="00CB2414">
            <w:pPr>
              <w:pStyle w:val="Tabletext"/>
              <w:tabs>
                <w:tab w:val="left" w:pos="177"/>
              </w:tabs>
            </w:pPr>
            <w:r w:rsidRPr="00154A9C">
              <w:t xml:space="preserve">T/EVAR  for thoracic aortic aneurysm (n=40) or thoracoabdominal aortic aneurysm with involvement of the paravisceral segment (n=14). 50% performed at the index operation and 50% reoperations </w:t>
            </w:r>
          </w:p>
        </w:tc>
      </w:tr>
      <w:tr w:rsidR="00CB2414" w:rsidRPr="00154A9C" w14:paraId="06D17D39" w14:textId="77777777" w:rsidTr="00CB2414">
        <w:trPr>
          <w:trHeight w:val="253"/>
        </w:trPr>
        <w:tc>
          <w:tcPr>
            <w:tcW w:w="690" w:type="pct"/>
          </w:tcPr>
          <w:p w14:paraId="42F4BE8B" w14:textId="77777777" w:rsidR="00CB2414" w:rsidRPr="00154A9C" w:rsidRDefault="00CB2414" w:rsidP="00CB2414">
            <w:pPr>
              <w:pStyle w:val="Tabletext"/>
              <w:tabs>
                <w:tab w:val="left" w:pos="177"/>
              </w:tabs>
            </w:pPr>
            <w:r w:rsidRPr="00154A9C">
              <w:t>Goudeketting 2019</w:t>
            </w:r>
          </w:p>
        </w:tc>
        <w:tc>
          <w:tcPr>
            <w:tcW w:w="903" w:type="pct"/>
          </w:tcPr>
          <w:p w14:paraId="423EBFF4" w14:textId="77777777" w:rsidR="00CB2414" w:rsidRPr="00154A9C" w:rsidRDefault="00CB2414" w:rsidP="00CB2414">
            <w:pPr>
              <w:pStyle w:val="Tabletext"/>
              <w:tabs>
                <w:tab w:val="left" w:pos="177"/>
              </w:tabs>
            </w:pPr>
            <w:r w:rsidRPr="00154A9C">
              <w:t xml:space="preserve">Retrospective, observational, cohort study </w:t>
            </w:r>
          </w:p>
        </w:tc>
        <w:tc>
          <w:tcPr>
            <w:tcW w:w="266" w:type="pct"/>
          </w:tcPr>
          <w:p w14:paraId="7C56BBDE" w14:textId="77777777" w:rsidR="00CB2414" w:rsidRPr="00154A9C" w:rsidRDefault="00CB2414" w:rsidP="00CB2414">
            <w:pPr>
              <w:pStyle w:val="Tabletext"/>
              <w:tabs>
                <w:tab w:val="left" w:pos="177"/>
              </w:tabs>
              <w:jc w:val="center"/>
            </w:pPr>
            <w:r w:rsidRPr="00154A9C">
              <w:t>51</w:t>
            </w:r>
          </w:p>
        </w:tc>
        <w:tc>
          <w:tcPr>
            <w:tcW w:w="3141" w:type="pct"/>
          </w:tcPr>
          <w:p w14:paraId="267237C0" w14:textId="77777777" w:rsidR="00CB2414" w:rsidRPr="00154A9C" w:rsidRDefault="00CB2414" w:rsidP="00CB2414">
            <w:pPr>
              <w:pStyle w:val="Tabletext"/>
              <w:tabs>
                <w:tab w:val="left" w:pos="177"/>
              </w:tabs>
            </w:pPr>
            <w:r w:rsidRPr="00154A9C">
              <w:rPr>
                <w:rFonts w:cs="Calibri"/>
                <w:color w:val="000000"/>
              </w:rPr>
              <w:t>Prophylactic helical anchor use for hostile proximal neck anatomy (N=31), with a Type Ia endoleak evident during initial endograft deployment (N=20)</w:t>
            </w:r>
          </w:p>
        </w:tc>
      </w:tr>
      <w:tr w:rsidR="00CB2414" w:rsidRPr="00154A9C" w14:paraId="27FA837A" w14:textId="77777777" w:rsidTr="00CB2414">
        <w:trPr>
          <w:trHeight w:val="253"/>
        </w:trPr>
        <w:tc>
          <w:tcPr>
            <w:tcW w:w="690" w:type="pct"/>
          </w:tcPr>
          <w:p w14:paraId="2DBD9739" w14:textId="77777777" w:rsidR="00CB2414" w:rsidRPr="00154A9C" w:rsidRDefault="00CB2414" w:rsidP="00CB2414">
            <w:pPr>
              <w:pStyle w:val="Tabletext"/>
              <w:tabs>
                <w:tab w:val="left" w:pos="177"/>
              </w:tabs>
            </w:pPr>
            <w:r w:rsidRPr="00154A9C">
              <w:t>Giudice 2019</w:t>
            </w:r>
          </w:p>
        </w:tc>
        <w:tc>
          <w:tcPr>
            <w:tcW w:w="903" w:type="pct"/>
          </w:tcPr>
          <w:p w14:paraId="5D5F434A" w14:textId="77777777" w:rsidR="00CB2414" w:rsidRPr="00154A9C" w:rsidRDefault="00CB2414" w:rsidP="00CB2414">
            <w:pPr>
              <w:pStyle w:val="Tabletext"/>
              <w:tabs>
                <w:tab w:val="left" w:pos="177"/>
              </w:tabs>
            </w:pPr>
            <w:r w:rsidRPr="00154A9C">
              <w:t>Retrospective, single centre, review</w:t>
            </w:r>
          </w:p>
        </w:tc>
        <w:tc>
          <w:tcPr>
            <w:tcW w:w="266" w:type="pct"/>
          </w:tcPr>
          <w:p w14:paraId="2AA56911" w14:textId="77777777" w:rsidR="00CB2414" w:rsidRPr="00154A9C" w:rsidRDefault="00CB2414" w:rsidP="00CB2414">
            <w:pPr>
              <w:pStyle w:val="Tabletext"/>
              <w:tabs>
                <w:tab w:val="left" w:pos="177"/>
              </w:tabs>
              <w:jc w:val="center"/>
            </w:pPr>
            <w:r w:rsidRPr="00154A9C">
              <w:t>17</w:t>
            </w:r>
          </w:p>
        </w:tc>
        <w:tc>
          <w:tcPr>
            <w:tcW w:w="3141" w:type="pct"/>
          </w:tcPr>
          <w:p w14:paraId="26BC7C55" w14:textId="77777777" w:rsidR="00CB2414" w:rsidRPr="00154A9C" w:rsidRDefault="00CB2414" w:rsidP="00CB2414">
            <w:pPr>
              <w:pStyle w:val="Tabletext"/>
              <w:tabs>
                <w:tab w:val="left" w:pos="177"/>
              </w:tabs>
            </w:pPr>
            <w:r w:rsidRPr="00154A9C">
              <w:t>Initial EVAR procedures to prevent proximal sealing site complications with hostile proximal aortic neck anatomy (n=9); secondary EVAR to correct postprocedural Type Ia endoleak and/or stent-graft migrations (n=8)</w:t>
            </w:r>
          </w:p>
        </w:tc>
      </w:tr>
      <w:tr w:rsidR="00CB2414" w:rsidRPr="00154A9C" w14:paraId="5260BD5D" w14:textId="77777777" w:rsidTr="00CB2414">
        <w:trPr>
          <w:trHeight w:val="253"/>
        </w:trPr>
        <w:tc>
          <w:tcPr>
            <w:tcW w:w="690" w:type="pct"/>
          </w:tcPr>
          <w:p w14:paraId="50929472" w14:textId="77777777" w:rsidR="00CB2414" w:rsidRPr="00154A9C" w:rsidRDefault="00CB2414" w:rsidP="00CB2414">
            <w:pPr>
              <w:pStyle w:val="Tabletext"/>
              <w:tabs>
                <w:tab w:val="left" w:pos="177"/>
              </w:tabs>
            </w:pPr>
            <w:r w:rsidRPr="00154A9C">
              <w:t>Reyes Valdiva 2019</w:t>
            </w:r>
          </w:p>
        </w:tc>
        <w:tc>
          <w:tcPr>
            <w:tcW w:w="903" w:type="pct"/>
          </w:tcPr>
          <w:p w14:paraId="2255AAF0" w14:textId="77777777" w:rsidR="00CB2414" w:rsidRPr="00154A9C" w:rsidRDefault="00CB2414" w:rsidP="00CB2414">
            <w:pPr>
              <w:pStyle w:val="Tabletext"/>
              <w:tabs>
                <w:tab w:val="left" w:pos="177"/>
              </w:tabs>
            </w:pPr>
            <w:r w:rsidRPr="00154A9C">
              <w:t>Prospective, multicentre, cohort study</w:t>
            </w:r>
          </w:p>
        </w:tc>
        <w:tc>
          <w:tcPr>
            <w:tcW w:w="266" w:type="pct"/>
          </w:tcPr>
          <w:p w14:paraId="4B8B84A4" w14:textId="77777777" w:rsidR="00CB2414" w:rsidRPr="00154A9C" w:rsidRDefault="00CB2414" w:rsidP="00CB2414">
            <w:pPr>
              <w:pStyle w:val="Tabletext"/>
              <w:tabs>
                <w:tab w:val="left" w:pos="177"/>
              </w:tabs>
              <w:jc w:val="center"/>
            </w:pPr>
            <w:r w:rsidRPr="00154A9C">
              <w:t>46</w:t>
            </w:r>
          </w:p>
        </w:tc>
        <w:tc>
          <w:tcPr>
            <w:tcW w:w="3141" w:type="pct"/>
          </w:tcPr>
          <w:p w14:paraId="426C5E0C" w14:textId="77777777" w:rsidR="00CB2414" w:rsidRPr="00154A9C" w:rsidRDefault="00CB2414" w:rsidP="00CB2414">
            <w:pPr>
              <w:pStyle w:val="Tabletext"/>
              <w:tabs>
                <w:tab w:val="left" w:pos="177"/>
              </w:tabs>
            </w:pPr>
            <w:r w:rsidRPr="00154A9C">
              <w:t>Hostile neck treated with standard EVAR and adjunctive helical anchoring to treat an intra-operative Type Ia endoleak (n=22) or to prevent a possible endoleak due to the hostile neck (n=24)</w:t>
            </w:r>
          </w:p>
        </w:tc>
      </w:tr>
      <w:tr w:rsidR="00CB2414" w:rsidRPr="00154A9C" w14:paraId="7580B4BE" w14:textId="77777777" w:rsidTr="00CB2414">
        <w:trPr>
          <w:trHeight w:val="253"/>
        </w:trPr>
        <w:tc>
          <w:tcPr>
            <w:tcW w:w="690" w:type="pct"/>
          </w:tcPr>
          <w:p w14:paraId="644D6BCE" w14:textId="77777777" w:rsidR="00CB2414" w:rsidRPr="00154A9C" w:rsidRDefault="00CB2414" w:rsidP="00CB2414">
            <w:pPr>
              <w:pStyle w:val="Tabletext"/>
              <w:tabs>
                <w:tab w:val="left" w:pos="177"/>
              </w:tabs>
            </w:pPr>
            <w:r w:rsidRPr="00154A9C">
              <w:t>Avci 2012</w:t>
            </w:r>
          </w:p>
        </w:tc>
        <w:tc>
          <w:tcPr>
            <w:tcW w:w="903" w:type="pct"/>
          </w:tcPr>
          <w:p w14:paraId="092DA192" w14:textId="77777777" w:rsidR="00CB2414" w:rsidRPr="00154A9C" w:rsidRDefault="00CB2414" w:rsidP="00CB2414">
            <w:pPr>
              <w:pStyle w:val="Tabletext"/>
              <w:tabs>
                <w:tab w:val="left" w:pos="177"/>
              </w:tabs>
            </w:pPr>
            <w:r w:rsidRPr="00154A9C">
              <w:t>Prospective, multicentre, cohort study</w:t>
            </w:r>
          </w:p>
        </w:tc>
        <w:tc>
          <w:tcPr>
            <w:tcW w:w="266" w:type="pct"/>
          </w:tcPr>
          <w:p w14:paraId="369C0873" w14:textId="77777777" w:rsidR="00CB2414" w:rsidRPr="00154A9C" w:rsidRDefault="00CB2414" w:rsidP="00CB2414">
            <w:pPr>
              <w:pStyle w:val="Tabletext"/>
              <w:tabs>
                <w:tab w:val="left" w:pos="177"/>
              </w:tabs>
              <w:jc w:val="center"/>
            </w:pPr>
            <w:r w:rsidRPr="00154A9C">
              <w:t>11</w:t>
            </w:r>
          </w:p>
        </w:tc>
        <w:tc>
          <w:tcPr>
            <w:tcW w:w="3141" w:type="pct"/>
          </w:tcPr>
          <w:p w14:paraId="1AFCF647" w14:textId="77777777" w:rsidR="00CB2414" w:rsidRPr="00154A9C" w:rsidRDefault="00CB2414" w:rsidP="00CB2414">
            <w:pPr>
              <w:pStyle w:val="Tabletext"/>
              <w:tabs>
                <w:tab w:val="left" w:pos="177"/>
              </w:tabs>
            </w:pPr>
            <w:r w:rsidRPr="00154A9C">
              <w:t>Revision of failed primary endograft due to distal migration of the main body, with or without Type Ia endoleak</w:t>
            </w:r>
          </w:p>
        </w:tc>
      </w:tr>
      <w:tr w:rsidR="00CB2414" w:rsidRPr="00154A9C" w14:paraId="6D08EDBD" w14:textId="77777777" w:rsidTr="00CB2414">
        <w:trPr>
          <w:trHeight w:val="253"/>
        </w:trPr>
        <w:tc>
          <w:tcPr>
            <w:tcW w:w="690" w:type="pct"/>
            <w:tcBorders>
              <w:bottom w:val="single" w:sz="4" w:space="0" w:color="auto"/>
            </w:tcBorders>
          </w:tcPr>
          <w:p w14:paraId="65A2CAA4" w14:textId="77777777" w:rsidR="00CB2414" w:rsidRPr="00154A9C" w:rsidRDefault="00CB2414" w:rsidP="00CB2414">
            <w:pPr>
              <w:pStyle w:val="Tabletext"/>
              <w:tabs>
                <w:tab w:val="left" w:pos="177"/>
              </w:tabs>
            </w:pPr>
            <w:r w:rsidRPr="00154A9C">
              <w:t>Ho 2019</w:t>
            </w:r>
          </w:p>
        </w:tc>
        <w:tc>
          <w:tcPr>
            <w:tcW w:w="903" w:type="pct"/>
            <w:tcBorders>
              <w:bottom w:val="single" w:sz="4" w:space="0" w:color="auto"/>
            </w:tcBorders>
          </w:tcPr>
          <w:p w14:paraId="3144EBE4" w14:textId="77777777" w:rsidR="00CB2414" w:rsidRPr="00154A9C" w:rsidRDefault="00CB2414" w:rsidP="00CB2414">
            <w:pPr>
              <w:pStyle w:val="Tabletext"/>
              <w:tabs>
                <w:tab w:val="left" w:pos="177"/>
              </w:tabs>
            </w:pPr>
            <w:r w:rsidRPr="00154A9C">
              <w:t>Retrospective, chart review, single centre</w:t>
            </w:r>
          </w:p>
        </w:tc>
        <w:tc>
          <w:tcPr>
            <w:tcW w:w="266" w:type="pct"/>
            <w:tcBorders>
              <w:bottom w:val="single" w:sz="4" w:space="0" w:color="auto"/>
            </w:tcBorders>
          </w:tcPr>
          <w:p w14:paraId="3C1A5C66" w14:textId="77777777" w:rsidR="00CB2414" w:rsidRPr="00154A9C" w:rsidRDefault="00CB2414" w:rsidP="00CB2414">
            <w:pPr>
              <w:pStyle w:val="Tabletext"/>
              <w:tabs>
                <w:tab w:val="left" w:pos="177"/>
              </w:tabs>
              <w:jc w:val="center"/>
            </w:pPr>
            <w:r w:rsidRPr="00154A9C">
              <w:t>21</w:t>
            </w:r>
          </w:p>
        </w:tc>
        <w:tc>
          <w:tcPr>
            <w:tcW w:w="3141" w:type="pct"/>
            <w:tcBorders>
              <w:bottom w:val="single" w:sz="4" w:space="0" w:color="auto"/>
            </w:tcBorders>
          </w:tcPr>
          <w:p w14:paraId="5A579556" w14:textId="77777777" w:rsidR="00CB2414" w:rsidRPr="00154A9C" w:rsidRDefault="00CB2414" w:rsidP="00CB2414">
            <w:pPr>
              <w:spacing w:after="40"/>
            </w:pPr>
            <w:r w:rsidRPr="00154A9C">
              <w:t>Prior EVAR with Type Ia endoleak (n=11); intra-operative Type Ia endoleak (n=10)</w:t>
            </w:r>
          </w:p>
        </w:tc>
      </w:tr>
      <w:tr w:rsidR="00CB2414" w:rsidRPr="00154A9C" w14:paraId="37B7EA19" w14:textId="77777777" w:rsidTr="00CB2414">
        <w:trPr>
          <w:trHeight w:val="253"/>
        </w:trPr>
        <w:tc>
          <w:tcPr>
            <w:tcW w:w="690" w:type="pct"/>
            <w:tcBorders>
              <w:right w:val="nil"/>
            </w:tcBorders>
          </w:tcPr>
          <w:p w14:paraId="0A956246" w14:textId="77777777" w:rsidR="00CB2414" w:rsidRPr="00154A9C" w:rsidRDefault="00CB2414" w:rsidP="00CB2414">
            <w:pPr>
              <w:pStyle w:val="Tabletext"/>
              <w:tabs>
                <w:tab w:val="left" w:pos="177"/>
              </w:tabs>
              <w:rPr>
                <w:b/>
                <w:bCs/>
              </w:rPr>
            </w:pPr>
            <w:r w:rsidRPr="00154A9C">
              <w:rPr>
                <w:b/>
                <w:bCs/>
              </w:rPr>
              <w:t>Population 1 comparator</w:t>
            </w:r>
          </w:p>
        </w:tc>
        <w:tc>
          <w:tcPr>
            <w:tcW w:w="903" w:type="pct"/>
            <w:tcBorders>
              <w:left w:val="nil"/>
              <w:right w:val="nil"/>
            </w:tcBorders>
          </w:tcPr>
          <w:p w14:paraId="1FE7DF97" w14:textId="77777777" w:rsidR="00CB2414" w:rsidRPr="00154A9C" w:rsidRDefault="00CB2414" w:rsidP="00CB2414">
            <w:pPr>
              <w:pStyle w:val="Tabletext"/>
              <w:tabs>
                <w:tab w:val="left" w:pos="177"/>
              </w:tabs>
            </w:pPr>
          </w:p>
        </w:tc>
        <w:tc>
          <w:tcPr>
            <w:tcW w:w="266" w:type="pct"/>
            <w:tcBorders>
              <w:left w:val="nil"/>
              <w:right w:val="nil"/>
            </w:tcBorders>
          </w:tcPr>
          <w:p w14:paraId="1D795443" w14:textId="77777777" w:rsidR="00CB2414" w:rsidRPr="00154A9C" w:rsidRDefault="00CB2414" w:rsidP="00CB2414">
            <w:pPr>
              <w:pStyle w:val="Tabletext"/>
              <w:tabs>
                <w:tab w:val="left" w:pos="177"/>
              </w:tabs>
            </w:pPr>
          </w:p>
        </w:tc>
        <w:tc>
          <w:tcPr>
            <w:tcW w:w="3141" w:type="pct"/>
            <w:tcBorders>
              <w:left w:val="nil"/>
            </w:tcBorders>
          </w:tcPr>
          <w:p w14:paraId="52A24EDA" w14:textId="77777777" w:rsidR="00CB2414" w:rsidRPr="00154A9C" w:rsidRDefault="00CB2414" w:rsidP="00CB2414">
            <w:pPr>
              <w:pStyle w:val="Tabletext"/>
              <w:tabs>
                <w:tab w:val="left" w:pos="177"/>
              </w:tabs>
            </w:pPr>
          </w:p>
        </w:tc>
      </w:tr>
      <w:tr w:rsidR="00CB2414" w:rsidRPr="00154A9C" w14:paraId="78D7C066" w14:textId="77777777" w:rsidTr="00CB2414">
        <w:trPr>
          <w:trHeight w:val="253"/>
        </w:trPr>
        <w:tc>
          <w:tcPr>
            <w:tcW w:w="690" w:type="pct"/>
          </w:tcPr>
          <w:p w14:paraId="259C7FF3" w14:textId="77777777" w:rsidR="00CB2414" w:rsidRPr="00154A9C" w:rsidRDefault="00CB2414" w:rsidP="00CB2414">
            <w:pPr>
              <w:pStyle w:val="Tabletext"/>
              <w:tabs>
                <w:tab w:val="left" w:pos="177"/>
              </w:tabs>
            </w:pPr>
            <w:r w:rsidRPr="00154A9C">
              <w:t>Barilla 2014</w:t>
            </w:r>
          </w:p>
        </w:tc>
        <w:tc>
          <w:tcPr>
            <w:tcW w:w="903" w:type="pct"/>
          </w:tcPr>
          <w:p w14:paraId="7FE54FF6" w14:textId="77777777" w:rsidR="00CB2414" w:rsidRPr="00154A9C" w:rsidRDefault="00CB2414" w:rsidP="00CB2414">
            <w:pPr>
              <w:pStyle w:val="Tabletext"/>
              <w:tabs>
                <w:tab w:val="left" w:pos="177"/>
              </w:tabs>
            </w:pPr>
            <w:r w:rsidRPr="00154A9C">
              <w:t xml:space="preserve">Retrospective, </w:t>
            </w:r>
            <w:r w:rsidRPr="00154A9C">
              <w:rPr>
                <w:bCs/>
              </w:rPr>
              <w:t>non-randomised</w:t>
            </w:r>
            <w:r w:rsidRPr="00154A9C">
              <w:t xml:space="preserve">, comparative analysis </w:t>
            </w:r>
          </w:p>
        </w:tc>
        <w:tc>
          <w:tcPr>
            <w:tcW w:w="266" w:type="pct"/>
          </w:tcPr>
          <w:p w14:paraId="1B398389" w14:textId="77777777" w:rsidR="00CB2414" w:rsidRPr="00154A9C" w:rsidRDefault="00CB2414" w:rsidP="00CB2414">
            <w:pPr>
              <w:pStyle w:val="Tabletext"/>
              <w:tabs>
                <w:tab w:val="left" w:pos="177"/>
              </w:tabs>
              <w:jc w:val="center"/>
            </w:pPr>
            <w:r w:rsidRPr="00154A9C">
              <w:t>100</w:t>
            </w:r>
          </w:p>
        </w:tc>
        <w:tc>
          <w:tcPr>
            <w:tcW w:w="3141" w:type="pct"/>
          </w:tcPr>
          <w:p w14:paraId="0877D94B" w14:textId="77777777" w:rsidR="00CB2414" w:rsidRPr="00154A9C" w:rsidRDefault="00CB2414" w:rsidP="00CB2414">
            <w:pPr>
              <w:spacing w:after="40"/>
              <w:jc w:val="both"/>
            </w:pPr>
            <w:r w:rsidRPr="00154A9C">
              <w:t>Hostile neck AAAs (n=50) matched to 50 patients treated with FEVAR with similar anatomies, comorbidities and risk factors</w:t>
            </w:r>
          </w:p>
        </w:tc>
      </w:tr>
      <w:tr w:rsidR="00CB2414" w:rsidRPr="00154A9C" w14:paraId="7DFF9F31" w14:textId="77777777" w:rsidTr="00CB2414">
        <w:trPr>
          <w:trHeight w:val="253"/>
        </w:trPr>
        <w:tc>
          <w:tcPr>
            <w:tcW w:w="690" w:type="pct"/>
          </w:tcPr>
          <w:p w14:paraId="07FD0511" w14:textId="77777777" w:rsidR="00CB2414" w:rsidRPr="00154A9C" w:rsidRDefault="00CB2414" w:rsidP="00CB2414">
            <w:pPr>
              <w:pStyle w:val="Tabletext"/>
              <w:tabs>
                <w:tab w:val="left" w:pos="177"/>
              </w:tabs>
            </w:pPr>
            <w:r w:rsidRPr="00154A9C">
              <w:t>Chisci 2009</w:t>
            </w:r>
          </w:p>
        </w:tc>
        <w:tc>
          <w:tcPr>
            <w:tcW w:w="903" w:type="pct"/>
          </w:tcPr>
          <w:p w14:paraId="10B801F8" w14:textId="77777777" w:rsidR="00CB2414" w:rsidRPr="00154A9C" w:rsidRDefault="00CB2414" w:rsidP="00CB2414">
            <w:pPr>
              <w:pStyle w:val="Tabletext"/>
              <w:tabs>
                <w:tab w:val="left" w:pos="177"/>
              </w:tabs>
            </w:pPr>
            <w:r w:rsidRPr="00154A9C">
              <w:t xml:space="preserve">Retrospective, </w:t>
            </w:r>
            <w:r w:rsidRPr="00154A9C">
              <w:rPr>
                <w:bCs/>
              </w:rPr>
              <w:t>non-randomised</w:t>
            </w:r>
            <w:r w:rsidRPr="00154A9C">
              <w:t>, comparative analysis</w:t>
            </w:r>
          </w:p>
        </w:tc>
        <w:tc>
          <w:tcPr>
            <w:tcW w:w="266" w:type="pct"/>
          </w:tcPr>
          <w:p w14:paraId="7E3041AF" w14:textId="77777777" w:rsidR="00CB2414" w:rsidRPr="00154A9C" w:rsidRDefault="00CB2414" w:rsidP="00CB2414">
            <w:pPr>
              <w:pStyle w:val="Tabletext"/>
              <w:tabs>
                <w:tab w:val="left" w:pos="177"/>
              </w:tabs>
              <w:jc w:val="center"/>
            </w:pPr>
            <w:r w:rsidRPr="00154A9C">
              <w:t>187</w:t>
            </w:r>
          </w:p>
        </w:tc>
        <w:tc>
          <w:tcPr>
            <w:tcW w:w="3141" w:type="pct"/>
          </w:tcPr>
          <w:p w14:paraId="1C54D86D" w14:textId="77777777" w:rsidR="00CB2414" w:rsidRPr="00154A9C" w:rsidRDefault="00CB2414" w:rsidP="00CB2414">
            <w:pPr>
              <w:widowControl w:val="0"/>
              <w:spacing w:after="40"/>
            </w:pPr>
            <w:r w:rsidRPr="00154A9C">
              <w:t>“Challenging” neck (</w:t>
            </w:r>
            <w:r w:rsidRPr="00154A9C">
              <w:rPr>
                <w:snapToGrid w:val="0"/>
              </w:rPr>
              <w:t>wide neck:&gt;28mm, angulated ≥60</w:t>
            </w:r>
            <w:r w:rsidRPr="00154A9C">
              <w:rPr>
                <w:snapToGrid w:val="0"/>
                <w:vertAlign w:val="superscript"/>
              </w:rPr>
              <w:t>o</w:t>
            </w:r>
            <w:r w:rsidRPr="00154A9C">
              <w:rPr>
                <w:snapToGrid w:val="0"/>
              </w:rPr>
              <w:t>; short neck: neck length &lt;15mm; significant thrombus: ≥50%; reverse tapered neck; or neck bulge</w:t>
            </w:r>
            <w:r w:rsidRPr="00154A9C">
              <w:t xml:space="preserve"> treated with either EVAR (n=74), FEVAR (n=52) or OSR (n=61)</w:t>
            </w:r>
          </w:p>
        </w:tc>
      </w:tr>
      <w:tr w:rsidR="00CB2414" w:rsidRPr="00154A9C" w14:paraId="0C1AD132" w14:textId="77777777" w:rsidTr="00CB2414">
        <w:trPr>
          <w:trHeight w:val="253"/>
        </w:trPr>
        <w:tc>
          <w:tcPr>
            <w:tcW w:w="690" w:type="pct"/>
          </w:tcPr>
          <w:p w14:paraId="528B1396" w14:textId="77777777" w:rsidR="00CB2414" w:rsidRPr="00154A9C" w:rsidRDefault="00CB2414" w:rsidP="00CB2414">
            <w:pPr>
              <w:pStyle w:val="Tabletext"/>
              <w:tabs>
                <w:tab w:val="left" w:pos="177"/>
              </w:tabs>
            </w:pPr>
            <w:r w:rsidRPr="00154A9C">
              <w:t>Heneghan 2016</w:t>
            </w:r>
          </w:p>
        </w:tc>
        <w:tc>
          <w:tcPr>
            <w:tcW w:w="903" w:type="pct"/>
          </w:tcPr>
          <w:p w14:paraId="3C7B33D7" w14:textId="77777777" w:rsidR="00CB2414" w:rsidRPr="00154A9C" w:rsidRDefault="00CB2414" w:rsidP="00CB2414">
            <w:pPr>
              <w:pStyle w:val="Tabletext"/>
              <w:tabs>
                <w:tab w:val="left" w:pos="177"/>
              </w:tabs>
            </w:pPr>
            <w:r w:rsidRPr="00154A9C">
              <w:t xml:space="preserve">Retrospective, single-arm analysis </w:t>
            </w:r>
          </w:p>
        </w:tc>
        <w:tc>
          <w:tcPr>
            <w:tcW w:w="266" w:type="pct"/>
          </w:tcPr>
          <w:p w14:paraId="5D808A7B" w14:textId="77777777" w:rsidR="00CB2414" w:rsidRPr="00154A9C" w:rsidRDefault="00CB2414" w:rsidP="00CB2414">
            <w:pPr>
              <w:pStyle w:val="Tabletext"/>
              <w:tabs>
                <w:tab w:val="left" w:pos="177"/>
              </w:tabs>
              <w:jc w:val="center"/>
            </w:pPr>
            <w:r w:rsidRPr="00154A9C">
              <w:t>49</w:t>
            </w:r>
          </w:p>
        </w:tc>
        <w:tc>
          <w:tcPr>
            <w:tcW w:w="3141" w:type="pct"/>
          </w:tcPr>
          <w:p w14:paraId="274D868C" w14:textId="77777777" w:rsidR="00CB2414" w:rsidRPr="00154A9C" w:rsidRDefault="00CB2414" w:rsidP="00CB2414">
            <w:pPr>
              <w:widowControl w:val="0"/>
              <w:spacing w:after="40"/>
              <w:rPr>
                <w:snapToGrid w:val="0"/>
                <w:lang w:eastAsia="en-US"/>
              </w:rPr>
            </w:pPr>
            <w:r w:rsidRPr="00154A9C">
              <w:rPr>
                <w:snapToGrid w:val="0"/>
                <w:lang w:eastAsia="en-US"/>
              </w:rPr>
              <w:t>FEVAR for juxtarenal AAAs</w:t>
            </w:r>
          </w:p>
          <w:p w14:paraId="642F77FB" w14:textId="77777777" w:rsidR="00CB2414" w:rsidRPr="00154A9C" w:rsidRDefault="00CB2414" w:rsidP="00CB2414">
            <w:pPr>
              <w:pStyle w:val="Tabletext"/>
              <w:tabs>
                <w:tab w:val="left" w:pos="177"/>
              </w:tabs>
            </w:pPr>
          </w:p>
        </w:tc>
      </w:tr>
      <w:tr w:rsidR="00CB2414" w:rsidRPr="00154A9C" w14:paraId="5535DB4A" w14:textId="77777777" w:rsidTr="00CB2414">
        <w:trPr>
          <w:trHeight w:val="253"/>
        </w:trPr>
        <w:tc>
          <w:tcPr>
            <w:tcW w:w="690" w:type="pct"/>
          </w:tcPr>
          <w:p w14:paraId="7BD82C0C" w14:textId="77777777" w:rsidR="00CB2414" w:rsidRPr="00154A9C" w:rsidRDefault="00CB2414" w:rsidP="00CB2414">
            <w:pPr>
              <w:pStyle w:val="Tabletext"/>
              <w:tabs>
                <w:tab w:val="left" w:pos="177"/>
              </w:tabs>
            </w:pPr>
            <w:r w:rsidRPr="00154A9C">
              <w:t>Maeda 2017</w:t>
            </w:r>
          </w:p>
        </w:tc>
        <w:tc>
          <w:tcPr>
            <w:tcW w:w="903" w:type="pct"/>
          </w:tcPr>
          <w:p w14:paraId="2F1ED41A" w14:textId="77777777" w:rsidR="00CB2414" w:rsidRPr="00154A9C" w:rsidRDefault="00CB2414" w:rsidP="00CB2414">
            <w:pPr>
              <w:pStyle w:val="Tabletext"/>
              <w:tabs>
                <w:tab w:val="left" w:pos="177"/>
              </w:tabs>
            </w:pPr>
            <w:r w:rsidRPr="00154A9C">
              <w:t xml:space="preserve">Retrospective, </w:t>
            </w:r>
            <w:r w:rsidRPr="00154A9C">
              <w:rPr>
                <w:bCs/>
              </w:rPr>
              <w:t>non-randomised</w:t>
            </w:r>
            <w:r w:rsidRPr="00154A9C">
              <w:t>, comparative study</w:t>
            </w:r>
          </w:p>
        </w:tc>
        <w:tc>
          <w:tcPr>
            <w:tcW w:w="266" w:type="pct"/>
          </w:tcPr>
          <w:p w14:paraId="4CBBBA25" w14:textId="77777777" w:rsidR="00CB2414" w:rsidRPr="00154A9C" w:rsidRDefault="00CB2414" w:rsidP="00CB2414">
            <w:pPr>
              <w:pStyle w:val="Tabletext"/>
              <w:tabs>
                <w:tab w:val="left" w:pos="177"/>
              </w:tabs>
              <w:jc w:val="center"/>
            </w:pPr>
            <w:r w:rsidRPr="00154A9C">
              <w:t>152</w:t>
            </w:r>
          </w:p>
        </w:tc>
        <w:tc>
          <w:tcPr>
            <w:tcW w:w="3141" w:type="pct"/>
          </w:tcPr>
          <w:p w14:paraId="58E0E8F8" w14:textId="77777777" w:rsidR="00CB2414" w:rsidRPr="00154A9C" w:rsidRDefault="00CB2414" w:rsidP="00CB2414">
            <w:pPr>
              <w:spacing w:after="40"/>
              <w:jc w:val="both"/>
            </w:pPr>
            <w:r w:rsidRPr="00154A9C">
              <w:t>Juxtarenal AAAs, defined as juxtarenal aneurysm with a short proximal neck &lt;1.0 cm treated with OSR (n=81) or complex EVAR (n=71).</w:t>
            </w:r>
          </w:p>
          <w:p w14:paraId="47564F87" w14:textId="77777777" w:rsidR="00CB2414" w:rsidRPr="00154A9C" w:rsidRDefault="00CB2414" w:rsidP="00CB2414">
            <w:pPr>
              <w:pStyle w:val="Tabletext"/>
              <w:tabs>
                <w:tab w:val="left" w:pos="177"/>
              </w:tabs>
            </w:pPr>
          </w:p>
        </w:tc>
      </w:tr>
      <w:tr w:rsidR="00CB2414" w:rsidRPr="00154A9C" w14:paraId="3C01AA00" w14:textId="77777777" w:rsidTr="00CB2414">
        <w:trPr>
          <w:trHeight w:val="253"/>
        </w:trPr>
        <w:tc>
          <w:tcPr>
            <w:tcW w:w="690" w:type="pct"/>
          </w:tcPr>
          <w:p w14:paraId="0E2A7948" w14:textId="77777777" w:rsidR="00CB2414" w:rsidRPr="00154A9C" w:rsidRDefault="00CB2414" w:rsidP="00CB2414">
            <w:pPr>
              <w:pStyle w:val="Tabletext"/>
              <w:tabs>
                <w:tab w:val="left" w:pos="177"/>
              </w:tabs>
            </w:pPr>
            <w:r w:rsidRPr="00154A9C">
              <w:t>Oderich 2014</w:t>
            </w:r>
          </w:p>
        </w:tc>
        <w:tc>
          <w:tcPr>
            <w:tcW w:w="903" w:type="pct"/>
          </w:tcPr>
          <w:p w14:paraId="0E7B7901" w14:textId="77777777" w:rsidR="00CB2414" w:rsidRPr="00154A9C" w:rsidRDefault="00CB2414" w:rsidP="00CB2414">
            <w:pPr>
              <w:pStyle w:val="Tabletext"/>
              <w:tabs>
                <w:tab w:val="left" w:pos="177"/>
              </w:tabs>
            </w:pPr>
            <w:r w:rsidRPr="00154A9C">
              <w:t>Prospective, single-arm trial</w:t>
            </w:r>
          </w:p>
        </w:tc>
        <w:tc>
          <w:tcPr>
            <w:tcW w:w="266" w:type="pct"/>
          </w:tcPr>
          <w:p w14:paraId="31DDD788" w14:textId="77777777" w:rsidR="00CB2414" w:rsidRPr="00154A9C" w:rsidRDefault="00CB2414" w:rsidP="00CB2414">
            <w:pPr>
              <w:pStyle w:val="Tabletext"/>
              <w:tabs>
                <w:tab w:val="left" w:pos="177"/>
              </w:tabs>
              <w:jc w:val="center"/>
            </w:pPr>
            <w:r w:rsidRPr="00154A9C">
              <w:t>67</w:t>
            </w:r>
          </w:p>
        </w:tc>
        <w:tc>
          <w:tcPr>
            <w:tcW w:w="3141" w:type="pct"/>
          </w:tcPr>
          <w:p w14:paraId="26A250C7" w14:textId="77777777" w:rsidR="00CB2414" w:rsidRPr="00154A9C" w:rsidRDefault="00CB2414" w:rsidP="00CB2414">
            <w:pPr>
              <w:spacing w:after="40"/>
              <w:jc w:val="both"/>
            </w:pPr>
            <w:r w:rsidRPr="00154A9C">
              <w:t xml:space="preserve">Juxtarenal AAA (aortic aneurysm with diameter ≥5cm and aortic aneurysm with a history of growth ≥0.5cm per year or clinical indication for AAA repair) </w:t>
            </w:r>
          </w:p>
        </w:tc>
      </w:tr>
      <w:tr w:rsidR="00CB2414" w:rsidRPr="00154A9C" w14:paraId="4190D91F" w14:textId="77777777" w:rsidTr="00CB2414">
        <w:trPr>
          <w:trHeight w:val="253"/>
        </w:trPr>
        <w:tc>
          <w:tcPr>
            <w:tcW w:w="690" w:type="pct"/>
          </w:tcPr>
          <w:p w14:paraId="26E39552" w14:textId="77777777" w:rsidR="00CB2414" w:rsidRPr="00154A9C" w:rsidRDefault="00CB2414" w:rsidP="00CB2414">
            <w:pPr>
              <w:pStyle w:val="Tabletext"/>
              <w:tabs>
                <w:tab w:val="left" w:pos="177"/>
              </w:tabs>
            </w:pPr>
            <w:r w:rsidRPr="00154A9C">
              <w:t>O’Neill 2006</w:t>
            </w:r>
          </w:p>
        </w:tc>
        <w:tc>
          <w:tcPr>
            <w:tcW w:w="903" w:type="pct"/>
          </w:tcPr>
          <w:p w14:paraId="03E44408" w14:textId="77777777" w:rsidR="00CB2414" w:rsidRPr="00154A9C" w:rsidRDefault="00CB2414" w:rsidP="00CB2414">
            <w:pPr>
              <w:pStyle w:val="Tabletext"/>
              <w:tabs>
                <w:tab w:val="left" w:pos="177"/>
              </w:tabs>
            </w:pPr>
            <w:r w:rsidRPr="00154A9C">
              <w:t>Prospective, single-arm trial</w:t>
            </w:r>
          </w:p>
        </w:tc>
        <w:tc>
          <w:tcPr>
            <w:tcW w:w="266" w:type="pct"/>
          </w:tcPr>
          <w:p w14:paraId="6712A731" w14:textId="77777777" w:rsidR="00CB2414" w:rsidRPr="00154A9C" w:rsidRDefault="00CB2414" w:rsidP="00CB2414">
            <w:pPr>
              <w:pStyle w:val="Tabletext"/>
              <w:tabs>
                <w:tab w:val="left" w:pos="177"/>
              </w:tabs>
              <w:jc w:val="center"/>
            </w:pPr>
            <w:r w:rsidRPr="00154A9C">
              <w:t>119</w:t>
            </w:r>
          </w:p>
        </w:tc>
        <w:tc>
          <w:tcPr>
            <w:tcW w:w="3141" w:type="pct"/>
          </w:tcPr>
          <w:p w14:paraId="51A4FD28" w14:textId="77777777" w:rsidR="00CB2414" w:rsidRPr="00154A9C" w:rsidRDefault="00CB2414" w:rsidP="00CB2414">
            <w:pPr>
              <w:pStyle w:val="Tabletext"/>
              <w:tabs>
                <w:tab w:val="left" w:pos="177"/>
              </w:tabs>
            </w:pPr>
            <w:r w:rsidRPr="00154A9C">
              <w:t>Short proximal necks, considered high-risk for open surgery and unacceptable for conventional endovascular repair</w:t>
            </w:r>
          </w:p>
        </w:tc>
      </w:tr>
      <w:tr w:rsidR="00CB2414" w:rsidRPr="00154A9C" w14:paraId="6F206B13" w14:textId="77777777" w:rsidTr="00CB2414">
        <w:trPr>
          <w:trHeight w:val="253"/>
        </w:trPr>
        <w:tc>
          <w:tcPr>
            <w:tcW w:w="690" w:type="pct"/>
          </w:tcPr>
          <w:p w14:paraId="6CE6622F" w14:textId="77777777" w:rsidR="00CB2414" w:rsidRPr="00154A9C" w:rsidRDefault="00CB2414" w:rsidP="00CB2414">
            <w:pPr>
              <w:pStyle w:val="Tabletext"/>
              <w:tabs>
                <w:tab w:val="left" w:pos="177"/>
              </w:tabs>
            </w:pPr>
            <w:r w:rsidRPr="00154A9C">
              <w:t>Saratzis 2015</w:t>
            </w:r>
          </w:p>
        </w:tc>
        <w:tc>
          <w:tcPr>
            <w:tcW w:w="903" w:type="pct"/>
          </w:tcPr>
          <w:p w14:paraId="5D51A2CD" w14:textId="77777777" w:rsidR="00CB2414" w:rsidRPr="00154A9C" w:rsidRDefault="00CB2414" w:rsidP="00CB2414">
            <w:pPr>
              <w:pStyle w:val="Tabletext"/>
              <w:tabs>
                <w:tab w:val="left" w:pos="177"/>
              </w:tabs>
            </w:pPr>
            <w:r w:rsidRPr="00154A9C">
              <w:t>Prospective, case-controlled registry trial</w:t>
            </w:r>
          </w:p>
        </w:tc>
        <w:tc>
          <w:tcPr>
            <w:tcW w:w="266" w:type="pct"/>
          </w:tcPr>
          <w:p w14:paraId="1FDF8AE2" w14:textId="77777777" w:rsidR="00CB2414" w:rsidRPr="00154A9C" w:rsidRDefault="00CB2414" w:rsidP="00CB2414">
            <w:pPr>
              <w:pStyle w:val="Tabletext"/>
              <w:tabs>
                <w:tab w:val="left" w:pos="177"/>
              </w:tabs>
              <w:jc w:val="center"/>
            </w:pPr>
            <w:r w:rsidRPr="00154A9C">
              <w:t>116</w:t>
            </w:r>
          </w:p>
        </w:tc>
        <w:tc>
          <w:tcPr>
            <w:tcW w:w="3141" w:type="pct"/>
          </w:tcPr>
          <w:p w14:paraId="5DDFD5F8" w14:textId="77777777" w:rsidR="00CB2414" w:rsidRPr="00154A9C" w:rsidRDefault="00CB2414" w:rsidP="00CB2414">
            <w:pPr>
              <w:pStyle w:val="Tabletext"/>
              <w:tabs>
                <w:tab w:val="left" w:pos="177"/>
              </w:tabs>
            </w:pPr>
            <w:r w:rsidRPr="00154A9C">
              <w:t>Juxtarenal AAA or short neck AAA undergoing FEVAR (n=58) or open surgery (n=58)</w:t>
            </w:r>
          </w:p>
        </w:tc>
      </w:tr>
      <w:tr w:rsidR="00CB2414" w:rsidRPr="00154A9C" w14:paraId="02AC5899" w14:textId="77777777" w:rsidTr="00CB2414">
        <w:trPr>
          <w:trHeight w:val="253"/>
        </w:trPr>
        <w:tc>
          <w:tcPr>
            <w:tcW w:w="690" w:type="pct"/>
          </w:tcPr>
          <w:p w14:paraId="49B8ABE4" w14:textId="77777777" w:rsidR="00CB2414" w:rsidRPr="00154A9C" w:rsidRDefault="00CB2414" w:rsidP="00CB2414">
            <w:pPr>
              <w:pStyle w:val="Tabletext"/>
              <w:tabs>
                <w:tab w:val="left" w:pos="177"/>
              </w:tabs>
            </w:pPr>
            <w:r w:rsidRPr="00154A9C">
              <w:t>Scurr 2008</w:t>
            </w:r>
          </w:p>
        </w:tc>
        <w:tc>
          <w:tcPr>
            <w:tcW w:w="903" w:type="pct"/>
          </w:tcPr>
          <w:p w14:paraId="4CA72A8F" w14:textId="77777777" w:rsidR="00CB2414" w:rsidRPr="00154A9C" w:rsidRDefault="00CB2414" w:rsidP="00CB2414">
            <w:pPr>
              <w:pStyle w:val="Tabletext"/>
              <w:tabs>
                <w:tab w:val="left" w:pos="177"/>
              </w:tabs>
            </w:pPr>
            <w:r w:rsidRPr="00154A9C">
              <w:t>Single-arm, observational study</w:t>
            </w:r>
          </w:p>
        </w:tc>
        <w:tc>
          <w:tcPr>
            <w:tcW w:w="266" w:type="pct"/>
          </w:tcPr>
          <w:p w14:paraId="44189CE5" w14:textId="77777777" w:rsidR="00CB2414" w:rsidRPr="00154A9C" w:rsidRDefault="00CB2414" w:rsidP="00CB2414">
            <w:pPr>
              <w:pStyle w:val="Tabletext"/>
              <w:tabs>
                <w:tab w:val="left" w:pos="177"/>
              </w:tabs>
              <w:jc w:val="center"/>
            </w:pPr>
            <w:r w:rsidRPr="00154A9C">
              <w:t>45</w:t>
            </w:r>
          </w:p>
        </w:tc>
        <w:tc>
          <w:tcPr>
            <w:tcW w:w="3141" w:type="pct"/>
          </w:tcPr>
          <w:p w14:paraId="7F47DB13" w14:textId="77777777" w:rsidR="00CB2414" w:rsidRPr="00154A9C" w:rsidRDefault="00CB2414" w:rsidP="00CB2414">
            <w:pPr>
              <w:pStyle w:val="Tabletext"/>
              <w:tabs>
                <w:tab w:val="left" w:pos="177"/>
              </w:tabs>
            </w:pPr>
            <w:r w:rsidRPr="00154A9C">
              <w:t>Juxtarenal AAA with infrarenal neck anatomy unsuitable for a standard stent-graft</w:t>
            </w:r>
          </w:p>
        </w:tc>
      </w:tr>
      <w:tr w:rsidR="00CB2414" w:rsidRPr="00154A9C" w14:paraId="44870CE0" w14:textId="77777777" w:rsidTr="00CB2414">
        <w:trPr>
          <w:trHeight w:val="253"/>
        </w:trPr>
        <w:tc>
          <w:tcPr>
            <w:tcW w:w="690" w:type="pct"/>
          </w:tcPr>
          <w:p w14:paraId="28CFA041" w14:textId="77777777" w:rsidR="00CB2414" w:rsidRPr="00154A9C" w:rsidRDefault="00CB2414" w:rsidP="00CB2414">
            <w:pPr>
              <w:pStyle w:val="Tabletext"/>
              <w:tabs>
                <w:tab w:val="left" w:pos="177"/>
              </w:tabs>
            </w:pPr>
            <w:r w:rsidRPr="00154A9C">
              <w:t>Starnes 2017</w:t>
            </w:r>
          </w:p>
        </w:tc>
        <w:tc>
          <w:tcPr>
            <w:tcW w:w="903" w:type="pct"/>
          </w:tcPr>
          <w:p w14:paraId="404399B5" w14:textId="77777777" w:rsidR="00CB2414" w:rsidRPr="00154A9C" w:rsidRDefault="00CB2414" w:rsidP="00CB2414">
            <w:pPr>
              <w:pStyle w:val="Tabletext"/>
              <w:tabs>
                <w:tab w:val="left" w:pos="177"/>
              </w:tabs>
            </w:pPr>
            <w:r w:rsidRPr="00154A9C">
              <w:t>Prospective, single-arm study</w:t>
            </w:r>
          </w:p>
        </w:tc>
        <w:tc>
          <w:tcPr>
            <w:tcW w:w="266" w:type="pct"/>
          </w:tcPr>
          <w:p w14:paraId="7C6C9928" w14:textId="77777777" w:rsidR="00CB2414" w:rsidRPr="00154A9C" w:rsidRDefault="00CB2414" w:rsidP="00CB2414">
            <w:pPr>
              <w:pStyle w:val="Tabletext"/>
              <w:tabs>
                <w:tab w:val="left" w:pos="177"/>
              </w:tabs>
              <w:jc w:val="center"/>
            </w:pPr>
            <w:r w:rsidRPr="00154A9C">
              <w:t>59</w:t>
            </w:r>
          </w:p>
        </w:tc>
        <w:tc>
          <w:tcPr>
            <w:tcW w:w="3141" w:type="pct"/>
          </w:tcPr>
          <w:p w14:paraId="6D3C7CA7" w14:textId="77777777" w:rsidR="00CB2414" w:rsidRPr="00154A9C" w:rsidRDefault="00CB2414" w:rsidP="00CB2414">
            <w:pPr>
              <w:pStyle w:val="Tabletext"/>
              <w:tabs>
                <w:tab w:val="left" w:pos="177"/>
              </w:tabs>
            </w:pPr>
            <w:r w:rsidRPr="00154A9C">
              <w:t>Juxtarenal AAA &gt;5.0cm or with recent evidence of rapid growth, deemed unfit for open surgery and American Society of Anaesthesiologists class ≥3</w:t>
            </w:r>
          </w:p>
        </w:tc>
      </w:tr>
      <w:tr w:rsidR="00CB2414" w:rsidRPr="00154A9C" w14:paraId="5982204E" w14:textId="77777777" w:rsidTr="00CB2414">
        <w:trPr>
          <w:trHeight w:val="253"/>
        </w:trPr>
        <w:tc>
          <w:tcPr>
            <w:tcW w:w="690" w:type="pct"/>
          </w:tcPr>
          <w:p w14:paraId="0C05D11C" w14:textId="77777777" w:rsidR="00CB2414" w:rsidRPr="00154A9C" w:rsidRDefault="00CB2414" w:rsidP="00CB2414">
            <w:pPr>
              <w:pStyle w:val="Tabletext"/>
              <w:tabs>
                <w:tab w:val="left" w:pos="177"/>
              </w:tabs>
            </w:pPr>
            <w:r w:rsidRPr="00154A9C">
              <w:lastRenderedPageBreak/>
              <w:t>Vemuri 2014</w:t>
            </w:r>
          </w:p>
        </w:tc>
        <w:tc>
          <w:tcPr>
            <w:tcW w:w="903" w:type="pct"/>
          </w:tcPr>
          <w:p w14:paraId="5633C995" w14:textId="77777777" w:rsidR="00CB2414" w:rsidRPr="00154A9C" w:rsidRDefault="00CB2414" w:rsidP="00CB2414">
            <w:pPr>
              <w:pStyle w:val="Tabletext"/>
              <w:tabs>
                <w:tab w:val="left" w:pos="177"/>
              </w:tabs>
            </w:pPr>
            <w:r w:rsidRPr="00154A9C">
              <w:t>Retrospective, comparative review</w:t>
            </w:r>
          </w:p>
        </w:tc>
        <w:tc>
          <w:tcPr>
            <w:tcW w:w="266" w:type="pct"/>
          </w:tcPr>
          <w:p w14:paraId="1BC92BA1" w14:textId="77777777" w:rsidR="00CB2414" w:rsidRPr="00154A9C" w:rsidRDefault="00CB2414" w:rsidP="00CB2414">
            <w:pPr>
              <w:pStyle w:val="Tabletext"/>
              <w:tabs>
                <w:tab w:val="left" w:pos="177"/>
              </w:tabs>
              <w:jc w:val="center"/>
            </w:pPr>
            <w:r w:rsidRPr="00154A9C">
              <w:t>99</w:t>
            </w:r>
          </w:p>
        </w:tc>
        <w:tc>
          <w:tcPr>
            <w:tcW w:w="3141" w:type="pct"/>
          </w:tcPr>
          <w:p w14:paraId="0F9B7271" w14:textId="77777777" w:rsidR="00CB2414" w:rsidRPr="00154A9C" w:rsidRDefault="00CB2414" w:rsidP="00CB2414">
            <w:pPr>
              <w:pStyle w:val="Tabletext"/>
              <w:tabs>
                <w:tab w:val="left" w:pos="177"/>
              </w:tabs>
            </w:pPr>
            <w:r w:rsidRPr="00154A9C">
              <w:t>AAA undergoing FEVAR (n=57) compared with comparative zFEN trial patients (n=42)</w:t>
            </w:r>
          </w:p>
        </w:tc>
      </w:tr>
      <w:tr w:rsidR="00CB2414" w:rsidRPr="00154A9C" w14:paraId="1E721B2E" w14:textId="77777777" w:rsidTr="00CB2414">
        <w:trPr>
          <w:trHeight w:val="253"/>
        </w:trPr>
        <w:tc>
          <w:tcPr>
            <w:tcW w:w="690" w:type="pct"/>
            <w:tcBorders>
              <w:bottom w:val="single" w:sz="4" w:space="0" w:color="auto"/>
            </w:tcBorders>
          </w:tcPr>
          <w:p w14:paraId="701E4692" w14:textId="77777777" w:rsidR="00CB2414" w:rsidRPr="00154A9C" w:rsidRDefault="00CB2414" w:rsidP="00CB2414">
            <w:pPr>
              <w:pStyle w:val="Tabletext"/>
              <w:tabs>
                <w:tab w:val="left" w:pos="177"/>
              </w:tabs>
            </w:pPr>
            <w:r w:rsidRPr="00154A9C">
              <w:t>Wooster 2017</w:t>
            </w:r>
          </w:p>
        </w:tc>
        <w:tc>
          <w:tcPr>
            <w:tcW w:w="903" w:type="pct"/>
            <w:tcBorders>
              <w:bottom w:val="single" w:sz="4" w:space="0" w:color="auto"/>
            </w:tcBorders>
          </w:tcPr>
          <w:p w14:paraId="54864101" w14:textId="77777777" w:rsidR="00CB2414" w:rsidRPr="00154A9C" w:rsidRDefault="00CB2414" w:rsidP="00CB2414">
            <w:pPr>
              <w:pStyle w:val="Tabletext"/>
              <w:tabs>
                <w:tab w:val="left" w:pos="177"/>
              </w:tabs>
            </w:pPr>
            <w:r w:rsidRPr="00154A9C">
              <w:t>Retrospective, comparative review</w:t>
            </w:r>
          </w:p>
        </w:tc>
        <w:tc>
          <w:tcPr>
            <w:tcW w:w="266" w:type="pct"/>
            <w:tcBorders>
              <w:bottom w:val="single" w:sz="4" w:space="0" w:color="auto"/>
            </w:tcBorders>
          </w:tcPr>
          <w:p w14:paraId="3D78A7D8" w14:textId="77777777" w:rsidR="00CB2414" w:rsidRPr="00154A9C" w:rsidRDefault="00CB2414" w:rsidP="00CB2414">
            <w:pPr>
              <w:pStyle w:val="Tabletext"/>
              <w:tabs>
                <w:tab w:val="left" w:pos="177"/>
              </w:tabs>
              <w:jc w:val="center"/>
            </w:pPr>
            <w:r w:rsidRPr="00154A9C">
              <w:t>93</w:t>
            </w:r>
          </w:p>
        </w:tc>
        <w:tc>
          <w:tcPr>
            <w:tcW w:w="3141" w:type="pct"/>
            <w:tcBorders>
              <w:bottom w:val="single" w:sz="4" w:space="0" w:color="auto"/>
            </w:tcBorders>
          </w:tcPr>
          <w:p w14:paraId="58CBD332" w14:textId="77777777" w:rsidR="00CB2414" w:rsidRPr="00154A9C" w:rsidRDefault="00CB2414" w:rsidP="00CB2414">
            <w:pPr>
              <w:pStyle w:val="Tabletext"/>
              <w:tabs>
                <w:tab w:val="left" w:pos="177"/>
              </w:tabs>
            </w:pPr>
            <w:r w:rsidRPr="00154A9C">
              <w:t xml:space="preserve">Juxtarenal AAA (aneurysm dilation extending to within 4 mm of the lowest renal artery but not more proximal than the highest renal artery) treated with parallel endografting (n=54) or zFEN (n=39) </w:t>
            </w:r>
          </w:p>
        </w:tc>
      </w:tr>
      <w:tr w:rsidR="00CB2414" w:rsidRPr="00154A9C" w14:paraId="2E0A09C1" w14:textId="77777777" w:rsidTr="00CB2414">
        <w:trPr>
          <w:trHeight w:val="253"/>
        </w:trPr>
        <w:tc>
          <w:tcPr>
            <w:tcW w:w="690" w:type="pct"/>
            <w:tcBorders>
              <w:right w:val="nil"/>
            </w:tcBorders>
          </w:tcPr>
          <w:p w14:paraId="1A896A69" w14:textId="77777777" w:rsidR="00CB2414" w:rsidRPr="00154A9C" w:rsidRDefault="00CB2414" w:rsidP="00CB2414">
            <w:pPr>
              <w:pStyle w:val="Tabletext"/>
              <w:tabs>
                <w:tab w:val="left" w:pos="177"/>
              </w:tabs>
              <w:rPr>
                <w:b/>
                <w:bCs/>
              </w:rPr>
            </w:pPr>
            <w:r w:rsidRPr="00154A9C">
              <w:rPr>
                <w:b/>
                <w:bCs/>
              </w:rPr>
              <w:t>Population 2 comparator</w:t>
            </w:r>
          </w:p>
        </w:tc>
        <w:tc>
          <w:tcPr>
            <w:tcW w:w="903" w:type="pct"/>
            <w:tcBorders>
              <w:left w:val="nil"/>
              <w:right w:val="nil"/>
            </w:tcBorders>
          </w:tcPr>
          <w:p w14:paraId="24C4088D" w14:textId="77777777" w:rsidR="00CB2414" w:rsidRPr="00154A9C" w:rsidRDefault="00CB2414" w:rsidP="00CB2414">
            <w:pPr>
              <w:pStyle w:val="Tabletext"/>
              <w:tabs>
                <w:tab w:val="left" w:pos="177"/>
              </w:tabs>
            </w:pPr>
          </w:p>
        </w:tc>
        <w:tc>
          <w:tcPr>
            <w:tcW w:w="266" w:type="pct"/>
            <w:tcBorders>
              <w:left w:val="nil"/>
              <w:right w:val="nil"/>
            </w:tcBorders>
          </w:tcPr>
          <w:p w14:paraId="0F88CADD" w14:textId="77777777" w:rsidR="00CB2414" w:rsidRPr="00154A9C" w:rsidRDefault="00CB2414" w:rsidP="00CB2414">
            <w:pPr>
              <w:pStyle w:val="Tabletext"/>
              <w:tabs>
                <w:tab w:val="left" w:pos="177"/>
              </w:tabs>
            </w:pPr>
          </w:p>
        </w:tc>
        <w:tc>
          <w:tcPr>
            <w:tcW w:w="3141" w:type="pct"/>
            <w:tcBorders>
              <w:left w:val="nil"/>
            </w:tcBorders>
          </w:tcPr>
          <w:p w14:paraId="0DDB3843" w14:textId="77777777" w:rsidR="00CB2414" w:rsidRPr="00154A9C" w:rsidRDefault="00CB2414" w:rsidP="00CB2414">
            <w:pPr>
              <w:pStyle w:val="Tabletext"/>
              <w:tabs>
                <w:tab w:val="left" w:pos="177"/>
              </w:tabs>
            </w:pPr>
          </w:p>
        </w:tc>
      </w:tr>
      <w:tr w:rsidR="00CB2414" w:rsidRPr="00154A9C" w14:paraId="41786F6D" w14:textId="77777777" w:rsidTr="00CB2414">
        <w:trPr>
          <w:trHeight w:val="253"/>
        </w:trPr>
        <w:tc>
          <w:tcPr>
            <w:tcW w:w="690" w:type="pct"/>
          </w:tcPr>
          <w:p w14:paraId="5224F96B" w14:textId="77777777" w:rsidR="00CB2414" w:rsidRPr="00154A9C" w:rsidRDefault="00CB2414" w:rsidP="00CB2414">
            <w:pPr>
              <w:pStyle w:val="Tabletext"/>
              <w:tabs>
                <w:tab w:val="left" w:pos="177"/>
              </w:tabs>
            </w:pPr>
            <w:r w:rsidRPr="00154A9C">
              <w:t>Nabi 2009</w:t>
            </w:r>
          </w:p>
        </w:tc>
        <w:tc>
          <w:tcPr>
            <w:tcW w:w="903" w:type="pct"/>
          </w:tcPr>
          <w:p w14:paraId="6F816292" w14:textId="77777777" w:rsidR="00CB2414" w:rsidRPr="00154A9C" w:rsidRDefault="00CB2414" w:rsidP="00CB2414">
            <w:pPr>
              <w:pStyle w:val="Tabletext"/>
              <w:tabs>
                <w:tab w:val="left" w:pos="177"/>
              </w:tabs>
            </w:pPr>
            <w:r w:rsidRPr="00154A9C">
              <w:t>Retrospective, case series, single centre</w:t>
            </w:r>
          </w:p>
        </w:tc>
        <w:tc>
          <w:tcPr>
            <w:tcW w:w="266" w:type="pct"/>
          </w:tcPr>
          <w:p w14:paraId="51AF8009" w14:textId="77777777" w:rsidR="00CB2414" w:rsidRPr="00154A9C" w:rsidRDefault="00CB2414" w:rsidP="00CB2414">
            <w:pPr>
              <w:pStyle w:val="Tabletext"/>
              <w:tabs>
                <w:tab w:val="left" w:pos="177"/>
              </w:tabs>
              <w:jc w:val="center"/>
            </w:pPr>
            <w:r w:rsidRPr="00154A9C">
              <w:t>12</w:t>
            </w:r>
          </w:p>
        </w:tc>
        <w:tc>
          <w:tcPr>
            <w:tcW w:w="3141" w:type="pct"/>
          </w:tcPr>
          <w:p w14:paraId="54CFC2FE" w14:textId="77777777" w:rsidR="00CB2414" w:rsidRPr="00154A9C" w:rsidRDefault="00CB2414" w:rsidP="00CB2414">
            <w:pPr>
              <w:spacing w:after="40"/>
            </w:pPr>
            <w:r w:rsidRPr="00154A9C">
              <w:t>EVAR with Type Ia endoleak</w:t>
            </w:r>
          </w:p>
        </w:tc>
      </w:tr>
      <w:tr w:rsidR="00CB2414" w:rsidRPr="00154A9C" w14:paraId="0884002A" w14:textId="77777777" w:rsidTr="00CB2414">
        <w:trPr>
          <w:trHeight w:val="253"/>
        </w:trPr>
        <w:tc>
          <w:tcPr>
            <w:tcW w:w="690" w:type="pct"/>
          </w:tcPr>
          <w:p w14:paraId="44578AAE" w14:textId="77777777" w:rsidR="00CB2414" w:rsidRPr="00154A9C" w:rsidRDefault="00CB2414" w:rsidP="00CB2414">
            <w:pPr>
              <w:pStyle w:val="Tabletext"/>
              <w:tabs>
                <w:tab w:val="left" w:pos="177"/>
              </w:tabs>
            </w:pPr>
            <w:r w:rsidRPr="00154A9C">
              <w:t>Scali 2014</w:t>
            </w:r>
          </w:p>
        </w:tc>
        <w:tc>
          <w:tcPr>
            <w:tcW w:w="903" w:type="pct"/>
          </w:tcPr>
          <w:p w14:paraId="6D700622" w14:textId="77777777" w:rsidR="00CB2414" w:rsidRPr="00154A9C" w:rsidRDefault="00CB2414" w:rsidP="00CB2414">
            <w:pPr>
              <w:pStyle w:val="Tabletext"/>
              <w:tabs>
                <w:tab w:val="left" w:pos="177"/>
              </w:tabs>
            </w:pPr>
            <w:r w:rsidRPr="00154A9C">
              <w:t>Retrospective, case series, single centre</w:t>
            </w:r>
          </w:p>
        </w:tc>
        <w:tc>
          <w:tcPr>
            <w:tcW w:w="266" w:type="pct"/>
          </w:tcPr>
          <w:p w14:paraId="7DA826C8" w14:textId="77777777" w:rsidR="00CB2414" w:rsidRPr="00154A9C" w:rsidRDefault="00CB2414" w:rsidP="00CB2414">
            <w:pPr>
              <w:pStyle w:val="Tabletext"/>
              <w:tabs>
                <w:tab w:val="left" w:pos="177"/>
              </w:tabs>
              <w:jc w:val="center"/>
            </w:pPr>
            <w:r w:rsidRPr="00154A9C">
              <w:t>25</w:t>
            </w:r>
          </w:p>
        </w:tc>
        <w:tc>
          <w:tcPr>
            <w:tcW w:w="3141" w:type="pct"/>
          </w:tcPr>
          <w:p w14:paraId="36E4BE2B" w14:textId="77777777" w:rsidR="00CB2414" w:rsidRPr="00154A9C" w:rsidRDefault="00CB2414" w:rsidP="00CB2414">
            <w:pPr>
              <w:spacing w:after="40"/>
              <w:jc w:val="both"/>
            </w:pPr>
            <w:r w:rsidRPr="00154A9C">
              <w:t>Type Ia endoleak who had open conversion</w:t>
            </w:r>
          </w:p>
          <w:p w14:paraId="006046AD" w14:textId="77777777" w:rsidR="00CB2414" w:rsidRPr="00154A9C" w:rsidRDefault="00CB2414" w:rsidP="00CB2414">
            <w:pPr>
              <w:pStyle w:val="Tabletext"/>
              <w:tabs>
                <w:tab w:val="left" w:pos="177"/>
              </w:tabs>
            </w:pPr>
          </w:p>
        </w:tc>
      </w:tr>
      <w:tr w:rsidR="00CB2414" w:rsidRPr="00154A9C" w14:paraId="1584FBE0" w14:textId="77777777" w:rsidTr="00CB2414">
        <w:trPr>
          <w:trHeight w:val="253"/>
        </w:trPr>
        <w:tc>
          <w:tcPr>
            <w:tcW w:w="690" w:type="pct"/>
          </w:tcPr>
          <w:p w14:paraId="4B071045" w14:textId="77777777" w:rsidR="00CB2414" w:rsidRPr="00154A9C" w:rsidRDefault="00CB2414" w:rsidP="00CB2414">
            <w:pPr>
              <w:pStyle w:val="Tabletext"/>
              <w:tabs>
                <w:tab w:val="left" w:pos="177"/>
              </w:tabs>
            </w:pPr>
            <w:r w:rsidRPr="00154A9C">
              <w:t>Azizzadeh 2005</w:t>
            </w:r>
          </w:p>
        </w:tc>
        <w:tc>
          <w:tcPr>
            <w:tcW w:w="903" w:type="pct"/>
          </w:tcPr>
          <w:p w14:paraId="6907F415" w14:textId="77777777" w:rsidR="00CB2414" w:rsidRPr="00154A9C" w:rsidRDefault="00CB2414" w:rsidP="00CB2414">
            <w:pPr>
              <w:pStyle w:val="Tabletext"/>
              <w:tabs>
                <w:tab w:val="left" w:pos="177"/>
              </w:tabs>
            </w:pPr>
            <w:r w:rsidRPr="00154A9C">
              <w:t>Retrospective, case series, single centre</w:t>
            </w:r>
          </w:p>
        </w:tc>
        <w:tc>
          <w:tcPr>
            <w:tcW w:w="266" w:type="pct"/>
          </w:tcPr>
          <w:p w14:paraId="712BB00E" w14:textId="77777777" w:rsidR="00CB2414" w:rsidRPr="00154A9C" w:rsidRDefault="00CB2414" w:rsidP="00CB2414">
            <w:pPr>
              <w:pStyle w:val="Tabletext"/>
              <w:tabs>
                <w:tab w:val="left" w:pos="177"/>
              </w:tabs>
              <w:jc w:val="center"/>
            </w:pPr>
            <w:r w:rsidRPr="00154A9C">
              <w:t>20</w:t>
            </w:r>
          </w:p>
        </w:tc>
        <w:tc>
          <w:tcPr>
            <w:tcW w:w="3141" w:type="pct"/>
          </w:tcPr>
          <w:p w14:paraId="340DEE8A" w14:textId="77777777" w:rsidR="00CB2414" w:rsidRPr="00154A9C" w:rsidRDefault="00CB2414" w:rsidP="00CB2414">
            <w:pPr>
              <w:pStyle w:val="Tabletext"/>
              <w:tabs>
                <w:tab w:val="left" w:pos="177"/>
              </w:tabs>
            </w:pPr>
            <w:r w:rsidRPr="00154A9C">
              <w:t>Proximal attachment failure; defined as Type Ia endoleak, Type III endoleak or inadequate seal zone &lt;10 mm</w:t>
            </w:r>
          </w:p>
        </w:tc>
      </w:tr>
      <w:tr w:rsidR="00CB2414" w:rsidRPr="00154A9C" w14:paraId="610C9F24" w14:textId="77777777" w:rsidTr="00CB2414">
        <w:trPr>
          <w:trHeight w:val="253"/>
        </w:trPr>
        <w:tc>
          <w:tcPr>
            <w:tcW w:w="690" w:type="pct"/>
          </w:tcPr>
          <w:p w14:paraId="29BF8EC0" w14:textId="77777777" w:rsidR="00CB2414" w:rsidRPr="00154A9C" w:rsidRDefault="00CB2414" w:rsidP="00CB2414">
            <w:pPr>
              <w:pStyle w:val="Tabletext"/>
              <w:tabs>
                <w:tab w:val="left" w:pos="177"/>
              </w:tabs>
            </w:pPr>
            <w:r w:rsidRPr="00154A9C">
              <w:t>Faries 2003</w:t>
            </w:r>
          </w:p>
        </w:tc>
        <w:tc>
          <w:tcPr>
            <w:tcW w:w="903" w:type="pct"/>
          </w:tcPr>
          <w:p w14:paraId="34D43571" w14:textId="77777777" w:rsidR="00CB2414" w:rsidRPr="00154A9C" w:rsidRDefault="00CB2414" w:rsidP="00CB2414">
            <w:pPr>
              <w:pStyle w:val="Tabletext"/>
              <w:tabs>
                <w:tab w:val="left" w:pos="177"/>
              </w:tabs>
            </w:pPr>
            <w:r w:rsidRPr="00154A9C">
              <w:t>Retrospective, case series, multi centre</w:t>
            </w:r>
          </w:p>
        </w:tc>
        <w:tc>
          <w:tcPr>
            <w:tcW w:w="266" w:type="pct"/>
          </w:tcPr>
          <w:p w14:paraId="4C12F3C9" w14:textId="77777777" w:rsidR="00CB2414" w:rsidRPr="00154A9C" w:rsidRDefault="00CB2414" w:rsidP="00CB2414">
            <w:pPr>
              <w:pStyle w:val="Tabletext"/>
              <w:tabs>
                <w:tab w:val="left" w:pos="177"/>
              </w:tabs>
              <w:jc w:val="center"/>
            </w:pPr>
            <w:r w:rsidRPr="00154A9C">
              <w:t>70</w:t>
            </w:r>
          </w:p>
        </w:tc>
        <w:tc>
          <w:tcPr>
            <w:tcW w:w="3141" w:type="pct"/>
          </w:tcPr>
          <w:p w14:paraId="0E1F47A8" w14:textId="77777777" w:rsidR="00CB2414" w:rsidRPr="00154A9C" w:rsidRDefault="00CB2414" w:rsidP="00CB2414">
            <w:pPr>
              <w:pStyle w:val="Tabletext"/>
              <w:tabs>
                <w:tab w:val="left" w:pos="177"/>
              </w:tabs>
            </w:pPr>
            <w:r w:rsidRPr="00154A9C">
              <w:t>Endoleaks (Type Ia,b, II and III)</w:t>
            </w:r>
          </w:p>
        </w:tc>
      </w:tr>
      <w:tr w:rsidR="00CB2414" w:rsidRPr="00154A9C" w14:paraId="6E7D14F1" w14:textId="77777777" w:rsidTr="00CB2414">
        <w:trPr>
          <w:trHeight w:val="253"/>
        </w:trPr>
        <w:tc>
          <w:tcPr>
            <w:tcW w:w="690" w:type="pct"/>
          </w:tcPr>
          <w:p w14:paraId="3C42213D" w14:textId="77777777" w:rsidR="00CB2414" w:rsidRPr="00154A9C" w:rsidRDefault="00CB2414" w:rsidP="00CB2414">
            <w:pPr>
              <w:pStyle w:val="Tabletext"/>
              <w:tabs>
                <w:tab w:val="left" w:pos="177"/>
              </w:tabs>
            </w:pPr>
            <w:r w:rsidRPr="00154A9C">
              <w:t>Jim 2011</w:t>
            </w:r>
          </w:p>
        </w:tc>
        <w:tc>
          <w:tcPr>
            <w:tcW w:w="903" w:type="pct"/>
          </w:tcPr>
          <w:p w14:paraId="5001EFFC" w14:textId="77777777" w:rsidR="00CB2414" w:rsidRPr="00154A9C" w:rsidRDefault="00CB2414" w:rsidP="00CB2414">
            <w:pPr>
              <w:pStyle w:val="Tabletext"/>
              <w:tabs>
                <w:tab w:val="left" w:pos="177"/>
              </w:tabs>
            </w:pPr>
            <w:r w:rsidRPr="00154A9C">
              <w:t>Retrospective, case series, multi centre</w:t>
            </w:r>
          </w:p>
        </w:tc>
        <w:tc>
          <w:tcPr>
            <w:tcW w:w="266" w:type="pct"/>
          </w:tcPr>
          <w:p w14:paraId="756073AE" w14:textId="77777777" w:rsidR="00CB2414" w:rsidRPr="00154A9C" w:rsidRDefault="00CB2414" w:rsidP="00CB2414">
            <w:pPr>
              <w:pStyle w:val="Tabletext"/>
              <w:tabs>
                <w:tab w:val="left" w:pos="177"/>
              </w:tabs>
              <w:jc w:val="center"/>
            </w:pPr>
            <w:r w:rsidRPr="00154A9C">
              <w:t>151</w:t>
            </w:r>
          </w:p>
        </w:tc>
        <w:tc>
          <w:tcPr>
            <w:tcW w:w="3141" w:type="pct"/>
          </w:tcPr>
          <w:p w14:paraId="1042D1F3" w14:textId="77777777" w:rsidR="00CB2414" w:rsidRPr="00154A9C" w:rsidRDefault="00CB2414" w:rsidP="00CB2414">
            <w:pPr>
              <w:pStyle w:val="Tabletext"/>
              <w:tabs>
                <w:tab w:val="left" w:pos="177"/>
              </w:tabs>
            </w:pPr>
            <w:r w:rsidRPr="00154A9C">
              <w:t>Proximal fixation for treatment of pre-existing endografts with failed or failing proximal fixation or seal</w:t>
            </w:r>
          </w:p>
        </w:tc>
      </w:tr>
      <w:tr w:rsidR="00CB2414" w:rsidRPr="00154A9C" w14:paraId="481ED15D" w14:textId="77777777" w:rsidTr="00CB2414">
        <w:trPr>
          <w:trHeight w:val="253"/>
        </w:trPr>
        <w:tc>
          <w:tcPr>
            <w:tcW w:w="690" w:type="pct"/>
          </w:tcPr>
          <w:p w14:paraId="4F994E32" w14:textId="77777777" w:rsidR="00CB2414" w:rsidRPr="00154A9C" w:rsidRDefault="00CB2414" w:rsidP="00CB2414">
            <w:pPr>
              <w:pStyle w:val="Tabletext"/>
              <w:tabs>
                <w:tab w:val="left" w:pos="177"/>
              </w:tabs>
            </w:pPr>
            <w:r w:rsidRPr="00154A9C">
              <w:t>Naughton 2011</w:t>
            </w:r>
          </w:p>
        </w:tc>
        <w:tc>
          <w:tcPr>
            <w:tcW w:w="903" w:type="pct"/>
          </w:tcPr>
          <w:p w14:paraId="4759BCB0" w14:textId="77777777" w:rsidR="00CB2414" w:rsidRPr="00154A9C" w:rsidRDefault="00CB2414" w:rsidP="00CB2414">
            <w:pPr>
              <w:pStyle w:val="Tabletext"/>
              <w:tabs>
                <w:tab w:val="left" w:pos="177"/>
              </w:tabs>
            </w:pPr>
            <w:r w:rsidRPr="00154A9C">
              <w:t>Retrospective, case series, single centre</w:t>
            </w:r>
          </w:p>
        </w:tc>
        <w:tc>
          <w:tcPr>
            <w:tcW w:w="266" w:type="pct"/>
          </w:tcPr>
          <w:p w14:paraId="58A894B0" w14:textId="77777777" w:rsidR="00CB2414" w:rsidRPr="00154A9C" w:rsidRDefault="00CB2414" w:rsidP="00CB2414">
            <w:pPr>
              <w:pStyle w:val="Tabletext"/>
              <w:tabs>
                <w:tab w:val="left" w:pos="177"/>
              </w:tabs>
              <w:jc w:val="center"/>
            </w:pPr>
            <w:r w:rsidRPr="00154A9C">
              <w:t>22</w:t>
            </w:r>
          </w:p>
        </w:tc>
        <w:tc>
          <w:tcPr>
            <w:tcW w:w="3141" w:type="pct"/>
          </w:tcPr>
          <w:p w14:paraId="565CFB3A" w14:textId="77777777" w:rsidR="00CB2414" w:rsidRPr="00154A9C" w:rsidRDefault="00CB2414" w:rsidP="00CB2414">
            <w:pPr>
              <w:pStyle w:val="Tabletext"/>
              <w:tabs>
                <w:tab w:val="left" w:pos="177"/>
              </w:tabs>
            </w:pPr>
            <w:r w:rsidRPr="00154A9C">
              <w:t xml:space="preserve">Endovascular intervention for Type I and III endoleaks </w:t>
            </w:r>
          </w:p>
        </w:tc>
      </w:tr>
      <w:tr w:rsidR="00CB2414" w:rsidRPr="00154A9C" w14:paraId="3CBAFB6E" w14:textId="77777777" w:rsidTr="00CB2414">
        <w:trPr>
          <w:trHeight w:val="253"/>
        </w:trPr>
        <w:tc>
          <w:tcPr>
            <w:tcW w:w="690" w:type="pct"/>
          </w:tcPr>
          <w:p w14:paraId="6152A8D6" w14:textId="77777777" w:rsidR="00CB2414" w:rsidRPr="00154A9C" w:rsidRDefault="00CB2414" w:rsidP="00CB2414">
            <w:pPr>
              <w:pStyle w:val="Tabletext"/>
              <w:tabs>
                <w:tab w:val="left" w:pos="177"/>
              </w:tabs>
            </w:pPr>
            <w:r w:rsidRPr="00154A9C">
              <w:t>van Lammeren 2010</w:t>
            </w:r>
          </w:p>
        </w:tc>
        <w:tc>
          <w:tcPr>
            <w:tcW w:w="903" w:type="pct"/>
          </w:tcPr>
          <w:p w14:paraId="3B240198" w14:textId="77777777" w:rsidR="00CB2414" w:rsidRPr="00154A9C" w:rsidRDefault="00CB2414" w:rsidP="00CB2414">
            <w:pPr>
              <w:pStyle w:val="Tabletext"/>
              <w:tabs>
                <w:tab w:val="left" w:pos="177"/>
              </w:tabs>
            </w:pPr>
            <w:r w:rsidRPr="00154A9C">
              <w:t>Retrospective, case series, multi centre</w:t>
            </w:r>
          </w:p>
        </w:tc>
        <w:tc>
          <w:tcPr>
            <w:tcW w:w="266" w:type="pct"/>
          </w:tcPr>
          <w:p w14:paraId="6F5DF49D" w14:textId="77777777" w:rsidR="00CB2414" w:rsidRPr="00154A9C" w:rsidRDefault="00CB2414" w:rsidP="00CB2414">
            <w:pPr>
              <w:pStyle w:val="Tabletext"/>
              <w:tabs>
                <w:tab w:val="left" w:pos="177"/>
              </w:tabs>
              <w:jc w:val="center"/>
            </w:pPr>
            <w:r w:rsidRPr="00154A9C">
              <w:t>62</w:t>
            </w:r>
          </w:p>
        </w:tc>
        <w:tc>
          <w:tcPr>
            <w:tcW w:w="3141" w:type="pct"/>
          </w:tcPr>
          <w:p w14:paraId="027E276C" w14:textId="77777777" w:rsidR="00CB2414" w:rsidRPr="00154A9C" w:rsidRDefault="00CB2414" w:rsidP="00CB2414">
            <w:pPr>
              <w:pStyle w:val="Tabletext"/>
              <w:tabs>
                <w:tab w:val="left" w:pos="177"/>
              </w:tabs>
            </w:pPr>
            <w:r w:rsidRPr="00154A9C">
              <w:t>Secondary reinterventions including renewed endovascular repair or open conversion in EVAR patients with endoleaks</w:t>
            </w:r>
          </w:p>
        </w:tc>
      </w:tr>
      <w:tr w:rsidR="00CB2414" w:rsidRPr="00154A9C" w14:paraId="6F59B792" w14:textId="77777777" w:rsidTr="00CB2414">
        <w:trPr>
          <w:trHeight w:val="253"/>
        </w:trPr>
        <w:tc>
          <w:tcPr>
            <w:tcW w:w="690" w:type="pct"/>
          </w:tcPr>
          <w:p w14:paraId="6C4C7058" w14:textId="77777777" w:rsidR="00CB2414" w:rsidRPr="00154A9C" w:rsidRDefault="00CB2414" w:rsidP="00CB2414">
            <w:pPr>
              <w:pStyle w:val="Tabletext"/>
              <w:tabs>
                <w:tab w:val="left" w:pos="177"/>
              </w:tabs>
            </w:pPr>
            <w:r w:rsidRPr="00154A9C">
              <w:t>Katsargyris 2013</w:t>
            </w:r>
          </w:p>
        </w:tc>
        <w:tc>
          <w:tcPr>
            <w:tcW w:w="903" w:type="pct"/>
          </w:tcPr>
          <w:p w14:paraId="4B7ED874" w14:textId="77777777" w:rsidR="00CB2414" w:rsidRPr="00154A9C" w:rsidRDefault="00CB2414" w:rsidP="00CB2414">
            <w:pPr>
              <w:pStyle w:val="Tabletext"/>
              <w:tabs>
                <w:tab w:val="left" w:pos="177"/>
              </w:tabs>
            </w:pPr>
            <w:r w:rsidRPr="00154A9C">
              <w:t>Retrospective, case series, multi centre</w:t>
            </w:r>
          </w:p>
        </w:tc>
        <w:tc>
          <w:tcPr>
            <w:tcW w:w="266" w:type="pct"/>
          </w:tcPr>
          <w:p w14:paraId="5C42B6FA" w14:textId="77777777" w:rsidR="00CB2414" w:rsidRPr="00154A9C" w:rsidRDefault="00CB2414" w:rsidP="00CB2414">
            <w:pPr>
              <w:pStyle w:val="Tabletext"/>
              <w:tabs>
                <w:tab w:val="left" w:pos="177"/>
              </w:tabs>
              <w:jc w:val="center"/>
            </w:pPr>
            <w:r w:rsidRPr="00154A9C">
              <w:t>26</w:t>
            </w:r>
          </w:p>
        </w:tc>
        <w:tc>
          <w:tcPr>
            <w:tcW w:w="3141" w:type="pct"/>
          </w:tcPr>
          <w:p w14:paraId="067270B0" w14:textId="77777777" w:rsidR="00CB2414" w:rsidRPr="00154A9C" w:rsidRDefault="00CB2414" w:rsidP="00CB2414">
            <w:pPr>
              <w:spacing w:after="40"/>
            </w:pPr>
            <w:r w:rsidRPr="00154A9C">
              <w:t xml:space="preserve">Juxtarenal AAA treated with FEVAR after failed previous EVAR </w:t>
            </w:r>
          </w:p>
        </w:tc>
      </w:tr>
      <w:tr w:rsidR="00CB2414" w:rsidRPr="00154A9C" w14:paraId="6BE66AEB" w14:textId="77777777" w:rsidTr="00CB2414">
        <w:trPr>
          <w:trHeight w:val="253"/>
        </w:trPr>
        <w:tc>
          <w:tcPr>
            <w:tcW w:w="690" w:type="pct"/>
          </w:tcPr>
          <w:p w14:paraId="5FE45F9D" w14:textId="77777777" w:rsidR="00CB2414" w:rsidRPr="00154A9C" w:rsidRDefault="00CB2414" w:rsidP="00CB2414">
            <w:pPr>
              <w:pStyle w:val="Tabletext"/>
              <w:tabs>
                <w:tab w:val="left" w:pos="177"/>
              </w:tabs>
            </w:pPr>
            <w:r w:rsidRPr="00154A9C">
              <w:t>Marques de Marino 2019</w:t>
            </w:r>
          </w:p>
        </w:tc>
        <w:tc>
          <w:tcPr>
            <w:tcW w:w="903" w:type="pct"/>
          </w:tcPr>
          <w:p w14:paraId="5734E260" w14:textId="77777777" w:rsidR="00CB2414" w:rsidRPr="00154A9C" w:rsidRDefault="00CB2414" w:rsidP="00CB2414">
            <w:pPr>
              <w:pStyle w:val="Tabletext"/>
              <w:tabs>
                <w:tab w:val="left" w:pos="177"/>
              </w:tabs>
            </w:pPr>
            <w:r w:rsidRPr="00154A9C">
              <w:t>Retrospective, case series, single centre</w:t>
            </w:r>
          </w:p>
        </w:tc>
        <w:tc>
          <w:tcPr>
            <w:tcW w:w="266" w:type="pct"/>
          </w:tcPr>
          <w:p w14:paraId="22DD5CA3" w14:textId="77777777" w:rsidR="00CB2414" w:rsidRPr="00154A9C" w:rsidRDefault="00CB2414" w:rsidP="00CB2414">
            <w:pPr>
              <w:pStyle w:val="Tabletext"/>
              <w:tabs>
                <w:tab w:val="left" w:pos="177"/>
              </w:tabs>
              <w:jc w:val="center"/>
            </w:pPr>
            <w:r w:rsidRPr="00154A9C">
              <w:t>49</w:t>
            </w:r>
          </w:p>
        </w:tc>
        <w:tc>
          <w:tcPr>
            <w:tcW w:w="3141" w:type="pct"/>
          </w:tcPr>
          <w:p w14:paraId="213791F0" w14:textId="77777777" w:rsidR="00CB2414" w:rsidRPr="00154A9C" w:rsidRDefault="00CB2414" w:rsidP="00CB2414">
            <w:pPr>
              <w:pStyle w:val="Tabletext"/>
              <w:tabs>
                <w:tab w:val="left" w:pos="177"/>
              </w:tabs>
            </w:pPr>
            <w:r w:rsidRPr="00154A9C">
              <w:t>Type Ia endoleaks after EVAR treated with EVAR or FEVAR</w:t>
            </w:r>
          </w:p>
        </w:tc>
      </w:tr>
      <w:tr w:rsidR="00CB2414" w:rsidRPr="00154A9C" w14:paraId="5D36ACCE" w14:textId="77777777" w:rsidTr="00CB2414">
        <w:trPr>
          <w:trHeight w:val="253"/>
        </w:trPr>
        <w:tc>
          <w:tcPr>
            <w:tcW w:w="690" w:type="pct"/>
          </w:tcPr>
          <w:p w14:paraId="01A0A532" w14:textId="77777777" w:rsidR="00CB2414" w:rsidRPr="00154A9C" w:rsidRDefault="00CB2414" w:rsidP="00CB2414">
            <w:pPr>
              <w:pStyle w:val="Tabletext"/>
              <w:tabs>
                <w:tab w:val="left" w:pos="177"/>
              </w:tabs>
            </w:pPr>
            <w:r w:rsidRPr="00154A9C">
              <w:t>Zamir 2019</w:t>
            </w:r>
          </w:p>
        </w:tc>
        <w:tc>
          <w:tcPr>
            <w:tcW w:w="903" w:type="pct"/>
          </w:tcPr>
          <w:p w14:paraId="0AEE3154" w14:textId="77777777" w:rsidR="00CB2414" w:rsidRPr="00154A9C" w:rsidRDefault="00CB2414" w:rsidP="00CB2414">
            <w:pPr>
              <w:pStyle w:val="Tabletext"/>
              <w:tabs>
                <w:tab w:val="left" w:pos="177"/>
              </w:tabs>
            </w:pPr>
            <w:r w:rsidRPr="00154A9C">
              <w:t>Retrospective, case series, single centre</w:t>
            </w:r>
          </w:p>
        </w:tc>
        <w:tc>
          <w:tcPr>
            <w:tcW w:w="266" w:type="pct"/>
          </w:tcPr>
          <w:p w14:paraId="6EE725E7" w14:textId="77777777" w:rsidR="00CB2414" w:rsidRPr="00154A9C" w:rsidRDefault="00CB2414" w:rsidP="00CB2414">
            <w:pPr>
              <w:pStyle w:val="Tabletext"/>
              <w:tabs>
                <w:tab w:val="left" w:pos="177"/>
              </w:tabs>
              <w:jc w:val="center"/>
            </w:pPr>
            <w:r w:rsidRPr="00154A9C">
              <w:t>10</w:t>
            </w:r>
          </w:p>
        </w:tc>
        <w:tc>
          <w:tcPr>
            <w:tcW w:w="3141" w:type="pct"/>
          </w:tcPr>
          <w:p w14:paraId="34A5F1B6" w14:textId="77777777" w:rsidR="00CB2414" w:rsidRPr="00154A9C" w:rsidRDefault="00CB2414" w:rsidP="00CB2414">
            <w:pPr>
              <w:pStyle w:val="Tabletext"/>
              <w:tabs>
                <w:tab w:val="left" w:pos="177"/>
              </w:tabs>
            </w:pPr>
            <w:r w:rsidRPr="00154A9C">
              <w:t xml:space="preserve">Type Ia endoleaks identified on CT following previous EVAR </w:t>
            </w:r>
          </w:p>
        </w:tc>
      </w:tr>
      <w:tr w:rsidR="00CB2414" w:rsidRPr="00154A9C" w14:paraId="02B77A03" w14:textId="77777777" w:rsidTr="00CB2414">
        <w:trPr>
          <w:trHeight w:val="253"/>
        </w:trPr>
        <w:tc>
          <w:tcPr>
            <w:tcW w:w="690" w:type="pct"/>
          </w:tcPr>
          <w:p w14:paraId="159044F0" w14:textId="77777777" w:rsidR="00CB2414" w:rsidRPr="00154A9C" w:rsidRDefault="00CB2414" w:rsidP="00CB2414">
            <w:pPr>
              <w:pStyle w:val="Tabletext"/>
              <w:tabs>
                <w:tab w:val="left" w:pos="177"/>
              </w:tabs>
            </w:pPr>
            <w:r w:rsidRPr="00154A9C">
              <w:t>Martin 2014</w:t>
            </w:r>
          </w:p>
        </w:tc>
        <w:tc>
          <w:tcPr>
            <w:tcW w:w="903" w:type="pct"/>
          </w:tcPr>
          <w:p w14:paraId="5AB16674" w14:textId="77777777" w:rsidR="00CB2414" w:rsidRPr="00154A9C" w:rsidRDefault="00CB2414" w:rsidP="00CB2414">
            <w:pPr>
              <w:widowControl w:val="0"/>
              <w:spacing w:after="40"/>
              <w:rPr>
                <w:lang w:eastAsia="en-US"/>
              </w:rPr>
            </w:pPr>
            <w:r w:rsidRPr="00154A9C">
              <w:rPr>
                <w:lang w:eastAsia="en-US"/>
              </w:rPr>
              <w:t>Retrospective, case series, single centre</w:t>
            </w:r>
          </w:p>
        </w:tc>
        <w:tc>
          <w:tcPr>
            <w:tcW w:w="266" w:type="pct"/>
          </w:tcPr>
          <w:p w14:paraId="62B463FA" w14:textId="77777777" w:rsidR="00CB2414" w:rsidRPr="00154A9C" w:rsidRDefault="00CB2414" w:rsidP="00CB2414">
            <w:pPr>
              <w:pStyle w:val="Tabletext"/>
              <w:tabs>
                <w:tab w:val="left" w:pos="177"/>
              </w:tabs>
              <w:jc w:val="center"/>
            </w:pPr>
            <w:r w:rsidRPr="00154A9C">
              <w:t>52</w:t>
            </w:r>
          </w:p>
        </w:tc>
        <w:tc>
          <w:tcPr>
            <w:tcW w:w="3141" w:type="pct"/>
          </w:tcPr>
          <w:p w14:paraId="3D6C66FB" w14:textId="77777777" w:rsidR="00CB2414" w:rsidRPr="00154A9C" w:rsidRDefault="00CB2414" w:rsidP="00CB2414">
            <w:pPr>
              <w:pStyle w:val="Tabletext"/>
              <w:tabs>
                <w:tab w:val="left" w:pos="177"/>
              </w:tabs>
            </w:pPr>
            <w:r w:rsidRPr="00154A9C">
              <w:t>Rescue for proximal neck abnormalities including endoleaks and graft migration</w:t>
            </w:r>
          </w:p>
        </w:tc>
      </w:tr>
      <w:tr w:rsidR="00CB2414" w:rsidRPr="00154A9C" w14:paraId="39B3A48C" w14:textId="77777777" w:rsidTr="00CB2414">
        <w:trPr>
          <w:trHeight w:val="253"/>
        </w:trPr>
        <w:tc>
          <w:tcPr>
            <w:tcW w:w="690" w:type="pct"/>
          </w:tcPr>
          <w:p w14:paraId="53D07BDD" w14:textId="77777777" w:rsidR="00CB2414" w:rsidRPr="00154A9C" w:rsidRDefault="00CB2414" w:rsidP="00CB2414">
            <w:pPr>
              <w:pStyle w:val="Tabletext"/>
              <w:tabs>
                <w:tab w:val="left" w:pos="177"/>
              </w:tabs>
            </w:pPr>
            <w:r w:rsidRPr="00154A9C">
              <w:t>Montelione 2015</w:t>
            </w:r>
          </w:p>
        </w:tc>
        <w:tc>
          <w:tcPr>
            <w:tcW w:w="903" w:type="pct"/>
          </w:tcPr>
          <w:p w14:paraId="002C9EAA" w14:textId="77777777" w:rsidR="00CB2414" w:rsidRPr="00154A9C" w:rsidRDefault="00CB2414" w:rsidP="00CB2414">
            <w:pPr>
              <w:pStyle w:val="Tabletext"/>
              <w:tabs>
                <w:tab w:val="left" w:pos="177"/>
              </w:tabs>
            </w:pPr>
            <w:r w:rsidRPr="00154A9C">
              <w:t>Retrospective, case series</w:t>
            </w:r>
          </w:p>
        </w:tc>
        <w:tc>
          <w:tcPr>
            <w:tcW w:w="266" w:type="pct"/>
          </w:tcPr>
          <w:p w14:paraId="4ACF8DEA" w14:textId="77777777" w:rsidR="00CB2414" w:rsidRPr="00154A9C" w:rsidRDefault="00CB2414" w:rsidP="00CB2414">
            <w:pPr>
              <w:pStyle w:val="Tabletext"/>
              <w:tabs>
                <w:tab w:val="left" w:pos="177"/>
              </w:tabs>
              <w:jc w:val="center"/>
            </w:pPr>
            <w:r w:rsidRPr="00154A9C">
              <w:t>24</w:t>
            </w:r>
          </w:p>
        </w:tc>
        <w:tc>
          <w:tcPr>
            <w:tcW w:w="3141" w:type="pct"/>
          </w:tcPr>
          <w:p w14:paraId="17841FA8" w14:textId="77777777" w:rsidR="00CB2414" w:rsidRPr="00154A9C" w:rsidRDefault="00CB2414" w:rsidP="00CB2414">
            <w:pPr>
              <w:spacing w:after="40"/>
              <w:jc w:val="both"/>
            </w:pPr>
            <w:r w:rsidRPr="00154A9C">
              <w:t>Type I endoleaks (23 Ia and 1 Ib) in 23 pararenal AAAs and 1 TAA</w:t>
            </w:r>
          </w:p>
          <w:p w14:paraId="42BF2322" w14:textId="77777777" w:rsidR="00CB2414" w:rsidRPr="00154A9C" w:rsidRDefault="00CB2414" w:rsidP="00CB2414">
            <w:pPr>
              <w:pStyle w:val="Tabletext"/>
              <w:tabs>
                <w:tab w:val="left" w:pos="177"/>
              </w:tabs>
            </w:pPr>
          </w:p>
        </w:tc>
      </w:tr>
      <w:tr w:rsidR="00CB2414" w:rsidRPr="00154A9C" w14:paraId="20795F2C" w14:textId="77777777" w:rsidTr="00CB2414">
        <w:trPr>
          <w:trHeight w:val="253"/>
        </w:trPr>
        <w:tc>
          <w:tcPr>
            <w:tcW w:w="690" w:type="pct"/>
          </w:tcPr>
          <w:p w14:paraId="3BBC567E" w14:textId="77777777" w:rsidR="00CB2414" w:rsidRPr="00154A9C" w:rsidRDefault="00CB2414" w:rsidP="00CB2414">
            <w:pPr>
              <w:pStyle w:val="Tabletext"/>
              <w:tabs>
                <w:tab w:val="left" w:pos="177"/>
              </w:tabs>
            </w:pPr>
            <w:r w:rsidRPr="00154A9C">
              <w:t>Ronchey 2018</w:t>
            </w:r>
          </w:p>
        </w:tc>
        <w:tc>
          <w:tcPr>
            <w:tcW w:w="903" w:type="pct"/>
          </w:tcPr>
          <w:p w14:paraId="434EEC20" w14:textId="77777777" w:rsidR="00CB2414" w:rsidRPr="00154A9C" w:rsidRDefault="00CB2414" w:rsidP="00CB2414">
            <w:pPr>
              <w:pStyle w:val="Tabletext"/>
              <w:tabs>
                <w:tab w:val="left" w:pos="177"/>
              </w:tabs>
            </w:pPr>
            <w:r w:rsidRPr="00154A9C">
              <w:t>Retrospective, case series, multi centre</w:t>
            </w:r>
          </w:p>
        </w:tc>
        <w:tc>
          <w:tcPr>
            <w:tcW w:w="266" w:type="pct"/>
          </w:tcPr>
          <w:p w14:paraId="45C564FC" w14:textId="77777777" w:rsidR="00CB2414" w:rsidRPr="00154A9C" w:rsidRDefault="00CB2414" w:rsidP="00CB2414">
            <w:pPr>
              <w:pStyle w:val="Tabletext"/>
              <w:tabs>
                <w:tab w:val="left" w:pos="177"/>
              </w:tabs>
              <w:jc w:val="center"/>
            </w:pPr>
            <w:r w:rsidRPr="00154A9C">
              <w:t>39</w:t>
            </w:r>
          </w:p>
        </w:tc>
        <w:tc>
          <w:tcPr>
            <w:tcW w:w="3141" w:type="pct"/>
          </w:tcPr>
          <w:p w14:paraId="40BFFDD3" w14:textId="77777777" w:rsidR="00CB2414" w:rsidRPr="00154A9C" w:rsidRDefault="00CB2414" w:rsidP="00CB2414">
            <w:pPr>
              <w:pStyle w:val="Tabletext"/>
              <w:tabs>
                <w:tab w:val="left" w:pos="177"/>
              </w:tabs>
            </w:pPr>
            <w:r w:rsidRPr="00154A9C">
              <w:t>CHEVAR to treat Type Ia endoleaks</w:t>
            </w:r>
          </w:p>
        </w:tc>
      </w:tr>
      <w:tr w:rsidR="00CB2414" w:rsidRPr="00154A9C" w14:paraId="6B227855" w14:textId="77777777" w:rsidTr="00CB2414">
        <w:trPr>
          <w:trHeight w:val="253"/>
        </w:trPr>
        <w:tc>
          <w:tcPr>
            <w:tcW w:w="690" w:type="pct"/>
          </w:tcPr>
          <w:p w14:paraId="6B44D474" w14:textId="77777777" w:rsidR="00CB2414" w:rsidRPr="00154A9C" w:rsidRDefault="00CB2414" w:rsidP="00CB2414">
            <w:pPr>
              <w:pStyle w:val="Tabletext"/>
              <w:tabs>
                <w:tab w:val="left" w:pos="177"/>
              </w:tabs>
            </w:pPr>
            <w:r w:rsidRPr="00154A9C">
              <w:t>Tanious 2017</w:t>
            </w:r>
          </w:p>
        </w:tc>
        <w:tc>
          <w:tcPr>
            <w:tcW w:w="903" w:type="pct"/>
          </w:tcPr>
          <w:p w14:paraId="4A974C31" w14:textId="77777777" w:rsidR="00CB2414" w:rsidRPr="00154A9C" w:rsidRDefault="00CB2414" w:rsidP="00CB2414">
            <w:pPr>
              <w:pStyle w:val="Tabletext"/>
              <w:tabs>
                <w:tab w:val="left" w:pos="177"/>
              </w:tabs>
            </w:pPr>
            <w:r w:rsidRPr="00154A9C">
              <w:t>Retrospective, case series</w:t>
            </w:r>
          </w:p>
        </w:tc>
        <w:tc>
          <w:tcPr>
            <w:tcW w:w="266" w:type="pct"/>
          </w:tcPr>
          <w:p w14:paraId="2952DCED" w14:textId="77777777" w:rsidR="00CB2414" w:rsidRPr="00154A9C" w:rsidRDefault="00CB2414" w:rsidP="00CB2414">
            <w:pPr>
              <w:pStyle w:val="Tabletext"/>
              <w:tabs>
                <w:tab w:val="left" w:pos="177"/>
              </w:tabs>
              <w:jc w:val="center"/>
            </w:pPr>
            <w:r w:rsidRPr="00154A9C">
              <w:t>19</w:t>
            </w:r>
          </w:p>
        </w:tc>
        <w:tc>
          <w:tcPr>
            <w:tcW w:w="3141" w:type="pct"/>
          </w:tcPr>
          <w:p w14:paraId="6AF243DD" w14:textId="77777777" w:rsidR="00CB2414" w:rsidRPr="00154A9C" w:rsidRDefault="00CB2414" w:rsidP="00CB2414">
            <w:pPr>
              <w:pStyle w:val="Tabletext"/>
              <w:tabs>
                <w:tab w:val="left" w:pos="177"/>
              </w:tabs>
            </w:pPr>
            <w:r w:rsidRPr="00154A9C">
              <w:t>CHEVAR rescue for loss of proximal fixation or seal after a previous EVAR</w:t>
            </w:r>
          </w:p>
        </w:tc>
      </w:tr>
    </w:tbl>
    <w:p w14:paraId="246F493F" w14:textId="77777777" w:rsidR="00CB2414" w:rsidRPr="00154A9C" w:rsidRDefault="00CB2414" w:rsidP="00CB2414">
      <w:pPr>
        <w:pStyle w:val="Tablenotes0"/>
      </w:pPr>
      <w:r w:rsidRPr="00154A9C">
        <w:t>AAA=abdominal aortic aneurysm; EVAR=endovascular aneurysm repair; CHEVAR=chimney EVAR; FEVAR=fenestrated EVAR; T/EVAR=thoracic EVAR</w:t>
      </w:r>
    </w:p>
    <w:p w14:paraId="77476081" w14:textId="4E32EE39" w:rsidR="00CB2414" w:rsidRPr="00154A9C" w:rsidRDefault="00CB2414" w:rsidP="00875308">
      <w:pPr>
        <w:pStyle w:val="Tablenotes0"/>
      </w:pPr>
      <w:r w:rsidRPr="00154A9C">
        <w:t xml:space="preserve">Source: </w:t>
      </w:r>
      <w:r w:rsidR="00875308">
        <w:t>Table 14, p17 of the commentary</w:t>
      </w:r>
    </w:p>
    <w:p w14:paraId="3B9B9BD2" w14:textId="3142B485" w:rsidR="00CB2414" w:rsidRDefault="00CB2414" w:rsidP="00875308">
      <w:pPr>
        <w:spacing w:before="240"/>
      </w:pPr>
      <w:r w:rsidRPr="00154A9C">
        <w:t xml:space="preserve">In the pre-ESC response, the applicant claimed that during the selection of studies, it ensured both sets of data enrolled patients with aneurysm characteristics overlapping with the proposed populations (population 1 – hostile neck anatomy; population 2 – Type IA endoleak at index procedure or after T/EVAR), to ensure comparability of the two sets of data. This also ensured applicability to the proposed populations. The assessment of exchangeability did not identify any concerning differences between the two groups that are expected to </w:t>
      </w:r>
      <w:r w:rsidRPr="00154A9C">
        <w:lastRenderedPageBreak/>
        <w:t>adversely bias the results of the comparative analysis for Population 1 and for Population 2. The Applicant maintain</w:t>
      </w:r>
      <w:r w:rsidR="00166E97">
        <w:t>ed</w:t>
      </w:r>
      <w:r w:rsidRPr="00154A9C">
        <w:t xml:space="preserve"> that the evidence presented sufficiently support a</w:t>
      </w:r>
      <w:r w:rsidR="00875308">
        <w:t xml:space="preserve"> conclusion of non-inferiority.</w:t>
      </w:r>
    </w:p>
    <w:p w14:paraId="5BB59177" w14:textId="77777777" w:rsidR="00CB2414" w:rsidRPr="00154A9C" w:rsidRDefault="00CB2414" w:rsidP="00875308">
      <w:pPr>
        <w:pStyle w:val="Heading2"/>
        <w:spacing w:before="240"/>
      </w:pPr>
      <w:r w:rsidRPr="00154A9C">
        <w:t>Population 1</w:t>
      </w:r>
    </w:p>
    <w:p w14:paraId="4487F9A3" w14:textId="507AB1EA" w:rsidR="00CB2414" w:rsidRPr="00154A9C" w:rsidRDefault="00CB2414" w:rsidP="00CB2414">
      <w:r w:rsidRPr="00154A9C">
        <w:t>The ADAR stated there were no discernible differences observed between the EVAR+EA intervention group and complex EVAR with respect to early and all-cause mortality in Population 1 suggesting non-inferiority. In terms of early 30-day mortality, the use of EVAR+EA is considered as safe as complex EVAR procedures. Overall, the early mortality rate in the EVAR+EA studies included in the naïve comparison was 1% [95% CI: 0% - 5%] and highly comparable to the mortality rate observed in the comparative complex EVAR studies (1%; [95%CI: 0% - 3%]). The moderately broader confidence interval (CI) range observed in the EVAR+EA studies is reflective of the smaller sample size. No significant heterogeneity was observ</w:t>
      </w:r>
      <w:r w:rsidR="00875308">
        <w:t xml:space="preserve">ed across the EVAR+EA studies. </w:t>
      </w:r>
    </w:p>
    <w:p w14:paraId="76C14D84" w14:textId="2427C2B7" w:rsidR="00CB2414" w:rsidRPr="00154A9C" w:rsidRDefault="00CB2414" w:rsidP="00875308">
      <w:pPr>
        <w:spacing w:before="240"/>
      </w:pPr>
      <w:r w:rsidRPr="00154A9C">
        <w:t>All-cause mortality was also found to be comparable between the two groups with a mortality rate of 3% [95%CI: 1% - 5%] estimated across the EVAR+EA studies compared to 4% [95%CI: 2% - 7%] i</w:t>
      </w:r>
      <w:r w:rsidR="00875308">
        <w:t xml:space="preserve">n the complex EVAR comparator. </w:t>
      </w:r>
    </w:p>
    <w:p w14:paraId="39AEB443" w14:textId="77762661" w:rsidR="00CB2414" w:rsidRPr="00875308" w:rsidRDefault="00CB2414" w:rsidP="00875308">
      <w:pPr>
        <w:spacing w:before="240"/>
        <w:rPr>
          <w:szCs w:val="24"/>
        </w:rPr>
      </w:pPr>
      <w:r w:rsidRPr="00154A9C">
        <w:rPr>
          <w:szCs w:val="24"/>
        </w:rPr>
        <w:t>The commentary noted that</w:t>
      </w:r>
      <w:r w:rsidRPr="00154A9C">
        <w:t xml:space="preserve"> </w:t>
      </w:r>
      <w:r w:rsidRPr="00154A9C">
        <w:rPr>
          <w:szCs w:val="24"/>
        </w:rPr>
        <w:t xml:space="preserve">two of the helical anchors studies and seven of the complex EVAR studies reported adverse events. The data reported across the studies was limited, and there were few events reported overall. There was considerable heterogeneity in the time period in which all-cause mortality was considered (ranging from </w:t>
      </w:r>
      <w:r w:rsidR="00875308">
        <w:rPr>
          <w:szCs w:val="24"/>
        </w:rPr>
        <w:t>52 days to more than 4 years).</w:t>
      </w:r>
    </w:p>
    <w:p w14:paraId="7E464720" w14:textId="77777777" w:rsidR="00CB2414" w:rsidRPr="00154A9C" w:rsidRDefault="00CB2414" w:rsidP="00875308">
      <w:pPr>
        <w:pStyle w:val="Heading2"/>
        <w:spacing w:before="240"/>
      </w:pPr>
      <w:r w:rsidRPr="00154A9C">
        <w:t>Population 2</w:t>
      </w:r>
    </w:p>
    <w:p w14:paraId="16C56486" w14:textId="68E8928C" w:rsidR="00CB2414" w:rsidRPr="00154A9C" w:rsidRDefault="00CB2414" w:rsidP="00CB2414">
      <w:r w:rsidRPr="00154A9C">
        <w:t>The ADAR stated that for Population 2, early 30-day mortality was low occurring in 2% of the revision population [95%CI: 0%, 4%] and in none of the patients treated for an intra-operative Type Ia endoleak. The early 30-day mortality rate was comparable in the revision EVAR comparator group (1% [95%CI: 0%, 3%]) but was notably higher in those undergoing OC (5%; [95%CI: 0%, 12%]). Overall, the use of EA in Population 2 was considered as safe as revision EVAR procedures and numerically favourable relative to OC. The all-cause mortality rate reported across the revision EA studies was found to be 8% [95%CI: 3%, 13%]. Similar mortality rates were observed in the subgroup of patients receiving EAs to treat intra-operative Type Ia endoleaks at the time of the index procedure of 7% [95%CI: 1%, 12%]. These all-cause mortality rates were markedly higher in the comparator groups of 12% [95%CI:3%, 31%] in the OC group and 20% [95%CI:10%, 29%</w:t>
      </w:r>
      <w:r w:rsidR="00875308">
        <w:t>] in the revision EVAR studies.</w:t>
      </w:r>
    </w:p>
    <w:p w14:paraId="0EB3F717" w14:textId="60A7E805" w:rsidR="00CB2414" w:rsidRPr="00154A9C" w:rsidRDefault="00CB2414" w:rsidP="00875308">
      <w:pPr>
        <w:spacing w:before="240"/>
      </w:pPr>
      <w:r w:rsidRPr="00154A9C">
        <w:t xml:space="preserve">The commentary noted that three of the helical anchor studies and seven of the complex EVAR </w:t>
      </w:r>
      <w:r w:rsidR="005F7095">
        <w:t xml:space="preserve">studies </w:t>
      </w:r>
      <w:r w:rsidRPr="00154A9C">
        <w:t>reported adverse events. The data reported across the studies was limited</w:t>
      </w:r>
      <w:r w:rsidR="00D11032">
        <w:t>.</w:t>
      </w:r>
      <w:r w:rsidRPr="00154A9C">
        <w:t xml:space="preserve"> </w:t>
      </w:r>
      <w:r w:rsidR="00D11032">
        <w:t>T</w:t>
      </w:r>
      <w:r w:rsidRPr="00154A9C">
        <w:t>here were few events reported overall and there was considerable variation in how these events were reported, rendering a comparison</w:t>
      </w:r>
      <w:r w:rsidR="00875308">
        <w:t xml:space="preserve"> between groups inappropriate. </w:t>
      </w:r>
    </w:p>
    <w:p w14:paraId="291AE6E7" w14:textId="77777777" w:rsidR="00CB2414" w:rsidRPr="00154A9C" w:rsidRDefault="00CB2414" w:rsidP="00875308">
      <w:pPr>
        <w:spacing w:before="240"/>
      </w:pPr>
      <w:r w:rsidRPr="006F5CD6">
        <w:t>The commentary noted that in both populations, the main limitation of the comparative safety assessment is the lack of direct comparative evidence.</w:t>
      </w:r>
      <w:r w:rsidRPr="00154A9C">
        <w:t xml:space="preserve"> The descriptive analyses of treatment harms did not identify any large differences between intervention and comparator studies, with overlapping 95% confidence intervals in most comparisons. However, the 95% confidence intervals of the point estimates were quite large due to small sample sizes in some of the studies. The evidence base appeared to be applicable to the populations of use in the Australian situation.</w:t>
      </w:r>
    </w:p>
    <w:p w14:paraId="0818F294" w14:textId="77777777" w:rsidR="00DE0A72" w:rsidRPr="00F715D1" w:rsidRDefault="00DE0A72" w:rsidP="00DE0A72">
      <w:pPr>
        <w:pStyle w:val="Heading1"/>
      </w:pPr>
      <w:r w:rsidRPr="00F715D1">
        <w:lastRenderedPageBreak/>
        <w:t>Comparative effectiveness</w:t>
      </w:r>
    </w:p>
    <w:p w14:paraId="401ED642" w14:textId="77777777" w:rsidR="00CB2414" w:rsidRPr="00154A9C" w:rsidRDefault="00CB2414" w:rsidP="00CB2414">
      <w:pPr>
        <w:pStyle w:val="Heading2"/>
      </w:pPr>
      <w:r w:rsidRPr="00154A9C">
        <w:t>Population 1</w:t>
      </w:r>
    </w:p>
    <w:p w14:paraId="15BFB47C" w14:textId="34EF1A4D" w:rsidR="00CB2414" w:rsidRPr="00154A9C" w:rsidRDefault="00CB2414" w:rsidP="00CB2414">
      <w:r w:rsidRPr="00154A9C">
        <w:t>The ADAR stated that the indirect naïve comparative analysis of EVAR+EA vs complex EVAR detected no discernible differences between the two groups in persistent Type Ia endoleaks, conversion to open repair, graft migration and rupture, (1% vs 0%; 0% vs 0%; 0% vs 1% and 0% vs 0%, respectively). The reintervention rate was shown to be numerically lower in the EVAR+EA studies with 5% [95%CI:1%, 12%] of patients requiring secondary procedures compared with 9% [95</w:t>
      </w:r>
      <w:r w:rsidR="00875308">
        <w:t>%CI:6%, 13%] with complex EVAR.</w:t>
      </w:r>
    </w:p>
    <w:p w14:paraId="0259D990" w14:textId="7FA4A87E" w:rsidR="00CB2414" w:rsidRPr="00154A9C" w:rsidRDefault="00CB2414" w:rsidP="00875308">
      <w:pPr>
        <w:spacing w:before="240"/>
      </w:pPr>
      <w:r w:rsidRPr="00154A9C">
        <w:t>The proportion of patients with observed sac regression of &gt;5mm was greater in the complex EVAR group (75% [95%CI:67%, 83%]) compared to the EVAR+EA group (47% [95%CI:31%, 62%]). Importantly, however, none of the patients in the EVAR+EA group demonstrated sac growth during the follow-up period. In contrast, two patients in the complex EVAR studies reported s</w:t>
      </w:r>
      <w:r w:rsidR="00875308">
        <w:t xml:space="preserve">ac enlargements (2/106: 1.8%). </w:t>
      </w:r>
    </w:p>
    <w:p w14:paraId="201D57C0" w14:textId="3FBAA96D" w:rsidR="00CB2414" w:rsidRPr="00154A9C" w:rsidRDefault="00CB2414" w:rsidP="00875308">
      <w:pPr>
        <w:spacing w:before="240"/>
      </w:pPr>
      <w:r w:rsidRPr="00154A9C">
        <w:t xml:space="preserve">The commentary noted that the rate of persistent Type Ia endoleaks appeared to be similar between the two study groups. There was heterogeneity in follow-up periods within which reinterventions were reported, the complex EVAR study reported by Oderich (2014) in which the median follow-up period was 37 months (range 3-65) </w:t>
      </w:r>
      <w:r w:rsidR="00875308">
        <w:t xml:space="preserve">was omitted from the analysis. </w:t>
      </w:r>
    </w:p>
    <w:p w14:paraId="20BC31F9" w14:textId="77777777" w:rsidR="00CB2414" w:rsidRPr="00154A9C" w:rsidRDefault="00CB2414" w:rsidP="00875308">
      <w:pPr>
        <w:pStyle w:val="Heading2"/>
        <w:spacing w:before="240"/>
      </w:pPr>
      <w:r w:rsidRPr="00154A9C">
        <w:t>Population 2</w:t>
      </w:r>
    </w:p>
    <w:p w14:paraId="20E77702" w14:textId="596C043D" w:rsidR="00CB2414" w:rsidRPr="00154A9C" w:rsidRDefault="00CB2414" w:rsidP="00CB2414">
      <w:r w:rsidRPr="00154A9C">
        <w:t>The ADAR stated no differences were observed in the rate of conversion to open repair or rupture between the revision EA and the revision EVAR groups (2% [95%CI: 0%, 4%] vs 3% [95%CI: 0%, 5%] and 0% [95%CI: 0%, 1%] vs 2% [95%CI: 0%, 3%], respectively). There were no cases of graft migration in either of the EA subgroups; graft migration occurred in one of 111 patients i</w:t>
      </w:r>
      <w:r w:rsidR="00875308">
        <w:t>n the revision EVAR group (1%).</w:t>
      </w:r>
    </w:p>
    <w:p w14:paraId="61B7E548" w14:textId="1FE93A6D" w:rsidR="00CB2414" w:rsidRPr="00154A9C" w:rsidRDefault="00CB2414" w:rsidP="00875308">
      <w:pPr>
        <w:spacing w:before="240"/>
      </w:pPr>
      <w:r w:rsidRPr="00154A9C">
        <w:t>Persistent Type Ia endoleaks beyond 30 days post procedure was more frequently observed in the revision EA group (14%; [95%CI:4%, 23%]) compared with EA for intra-operative Type Ia endoleak (3% [95%CI:0%, 9%]), reflecting potential differences in the clinical presentation in these two populations. The overall rate of persistent Type Ia endoleaks was markedly lower in the revision EVAR patients (2%; [95%CI:0%, 4%]) and, as expected, no cases were obser</w:t>
      </w:r>
      <w:r w:rsidR="00875308">
        <w:t xml:space="preserve">ved in patients undergoing OC. </w:t>
      </w:r>
    </w:p>
    <w:p w14:paraId="4E8E7F60" w14:textId="482B4A6D" w:rsidR="00CB2414" w:rsidRPr="00154A9C" w:rsidRDefault="00CB2414" w:rsidP="00875308">
      <w:pPr>
        <w:spacing w:before="240"/>
      </w:pPr>
      <w:r w:rsidRPr="00154A9C">
        <w:t>The overall incidence rate of reinterventions in the revision EVAR studies was 12% [95%CI: 5%, 19%]. While the revision EA group showed a numerically higher rate of 14% [95%CI:10%, 18%], the reintervention rate was notably lower in patients treated with EA for intra-operative Type Ia e</w:t>
      </w:r>
      <w:r w:rsidR="00875308">
        <w:t>ndoleak at 5% [95%CI: 0%, 10%].</w:t>
      </w:r>
    </w:p>
    <w:p w14:paraId="7C60FD8D" w14:textId="040B0E8C" w:rsidR="00875308" w:rsidRDefault="00CB2414" w:rsidP="00875308">
      <w:pPr>
        <w:spacing w:before="240"/>
      </w:pPr>
      <w:r w:rsidRPr="00154A9C">
        <w:t>A summary of the naïve comparison of EVAR+EA versus complex EVAR (Population 1) and revision EA versus revision EVAR or OC (Population 2) with respect to safety and effectiveness is provided in</w:t>
      </w:r>
      <w:r w:rsidR="00061B4D">
        <w:t xml:space="preserve"> </w:t>
      </w:r>
      <w:r w:rsidR="00061B4D">
        <w:fldChar w:fldCharType="begin"/>
      </w:r>
      <w:r w:rsidR="00061B4D">
        <w:instrText xml:space="preserve"> REF _Ref43985182 \h </w:instrText>
      </w:r>
      <w:r w:rsidR="00061B4D">
        <w:fldChar w:fldCharType="separate"/>
      </w:r>
      <w:r w:rsidR="00061B4D" w:rsidRPr="00061B4D">
        <w:t>Table 5</w:t>
      </w:r>
      <w:r w:rsidR="00061B4D">
        <w:fldChar w:fldCharType="end"/>
      </w:r>
      <w:r w:rsidR="00875308">
        <w:t>.</w:t>
      </w:r>
      <w:r w:rsidR="00875308">
        <w:br w:type="page"/>
      </w:r>
    </w:p>
    <w:p w14:paraId="693BECC7" w14:textId="01507980" w:rsidR="00CB2414" w:rsidRPr="00061B4D" w:rsidRDefault="00061B4D" w:rsidP="00061B4D">
      <w:pPr>
        <w:pStyle w:val="Style1"/>
      </w:pPr>
      <w:bookmarkStart w:id="15" w:name="_Ref43985182"/>
      <w:bookmarkStart w:id="16" w:name="_Toc21528018"/>
      <w:r w:rsidRPr="00061B4D">
        <w:lastRenderedPageBreak/>
        <w:t xml:space="preserve">Table </w:t>
      </w:r>
      <w:r w:rsidR="002665AC">
        <w:fldChar w:fldCharType="begin"/>
      </w:r>
      <w:r w:rsidR="002665AC">
        <w:instrText xml:space="preserve"> SEQ Table \* ARABIC </w:instrText>
      </w:r>
      <w:r w:rsidR="002665AC">
        <w:fldChar w:fldCharType="separate"/>
      </w:r>
      <w:r w:rsidR="00E05271">
        <w:rPr>
          <w:noProof/>
        </w:rPr>
        <w:t>5</w:t>
      </w:r>
      <w:r w:rsidR="002665AC">
        <w:rPr>
          <w:noProof/>
        </w:rPr>
        <w:fldChar w:fldCharType="end"/>
      </w:r>
      <w:bookmarkEnd w:id="15"/>
      <w:r w:rsidRPr="00061B4D">
        <w:tab/>
      </w:r>
      <w:r w:rsidR="00CB2414" w:rsidRPr="00061B4D">
        <w:t>Balance of clinical benefits and harms of using EA, relative to alternative procedures, and as measured by the critical patient-relevant outcomes in the key studies</w:t>
      </w:r>
      <w:bookmarkEnd w:id="16"/>
      <w:r w:rsidR="00CB2414" w:rsidRPr="00061B4D">
        <w:t xml:space="preserve"> </w:t>
      </w:r>
    </w:p>
    <w:tbl>
      <w:tblPr>
        <w:tblW w:w="5000" w:type="pct"/>
        <w:tblLook w:val="04A0" w:firstRow="1" w:lastRow="0" w:firstColumn="1" w:lastColumn="0" w:noHBand="0" w:noVBand="1"/>
        <w:tblDescription w:val="Summary of findings table"/>
      </w:tblPr>
      <w:tblGrid>
        <w:gridCol w:w="1394"/>
        <w:gridCol w:w="1668"/>
        <w:gridCol w:w="1052"/>
        <w:gridCol w:w="1346"/>
        <w:gridCol w:w="1636"/>
        <w:gridCol w:w="1920"/>
      </w:tblGrid>
      <w:tr w:rsidR="00CB2414" w:rsidRPr="00154A9C" w14:paraId="0C8AC31A" w14:textId="77777777" w:rsidTr="00CB2414">
        <w:trPr>
          <w:trHeight w:val="818"/>
          <w:tblHeader/>
        </w:trPr>
        <w:tc>
          <w:tcPr>
            <w:tcW w:w="781" w:type="pct"/>
            <w:tcBorders>
              <w:top w:val="single" w:sz="4" w:space="0" w:color="auto"/>
              <w:left w:val="single" w:sz="4" w:space="0" w:color="auto"/>
              <w:bottom w:val="single" w:sz="4" w:space="0" w:color="auto"/>
              <w:right w:val="single" w:sz="4" w:space="0" w:color="auto"/>
            </w:tcBorders>
          </w:tcPr>
          <w:p w14:paraId="3AF78BB9" w14:textId="77777777" w:rsidR="00CB2414" w:rsidRPr="00154A9C" w:rsidRDefault="00CB2414" w:rsidP="00875308">
            <w:pPr>
              <w:pStyle w:val="Tabletext"/>
              <w:spacing w:before="0" w:after="0"/>
              <w:rPr>
                <w:b/>
              </w:rPr>
            </w:pPr>
            <w:bookmarkStart w:id="17" w:name="_GoBack" w:colFirst="0" w:colLast="6"/>
            <w:r w:rsidRPr="00154A9C">
              <w:rPr>
                <w:b/>
              </w:rPr>
              <w:t>Outcomes (units)</w:t>
            </w:r>
          </w:p>
          <w:p w14:paraId="45B81498" w14:textId="77777777" w:rsidR="00CB2414" w:rsidRPr="00154A9C" w:rsidRDefault="00CB2414" w:rsidP="00875308">
            <w:pPr>
              <w:pStyle w:val="Tabletext"/>
              <w:spacing w:before="0" w:after="0"/>
              <w:rPr>
                <w:b/>
              </w:rPr>
            </w:pPr>
            <w:r w:rsidRPr="00154A9C">
              <w:rPr>
                <w:b/>
              </w:rPr>
              <w:t>Follow-up</w:t>
            </w:r>
          </w:p>
        </w:tc>
        <w:tc>
          <w:tcPr>
            <w:tcW w:w="933" w:type="pct"/>
            <w:tcBorders>
              <w:top w:val="single" w:sz="4" w:space="0" w:color="auto"/>
              <w:left w:val="single" w:sz="4" w:space="0" w:color="auto"/>
              <w:bottom w:val="single" w:sz="4" w:space="0" w:color="auto"/>
              <w:right w:val="single" w:sz="4" w:space="0" w:color="auto"/>
            </w:tcBorders>
          </w:tcPr>
          <w:p w14:paraId="41FAE3A2" w14:textId="77777777" w:rsidR="00CB2414" w:rsidRPr="00154A9C" w:rsidRDefault="00CB2414" w:rsidP="00875308">
            <w:pPr>
              <w:pStyle w:val="Tabletext"/>
              <w:spacing w:before="0" w:after="0"/>
              <w:rPr>
                <w:b/>
              </w:rPr>
            </w:pPr>
            <w:r w:rsidRPr="00154A9C">
              <w:rPr>
                <w:b/>
              </w:rPr>
              <w:t>Participants (studies)</w:t>
            </w:r>
          </w:p>
          <w:p w14:paraId="50FBA494" w14:textId="77777777" w:rsidR="00CB2414" w:rsidRPr="00154A9C" w:rsidRDefault="00CB2414" w:rsidP="00875308">
            <w:pPr>
              <w:pStyle w:val="Tabletext"/>
              <w:spacing w:before="0" w:after="0"/>
              <w:rPr>
                <w:b/>
              </w:rPr>
            </w:pPr>
          </w:p>
        </w:tc>
        <w:tc>
          <w:tcPr>
            <w:tcW w:w="545" w:type="pct"/>
            <w:tcBorders>
              <w:top w:val="single" w:sz="4" w:space="0" w:color="auto"/>
              <w:left w:val="single" w:sz="4" w:space="0" w:color="auto"/>
              <w:bottom w:val="single" w:sz="4" w:space="0" w:color="auto"/>
              <w:right w:val="single" w:sz="4" w:space="0" w:color="auto"/>
            </w:tcBorders>
          </w:tcPr>
          <w:p w14:paraId="60E59CBA" w14:textId="77777777" w:rsidR="00CB2414" w:rsidRPr="00154A9C" w:rsidRDefault="00CB2414" w:rsidP="00875308">
            <w:pPr>
              <w:pStyle w:val="Tabletext"/>
              <w:spacing w:before="0" w:after="0"/>
              <w:rPr>
                <w:b/>
              </w:rPr>
            </w:pPr>
            <w:r w:rsidRPr="00154A9C">
              <w:rPr>
                <w:b/>
              </w:rPr>
              <w:t>Quality of evidence (GRADE)</w:t>
            </w:r>
          </w:p>
        </w:tc>
        <w:tc>
          <w:tcPr>
            <w:tcW w:w="754" w:type="pct"/>
            <w:tcBorders>
              <w:top w:val="single" w:sz="4" w:space="0" w:color="auto"/>
              <w:left w:val="single" w:sz="4" w:space="0" w:color="auto"/>
              <w:bottom w:val="single" w:sz="4" w:space="0" w:color="auto"/>
              <w:right w:val="single" w:sz="4" w:space="0" w:color="auto"/>
            </w:tcBorders>
          </w:tcPr>
          <w:p w14:paraId="63BA790A" w14:textId="77777777" w:rsidR="00CB2414" w:rsidRPr="00154A9C" w:rsidRDefault="00CB2414" w:rsidP="00875308">
            <w:pPr>
              <w:pStyle w:val="Tabletext"/>
              <w:spacing w:before="0" w:after="0"/>
              <w:rPr>
                <w:b/>
              </w:rPr>
            </w:pPr>
            <w:r w:rsidRPr="00154A9C">
              <w:rPr>
                <w:b/>
              </w:rPr>
              <w:t>Risk with EA</w:t>
            </w:r>
          </w:p>
        </w:tc>
        <w:tc>
          <w:tcPr>
            <w:tcW w:w="915" w:type="pct"/>
            <w:tcBorders>
              <w:top w:val="single" w:sz="4" w:space="0" w:color="auto"/>
              <w:left w:val="single" w:sz="4" w:space="0" w:color="auto"/>
              <w:bottom w:val="single" w:sz="4" w:space="0" w:color="auto"/>
              <w:right w:val="single" w:sz="4" w:space="0" w:color="auto"/>
            </w:tcBorders>
          </w:tcPr>
          <w:p w14:paraId="03C25CF0" w14:textId="77777777" w:rsidR="00CB2414" w:rsidRPr="00154A9C" w:rsidRDefault="00CB2414" w:rsidP="00875308">
            <w:pPr>
              <w:pStyle w:val="Tabletext"/>
              <w:spacing w:before="0" w:after="0"/>
              <w:rPr>
                <w:b/>
              </w:rPr>
            </w:pPr>
            <w:r w:rsidRPr="00154A9C">
              <w:rPr>
                <w:b/>
              </w:rPr>
              <w:t>Risk with comparator</w:t>
            </w:r>
          </w:p>
          <w:p w14:paraId="527410AB" w14:textId="77777777" w:rsidR="00CB2414" w:rsidRPr="00154A9C" w:rsidRDefault="00CB2414" w:rsidP="00875308">
            <w:pPr>
              <w:pStyle w:val="Tabletext"/>
              <w:spacing w:before="0" w:after="0"/>
              <w:rPr>
                <w:b/>
              </w:rPr>
            </w:pPr>
            <w:r w:rsidRPr="00154A9C">
              <w:rPr>
                <w:b/>
              </w:rPr>
              <w:t>% (95% CI)</w:t>
            </w:r>
          </w:p>
        </w:tc>
        <w:tc>
          <w:tcPr>
            <w:tcW w:w="1072" w:type="pct"/>
            <w:tcBorders>
              <w:top w:val="single" w:sz="4" w:space="0" w:color="auto"/>
              <w:left w:val="single" w:sz="4" w:space="0" w:color="auto"/>
              <w:bottom w:val="single" w:sz="4" w:space="0" w:color="auto"/>
              <w:right w:val="single" w:sz="4" w:space="0" w:color="auto"/>
            </w:tcBorders>
          </w:tcPr>
          <w:p w14:paraId="49B053C7" w14:textId="77777777" w:rsidR="00CB2414" w:rsidRPr="00154A9C" w:rsidRDefault="00CB2414" w:rsidP="00875308">
            <w:pPr>
              <w:pStyle w:val="Tabletext"/>
              <w:spacing w:before="0" w:after="0"/>
              <w:rPr>
                <w:b/>
              </w:rPr>
            </w:pPr>
            <w:r w:rsidRPr="00154A9C">
              <w:rPr>
                <w:b/>
              </w:rPr>
              <w:t>Comments</w:t>
            </w:r>
          </w:p>
        </w:tc>
      </w:tr>
      <w:tr w:rsidR="00CB2414" w:rsidRPr="00154A9C" w14:paraId="7C606FA6" w14:textId="77777777" w:rsidTr="00CB2414">
        <w:trPr>
          <w:trHeight w:val="303"/>
        </w:trPr>
        <w:tc>
          <w:tcPr>
            <w:tcW w:w="781" w:type="pct"/>
            <w:tcBorders>
              <w:top w:val="single" w:sz="4" w:space="0" w:color="auto"/>
              <w:left w:val="single" w:sz="4" w:space="0" w:color="auto"/>
              <w:bottom w:val="single" w:sz="4" w:space="0" w:color="auto"/>
            </w:tcBorders>
            <w:shd w:val="clear" w:color="auto" w:fill="D9D9D9" w:themeFill="background1" w:themeFillShade="D9"/>
          </w:tcPr>
          <w:p w14:paraId="426B6CB3" w14:textId="77777777" w:rsidR="00CB2414" w:rsidRPr="00154A9C" w:rsidRDefault="00CB2414" w:rsidP="00875308">
            <w:pPr>
              <w:pStyle w:val="TableHeading"/>
              <w:spacing w:before="0" w:after="0"/>
            </w:pPr>
            <w:r w:rsidRPr="00154A9C">
              <w:t>Population 1</w:t>
            </w:r>
          </w:p>
        </w:tc>
        <w:tc>
          <w:tcPr>
            <w:tcW w:w="933" w:type="pct"/>
            <w:tcBorders>
              <w:top w:val="single" w:sz="4" w:space="0" w:color="auto"/>
              <w:bottom w:val="single" w:sz="4" w:space="0" w:color="auto"/>
            </w:tcBorders>
            <w:shd w:val="clear" w:color="auto" w:fill="D9D9D9" w:themeFill="background1" w:themeFillShade="D9"/>
          </w:tcPr>
          <w:p w14:paraId="2E35E7F8" w14:textId="77777777" w:rsidR="00CB2414" w:rsidRPr="00154A9C" w:rsidRDefault="00CB2414" w:rsidP="00875308">
            <w:pPr>
              <w:pStyle w:val="TableHeading"/>
              <w:spacing w:before="0" w:after="0"/>
            </w:pPr>
          </w:p>
        </w:tc>
        <w:tc>
          <w:tcPr>
            <w:tcW w:w="545" w:type="pct"/>
            <w:tcBorders>
              <w:top w:val="single" w:sz="4" w:space="0" w:color="auto"/>
              <w:bottom w:val="single" w:sz="4" w:space="0" w:color="auto"/>
            </w:tcBorders>
            <w:shd w:val="clear" w:color="auto" w:fill="D9D9D9" w:themeFill="background1" w:themeFillShade="D9"/>
          </w:tcPr>
          <w:p w14:paraId="6510DFDF" w14:textId="77777777" w:rsidR="00CB2414" w:rsidRPr="00154A9C" w:rsidRDefault="00CB2414" w:rsidP="00875308">
            <w:pPr>
              <w:pStyle w:val="TableHeading"/>
              <w:spacing w:before="0" w:after="0"/>
            </w:pPr>
          </w:p>
        </w:tc>
        <w:tc>
          <w:tcPr>
            <w:tcW w:w="754" w:type="pct"/>
            <w:tcBorders>
              <w:top w:val="single" w:sz="4" w:space="0" w:color="auto"/>
              <w:bottom w:val="single" w:sz="4" w:space="0" w:color="auto"/>
            </w:tcBorders>
            <w:shd w:val="clear" w:color="auto" w:fill="D9D9D9" w:themeFill="background1" w:themeFillShade="D9"/>
          </w:tcPr>
          <w:p w14:paraId="5369527D" w14:textId="77777777" w:rsidR="00CB2414" w:rsidRPr="00154A9C" w:rsidRDefault="00CB2414" w:rsidP="00875308">
            <w:pPr>
              <w:pStyle w:val="TableHeading"/>
              <w:spacing w:before="0" w:after="0"/>
            </w:pPr>
          </w:p>
        </w:tc>
        <w:tc>
          <w:tcPr>
            <w:tcW w:w="915" w:type="pct"/>
            <w:tcBorders>
              <w:top w:val="single" w:sz="4" w:space="0" w:color="auto"/>
              <w:bottom w:val="single" w:sz="4" w:space="0" w:color="auto"/>
            </w:tcBorders>
            <w:shd w:val="clear" w:color="auto" w:fill="D9D9D9" w:themeFill="background1" w:themeFillShade="D9"/>
          </w:tcPr>
          <w:p w14:paraId="0A8E7582" w14:textId="77777777" w:rsidR="00CB2414" w:rsidRPr="00154A9C" w:rsidRDefault="00CB2414" w:rsidP="00875308">
            <w:pPr>
              <w:pStyle w:val="TableHeading"/>
              <w:spacing w:before="0" w:after="0"/>
            </w:pPr>
          </w:p>
        </w:tc>
        <w:tc>
          <w:tcPr>
            <w:tcW w:w="1072" w:type="pct"/>
            <w:tcBorders>
              <w:top w:val="single" w:sz="4" w:space="0" w:color="auto"/>
              <w:bottom w:val="single" w:sz="4" w:space="0" w:color="auto"/>
              <w:right w:val="single" w:sz="4" w:space="0" w:color="auto"/>
            </w:tcBorders>
            <w:shd w:val="clear" w:color="auto" w:fill="D9D9D9" w:themeFill="background1" w:themeFillShade="D9"/>
          </w:tcPr>
          <w:p w14:paraId="163EA584" w14:textId="77777777" w:rsidR="00CB2414" w:rsidRPr="00154A9C" w:rsidRDefault="00CB2414" w:rsidP="00875308">
            <w:pPr>
              <w:pStyle w:val="TableHeading"/>
              <w:spacing w:before="0" w:after="0"/>
            </w:pPr>
          </w:p>
        </w:tc>
      </w:tr>
      <w:tr w:rsidR="00CB2414" w:rsidRPr="00154A9C" w14:paraId="19191F11" w14:textId="77777777" w:rsidTr="00CB2414">
        <w:trPr>
          <w:trHeight w:val="265"/>
        </w:trPr>
        <w:tc>
          <w:tcPr>
            <w:tcW w:w="781" w:type="pct"/>
            <w:tcBorders>
              <w:top w:val="single" w:sz="4" w:space="0" w:color="auto"/>
              <w:left w:val="single" w:sz="4" w:space="0" w:color="auto"/>
              <w:bottom w:val="single" w:sz="4" w:space="0" w:color="auto"/>
              <w:right w:val="single" w:sz="4" w:space="0" w:color="auto"/>
            </w:tcBorders>
          </w:tcPr>
          <w:p w14:paraId="1AA82413" w14:textId="77777777" w:rsidR="00CB2414" w:rsidRPr="00154A9C" w:rsidRDefault="00CB2414" w:rsidP="00875308">
            <w:pPr>
              <w:pStyle w:val="Tabletext"/>
              <w:spacing w:before="0" w:after="0"/>
            </w:pPr>
            <w:r w:rsidRPr="00154A9C">
              <w:t>Early (30 day) mortality</w:t>
            </w:r>
          </w:p>
        </w:tc>
        <w:tc>
          <w:tcPr>
            <w:tcW w:w="933" w:type="pct"/>
            <w:tcBorders>
              <w:top w:val="single" w:sz="4" w:space="0" w:color="auto"/>
              <w:left w:val="single" w:sz="4" w:space="0" w:color="auto"/>
              <w:bottom w:val="single" w:sz="4" w:space="0" w:color="auto"/>
              <w:right w:val="single" w:sz="4" w:space="0" w:color="auto"/>
            </w:tcBorders>
          </w:tcPr>
          <w:p w14:paraId="3F7CAE9D" w14:textId="77777777" w:rsidR="00CB2414" w:rsidRPr="00154A9C" w:rsidRDefault="00CB2414" w:rsidP="00875308">
            <w:pPr>
              <w:pStyle w:val="Tabletext"/>
              <w:spacing w:before="0" w:after="0"/>
            </w:pPr>
            <w:r w:rsidRPr="00154A9C">
              <w:t>EVAR+EA, N=64, k=3</w:t>
            </w:r>
          </w:p>
          <w:p w14:paraId="2D43A257" w14:textId="77777777" w:rsidR="00CB2414" w:rsidRPr="00154A9C" w:rsidRDefault="00CB2414" w:rsidP="00875308">
            <w:pPr>
              <w:pStyle w:val="Tabletext"/>
              <w:spacing w:before="0" w:after="0"/>
            </w:pPr>
            <w:r w:rsidRPr="00154A9C">
              <w:t>Complex EVAR, N=666; k=11</w:t>
            </w:r>
          </w:p>
        </w:tc>
        <w:tc>
          <w:tcPr>
            <w:tcW w:w="545" w:type="pct"/>
            <w:tcBorders>
              <w:top w:val="single" w:sz="4" w:space="0" w:color="auto"/>
              <w:left w:val="single" w:sz="4" w:space="0" w:color="auto"/>
              <w:bottom w:val="single" w:sz="4" w:space="0" w:color="auto"/>
              <w:right w:val="single" w:sz="4" w:space="0" w:color="auto"/>
            </w:tcBorders>
          </w:tcPr>
          <w:p w14:paraId="16B7AD43" w14:textId="77777777" w:rsidR="00CB2414" w:rsidRPr="00154A9C" w:rsidRDefault="00CB2414" w:rsidP="00875308">
            <w:pPr>
              <w:pStyle w:val="Tabletext"/>
              <w:spacing w:before="0" w:after="0"/>
              <w:rPr>
                <w:vertAlign w:val="superscript"/>
              </w:rPr>
            </w:pPr>
            <w:r w:rsidRPr="00154A9C">
              <w:rPr>
                <w:rFonts w:ascii="Cambria Math" w:hAnsi="Cambria Math"/>
                <w:color w:val="00B050"/>
              </w:rPr>
              <w:t>⨁</w:t>
            </w:r>
            <w:r w:rsidRPr="00154A9C">
              <w:rPr>
                <w:rFonts w:ascii="Cambria Math" w:hAnsi="Cambria Math" w:cs="Cambria Math"/>
                <w:color w:val="C00000"/>
              </w:rPr>
              <w:t>⨀⨀⨀</w:t>
            </w:r>
          </w:p>
        </w:tc>
        <w:tc>
          <w:tcPr>
            <w:tcW w:w="754" w:type="pct"/>
            <w:tcBorders>
              <w:top w:val="single" w:sz="4" w:space="0" w:color="auto"/>
              <w:left w:val="single" w:sz="4" w:space="0" w:color="auto"/>
              <w:bottom w:val="single" w:sz="4" w:space="0" w:color="auto"/>
              <w:right w:val="single" w:sz="4" w:space="0" w:color="auto"/>
            </w:tcBorders>
          </w:tcPr>
          <w:p w14:paraId="1F7EAC06" w14:textId="77777777" w:rsidR="00CB2414" w:rsidRPr="00154A9C" w:rsidRDefault="00CB2414" w:rsidP="00875308">
            <w:pPr>
              <w:pStyle w:val="Tabletext"/>
              <w:spacing w:before="0" w:after="0"/>
            </w:pPr>
            <w:r w:rsidRPr="00154A9C">
              <w:t>1% (95%CI: 0% - 5%)</w:t>
            </w:r>
          </w:p>
        </w:tc>
        <w:tc>
          <w:tcPr>
            <w:tcW w:w="915" w:type="pct"/>
            <w:tcBorders>
              <w:top w:val="single" w:sz="4" w:space="0" w:color="auto"/>
              <w:left w:val="single" w:sz="4" w:space="0" w:color="auto"/>
              <w:bottom w:val="single" w:sz="4" w:space="0" w:color="auto"/>
              <w:right w:val="single" w:sz="4" w:space="0" w:color="auto"/>
            </w:tcBorders>
          </w:tcPr>
          <w:p w14:paraId="599A1CFF" w14:textId="77777777" w:rsidR="00CB2414" w:rsidRPr="00154A9C" w:rsidRDefault="00CB2414" w:rsidP="00875308">
            <w:pPr>
              <w:pStyle w:val="TableText0"/>
              <w:keepNext w:val="0"/>
              <w:spacing w:before="0" w:after="0"/>
              <w:ind w:right="117"/>
            </w:pPr>
            <w:r w:rsidRPr="00154A9C">
              <w:rPr>
                <w:snapToGrid w:val="0"/>
              </w:rPr>
              <w:t>1% (0% - 3%)</w:t>
            </w:r>
          </w:p>
        </w:tc>
        <w:tc>
          <w:tcPr>
            <w:tcW w:w="1072" w:type="pct"/>
            <w:tcBorders>
              <w:top w:val="single" w:sz="4" w:space="0" w:color="auto"/>
              <w:left w:val="single" w:sz="4" w:space="0" w:color="auto"/>
              <w:bottom w:val="single" w:sz="4" w:space="0" w:color="auto"/>
              <w:right w:val="single" w:sz="4" w:space="0" w:color="auto"/>
            </w:tcBorders>
          </w:tcPr>
          <w:p w14:paraId="08575308" w14:textId="77777777" w:rsidR="00CB2414" w:rsidRPr="00154A9C" w:rsidRDefault="00CB2414" w:rsidP="00875308">
            <w:pPr>
              <w:pStyle w:val="Tabletext"/>
              <w:spacing w:before="0" w:after="0"/>
            </w:pPr>
            <w:r w:rsidRPr="00154A9C">
              <w:t>No difference</w:t>
            </w:r>
          </w:p>
        </w:tc>
      </w:tr>
      <w:tr w:rsidR="00CB2414" w:rsidRPr="00154A9C" w14:paraId="1D32FA41" w14:textId="77777777" w:rsidTr="00CB2414">
        <w:trPr>
          <w:trHeight w:val="25"/>
        </w:trPr>
        <w:tc>
          <w:tcPr>
            <w:tcW w:w="781" w:type="pct"/>
            <w:tcBorders>
              <w:top w:val="single" w:sz="4" w:space="0" w:color="auto"/>
              <w:left w:val="single" w:sz="4" w:space="0" w:color="auto"/>
              <w:bottom w:val="single" w:sz="4" w:space="0" w:color="auto"/>
              <w:right w:val="single" w:sz="4" w:space="0" w:color="auto"/>
            </w:tcBorders>
          </w:tcPr>
          <w:p w14:paraId="73C99BC0" w14:textId="77777777" w:rsidR="00CB2414" w:rsidRPr="00154A9C" w:rsidRDefault="00CB2414" w:rsidP="00875308">
            <w:pPr>
              <w:pStyle w:val="Tabletext"/>
              <w:spacing w:before="0" w:after="0"/>
            </w:pPr>
            <w:r w:rsidRPr="00154A9C">
              <w:t>All-cause mortality</w:t>
            </w:r>
          </w:p>
        </w:tc>
        <w:tc>
          <w:tcPr>
            <w:tcW w:w="933" w:type="pct"/>
            <w:tcBorders>
              <w:top w:val="single" w:sz="4" w:space="0" w:color="auto"/>
              <w:left w:val="single" w:sz="4" w:space="0" w:color="auto"/>
              <w:bottom w:val="single" w:sz="4" w:space="0" w:color="auto"/>
              <w:right w:val="single" w:sz="4" w:space="0" w:color="auto"/>
            </w:tcBorders>
          </w:tcPr>
          <w:p w14:paraId="18690705" w14:textId="77777777" w:rsidR="00CB2414" w:rsidRPr="00154A9C" w:rsidRDefault="00CB2414" w:rsidP="00875308">
            <w:pPr>
              <w:pStyle w:val="Tabletext"/>
              <w:spacing w:before="0" w:after="0"/>
            </w:pPr>
            <w:r w:rsidRPr="00154A9C">
              <w:t>EVAR+EA, N=219, k=3</w:t>
            </w:r>
          </w:p>
          <w:p w14:paraId="103EFE72" w14:textId="77777777" w:rsidR="00CB2414" w:rsidRPr="00154A9C" w:rsidRDefault="00CB2414" w:rsidP="00875308">
            <w:pPr>
              <w:pStyle w:val="Tabletext"/>
              <w:spacing w:before="0" w:after="0"/>
            </w:pPr>
            <w:r w:rsidRPr="00154A9C">
              <w:t>Complex EVAR, N=546; k=9</w:t>
            </w:r>
          </w:p>
        </w:tc>
        <w:tc>
          <w:tcPr>
            <w:tcW w:w="545" w:type="pct"/>
            <w:tcBorders>
              <w:top w:val="single" w:sz="4" w:space="0" w:color="auto"/>
              <w:left w:val="single" w:sz="4" w:space="0" w:color="auto"/>
              <w:bottom w:val="single" w:sz="4" w:space="0" w:color="auto"/>
              <w:right w:val="single" w:sz="4" w:space="0" w:color="auto"/>
            </w:tcBorders>
          </w:tcPr>
          <w:p w14:paraId="5BB414A8" w14:textId="77777777" w:rsidR="00CB2414" w:rsidRPr="00154A9C" w:rsidRDefault="00CB2414" w:rsidP="00875308">
            <w:pPr>
              <w:pStyle w:val="Tabletext"/>
              <w:spacing w:before="0" w:after="0"/>
              <w:rPr>
                <w:vertAlign w:val="superscript"/>
              </w:rPr>
            </w:pPr>
            <w:r w:rsidRPr="00154A9C">
              <w:rPr>
                <w:rFonts w:ascii="Cambria Math" w:hAnsi="Cambria Math"/>
                <w:color w:val="00B050"/>
              </w:rPr>
              <w:t>⨁</w:t>
            </w:r>
            <w:r w:rsidRPr="00154A9C">
              <w:rPr>
                <w:rFonts w:ascii="Cambria Math" w:hAnsi="Cambria Math" w:cs="Cambria Math"/>
                <w:color w:val="C00000"/>
              </w:rPr>
              <w:t>⨀⨀⨀</w:t>
            </w:r>
          </w:p>
        </w:tc>
        <w:tc>
          <w:tcPr>
            <w:tcW w:w="754" w:type="pct"/>
            <w:tcBorders>
              <w:top w:val="single" w:sz="4" w:space="0" w:color="auto"/>
              <w:left w:val="single" w:sz="4" w:space="0" w:color="auto"/>
              <w:bottom w:val="single" w:sz="4" w:space="0" w:color="auto"/>
              <w:right w:val="single" w:sz="4" w:space="0" w:color="auto"/>
            </w:tcBorders>
          </w:tcPr>
          <w:p w14:paraId="2689688B" w14:textId="77777777" w:rsidR="00CB2414" w:rsidRPr="00154A9C" w:rsidRDefault="00CB2414" w:rsidP="00875308">
            <w:pPr>
              <w:pStyle w:val="Tabletext"/>
              <w:spacing w:before="0" w:after="0"/>
            </w:pPr>
            <w:r w:rsidRPr="00154A9C">
              <w:t>3% (95%CI: 1% - 5%)</w:t>
            </w:r>
          </w:p>
        </w:tc>
        <w:tc>
          <w:tcPr>
            <w:tcW w:w="915" w:type="pct"/>
            <w:tcBorders>
              <w:top w:val="single" w:sz="4" w:space="0" w:color="auto"/>
              <w:left w:val="single" w:sz="4" w:space="0" w:color="auto"/>
              <w:bottom w:val="single" w:sz="4" w:space="0" w:color="auto"/>
              <w:right w:val="single" w:sz="4" w:space="0" w:color="auto"/>
            </w:tcBorders>
          </w:tcPr>
          <w:p w14:paraId="007C6B7A" w14:textId="77777777" w:rsidR="00CB2414" w:rsidRPr="00154A9C" w:rsidRDefault="00CB2414" w:rsidP="00875308">
            <w:pPr>
              <w:pStyle w:val="TableText0"/>
              <w:keepNext w:val="0"/>
              <w:spacing w:before="0" w:after="0"/>
              <w:ind w:right="117"/>
            </w:pPr>
            <w:r w:rsidRPr="00154A9C">
              <w:rPr>
                <w:snapToGrid w:val="0"/>
              </w:rPr>
              <w:t>4% (: 2% - 7%)</w:t>
            </w:r>
          </w:p>
        </w:tc>
        <w:tc>
          <w:tcPr>
            <w:tcW w:w="1072" w:type="pct"/>
            <w:tcBorders>
              <w:top w:val="single" w:sz="4" w:space="0" w:color="auto"/>
              <w:left w:val="single" w:sz="4" w:space="0" w:color="auto"/>
              <w:bottom w:val="single" w:sz="4" w:space="0" w:color="auto"/>
              <w:right w:val="single" w:sz="4" w:space="0" w:color="auto"/>
            </w:tcBorders>
          </w:tcPr>
          <w:p w14:paraId="4033C5AB" w14:textId="77777777" w:rsidR="00CB2414" w:rsidRPr="00154A9C" w:rsidRDefault="00CB2414" w:rsidP="00875308">
            <w:pPr>
              <w:pStyle w:val="Tabletext"/>
              <w:spacing w:before="0" w:after="0"/>
            </w:pPr>
            <w:r w:rsidRPr="00154A9C">
              <w:t>No difference</w:t>
            </w:r>
          </w:p>
        </w:tc>
      </w:tr>
      <w:tr w:rsidR="00CB2414" w:rsidRPr="00154A9C" w14:paraId="195C6575" w14:textId="77777777" w:rsidTr="00CB2414">
        <w:trPr>
          <w:trHeight w:val="333"/>
        </w:trPr>
        <w:tc>
          <w:tcPr>
            <w:tcW w:w="781" w:type="pct"/>
            <w:tcBorders>
              <w:top w:val="single" w:sz="4" w:space="0" w:color="auto"/>
              <w:left w:val="single" w:sz="4" w:space="0" w:color="auto"/>
              <w:bottom w:val="single" w:sz="4" w:space="0" w:color="auto"/>
              <w:right w:val="single" w:sz="4" w:space="0" w:color="auto"/>
            </w:tcBorders>
          </w:tcPr>
          <w:p w14:paraId="47B75958" w14:textId="77777777" w:rsidR="00CB2414" w:rsidRPr="00154A9C" w:rsidRDefault="00CB2414" w:rsidP="00875308">
            <w:pPr>
              <w:pStyle w:val="Tabletext"/>
              <w:spacing w:before="0" w:after="0"/>
            </w:pPr>
            <w:r w:rsidRPr="00154A9C">
              <w:t>Persistent (&lt;30 day) Type Ia Endoleak</w:t>
            </w:r>
          </w:p>
        </w:tc>
        <w:tc>
          <w:tcPr>
            <w:tcW w:w="933" w:type="pct"/>
            <w:tcBorders>
              <w:top w:val="single" w:sz="4" w:space="0" w:color="auto"/>
              <w:left w:val="single" w:sz="4" w:space="0" w:color="auto"/>
              <w:bottom w:val="single" w:sz="4" w:space="0" w:color="auto"/>
              <w:right w:val="single" w:sz="4" w:space="0" w:color="auto"/>
            </w:tcBorders>
          </w:tcPr>
          <w:p w14:paraId="5FEB549E" w14:textId="77777777" w:rsidR="00CB2414" w:rsidRPr="00154A9C" w:rsidRDefault="00CB2414" w:rsidP="00875308">
            <w:pPr>
              <w:pStyle w:val="Tabletext"/>
              <w:spacing w:before="0" w:after="0"/>
            </w:pPr>
            <w:r w:rsidRPr="00154A9C">
              <w:t>EVAR+EA, N=201, k=4</w:t>
            </w:r>
          </w:p>
          <w:p w14:paraId="621A0E75" w14:textId="77777777" w:rsidR="00CB2414" w:rsidRPr="00154A9C" w:rsidRDefault="00CB2414" w:rsidP="00875308">
            <w:pPr>
              <w:pStyle w:val="Tabletext"/>
              <w:spacing w:before="0" w:after="0"/>
            </w:pPr>
            <w:r w:rsidRPr="00154A9C">
              <w:t>Complex EVAR, N=452; k=7</w:t>
            </w:r>
          </w:p>
        </w:tc>
        <w:tc>
          <w:tcPr>
            <w:tcW w:w="545" w:type="pct"/>
            <w:tcBorders>
              <w:top w:val="single" w:sz="4" w:space="0" w:color="auto"/>
              <w:left w:val="single" w:sz="4" w:space="0" w:color="auto"/>
              <w:bottom w:val="single" w:sz="4" w:space="0" w:color="auto"/>
              <w:right w:val="single" w:sz="4" w:space="0" w:color="auto"/>
            </w:tcBorders>
          </w:tcPr>
          <w:p w14:paraId="1CA98F46" w14:textId="77777777" w:rsidR="00CB2414" w:rsidRPr="00154A9C" w:rsidRDefault="00CB2414" w:rsidP="00875308">
            <w:pPr>
              <w:pStyle w:val="Tabletext"/>
              <w:spacing w:before="0" w:after="0"/>
              <w:rPr>
                <w:vertAlign w:val="superscript"/>
              </w:rPr>
            </w:pPr>
            <w:r w:rsidRPr="00154A9C">
              <w:rPr>
                <w:rFonts w:ascii="Cambria Math" w:hAnsi="Cambria Math"/>
                <w:color w:val="00B050"/>
              </w:rPr>
              <w:t>⨁</w:t>
            </w:r>
            <w:r w:rsidRPr="00154A9C">
              <w:rPr>
                <w:rFonts w:ascii="Cambria Math" w:hAnsi="Cambria Math" w:cs="Cambria Math"/>
                <w:color w:val="C00000"/>
              </w:rPr>
              <w:t>⨀⨀⨀</w:t>
            </w:r>
          </w:p>
        </w:tc>
        <w:tc>
          <w:tcPr>
            <w:tcW w:w="754" w:type="pct"/>
            <w:tcBorders>
              <w:top w:val="single" w:sz="4" w:space="0" w:color="auto"/>
              <w:left w:val="single" w:sz="4" w:space="0" w:color="auto"/>
              <w:bottom w:val="single" w:sz="4" w:space="0" w:color="auto"/>
              <w:right w:val="single" w:sz="4" w:space="0" w:color="auto"/>
            </w:tcBorders>
          </w:tcPr>
          <w:p w14:paraId="2FEA3211" w14:textId="77777777" w:rsidR="00CB2414" w:rsidRPr="00154A9C" w:rsidRDefault="00CB2414" w:rsidP="00875308">
            <w:pPr>
              <w:pStyle w:val="Tabletext"/>
              <w:spacing w:before="0" w:after="0"/>
            </w:pPr>
            <w:r w:rsidRPr="00154A9C">
              <w:t>1% (95%CI: 0% - 3%)</w:t>
            </w:r>
          </w:p>
        </w:tc>
        <w:tc>
          <w:tcPr>
            <w:tcW w:w="915" w:type="pct"/>
            <w:tcBorders>
              <w:top w:val="single" w:sz="4" w:space="0" w:color="auto"/>
              <w:left w:val="single" w:sz="4" w:space="0" w:color="auto"/>
              <w:bottom w:val="single" w:sz="4" w:space="0" w:color="auto"/>
              <w:right w:val="single" w:sz="4" w:space="0" w:color="auto"/>
            </w:tcBorders>
          </w:tcPr>
          <w:p w14:paraId="468F9483" w14:textId="77777777" w:rsidR="00CB2414" w:rsidRPr="00154A9C" w:rsidRDefault="00CB2414" w:rsidP="00875308">
            <w:pPr>
              <w:pStyle w:val="Tabletext"/>
              <w:spacing w:before="0" w:after="0"/>
            </w:pPr>
            <w:r w:rsidRPr="00154A9C">
              <w:t>0% (0% - 1%)</w:t>
            </w:r>
          </w:p>
        </w:tc>
        <w:tc>
          <w:tcPr>
            <w:tcW w:w="1072" w:type="pct"/>
            <w:tcBorders>
              <w:top w:val="single" w:sz="4" w:space="0" w:color="auto"/>
              <w:left w:val="single" w:sz="4" w:space="0" w:color="auto"/>
              <w:bottom w:val="single" w:sz="4" w:space="0" w:color="auto"/>
              <w:right w:val="single" w:sz="4" w:space="0" w:color="auto"/>
            </w:tcBorders>
          </w:tcPr>
          <w:p w14:paraId="0D41335E" w14:textId="77777777" w:rsidR="00CB2414" w:rsidRPr="00154A9C" w:rsidRDefault="00CB2414" w:rsidP="00875308">
            <w:pPr>
              <w:pStyle w:val="Tabletext"/>
              <w:spacing w:before="0" w:after="0"/>
            </w:pPr>
            <w:r w:rsidRPr="00154A9C">
              <w:t>No difference</w:t>
            </w:r>
          </w:p>
        </w:tc>
      </w:tr>
      <w:tr w:rsidR="00CB2414" w:rsidRPr="00154A9C" w14:paraId="323003CA" w14:textId="77777777" w:rsidTr="00CB2414">
        <w:trPr>
          <w:trHeight w:val="348"/>
        </w:trPr>
        <w:tc>
          <w:tcPr>
            <w:tcW w:w="781" w:type="pct"/>
            <w:tcBorders>
              <w:top w:val="single" w:sz="4" w:space="0" w:color="auto"/>
              <w:left w:val="single" w:sz="4" w:space="0" w:color="auto"/>
              <w:bottom w:val="single" w:sz="4" w:space="0" w:color="auto"/>
              <w:right w:val="single" w:sz="4" w:space="0" w:color="auto"/>
            </w:tcBorders>
          </w:tcPr>
          <w:p w14:paraId="08ACF7D9" w14:textId="77777777" w:rsidR="00CB2414" w:rsidRPr="00154A9C" w:rsidRDefault="00CB2414" w:rsidP="00875308">
            <w:pPr>
              <w:pStyle w:val="Tabletext"/>
              <w:spacing w:before="0" w:after="0"/>
            </w:pPr>
            <w:r w:rsidRPr="00154A9C">
              <w:t>Reinterventions</w:t>
            </w:r>
          </w:p>
        </w:tc>
        <w:tc>
          <w:tcPr>
            <w:tcW w:w="933" w:type="pct"/>
            <w:tcBorders>
              <w:top w:val="single" w:sz="4" w:space="0" w:color="auto"/>
              <w:left w:val="single" w:sz="4" w:space="0" w:color="auto"/>
              <w:bottom w:val="single" w:sz="4" w:space="0" w:color="auto"/>
              <w:right w:val="single" w:sz="4" w:space="0" w:color="auto"/>
            </w:tcBorders>
          </w:tcPr>
          <w:p w14:paraId="6EACF81A" w14:textId="77777777" w:rsidR="00CB2414" w:rsidRPr="00154A9C" w:rsidRDefault="00CB2414" w:rsidP="00875308">
            <w:pPr>
              <w:pStyle w:val="Tabletext"/>
              <w:spacing w:before="0" w:after="0"/>
            </w:pPr>
            <w:r w:rsidRPr="00154A9C">
              <w:t>EVAR+EA, N=263, k=4</w:t>
            </w:r>
          </w:p>
          <w:p w14:paraId="7CB6E717" w14:textId="77777777" w:rsidR="00CB2414" w:rsidRPr="00154A9C" w:rsidRDefault="00CB2414" w:rsidP="00875308">
            <w:pPr>
              <w:pStyle w:val="Tabletext"/>
              <w:spacing w:before="0" w:after="0"/>
            </w:pPr>
            <w:r w:rsidRPr="00154A9C">
              <w:t>Complex EVAR, N=477; k=7</w:t>
            </w:r>
          </w:p>
        </w:tc>
        <w:tc>
          <w:tcPr>
            <w:tcW w:w="545" w:type="pct"/>
            <w:tcBorders>
              <w:top w:val="single" w:sz="4" w:space="0" w:color="auto"/>
              <w:left w:val="single" w:sz="4" w:space="0" w:color="auto"/>
              <w:bottom w:val="single" w:sz="4" w:space="0" w:color="auto"/>
              <w:right w:val="single" w:sz="4" w:space="0" w:color="auto"/>
            </w:tcBorders>
          </w:tcPr>
          <w:p w14:paraId="0FCC620F" w14:textId="77777777" w:rsidR="00CB2414" w:rsidRPr="00154A9C" w:rsidRDefault="00CB2414" w:rsidP="00875308">
            <w:pPr>
              <w:pStyle w:val="Tabletext"/>
              <w:spacing w:before="0" w:after="0"/>
              <w:rPr>
                <w:vertAlign w:val="superscript"/>
              </w:rPr>
            </w:pPr>
            <w:r w:rsidRPr="00154A9C">
              <w:rPr>
                <w:rFonts w:ascii="Cambria Math" w:hAnsi="Cambria Math"/>
                <w:color w:val="00B050"/>
              </w:rPr>
              <w:t>⨁</w:t>
            </w:r>
            <w:r w:rsidRPr="00154A9C">
              <w:rPr>
                <w:rFonts w:ascii="Cambria Math" w:hAnsi="Cambria Math" w:cs="Cambria Math"/>
                <w:color w:val="C00000"/>
              </w:rPr>
              <w:t>⨀⨀⨀</w:t>
            </w:r>
          </w:p>
        </w:tc>
        <w:tc>
          <w:tcPr>
            <w:tcW w:w="754" w:type="pct"/>
            <w:tcBorders>
              <w:top w:val="single" w:sz="4" w:space="0" w:color="auto"/>
              <w:left w:val="single" w:sz="4" w:space="0" w:color="auto"/>
              <w:bottom w:val="single" w:sz="4" w:space="0" w:color="auto"/>
              <w:right w:val="single" w:sz="4" w:space="0" w:color="auto"/>
            </w:tcBorders>
          </w:tcPr>
          <w:p w14:paraId="2EDA80F0" w14:textId="77777777" w:rsidR="00CB2414" w:rsidRPr="00154A9C" w:rsidRDefault="00CB2414" w:rsidP="00875308">
            <w:pPr>
              <w:pStyle w:val="Tabletext"/>
              <w:spacing w:before="0" w:after="0"/>
            </w:pPr>
            <w:r w:rsidRPr="00154A9C">
              <w:t>5% (95%CI: 1% - 12%)</w:t>
            </w:r>
          </w:p>
        </w:tc>
        <w:tc>
          <w:tcPr>
            <w:tcW w:w="915" w:type="pct"/>
            <w:tcBorders>
              <w:top w:val="single" w:sz="4" w:space="0" w:color="auto"/>
              <w:left w:val="single" w:sz="4" w:space="0" w:color="auto"/>
              <w:bottom w:val="single" w:sz="4" w:space="0" w:color="auto"/>
              <w:right w:val="single" w:sz="4" w:space="0" w:color="auto"/>
            </w:tcBorders>
          </w:tcPr>
          <w:p w14:paraId="0F914677" w14:textId="77777777" w:rsidR="00CB2414" w:rsidRPr="00154A9C" w:rsidRDefault="00CB2414" w:rsidP="00875308">
            <w:pPr>
              <w:pStyle w:val="Tabletext"/>
              <w:spacing w:before="0" w:after="0"/>
            </w:pPr>
            <w:r w:rsidRPr="00154A9C">
              <w:t>9% (6% - 13%)</w:t>
            </w:r>
          </w:p>
        </w:tc>
        <w:tc>
          <w:tcPr>
            <w:tcW w:w="1072" w:type="pct"/>
            <w:tcBorders>
              <w:top w:val="single" w:sz="4" w:space="0" w:color="auto"/>
              <w:left w:val="single" w:sz="4" w:space="0" w:color="auto"/>
              <w:bottom w:val="single" w:sz="4" w:space="0" w:color="auto"/>
              <w:right w:val="single" w:sz="4" w:space="0" w:color="auto"/>
            </w:tcBorders>
          </w:tcPr>
          <w:p w14:paraId="5348FD73" w14:textId="77777777" w:rsidR="00CB2414" w:rsidRPr="00154A9C" w:rsidRDefault="00CB2414" w:rsidP="00875308">
            <w:pPr>
              <w:pStyle w:val="Tabletext"/>
              <w:spacing w:before="0" w:after="0"/>
            </w:pPr>
            <w:r w:rsidRPr="00154A9C">
              <w:t>Numerically in favour of EVAR+EA</w:t>
            </w:r>
          </w:p>
        </w:tc>
      </w:tr>
      <w:tr w:rsidR="00CB2414" w:rsidRPr="00154A9C" w14:paraId="4FC0D33A" w14:textId="77777777" w:rsidTr="00CB2414">
        <w:trPr>
          <w:trHeight w:val="272"/>
        </w:trPr>
        <w:tc>
          <w:tcPr>
            <w:tcW w:w="781" w:type="pct"/>
            <w:tcBorders>
              <w:top w:val="single" w:sz="4" w:space="0" w:color="auto"/>
              <w:left w:val="single" w:sz="4" w:space="0" w:color="auto"/>
              <w:bottom w:val="single" w:sz="4" w:space="0" w:color="auto"/>
              <w:right w:val="single" w:sz="4" w:space="0" w:color="auto"/>
            </w:tcBorders>
          </w:tcPr>
          <w:p w14:paraId="770E1C25" w14:textId="77777777" w:rsidR="00CB2414" w:rsidRPr="00154A9C" w:rsidRDefault="00CB2414" w:rsidP="00875308">
            <w:pPr>
              <w:pStyle w:val="Tabletext"/>
              <w:spacing w:before="0" w:after="0"/>
            </w:pPr>
            <w:r w:rsidRPr="00154A9C">
              <w:t>Rupture</w:t>
            </w:r>
          </w:p>
        </w:tc>
        <w:tc>
          <w:tcPr>
            <w:tcW w:w="933" w:type="pct"/>
            <w:tcBorders>
              <w:top w:val="single" w:sz="4" w:space="0" w:color="auto"/>
              <w:left w:val="single" w:sz="4" w:space="0" w:color="auto"/>
              <w:bottom w:val="single" w:sz="4" w:space="0" w:color="auto"/>
              <w:right w:val="single" w:sz="4" w:space="0" w:color="auto"/>
            </w:tcBorders>
          </w:tcPr>
          <w:p w14:paraId="735AA762" w14:textId="77777777" w:rsidR="00CB2414" w:rsidRPr="00154A9C" w:rsidRDefault="00CB2414" w:rsidP="00875308">
            <w:pPr>
              <w:pStyle w:val="Tabletext"/>
              <w:spacing w:before="0" w:after="0"/>
            </w:pPr>
            <w:r w:rsidRPr="00154A9C">
              <w:t>EVAR+EA, N=226, k=4</w:t>
            </w:r>
          </w:p>
          <w:p w14:paraId="77D442D3" w14:textId="77777777" w:rsidR="00CB2414" w:rsidRPr="00154A9C" w:rsidRDefault="00CB2414" w:rsidP="00875308">
            <w:pPr>
              <w:pStyle w:val="Tabletext"/>
              <w:spacing w:before="0" w:after="0"/>
            </w:pPr>
            <w:r w:rsidRPr="00154A9C">
              <w:t>Complex EVAR, N=472; k=9</w:t>
            </w:r>
          </w:p>
        </w:tc>
        <w:tc>
          <w:tcPr>
            <w:tcW w:w="545" w:type="pct"/>
            <w:tcBorders>
              <w:top w:val="single" w:sz="4" w:space="0" w:color="auto"/>
              <w:left w:val="single" w:sz="4" w:space="0" w:color="auto"/>
              <w:bottom w:val="single" w:sz="4" w:space="0" w:color="auto"/>
              <w:right w:val="single" w:sz="4" w:space="0" w:color="auto"/>
            </w:tcBorders>
          </w:tcPr>
          <w:p w14:paraId="25148BF8" w14:textId="77777777" w:rsidR="00CB2414" w:rsidRPr="00154A9C" w:rsidRDefault="00CB2414" w:rsidP="00875308">
            <w:pPr>
              <w:pStyle w:val="Tabletext"/>
              <w:spacing w:before="0" w:after="0"/>
            </w:pPr>
            <w:r w:rsidRPr="00154A9C">
              <w:rPr>
                <w:rFonts w:ascii="Cambria Math" w:hAnsi="Cambria Math"/>
                <w:color w:val="00B050"/>
              </w:rPr>
              <w:t>⨁</w:t>
            </w:r>
            <w:r w:rsidRPr="00154A9C">
              <w:rPr>
                <w:rFonts w:ascii="Cambria Math" w:hAnsi="Cambria Math" w:cs="Cambria Math"/>
                <w:color w:val="C00000"/>
              </w:rPr>
              <w:t>⨀⨀⨀</w:t>
            </w:r>
          </w:p>
        </w:tc>
        <w:tc>
          <w:tcPr>
            <w:tcW w:w="754" w:type="pct"/>
            <w:tcBorders>
              <w:top w:val="single" w:sz="4" w:space="0" w:color="auto"/>
              <w:left w:val="single" w:sz="4" w:space="0" w:color="auto"/>
              <w:bottom w:val="single" w:sz="4" w:space="0" w:color="auto"/>
              <w:right w:val="single" w:sz="4" w:space="0" w:color="auto"/>
            </w:tcBorders>
          </w:tcPr>
          <w:p w14:paraId="204A718D" w14:textId="77777777" w:rsidR="00CB2414" w:rsidRPr="00154A9C" w:rsidRDefault="00CB2414" w:rsidP="00875308">
            <w:pPr>
              <w:pStyle w:val="Tabletext"/>
              <w:spacing w:before="0" w:after="0"/>
            </w:pPr>
            <w:r w:rsidRPr="00154A9C">
              <w:t>0% (95%CI: 0% - 1%)</w:t>
            </w:r>
          </w:p>
        </w:tc>
        <w:tc>
          <w:tcPr>
            <w:tcW w:w="915" w:type="pct"/>
            <w:tcBorders>
              <w:top w:val="single" w:sz="4" w:space="0" w:color="auto"/>
              <w:left w:val="single" w:sz="4" w:space="0" w:color="auto"/>
              <w:bottom w:val="single" w:sz="4" w:space="0" w:color="auto"/>
              <w:right w:val="single" w:sz="4" w:space="0" w:color="auto"/>
            </w:tcBorders>
          </w:tcPr>
          <w:p w14:paraId="62F2FA7F" w14:textId="77777777" w:rsidR="00CB2414" w:rsidRPr="00154A9C" w:rsidRDefault="00CB2414" w:rsidP="00875308">
            <w:pPr>
              <w:pStyle w:val="Tabletext"/>
              <w:spacing w:before="0" w:after="0"/>
            </w:pPr>
            <w:r w:rsidRPr="00154A9C">
              <w:t>0% (0% - 1%)</w:t>
            </w:r>
          </w:p>
        </w:tc>
        <w:tc>
          <w:tcPr>
            <w:tcW w:w="1072" w:type="pct"/>
            <w:tcBorders>
              <w:top w:val="single" w:sz="4" w:space="0" w:color="auto"/>
              <w:left w:val="single" w:sz="4" w:space="0" w:color="auto"/>
              <w:bottom w:val="single" w:sz="4" w:space="0" w:color="auto"/>
              <w:right w:val="single" w:sz="4" w:space="0" w:color="auto"/>
            </w:tcBorders>
          </w:tcPr>
          <w:p w14:paraId="1E80D6E5" w14:textId="77777777" w:rsidR="00CB2414" w:rsidRPr="00154A9C" w:rsidRDefault="00CB2414" w:rsidP="00875308">
            <w:pPr>
              <w:pStyle w:val="Tabletext"/>
              <w:spacing w:before="0" w:after="0"/>
            </w:pPr>
            <w:r w:rsidRPr="00154A9C">
              <w:t>No difference</w:t>
            </w:r>
          </w:p>
        </w:tc>
      </w:tr>
      <w:tr w:rsidR="00CB2414" w:rsidRPr="00154A9C" w14:paraId="65DB3296" w14:textId="77777777" w:rsidTr="00CB2414">
        <w:trPr>
          <w:trHeight w:val="318"/>
        </w:trPr>
        <w:tc>
          <w:tcPr>
            <w:tcW w:w="781" w:type="pct"/>
            <w:tcBorders>
              <w:top w:val="single" w:sz="4" w:space="0" w:color="auto"/>
              <w:left w:val="single" w:sz="4" w:space="0" w:color="auto"/>
              <w:bottom w:val="single" w:sz="4" w:space="0" w:color="auto"/>
            </w:tcBorders>
            <w:shd w:val="clear" w:color="auto" w:fill="D9D9D9" w:themeFill="background1" w:themeFillShade="D9"/>
          </w:tcPr>
          <w:p w14:paraId="33742F37" w14:textId="77777777" w:rsidR="00CB2414" w:rsidRPr="00154A9C" w:rsidRDefault="00CB2414" w:rsidP="00875308">
            <w:pPr>
              <w:pStyle w:val="Tabletext"/>
              <w:spacing w:before="0" w:after="0"/>
              <w:rPr>
                <w:b/>
                <w:bCs/>
              </w:rPr>
            </w:pPr>
            <w:r w:rsidRPr="00154A9C">
              <w:rPr>
                <w:b/>
                <w:bCs/>
              </w:rPr>
              <w:t>Population 2</w:t>
            </w:r>
          </w:p>
        </w:tc>
        <w:tc>
          <w:tcPr>
            <w:tcW w:w="933" w:type="pct"/>
            <w:tcBorders>
              <w:top w:val="single" w:sz="4" w:space="0" w:color="auto"/>
              <w:bottom w:val="single" w:sz="4" w:space="0" w:color="auto"/>
            </w:tcBorders>
            <w:shd w:val="clear" w:color="auto" w:fill="D9D9D9" w:themeFill="background1" w:themeFillShade="D9"/>
          </w:tcPr>
          <w:p w14:paraId="0B440DFA" w14:textId="77777777" w:rsidR="00CB2414" w:rsidRPr="00154A9C" w:rsidRDefault="00CB2414" w:rsidP="00875308">
            <w:pPr>
              <w:rPr>
                <w:rFonts w:ascii="Arial Narrow" w:hAnsi="Arial Narrow" w:cs="Arial"/>
                <w:b/>
                <w:bCs/>
                <w:sz w:val="18"/>
                <w:szCs w:val="18"/>
                <w:vertAlign w:val="superscript"/>
              </w:rPr>
            </w:pPr>
          </w:p>
        </w:tc>
        <w:tc>
          <w:tcPr>
            <w:tcW w:w="545" w:type="pct"/>
            <w:tcBorders>
              <w:top w:val="single" w:sz="4" w:space="0" w:color="auto"/>
              <w:bottom w:val="single" w:sz="4" w:space="0" w:color="auto"/>
            </w:tcBorders>
            <w:shd w:val="clear" w:color="auto" w:fill="D9D9D9" w:themeFill="background1" w:themeFillShade="D9"/>
          </w:tcPr>
          <w:p w14:paraId="4CD8DDC0" w14:textId="77777777" w:rsidR="00CB2414" w:rsidRPr="00154A9C" w:rsidRDefault="00CB2414" w:rsidP="00875308">
            <w:pPr>
              <w:rPr>
                <w:rFonts w:ascii="Arial Narrow" w:hAnsi="Arial Narrow" w:cs="Arial"/>
                <w:b/>
                <w:bCs/>
                <w:sz w:val="18"/>
                <w:szCs w:val="18"/>
                <w:vertAlign w:val="superscript"/>
              </w:rPr>
            </w:pPr>
          </w:p>
        </w:tc>
        <w:tc>
          <w:tcPr>
            <w:tcW w:w="754" w:type="pct"/>
            <w:tcBorders>
              <w:top w:val="single" w:sz="4" w:space="0" w:color="auto"/>
              <w:bottom w:val="single" w:sz="4" w:space="0" w:color="auto"/>
            </w:tcBorders>
            <w:shd w:val="clear" w:color="auto" w:fill="D9D9D9" w:themeFill="background1" w:themeFillShade="D9"/>
          </w:tcPr>
          <w:p w14:paraId="36BFF5DA" w14:textId="77777777" w:rsidR="00CB2414" w:rsidRPr="00154A9C" w:rsidRDefault="00CB2414" w:rsidP="00875308">
            <w:pPr>
              <w:rPr>
                <w:rFonts w:ascii="Arial Narrow" w:hAnsi="Arial Narrow" w:cs="Arial"/>
                <w:b/>
                <w:bCs/>
                <w:sz w:val="18"/>
                <w:szCs w:val="18"/>
                <w:vertAlign w:val="superscript"/>
              </w:rPr>
            </w:pPr>
          </w:p>
        </w:tc>
        <w:tc>
          <w:tcPr>
            <w:tcW w:w="915" w:type="pct"/>
            <w:tcBorders>
              <w:top w:val="single" w:sz="4" w:space="0" w:color="auto"/>
              <w:bottom w:val="single" w:sz="4" w:space="0" w:color="auto"/>
            </w:tcBorders>
            <w:shd w:val="clear" w:color="auto" w:fill="D9D9D9" w:themeFill="background1" w:themeFillShade="D9"/>
          </w:tcPr>
          <w:p w14:paraId="7D4783A2" w14:textId="77777777" w:rsidR="00CB2414" w:rsidRPr="00154A9C" w:rsidRDefault="00CB2414" w:rsidP="00875308">
            <w:pPr>
              <w:rPr>
                <w:rFonts w:ascii="Arial Narrow" w:hAnsi="Arial Narrow" w:cs="Arial"/>
                <w:b/>
                <w:bCs/>
                <w:sz w:val="18"/>
                <w:szCs w:val="18"/>
                <w:vertAlign w:val="superscript"/>
              </w:rPr>
            </w:pPr>
          </w:p>
        </w:tc>
        <w:tc>
          <w:tcPr>
            <w:tcW w:w="1072" w:type="pct"/>
            <w:tcBorders>
              <w:top w:val="single" w:sz="4" w:space="0" w:color="auto"/>
              <w:bottom w:val="single" w:sz="4" w:space="0" w:color="auto"/>
              <w:right w:val="single" w:sz="4" w:space="0" w:color="auto"/>
            </w:tcBorders>
            <w:shd w:val="clear" w:color="auto" w:fill="D9D9D9" w:themeFill="background1" w:themeFillShade="D9"/>
          </w:tcPr>
          <w:p w14:paraId="3B91DD15" w14:textId="77777777" w:rsidR="00CB2414" w:rsidRPr="00154A9C" w:rsidRDefault="00CB2414" w:rsidP="00875308">
            <w:pPr>
              <w:rPr>
                <w:rFonts w:ascii="Arial Narrow" w:hAnsi="Arial Narrow" w:cs="Arial"/>
                <w:b/>
                <w:bCs/>
                <w:sz w:val="18"/>
                <w:szCs w:val="18"/>
                <w:vertAlign w:val="superscript"/>
              </w:rPr>
            </w:pPr>
          </w:p>
        </w:tc>
      </w:tr>
      <w:tr w:rsidR="00CB2414" w:rsidRPr="00154A9C" w14:paraId="218879F1" w14:textId="77777777" w:rsidTr="00CB2414">
        <w:trPr>
          <w:trHeight w:val="333"/>
        </w:trPr>
        <w:tc>
          <w:tcPr>
            <w:tcW w:w="781" w:type="pct"/>
            <w:tcBorders>
              <w:top w:val="single" w:sz="4" w:space="0" w:color="auto"/>
              <w:left w:val="single" w:sz="4" w:space="0" w:color="auto"/>
              <w:bottom w:val="single" w:sz="4" w:space="0" w:color="auto"/>
              <w:right w:val="single" w:sz="4" w:space="0" w:color="auto"/>
            </w:tcBorders>
          </w:tcPr>
          <w:p w14:paraId="25309B08" w14:textId="77777777" w:rsidR="00CB2414" w:rsidRPr="00154A9C" w:rsidRDefault="00CB2414" w:rsidP="00875308">
            <w:pPr>
              <w:pStyle w:val="Tabletext"/>
              <w:spacing w:before="0" w:after="0"/>
              <w:rPr>
                <w:rFonts w:cs="Arial"/>
                <w:sz w:val="18"/>
                <w:szCs w:val="18"/>
                <w:vertAlign w:val="superscript"/>
              </w:rPr>
            </w:pPr>
            <w:r w:rsidRPr="00154A9C">
              <w:t>Early (30 day) mortality</w:t>
            </w:r>
          </w:p>
        </w:tc>
        <w:tc>
          <w:tcPr>
            <w:tcW w:w="933" w:type="pct"/>
            <w:tcBorders>
              <w:top w:val="single" w:sz="4" w:space="0" w:color="auto"/>
              <w:left w:val="single" w:sz="4" w:space="0" w:color="auto"/>
              <w:bottom w:val="single" w:sz="4" w:space="0" w:color="auto"/>
              <w:right w:val="single" w:sz="4" w:space="0" w:color="auto"/>
            </w:tcBorders>
          </w:tcPr>
          <w:p w14:paraId="54B84305" w14:textId="77777777" w:rsidR="00CB2414" w:rsidRPr="00154A9C" w:rsidRDefault="00CB2414" w:rsidP="00875308">
            <w:pPr>
              <w:pStyle w:val="Tabletext"/>
              <w:spacing w:before="0" w:after="0"/>
            </w:pPr>
            <w:r w:rsidRPr="00154A9C">
              <w:t>Revision EA, N=268, k=4</w:t>
            </w:r>
          </w:p>
          <w:p w14:paraId="3BEFEABD" w14:textId="77777777" w:rsidR="00CB2414" w:rsidRPr="00154A9C" w:rsidRDefault="00CB2414" w:rsidP="00875308">
            <w:pPr>
              <w:pStyle w:val="Tabletext"/>
              <w:spacing w:before="0" w:after="0"/>
            </w:pPr>
            <w:r w:rsidRPr="00154A9C">
              <w:t>Revision EVAR, N=317, k=7</w:t>
            </w:r>
          </w:p>
          <w:p w14:paraId="7E0D18EB" w14:textId="77777777" w:rsidR="00CB2414" w:rsidRPr="00154A9C" w:rsidRDefault="00CB2414" w:rsidP="00875308">
            <w:pPr>
              <w:pStyle w:val="Tabletext"/>
              <w:spacing w:before="0" w:after="0"/>
            </w:pPr>
            <w:r w:rsidRPr="00154A9C">
              <w:t>OC, N=27, k=2</w:t>
            </w:r>
          </w:p>
        </w:tc>
        <w:tc>
          <w:tcPr>
            <w:tcW w:w="545" w:type="pct"/>
            <w:tcBorders>
              <w:top w:val="single" w:sz="4" w:space="0" w:color="auto"/>
              <w:left w:val="single" w:sz="4" w:space="0" w:color="auto"/>
              <w:bottom w:val="single" w:sz="4" w:space="0" w:color="auto"/>
              <w:right w:val="single" w:sz="4" w:space="0" w:color="auto"/>
            </w:tcBorders>
          </w:tcPr>
          <w:p w14:paraId="5781DB6B" w14:textId="77777777" w:rsidR="00CB2414" w:rsidRPr="00154A9C" w:rsidRDefault="00CB2414" w:rsidP="00875308">
            <w:pPr>
              <w:rPr>
                <w:rFonts w:ascii="Arial Narrow" w:hAnsi="Arial Narrow" w:cs="Arial"/>
                <w:sz w:val="18"/>
                <w:szCs w:val="18"/>
                <w:vertAlign w:val="superscript"/>
              </w:rPr>
            </w:pPr>
            <w:r w:rsidRPr="00154A9C">
              <w:rPr>
                <w:rFonts w:ascii="Cambria Math" w:hAnsi="Cambria Math"/>
                <w:color w:val="00B050"/>
              </w:rPr>
              <w:t>⨁</w:t>
            </w:r>
            <w:r w:rsidRPr="00154A9C">
              <w:rPr>
                <w:rFonts w:ascii="Cambria Math" w:hAnsi="Cambria Math" w:cs="Cambria Math"/>
                <w:color w:val="C00000"/>
              </w:rPr>
              <w:t>⨀⨀⨀</w:t>
            </w:r>
          </w:p>
        </w:tc>
        <w:tc>
          <w:tcPr>
            <w:tcW w:w="754" w:type="pct"/>
            <w:tcBorders>
              <w:top w:val="single" w:sz="4" w:space="0" w:color="auto"/>
              <w:left w:val="single" w:sz="4" w:space="0" w:color="auto"/>
              <w:bottom w:val="single" w:sz="4" w:space="0" w:color="auto"/>
              <w:right w:val="single" w:sz="4" w:space="0" w:color="auto"/>
            </w:tcBorders>
          </w:tcPr>
          <w:p w14:paraId="2BCB6F04" w14:textId="77777777" w:rsidR="00CB2414" w:rsidRPr="00154A9C" w:rsidRDefault="00CB2414" w:rsidP="00875308">
            <w:pPr>
              <w:pStyle w:val="TableText0"/>
              <w:keepNext w:val="0"/>
              <w:spacing w:before="0" w:after="0"/>
              <w:ind w:right="117"/>
              <w:rPr>
                <w:vertAlign w:val="superscript"/>
              </w:rPr>
            </w:pPr>
            <w:r w:rsidRPr="00154A9C">
              <w:rPr>
                <w:snapToGrid w:val="0"/>
              </w:rPr>
              <w:t>2% (95%CI: 0% - 3%)</w:t>
            </w:r>
          </w:p>
        </w:tc>
        <w:tc>
          <w:tcPr>
            <w:tcW w:w="915" w:type="pct"/>
            <w:tcBorders>
              <w:top w:val="single" w:sz="4" w:space="0" w:color="auto"/>
              <w:left w:val="single" w:sz="4" w:space="0" w:color="auto"/>
              <w:bottom w:val="single" w:sz="4" w:space="0" w:color="auto"/>
              <w:right w:val="single" w:sz="4" w:space="0" w:color="auto"/>
            </w:tcBorders>
          </w:tcPr>
          <w:p w14:paraId="366EA972" w14:textId="77777777" w:rsidR="00CB2414" w:rsidRPr="00154A9C" w:rsidRDefault="00CB2414" w:rsidP="00875308">
            <w:pPr>
              <w:pStyle w:val="Tabletext"/>
              <w:spacing w:before="0" w:after="0"/>
            </w:pPr>
            <w:r w:rsidRPr="00154A9C">
              <w:t>Revision EVAR: 2% (0% - 4%)</w:t>
            </w:r>
          </w:p>
          <w:p w14:paraId="4E674EB5" w14:textId="77777777" w:rsidR="00CB2414" w:rsidRPr="00154A9C" w:rsidRDefault="00CB2414" w:rsidP="00875308">
            <w:pPr>
              <w:pStyle w:val="Tabletext"/>
              <w:spacing w:before="0" w:after="0"/>
            </w:pPr>
            <w:r w:rsidRPr="00154A9C">
              <w:t>OC: 5% (0% - 12%)</w:t>
            </w:r>
          </w:p>
        </w:tc>
        <w:tc>
          <w:tcPr>
            <w:tcW w:w="1072" w:type="pct"/>
            <w:tcBorders>
              <w:top w:val="single" w:sz="4" w:space="0" w:color="auto"/>
              <w:left w:val="single" w:sz="4" w:space="0" w:color="auto"/>
              <w:bottom w:val="single" w:sz="4" w:space="0" w:color="auto"/>
              <w:right w:val="single" w:sz="4" w:space="0" w:color="auto"/>
            </w:tcBorders>
          </w:tcPr>
          <w:p w14:paraId="6C435CDA" w14:textId="77777777" w:rsidR="00CB2414" w:rsidRPr="00154A9C" w:rsidRDefault="00CB2414" w:rsidP="00875308">
            <w:pPr>
              <w:pStyle w:val="Tabletext"/>
              <w:spacing w:before="0" w:after="0"/>
            </w:pPr>
            <w:r w:rsidRPr="00154A9C">
              <w:t>No difference</w:t>
            </w:r>
          </w:p>
          <w:p w14:paraId="6F4E14FF" w14:textId="77777777" w:rsidR="00CB2414" w:rsidRPr="00154A9C" w:rsidRDefault="00CB2414" w:rsidP="00875308">
            <w:pPr>
              <w:pStyle w:val="Tabletext"/>
              <w:spacing w:before="0" w:after="0"/>
            </w:pPr>
            <w:r w:rsidRPr="00154A9C">
              <w:t xml:space="preserve">Numerically in favour of EA compared to OC. </w:t>
            </w:r>
          </w:p>
        </w:tc>
      </w:tr>
      <w:tr w:rsidR="00CB2414" w:rsidRPr="00154A9C" w14:paraId="0699CC51" w14:textId="77777777" w:rsidTr="00CB2414">
        <w:trPr>
          <w:trHeight w:val="333"/>
        </w:trPr>
        <w:tc>
          <w:tcPr>
            <w:tcW w:w="781" w:type="pct"/>
            <w:tcBorders>
              <w:top w:val="single" w:sz="4" w:space="0" w:color="auto"/>
              <w:left w:val="single" w:sz="4" w:space="0" w:color="auto"/>
              <w:bottom w:val="single" w:sz="4" w:space="0" w:color="auto"/>
              <w:right w:val="single" w:sz="4" w:space="0" w:color="auto"/>
            </w:tcBorders>
          </w:tcPr>
          <w:p w14:paraId="0BBADD68" w14:textId="77777777" w:rsidR="00CB2414" w:rsidRPr="00154A9C" w:rsidRDefault="00CB2414" w:rsidP="00875308">
            <w:pPr>
              <w:pStyle w:val="Tabletext"/>
              <w:spacing w:before="0" w:after="0"/>
              <w:rPr>
                <w:rFonts w:cs="Arial"/>
                <w:sz w:val="18"/>
                <w:szCs w:val="18"/>
                <w:vertAlign w:val="superscript"/>
              </w:rPr>
            </w:pPr>
            <w:r w:rsidRPr="00154A9C">
              <w:t>All-cause mortality</w:t>
            </w:r>
          </w:p>
        </w:tc>
        <w:tc>
          <w:tcPr>
            <w:tcW w:w="933" w:type="pct"/>
            <w:tcBorders>
              <w:top w:val="single" w:sz="4" w:space="0" w:color="auto"/>
              <w:left w:val="single" w:sz="4" w:space="0" w:color="auto"/>
              <w:bottom w:val="single" w:sz="4" w:space="0" w:color="auto"/>
              <w:right w:val="single" w:sz="4" w:space="0" w:color="auto"/>
            </w:tcBorders>
          </w:tcPr>
          <w:p w14:paraId="1ACCA3DE" w14:textId="77777777" w:rsidR="00CB2414" w:rsidRPr="00154A9C" w:rsidRDefault="00CB2414" w:rsidP="00875308">
            <w:pPr>
              <w:pStyle w:val="Tabletext"/>
              <w:spacing w:before="0" w:after="0"/>
            </w:pPr>
            <w:r w:rsidRPr="00154A9C">
              <w:t>Revision EA, N=266, k=5</w:t>
            </w:r>
          </w:p>
          <w:p w14:paraId="37B74142" w14:textId="77777777" w:rsidR="00CB2414" w:rsidRPr="00154A9C" w:rsidRDefault="00CB2414" w:rsidP="00875308">
            <w:pPr>
              <w:pStyle w:val="Tabletext"/>
              <w:spacing w:before="0" w:after="0"/>
            </w:pPr>
            <w:r w:rsidRPr="00154A9C">
              <w:t>Revision EVAR, N=219, k=7</w:t>
            </w:r>
          </w:p>
          <w:p w14:paraId="0C4F5101" w14:textId="77777777" w:rsidR="00CB2414" w:rsidRPr="00154A9C" w:rsidRDefault="00CB2414" w:rsidP="00875308">
            <w:pPr>
              <w:pStyle w:val="Tabletext"/>
              <w:spacing w:before="0" w:after="0"/>
              <w:rPr>
                <w:rFonts w:cs="Arial"/>
                <w:sz w:val="18"/>
                <w:szCs w:val="18"/>
                <w:vertAlign w:val="superscript"/>
              </w:rPr>
            </w:pPr>
            <w:r w:rsidRPr="00154A9C">
              <w:t>OC, N=25, k=1</w:t>
            </w:r>
          </w:p>
        </w:tc>
        <w:tc>
          <w:tcPr>
            <w:tcW w:w="545" w:type="pct"/>
            <w:tcBorders>
              <w:top w:val="single" w:sz="4" w:space="0" w:color="auto"/>
              <w:left w:val="single" w:sz="4" w:space="0" w:color="auto"/>
              <w:bottom w:val="single" w:sz="4" w:space="0" w:color="auto"/>
              <w:right w:val="single" w:sz="4" w:space="0" w:color="auto"/>
            </w:tcBorders>
          </w:tcPr>
          <w:p w14:paraId="59E3468A" w14:textId="77777777" w:rsidR="00CB2414" w:rsidRPr="00154A9C" w:rsidRDefault="00CB2414" w:rsidP="00875308">
            <w:pPr>
              <w:rPr>
                <w:rFonts w:ascii="Arial Narrow" w:hAnsi="Arial Narrow" w:cs="Arial"/>
                <w:sz w:val="18"/>
                <w:szCs w:val="18"/>
                <w:vertAlign w:val="superscript"/>
              </w:rPr>
            </w:pPr>
            <w:r w:rsidRPr="00154A9C">
              <w:rPr>
                <w:rFonts w:ascii="Cambria Math" w:hAnsi="Cambria Math"/>
                <w:color w:val="00B050"/>
              </w:rPr>
              <w:t>⨁</w:t>
            </w:r>
            <w:r w:rsidRPr="00154A9C">
              <w:rPr>
                <w:rFonts w:ascii="Cambria Math" w:hAnsi="Cambria Math" w:cs="Cambria Math"/>
                <w:color w:val="C00000"/>
              </w:rPr>
              <w:t>⨀⨀⨀</w:t>
            </w:r>
          </w:p>
        </w:tc>
        <w:tc>
          <w:tcPr>
            <w:tcW w:w="754" w:type="pct"/>
            <w:tcBorders>
              <w:top w:val="single" w:sz="4" w:space="0" w:color="auto"/>
              <w:left w:val="single" w:sz="4" w:space="0" w:color="auto"/>
              <w:bottom w:val="single" w:sz="4" w:space="0" w:color="auto"/>
              <w:right w:val="single" w:sz="4" w:space="0" w:color="auto"/>
            </w:tcBorders>
          </w:tcPr>
          <w:p w14:paraId="7F15F84B" w14:textId="77777777" w:rsidR="00CB2414" w:rsidRPr="00154A9C" w:rsidRDefault="00CB2414" w:rsidP="00875308">
            <w:pPr>
              <w:pStyle w:val="Tabletext"/>
              <w:spacing w:before="0" w:after="0"/>
            </w:pPr>
            <w:r w:rsidRPr="00154A9C">
              <w:rPr>
                <w:snapToGrid w:val="0"/>
              </w:rPr>
              <w:t>8% (95%CI: 3% - 13%)</w:t>
            </w:r>
          </w:p>
        </w:tc>
        <w:tc>
          <w:tcPr>
            <w:tcW w:w="915" w:type="pct"/>
            <w:tcBorders>
              <w:top w:val="single" w:sz="4" w:space="0" w:color="auto"/>
              <w:left w:val="single" w:sz="4" w:space="0" w:color="auto"/>
              <w:bottom w:val="single" w:sz="4" w:space="0" w:color="auto"/>
              <w:right w:val="single" w:sz="4" w:space="0" w:color="auto"/>
            </w:tcBorders>
          </w:tcPr>
          <w:p w14:paraId="08E33F20" w14:textId="77777777" w:rsidR="00CB2414" w:rsidRPr="00154A9C" w:rsidRDefault="00CB2414" w:rsidP="00875308">
            <w:pPr>
              <w:pStyle w:val="Tabletext"/>
              <w:spacing w:before="0" w:after="0"/>
            </w:pPr>
            <w:r w:rsidRPr="00154A9C">
              <w:t>Revision EVAR: 20% (10% - 29%)</w:t>
            </w:r>
          </w:p>
          <w:p w14:paraId="10F95511" w14:textId="77777777" w:rsidR="00CB2414" w:rsidRPr="00154A9C" w:rsidRDefault="00CB2414" w:rsidP="00875308">
            <w:pPr>
              <w:pStyle w:val="Tabletext"/>
              <w:spacing w:before="0" w:after="0"/>
            </w:pPr>
            <w:r w:rsidRPr="00154A9C">
              <w:t>OC: 12% (3% - 31%)</w:t>
            </w:r>
          </w:p>
        </w:tc>
        <w:tc>
          <w:tcPr>
            <w:tcW w:w="1072" w:type="pct"/>
            <w:tcBorders>
              <w:top w:val="single" w:sz="4" w:space="0" w:color="auto"/>
              <w:left w:val="single" w:sz="4" w:space="0" w:color="auto"/>
              <w:bottom w:val="single" w:sz="4" w:space="0" w:color="auto"/>
              <w:right w:val="single" w:sz="4" w:space="0" w:color="auto"/>
            </w:tcBorders>
          </w:tcPr>
          <w:p w14:paraId="4841279F" w14:textId="77777777" w:rsidR="00CB2414" w:rsidRPr="00154A9C" w:rsidRDefault="00CB2414" w:rsidP="00875308">
            <w:pPr>
              <w:pStyle w:val="Tabletext"/>
              <w:spacing w:before="0" w:after="0"/>
            </w:pPr>
            <w:r w:rsidRPr="00154A9C">
              <w:t>Numerically in favour of EA compared to both revision EVAR and OC</w:t>
            </w:r>
          </w:p>
        </w:tc>
      </w:tr>
      <w:tr w:rsidR="00CB2414" w:rsidRPr="00154A9C" w14:paraId="3C23F9BB" w14:textId="77777777" w:rsidTr="00CB2414">
        <w:trPr>
          <w:trHeight w:val="333"/>
        </w:trPr>
        <w:tc>
          <w:tcPr>
            <w:tcW w:w="781" w:type="pct"/>
            <w:tcBorders>
              <w:top w:val="single" w:sz="4" w:space="0" w:color="auto"/>
              <w:left w:val="single" w:sz="4" w:space="0" w:color="auto"/>
              <w:bottom w:val="single" w:sz="4" w:space="0" w:color="auto"/>
              <w:right w:val="single" w:sz="4" w:space="0" w:color="auto"/>
            </w:tcBorders>
          </w:tcPr>
          <w:p w14:paraId="553FF2D3" w14:textId="77777777" w:rsidR="00CB2414" w:rsidRPr="00154A9C" w:rsidRDefault="00CB2414" w:rsidP="00875308">
            <w:pPr>
              <w:pStyle w:val="Tabletext"/>
              <w:spacing w:before="0" w:after="0"/>
              <w:rPr>
                <w:rFonts w:cs="Arial"/>
                <w:sz w:val="18"/>
                <w:szCs w:val="18"/>
                <w:vertAlign w:val="superscript"/>
              </w:rPr>
            </w:pPr>
            <w:r w:rsidRPr="00154A9C">
              <w:t>Persistent (&lt;30 day) Type Ia Endoleak</w:t>
            </w:r>
          </w:p>
        </w:tc>
        <w:tc>
          <w:tcPr>
            <w:tcW w:w="933" w:type="pct"/>
            <w:tcBorders>
              <w:top w:val="single" w:sz="4" w:space="0" w:color="auto"/>
              <w:left w:val="single" w:sz="4" w:space="0" w:color="auto"/>
              <w:bottom w:val="single" w:sz="4" w:space="0" w:color="auto"/>
              <w:right w:val="single" w:sz="4" w:space="0" w:color="auto"/>
            </w:tcBorders>
          </w:tcPr>
          <w:p w14:paraId="115379B9" w14:textId="77777777" w:rsidR="00CB2414" w:rsidRPr="00154A9C" w:rsidRDefault="00CB2414" w:rsidP="00875308">
            <w:pPr>
              <w:pStyle w:val="Tabletext"/>
              <w:spacing w:before="0" w:after="0"/>
            </w:pPr>
            <w:r w:rsidRPr="00154A9C">
              <w:t>Revision EA, N=186, k=6</w:t>
            </w:r>
          </w:p>
          <w:p w14:paraId="4A71655B" w14:textId="77777777" w:rsidR="00CB2414" w:rsidRPr="00154A9C" w:rsidRDefault="00CB2414" w:rsidP="00875308">
            <w:pPr>
              <w:pStyle w:val="Tabletext"/>
              <w:spacing w:before="0" w:after="0"/>
            </w:pPr>
            <w:r w:rsidRPr="00154A9C">
              <w:t>Revision EVAR, N=317, k=9</w:t>
            </w:r>
          </w:p>
          <w:p w14:paraId="7B4A21E8" w14:textId="77777777" w:rsidR="00CB2414" w:rsidRPr="00154A9C" w:rsidRDefault="00CB2414" w:rsidP="00875308">
            <w:pPr>
              <w:pStyle w:val="Tabletext"/>
              <w:spacing w:before="0" w:after="0"/>
              <w:rPr>
                <w:rFonts w:cs="Arial"/>
                <w:sz w:val="18"/>
                <w:szCs w:val="18"/>
                <w:vertAlign w:val="superscript"/>
              </w:rPr>
            </w:pPr>
            <w:r w:rsidRPr="00154A9C">
              <w:t>OC, N=12, k=1</w:t>
            </w:r>
          </w:p>
        </w:tc>
        <w:tc>
          <w:tcPr>
            <w:tcW w:w="545" w:type="pct"/>
            <w:tcBorders>
              <w:top w:val="single" w:sz="4" w:space="0" w:color="auto"/>
              <w:left w:val="single" w:sz="4" w:space="0" w:color="auto"/>
              <w:bottom w:val="single" w:sz="4" w:space="0" w:color="auto"/>
              <w:right w:val="single" w:sz="4" w:space="0" w:color="auto"/>
            </w:tcBorders>
          </w:tcPr>
          <w:p w14:paraId="6603B6EB" w14:textId="77777777" w:rsidR="00CB2414" w:rsidRPr="00154A9C" w:rsidRDefault="00CB2414" w:rsidP="00875308">
            <w:pPr>
              <w:rPr>
                <w:rFonts w:ascii="Arial Narrow" w:hAnsi="Arial Narrow" w:cs="Arial"/>
                <w:sz w:val="18"/>
                <w:szCs w:val="18"/>
                <w:vertAlign w:val="superscript"/>
              </w:rPr>
            </w:pPr>
            <w:r w:rsidRPr="00154A9C">
              <w:rPr>
                <w:rFonts w:ascii="Cambria Math" w:hAnsi="Cambria Math"/>
                <w:color w:val="00B050"/>
              </w:rPr>
              <w:t>⨁</w:t>
            </w:r>
            <w:r w:rsidRPr="00154A9C">
              <w:rPr>
                <w:rFonts w:ascii="Cambria Math" w:hAnsi="Cambria Math" w:cs="Cambria Math"/>
                <w:color w:val="C00000"/>
              </w:rPr>
              <w:t>⨀⨀⨀</w:t>
            </w:r>
          </w:p>
        </w:tc>
        <w:tc>
          <w:tcPr>
            <w:tcW w:w="754" w:type="pct"/>
            <w:tcBorders>
              <w:top w:val="single" w:sz="4" w:space="0" w:color="auto"/>
              <w:left w:val="single" w:sz="4" w:space="0" w:color="auto"/>
              <w:bottom w:val="single" w:sz="4" w:space="0" w:color="auto"/>
              <w:right w:val="single" w:sz="4" w:space="0" w:color="auto"/>
            </w:tcBorders>
          </w:tcPr>
          <w:p w14:paraId="378D361B" w14:textId="77777777" w:rsidR="00CB2414" w:rsidRPr="00154A9C" w:rsidRDefault="00CB2414" w:rsidP="00875308">
            <w:pPr>
              <w:pStyle w:val="Tabletext"/>
              <w:spacing w:before="0" w:after="0"/>
            </w:pPr>
            <w:r w:rsidRPr="00154A9C">
              <w:t>14% (95%CI: 4% - 23%)</w:t>
            </w:r>
          </w:p>
        </w:tc>
        <w:tc>
          <w:tcPr>
            <w:tcW w:w="915" w:type="pct"/>
            <w:tcBorders>
              <w:top w:val="single" w:sz="4" w:space="0" w:color="auto"/>
              <w:left w:val="single" w:sz="4" w:space="0" w:color="auto"/>
              <w:bottom w:val="single" w:sz="4" w:space="0" w:color="auto"/>
              <w:right w:val="single" w:sz="4" w:space="0" w:color="auto"/>
            </w:tcBorders>
          </w:tcPr>
          <w:p w14:paraId="3F617064" w14:textId="77777777" w:rsidR="00CB2414" w:rsidRPr="00154A9C" w:rsidRDefault="00CB2414" w:rsidP="00875308">
            <w:pPr>
              <w:pStyle w:val="Tabletext"/>
              <w:spacing w:before="0" w:after="0"/>
            </w:pPr>
            <w:r w:rsidRPr="00154A9C">
              <w:t>Revision EVAR: 2% (0% - 4%)</w:t>
            </w:r>
          </w:p>
          <w:p w14:paraId="18218A37" w14:textId="77777777" w:rsidR="00CB2414" w:rsidRPr="00154A9C" w:rsidRDefault="00CB2414" w:rsidP="00875308">
            <w:pPr>
              <w:pStyle w:val="Tabletext"/>
              <w:spacing w:before="0" w:after="0"/>
            </w:pPr>
            <w:r w:rsidRPr="00154A9C">
              <w:t>OC: 0% (0% - 26%)</w:t>
            </w:r>
          </w:p>
        </w:tc>
        <w:tc>
          <w:tcPr>
            <w:tcW w:w="1072" w:type="pct"/>
            <w:tcBorders>
              <w:top w:val="single" w:sz="4" w:space="0" w:color="auto"/>
              <w:left w:val="single" w:sz="4" w:space="0" w:color="auto"/>
              <w:bottom w:val="single" w:sz="4" w:space="0" w:color="auto"/>
              <w:right w:val="single" w:sz="4" w:space="0" w:color="auto"/>
            </w:tcBorders>
          </w:tcPr>
          <w:p w14:paraId="59C02A4F" w14:textId="77777777" w:rsidR="00CB2414" w:rsidRPr="00154A9C" w:rsidRDefault="00CB2414" w:rsidP="00875308">
            <w:pPr>
              <w:pStyle w:val="Tabletext"/>
              <w:spacing w:before="0" w:after="0"/>
            </w:pPr>
            <w:r w:rsidRPr="00154A9C">
              <w:t>Numerically in favour of the comparators groups OC and revision EVAR</w:t>
            </w:r>
          </w:p>
        </w:tc>
      </w:tr>
      <w:tr w:rsidR="00CB2414" w:rsidRPr="00154A9C" w14:paraId="401DC9AD" w14:textId="77777777" w:rsidTr="00CB2414">
        <w:trPr>
          <w:trHeight w:val="333"/>
        </w:trPr>
        <w:tc>
          <w:tcPr>
            <w:tcW w:w="781" w:type="pct"/>
            <w:tcBorders>
              <w:top w:val="single" w:sz="4" w:space="0" w:color="auto"/>
              <w:left w:val="single" w:sz="4" w:space="0" w:color="auto"/>
              <w:bottom w:val="single" w:sz="4" w:space="0" w:color="auto"/>
              <w:right w:val="single" w:sz="4" w:space="0" w:color="auto"/>
            </w:tcBorders>
          </w:tcPr>
          <w:p w14:paraId="4B305D64" w14:textId="77777777" w:rsidR="00CB2414" w:rsidRPr="00154A9C" w:rsidRDefault="00CB2414" w:rsidP="00875308">
            <w:pPr>
              <w:pStyle w:val="Tabletext"/>
              <w:spacing w:before="0" w:after="0"/>
              <w:rPr>
                <w:rFonts w:cs="Arial"/>
                <w:sz w:val="18"/>
                <w:szCs w:val="18"/>
                <w:vertAlign w:val="superscript"/>
              </w:rPr>
            </w:pPr>
            <w:r w:rsidRPr="00154A9C">
              <w:t>Reinterventions</w:t>
            </w:r>
          </w:p>
        </w:tc>
        <w:tc>
          <w:tcPr>
            <w:tcW w:w="933" w:type="pct"/>
            <w:tcBorders>
              <w:top w:val="single" w:sz="4" w:space="0" w:color="auto"/>
              <w:left w:val="single" w:sz="4" w:space="0" w:color="auto"/>
              <w:bottom w:val="single" w:sz="4" w:space="0" w:color="auto"/>
              <w:right w:val="single" w:sz="4" w:space="0" w:color="auto"/>
            </w:tcBorders>
          </w:tcPr>
          <w:p w14:paraId="197B92BB" w14:textId="77777777" w:rsidR="00CB2414" w:rsidRPr="00154A9C" w:rsidRDefault="00CB2414" w:rsidP="00875308">
            <w:pPr>
              <w:pStyle w:val="Tabletext"/>
              <w:spacing w:before="0" w:after="0"/>
            </w:pPr>
            <w:r w:rsidRPr="00154A9C">
              <w:t>Revision EA, N=283, k=6</w:t>
            </w:r>
          </w:p>
          <w:p w14:paraId="34B8DBC3" w14:textId="77777777" w:rsidR="00CB2414" w:rsidRPr="00154A9C" w:rsidRDefault="00CB2414" w:rsidP="00875308">
            <w:pPr>
              <w:pStyle w:val="Tabletext"/>
              <w:spacing w:before="0" w:after="0"/>
            </w:pPr>
            <w:r w:rsidRPr="00154A9C">
              <w:t>Revision EVAR, N=245, k=9</w:t>
            </w:r>
          </w:p>
        </w:tc>
        <w:tc>
          <w:tcPr>
            <w:tcW w:w="545" w:type="pct"/>
            <w:tcBorders>
              <w:top w:val="single" w:sz="4" w:space="0" w:color="auto"/>
              <w:left w:val="single" w:sz="4" w:space="0" w:color="auto"/>
              <w:bottom w:val="single" w:sz="4" w:space="0" w:color="auto"/>
              <w:right w:val="single" w:sz="4" w:space="0" w:color="auto"/>
            </w:tcBorders>
          </w:tcPr>
          <w:p w14:paraId="32D39AC9" w14:textId="77777777" w:rsidR="00CB2414" w:rsidRPr="00154A9C" w:rsidRDefault="00CB2414" w:rsidP="00875308">
            <w:pPr>
              <w:rPr>
                <w:rFonts w:ascii="Arial Narrow" w:hAnsi="Arial Narrow" w:cs="Arial"/>
                <w:sz w:val="18"/>
                <w:szCs w:val="18"/>
                <w:vertAlign w:val="superscript"/>
              </w:rPr>
            </w:pPr>
            <w:r w:rsidRPr="00154A9C">
              <w:rPr>
                <w:rFonts w:ascii="Cambria Math" w:hAnsi="Cambria Math"/>
                <w:color w:val="00B050"/>
              </w:rPr>
              <w:t>⨁</w:t>
            </w:r>
            <w:r w:rsidRPr="00154A9C">
              <w:rPr>
                <w:rFonts w:ascii="Cambria Math" w:hAnsi="Cambria Math" w:cs="Cambria Math"/>
                <w:color w:val="C00000"/>
              </w:rPr>
              <w:t>⨀⨀⨀</w:t>
            </w:r>
          </w:p>
        </w:tc>
        <w:tc>
          <w:tcPr>
            <w:tcW w:w="754" w:type="pct"/>
            <w:tcBorders>
              <w:top w:val="single" w:sz="4" w:space="0" w:color="auto"/>
              <w:left w:val="single" w:sz="4" w:space="0" w:color="auto"/>
              <w:bottom w:val="single" w:sz="4" w:space="0" w:color="auto"/>
              <w:right w:val="single" w:sz="4" w:space="0" w:color="auto"/>
            </w:tcBorders>
          </w:tcPr>
          <w:p w14:paraId="7AE5EDC7" w14:textId="77777777" w:rsidR="00CB2414" w:rsidRPr="00154A9C" w:rsidRDefault="00CB2414" w:rsidP="00875308">
            <w:pPr>
              <w:pStyle w:val="Tabletext"/>
              <w:spacing w:before="0" w:after="0"/>
            </w:pPr>
            <w:r w:rsidRPr="00154A9C">
              <w:t>14% (95%CI: 10% - 18%)</w:t>
            </w:r>
          </w:p>
        </w:tc>
        <w:tc>
          <w:tcPr>
            <w:tcW w:w="915" w:type="pct"/>
            <w:tcBorders>
              <w:top w:val="single" w:sz="4" w:space="0" w:color="auto"/>
              <w:left w:val="single" w:sz="4" w:space="0" w:color="auto"/>
              <w:bottom w:val="single" w:sz="4" w:space="0" w:color="auto"/>
              <w:right w:val="single" w:sz="4" w:space="0" w:color="auto"/>
            </w:tcBorders>
          </w:tcPr>
          <w:p w14:paraId="61DFE68C" w14:textId="77777777" w:rsidR="00CB2414" w:rsidRPr="00154A9C" w:rsidRDefault="00CB2414" w:rsidP="00875308">
            <w:pPr>
              <w:pStyle w:val="Tabletext"/>
              <w:spacing w:before="0" w:after="0"/>
            </w:pPr>
            <w:r w:rsidRPr="00154A9C">
              <w:t>Revision EVAR: 12% (5% - 19%)</w:t>
            </w:r>
          </w:p>
        </w:tc>
        <w:tc>
          <w:tcPr>
            <w:tcW w:w="1072" w:type="pct"/>
            <w:tcBorders>
              <w:top w:val="single" w:sz="4" w:space="0" w:color="auto"/>
              <w:left w:val="single" w:sz="4" w:space="0" w:color="auto"/>
              <w:bottom w:val="single" w:sz="4" w:space="0" w:color="auto"/>
              <w:right w:val="single" w:sz="4" w:space="0" w:color="auto"/>
            </w:tcBorders>
          </w:tcPr>
          <w:p w14:paraId="659C816B" w14:textId="77777777" w:rsidR="00CB2414" w:rsidRPr="00154A9C" w:rsidRDefault="00CB2414" w:rsidP="00875308">
            <w:pPr>
              <w:pStyle w:val="Tabletext"/>
              <w:spacing w:before="0" w:after="0"/>
            </w:pPr>
            <w:r w:rsidRPr="00154A9C">
              <w:t>No difference</w:t>
            </w:r>
          </w:p>
        </w:tc>
      </w:tr>
      <w:tr w:rsidR="00CB2414" w:rsidRPr="00154A9C" w14:paraId="330B48FF" w14:textId="77777777" w:rsidTr="00CB2414">
        <w:trPr>
          <w:trHeight w:val="287"/>
        </w:trPr>
        <w:tc>
          <w:tcPr>
            <w:tcW w:w="781" w:type="pct"/>
            <w:tcBorders>
              <w:top w:val="single" w:sz="4" w:space="0" w:color="auto"/>
              <w:left w:val="single" w:sz="4" w:space="0" w:color="auto"/>
              <w:bottom w:val="single" w:sz="4" w:space="0" w:color="auto"/>
              <w:right w:val="single" w:sz="4" w:space="0" w:color="auto"/>
            </w:tcBorders>
          </w:tcPr>
          <w:p w14:paraId="51CEC997" w14:textId="77777777" w:rsidR="00CB2414" w:rsidRPr="00154A9C" w:rsidRDefault="00CB2414" w:rsidP="00875308">
            <w:pPr>
              <w:pStyle w:val="Tabletext"/>
              <w:spacing w:before="0" w:after="0"/>
              <w:rPr>
                <w:rFonts w:cs="Arial"/>
                <w:sz w:val="18"/>
                <w:szCs w:val="18"/>
                <w:vertAlign w:val="superscript"/>
              </w:rPr>
            </w:pPr>
            <w:r w:rsidRPr="00154A9C">
              <w:t>Rupture</w:t>
            </w:r>
          </w:p>
        </w:tc>
        <w:tc>
          <w:tcPr>
            <w:tcW w:w="933" w:type="pct"/>
            <w:tcBorders>
              <w:top w:val="single" w:sz="4" w:space="0" w:color="auto"/>
              <w:left w:val="single" w:sz="4" w:space="0" w:color="auto"/>
              <w:bottom w:val="single" w:sz="4" w:space="0" w:color="auto"/>
              <w:right w:val="single" w:sz="4" w:space="0" w:color="auto"/>
            </w:tcBorders>
          </w:tcPr>
          <w:p w14:paraId="0518743C" w14:textId="77777777" w:rsidR="00CB2414" w:rsidRPr="00154A9C" w:rsidRDefault="00CB2414" w:rsidP="00875308">
            <w:pPr>
              <w:pStyle w:val="Tabletext"/>
              <w:spacing w:before="0" w:after="0"/>
            </w:pPr>
            <w:r w:rsidRPr="00154A9C">
              <w:t>Revision EA, N=255, k=4</w:t>
            </w:r>
          </w:p>
          <w:p w14:paraId="162FD520" w14:textId="77777777" w:rsidR="00CB2414" w:rsidRPr="00154A9C" w:rsidRDefault="00CB2414" w:rsidP="00875308">
            <w:pPr>
              <w:pStyle w:val="Tabletext"/>
              <w:spacing w:before="0" w:after="0"/>
            </w:pPr>
            <w:r w:rsidRPr="00154A9C">
              <w:t>Revision EVAR, N=175, k=5</w:t>
            </w:r>
          </w:p>
        </w:tc>
        <w:tc>
          <w:tcPr>
            <w:tcW w:w="545" w:type="pct"/>
            <w:tcBorders>
              <w:top w:val="single" w:sz="4" w:space="0" w:color="auto"/>
              <w:left w:val="single" w:sz="4" w:space="0" w:color="auto"/>
              <w:bottom w:val="single" w:sz="4" w:space="0" w:color="auto"/>
              <w:right w:val="single" w:sz="4" w:space="0" w:color="auto"/>
            </w:tcBorders>
          </w:tcPr>
          <w:p w14:paraId="440FF05C" w14:textId="77777777" w:rsidR="00CB2414" w:rsidRPr="00154A9C" w:rsidRDefault="00CB2414" w:rsidP="00875308">
            <w:pPr>
              <w:pStyle w:val="Tabletext"/>
              <w:spacing w:before="0" w:after="0"/>
              <w:rPr>
                <w:vertAlign w:val="superscript"/>
              </w:rPr>
            </w:pPr>
            <w:r w:rsidRPr="00154A9C">
              <w:rPr>
                <w:rFonts w:ascii="Cambria Math" w:hAnsi="Cambria Math"/>
                <w:color w:val="00B050"/>
              </w:rPr>
              <w:t>⨁</w:t>
            </w:r>
            <w:r w:rsidRPr="00154A9C">
              <w:rPr>
                <w:rFonts w:ascii="Cambria Math" w:hAnsi="Cambria Math" w:cs="Cambria Math"/>
                <w:color w:val="C00000"/>
              </w:rPr>
              <w:t>⨀⨀⨀</w:t>
            </w:r>
          </w:p>
        </w:tc>
        <w:tc>
          <w:tcPr>
            <w:tcW w:w="754" w:type="pct"/>
            <w:tcBorders>
              <w:top w:val="single" w:sz="4" w:space="0" w:color="auto"/>
              <w:left w:val="single" w:sz="4" w:space="0" w:color="auto"/>
              <w:bottom w:val="single" w:sz="4" w:space="0" w:color="auto"/>
              <w:right w:val="single" w:sz="4" w:space="0" w:color="auto"/>
            </w:tcBorders>
          </w:tcPr>
          <w:p w14:paraId="3284DB0E" w14:textId="77777777" w:rsidR="00CB2414" w:rsidRPr="00154A9C" w:rsidRDefault="00CB2414" w:rsidP="00875308">
            <w:pPr>
              <w:pStyle w:val="Tabletext"/>
              <w:spacing w:before="0" w:after="0"/>
            </w:pPr>
            <w:r w:rsidRPr="00154A9C">
              <w:t>0% (95%CI: 0%, 1%)</w:t>
            </w:r>
          </w:p>
        </w:tc>
        <w:tc>
          <w:tcPr>
            <w:tcW w:w="915" w:type="pct"/>
            <w:tcBorders>
              <w:top w:val="single" w:sz="4" w:space="0" w:color="auto"/>
              <w:left w:val="single" w:sz="4" w:space="0" w:color="auto"/>
              <w:bottom w:val="single" w:sz="4" w:space="0" w:color="auto"/>
              <w:right w:val="single" w:sz="4" w:space="0" w:color="auto"/>
            </w:tcBorders>
          </w:tcPr>
          <w:p w14:paraId="2DD47590" w14:textId="77777777" w:rsidR="00CB2414" w:rsidRPr="00154A9C" w:rsidRDefault="00CB2414" w:rsidP="00875308">
            <w:pPr>
              <w:pStyle w:val="Tabletext"/>
              <w:spacing w:before="0" w:after="0"/>
            </w:pPr>
            <w:r w:rsidRPr="00154A9C">
              <w:t>Revision EVAR: 2% (0% - 3%)</w:t>
            </w:r>
          </w:p>
        </w:tc>
        <w:tc>
          <w:tcPr>
            <w:tcW w:w="1072" w:type="pct"/>
            <w:tcBorders>
              <w:top w:val="single" w:sz="4" w:space="0" w:color="auto"/>
              <w:left w:val="single" w:sz="4" w:space="0" w:color="auto"/>
              <w:bottom w:val="single" w:sz="4" w:space="0" w:color="auto"/>
              <w:right w:val="single" w:sz="4" w:space="0" w:color="auto"/>
            </w:tcBorders>
          </w:tcPr>
          <w:p w14:paraId="4AAEE81C" w14:textId="77777777" w:rsidR="00CB2414" w:rsidRPr="00154A9C" w:rsidRDefault="00CB2414" w:rsidP="00875308">
            <w:pPr>
              <w:pStyle w:val="Tabletext"/>
              <w:spacing w:before="0" w:after="0"/>
            </w:pPr>
            <w:r w:rsidRPr="00154A9C">
              <w:t>No difference</w:t>
            </w:r>
          </w:p>
        </w:tc>
      </w:tr>
    </w:tbl>
    <w:bookmarkEnd w:id="17"/>
    <w:p w14:paraId="52FC3BC6" w14:textId="77777777" w:rsidR="00CB2414" w:rsidRPr="00154A9C" w:rsidRDefault="00CB2414" w:rsidP="00CB2414">
      <w:pPr>
        <w:rPr>
          <w:rFonts w:ascii="Arial Narrow" w:hAnsi="Arial Narrow" w:cs="Arial"/>
          <w:sz w:val="18"/>
          <w:szCs w:val="18"/>
        </w:rPr>
      </w:pPr>
      <w:r w:rsidRPr="00154A9C">
        <w:rPr>
          <w:rFonts w:ascii="Arial Narrow" w:hAnsi="Arial Narrow" w:cs="Arial"/>
          <w:sz w:val="18"/>
          <w:szCs w:val="18"/>
        </w:rPr>
        <w:t xml:space="preserve">OC=open conversion; EVAR=endovascular aneurysm repair; EA=EndoAnchor. </w:t>
      </w:r>
      <w:r w:rsidRPr="00154A9C">
        <w:rPr>
          <w:rFonts w:ascii="Arial Narrow" w:hAnsi="Arial Narrow" w:cs="Arial"/>
          <w:sz w:val="18"/>
          <w:szCs w:val="18"/>
          <w:vertAlign w:val="superscript"/>
        </w:rPr>
        <w:t xml:space="preserve">a </w:t>
      </w:r>
      <w:r w:rsidRPr="00154A9C">
        <w:rPr>
          <w:rFonts w:ascii="Arial Narrow" w:hAnsi="Arial Narrow" w:cs="Arial"/>
          <w:sz w:val="18"/>
          <w:szCs w:val="18"/>
        </w:rPr>
        <w:t xml:space="preserve">GRADE Working Group grades of evidence (Guyatt, 2013). </w:t>
      </w:r>
      <w:r w:rsidRPr="00154A9C">
        <w:rPr>
          <w:rFonts w:ascii="Cambria Math" w:hAnsi="Cambria Math"/>
          <w:color w:val="00B050"/>
        </w:rPr>
        <w:t xml:space="preserve">⨁⨁⨁⨁ </w:t>
      </w:r>
      <w:r w:rsidRPr="00154A9C">
        <w:rPr>
          <w:rFonts w:ascii="Arial Narrow" w:hAnsi="Arial Narrow" w:cs="Arial"/>
          <w:b/>
          <w:bCs/>
          <w:sz w:val="18"/>
          <w:szCs w:val="18"/>
        </w:rPr>
        <w:t>High quality:</w:t>
      </w:r>
      <w:r w:rsidRPr="00154A9C">
        <w:rPr>
          <w:rFonts w:ascii="Arial Narrow" w:hAnsi="Arial Narrow" w:cs="Arial"/>
          <w:sz w:val="18"/>
          <w:szCs w:val="18"/>
        </w:rPr>
        <w:t xml:space="preserve"> We are very confident that the true effect lies close to that of the estimate of effect. </w:t>
      </w:r>
      <w:r w:rsidRPr="00154A9C">
        <w:rPr>
          <w:rFonts w:ascii="Cambria Math" w:hAnsi="Cambria Math"/>
          <w:color w:val="00B050"/>
        </w:rPr>
        <w:t>⨁⨁⨁</w:t>
      </w:r>
      <w:r w:rsidRPr="00154A9C">
        <w:rPr>
          <w:rFonts w:ascii="Cambria Math" w:hAnsi="Cambria Math" w:cs="Cambria Math"/>
          <w:color w:val="C00000"/>
        </w:rPr>
        <w:t xml:space="preserve">⨀ </w:t>
      </w:r>
      <w:r w:rsidRPr="00154A9C">
        <w:rPr>
          <w:rFonts w:ascii="Arial Narrow" w:hAnsi="Arial Narrow" w:cs="Arial"/>
          <w:b/>
          <w:bCs/>
          <w:sz w:val="18"/>
          <w:szCs w:val="18"/>
        </w:rPr>
        <w:t>Moderate quality:</w:t>
      </w:r>
      <w:r w:rsidRPr="00154A9C">
        <w:rPr>
          <w:rFonts w:ascii="Arial Narrow" w:hAnsi="Arial Narrow" w:cs="Arial"/>
          <w:sz w:val="18"/>
          <w:szCs w:val="18"/>
        </w:rPr>
        <w:t xml:space="preserve"> We are moderately confident in the effect estimate: The true effect is likely to be close to the estimate of the effect, but there is a possibility that it is substantially different. </w:t>
      </w:r>
      <w:r w:rsidRPr="00154A9C">
        <w:rPr>
          <w:rFonts w:ascii="Cambria Math" w:hAnsi="Cambria Math"/>
          <w:color w:val="00B050"/>
        </w:rPr>
        <w:t>⨁⨁</w:t>
      </w:r>
      <w:r w:rsidRPr="00154A9C">
        <w:rPr>
          <w:rFonts w:ascii="Cambria Math" w:hAnsi="Cambria Math" w:cs="Cambria Math"/>
          <w:color w:val="C00000"/>
        </w:rPr>
        <w:t xml:space="preserve">⨀⨀ </w:t>
      </w:r>
      <w:r w:rsidRPr="00154A9C">
        <w:rPr>
          <w:rFonts w:ascii="Arial Narrow" w:hAnsi="Arial Narrow" w:cs="Arial"/>
          <w:b/>
          <w:bCs/>
          <w:sz w:val="18"/>
          <w:szCs w:val="18"/>
        </w:rPr>
        <w:t>Low quality:</w:t>
      </w:r>
      <w:r w:rsidRPr="00154A9C">
        <w:rPr>
          <w:rFonts w:ascii="Arial Narrow" w:hAnsi="Arial Narrow" w:cs="Arial"/>
          <w:sz w:val="18"/>
          <w:szCs w:val="18"/>
        </w:rPr>
        <w:t xml:space="preserve"> Our confidence in the effect estimate is limited: The true effect may be substantially different from the estimate of the effect.</w:t>
      </w:r>
      <w:r w:rsidRPr="00154A9C">
        <w:rPr>
          <w:rFonts w:ascii="Cambria Math" w:hAnsi="Cambria Math"/>
          <w:color w:val="00B050"/>
        </w:rPr>
        <w:t>⨁</w:t>
      </w:r>
      <w:r w:rsidRPr="00154A9C">
        <w:rPr>
          <w:rFonts w:ascii="Cambria Math" w:hAnsi="Cambria Math" w:cs="Cambria Math"/>
          <w:color w:val="C00000"/>
        </w:rPr>
        <w:t xml:space="preserve">⨀⨀⨀ </w:t>
      </w:r>
      <w:r w:rsidRPr="00154A9C">
        <w:rPr>
          <w:rFonts w:ascii="Arial Narrow" w:hAnsi="Arial Narrow" w:cs="Arial"/>
          <w:b/>
          <w:bCs/>
          <w:sz w:val="18"/>
          <w:szCs w:val="18"/>
        </w:rPr>
        <w:t>Very low quality:</w:t>
      </w:r>
      <w:r w:rsidRPr="00154A9C">
        <w:rPr>
          <w:rFonts w:ascii="Arial Narrow" w:hAnsi="Arial Narrow" w:cs="Arial"/>
          <w:sz w:val="18"/>
          <w:szCs w:val="18"/>
        </w:rPr>
        <w:t xml:space="preserve"> We have very little confidence in the effect estimate: The true effect is likely to be substantially different from the estimate of effect.</w:t>
      </w:r>
    </w:p>
    <w:p w14:paraId="318DEC4E" w14:textId="77777777" w:rsidR="00CB2414" w:rsidRPr="00154A9C" w:rsidRDefault="00CB2414" w:rsidP="00875308">
      <w:pPr>
        <w:pStyle w:val="TableNotes"/>
        <w:spacing w:after="480"/>
      </w:pPr>
      <w:r w:rsidRPr="00154A9C">
        <w:t>Source: Table 2, p26 of ADAR</w:t>
      </w:r>
    </w:p>
    <w:p w14:paraId="2CAF29DB" w14:textId="77777777" w:rsidR="00CB2414" w:rsidRPr="00154A9C" w:rsidRDefault="00CB2414" w:rsidP="00CB2414">
      <w:r w:rsidRPr="00154A9C">
        <w:lastRenderedPageBreak/>
        <w:t xml:space="preserve">On the basis of the benefits and harms reported in the evidence base, the ADAR proposed that: </w:t>
      </w:r>
    </w:p>
    <w:p w14:paraId="56E56EE7" w14:textId="77777777" w:rsidR="00CB2414" w:rsidRPr="00154A9C" w:rsidRDefault="00CB2414" w:rsidP="00CB2414">
      <w:pPr>
        <w:pStyle w:val="ListParagraph"/>
        <w:numPr>
          <w:ilvl w:val="0"/>
          <w:numId w:val="6"/>
        </w:numPr>
      </w:pPr>
      <w:r w:rsidRPr="00154A9C">
        <w:rPr>
          <w:bCs/>
        </w:rPr>
        <w:t>In Population 1 (short/hostile proximal aortic neck anatomies), relative to complex EVAR, EVAR + helical anchors has non-inferior safety and non-inferior effectiveness.</w:t>
      </w:r>
    </w:p>
    <w:p w14:paraId="38D555D6" w14:textId="12D2F761" w:rsidR="00CB2414" w:rsidRPr="00154A9C" w:rsidRDefault="00CB2414" w:rsidP="00CB2414">
      <w:pPr>
        <w:pStyle w:val="ListParagraph"/>
        <w:numPr>
          <w:ilvl w:val="0"/>
          <w:numId w:val="6"/>
        </w:numPr>
      </w:pPr>
      <w:r w:rsidRPr="00154A9C">
        <w:rPr>
          <w:bCs/>
        </w:rPr>
        <w:t>In Population 2 (treatment of Type Ia endoleaks and/or graft migration during or following an index procedure), relative to open conversion and revision EVAR, helical anchors has non-inferior safety and non-inferior effectiveness.</w:t>
      </w:r>
    </w:p>
    <w:p w14:paraId="2BC02E08" w14:textId="2BA7F310" w:rsidR="00CB2414" w:rsidRPr="00154A9C" w:rsidRDefault="00CB2414" w:rsidP="00875308">
      <w:pPr>
        <w:spacing w:before="240"/>
      </w:pPr>
      <w:r w:rsidRPr="00154A9C">
        <w:t>The commentary noted that for both populations, the main limitation of the comparative effectiveness assessment is the lack of direct comparative evidence. In addition, the ADAR selectively omitted some of the studies in the analyses of reintervention rates, mainly due to longer follow-up periods. This pragmatic approach may be acceptable, but it is unclear whether thes</w:t>
      </w:r>
      <w:r w:rsidR="00875308">
        <w:t>e decisions were made post-hoc.</w:t>
      </w:r>
    </w:p>
    <w:p w14:paraId="11537D2B" w14:textId="37B14427" w:rsidR="00590DFD" w:rsidRDefault="00CB2414" w:rsidP="00875308">
      <w:pPr>
        <w:spacing w:before="240"/>
      </w:pPr>
      <w:r w:rsidRPr="00154A9C">
        <w:t>The commentary noted that the GRADE evidence profile suggests that no substantial differences exist between studies of helical anchors and comparator studies. It is important to note that the last column in the table (Comments) needs cautious interpretation. The ‘differences’ were derived from naïve compa</w:t>
      </w:r>
      <w:r w:rsidR="00875308">
        <w:t xml:space="preserve">risons of independent studies. </w:t>
      </w:r>
    </w:p>
    <w:p w14:paraId="498164F1" w14:textId="14CFA283" w:rsidR="00CB2414" w:rsidRPr="00154A9C" w:rsidRDefault="00CB2414" w:rsidP="00875308">
      <w:pPr>
        <w:spacing w:before="240"/>
      </w:pPr>
      <w:r w:rsidRPr="006F5CD6">
        <w:t>The main issue is the inherent risk of bias and uncertainty of study comparability attached to naïve comparisons. The applicant has acknowledged this issue in multiple places throughout the ADAR; and the ADAR correctly graded the quality of the evidence as ‘very low quality’ for all the comparisons. This means there is very little confidence in the estimated effect, and there is potential the true effect could be substantially different from the estimate presented here.</w:t>
      </w:r>
    </w:p>
    <w:p w14:paraId="1CC3ECEE" w14:textId="6C17DAC4" w:rsidR="00CB2414" w:rsidRPr="00875308" w:rsidRDefault="00CB2414" w:rsidP="00875308">
      <w:pPr>
        <w:spacing w:before="240" w:after="240"/>
      </w:pPr>
      <w:r w:rsidRPr="00154A9C">
        <w:t xml:space="preserve">In the pre-ESC </w:t>
      </w:r>
      <w:r w:rsidR="00A0047D">
        <w:t xml:space="preserve">and pre-MSAC </w:t>
      </w:r>
      <w:r w:rsidRPr="00154A9C">
        <w:t xml:space="preserve">response, the applicant acknowledged the lack of direct evidence as a limitation in the assessment of effectiveness and safety of EVAR+EA versus its comparators. However, the applicant argued the evidence presented represents the best level evidence available and reflects the management of TAA/AAA on a </w:t>
      </w:r>
      <w:r w:rsidR="00A0047D" w:rsidRPr="00154A9C">
        <w:t>case-by-case</w:t>
      </w:r>
      <w:r w:rsidRPr="00154A9C">
        <w:t xml:space="preserve"> basis with individual anatomical characteristics and comorbidities considered in determining the suitable treatment option. Further, the applicant maintains that the data presented supports a conclusion of non-inferiority.</w:t>
      </w:r>
    </w:p>
    <w:p w14:paraId="7AA086D6" w14:textId="60DC756A" w:rsidR="007328EB" w:rsidRPr="00875308" w:rsidRDefault="007328EB" w:rsidP="00875308">
      <w:pPr>
        <w:widowControl w:val="0"/>
        <w:spacing w:before="240"/>
      </w:pPr>
      <w:r>
        <w:rPr>
          <w:szCs w:val="24"/>
        </w:rPr>
        <w:t xml:space="preserve">In the pre-MSAC response, the applicant refuted the claim that </w:t>
      </w:r>
      <w:r w:rsidRPr="00154A9C">
        <w:t>the ADAR</w:t>
      </w:r>
      <w:r>
        <w:t xml:space="preserve"> had</w:t>
      </w:r>
      <w:r w:rsidRPr="00154A9C">
        <w:t xml:space="preserve"> </w:t>
      </w:r>
      <w:r>
        <w:t xml:space="preserve">selectively omitted some </w:t>
      </w:r>
      <w:r w:rsidRPr="00154A9C">
        <w:t>studies</w:t>
      </w:r>
      <w:r>
        <w:t>. The applicant confirmed</w:t>
      </w:r>
      <w:r w:rsidRPr="00154A9C">
        <w:t xml:space="preserve"> </w:t>
      </w:r>
      <w:r>
        <w:t>o</w:t>
      </w:r>
      <w:r w:rsidRPr="00EC2C87">
        <w:t>ne complex EVAR study was omitted from the naïve comparison of reintervention rates because of the significantly longer follow up (3 years versus 1 year for ANCHOR registry) and consequent markedly higher reinterventi</w:t>
      </w:r>
      <w:r w:rsidR="00746ED3">
        <w:t>on rate</w:t>
      </w:r>
      <w:r w:rsidRPr="00EC2C87">
        <w:t xml:space="preserve"> of 22%, almost double the rate of most oth</w:t>
      </w:r>
      <w:r w:rsidR="00746ED3">
        <w:t>er complex EVAR studies. T</w:t>
      </w:r>
      <w:r w:rsidRPr="00EC2C87">
        <w:t xml:space="preserve">he decision to omit this study from the </w:t>
      </w:r>
      <w:r w:rsidR="00746ED3">
        <w:t xml:space="preserve">ADAR </w:t>
      </w:r>
      <w:r w:rsidRPr="00EC2C87">
        <w:t xml:space="preserve">analysis, on the basis of being an outlier, was to improve comparability and to minimise the potential from bias as a consequence of differential follow up. </w:t>
      </w:r>
      <w:r w:rsidR="00746ED3">
        <w:t>The applicant claimed that h</w:t>
      </w:r>
      <w:r w:rsidRPr="00EC2C87">
        <w:t>ad this study been included, the naïve comparison would have been biased in favour of EVAR+EA, as such the approach taken may be considered conservative and appropriate in the co</w:t>
      </w:r>
      <w:r w:rsidR="00875308">
        <w:t xml:space="preserve">ntext of reducing uncertainty. </w:t>
      </w:r>
    </w:p>
    <w:p w14:paraId="7B61BAD9" w14:textId="77777777" w:rsidR="00DE0A72" w:rsidRPr="007E6D4E" w:rsidRDefault="00DE0A72" w:rsidP="00875308">
      <w:pPr>
        <w:pStyle w:val="Heading2"/>
        <w:spacing w:before="240"/>
        <w:rPr>
          <w:b/>
          <w:i w:val="0"/>
          <w:u w:val="none"/>
        </w:rPr>
      </w:pPr>
      <w:r w:rsidRPr="007E6D4E">
        <w:rPr>
          <w:b/>
          <w:i w:val="0"/>
          <w:u w:val="none"/>
        </w:rPr>
        <w:t>Clinical claim</w:t>
      </w:r>
    </w:p>
    <w:p w14:paraId="0526AB44" w14:textId="08D3BE93" w:rsidR="00590DFD" w:rsidRPr="006F5CD6" w:rsidRDefault="00CB2414" w:rsidP="00CB2414">
      <w:r w:rsidRPr="006F5CD6">
        <w:t>The applicant claims that T/EVAR incorporating the use of helical anchors is non-inferior to the identified comparators with respe</w:t>
      </w:r>
      <w:r w:rsidR="00875308">
        <w:t>ct to safety and effectiveness.</w:t>
      </w:r>
    </w:p>
    <w:p w14:paraId="37850760" w14:textId="77777777" w:rsidR="00590DFD" w:rsidRPr="00154A9C" w:rsidRDefault="00590DFD" w:rsidP="00875308">
      <w:pPr>
        <w:spacing w:before="240"/>
      </w:pPr>
      <w:r w:rsidRPr="006F5CD6">
        <w:t>MSAC did not acc</w:t>
      </w:r>
      <w:r w:rsidR="005064DF" w:rsidRPr="006F5CD6">
        <w:t>ept this claim (see Section 3).</w:t>
      </w:r>
    </w:p>
    <w:p w14:paraId="0578C625" w14:textId="77777777" w:rsidR="00DE0A72" w:rsidRPr="00F715D1" w:rsidRDefault="00DE0A72" w:rsidP="00DE0A72">
      <w:pPr>
        <w:pStyle w:val="Heading1"/>
      </w:pPr>
      <w:r w:rsidRPr="00F715D1">
        <w:lastRenderedPageBreak/>
        <w:t>Economic evaluation</w:t>
      </w:r>
    </w:p>
    <w:p w14:paraId="55DDC6DA" w14:textId="09112279" w:rsidR="00CB2414" w:rsidRPr="00154A9C" w:rsidRDefault="00CB2414" w:rsidP="00CB2414">
      <w:r w:rsidRPr="00154A9C">
        <w:t>A cost-minimisation analysis (CMA) in the form of a cost comparison was presented (</w:t>
      </w:r>
      <w:r w:rsidR="00061B4D">
        <w:fldChar w:fldCharType="begin"/>
      </w:r>
      <w:r w:rsidR="00061B4D">
        <w:instrText xml:space="preserve"> REF _Ref43985239 \h </w:instrText>
      </w:r>
      <w:r w:rsidR="00061B4D">
        <w:fldChar w:fldCharType="separate"/>
      </w:r>
      <w:r w:rsidR="00061B4D">
        <w:t>Table </w:t>
      </w:r>
      <w:r w:rsidR="00061B4D">
        <w:rPr>
          <w:noProof/>
        </w:rPr>
        <w:t>6</w:t>
      </w:r>
      <w:r w:rsidR="00061B4D">
        <w:fldChar w:fldCharType="end"/>
      </w:r>
      <w:r w:rsidR="00061B4D">
        <w:t xml:space="preserve">). </w:t>
      </w:r>
      <w:r w:rsidRPr="00154A9C">
        <w:t>This was considered the most appropriate form of economic evaluation for T/EVAR+EA based on the clinical claims of non-inferior safety a</w:t>
      </w:r>
      <w:r w:rsidR="00875308">
        <w:t xml:space="preserve">nd non-inferior effectiveness. </w:t>
      </w:r>
    </w:p>
    <w:p w14:paraId="382285EB" w14:textId="77777777" w:rsidR="00CB2414" w:rsidRPr="00154A9C" w:rsidRDefault="00CB2414" w:rsidP="00875308">
      <w:pPr>
        <w:spacing w:before="240"/>
      </w:pPr>
      <w:r w:rsidRPr="00154A9C">
        <w:t>The economic evaluation estimated the costs of T/EVAR+EA and its comparators across four populations, differentiated by prior treatments (primary and revision) and by aneurysm location (abdominal and thoracic):</w:t>
      </w:r>
    </w:p>
    <w:p w14:paraId="1F78515B" w14:textId="77777777" w:rsidR="00CB2414" w:rsidRPr="00154A9C" w:rsidRDefault="00CB2414" w:rsidP="00CB2414">
      <w:pPr>
        <w:pStyle w:val="ListParagraph"/>
        <w:numPr>
          <w:ilvl w:val="0"/>
          <w:numId w:val="8"/>
        </w:numPr>
        <w:contextualSpacing w:val="0"/>
      </w:pPr>
      <w:r w:rsidRPr="00154A9C">
        <w:t xml:space="preserve">Population 1a: initial AAA repair </w:t>
      </w:r>
    </w:p>
    <w:p w14:paraId="65D5C063" w14:textId="77777777" w:rsidR="00CB2414" w:rsidRPr="00154A9C" w:rsidRDefault="00CB2414" w:rsidP="00CB2414">
      <w:pPr>
        <w:pStyle w:val="ListParagraph"/>
        <w:numPr>
          <w:ilvl w:val="0"/>
          <w:numId w:val="8"/>
        </w:numPr>
        <w:contextualSpacing w:val="0"/>
      </w:pPr>
      <w:r w:rsidRPr="00154A9C">
        <w:t xml:space="preserve">Population 1b: initial TAA repair </w:t>
      </w:r>
    </w:p>
    <w:p w14:paraId="544275DF" w14:textId="77777777" w:rsidR="00CB2414" w:rsidRPr="00154A9C" w:rsidRDefault="00CB2414" w:rsidP="00CB2414">
      <w:pPr>
        <w:pStyle w:val="ListParagraph"/>
        <w:numPr>
          <w:ilvl w:val="0"/>
          <w:numId w:val="8"/>
        </w:numPr>
        <w:contextualSpacing w:val="0"/>
      </w:pPr>
      <w:r w:rsidRPr="00154A9C">
        <w:t xml:space="preserve">Population 2a: revision AAA repair </w:t>
      </w:r>
    </w:p>
    <w:p w14:paraId="5F82ECC2" w14:textId="4B54E129" w:rsidR="00CB2414" w:rsidRPr="00154A9C" w:rsidRDefault="00CB2414" w:rsidP="00CB2414">
      <w:pPr>
        <w:pStyle w:val="ListParagraph"/>
        <w:numPr>
          <w:ilvl w:val="0"/>
          <w:numId w:val="8"/>
        </w:numPr>
        <w:contextualSpacing w:val="0"/>
      </w:pPr>
      <w:r w:rsidRPr="00154A9C">
        <w:t>Population 2b: revision TAA repair.</w:t>
      </w:r>
    </w:p>
    <w:p w14:paraId="3CC1BB0C" w14:textId="442EA23E" w:rsidR="00CB2414" w:rsidRPr="00061B4D" w:rsidRDefault="00061B4D" w:rsidP="00061B4D">
      <w:pPr>
        <w:pStyle w:val="Style1"/>
        <w:spacing w:before="240"/>
      </w:pPr>
      <w:bookmarkStart w:id="18" w:name="_Ref43985239"/>
      <w:bookmarkStart w:id="19" w:name="_Toc21425204"/>
      <w:bookmarkStart w:id="20" w:name="_Toc21528072"/>
      <w:r w:rsidRPr="00061B4D">
        <w:t xml:space="preserve">Table </w:t>
      </w:r>
      <w:r w:rsidR="002665AC">
        <w:fldChar w:fldCharType="begin"/>
      </w:r>
      <w:r w:rsidR="002665AC">
        <w:instrText xml:space="preserve"> SEQ Table \* ARABIC </w:instrText>
      </w:r>
      <w:r w:rsidR="002665AC">
        <w:fldChar w:fldCharType="separate"/>
      </w:r>
      <w:r w:rsidR="00E05271">
        <w:rPr>
          <w:noProof/>
        </w:rPr>
        <w:t>6</w:t>
      </w:r>
      <w:r w:rsidR="002665AC">
        <w:rPr>
          <w:noProof/>
        </w:rPr>
        <w:fldChar w:fldCharType="end"/>
      </w:r>
      <w:bookmarkEnd w:id="18"/>
      <w:r w:rsidRPr="00061B4D">
        <w:tab/>
      </w:r>
      <w:r w:rsidR="00CB2414" w:rsidRPr="00061B4D">
        <w:t>Summary of the economic evaluation</w:t>
      </w:r>
      <w:bookmarkEnd w:id="19"/>
      <w:bookmarkEnd w:id="20"/>
      <w:r w:rsidR="00CB2414" w:rsidRPr="00061B4D">
        <w:t xml:space="preserve"> </w:t>
      </w:r>
    </w:p>
    <w:tbl>
      <w:tblPr>
        <w:tblStyle w:val="TableGrid1"/>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03"/>
        <w:gridCol w:w="5913"/>
      </w:tblGrid>
      <w:tr w:rsidR="00CB2414" w:rsidRPr="00154A9C" w14:paraId="10BE1FF4" w14:textId="77777777" w:rsidTr="00890A2A">
        <w:trPr>
          <w:cnfStyle w:val="100000000000" w:firstRow="1" w:lastRow="0" w:firstColumn="0" w:lastColumn="0" w:oddVBand="0" w:evenVBand="0" w:oddHBand="0" w:evenHBand="0" w:firstRowFirstColumn="0" w:firstRowLastColumn="0" w:lastRowFirstColumn="0" w:lastRowLastColumn="0"/>
          <w:trHeight w:val="20"/>
          <w:tblHeader/>
        </w:trPr>
        <w:tc>
          <w:tcPr>
            <w:tcW w:w="3103" w:type="dxa"/>
          </w:tcPr>
          <w:p w14:paraId="6F319CC3" w14:textId="77777777" w:rsidR="00CB2414" w:rsidRPr="00154A9C" w:rsidRDefault="00CB2414" w:rsidP="00CB2414">
            <w:pPr>
              <w:pStyle w:val="Tabletext"/>
              <w:rPr>
                <w:b/>
                <w:bCs/>
              </w:rPr>
            </w:pPr>
            <w:r w:rsidRPr="00154A9C">
              <w:rPr>
                <w:b/>
                <w:bCs/>
              </w:rPr>
              <w:t>Perspective</w:t>
            </w:r>
          </w:p>
        </w:tc>
        <w:tc>
          <w:tcPr>
            <w:tcW w:w="5913" w:type="dxa"/>
          </w:tcPr>
          <w:p w14:paraId="5D57EA23" w14:textId="77777777" w:rsidR="00CB2414" w:rsidRPr="00154A9C" w:rsidRDefault="00CB2414" w:rsidP="00CB2414">
            <w:pPr>
              <w:pStyle w:val="Tabletext"/>
            </w:pPr>
            <w:r w:rsidRPr="00154A9C">
              <w:t>Healthcare</w:t>
            </w:r>
          </w:p>
        </w:tc>
      </w:tr>
      <w:tr w:rsidR="00CB2414" w:rsidRPr="00154A9C" w14:paraId="55930B3C" w14:textId="77777777" w:rsidTr="00CB2414">
        <w:trPr>
          <w:trHeight w:val="20"/>
        </w:trPr>
        <w:tc>
          <w:tcPr>
            <w:tcW w:w="3103" w:type="dxa"/>
          </w:tcPr>
          <w:p w14:paraId="68DC81F2" w14:textId="77777777" w:rsidR="00CB2414" w:rsidRPr="00154A9C" w:rsidRDefault="00CB2414" w:rsidP="00CB2414">
            <w:pPr>
              <w:pStyle w:val="Tabletext"/>
              <w:rPr>
                <w:b/>
              </w:rPr>
            </w:pPr>
            <w:r w:rsidRPr="00154A9C">
              <w:rPr>
                <w:b/>
              </w:rPr>
              <w:t>Comparator</w:t>
            </w:r>
          </w:p>
        </w:tc>
        <w:tc>
          <w:tcPr>
            <w:tcW w:w="5913" w:type="dxa"/>
          </w:tcPr>
          <w:p w14:paraId="6E72047E" w14:textId="77777777" w:rsidR="00CB2414" w:rsidRPr="00154A9C" w:rsidRDefault="00CB2414" w:rsidP="00CB2414">
            <w:pPr>
              <w:pStyle w:val="Tabletext"/>
            </w:pPr>
            <w:r w:rsidRPr="00154A9C">
              <w:t>Population 1a: Complex EVAR (FEVAR and CHEVAR)</w:t>
            </w:r>
          </w:p>
          <w:p w14:paraId="27233EF9" w14:textId="77777777" w:rsidR="00CB2414" w:rsidRPr="00154A9C" w:rsidRDefault="00CB2414" w:rsidP="00CB2414">
            <w:pPr>
              <w:pStyle w:val="Tabletext"/>
            </w:pPr>
            <w:r w:rsidRPr="00154A9C">
              <w:t>Population 1b: Complex TEVAR (CHEVAR)</w:t>
            </w:r>
          </w:p>
          <w:p w14:paraId="0E33B133" w14:textId="77777777" w:rsidR="00CB2414" w:rsidRPr="00154A9C" w:rsidRDefault="00CB2414" w:rsidP="00CB2414">
            <w:pPr>
              <w:pStyle w:val="Tabletext"/>
            </w:pPr>
            <w:r w:rsidRPr="00154A9C">
              <w:t>Population 2a: Revision EVAR and open repair</w:t>
            </w:r>
          </w:p>
          <w:p w14:paraId="7021A3BA" w14:textId="77777777" w:rsidR="00CB2414" w:rsidRPr="00154A9C" w:rsidRDefault="00CB2414" w:rsidP="00CB2414">
            <w:pPr>
              <w:pStyle w:val="Tabletext"/>
            </w:pPr>
            <w:r w:rsidRPr="00154A9C">
              <w:t>Population 2b: Revision TEVAR and open repair</w:t>
            </w:r>
          </w:p>
        </w:tc>
      </w:tr>
      <w:tr w:rsidR="00CB2414" w:rsidRPr="00154A9C" w14:paraId="6B678821" w14:textId="77777777" w:rsidTr="00CB2414">
        <w:trPr>
          <w:trHeight w:val="20"/>
        </w:trPr>
        <w:tc>
          <w:tcPr>
            <w:tcW w:w="3103" w:type="dxa"/>
          </w:tcPr>
          <w:p w14:paraId="0522CF99" w14:textId="77777777" w:rsidR="00CB2414" w:rsidRPr="00154A9C" w:rsidRDefault="00CB2414" w:rsidP="00CB2414">
            <w:pPr>
              <w:pStyle w:val="Tabletext"/>
              <w:rPr>
                <w:b/>
              </w:rPr>
            </w:pPr>
            <w:r w:rsidRPr="00154A9C">
              <w:rPr>
                <w:b/>
              </w:rPr>
              <w:t>Type of economic evaluation</w:t>
            </w:r>
          </w:p>
        </w:tc>
        <w:tc>
          <w:tcPr>
            <w:tcW w:w="5913" w:type="dxa"/>
          </w:tcPr>
          <w:p w14:paraId="2382C90C" w14:textId="77777777" w:rsidR="00CB2414" w:rsidRPr="00154A9C" w:rsidRDefault="00CB2414" w:rsidP="00CB2414">
            <w:pPr>
              <w:pStyle w:val="Tabletext"/>
            </w:pPr>
            <w:r w:rsidRPr="00154A9C">
              <w:t>Cost comparison</w:t>
            </w:r>
          </w:p>
        </w:tc>
      </w:tr>
      <w:tr w:rsidR="00CB2414" w:rsidRPr="00154A9C" w14:paraId="0C3E934D" w14:textId="77777777" w:rsidTr="00CB2414">
        <w:trPr>
          <w:trHeight w:val="20"/>
        </w:trPr>
        <w:tc>
          <w:tcPr>
            <w:tcW w:w="3103" w:type="dxa"/>
          </w:tcPr>
          <w:p w14:paraId="7DDE51B8" w14:textId="77777777" w:rsidR="00CB2414" w:rsidRPr="00154A9C" w:rsidRDefault="00CB2414" w:rsidP="00CB2414">
            <w:pPr>
              <w:pStyle w:val="Tabletext"/>
              <w:rPr>
                <w:b/>
              </w:rPr>
            </w:pPr>
            <w:r w:rsidRPr="00154A9C">
              <w:rPr>
                <w:b/>
              </w:rPr>
              <w:t>Sources of evidence</w:t>
            </w:r>
          </w:p>
        </w:tc>
        <w:tc>
          <w:tcPr>
            <w:tcW w:w="5913" w:type="dxa"/>
          </w:tcPr>
          <w:p w14:paraId="54F20A3C" w14:textId="77777777" w:rsidR="00CB2414" w:rsidRPr="00154A9C" w:rsidRDefault="00CB2414" w:rsidP="00CB2414">
            <w:pPr>
              <w:pStyle w:val="Tabletext"/>
            </w:pPr>
            <w:r w:rsidRPr="00154A9C">
              <w:t xml:space="preserve">Systematic review (Section B), supplemented with pragmatic literature searches to address data gaps. </w:t>
            </w:r>
          </w:p>
          <w:p w14:paraId="647F8C84" w14:textId="77777777" w:rsidR="00CB2414" w:rsidRPr="00154A9C" w:rsidRDefault="00CB2414" w:rsidP="00CB2414">
            <w:pPr>
              <w:pStyle w:val="Tabletext"/>
            </w:pPr>
            <w:r w:rsidRPr="00154A9C">
              <w:t>Additionally, cost inputs were derived from Australian data sources, i.e. Prostheses List (July 2019) and the MBS (August 2019).</w:t>
            </w:r>
          </w:p>
        </w:tc>
      </w:tr>
      <w:tr w:rsidR="00CB2414" w:rsidRPr="00154A9C" w14:paraId="4A8B32C2" w14:textId="77777777" w:rsidTr="00CB2414">
        <w:trPr>
          <w:trHeight w:val="20"/>
        </w:trPr>
        <w:tc>
          <w:tcPr>
            <w:tcW w:w="3103" w:type="dxa"/>
            <w:hideMark/>
          </w:tcPr>
          <w:p w14:paraId="57A5A14D" w14:textId="77777777" w:rsidR="00CB2414" w:rsidRPr="00154A9C" w:rsidRDefault="00CB2414" w:rsidP="00CB2414">
            <w:pPr>
              <w:pStyle w:val="Tabletext"/>
              <w:rPr>
                <w:b/>
              </w:rPr>
            </w:pPr>
            <w:r w:rsidRPr="00154A9C">
              <w:rPr>
                <w:b/>
              </w:rPr>
              <w:t>Software packages used</w:t>
            </w:r>
          </w:p>
        </w:tc>
        <w:tc>
          <w:tcPr>
            <w:tcW w:w="5913" w:type="dxa"/>
          </w:tcPr>
          <w:p w14:paraId="0829E6E2" w14:textId="77777777" w:rsidR="00CB2414" w:rsidRPr="00154A9C" w:rsidRDefault="00CB2414" w:rsidP="00CB2414">
            <w:pPr>
              <w:pStyle w:val="Tabletext"/>
            </w:pPr>
            <w:r w:rsidRPr="00154A9C">
              <w:t xml:space="preserve">Excel </w:t>
            </w:r>
          </w:p>
        </w:tc>
      </w:tr>
    </w:tbl>
    <w:p w14:paraId="59272154" w14:textId="77777777" w:rsidR="00CB2414" w:rsidRPr="00154A9C" w:rsidRDefault="00CB2414" w:rsidP="00EA3639">
      <w:pPr>
        <w:widowControl w:val="0"/>
        <w:jc w:val="both"/>
        <w:rPr>
          <w:rFonts w:ascii="Arial Narrow" w:hAnsi="Arial Narrow" w:cs="Arial"/>
          <w:snapToGrid w:val="0"/>
          <w:sz w:val="18"/>
          <w:lang w:eastAsia="en-US"/>
        </w:rPr>
      </w:pPr>
      <w:r w:rsidRPr="00154A9C">
        <w:rPr>
          <w:rFonts w:ascii="Arial Narrow" w:hAnsi="Arial Narrow" w:cs="Arial"/>
          <w:snapToGrid w:val="0"/>
          <w:sz w:val="18"/>
          <w:lang w:eastAsia="en-US"/>
        </w:rPr>
        <w:t>FEVAR=fenestrated endovascular aneurysm repair; CHEVAR=chimney endovascular aneurysm repair</w:t>
      </w:r>
    </w:p>
    <w:p w14:paraId="3EDCAD66" w14:textId="4DDAD6FF" w:rsidR="00CB2414" w:rsidRPr="00875308" w:rsidRDefault="00CB2414" w:rsidP="00875308">
      <w:pPr>
        <w:pStyle w:val="Tablenotes0"/>
        <w:spacing w:before="0" w:after="0"/>
        <w:rPr>
          <w:rFonts w:cs="Arial"/>
          <w:snapToGrid w:val="0"/>
          <w:lang w:eastAsia="en-US"/>
        </w:rPr>
      </w:pPr>
      <w:r w:rsidRPr="00154A9C">
        <w:t>Source: Table 56, p190 of ADAR</w:t>
      </w:r>
    </w:p>
    <w:p w14:paraId="32F500FD" w14:textId="77777777" w:rsidR="00CB2414" w:rsidRPr="00154A9C" w:rsidRDefault="00CB2414" w:rsidP="00875308">
      <w:pPr>
        <w:tabs>
          <w:tab w:val="left" w:pos="720"/>
        </w:tabs>
        <w:spacing w:before="240"/>
      </w:pPr>
      <w:r w:rsidRPr="00154A9C">
        <w:t>Key assumptions included:</w:t>
      </w:r>
    </w:p>
    <w:p w14:paraId="7C33C911" w14:textId="77777777" w:rsidR="00CB2414" w:rsidRPr="00154A9C" w:rsidRDefault="00CB2414" w:rsidP="00CB2414">
      <w:pPr>
        <w:pStyle w:val="ListParagraph"/>
        <w:numPr>
          <w:ilvl w:val="0"/>
          <w:numId w:val="7"/>
        </w:numPr>
      </w:pPr>
      <w:r w:rsidRPr="00154A9C">
        <w:t>No difference in anaesthesia costs, hospitalisation costs (length of stay), reintervention costs or adverse event costs between T/EVAR+EA and its comparators. These costs were therefore excluded from the cost comparison.</w:t>
      </w:r>
    </w:p>
    <w:p w14:paraId="73C55CEF" w14:textId="28C7ADDD" w:rsidR="00CB2414" w:rsidRPr="00154A9C" w:rsidRDefault="00CB2414" w:rsidP="00061B4D">
      <w:pPr>
        <w:pStyle w:val="ListParagraph"/>
        <w:numPr>
          <w:ilvl w:val="0"/>
          <w:numId w:val="7"/>
        </w:numPr>
      </w:pPr>
      <w:r w:rsidRPr="00154A9C">
        <w:t>Use of adjunct helical anchors would only impact device use associated with treating the proximal neck of aneurysms.</w:t>
      </w:r>
    </w:p>
    <w:p w14:paraId="758B2C9D" w14:textId="77777777" w:rsidR="00CB2414" w:rsidRPr="00154A9C" w:rsidRDefault="00CB2414" w:rsidP="00061B4D">
      <w:pPr>
        <w:tabs>
          <w:tab w:val="left" w:pos="720"/>
        </w:tabs>
        <w:spacing w:before="240"/>
      </w:pPr>
      <w:r w:rsidRPr="00154A9C">
        <w:t>The commentary highlighted several limitations of the submission’s model:</w:t>
      </w:r>
    </w:p>
    <w:p w14:paraId="773B8389" w14:textId="77777777" w:rsidR="00CB2414" w:rsidRPr="003C7818" w:rsidRDefault="00CB2414" w:rsidP="00CB2414">
      <w:pPr>
        <w:pStyle w:val="ListParagraph"/>
        <w:numPr>
          <w:ilvl w:val="0"/>
          <w:numId w:val="9"/>
        </w:numPr>
      </w:pPr>
      <w:r w:rsidRPr="003C7818">
        <w:t>The cost minimisation approach is based on the assumption that the clinical claim is upheld, that T/EVAR +EA is non-inferior to its comparators in each population. Therefore, an underlying question for this economic evaluation is whether the clinical claim is supported by the clinical evidence.</w:t>
      </w:r>
    </w:p>
    <w:p w14:paraId="41320C64" w14:textId="77777777" w:rsidR="00CB2414" w:rsidRPr="00154A9C" w:rsidRDefault="00CB2414" w:rsidP="00CB2414">
      <w:pPr>
        <w:pStyle w:val="ListParagraph"/>
        <w:numPr>
          <w:ilvl w:val="0"/>
          <w:numId w:val="9"/>
        </w:numPr>
      </w:pPr>
      <w:r w:rsidRPr="00154A9C">
        <w:t xml:space="preserve">The ADAR split the population into abdominal and thoracic treatment/repair due to the difference in complexity and time required for each operation. However, in splitting the population, the analysis failed to account for thoracoabdominal aortic aneurysms, and </w:t>
      </w:r>
      <w:r>
        <w:t xml:space="preserve">failed to </w:t>
      </w:r>
      <w:r w:rsidRPr="00154A9C">
        <w:t>includ</w:t>
      </w:r>
      <w:r>
        <w:t>e</w:t>
      </w:r>
      <w:r w:rsidRPr="00154A9C">
        <w:t xml:space="preserve"> the cost of grafts associated with thoracoabdominal aortic aneurysms in the cost-minimisation </w:t>
      </w:r>
      <w:r>
        <w:t xml:space="preserve">approach to the economic </w:t>
      </w:r>
      <w:r w:rsidRPr="00154A9C">
        <w:t>analysis.</w:t>
      </w:r>
    </w:p>
    <w:p w14:paraId="38122847" w14:textId="7AAC64AA" w:rsidR="00CB2414" w:rsidRPr="00154A9C" w:rsidRDefault="00CB2414" w:rsidP="00CB2414">
      <w:pPr>
        <w:pStyle w:val="ListParagraph"/>
        <w:numPr>
          <w:ilvl w:val="0"/>
          <w:numId w:val="9"/>
        </w:numPr>
      </w:pPr>
      <w:r w:rsidRPr="00154A9C">
        <w:t xml:space="preserve">The proposed cost of the comparator was estimated by determining the cost of fenestrated stents from the prosthesis list, costed at </w:t>
      </w:r>
      <w:r w:rsidRPr="00875308">
        <w:t>$</w:t>
      </w:r>
      <w:r w:rsidR="007B0B41" w:rsidRPr="00A9387D">
        <w:rPr>
          <w:b/>
        </w:rPr>
        <w:t>redacted</w:t>
      </w:r>
      <w:r w:rsidRPr="00154A9C">
        <w:t xml:space="preserve">. However, this cost appears to be at the higher </w:t>
      </w:r>
      <w:r>
        <w:t xml:space="preserve">end of the range of </w:t>
      </w:r>
      <w:r w:rsidRPr="00154A9C">
        <w:t>benefit</w:t>
      </w:r>
      <w:r>
        <w:t>s</w:t>
      </w:r>
      <w:r w:rsidRPr="00154A9C">
        <w:t xml:space="preserve"> for fenestrated grafts, with grafts </w:t>
      </w:r>
      <w:r>
        <w:t>at</w:t>
      </w:r>
      <w:r w:rsidRPr="00154A9C">
        <w:t xml:space="preserve"> the lower </w:t>
      </w:r>
      <w:r>
        <w:t xml:space="preserve">end of the range </w:t>
      </w:r>
      <w:r w:rsidRPr="007439DE">
        <w:t>priced at $</w:t>
      </w:r>
      <w:r w:rsidR="007B0B41" w:rsidRPr="007439DE">
        <w:rPr>
          <w:b/>
        </w:rPr>
        <w:t>redacted</w:t>
      </w:r>
      <w:r w:rsidRPr="00154A9C">
        <w:t xml:space="preserve">. It may </w:t>
      </w:r>
      <w:r>
        <w:t xml:space="preserve">or may not </w:t>
      </w:r>
      <w:r w:rsidRPr="00154A9C">
        <w:t xml:space="preserve">be appropriate to use the lower price for the fenestrated graft. Likewise, the cost of </w:t>
      </w:r>
      <w:r w:rsidRPr="00154A9C">
        <w:lastRenderedPageBreak/>
        <w:t>covered stents</w:t>
      </w:r>
      <w:r>
        <w:t xml:space="preserve"> used in the economic </w:t>
      </w:r>
      <w:r w:rsidRPr="007439DE">
        <w:t>analysis is $</w:t>
      </w:r>
      <w:r w:rsidR="007B0B41" w:rsidRPr="007439DE">
        <w:rPr>
          <w:b/>
        </w:rPr>
        <w:t>redacted</w:t>
      </w:r>
      <w:r w:rsidRPr="00154A9C">
        <w:t>, which also significantly increase</w:t>
      </w:r>
      <w:r>
        <w:t>s</w:t>
      </w:r>
      <w:r w:rsidRPr="00154A9C">
        <w:t xml:space="preserve"> the cost of the comparators FEVAR and CHEVAR, which is favourable for EVAR+EA.</w:t>
      </w:r>
    </w:p>
    <w:p w14:paraId="2B9FFE5E" w14:textId="77777777" w:rsidR="00CB2414" w:rsidRPr="00154A9C" w:rsidRDefault="00CB2414" w:rsidP="00CB2414">
      <w:pPr>
        <w:pStyle w:val="ListParagraph"/>
        <w:numPr>
          <w:ilvl w:val="0"/>
          <w:numId w:val="9"/>
        </w:numPr>
      </w:pPr>
      <w:r w:rsidRPr="00154A9C">
        <w:t>The cost of open repair is underestimated as it does not account for hospital costs, or PBS costs (such as antibiotics), as these patients would be expected to stay in hospital for a longer period compared with EVAR+EA, due to the more invasive nature of the repair surgery.  The cost of CHEVAR did not include the cost of a standard stent graft and is therefore also underestimated.</w:t>
      </w:r>
    </w:p>
    <w:p w14:paraId="33EE1612" w14:textId="77777777" w:rsidR="00CB2414" w:rsidRPr="00154A9C" w:rsidRDefault="00CB2414" w:rsidP="00CB2414">
      <w:pPr>
        <w:pStyle w:val="ListParagraph"/>
        <w:numPr>
          <w:ilvl w:val="0"/>
          <w:numId w:val="9"/>
        </w:numPr>
      </w:pPr>
      <w:r w:rsidRPr="00154A9C">
        <w:t xml:space="preserve">While the analysis has assumed wastage, further advice </w:t>
      </w:r>
      <w:r>
        <w:t>was</w:t>
      </w:r>
      <w:r w:rsidRPr="00154A9C">
        <w:t xml:space="preserve"> needed </w:t>
      </w:r>
      <w:r>
        <w:t>by the assessment group regarding the possibility of unused anchors from opened packs being used for other patients</w:t>
      </w:r>
      <w:r w:rsidR="00367D3D">
        <w:t>.</w:t>
      </w:r>
    </w:p>
    <w:p w14:paraId="314F8419" w14:textId="499548E5" w:rsidR="00CB2414" w:rsidRDefault="00CB2414" w:rsidP="00875308">
      <w:pPr>
        <w:pStyle w:val="ListParagraph"/>
        <w:numPr>
          <w:ilvl w:val="0"/>
          <w:numId w:val="9"/>
        </w:numPr>
      </w:pPr>
      <w:r w:rsidRPr="00154A9C">
        <w:t>Reintervention and adverse event costs were not included as no difference was expected based on the clinical claim of non-inferiority. Assuming this clinical claim is upheld, the assumption that there were no difference</w:t>
      </w:r>
      <w:r>
        <w:t>s</w:t>
      </w:r>
      <w:r w:rsidRPr="00154A9C">
        <w:t xml:space="preserve"> in reintervention and adverse event costs is reasonable. Anaesthesia and hospital length of stay have also not been included in the analysis, however these costs are likely to be higher in the comparator arm.</w:t>
      </w:r>
    </w:p>
    <w:p w14:paraId="528B7B2A" w14:textId="77777777" w:rsidR="00AC456D" w:rsidRDefault="00F50029" w:rsidP="00875308">
      <w:pPr>
        <w:tabs>
          <w:tab w:val="left" w:pos="720"/>
        </w:tabs>
        <w:spacing w:before="240"/>
      </w:pPr>
      <w:r>
        <w:t xml:space="preserve">In the pre-MSAC response, the applicant </w:t>
      </w:r>
      <w:r w:rsidR="00CE5EF6">
        <w:t>stated</w:t>
      </w:r>
      <w:r>
        <w:t xml:space="preserve"> that</w:t>
      </w:r>
      <w:r w:rsidR="00AC456D">
        <w:t>:</w:t>
      </w:r>
    </w:p>
    <w:p w14:paraId="4C00CA0E" w14:textId="7777B22B" w:rsidR="00AC456D" w:rsidRPr="007439DE" w:rsidRDefault="00AC456D" w:rsidP="00CE5EF6">
      <w:pPr>
        <w:pStyle w:val="ListParagraph"/>
        <w:numPr>
          <w:ilvl w:val="0"/>
          <w:numId w:val="13"/>
        </w:numPr>
        <w:tabs>
          <w:tab w:val="left" w:pos="851"/>
        </w:tabs>
      </w:pPr>
      <w:r>
        <w:t>T</w:t>
      </w:r>
      <w:r w:rsidR="00F50029">
        <w:t>horacoabdominal aortic aneurysms were not included in the cost comparison as the proposed populations were for use in abdominal and thoracic aneurysms, not thoracoabdominal. However, in response to the suggestion that EVAR+EA would also be used as a substitute for thoracoabdominal aneurysms,</w:t>
      </w:r>
      <w:r w:rsidR="00A172DC">
        <w:t xml:space="preserve"> the application claimed</w:t>
      </w:r>
      <w:r w:rsidR="00F50029">
        <w:t xml:space="preserve"> that FEVAR in these patients would involve the use of the Zenith t-branch Endovascular Graft (</w:t>
      </w:r>
      <w:r w:rsidR="00F50029" w:rsidRPr="007439DE">
        <w:t>Prostheses List price=$</w:t>
      </w:r>
      <w:r w:rsidR="007B0B41" w:rsidRPr="007439DE">
        <w:rPr>
          <w:b/>
        </w:rPr>
        <w:t>redacted</w:t>
      </w:r>
      <w:r w:rsidR="00F50029" w:rsidRPr="007439DE">
        <w:t xml:space="preserve">). </w:t>
      </w:r>
    </w:p>
    <w:p w14:paraId="55546615" w14:textId="452FF766" w:rsidR="00CB5E3D" w:rsidRDefault="00A452CE" w:rsidP="00CE5EF6">
      <w:pPr>
        <w:pStyle w:val="ListParagraph"/>
        <w:numPr>
          <w:ilvl w:val="0"/>
          <w:numId w:val="13"/>
        </w:numPr>
        <w:tabs>
          <w:tab w:val="left" w:pos="851"/>
        </w:tabs>
      </w:pPr>
      <w:r w:rsidRPr="007439DE">
        <w:t xml:space="preserve">The </w:t>
      </w:r>
      <w:r w:rsidR="00CB5E3D" w:rsidRPr="007439DE">
        <w:t>Zenith Fenestrated AAA Endovascular Graft with Flexor (costing</w:t>
      </w:r>
      <w:r w:rsidR="00F30E92" w:rsidRPr="007439DE">
        <w:t xml:space="preserve"> </w:t>
      </w:r>
      <w:r w:rsidR="00CB5E3D" w:rsidRPr="007439DE">
        <w:t>$</w:t>
      </w:r>
      <w:r w:rsidR="007B0B41" w:rsidRPr="007439DE">
        <w:rPr>
          <w:b/>
        </w:rPr>
        <w:t>redacted</w:t>
      </w:r>
      <w:r w:rsidR="00CB5E3D" w:rsidRPr="007439DE">
        <w:t xml:space="preserve">) is the only fenestrated stent graft listed on the Prostheses List. </w:t>
      </w:r>
      <w:r w:rsidRPr="007439DE">
        <w:t>The applicant claimed o</w:t>
      </w:r>
      <w:r w:rsidR="00CB5E3D" w:rsidRPr="007439DE">
        <w:t xml:space="preserve">ther fenestrated devices listed on the Prostheses List for infrarenal aneurysms are grafts (not stent grafts). Stent grafts are placed inside the artery and used for endovascular procedures, whilst grafts are placed outside the artery and used for open surgery. As such, </w:t>
      </w:r>
      <w:r w:rsidR="00A172DC" w:rsidRPr="007439DE">
        <w:t xml:space="preserve">the applicant claimed </w:t>
      </w:r>
      <w:r w:rsidR="00CB5E3D" w:rsidRPr="007439DE">
        <w:t>the cost of $</w:t>
      </w:r>
      <w:r w:rsidR="007B0B41" w:rsidRPr="007439DE">
        <w:rPr>
          <w:b/>
        </w:rPr>
        <w:t>redacted</w:t>
      </w:r>
      <w:r w:rsidR="00CB5E3D" w:rsidRPr="007B0B41">
        <w:t xml:space="preserve"> </w:t>
      </w:r>
      <w:r w:rsidR="00CB5E3D" w:rsidRPr="00BA280D">
        <w:t>for a</w:t>
      </w:r>
      <w:r w:rsidR="00CB5E3D">
        <w:t xml:space="preserve"> fenestrated stent graft applied in the ADAR is appropriate.</w:t>
      </w:r>
    </w:p>
    <w:p w14:paraId="21DD1C28" w14:textId="77777777" w:rsidR="00AC456D" w:rsidRDefault="00AC456D" w:rsidP="00CE5EF6">
      <w:pPr>
        <w:pStyle w:val="ListParagraph"/>
        <w:numPr>
          <w:ilvl w:val="0"/>
          <w:numId w:val="13"/>
        </w:numPr>
        <w:tabs>
          <w:tab w:val="left" w:pos="851"/>
        </w:tabs>
      </w:pPr>
      <w:r>
        <w:t>The cost of CHEVAR may be underestimated as the ADAR assumed that standard stent graft (tube or bifurcated) use is the same for all primary complex endovascular grafting procedures. However, the applicant claimed the assumption of no difference in standard stent grafts used for CHEVAR compared to EA+EVAR and FEVAR was applied in the ADAR as a conservative assumption.</w:t>
      </w:r>
    </w:p>
    <w:p w14:paraId="71C6CAA9" w14:textId="62FF89D8" w:rsidR="00F50029" w:rsidRPr="00154A9C" w:rsidRDefault="00A452CE" w:rsidP="00875308">
      <w:pPr>
        <w:pStyle w:val="ListParagraph"/>
        <w:numPr>
          <w:ilvl w:val="0"/>
          <w:numId w:val="13"/>
        </w:numPr>
        <w:tabs>
          <w:tab w:val="left" w:pos="851"/>
        </w:tabs>
      </w:pPr>
      <w:r>
        <w:t>T</w:t>
      </w:r>
      <w:r w:rsidR="00A172DC" w:rsidRPr="00A172DC">
        <w:t>he proportions of bare metal and covered stents used in FEVAR and CHEVAR is uncertain. However,</w:t>
      </w:r>
      <w:r>
        <w:t xml:space="preserve"> the applicant claimed</w:t>
      </w:r>
      <w:r w:rsidR="00A172DC" w:rsidRPr="00A172DC">
        <w:t xml:space="preserve"> recent evidence suggests covered stents are more likely to be used in complex EVAR procedures</w:t>
      </w:r>
      <w:r>
        <w:t xml:space="preserve">. </w:t>
      </w:r>
      <w:r w:rsidR="00A172DC" w:rsidRPr="00A172DC">
        <w:t xml:space="preserve">Therefore, the </w:t>
      </w:r>
      <w:r>
        <w:t xml:space="preserve">applicant considered the </w:t>
      </w:r>
      <w:r w:rsidR="00A172DC" w:rsidRPr="00A172DC">
        <w:t>proportions applied in the</w:t>
      </w:r>
      <w:r>
        <w:t xml:space="preserve"> cost comparison </w:t>
      </w:r>
      <w:r w:rsidR="00A172DC" w:rsidRPr="00A172DC">
        <w:t>to be conservative and may underestimate the device costs associated with FEVAR and CHEVAR.</w:t>
      </w:r>
    </w:p>
    <w:p w14:paraId="7259A6AF" w14:textId="77777777" w:rsidR="00CB2414" w:rsidRPr="00154A9C" w:rsidRDefault="00CB2414" w:rsidP="00875308">
      <w:pPr>
        <w:pStyle w:val="Heading2"/>
        <w:spacing w:before="240"/>
      </w:pPr>
      <w:r w:rsidRPr="00154A9C">
        <w:t>Population 1</w:t>
      </w:r>
    </w:p>
    <w:p w14:paraId="1AC0C6D7" w14:textId="564864F2" w:rsidR="00CB2414" w:rsidRPr="00154A9C" w:rsidRDefault="00CB2414" w:rsidP="00CB2414">
      <w:pPr>
        <w:tabs>
          <w:tab w:val="left" w:pos="720"/>
        </w:tabs>
      </w:pPr>
      <w:r w:rsidRPr="00154A9C">
        <w:t xml:space="preserve">The estimated incremental cost associated with T/EVAR+EA versus its comparators for Population 1 broken down by AAA or TAA location are shown below in </w:t>
      </w:r>
      <w:r w:rsidR="00061B4D">
        <w:fldChar w:fldCharType="begin"/>
      </w:r>
      <w:r w:rsidR="00061B4D">
        <w:instrText xml:space="preserve"> REF _Ref43985360 \h </w:instrText>
      </w:r>
      <w:r w:rsidR="00061B4D">
        <w:fldChar w:fldCharType="separate"/>
      </w:r>
      <w:r w:rsidR="00061B4D">
        <w:t xml:space="preserve">Table </w:t>
      </w:r>
      <w:r w:rsidR="00061B4D">
        <w:rPr>
          <w:noProof/>
        </w:rPr>
        <w:t>7</w:t>
      </w:r>
      <w:r w:rsidR="00061B4D">
        <w:fldChar w:fldCharType="end"/>
      </w:r>
      <w:r w:rsidR="00061B4D">
        <w:t xml:space="preserve"> </w:t>
      </w:r>
      <w:r w:rsidRPr="00154A9C">
        <w:t>and</w:t>
      </w:r>
      <w:r w:rsidR="00061B4D">
        <w:t xml:space="preserve"> </w:t>
      </w:r>
      <w:r w:rsidR="00061B4D">
        <w:fldChar w:fldCharType="begin"/>
      </w:r>
      <w:r w:rsidR="00061B4D">
        <w:instrText xml:space="preserve"> REF _Ref43985406 \h </w:instrText>
      </w:r>
      <w:r w:rsidR="00061B4D">
        <w:fldChar w:fldCharType="separate"/>
      </w:r>
      <w:r w:rsidR="00061B4D">
        <w:t>Table </w:t>
      </w:r>
      <w:r w:rsidR="00061B4D">
        <w:rPr>
          <w:noProof/>
        </w:rPr>
        <w:t>8</w:t>
      </w:r>
      <w:r w:rsidR="00061B4D">
        <w:fldChar w:fldCharType="end"/>
      </w:r>
      <w:r w:rsidR="00875308">
        <w:t>, respectively.</w:t>
      </w:r>
    </w:p>
    <w:p w14:paraId="3283FEF1" w14:textId="30F9B64D" w:rsidR="00CB2414" w:rsidRPr="00154A9C" w:rsidRDefault="00CB2414" w:rsidP="00875308">
      <w:pPr>
        <w:tabs>
          <w:tab w:val="left" w:pos="720"/>
        </w:tabs>
        <w:spacing w:before="240"/>
      </w:pPr>
      <w:r w:rsidRPr="00154A9C">
        <w:t>For Population 1a (primary AAA), the ADAR estimated EVAR+EA to provide cost savings of $</w:t>
      </w:r>
      <w:r w:rsidR="007B0B41" w:rsidRPr="00A9387D">
        <w:rPr>
          <w:b/>
        </w:rPr>
        <w:t>redacted</w:t>
      </w:r>
      <w:r w:rsidRPr="00154A9C">
        <w:t xml:space="preserve"> relative to FEVAR and cost an </w:t>
      </w:r>
      <w:r w:rsidRPr="007439DE">
        <w:t>additional $</w:t>
      </w:r>
      <w:r w:rsidR="007B0B41" w:rsidRPr="007439DE">
        <w:rPr>
          <w:b/>
        </w:rPr>
        <w:t>redacted</w:t>
      </w:r>
      <w:r w:rsidRPr="00154A9C">
        <w:t xml:space="preserve"> relative to CHEVAR i</w:t>
      </w:r>
      <w:r w:rsidR="00875308">
        <w:t xml:space="preserve">n Population 1a (primary AAA). </w:t>
      </w:r>
    </w:p>
    <w:p w14:paraId="0CD82784" w14:textId="48CF3CAC" w:rsidR="00CB2414" w:rsidRPr="00154A9C" w:rsidRDefault="00061B4D" w:rsidP="00061B4D">
      <w:pPr>
        <w:pStyle w:val="Style1"/>
        <w:keepNext/>
        <w:keepLines/>
      </w:pPr>
      <w:bookmarkStart w:id="21" w:name="_Ref43985360"/>
      <w:bookmarkStart w:id="22" w:name="_Toc21425227"/>
      <w:bookmarkStart w:id="23" w:name="_Toc21528095"/>
      <w:bookmarkStart w:id="24" w:name="_Toc30609792"/>
      <w:r>
        <w:lastRenderedPageBreak/>
        <w:t xml:space="preserve">Table </w:t>
      </w:r>
      <w:r w:rsidR="002665AC">
        <w:fldChar w:fldCharType="begin"/>
      </w:r>
      <w:r w:rsidR="002665AC">
        <w:instrText xml:space="preserve"> SEQ Table \* ARABIC </w:instrText>
      </w:r>
      <w:r w:rsidR="002665AC">
        <w:fldChar w:fldCharType="separate"/>
      </w:r>
      <w:r w:rsidR="00E05271">
        <w:rPr>
          <w:noProof/>
        </w:rPr>
        <w:t>7</w:t>
      </w:r>
      <w:r w:rsidR="002665AC">
        <w:rPr>
          <w:noProof/>
        </w:rPr>
        <w:fldChar w:fldCharType="end"/>
      </w:r>
      <w:bookmarkEnd w:id="21"/>
      <w:r>
        <w:tab/>
      </w:r>
      <w:r w:rsidR="00CB2414" w:rsidRPr="00154A9C">
        <w:t>Incremental cost of EVAR+EA relative to complex EVAR in the primary treatment of infrarenal aneurysms</w:t>
      </w:r>
      <w:bookmarkEnd w:id="22"/>
      <w:bookmarkEnd w:id="23"/>
      <w:bookmarkEnd w:id="24"/>
      <w:r w:rsidR="00CB2414" w:rsidRPr="00154A9C">
        <w:t xml:space="preserve"> </w:t>
      </w:r>
    </w:p>
    <w:tbl>
      <w:tblPr>
        <w:tblStyle w:val="TableGrid1"/>
        <w:tblW w:w="5000" w:type="pct"/>
        <w:tblLook w:val="04A0" w:firstRow="1" w:lastRow="0" w:firstColumn="1" w:lastColumn="0" w:noHBand="0" w:noVBand="1"/>
        <w:tblCaption w:val="Table 26 "/>
        <w:tblDescription w:val="Incremental cost of EVAR+EA relative to complex EVAR in the primary treatment of infrarenal aneurysms "/>
      </w:tblPr>
      <w:tblGrid>
        <w:gridCol w:w="1587"/>
        <w:gridCol w:w="1587"/>
        <w:gridCol w:w="1589"/>
        <w:gridCol w:w="1590"/>
        <w:gridCol w:w="1590"/>
        <w:gridCol w:w="1073"/>
      </w:tblGrid>
      <w:tr w:rsidR="00CB2414" w:rsidRPr="007439DE" w14:paraId="3ABDD510" w14:textId="77777777" w:rsidTr="00CB2414">
        <w:trPr>
          <w:cnfStyle w:val="100000000000" w:firstRow="1" w:lastRow="0" w:firstColumn="0" w:lastColumn="0" w:oddVBand="0" w:evenVBand="0" w:oddHBand="0" w:evenHBand="0" w:firstRowFirstColumn="0" w:firstRowLastColumn="0" w:lastRowFirstColumn="0" w:lastRowLastColumn="0"/>
          <w:cantSplit/>
          <w:tblHeader/>
        </w:trPr>
        <w:tc>
          <w:tcPr>
            <w:tcW w:w="971" w:type="pct"/>
            <w:tcBorders>
              <w:top w:val="single" w:sz="4" w:space="0" w:color="auto"/>
              <w:bottom w:val="single" w:sz="4" w:space="0" w:color="auto"/>
            </w:tcBorders>
          </w:tcPr>
          <w:p w14:paraId="5B709CC3" w14:textId="77777777" w:rsidR="00CB2414" w:rsidRPr="007439DE" w:rsidRDefault="00CB2414" w:rsidP="00061B4D">
            <w:pPr>
              <w:pStyle w:val="TableHeading"/>
              <w:keepLines/>
            </w:pPr>
            <w:r w:rsidRPr="007439DE">
              <w:t>Row</w:t>
            </w:r>
          </w:p>
        </w:tc>
        <w:tc>
          <w:tcPr>
            <w:tcW w:w="971" w:type="pct"/>
            <w:tcBorders>
              <w:top w:val="single" w:sz="4" w:space="0" w:color="auto"/>
              <w:bottom w:val="single" w:sz="4" w:space="0" w:color="auto"/>
            </w:tcBorders>
          </w:tcPr>
          <w:p w14:paraId="0A3ACC52" w14:textId="77777777" w:rsidR="00CB2414" w:rsidRPr="007439DE" w:rsidRDefault="00CB2414" w:rsidP="00061B4D">
            <w:pPr>
              <w:pStyle w:val="TableHeading"/>
              <w:keepLines/>
              <w:jc w:val="center"/>
            </w:pPr>
            <w:r w:rsidRPr="007439DE">
              <w:t>Cost item</w:t>
            </w:r>
          </w:p>
        </w:tc>
        <w:tc>
          <w:tcPr>
            <w:tcW w:w="972" w:type="pct"/>
            <w:tcBorders>
              <w:bottom w:val="single" w:sz="4" w:space="0" w:color="auto"/>
            </w:tcBorders>
          </w:tcPr>
          <w:p w14:paraId="0CBD1359" w14:textId="77777777" w:rsidR="00CB2414" w:rsidRPr="007439DE" w:rsidRDefault="00CB2414" w:rsidP="00061B4D">
            <w:pPr>
              <w:pStyle w:val="TableHeading"/>
              <w:keepLines/>
              <w:jc w:val="center"/>
            </w:pPr>
            <w:r w:rsidRPr="007439DE">
              <w:t>EVAR+EA</w:t>
            </w:r>
          </w:p>
        </w:tc>
        <w:tc>
          <w:tcPr>
            <w:tcW w:w="972" w:type="pct"/>
            <w:tcBorders>
              <w:bottom w:val="single" w:sz="4" w:space="0" w:color="auto"/>
            </w:tcBorders>
          </w:tcPr>
          <w:p w14:paraId="4C9C0197" w14:textId="77777777" w:rsidR="00CB2414" w:rsidRPr="007439DE" w:rsidRDefault="00CB2414" w:rsidP="00061B4D">
            <w:pPr>
              <w:pStyle w:val="TableHeading"/>
              <w:keepLines/>
              <w:jc w:val="center"/>
            </w:pPr>
            <w:r w:rsidRPr="007439DE">
              <w:t>Complex EVAR (FEVAR)</w:t>
            </w:r>
          </w:p>
        </w:tc>
        <w:tc>
          <w:tcPr>
            <w:tcW w:w="972" w:type="pct"/>
            <w:tcBorders>
              <w:bottom w:val="single" w:sz="4" w:space="0" w:color="auto"/>
            </w:tcBorders>
          </w:tcPr>
          <w:p w14:paraId="17F5E9E8" w14:textId="77777777" w:rsidR="00CB2414" w:rsidRPr="007439DE" w:rsidRDefault="00CB2414" w:rsidP="00061B4D">
            <w:pPr>
              <w:pStyle w:val="TableHeading"/>
              <w:keepLines/>
              <w:jc w:val="center"/>
            </w:pPr>
            <w:r w:rsidRPr="007439DE">
              <w:t>Complex EVAR (CHEVAR)</w:t>
            </w:r>
          </w:p>
        </w:tc>
        <w:tc>
          <w:tcPr>
            <w:tcW w:w="143" w:type="pct"/>
            <w:tcBorders>
              <w:bottom w:val="single" w:sz="4" w:space="0" w:color="auto"/>
            </w:tcBorders>
          </w:tcPr>
          <w:p w14:paraId="501B19E9" w14:textId="77777777" w:rsidR="00CB2414" w:rsidRPr="007439DE" w:rsidRDefault="00CB2414" w:rsidP="00061B4D">
            <w:pPr>
              <w:pStyle w:val="TableHeading"/>
              <w:keepLines/>
              <w:jc w:val="center"/>
            </w:pPr>
            <w:r w:rsidRPr="007439DE">
              <w:t>Source / calculation</w:t>
            </w:r>
          </w:p>
        </w:tc>
      </w:tr>
      <w:tr w:rsidR="00CB2414" w:rsidRPr="007439DE" w14:paraId="0F064DFD" w14:textId="77777777" w:rsidTr="00CB2414">
        <w:trPr>
          <w:cantSplit/>
        </w:trPr>
        <w:tc>
          <w:tcPr>
            <w:tcW w:w="971" w:type="pct"/>
          </w:tcPr>
          <w:p w14:paraId="1FA3A35A" w14:textId="77777777" w:rsidR="00CB2414" w:rsidRPr="007439DE" w:rsidRDefault="00CB2414" w:rsidP="00CB2414">
            <w:pPr>
              <w:pStyle w:val="Tabletext"/>
            </w:pPr>
            <w:r w:rsidRPr="007439DE">
              <w:t>A</w:t>
            </w:r>
          </w:p>
        </w:tc>
        <w:tc>
          <w:tcPr>
            <w:tcW w:w="971" w:type="pct"/>
          </w:tcPr>
          <w:p w14:paraId="63BE73AF" w14:textId="77777777" w:rsidR="00CB2414" w:rsidRPr="007439DE" w:rsidRDefault="00CB2414" w:rsidP="00CB2414">
            <w:pPr>
              <w:pStyle w:val="Tabletext"/>
            </w:pPr>
            <w:r w:rsidRPr="007439DE">
              <w:t>Device costs</w:t>
            </w:r>
          </w:p>
        </w:tc>
        <w:tc>
          <w:tcPr>
            <w:tcW w:w="972" w:type="pct"/>
          </w:tcPr>
          <w:p w14:paraId="1C68DF10" w14:textId="674149CB" w:rsidR="00CB2414" w:rsidRPr="007439DE" w:rsidRDefault="00CB2414" w:rsidP="007B0B41">
            <w:pPr>
              <w:pStyle w:val="Tabletext"/>
              <w:jc w:val="center"/>
            </w:pPr>
            <w:r w:rsidRPr="007439DE">
              <w:t>$</w:t>
            </w:r>
            <w:r w:rsidR="007B0B41" w:rsidRPr="007439DE">
              <w:t>redacted</w:t>
            </w:r>
          </w:p>
        </w:tc>
        <w:tc>
          <w:tcPr>
            <w:tcW w:w="972" w:type="pct"/>
          </w:tcPr>
          <w:p w14:paraId="7E421E28" w14:textId="5C8C58A6" w:rsidR="00CB2414" w:rsidRPr="007439DE" w:rsidRDefault="00CB2414" w:rsidP="007B0B41">
            <w:pPr>
              <w:pStyle w:val="Tabletext"/>
              <w:jc w:val="center"/>
            </w:pPr>
            <w:r w:rsidRPr="007439DE">
              <w:t>$</w:t>
            </w:r>
            <w:r w:rsidR="007B0B41" w:rsidRPr="007439DE">
              <w:t>redacted</w:t>
            </w:r>
          </w:p>
        </w:tc>
        <w:tc>
          <w:tcPr>
            <w:tcW w:w="972" w:type="pct"/>
          </w:tcPr>
          <w:p w14:paraId="498BF152" w14:textId="0D31DF84" w:rsidR="00CB2414" w:rsidRPr="007439DE" w:rsidRDefault="00CB2414" w:rsidP="007B0B41">
            <w:pPr>
              <w:pStyle w:val="Tabletext"/>
              <w:jc w:val="center"/>
            </w:pPr>
            <w:r w:rsidRPr="007439DE">
              <w:t>$</w:t>
            </w:r>
            <w:r w:rsidR="007B0B41" w:rsidRPr="007439DE">
              <w:t>redacted</w:t>
            </w:r>
          </w:p>
        </w:tc>
        <w:tc>
          <w:tcPr>
            <w:tcW w:w="143" w:type="pct"/>
          </w:tcPr>
          <w:p w14:paraId="18B5BC52" w14:textId="77777777" w:rsidR="00CB2414" w:rsidRPr="007439DE" w:rsidRDefault="00CB2414" w:rsidP="00CB2414">
            <w:pPr>
              <w:pStyle w:val="Tabletext"/>
              <w:jc w:val="center"/>
            </w:pPr>
            <w:r w:rsidRPr="007439DE">
              <w:t>Table 72</w:t>
            </w:r>
          </w:p>
        </w:tc>
      </w:tr>
      <w:tr w:rsidR="00CB2414" w:rsidRPr="007439DE" w14:paraId="61788DEB" w14:textId="77777777" w:rsidTr="00CB2414">
        <w:trPr>
          <w:cantSplit/>
        </w:trPr>
        <w:tc>
          <w:tcPr>
            <w:tcW w:w="971" w:type="pct"/>
          </w:tcPr>
          <w:p w14:paraId="7FEA9F39" w14:textId="77777777" w:rsidR="00CB2414" w:rsidRPr="007439DE" w:rsidRDefault="00CB2414" w:rsidP="00CB2414">
            <w:pPr>
              <w:pStyle w:val="Tabletext"/>
            </w:pPr>
            <w:r w:rsidRPr="007439DE">
              <w:t>B</w:t>
            </w:r>
          </w:p>
        </w:tc>
        <w:tc>
          <w:tcPr>
            <w:tcW w:w="971" w:type="pct"/>
          </w:tcPr>
          <w:p w14:paraId="66EB5660" w14:textId="77777777" w:rsidR="00CB2414" w:rsidRPr="007439DE" w:rsidRDefault="00CB2414" w:rsidP="00CB2414">
            <w:pPr>
              <w:pStyle w:val="Tabletext"/>
            </w:pPr>
            <w:r w:rsidRPr="007439DE">
              <w:t>Medical service costs</w:t>
            </w:r>
          </w:p>
        </w:tc>
        <w:tc>
          <w:tcPr>
            <w:tcW w:w="972" w:type="pct"/>
          </w:tcPr>
          <w:p w14:paraId="6D5D86B3" w14:textId="200DFD30" w:rsidR="00CB2414" w:rsidRPr="007439DE" w:rsidRDefault="00CB2414" w:rsidP="007B0B41">
            <w:pPr>
              <w:pStyle w:val="Tabletext"/>
              <w:jc w:val="center"/>
            </w:pPr>
            <w:r w:rsidRPr="007439DE">
              <w:t>$</w:t>
            </w:r>
            <w:r w:rsidR="007B0B41" w:rsidRPr="007439DE">
              <w:t>redacted</w:t>
            </w:r>
          </w:p>
        </w:tc>
        <w:tc>
          <w:tcPr>
            <w:tcW w:w="972" w:type="pct"/>
          </w:tcPr>
          <w:p w14:paraId="38057B76" w14:textId="0AC44F6F" w:rsidR="00CB2414" w:rsidRPr="007439DE" w:rsidRDefault="00CB2414" w:rsidP="007B0B41">
            <w:pPr>
              <w:pStyle w:val="Tabletext"/>
              <w:jc w:val="center"/>
            </w:pPr>
            <w:r w:rsidRPr="007439DE">
              <w:t>$</w:t>
            </w:r>
            <w:r w:rsidR="007B0B41" w:rsidRPr="007439DE">
              <w:t>redacted</w:t>
            </w:r>
          </w:p>
        </w:tc>
        <w:tc>
          <w:tcPr>
            <w:tcW w:w="972" w:type="pct"/>
          </w:tcPr>
          <w:p w14:paraId="455E3037" w14:textId="5F104EAF" w:rsidR="00CB2414" w:rsidRPr="007439DE" w:rsidRDefault="00CB2414" w:rsidP="007B0B41">
            <w:pPr>
              <w:pStyle w:val="Tabletext"/>
              <w:jc w:val="center"/>
            </w:pPr>
            <w:r w:rsidRPr="007439DE">
              <w:t>$</w:t>
            </w:r>
            <w:r w:rsidR="007B0B41" w:rsidRPr="007439DE">
              <w:t>redacted</w:t>
            </w:r>
          </w:p>
        </w:tc>
        <w:tc>
          <w:tcPr>
            <w:tcW w:w="143" w:type="pct"/>
          </w:tcPr>
          <w:p w14:paraId="496C795C" w14:textId="77777777" w:rsidR="00CB2414" w:rsidRPr="007439DE" w:rsidRDefault="00CB2414" w:rsidP="00CB2414">
            <w:pPr>
              <w:pStyle w:val="Tabletext"/>
              <w:jc w:val="center"/>
            </w:pPr>
            <w:r w:rsidRPr="007439DE">
              <w:t>Table 77</w:t>
            </w:r>
          </w:p>
        </w:tc>
      </w:tr>
      <w:tr w:rsidR="00CB2414" w:rsidRPr="007439DE" w14:paraId="75DE2083" w14:textId="77777777" w:rsidTr="00CB2414">
        <w:trPr>
          <w:cantSplit/>
        </w:trPr>
        <w:tc>
          <w:tcPr>
            <w:tcW w:w="971" w:type="pct"/>
          </w:tcPr>
          <w:p w14:paraId="68E965DB" w14:textId="77777777" w:rsidR="00CB2414" w:rsidRPr="007439DE" w:rsidRDefault="00CB2414" w:rsidP="00CB2414">
            <w:pPr>
              <w:pStyle w:val="Tabletext"/>
            </w:pPr>
            <w:r w:rsidRPr="007439DE">
              <w:t>C</w:t>
            </w:r>
          </w:p>
        </w:tc>
        <w:tc>
          <w:tcPr>
            <w:tcW w:w="971" w:type="pct"/>
          </w:tcPr>
          <w:p w14:paraId="5CF57B91" w14:textId="77777777" w:rsidR="00CB2414" w:rsidRPr="007439DE" w:rsidRDefault="00CB2414" w:rsidP="00CB2414">
            <w:pPr>
              <w:pStyle w:val="Tabletext"/>
            </w:pPr>
            <w:r w:rsidRPr="007439DE">
              <w:t>Total costs</w:t>
            </w:r>
          </w:p>
        </w:tc>
        <w:tc>
          <w:tcPr>
            <w:tcW w:w="972" w:type="pct"/>
          </w:tcPr>
          <w:p w14:paraId="509250ED" w14:textId="640C8FA6" w:rsidR="00CB2414" w:rsidRPr="007439DE" w:rsidRDefault="00CB2414" w:rsidP="007B0B41">
            <w:pPr>
              <w:pStyle w:val="Tabletext"/>
              <w:jc w:val="center"/>
            </w:pPr>
            <w:r w:rsidRPr="007439DE">
              <w:t>$</w:t>
            </w:r>
            <w:r w:rsidR="007B0B41" w:rsidRPr="007439DE">
              <w:t>redacted</w:t>
            </w:r>
          </w:p>
        </w:tc>
        <w:tc>
          <w:tcPr>
            <w:tcW w:w="972" w:type="pct"/>
          </w:tcPr>
          <w:p w14:paraId="1837797A" w14:textId="1633C2C9" w:rsidR="00CB2414" w:rsidRPr="007439DE" w:rsidRDefault="00CB2414" w:rsidP="007B0B41">
            <w:pPr>
              <w:pStyle w:val="Tabletext"/>
              <w:jc w:val="center"/>
            </w:pPr>
            <w:r w:rsidRPr="007439DE">
              <w:t>$</w:t>
            </w:r>
            <w:r w:rsidR="007B0B41" w:rsidRPr="007439DE">
              <w:t>redacted</w:t>
            </w:r>
          </w:p>
        </w:tc>
        <w:tc>
          <w:tcPr>
            <w:tcW w:w="972" w:type="pct"/>
          </w:tcPr>
          <w:p w14:paraId="233C0DF2" w14:textId="4A7C31BD" w:rsidR="00CB2414" w:rsidRPr="007439DE" w:rsidRDefault="00CB2414" w:rsidP="007B0B41">
            <w:pPr>
              <w:pStyle w:val="Tabletext"/>
              <w:jc w:val="center"/>
            </w:pPr>
            <w:r w:rsidRPr="007439DE">
              <w:t>$</w:t>
            </w:r>
            <w:r w:rsidR="007B0B41" w:rsidRPr="007439DE">
              <w:t>redacted</w:t>
            </w:r>
          </w:p>
        </w:tc>
        <w:tc>
          <w:tcPr>
            <w:tcW w:w="143" w:type="pct"/>
          </w:tcPr>
          <w:p w14:paraId="51EFC179" w14:textId="77777777" w:rsidR="00CB2414" w:rsidRPr="007439DE" w:rsidRDefault="00CB2414" w:rsidP="00CB2414">
            <w:pPr>
              <w:pStyle w:val="Tabletext"/>
              <w:jc w:val="center"/>
            </w:pPr>
            <w:r w:rsidRPr="007439DE">
              <w:t>A+B</w:t>
            </w:r>
          </w:p>
        </w:tc>
      </w:tr>
      <w:tr w:rsidR="00CB2414" w:rsidRPr="007B0B41" w14:paraId="0ACD49E4" w14:textId="77777777" w:rsidTr="00CB2414">
        <w:trPr>
          <w:cantSplit/>
        </w:trPr>
        <w:tc>
          <w:tcPr>
            <w:tcW w:w="971" w:type="pct"/>
          </w:tcPr>
          <w:p w14:paraId="65922E75" w14:textId="77777777" w:rsidR="00CB2414" w:rsidRPr="007439DE" w:rsidRDefault="00CB2414" w:rsidP="00CB2414">
            <w:pPr>
              <w:pStyle w:val="Tabletext"/>
              <w:keepNext/>
              <w:rPr>
                <w:b/>
                <w:bCs/>
              </w:rPr>
            </w:pPr>
            <w:r w:rsidRPr="007439DE">
              <w:rPr>
                <w:b/>
                <w:bCs/>
              </w:rPr>
              <w:t>D</w:t>
            </w:r>
          </w:p>
        </w:tc>
        <w:tc>
          <w:tcPr>
            <w:tcW w:w="971" w:type="pct"/>
          </w:tcPr>
          <w:p w14:paraId="340D3BDC" w14:textId="77777777" w:rsidR="00CB2414" w:rsidRPr="007439DE" w:rsidRDefault="00CB2414" w:rsidP="00CB2414">
            <w:pPr>
              <w:pStyle w:val="Tabletext"/>
              <w:keepNext/>
              <w:rPr>
                <w:b/>
                <w:bCs/>
              </w:rPr>
            </w:pPr>
            <w:r w:rsidRPr="007439DE">
              <w:rPr>
                <w:b/>
                <w:bCs/>
              </w:rPr>
              <w:t>Incremental cost of EVAR+EA</w:t>
            </w:r>
            <w:r w:rsidRPr="007439DE">
              <w:rPr>
                <w:b/>
                <w:bCs/>
              </w:rPr>
              <w:br/>
              <w:t>(relative to comparator)</w:t>
            </w:r>
          </w:p>
        </w:tc>
        <w:tc>
          <w:tcPr>
            <w:tcW w:w="972" w:type="pct"/>
          </w:tcPr>
          <w:p w14:paraId="7ABE3C56" w14:textId="77777777" w:rsidR="00CB2414" w:rsidRPr="007439DE" w:rsidRDefault="00CB2414" w:rsidP="00CB2414">
            <w:pPr>
              <w:pStyle w:val="Tabletext"/>
              <w:keepNext/>
              <w:jc w:val="center"/>
              <w:rPr>
                <w:b/>
                <w:bCs/>
              </w:rPr>
            </w:pPr>
            <w:r w:rsidRPr="007439DE">
              <w:rPr>
                <w:b/>
                <w:bCs/>
              </w:rPr>
              <w:t>-</w:t>
            </w:r>
          </w:p>
        </w:tc>
        <w:tc>
          <w:tcPr>
            <w:tcW w:w="972" w:type="pct"/>
          </w:tcPr>
          <w:p w14:paraId="6F1DB224" w14:textId="4646ECD3" w:rsidR="00CB2414" w:rsidRPr="007439DE" w:rsidRDefault="00CB2414" w:rsidP="007B0B41">
            <w:pPr>
              <w:pStyle w:val="Tabletext"/>
              <w:keepNext/>
              <w:jc w:val="center"/>
              <w:rPr>
                <w:b/>
                <w:bCs/>
              </w:rPr>
            </w:pPr>
            <w:r w:rsidRPr="007439DE">
              <w:rPr>
                <w:b/>
                <w:bCs/>
              </w:rPr>
              <w:t>$</w:t>
            </w:r>
            <w:r w:rsidR="007B0B41" w:rsidRPr="007439DE">
              <w:rPr>
                <w:b/>
                <w:bCs/>
              </w:rPr>
              <w:t>redacted</w:t>
            </w:r>
          </w:p>
        </w:tc>
        <w:tc>
          <w:tcPr>
            <w:tcW w:w="972" w:type="pct"/>
          </w:tcPr>
          <w:p w14:paraId="6147F581" w14:textId="23485696" w:rsidR="00CB2414" w:rsidRPr="007439DE" w:rsidRDefault="00CB2414" w:rsidP="007B0B41">
            <w:pPr>
              <w:pStyle w:val="Tabletext"/>
              <w:keepNext/>
              <w:jc w:val="center"/>
              <w:rPr>
                <w:b/>
                <w:bCs/>
              </w:rPr>
            </w:pPr>
            <w:r w:rsidRPr="007439DE">
              <w:rPr>
                <w:b/>
                <w:bCs/>
              </w:rPr>
              <w:t>$</w:t>
            </w:r>
            <w:r w:rsidR="007B0B41" w:rsidRPr="007439DE">
              <w:rPr>
                <w:b/>
                <w:bCs/>
              </w:rPr>
              <w:t>redacted</w:t>
            </w:r>
          </w:p>
        </w:tc>
        <w:tc>
          <w:tcPr>
            <w:tcW w:w="143" w:type="pct"/>
          </w:tcPr>
          <w:p w14:paraId="20A23B65" w14:textId="6B3978CF" w:rsidR="00CB2414" w:rsidRPr="007439DE" w:rsidRDefault="00CB2414" w:rsidP="007B0B41">
            <w:pPr>
              <w:pStyle w:val="Tabletext"/>
              <w:keepNext/>
              <w:jc w:val="center"/>
              <w:rPr>
                <w:b/>
                <w:bCs/>
              </w:rPr>
            </w:pPr>
            <w:r w:rsidRPr="007439DE">
              <w:rPr>
                <w:b/>
                <w:bCs/>
              </w:rPr>
              <w:t>$</w:t>
            </w:r>
            <w:r w:rsidR="007B0B41" w:rsidRPr="007439DE">
              <w:rPr>
                <w:b/>
                <w:bCs/>
              </w:rPr>
              <w:t>redacted</w:t>
            </w:r>
            <w:r w:rsidRPr="007439DE">
              <w:rPr>
                <w:b/>
                <w:bCs/>
              </w:rPr>
              <w:t xml:space="preserve"> – C</w:t>
            </w:r>
          </w:p>
        </w:tc>
      </w:tr>
    </w:tbl>
    <w:p w14:paraId="00986C26" w14:textId="77777777" w:rsidR="00CB2414" w:rsidRPr="00154A9C" w:rsidRDefault="00CB2414" w:rsidP="00CB2414">
      <w:pPr>
        <w:keepNext/>
        <w:rPr>
          <w:rFonts w:ascii="Arial Narrow" w:hAnsi="Arial Narrow" w:cs="Arial"/>
          <w:snapToGrid w:val="0"/>
          <w:sz w:val="18"/>
          <w:lang w:eastAsia="en-US"/>
        </w:rPr>
      </w:pPr>
      <w:r w:rsidRPr="00154A9C">
        <w:rPr>
          <w:rFonts w:ascii="Arial Narrow" w:hAnsi="Arial Narrow" w:cs="Arial"/>
          <w:snapToGrid w:val="0"/>
          <w:sz w:val="18"/>
          <w:lang w:eastAsia="en-US"/>
        </w:rPr>
        <w:t>CHEVAR=Chimney endovascular aneurysm repair; EA=EndoAnchor; EVAR=Endovascular aneurysm repair; FEVAR=Fenestrated endovascular aneurysm repair</w:t>
      </w:r>
    </w:p>
    <w:p w14:paraId="4071EA37" w14:textId="3970811E" w:rsidR="00CB2414" w:rsidRPr="00154A9C" w:rsidRDefault="00875308" w:rsidP="00CB2414">
      <w:pPr>
        <w:keepNext/>
        <w:rPr>
          <w:rFonts w:ascii="Arial Narrow" w:hAnsi="Arial Narrow" w:cs="Arial"/>
          <w:snapToGrid w:val="0"/>
          <w:sz w:val="18"/>
          <w:lang w:eastAsia="en-US"/>
        </w:rPr>
      </w:pPr>
      <w:r>
        <w:rPr>
          <w:rFonts w:ascii="Arial Narrow" w:hAnsi="Arial Narrow" w:cs="Arial"/>
          <w:snapToGrid w:val="0"/>
          <w:sz w:val="18"/>
          <w:lang w:eastAsia="en-US"/>
        </w:rPr>
        <w:t xml:space="preserve">Source: Table 79, p208 of ADAR </w:t>
      </w:r>
    </w:p>
    <w:p w14:paraId="5D5294DF" w14:textId="580C8D29" w:rsidR="00CB2414" w:rsidRPr="00875308" w:rsidRDefault="00CB2414" w:rsidP="00875308">
      <w:pPr>
        <w:spacing w:before="240"/>
        <w:rPr>
          <w:bCs/>
          <w:iCs/>
        </w:rPr>
      </w:pPr>
      <w:r w:rsidRPr="00154A9C">
        <w:t xml:space="preserve">The commentary noted that for Population 1a, the main assumption driving this cost-minimisation </w:t>
      </w:r>
      <w:r>
        <w:t xml:space="preserve">approach </w:t>
      </w:r>
      <w:r w:rsidRPr="00154A9C">
        <w:t xml:space="preserve">is the cost of the fenestrated graft and questioned whether a cost of </w:t>
      </w:r>
      <w:r w:rsidRPr="00875308">
        <w:t>$</w:t>
      </w:r>
      <w:r w:rsidR="007B0B41" w:rsidRPr="00A9387D">
        <w:rPr>
          <w:b/>
        </w:rPr>
        <w:t>redacted</w:t>
      </w:r>
      <w:r w:rsidRPr="00154A9C">
        <w:t xml:space="preserve"> is justified. Additionally, the cost of CHEVAR is underestimated as it does not account for any grafting costs.</w:t>
      </w:r>
    </w:p>
    <w:p w14:paraId="05AF3C85" w14:textId="77620B79" w:rsidR="00CB2414" w:rsidRPr="00154A9C" w:rsidRDefault="00CB2414" w:rsidP="00875308">
      <w:pPr>
        <w:tabs>
          <w:tab w:val="left" w:pos="720"/>
        </w:tabs>
        <w:spacing w:before="240"/>
      </w:pPr>
      <w:r w:rsidRPr="00154A9C">
        <w:t xml:space="preserve">For Population 1b (primary TAA), the ADAR estimated T/EVAR+EA to cost an additional </w:t>
      </w:r>
      <w:r w:rsidRPr="007439DE">
        <w:t>$</w:t>
      </w:r>
      <w:r w:rsidR="007B0B41" w:rsidRPr="007439DE">
        <w:rPr>
          <w:b/>
        </w:rPr>
        <w:t>redacted</w:t>
      </w:r>
      <w:r w:rsidR="00875308" w:rsidRPr="007439DE">
        <w:t xml:space="preserve"> relative to CHEVAR.</w:t>
      </w:r>
      <w:r w:rsidR="00875308">
        <w:t xml:space="preserve"> </w:t>
      </w:r>
    </w:p>
    <w:p w14:paraId="2EB17FED" w14:textId="1D88856D" w:rsidR="00CB2414" w:rsidRPr="00154A9C" w:rsidRDefault="00061B4D" w:rsidP="00061B4D">
      <w:pPr>
        <w:pStyle w:val="Style1"/>
        <w:spacing w:before="240"/>
      </w:pPr>
      <w:bookmarkStart w:id="25" w:name="_Ref43985406"/>
      <w:bookmarkStart w:id="26" w:name="_Toc21425228"/>
      <w:bookmarkStart w:id="27" w:name="_Toc21528096"/>
      <w:bookmarkStart w:id="28" w:name="_Toc30609793"/>
      <w:bookmarkStart w:id="29" w:name="_Ref534185424"/>
      <w:bookmarkStart w:id="30" w:name="_Toc1371963"/>
      <w:r>
        <w:t xml:space="preserve">Table </w:t>
      </w:r>
      <w:r w:rsidR="002665AC">
        <w:fldChar w:fldCharType="begin"/>
      </w:r>
      <w:r w:rsidR="002665AC">
        <w:instrText xml:space="preserve"> SEQ Table \* ARABIC </w:instrText>
      </w:r>
      <w:r w:rsidR="002665AC">
        <w:fldChar w:fldCharType="separate"/>
      </w:r>
      <w:r w:rsidR="00E05271">
        <w:rPr>
          <w:noProof/>
        </w:rPr>
        <w:t>8</w:t>
      </w:r>
      <w:r w:rsidR="002665AC">
        <w:rPr>
          <w:noProof/>
        </w:rPr>
        <w:fldChar w:fldCharType="end"/>
      </w:r>
      <w:bookmarkEnd w:id="25"/>
      <w:r>
        <w:tab/>
      </w:r>
      <w:r w:rsidR="00CB2414" w:rsidRPr="00154A9C">
        <w:t>Incremental cost of EVAR+EA relative to complex EVAR in the primary treatment of thoracic aneurysms</w:t>
      </w:r>
      <w:bookmarkEnd w:id="26"/>
      <w:bookmarkEnd w:id="27"/>
      <w:bookmarkEnd w:id="28"/>
    </w:p>
    <w:tbl>
      <w:tblPr>
        <w:tblStyle w:val="TableGrid1"/>
        <w:tblW w:w="5000" w:type="pct"/>
        <w:tblLook w:val="04A0" w:firstRow="1" w:lastRow="0" w:firstColumn="1" w:lastColumn="0" w:noHBand="0" w:noVBand="1"/>
        <w:tblCaption w:val="Table 27  "/>
        <w:tblDescription w:val="Incremental cost of EVAR+EA relative to complex EVAR in the primary treatment of thoracic aneurysms"/>
      </w:tblPr>
      <w:tblGrid>
        <w:gridCol w:w="564"/>
        <w:gridCol w:w="3541"/>
        <w:gridCol w:w="1771"/>
        <w:gridCol w:w="1773"/>
        <w:gridCol w:w="1367"/>
      </w:tblGrid>
      <w:tr w:rsidR="00CB2414" w:rsidRPr="007439DE" w14:paraId="0C733653" w14:textId="77777777" w:rsidTr="00CB2414">
        <w:trPr>
          <w:cnfStyle w:val="100000000000" w:firstRow="1" w:lastRow="0" w:firstColumn="0" w:lastColumn="0" w:oddVBand="0" w:evenVBand="0" w:oddHBand="0" w:evenHBand="0" w:firstRowFirstColumn="0" w:firstRowLastColumn="0" w:lastRowFirstColumn="0" w:lastRowLastColumn="0"/>
          <w:cantSplit/>
          <w:tblHeader/>
        </w:trPr>
        <w:tc>
          <w:tcPr>
            <w:tcW w:w="313" w:type="pct"/>
            <w:tcBorders>
              <w:top w:val="single" w:sz="4" w:space="0" w:color="auto"/>
              <w:bottom w:val="single" w:sz="4" w:space="0" w:color="auto"/>
            </w:tcBorders>
          </w:tcPr>
          <w:p w14:paraId="6A85771E" w14:textId="77777777" w:rsidR="00CB2414" w:rsidRPr="007439DE" w:rsidRDefault="00CB2414" w:rsidP="00CB2414">
            <w:pPr>
              <w:pStyle w:val="TableHeading"/>
            </w:pPr>
            <w:r w:rsidRPr="007439DE">
              <w:t>Row</w:t>
            </w:r>
          </w:p>
        </w:tc>
        <w:tc>
          <w:tcPr>
            <w:tcW w:w="1964" w:type="pct"/>
            <w:tcBorders>
              <w:top w:val="single" w:sz="4" w:space="0" w:color="auto"/>
              <w:bottom w:val="single" w:sz="4" w:space="0" w:color="auto"/>
            </w:tcBorders>
          </w:tcPr>
          <w:p w14:paraId="1D37B9CE" w14:textId="77777777" w:rsidR="00CB2414" w:rsidRPr="007439DE" w:rsidRDefault="00CB2414" w:rsidP="00CB2414">
            <w:pPr>
              <w:pStyle w:val="TableHeading"/>
            </w:pPr>
            <w:r w:rsidRPr="007439DE">
              <w:t>Cost item</w:t>
            </w:r>
          </w:p>
        </w:tc>
        <w:tc>
          <w:tcPr>
            <w:tcW w:w="982" w:type="pct"/>
            <w:tcBorders>
              <w:bottom w:val="single" w:sz="4" w:space="0" w:color="auto"/>
            </w:tcBorders>
          </w:tcPr>
          <w:p w14:paraId="7DDFC9A2" w14:textId="77777777" w:rsidR="00CB2414" w:rsidRPr="007439DE" w:rsidRDefault="00CB2414" w:rsidP="00CB2414">
            <w:pPr>
              <w:pStyle w:val="TableHeading"/>
              <w:jc w:val="center"/>
            </w:pPr>
            <w:r w:rsidRPr="007439DE">
              <w:t>T/EVAR +EA</w:t>
            </w:r>
          </w:p>
        </w:tc>
        <w:tc>
          <w:tcPr>
            <w:tcW w:w="983" w:type="pct"/>
            <w:tcBorders>
              <w:bottom w:val="single" w:sz="4" w:space="0" w:color="auto"/>
            </w:tcBorders>
          </w:tcPr>
          <w:p w14:paraId="0D4735BB" w14:textId="77777777" w:rsidR="00CB2414" w:rsidRPr="007439DE" w:rsidRDefault="00CB2414" w:rsidP="00CB2414">
            <w:pPr>
              <w:pStyle w:val="TableHeading"/>
              <w:jc w:val="center"/>
            </w:pPr>
            <w:r w:rsidRPr="007439DE">
              <w:t>Complex T/EVAR  (CHEVAR)</w:t>
            </w:r>
          </w:p>
        </w:tc>
        <w:tc>
          <w:tcPr>
            <w:tcW w:w="758" w:type="pct"/>
            <w:tcBorders>
              <w:bottom w:val="single" w:sz="4" w:space="0" w:color="auto"/>
            </w:tcBorders>
          </w:tcPr>
          <w:p w14:paraId="7FE4ED5E" w14:textId="77777777" w:rsidR="00CB2414" w:rsidRPr="007439DE" w:rsidRDefault="00CB2414" w:rsidP="00CB2414">
            <w:pPr>
              <w:pStyle w:val="TableHeading"/>
              <w:jc w:val="center"/>
            </w:pPr>
            <w:r w:rsidRPr="007439DE">
              <w:t>Source / calculation</w:t>
            </w:r>
          </w:p>
        </w:tc>
      </w:tr>
      <w:tr w:rsidR="00CB2414" w:rsidRPr="007439DE" w14:paraId="01D7AD68" w14:textId="77777777" w:rsidTr="00CB2414">
        <w:tc>
          <w:tcPr>
            <w:tcW w:w="313" w:type="pct"/>
          </w:tcPr>
          <w:p w14:paraId="3AF7B557" w14:textId="77777777" w:rsidR="00CB2414" w:rsidRPr="007439DE" w:rsidRDefault="00CB2414" w:rsidP="00CB2414">
            <w:pPr>
              <w:pStyle w:val="Tabletext"/>
              <w:keepNext/>
            </w:pPr>
            <w:r w:rsidRPr="007439DE">
              <w:t>A</w:t>
            </w:r>
          </w:p>
        </w:tc>
        <w:tc>
          <w:tcPr>
            <w:tcW w:w="1964" w:type="pct"/>
          </w:tcPr>
          <w:p w14:paraId="4BF4A45F" w14:textId="77777777" w:rsidR="00CB2414" w:rsidRPr="007439DE" w:rsidRDefault="00CB2414" w:rsidP="00CB2414">
            <w:pPr>
              <w:pStyle w:val="Tabletext"/>
              <w:keepNext/>
            </w:pPr>
            <w:r w:rsidRPr="007439DE">
              <w:t>Device costs</w:t>
            </w:r>
          </w:p>
        </w:tc>
        <w:tc>
          <w:tcPr>
            <w:tcW w:w="982" w:type="pct"/>
          </w:tcPr>
          <w:p w14:paraId="03529B38" w14:textId="651958FE" w:rsidR="00CB2414" w:rsidRPr="007439DE" w:rsidRDefault="00CB2414" w:rsidP="007B0B41">
            <w:pPr>
              <w:pStyle w:val="Tabletext"/>
              <w:keepNext/>
              <w:jc w:val="center"/>
            </w:pPr>
            <w:r w:rsidRPr="007439DE">
              <w:t>$</w:t>
            </w:r>
            <w:r w:rsidR="007B0B41" w:rsidRPr="007439DE">
              <w:t>redacted</w:t>
            </w:r>
          </w:p>
        </w:tc>
        <w:tc>
          <w:tcPr>
            <w:tcW w:w="983" w:type="pct"/>
          </w:tcPr>
          <w:p w14:paraId="13196A7E" w14:textId="70F1869B" w:rsidR="00CB2414" w:rsidRPr="007439DE" w:rsidRDefault="00CB2414" w:rsidP="007B0B41">
            <w:pPr>
              <w:pStyle w:val="Tabletext"/>
              <w:keepNext/>
              <w:jc w:val="center"/>
            </w:pPr>
            <w:r w:rsidRPr="007439DE">
              <w:t>$</w:t>
            </w:r>
            <w:r w:rsidR="007B0B41" w:rsidRPr="007439DE">
              <w:t>redacted</w:t>
            </w:r>
          </w:p>
        </w:tc>
        <w:tc>
          <w:tcPr>
            <w:tcW w:w="758" w:type="pct"/>
          </w:tcPr>
          <w:p w14:paraId="511731A0" w14:textId="77777777" w:rsidR="00CB2414" w:rsidRPr="007439DE" w:rsidRDefault="00CB2414" w:rsidP="00CB2414">
            <w:pPr>
              <w:pStyle w:val="Tabletext"/>
              <w:keepNext/>
              <w:jc w:val="center"/>
            </w:pPr>
            <w:r w:rsidRPr="007439DE">
              <w:t>Table 73</w:t>
            </w:r>
          </w:p>
        </w:tc>
      </w:tr>
      <w:tr w:rsidR="00CB2414" w:rsidRPr="007439DE" w14:paraId="44F63855" w14:textId="77777777" w:rsidTr="00CB2414">
        <w:tc>
          <w:tcPr>
            <w:tcW w:w="313" w:type="pct"/>
          </w:tcPr>
          <w:p w14:paraId="4A241FEF" w14:textId="77777777" w:rsidR="00CB2414" w:rsidRPr="007439DE" w:rsidRDefault="00CB2414" w:rsidP="00CB2414">
            <w:pPr>
              <w:pStyle w:val="Tabletext"/>
            </w:pPr>
            <w:r w:rsidRPr="007439DE">
              <w:t>B</w:t>
            </w:r>
          </w:p>
        </w:tc>
        <w:tc>
          <w:tcPr>
            <w:tcW w:w="1964" w:type="pct"/>
          </w:tcPr>
          <w:p w14:paraId="66E9F3A8" w14:textId="77777777" w:rsidR="00CB2414" w:rsidRPr="007439DE" w:rsidRDefault="00CB2414" w:rsidP="00CB2414">
            <w:pPr>
              <w:pStyle w:val="Tabletext"/>
            </w:pPr>
            <w:r w:rsidRPr="007439DE">
              <w:t>Medical service costs</w:t>
            </w:r>
          </w:p>
        </w:tc>
        <w:tc>
          <w:tcPr>
            <w:tcW w:w="982" w:type="pct"/>
          </w:tcPr>
          <w:p w14:paraId="38357116" w14:textId="3C4A3265" w:rsidR="00CB2414" w:rsidRPr="007439DE" w:rsidRDefault="00CB2414" w:rsidP="007B0B41">
            <w:pPr>
              <w:pStyle w:val="Tabletext"/>
              <w:jc w:val="center"/>
            </w:pPr>
            <w:r w:rsidRPr="007439DE">
              <w:t>$</w:t>
            </w:r>
            <w:r w:rsidR="007B0B41" w:rsidRPr="007439DE">
              <w:t>redacted</w:t>
            </w:r>
          </w:p>
        </w:tc>
        <w:tc>
          <w:tcPr>
            <w:tcW w:w="983" w:type="pct"/>
          </w:tcPr>
          <w:p w14:paraId="754038E6" w14:textId="058C15E8" w:rsidR="00CB2414" w:rsidRPr="007439DE" w:rsidRDefault="00CB2414" w:rsidP="007B0B41">
            <w:pPr>
              <w:pStyle w:val="Tabletext"/>
              <w:jc w:val="center"/>
            </w:pPr>
            <w:r w:rsidRPr="007439DE">
              <w:t>$</w:t>
            </w:r>
            <w:r w:rsidR="007B0B41" w:rsidRPr="007439DE">
              <w:t>redacted</w:t>
            </w:r>
          </w:p>
        </w:tc>
        <w:tc>
          <w:tcPr>
            <w:tcW w:w="758" w:type="pct"/>
          </w:tcPr>
          <w:p w14:paraId="3BD3BC93" w14:textId="77777777" w:rsidR="00CB2414" w:rsidRPr="007439DE" w:rsidRDefault="00CB2414" w:rsidP="00CB2414">
            <w:pPr>
              <w:pStyle w:val="Tabletext"/>
              <w:jc w:val="center"/>
            </w:pPr>
            <w:r w:rsidRPr="007439DE">
              <w:t>Table 77</w:t>
            </w:r>
          </w:p>
        </w:tc>
      </w:tr>
      <w:tr w:rsidR="00CB2414" w:rsidRPr="007439DE" w14:paraId="7DD4EA28" w14:textId="77777777" w:rsidTr="00CB2414">
        <w:tc>
          <w:tcPr>
            <w:tcW w:w="313" w:type="pct"/>
          </w:tcPr>
          <w:p w14:paraId="34DBE20E" w14:textId="77777777" w:rsidR="00CB2414" w:rsidRPr="007439DE" w:rsidRDefault="00CB2414" w:rsidP="00CB2414">
            <w:pPr>
              <w:pStyle w:val="Tabletext"/>
            </w:pPr>
            <w:r w:rsidRPr="007439DE">
              <w:t>C</w:t>
            </w:r>
          </w:p>
        </w:tc>
        <w:tc>
          <w:tcPr>
            <w:tcW w:w="1964" w:type="pct"/>
          </w:tcPr>
          <w:p w14:paraId="727C105E" w14:textId="77777777" w:rsidR="00CB2414" w:rsidRPr="007439DE" w:rsidRDefault="00CB2414" w:rsidP="00CB2414">
            <w:pPr>
              <w:pStyle w:val="Tabletext"/>
            </w:pPr>
            <w:r w:rsidRPr="007439DE">
              <w:t>Total costs</w:t>
            </w:r>
          </w:p>
        </w:tc>
        <w:tc>
          <w:tcPr>
            <w:tcW w:w="982" w:type="pct"/>
          </w:tcPr>
          <w:p w14:paraId="1C8CEBD3" w14:textId="24F36F23" w:rsidR="00CB2414" w:rsidRPr="007439DE" w:rsidRDefault="00CB2414" w:rsidP="007B0B41">
            <w:pPr>
              <w:pStyle w:val="Tabletext"/>
              <w:jc w:val="center"/>
            </w:pPr>
            <w:r w:rsidRPr="007439DE">
              <w:t>$</w:t>
            </w:r>
            <w:r w:rsidR="007B0B41" w:rsidRPr="007439DE">
              <w:t>redacted</w:t>
            </w:r>
          </w:p>
        </w:tc>
        <w:tc>
          <w:tcPr>
            <w:tcW w:w="983" w:type="pct"/>
          </w:tcPr>
          <w:p w14:paraId="653FB2ED" w14:textId="17E71B51" w:rsidR="00CB2414" w:rsidRPr="007439DE" w:rsidRDefault="00CB2414" w:rsidP="007B0B41">
            <w:pPr>
              <w:pStyle w:val="Tabletext"/>
              <w:jc w:val="center"/>
            </w:pPr>
            <w:r w:rsidRPr="007439DE">
              <w:t>$</w:t>
            </w:r>
            <w:r w:rsidR="007B0B41" w:rsidRPr="007439DE">
              <w:t>redacted</w:t>
            </w:r>
          </w:p>
        </w:tc>
        <w:tc>
          <w:tcPr>
            <w:tcW w:w="758" w:type="pct"/>
          </w:tcPr>
          <w:p w14:paraId="57C00D8E" w14:textId="77777777" w:rsidR="00CB2414" w:rsidRPr="007439DE" w:rsidRDefault="00CB2414" w:rsidP="00CB2414">
            <w:pPr>
              <w:pStyle w:val="Tabletext"/>
              <w:jc w:val="center"/>
            </w:pPr>
            <w:r w:rsidRPr="007439DE">
              <w:t>A+B</w:t>
            </w:r>
          </w:p>
        </w:tc>
      </w:tr>
      <w:tr w:rsidR="00CB2414" w:rsidRPr="007B0B41" w14:paraId="380D9D45" w14:textId="77777777" w:rsidTr="00CB2414">
        <w:tc>
          <w:tcPr>
            <w:tcW w:w="313" w:type="pct"/>
          </w:tcPr>
          <w:p w14:paraId="6C27FE1C" w14:textId="77777777" w:rsidR="00CB2414" w:rsidRPr="007439DE" w:rsidRDefault="00CB2414" w:rsidP="00CB2414">
            <w:pPr>
              <w:pStyle w:val="Tabletext"/>
              <w:rPr>
                <w:b/>
                <w:bCs/>
              </w:rPr>
            </w:pPr>
            <w:r w:rsidRPr="007439DE">
              <w:rPr>
                <w:b/>
                <w:bCs/>
              </w:rPr>
              <w:t>D</w:t>
            </w:r>
          </w:p>
        </w:tc>
        <w:tc>
          <w:tcPr>
            <w:tcW w:w="1964" w:type="pct"/>
          </w:tcPr>
          <w:p w14:paraId="554C627F" w14:textId="77777777" w:rsidR="00CB2414" w:rsidRPr="007439DE" w:rsidRDefault="00CB2414" w:rsidP="00CB2414">
            <w:pPr>
              <w:pStyle w:val="Tabletext"/>
              <w:rPr>
                <w:b/>
                <w:bCs/>
              </w:rPr>
            </w:pPr>
            <w:r w:rsidRPr="007439DE">
              <w:rPr>
                <w:b/>
                <w:bCs/>
              </w:rPr>
              <w:t>Incremental cost of T/EVAR +EA</w:t>
            </w:r>
            <w:r w:rsidRPr="007439DE">
              <w:rPr>
                <w:b/>
                <w:bCs/>
              </w:rPr>
              <w:br/>
              <w:t>(relative to comparator)</w:t>
            </w:r>
          </w:p>
        </w:tc>
        <w:tc>
          <w:tcPr>
            <w:tcW w:w="982" w:type="pct"/>
          </w:tcPr>
          <w:p w14:paraId="6E6B7262" w14:textId="77777777" w:rsidR="00CB2414" w:rsidRPr="007439DE" w:rsidRDefault="00CB2414" w:rsidP="00CB2414">
            <w:pPr>
              <w:pStyle w:val="Tabletext"/>
              <w:jc w:val="center"/>
              <w:rPr>
                <w:b/>
                <w:bCs/>
              </w:rPr>
            </w:pPr>
            <w:r w:rsidRPr="007439DE">
              <w:rPr>
                <w:b/>
                <w:bCs/>
              </w:rPr>
              <w:t>-</w:t>
            </w:r>
          </w:p>
        </w:tc>
        <w:tc>
          <w:tcPr>
            <w:tcW w:w="983" w:type="pct"/>
          </w:tcPr>
          <w:p w14:paraId="2B10080C" w14:textId="7A9D2C84" w:rsidR="00CB2414" w:rsidRPr="007439DE" w:rsidRDefault="00CB2414" w:rsidP="007B0B41">
            <w:pPr>
              <w:pStyle w:val="Tabletext"/>
              <w:jc w:val="center"/>
              <w:rPr>
                <w:b/>
                <w:bCs/>
              </w:rPr>
            </w:pPr>
            <w:r w:rsidRPr="007439DE">
              <w:rPr>
                <w:b/>
                <w:bCs/>
              </w:rPr>
              <w:t>$</w:t>
            </w:r>
            <w:r w:rsidR="007B0B41" w:rsidRPr="007439DE">
              <w:rPr>
                <w:b/>
                <w:bCs/>
              </w:rPr>
              <w:t>redacted</w:t>
            </w:r>
          </w:p>
        </w:tc>
        <w:tc>
          <w:tcPr>
            <w:tcW w:w="758" w:type="pct"/>
          </w:tcPr>
          <w:p w14:paraId="2111844F" w14:textId="250D7D9A" w:rsidR="00CB2414" w:rsidRPr="007439DE" w:rsidRDefault="00CB2414" w:rsidP="007B0B41">
            <w:pPr>
              <w:pStyle w:val="Tabletext"/>
              <w:jc w:val="center"/>
              <w:rPr>
                <w:b/>
                <w:bCs/>
              </w:rPr>
            </w:pPr>
            <w:r w:rsidRPr="007439DE">
              <w:rPr>
                <w:b/>
                <w:bCs/>
              </w:rPr>
              <w:t>$</w:t>
            </w:r>
            <w:r w:rsidR="007B0B41" w:rsidRPr="007439DE">
              <w:rPr>
                <w:b/>
                <w:bCs/>
              </w:rPr>
              <w:t>redacted</w:t>
            </w:r>
            <w:r w:rsidRPr="007439DE">
              <w:rPr>
                <w:b/>
                <w:bCs/>
              </w:rPr>
              <w:t xml:space="preserve"> – C</w:t>
            </w:r>
          </w:p>
        </w:tc>
      </w:tr>
    </w:tbl>
    <w:p w14:paraId="7D574059" w14:textId="77777777" w:rsidR="00CB2414" w:rsidRPr="00154A9C" w:rsidRDefault="00CB2414" w:rsidP="00CB2414">
      <w:pPr>
        <w:rPr>
          <w:rFonts w:ascii="Arial Narrow" w:hAnsi="Arial Narrow" w:cs="Arial"/>
          <w:snapToGrid w:val="0"/>
          <w:sz w:val="18"/>
          <w:lang w:eastAsia="en-US"/>
        </w:rPr>
      </w:pPr>
      <w:r w:rsidRPr="00154A9C">
        <w:rPr>
          <w:rFonts w:ascii="Arial Narrow" w:hAnsi="Arial Narrow" w:cs="Arial"/>
          <w:snapToGrid w:val="0"/>
          <w:sz w:val="18"/>
          <w:lang w:eastAsia="en-US"/>
        </w:rPr>
        <w:t>CHEVAR=Chimney endovascular aneurysm repair; EA=EndoAnchor; T/EVAR=Thoracic endovascular aneurysm repair</w:t>
      </w:r>
    </w:p>
    <w:p w14:paraId="6CD0DEA0" w14:textId="13C37F78" w:rsidR="00CB2414" w:rsidRPr="00875308" w:rsidRDefault="00875308" w:rsidP="00CB2414">
      <w:pPr>
        <w:rPr>
          <w:rFonts w:ascii="Arial Narrow" w:hAnsi="Arial Narrow" w:cs="Arial"/>
          <w:snapToGrid w:val="0"/>
          <w:sz w:val="18"/>
          <w:lang w:eastAsia="en-US"/>
        </w:rPr>
      </w:pPr>
      <w:r>
        <w:rPr>
          <w:rFonts w:ascii="Arial Narrow" w:hAnsi="Arial Narrow" w:cs="Arial"/>
          <w:snapToGrid w:val="0"/>
          <w:sz w:val="18"/>
          <w:lang w:eastAsia="en-US"/>
        </w:rPr>
        <w:t xml:space="preserve">Source: Table 80, p208 of ADAR </w:t>
      </w:r>
    </w:p>
    <w:p w14:paraId="37DF46FD" w14:textId="6CA11121" w:rsidR="00CB2414" w:rsidRPr="00154A9C" w:rsidRDefault="00CB2414" w:rsidP="00875308">
      <w:pPr>
        <w:spacing w:before="240"/>
      </w:pPr>
      <w:r w:rsidRPr="00154A9C">
        <w:t xml:space="preserve">The commentary noted that for Population 1b, only CHEVAR was compared with T/EVAR +EA, as the ADAR noted that there were no TGA approved devices for either FEVAR or BEVAR, while acknowledging that there is a product for thoracoabdominal aneurysms, the Zenith t-Branch Endovascular Graft. EVAR+EA would be used as a substitute for thoracoabdominal aneurysms and therefore it is appropriate to include these grafts. However, the Zenith t-Branch Endovascular Graft is priced on the prosthesis </w:t>
      </w:r>
      <w:r w:rsidRPr="007439DE">
        <w:t>list at $</w:t>
      </w:r>
      <w:r w:rsidR="00DB4009" w:rsidRPr="007439DE">
        <w:rPr>
          <w:b/>
        </w:rPr>
        <w:t>redacted</w:t>
      </w:r>
      <w:r w:rsidRPr="007439DE">
        <w:t>,</w:t>
      </w:r>
      <w:r w:rsidRPr="00154A9C">
        <w:t xml:space="preserve"> significantly more than helical anchors, and when combined with the appropriate medical services, are likely to be more costly than the total cost of helical </w:t>
      </w:r>
      <w:r w:rsidR="00875308">
        <w:t>anchors.</w:t>
      </w:r>
    </w:p>
    <w:p w14:paraId="0BB32A7C" w14:textId="77777777" w:rsidR="00CB2414" w:rsidRPr="00154A9C" w:rsidRDefault="00CB2414" w:rsidP="00875308">
      <w:pPr>
        <w:pStyle w:val="Heading2"/>
        <w:spacing w:before="240"/>
      </w:pPr>
      <w:r w:rsidRPr="00154A9C">
        <w:t>Population 2</w:t>
      </w:r>
    </w:p>
    <w:p w14:paraId="66D33D3A" w14:textId="22CD31B3" w:rsidR="00CB2414" w:rsidRPr="00154A9C" w:rsidRDefault="00CB2414" w:rsidP="00875308">
      <w:pPr>
        <w:tabs>
          <w:tab w:val="left" w:pos="720"/>
        </w:tabs>
      </w:pPr>
      <w:r w:rsidRPr="00154A9C">
        <w:t xml:space="preserve">The estimated incremental cost associated with T/EVAR+EA versus its comparators for Population 2 broken down by AAA or TAA location are shown below in </w:t>
      </w:r>
      <w:r w:rsidR="00061B4D">
        <w:fldChar w:fldCharType="begin"/>
      </w:r>
      <w:r w:rsidR="00061B4D">
        <w:instrText xml:space="preserve"> REF _Ref43985467 \h </w:instrText>
      </w:r>
      <w:r w:rsidR="00061B4D">
        <w:fldChar w:fldCharType="separate"/>
      </w:r>
      <w:r w:rsidR="00061B4D">
        <w:t xml:space="preserve">Table </w:t>
      </w:r>
      <w:r w:rsidR="00061B4D">
        <w:rPr>
          <w:noProof/>
        </w:rPr>
        <w:t>9</w:t>
      </w:r>
      <w:r w:rsidR="00061B4D">
        <w:fldChar w:fldCharType="end"/>
      </w:r>
      <w:r w:rsidR="00061B4D">
        <w:t xml:space="preserve"> </w:t>
      </w:r>
      <w:r w:rsidRPr="00154A9C">
        <w:t>and</w:t>
      </w:r>
      <w:r w:rsidR="00061B4D">
        <w:t xml:space="preserve"> </w:t>
      </w:r>
      <w:r w:rsidR="00061B4D">
        <w:fldChar w:fldCharType="begin"/>
      </w:r>
      <w:r w:rsidR="00061B4D">
        <w:instrText xml:space="preserve"> REF _Ref43985514 \h </w:instrText>
      </w:r>
      <w:r w:rsidR="00061B4D">
        <w:fldChar w:fldCharType="separate"/>
      </w:r>
      <w:r w:rsidR="00061B4D">
        <w:t>Table </w:t>
      </w:r>
      <w:r w:rsidR="00061B4D">
        <w:rPr>
          <w:noProof/>
        </w:rPr>
        <w:t>10</w:t>
      </w:r>
      <w:r w:rsidR="00061B4D">
        <w:fldChar w:fldCharType="end"/>
      </w:r>
      <w:r w:rsidR="00875308">
        <w:t>, respectively.</w:t>
      </w:r>
    </w:p>
    <w:p w14:paraId="5BB291A7" w14:textId="7D3DFD3A" w:rsidR="00CB2414" w:rsidRPr="00154A9C" w:rsidRDefault="00CB2414" w:rsidP="00875308">
      <w:pPr>
        <w:tabs>
          <w:tab w:val="left" w:pos="720"/>
        </w:tabs>
        <w:spacing w:before="240"/>
      </w:pPr>
      <w:r w:rsidRPr="00154A9C">
        <w:t xml:space="preserve">For Population 2a (revision AAA), the ADAR estimated EVAR+EA to provide costs savings </w:t>
      </w:r>
      <w:r w:rsidRPr="007439DE">
        <w:t>of $</w:t>
      </w:r>
      <w:r w:rsidR="00DB4009" w:rsidRPr="007439DE">
        <w:rPr>
          <w:b/>
        </w:rPr>
        <w:t>redacted</w:t>
      </w:r>
      <w:r w:rsidRPr="007439DE">
        <w:t xml:space="preserve"> relative to revision FEVAR, cost an additional $</w:t>
      </w:r>
      <w:r w:rsidR="00DB4009" w:rsidRPr="007439DE">
        <w:rPr>
          <w:b/>
        </w:rPr>
        <w:t>redacted</w:t>
      </w:r>
      <w:r w:rsidRPr="007439DE">
        <w:t xml:space="preserve"> relative to revision CHEVAR and cost an additional $</w:t>
      </w:r>
      <w:r w:rsidR="00DB4009" w:rsidRPr="007439DE">
        <w:rPr>
          <w:b/>
        </w:rPr>
        <w:t>redacted</w:t>
      </w:r>
      <w:r w:rsidR="00875308">
        <w:t xml:space="preserve"> relative to open repair.</w:t>
      </w:r>
    </w:p>
    <w:p w14:paraId="6C8AA9D4" w14:textId="1FCFC5E7" w:rsidR="00CB2414" w:rsidRPr="00154A9C" w:rsidRDefault="00061B4D" w:rsidP="00061B4D">
      <w:pPr>
        <w:pStyle w:val="Style1"/>
        <w:keepNext/>
        <w:keepLines/>
      </w:pPr>
      <w:bookmarkStart w:id="31" w:name="_Ref43985467"/>
      <w:bookmarkStart w:id="32" w:name="_Toc21425229"/>
      <w:bookmarkStart w:id="33" w:name="_Toc21528097"/>
      <w:bookmarkStart w:id="34" w:name="_Toc30609794"/>
      <w:r>
        <w:lastRenderedPageBreak/>
        <w:t xml:space="preserve">Table </w:t>
      </w:r>
      <w:r w:rsidR="002665AC">
        <w:fldChar w:fldCharType="begin"/>
      </w:r>
      <w:r w:rsidR="002665AC">
        <w:instrText xml:space="preserve"> SEQ Table \* ARABIC </w:instrText>
      </w:r>
      <w:r w:rsidR="002665AC">
        <w:fldChar w:fldCharType="separate"/>
      </w:r>
      <w:r w:rsidR="00E05271">
        <w:rPr>
          <w:noProof/>
        </w:rPr>
        <w:t>9</w:t>
      </w:r>
      <w:r w:rsidR="002665AC">
        <w:rPr>
          <w:noProof/>
        </w:rPr>
        <w:fldChar w:fldCharType="end"/>
      </w:r>
      <w:bookmarkEnd w:id="31"/>
      <w:r>
        <w:tab/>
      </w:r>
      <w:r w:rsidR="00CB2414" w:rsidRPr="00154A9C">
        <w:t>Incremental cost of EVAR+EA relative to complex EVAR and open repair in the revision of infrarenal aneurysms</w:t>
      </w:r>
      <w:bookmarkEnd w:id="32"/>
      <w:bookmarkEnd w:id="33"/>
      <w:bookmarkEnd w:id="34"/>
    </w:p>
    <w:tbl>
      <w:tblPr>
        <w:tblStyle w:val="TableGrid1"/>
        <w:tblW w:w="5000" w:type="pct"/>
        <w:tblLook w:val="04A0" w:firstRow="1" w:lastRow="0" w:firstColumn="1" w:lastColumn="0" w:noHBand="0" w:noVBand="1"/>
        <w:tblCaption w:val="Table 28  "/>
        <w:tblDescription w:val="Incremental cost of EVAR+EA relative to complex EVAR and open repair in the revision of infrarenal aneurysms"/>
      </w:tblPr>
      <w:tblGrid>
        <w:gridCol w:w="564"/>
        <w:gridCol w:w="2126"/>
        <w:gridCol w:w="1150"/>
        <w:gridCol w:w="1295"/>
        <w:gridCol w:w="1293"/>
        <w:gridCol w:w="1295"/>
        <w:gridCol w:w="1293"/>
      </w:tblGrid>
      <w:tr w:rsidR="00CB2414" w:rsidRPr="007439DE" w14:paraId="01F0C2C4" w14:textId="77777777" w:rsidTr="00CB2414">
        <w:trPr>
          <w:cnfStyle w:val="100000000000" w:firstRow="1" w:lastRow="0" w:firstColumn="0" w:lastColumn="0" w:oddVBand="0" w:evenVBand="0" w:oddHBand="0" w:evenHBand="0" w:firstRowFirstColumn="0" w:firstRowLastColumn="0" w:lastRowFirstColumn="0" w:lastRowLastColumn="0"/>
          <w:cantSplit/>
          <w:tblHeader/>
        </w:trPr>
        <w:tc>
          <w:tcPr>
            <w:tcW w:w="313" w:type="pct"/>
            <w:tcBorders>
              <w:top w:val="single" w:sz="4" w:space="0" w:color="auto"/>
              <w:bottom w:val="single" w:sz="4" w:space="0" w:color="auto"/>
            </w:tcBorders>
          </w:tcPr>
          <w:p w14:paraId="1EA21504" w14:textId="77777777" w:rsidR="00CB2414" w:rsidRPr="007439DE" w:rsidRDefault="00CB2414" w:rsidP="00061B4D">
            <w:pPr>
              <w:pStyle w:val="TableHeading"/>
              <w:keepLines/>
            </w:pPr>
            <w:r w:rsidRPr="007439DE">
              <w:t>Row</w:t>
            </w:r>
          </w:p>
        </w:tc>
        <w:tc>
          <w:tcPr>
            <w:tcW w:w="1179" w:type="pct"/>
            <w:tcBorders>
              <w:top w:val="single" w:sz="4" w:space="0" w:color="auto"/>
              <w:bottom w:val="single" w:sz="4" w:space="0" w:color="auto"/>
            </w:tcBorders>
          </w:tcPr>
          <w:p w14:paraId="4B0CFC9D" w14:textId="77777777" w:rsidR="00CB2414" w:rsidRPr="007439DE" w:rsidRDefault="00CB2414" w:rsidP="00061B4D">
            <w:pPr>
              <w:pStyle w:val="TableHeading"/>
              <w:keepLines/>
            </w:pPr>
            <w:r w:rsidRPr="007439DE">
              <w:t>Cost item</w:t>
            </w:r>
          </w:p>
        </w:tc>
        <w:tc>
          <w:tcPr>
            <w:tcW w:w="638" w:type="pct"/>
            <w:tcBorders>
              <w:bottom w:val="single" w:sz="4" w:space="0" w:color="auto"/>
            </w:tcBorders>
          </w:tcPr>
          <w:p w14:paraId="4C43FBC9" w14:textId="77777777" w:rsidR="00CB2414" w:rsidRPr="007439DE" w:rsidRDefault="00CB2414" w:rsidP="00061B4D">
            <w:pPr>
              <w:pStyle w:val="TableHeading"/>
              <w:keepLines/>
            </w:pPr>
            <w:r w:rsidRPr="007439DE">
              <w:t>EVAR+EA</w:t>
            </w:r>
          </w:p>
        </w:tc>
        <w:tc>
          <w:tcPr>
            <w:tcW w:w="718" w:type="pct"/>
            <w:tcBorders>
              <w:bottom w:val="single" w:sz="4" w:space="0" w:color="auto"/>
            </w:tcBorders>
          </w:tcPr>
          <w:p w14:paraId="671F254F" w14:textId="77777777" w:rsidR="00CB2414" w:rsidRPr="007439DE" w:rsidRDefault="00CB2414" w:rsidP="00061B4D">
            <w:pPr>
              <w:pStyle w:val="TableHeading"/>
              <w:keepLines/>
            </w:pPr>
            <w:r w:rsidRPr="007439DE">
              <w:t>Revision FEVAR</w:t>
            </w:r>
          </w:p>
        </w:tc>
        <w:tc>
          <w:tcPr>
            <w:tcW w:w="717" w:type="pct"/>
            <w:tcBorders>
              <w:bottom w:val="single" w:sz="4" w:space="0" w:color="auto"/>
            </w:tcBorders>
          </w:tcPr>
          <w:p w14:paraId="30E738FE" w14:textId="77777777" w:rsidR="00CB2414" w:rsidRPr="007439DE" w:rsidRDefault="00CB2414" w:rsidP="00061B4D">
            <w:pPr>
              <w:pStyle w:val="TableHeading"/>
              <w:keepLines/>
            </w:pPr>
            <w:r w:rsidRPr="007439DE">
              <w:t>Revision CHEVAR</w:t>
            </w:r>
          </w:p>
        </w:tc>
        <w:tc>
          <w:tcPr>
            <w:tcW w:w="718" w:type="pct"/>
            <w:tcBorders>
              <w:bottom w:val="single" w:sz="4" w:space="0" w:color="auto"/>
            </w:tcBorders>
          </w:tcPr>
          <w:p w14:paraId="31823454" w14:textId="77777777" w:rsidR="00CB2414" w:rsidRPr="007439DE" w:rsidRDefault="00CB2414" w:rsidP="00061B4D">
            <w:pPr>
              <w:pStyle w:val="TableHeading"/>
              <w:keepLines/>
            </w:pPr>
            <w:r w:rsidRPr="007439DE">
              <w:t>Open repair</w:t>
            </w:r>
          </w:p>
        </w:tc>
        <w:tc>
          <w:tcPr>
            <w:tcW w:w="717" w:type="pct"/>
            <w:tcBorders>
              <w:bottom w:val="single" w:sz="4" w:space="0" w:color="auto"/>
            </w:tcBorders>
          </w:tcPr>
          <w:p w14:paraId="6B1E3C00" w14:textId="77777777" w:rsidR="00CB2414" w:rsidRPr="007439DE" w:rsidRDefault="00CB2414" w:rsidP="00061B4D">
            <w:pPr>
              <w:pStyle w:val="TableHeading"/>
              <w:keepLines/>
            </w:pPr>
            <w:r w:rsidRPr="007439DE">
              <w:t>Source / calculation</w:t>
            </w:r>
          </w:p>
        </w:tc>
      </w:tr>
      <w:tr w:rsidR="00CB2414" w:rsidRPr="007439DE" w14:paraId="714AC6AC" w14:textId="77777777" w:rsidTr="00CB2414">
        <w:tc>
          <w:tcPr>
            <w:tcW w:w="313" w:type="pct"/>
          </w:tcPr>
          <w:p w14:paraId="0C6C88F0" w14:textId="77777777" w:rsidR="00CB2414" w:rsidRPr="007439DE" w:rsidRDefault="00CB2414" w:rsidP="00CB2414">
            <w:pPr>
              <w:pStyle w:val="Tabletext"/>
            </w:pPr>
            <w:r w:rsidRPr="007439DE">
              <w:t>A</w:t>
            </w:r>
          </w:p>
        </w:tc>
        <w:tc>
          <w:tcPr>
            <w:tcW w:w="1179" w:type="pct"/>
          </w:tcPr>
          <w:p w14:paraId="3ACE075A" w14:textId="77777777" w:rsidR="00CB2414" w:rsidRPr="007439DE" w:rsidRDefault="00CB2414" w:rsidP="00CB2414">
            <w:pPr>
              <w:pStyle w:val="Tabletext"/>
            </w:pPr>
            <w:r w:rsidRPr="007439DE">
              <w:t>Device costs</w:t>
            </w:r>
          </w:p>
        </w:tc>
        <w:tc>
          <w:tcPr>
            <w:tcW w:w="638" w:type="pct"/>
          </w:tcPr>
          <w:p w14:paraId="0CFCDFF4" w14:textId="7DCC7547" w:rsidR="00CB2414" w:rsidRPr="007439DE" w:rsidRDefault="00CB2414" w:rsidP="008F72AD">
            <w:pPr>
              <w:pStyle w:val="Tabletext"/>
            </w:pPr>
            <w:r w:rsidRPr="007439DE">
              <w:t>$</w:t>
            </w:r>
            <w:r w:rsidR="008F72AD" w:rsidRPr="007439DE">
              <w:t>redacted</w:t>
            </w:r>
          </w:p>
        </w:tc>
        <w:tc>
          <w:tcPr>
            <w:tcW w:w="718" w:type="pct"/>
          </w:tcPr>
          <w:p w14:paraId="5C285D25" w14:textId="5AE63B7A" w:rsidR="00CB2414" w:rsidRPr="007439DE" w:rsidRDefault="00CB2414" w:rsidP="008F72AD">
            <w:pPr>
              <w:pStyle w:val="Tabletext"/>
            </w:pPr>
            <w:r w:rsidRPr="007439DE">
              <w:t>$</w:t>
            </w:r>
            <w:r w:rsidR="008F72AD" w:rsidRPr="007439DE">
              <w:t>redacted</w:t>
            </w:r>
          </w:p>
        </w:tc>
        <w:tc>
          <w:tcPr>
            <w:tcW w:w="717" w:type="pct"/>
          </w:tcPr>
          <w:p w14:paraId="138A358D" w14:textId="6C08B48A" w:rsidR="00CB2414" w:rsidRPr="007439DE" w:rsidRDefault="00CB2414" w:rsidP="008F72AD">
            <w:pPr>
              <w:pStyle w:val="Tabletext"/>
            </w:pPr>
            <w:r w:rsidRPr="007439DE">
              <w:t>$</w:t>
            </w:r>
            <w:r w:rsidR="008F72AD" w:rsidRPr="007439DE">
              <w:t>redacted</w:t>
            </w:r>
          </w:p>
        </w:tc>
        <w:tc>
          <w:tcPr>
            <w:tcW w:w="718" w:type="pct"/>
          </w:tcPr>
          <w:p w14:paraId="38352549" w14:textId="1E2F3B62" w:rsidR="00CB2414" w:rsidRPr="007439DE" w:rsidRDefault="00CB2414" w:rsidP="008F72AD">
            <w:pPr>
              <w:pStyle w:val="Tabletext"/>
            </w:pPr>
            <w:r w:rsidRPr="007439DE">
              <w:t>$</w:t>
            </w:r>
            <w:r w:rsidR="008F72AD" w:rsidRPr="007439DE">
              <w:t>redacted</w:t>
            </w:r>
          </w:p>
        </w:tc>
        <w:tc>
          <w:tcPr>
            <w:tcW w:w="717" w:type="pct"/>
          </w:tcPr>
          <w:p w14:paraId="69E42ACC" w14:textId="77777777" w:rsidR="00CB2414" w:rsidRPr="007439DE" w:rsidRDefault="00CB2414" w:rsidP="00CB2414">
            <w:pPr>
              <w:pStyle w:val="Tabletext"/>
            </w:pPr>
            <w:r w:rsidRPr="007439DE">
              <w:t>Table 74 of ADAR</w:t>
            </w:r>
          </w:p>
        </w:tc>
      </w:tr>
      <w:tr w:rsidR="00CB2414" w:rsidRPr="007439DE" w14:paraId="7F026B87" w14:textId="77777777" w:rsidTr="00CB2414">
        <w:tc>
          <w:tcPr>
            <w:tcW w:w="313" w:type="pct"/>
            <w:tcBorders>
              <w:bottom w:val="single" w:sz="4" w:space="0" w:color="auto"/>
            </w:tcBorders>
          </w:tcPr>
          <w:p w14:paraId="5CB4AA45" w14:textId="77777777" w:rsidR="00CB2414" w:rsidRPr="007439DE" w:rsidRDefault="00CB2414" w:rsidP="00CB2414">
            <w:pPr>
              <w:pStyle w:val="Tabletext"/>
            </w:pPr>
            <w:r w:rsidRPr="007439DE">
              <w:t>B</w:t>
            </w:r>
          </w:p>
        </w:tc>
        <w:tc>
          <w:tcPr>
            <w:tcW w:w="1179" w:type="pct"/>
            <w:tcBorders>
              <w:bottom w:val="single" w:sz="4" w:space="0" w:color="auto"/>
            </w:tcBorders>
          </w:tcPr>
          <w:p w14:paraId="19F50797" w14:textId="77777777" w:rsidR="00CB2414" w:rsidRPr="007439DE" w:rsidRDefault="00CB2414" w:rsidP="00CB2414">
            <w:pPr>
              <w:pStyle w:val="Tabletext"/>
            </w:pPr>
            <w:r w:rsidRPr="007439DE">
              <w:t>Medical service costs</w:t>
            </w:r>
          </w:p>
        </w:tc>
        <w:tc>
          <w:tcPr>
            <w:tcW w:w="638" w:type="pct"/>
            <w:tcBorders>
              <w:bottom w:val="single" w:sz="4" w:space="0" w:color="auto"/>
            </w:tcBorders>
          </w:tcPr>
          <w:p w14:paraId="6830DC42" w14:textId="015C8BBA" w:rsidR="00CB2414" w:rsidRPr="007439DE" w:rsidRDefault="00CB2414" w:rsidP="008F72AD">
            <w:pPr>
              <w:pStyle w:val="Tabletext"/>
            </w:pPr>
            <w:r w:rsidRPr="007439DE">
              <w:t>$</w:t>
            </w:r>
            <w:r w:rsidR="008F72AD" w:rsidRPr="007439DE">
              <w:t>redacted</w:t>
            </w:r>
          </w:p>
        </w:tc>
        <w:tc>
          <w:tcPr>
            <w:tcW w:w="718" w:type="pct"/>
            <w:tcBorders>
              <w:bottom w:val="single" w:sz="4" w:space="0" w:color="auto"/>
            </w:tcBorders>
          </w:tcPr>
          <w:p w14:paraId="357EB6DB" w14:textId="36BF56AA" w:rsidR="00CB2414" w:rsidRPr="007439DE" w:rsidRDefault="00CB2414" w:rsidP="00BB68BB">
            <w:pPr>
              <w:pStyle w:val="Tabletext"/>
            </w:pPr>
            <w:r w:rsidRPr="007439DE">
              <w:t>$</w:t>
            </w:r>
            <w:r w:rsidR="00BB68BB" w:rsidRPr="007439DE">
              <w:t>redacted</w:t>
            </w:r>
          </w:p>
        </w:tc>
        <w:tc>
          <w:tcPr>
            <w:tcW w:w="717" w:type="pct"/>
            <w:tcBorders>
              <w:bottom w:val="single" w:sz="4" w:space="0" w:color="auto"/>
            </w:tcBorders>
          </w:tcPr>
          <w:p w14:paraId="5939B218" w14:textId="2C0F4138" w:rsidR="00CB2414" w:rsidRPr="007439DE" w:rsidRDefault="00CB2414" w:rsidP="00BB68BB">
            <w:pPr>
              <w:pStyle w:val="Tabletext"/>
            </w:pPr>
            <w:r w:rsidRPr="007439DE">
              <w:t>$</w:t>
            </w:r>
            <w:r w:rsidR="00BB68BB" w:rsidRPr="007439DE">
              <w:t>redacted</w:t>
            </w:r>
          </w:p>
        </w:tc>
        <w:tc>
          <w:tcPr>
            <w:tcW w:w="718" w:type="pct"/>
            <w:tcBorders>
              <w:bottom w:val="single" w:sz="4" w:space="0" w:color="auto"/>
            </w:tcBorders>
          </w:tcPr>
          <w:p w14:paraId="157227F3" w14:textId="67901D9C" w:rsidR="00CB2414" w:rsidRPr="007439DE" w:rsidRDefault="00CB2414" w:rsidP="00BB68BB">
            <w:pPr>
              <w:pStyle w:val="Tabletext"/>
            </w:pPr>
            <w:r w:rsidRPr="007439DE">
              <w:t>$</w:t>
            </w:r>
            <w:r w:rsidR="00BB68BB" w:rsidRPr="007439DE">
              <w:t>redacted</w:t>
            </w:r>
          </w:p>
        </w:tc>
        <w:tc>
          <w:tcPr>
            <w:tcW w:w="717" w:type="pct"/>
            <w:tcBorders>
              <w:bottom w:val="single" w:sz="4" w:space="0" w:color="auto"/>
            </w:tcBorders>
          </w:tcPr>
          <w:p w14:paraId="577357F6" w14:textId="77777777" w:rsidR="00CB2414" w:rsidRPr="007439DE" w:rsidRDefault="00CB2414" w:rsidP="00CB2414">
            <w:pPr>
              <w:pStyle w:val="Tabletext"/>
            </w:pPr>
            <w:r w:rsidRPr="007439DE">
              <w:t>Table 78 of ADAR</w:t>
            </w:r>
          </w:p>
        </w:tc>
      </w:tr>
      <w:tr w:rsidR="00CB2414" w:rsidRPr="007439DE" w14:paraId="6DF1976C" w14:textId="77777777" w:rsidTr="00CB2414">
        <w:tc>
          <w:tcPr>
            <w:tcW w:w="313" w:type="pct"/>
          </w:tcPr>
          <w:p w14:paraId="1AE42137" w14:textId="77777777" w:rsidR="00CB2414" w:rsidRPr="007439DE" w:rsidRDefault="00CB2414" w:rsidP="00CB2414">
            <w:pPr>
              <w:pStyle w:val="Tabletext"/>
            </w:pPr>
            <w:r w:rsidRPr="007439DE">
              <w:t>C</w:t>
            </w:r>
          </w:p>
        </w:tc>
        <w:tc>
          <w:tcPr>
            <w:tcW w:w="1179" w:type="pct"/>
          </w:tcPr>
          <w:p w14:paraId="3CDB0888" w14:textId="77777777" w:rsidR="00CB2414" w:rsidRPr="007439DE" w:rsidRDefault="00CB2414" w:rsidP="00CB2414">
            <w:pPr>
              <w:pStyle w:val="Tabletext"/>
            </w:pPr>
            <w:r w:rsidRPr="007439DE">
              <w:t>Total costs</w:t>
            </w:r>
          </w:p>
        </w:tc>
        <w:tc>
          <w:tcPr>
            <w:tcW w:w="638" w:type="pct"/>
          </w:tcPr>
          <w:p w14:paraId="39E3232C" w14:textId="456AAD3D" w:rsidR="00CB2414" w:rsidRPr="007439DE" w:rsidRDefault="00CB2414" w:rsidP="00BB68BB">
            <w:pPr>
              <w:pStyle w:val="Tabletext"/>
            </w:pPr>
            <w:r w:rsidRPr="007439DE">
              <w:t>$</w:t>
            </w:r>
            <w:r w:rsidR="00BB68BB" w:rsidRPr="007439DE">
              <w:t>redacted</w:t>
            </w:r>
          </w:p>
        </w:tc>
        <w:tc>
          <w:tcPr>
            <w:tcW w:w="718" w:type="pct"/>
          </w:tcPr>
          <w:p w14:paraId="59C919B0" w14:textId="6EC536CD" w:rsidR="00CB2414" w:rsidRPr="007439DE" w:rsidRDefault="00CB2414" w:rsidP="00BB68BB">
            <w:pPr>
              <w:pStyle w:val="Tabletext"/>
            </w:pPr>
            <w:r w:rsidRPr="007439DE">
              <w:t>$</w:t>
            </w:r>
            <w:r w:rsidR="00BB68BB" w:rsidRPr="007439DE">
              <w:t>redacted</w:t>
            </w:r>
          </w:p>
        </w:tc>
        <w:tc>
          <w:tcPr>
            <w:tcW w:w="717" w:type="pct"/>
          </w:tcPr>
          <w:p w14:paraId="12EB5273" w14:textId="3CE77F8F" w:rsidR="00CB2414" w:rsidRPr="007439DE" w:rsidRDefault="00CB2414" w:rsidP="00BB68BB">
            <w:pPr>
              <w:pStyle w:val="Tabletext"/>
            </w:pPr>
            <w:r w:rsidRPr="007439DE">
              <w:t>$</w:t>
            </w:r>
            <w:r w:rsidR="00BB68BB" w:rsidRPr="007439DE">
              <w:t>redacted</w:t>
            </w:r>
          </w:p>
        </w:tc>
        <w:tc>
          <w:tcPr>
            <w:tcW w:w="718" w:type="pct"/>
          </w:tcPr>
          <w:p w14:paraId="68C6D3A0" w14:textId="2BB1818A" w:rsidR="00CB2414" w:rsidRPr="007439DE" w:rsidRDefault="00CB2414" w:rsidP="00BB68BB">
            <w:pPr>
              <w:pStyle w:val="Tabletext"/>
            </w:pPr>
            <w:r w:rsidRPr="007439DE">
              <w:t>$</w:t>
            </w:r>
            <w:r w:rsidR="00BB68BB" w:rsidRPr="007439DE">
              <w:t>redacted</w:t>
            </w:r>
          </w:p>
        </w:tc>
        <w:tc>
          <w:tcPr>
            <w:tcW w:w="717" w:type="pct"/>
          </w:tcPr>
          <w:p w14:paraId="2EB196C4" w14:textId="77777777" w:rsidR="00CB2414" w:rsidRPr="007439DE" w:rsidRDefault="00CB2414" w:rsidP="00CB2414">
            <w:pPr>
              <w:pStyle w:val="Tabletext"/>
            </w:pPr>
            <w:r w:rsidRPr="007439DE">
              <w:t>A+B</w:t>
            </w:r>
          </w:p>
        </w:tc>
      </w:tr>
      <w:tr w:rsidR="00CB2414" w:rsidRPr="008F72AD" w14:paraId="54305BA8" w14:textId="77777777" w:rsidTr="00CB2414">
        <w:tc>
          <w:tcPr>
            <w:tcW w:w="313" w:type="pct"/>
          </w:tcPr>
          <w:p w14:paraId="684AE93E" w14:textId="77777777" w:rsidR="00CB2414" w:rsidRPr="007439DE" w:rsidRDefault="00CB2414" w:rsidP="00CB2414">
            <w:pPr>
              <w:pStyle w:val="Tabletext"/>
              <w:rPr>
                <w:b/>
                <w:bCs/>
              </w:rPr>
            </w:pPr>
            <w:r w:rsidRPr="007439DE">
              <w:rPr>
                <w:b/>
                <w:bCs/>
              </w:rPr>
              <w:t>D</w:t>
            </w:r>
          </w:p>
        </w:tc>
        <w:tc>
          <w:tcPr>
            <w:tcW w:w="1179" w:type="pct"/>
          </w:tcPr>
          <w:p w14:paraId="1CE2D5A7" w14:textId="77777777" w:rsidR="00CB2414" w:rsidRPr="007439DE" w:rsidRDefault="00CB2414" w:rsidP="00CB2414">
            <w:pPr>
              <w:pStyle w:val="Tabletext"/>
              <w:rPr>
                <w:b/>
                <w:bCs/>
              </w:rPr>
            </w:pPr>
            <w:r w:rsidRPr="007439DE">
              <w:rPr>
                <w:b/>
                <w:bCs/>
              </w:rPr>
              <w:t>Incremental cost of EVAR+EA</w:t>
            </w:r>
            <w:r w:rsidRPr="007439DE">
              <w:rPr>
                <w:b/>
                <w:bCs/>
              </w:rPr>
              <w:br/>
              <w:t>(relative to comparator)</w:t>
            </w:r>
          </w:p>
        </w:tc>
        <w:tc>
          <w:tcPr>
            <w:tcW w:w="638" w:type="pct"/>
          </w:tcPr>
          <w:p w14:paraId="452B313F" w14:textId="77777777" w:rsidR="00CB2414" w:rsidRPr="007439DE" w:rsidRDefault="00CB2414" w:rsidP="00CB2414">
            <w:pPr>
              <w:pStyle w:val="Tabletext"/>
              <w:rPr>
                <w:b/>
                <w:bCs/>
              </w:rPr>
            </w:pPr>
            <w:r w:rsidRPr="007439DE">
              <w:rPr>
                <w:b/>
                <w:bCs/>
              </w:rPr>
              <w:t>-</w:t>
            </w:r>
          </w:p>
        </w:tc>
        <w:tc>
          <w:tcPr>
            <w:tcW w:w="718" w:type="pct"/>
          </w:tcPr>
          <w:p w14:paraId="250D25F7" w14:textId="54AFC417" w:rsidR="00CB2414" w:rsidRPr="007439DE" w:rsidRDefault="00CB2414" w:rsidP="00BB68BB">
            <w:pPr>
              <w:pStyle w:val="Tabletext"/>
              <w:rPr>
                <w:b/>
                <w:bCs/>
              </w:rPr>
            </w:pPr>
            <w:r w:rsidRPr="007439DE">
              <w:rPr>
                <w:b/>
                <w:bCs/>
              </w:rPr>
              <w:t>$</w:t>
            </w:r>
            <w:r w:rsidR="00BB68BB" w:rsidRPr="007439DE">
              <w:rPr>
                <w:b/>
                <w:bCs/>
              </w:rPr>
              <w:t>redacted</w:t>
            </w:r>
          </w:p>
        </w:tc>
        <w:tc>
          <w:tcPr>
            <w:tcW w:w="717" w:type="pct"/>
          </w:tcPr>
          <w:p w14:paraId="047633AD" w14:textId="58BBD9CB" w:rsidR="00CB2414" w:rsidRPr="007439DE" w:rsidRDefault="00CB2414" w:rsidP="00631979">
            <w:pPr>
              <w:pStyle w:val="Tabletext"/>
              <w:rPr>
                <w:b/>
                <w:bCs/>
              </w:rPr>
            </w:pPr>
            <w:r w:rsidRPr="007439DE">
              <w:rPr>
                <w:b/>
                <w:bCs/>
              </w:rPr>
              <w:t>$</w:t>
            </w:r>
            <w:r w:rsidR="00631979" w:rsidRPr="007439DE">
              <w:rPr>
                <w:b/>
                <w:bCs/>
              </w:rPr>
              <w:t>redacted</w:t>
            </w:r>
          </w:p>
        </w:tc>
        <w:tc>
          <w:tcPr>
            <w:tcW w:w="718" w:type="pct"/>
          </w:tcPr>
          <w:p w14:paraId="45A91724" w14:textId="47834382" w:rsidR="00CB2414" w:rsidRPr="007439DE" w:rsidRDefault="00CB2414" w:rsidP="00631979">
            <w:pPr>
              <w:pStyle w:val="Tabletext"/>
              <w:rPr>
                <w:b/>
                <w:bCs/>
              </w:rPr>
            </w:pPr>
            <w:r w:rsidRPr="007439DE">
              <w:rPr>
                <w:b/>
                <w:bCs/>
              </w:rPr>
              <w:t>$</w:t>
            </w:r>
            <w:r w:rsidR="00631979" w:rsidRPr="007439DE">
              <w:rPr>
                <w:b/>
                <w:bCs/>
              </w:rPr>
              <w:t>redacted</w:t>
            </w:r>
          </w:p>
        </w:tc>
        <w:tc>
          <w:tcPr>
            <w:tcW w:w="717" w:type="pct"/>
          </w:tcPr>
          <w:p w14:paraId="02E988C3" w14:textId="3196926D" w:rsidR="00CB2414" w:rsidRPr="007439DE" w:rsidRDefault="00CB2414" w:rsidP="00631979">
            <w:pPr>
              <w:pStyle w:val="Tabletext"/>
              <w:rPr>
                <w:b/>
                <w:bCs/>
              </w:rPr>
            </w:pPr>
            <w:r w:rsidRPr="007439DE">
              <w:rPr>
                <w:b/>
                <w:bCs/>
              </w:rPr>
              <w:t>$</w:t>
            </w:r>
            <w:r w:rsidR="00631979" w:rsidRPr="007439DE">
              <w:rPr>
                <w:b/>
                <w:bCs/>
              </w:rPr>
              <w:t>redacted</w:t>
            </w:r>
            <w:r w:rsidRPr="007439DE">
              <w:rPr>
                <w:b/>
                <w:bCs/>
              </w:rPr>
              <w:t xml:space="preserve"> – C</w:t>
            </w:r>
          </w:p>
        </w:tc>
      </w:tr>
    </w:tbl>
    <w:p w14:paraId="5E392C6D" w14:textId="77777777" w:rsidR="00CB2414" w:rsidRPr="00154A9C" w:rsidRDefault="00CB2414" w:rsidP="00CB2414">
      <w:pPr>
        <w:rPr>
          <w:rFonts w:ascii="Arial Narrow" w:hAnsi="Arial Narrow" w:cs="Arial"/>
          <w:snapToGrid w:val="0"/>
          <w:sz w:val="18"/>
          <w:lang w:eastAsia="en-US"/>
        </w:rPr>
      </w:pPr>
      <w:r w:rsidRPr="00154A9C">
        <w:rPr>
          <w:rFonts w:ascii="Arial Narrow" w:hAnsi="Arial Narrow" w:cs="Arial"/>
          <w:snapToGrid w:val="0"/>
          <w:sz w:val="18"/>
          <w:lang w:eastAsia="en-US"/>
        </w:rPr>
        <w:t>CHEVAR=Chimney endovascular aneurysm repair; EA=EndoAnchor; EVAR=Endovascular aneurysm repair; FEVAR=Fenestrated endovascular aneurysm repair</w:t>
      </w:r>
    </w:p>
    <w:p w14:paraId="4E6A555A" w14:textId="37B65C4A" w:rsidR="00CB2414" w:rsidRPr="00154A9C" w:rsidRDefault="00CB2414" w:rsidP="00CB2414">
      <w:pPr>
        <w:tabs>
          <w:tab w:val="left" w:pos="720"/>
        </w:tabs>
      </w:pPr>
      <w:r w:rsidRPr="00154A9C">
        <w:rPr>
          <w:rFonts w:ascii="Arial Narrow" w:hAnsi="Arial Narrow" w:cs="Arial"/>
          <w:snapToGrid w:val="0"/>
          <w:sz w:val="18"/>
          <w:lang w:eastAsia="en-US"/>
        </w:rPr>
        <w:t xml:space="preserve">Source: Table 81, p209 of ADAR </w:t>
      </w:r>
    </w:p>
    <w:p w14:paraId="57BD4B13" w14:textId="015B551F" w:rsidR="00CC0E1E" w:rsidRPr="00154A9C" w:rsidRDefault="00CB2414" w:rsidP="00965A7E">
      <w:pPr>
        <w:tabs>
          <w:tab w:val="left" w:pos="720"/>
        </w:tabs>
        <w:spacing w:before="240"/>
      </w:pPr>
      <w:r w:rsidRPr="00154A9C">
        <w:t xml:space="preserve">For Population 2b (revision TAA), the ADAR estimated TEVAR+EA to cost an additional </w:t>
      </w:r>
      <w:r w:rsidRPr="007439DE">
        <w:t>$</w:t>
      </w:r>
      <w:r w:rsidR="00631979" w:rsidRPr="007439DE">
        <w:rPr>
          <w:b/>
        </w:rPr>
        <w:t>redacted</w:t>
      </w:r>
      <w:r w:rsidRPr="007439DE">
        <w:t xml:space="preserve"> relative to revision CHEVAR and an additional $</w:t>
      </w:r>
      <w:r w:rsidR="00631979" w:rsidRPr="007439DE">
        <w:rPr>
          <w:b/>
        </w:rPr>
        <w:t>redacted</w:t>
      </w:r>
      <w:r w:rsidRPr="00154A9C">
        <w:t xml:space="preserve"> relative to open repair.</w:t>
      </w:r>
    </w:p>
    <w:p w14:paraId="13F5E994" w14:textId="56C6BAA6" w:rsidR="00CB2414" w:rsidRPr="00154A9C" w:rsidRDefault="00061B4D" w:rsidP="00061B4D">
      <w:pPr>
        <w:pStyle w:val="Style1"/>
        <w:spacing w:before="240"/>
      </w:pPr>
      <w:bookmarkStart w:id="35" w:name="_Ref43985514"/>
      <w:bookmarkStart w:id="36" w:name="_Toc30609795"/>
      <w:r>
        <w:t xml:space="preserve">Table </w:t>
      </w:r>
      <w:r w:rsidR="002665AC">
        <w:fldChar w:fldCharType="begin"/>
      </w:r>
      <w:r w:rsidR="002665AC">
        <w:instrText xml:space="preserve"> SEQ Table \* ARABIC </w:instrText>
      </w:r>
      <w:r w:rsidR="002665AC">
        <w:fldChar w:fldCharType="separate"/>
      </w:r>
      <w:r w:rsidR="00E05271">
        <w:rPr>
          <w:noProof/>
        </w:rPr>
        <w:t>10</w:t>
      </w:r>
      <w:r w:rsidR="002665AC">
        <w:rPr>
          <w:noProof/>
        </w:rPr>
        <w:fldChar w:fldCharType="end"/>
      </w:r>
      <w:bookmarkEnd w:id="35"/>
      <w:r>
        <w:tab/>
      </w:r>
      <w:r w:rsidR="00CB2414" w:rsidRPr="00154A9C">
        <w:t>Incremental cost of EVAR+EA relative to complex EVAR and open repair in the revision of thoracic aneurysms</w:t>
      </w:r>
      <w:bookmarkEnd w:id="36"/>
    </w:p>
    <w:tbl>
      <w:tblPr>
        <w:tblStyle w:val="TableGrid1"/>
        <w:tblW w:w="5000" w:type="pct"/>
        <w:tblLook w:val="04A0" w:firstRow="1" w:lastRow="0" w:firstColumn="1" w:lastColumn="0" w:noHBand="0" w:noVBand="1"/>
        <w:tblCaption w:val="Table 29"/>
        <w:tblDescription w:val="Incremental cost of EVAR+EA relative to complex EVAR and open repair in the revision of thoracic aneurysms"/>
      </w:tblPr>
      <w:tblGrid>
        <w:gridCol w:w="563"/>
        <w:gridCol w:w="2265"/>
        <w:gridCol w:w="1524"/>
        <w:gridCol w:w="1524"/>
        <w:gridCol w:w="1524"/>
        <w:gridCol w:w="1616"/>
      </w:tblGrid>
      <w:tr w:rsidR="00CB2414" w:rsidRPr="007439DE" w14:paraId="3A0CE33F" w14:textId="77777777" w:rsidTr="00CB2414">
        <w:trPr>
          <w:cnfStyle w:val="100000000000" w:firstRow="1" w:lastRow="0" w:firstColumn="0" w:lastColumn="0" w:oddVBand="0" w:evenVBand="0" w:oddHBand="0" w:evenHBand="0" w:firstRowFirstColumn="0" w:firstRowLastColumn="0" w:lastRowFirstColumn="0" w:lastRowLastColumn="0"/>
          <w:cantSplit/>
          <w:tblHeader/>
        </w:trPr>
        <w:tc>
          <w:tcPr>
            <w:tcW w:w="312" w:type="pct"/>
            <w:tcBorders>
              <w:top w:val="single" w:sz="4" w:space="0" w:color="auto"/>
              <w:bottom w:val="single" w:sz="4" w:space="0" w:color="auto"/>
            </w:tcBorders>
          </w:tcPr>
          <w:p w14:paraId="5C0E85CA" w14:textId="77777777" w:rsidR="00CB2414" w:rsidRPr="007439DE" w:rsidRDefault="00CB2414" w:rsidP="00CB2414">
            <w:pPr>
              <w:pStyle w:val="TableHeading"/>
            </w:pPr>
            <w:r w:rsidRPr="007439DE">
              <w:t>Row</w:t>
            </w:r>
          </w:p>
        </w:tc>
        <w:tc>
          <w:tcPr>
            <w:tcW w:w="1256" w:type="pct"/>
            <w:tcBorders>
              <w:top w:val="single" w:sz="4" w:space="0" w:color="auto"/>
              <w:bottom w:val="single" w:sz="4" w:space="0" w:color="auto"/>
            </w:tcBorders>
          </w:tcPr>
          <w:p w14:paraId="342F8AF9" w14:textId="77777777" w:rsidR="00CB2414" w:rsidRPr="007439DE" w:rsidRDefault="00CB2414" w:rsidP="00CB2414">
            <w:pPr>
              <w:pStyle w:val="TableHeading"/>
            </w:pPr>
            <w:r w:rsidRPr="007439DE">
              <w:t>Cost item</w:t>
            </w:r>
          </w:p>
        </w:tc>
        <w:tc>
          <w:tcPr>
            <w:tcW w:w="845" w:type="pct"/>
            <w:tcBorders>
              <w:bottom w:val="single" w:sz="4" w:space="0" w:color="auto"/>
            </w:tcBorders>
          </w:tcPr>
          <w:p w14:paraId="1EF33E36" w14:textId="77777777" w:rsidR="00CB2414" w:rsidRPr="007439DE" w:rsidRDefault="00CB2414" w:rsidP="00CB2414">
            <w:pPr>
              <w:pStyle w:val="TableHeading"/>
              <w:jc w:val="center"/>
            </w:pPr>
            <w:r w:rsidRPr="007439DE">
              <w:t>T/EVAR +EA</w:t>
            </w:r>
          </w:p>
        </w:tc>
        <w:tc>
          <w:tcPr>
            <w:tcW w:w="845" w:type="pct"/>
            <w:tcBorders>
              <w:bottom w:val="single" w:sz="4" w:space="0" w:color="auto"/>
            </w:tcBorders>
          </w:tcPr>
          <w:p w14:paraId="74A66997" w14:textId="77777777" w:rsidR="00CB2414" w:rsidRPr="007439DE" w:rsidRDefault="00CB2414" w:rsidP="00CB2414">
            <w:pPr>
              <w:pStyle w:val="TableHeading"/>
              <w:jc w:val="center"/>
            </w:pPr>
            <w:r w:rsidRPr="007439DE">
              <w:t>Revision T/EVAR  (CHEVAR)</w:t>
            </w:r>
          </w:p>
        </w:tc>
        <w:tc>
          <w:tcPr>
            <w:tcW w:w="845" w:type="pct"/>
            <w:tcBorders>
              <w:bottom w:val="single" w:sz="4" w:space="0" w:color="auto"/>
            </w:tcBorders>
          </w:tcPr>
          <w:p w14:paraId="2F2DCD1A" w14:textId="77777777" w:rsidR="00CB2414" w:rsidRPr="007439DE" w:rsidRDefault="00CB2414" w:rsidP="00CB2414">
            <w:pPr>
              <w:pStyle w:val="TableHeading"/>
              <w:jc w:val="center"/>
            </w:pPr>
            <w:r w:rsidRPr="007439DE">
              <w:t>Open repair</w:t>
            </w:r>
          </w:p>
        </w:tc>
        <w:tc>
          <w:tcPr>
            <w:tcW w:w="896" w:type="pct"/>
            <w:tcBorders>
              <w:bottom w:val="single" w:sz="4" w:space="0" w:color="auto"/>
            </w:tcBorders>
          </w:tcPr>
          <w:p w14:paraId="0B22330B" w14:textId="77777777" w:rsidR="00CB2414" w:rsidRPr="007439DE" w:rsidRDefault="00CB2414" w:rsidP="00CB2414">
            <w:pPr>
              <w:pStyle w:val="TableHeading"/>
              <w:jc w:val="center"/>
            </w:pPr>
            <w:r w:rsidRPr="007439DE">
              <w:t>Source / calculation</w:t>
            </w:r>
          </w:p>
        </w:tc>
      </w:tr>
      <w:tr w:rsidR="00CB2414" w:rsidRPr="007439DE" w14:paraId="0D07EC7D" w14:textId="77777777" w:rsidTr="00CB2414">
        <w:tc>
          <w:tcPr>
            <w:tcW w:w="312" w:type="pct"/>
            <w:tcBorders>
              <w:bottom w:val="single" w:sz="4" w:space="0" w:color="auto"/>
            </w:tcBorders>
          </w:tcPr>
          <w:p w14:paraId="1B76AED9" w14:textId="77777777" w:rsidR="00CB2414" w:rsidRPr="007439DE" w:rsidRDefault="00CB2414" w:rsidP="00CB2414">
            <w:pPr>
              <w:pStyle w:val="Tabletext"/>
              <w:keepNext/>
            </w:pPr>
            <w:r w:rsidRPr="007439DE">
              <w:t>A</w:t>
            </w:r>
          </w:p>
        </w:tc>
        <w:tc>
          <w:tcPr>
            <w:tcW w:w="1256" w:type="pct"/>
            <w:tcBorders>
              <w:bottom w:val="single" w:sz="4" w:space="0" w:color="auto"/>
            </w:tcBorders>
          </w:tcPr>
          <w:p w14:paraId="331E6ED5" w14:textId="77777777" w:rsidR="00CB2414" w:rsidRPr="007439DE" w:rsidRDefault="00CB2414" w:rsidP="00CB2414">
            <w:pPr>
              <w:pStyle w:val="Tabletext"/>
              <w:keepNext/>
            </w:pPr>
            <w:r w:rsidRPr="007439DE">
              <w:t>Device costs</w:t>
            </w:r>
          </w:p>
        </w:tc>
        <w:tc>
          <w:tcPr>
            <w:tcW w:w="845" w:type="pct"/>
            <w:tcBorders>
              <w:bottom w:val="single" w:sz="4" w:space="0" w:color="auto"/>
            </w:tcBorders>
          </w:tcPr>
          <w:p w14:paraId="318EBD78" w14:textId="6895987F" w:rsidR="00CB2414" w:rsidRPr="007439DE" w:rsidRDefault="00CB2414" w:rsidP="00631979">
            <w:pPr>
              <w:pStyle w:val="Tabletext"/>
              <w:keepNext/>
              <w:jc w:val="center"/>
            </w:pPr>
            <w:r w:rsidRPr="007439DE">
              <w:t>$</w:t>
            </w:r>
            <w:r w:rsidR="00631979" w:rsidRPr="007439DE">
              <w:t>redacted</w:t>
            </w:r>
          </w:p>
        </w:tc>
        <w:tc>
          <w:tcPr>
            <w:tcW w:w="845" w:type="pct"/>
            <w:tcBorders>
              <w:bottom w:val="single" w:sz="4" w:space="0" w:color="auto"/>
            </w:tcBorders>
          </w:tcPr>
          <w:p w14:paraId="4C076123" w14:textId="3CC674C2" w:rsidR="00CB2414" w:rsidRPr="007439DE" w:rsidRDefault="00CB2414" w:rsidP="00631979">
            <w:pPr>
              <w:pStyle w:val="Tabletext"/>
              <w:keepNext/>
              <w:jc w:val="center"/>
            </w:pPr>
            <w:r w:rsidRPr="007439DE">
              <w:t>$</w:t>
            </w:r>
            <w:r w:rsidR="00631979" w:rsidRPr="007439DE">
              <w:t>redacted</w:t>
            </w:r>
          </w:p>
        </w:tc>
        <w:tc>
          <w:tcPr>
            <w:tcW w:w="845" w:type="pct"/>
            <w:tcBorders>
              <w:bottom w:val="single" w:sz="4" w:space="0" w:color="auto"/>
            </w:tcBorders>
          </w:tcPr>
          <w:p w14:paraId="52264C90" w14:textId="7EDD9A5A" w:rsidR="00CB2414" w:rsidRPr="007439DE" w:rsidRDefault="00CB2414" w:rsidP="00631979">
            <w:pPr>
              <w:pStyle w:val="Tabletext"/>
              <w:keepNext/>
              <w:jc w:val="center"/>
            </w:pPr>
            <w:r w:rsidRPr="007439DE">
              <w:t>$</w:t>
            </w:r>
            <w:r w:rsidR="00631979" w:rsidRPr="007439DE">
              <w:t>redacted</w:t>
            </w:r>
          </w:p>
        </w:tc>
        <w:tc>
          <w:tcPr>
            <w:tcW w:w="896" w:type="pct"/>
            <w:tcBorders>
              <w:bottom w:val="single" w:sz="4" w:space="0" w:color="auto"/>
            </w:tcBorders>
          </w:tcPr>
          <w:p w14:paraId="225409C7" w14:textId="77777777" w:rsidR="00CB2414" w:rsidRPr="007439DE" w:rsidRDefault="00CB2414" w:rsidP="00CB2414">
            <w:pPr>
              <w:pStyle w:val="Tabletext"/>
              <w:keepNext/>
              <w:jc w:val="center"/>
            </w:pPr>
            <w:r w:rsidRPr="007439DE">
              <w:t>Table 75</w:t>
            </w:r>
          </w:p>
        </w:tc>
      </w:tr>
      <w:tr w:rsidR="00CB2414" w:rsidRPr="007439DE" w14:paraId="343491F7" w14:textId="77777777" w:rsidTr="00CB2414">
        <w:tc>
          <w:tcPr>
            <w:tcW w:w="312" w:type="pct"/>
            <w:tcBorders>
              <w:right w:val="single" w:sz="4" w:space="0" w:color="auto"/>
            </w:tcBorders>
          </w:tcPr>
          <w:p w14:paraId="04083F0C" w14:textId="77777777" w:rsidR="00CB2414" w:rsidRPr="007439DE" w:rsidRDefault="00CB2414" w:rsidP="00CB2414">
            <w:pPr>
              <w:pStyle w:val="Tabletext"/>
            </w:pPr>
            <w:r w:rsidRPr="007439DE">
              <w:t>B</w:t>
            </w:r>
          </w:p>
        </w:tc>
        <w:tc>
          <w:tcPr>
            <w:tcW w:w="1256" w:type="pct"/>
            <w:tcBorders>
              <w:right w:val="single" w:sz="4" w:space="0" w:color="auto"/>
            </w:tcBorders>
          </w:tcPr>
          <w:p w14:paraId="4B675559" w14:textId="77777777" w:rsidR="00CB2414" w:rsidRPr="007439DE" w:rsidRDefault="00CB2414" w:rsidP="00CB2414">
            <w:pPr>
              <w:pStyle w:val="Tabletext"/>
              <w:rPr>
                <w:b/>
                <w:bCs/>
              </w:rPr>
            </w:pPr>
            <w:r w:rsidRPr="007439DE">
              <w:t>Medical service costs</w:t>
            </w:r>
          </w:p>
        </w:tc>
        <w:tc>
          <w:tcPr>
            <w:tcW w:w="845" w:type="pct"/>
            <w:tcBorders>
              <w:left w:val="single" w:sz="4" w:space="0" w:color="auto"/>
              <w:right w:val="single" w:sz="4" w:space="0" w:color="auto"/>
            </w:tcBorders>
          </w:tcPr>
          <w:p w14:paraId="564214B1" w14:textId="1BC10AE1" w:rsidR="00CB2414" w:rsidRPr="007439DE" w:rsidRDefault="00CB2414" w:rsidP="00631979">
            <w:pPr>
              <w:pStyle w:val="Tabletext"/>
              <w:jc w:val="center"/>
              <w:rPr>
                <w:b/>
                <w:bCs/>
              </w:rPr>
            </w:pPr>
            <w:r w:rsidRPr="007439DE">
              <w:t>$</w:t>
            </w:r>
            <w:r w:rsidR="00631979" w:rsidRPr="007439DE">
              <w:t>redacted</w:t>
            </w:r>
          </w:p>
        </w:tc>
        <w:tc>
          <w:tcPr>
            <w:tcW w:w="845" w:type="pct"/>
            <w:tcBorders>
              <w:left w:val="single" w:sz="4" w:space="0" w:color="auto"/>
            </w:tcBorders>
          </w:tcPr>
          <w:p w14:paraId="4020B094" w14:textId="206687C7" w:rsidR="00CB2414" w:rsidRPr="007439DE" w:rsidRDefault="00CB2414" w:rsidP="00631979">
            <w:pPr>
              <w:pStyle w:val="Tabletext"/>
              <w:jc w:val="center"/>
              <w:rPr>
                <w:b/>
                <w:bCs/>
              </w:rPr>
            </w:pPr>
            <w:r w:rsidRPr="007439DE">
              <w:t>$</w:t>
            </w:r>
            <w:r w:rsidR="00631979" w:rsidRPr="007439DE">
              <w:t>redacted</w:t>
            </w:r>
          </w:p>
        </w:tc>
        <w:tc>
          <w:tcPr>
            <w:tcW w:w="845" w:type="pct"/>
            <w:tcBorders>
              <w:left w:val="single" w:sz="4" w:space="0" w:color="auto"/>
            </w:tcBorders>
          </w:tcPr>
          <w:p w14:paraId="4122F548" w14:textId="74BB7B92" w:rsidR="00CB2414" w:rsidRPr="007439DE" w:rsidRDefault="00CB2414" w:rsidP="00631979">
            <w:pPr>
              <w:pStyle w:val="Tabletext"/>
              <w:jc w:val="center"/>
            </w:pPr>
            <w:r w:rsidRPr="007439DE">
              <w:t>$</w:t>
            </w:r>
            <w:r w:rsidR="00631979" w:rsidRPr="007439DE">
              <w:t>redacted</w:t>
            </w:r>
          </w:p>
        </w:tc>
        <w:tc>
          <w:tcPr>
            <w:tcW w:w="896" w:type="pct"/>
            <w:tcBorders>
              <w:left w:val="single" w:sz="4" w:space="0" w:color="auto"/>
            </w:tcBorders>
          </w:tcPr>
          <w:p w14:paraId="7528AAFD" w14:textId="77777777" w:rsidR="00CB2414" w:rsidRPr="007439DE" w:rsidRDefault="00CB2414" w:rsidP="00CB2414">
            <w:pPr>
              <w:pStyle w:val="Tabletext"/>
              <w:jc w:val="center"/>
            </w:pPr>
            <w:r w:rsidRPr="007439DE">
              <w:t>Table 78</w:t>
            </w:r>
          </w:p>
        </w:tc>
      </w:tr>
      <w:tr w:rsidR="00CB2414" w:rsidRPr="007439DE" w14:paraId="38AA00EE" w14:textId="77777777" w:rsidTr="00CB2414">
        <w:tc>
          <w:tcPr>
            <w:tcW w:w="312" w:type="pct"/>
          </w:tcPr>
          <w:p w14:paraId="5FD0737D" w14:textId="77777777" w:rsidR="00CB2414" w:rsidRPr="007439DE" w:rsidRDefault="00CB2414" w:rsidP="00CB2414">
            <w:pPr>
              <w:pStyle w:val="Tabletext"/>
            </w:pPr>
            <w:r w:rsidRPr="007439DE">
              <w:t>C</w:t>
            </w:r>
          </w:p>
        </w:tc>
        <w:tc>
          <w:tcPr>
            <w:tcW w:w="1256" w:type="pct"/>
          </w:tcPr>
          <w:p w14:paraId="5AEB7C8B" w14:textId="77777777" w:rsidR="00CB2414" w:rsidRPr="007439DE" w:rsidRDefault="00CB2414" w:rsidP="00CB2414">
            <w:pPr>
              <w:pStyle w:val="Tabletext"/>
            </w:pPr>
            <w:r w:rsidRPr="007439DE">
              <w:t>Total costs</w:t>
            </w:r>
          </w:p>
        </w:tc>
        <w:tc>
          <w:tcPr>
            <w:tcW w:w="845" w:type="pct"/>
          </w:tcPr>
          <w:p w14:paraId="1715BD2F" w14:textId="689AC9E3" w:rsidR="00CB2414" w:rsidRPr="007439DE" w:rsidRDefault="00CB2414" w:rsidP="00631979">
            <w:pPr>
              <w:pStyle w:val="Tabletext"/>
              <w:jc w:val="center"/>
            </w:pPr>
            <w:r w:rsidRPr="007439DE">
              <w:t>$</w:t>
            </w:r>
            <w:r w:rsidR="00631979" w:rsidRPr="007439DE">
              <w:t>redacted</w:t>
            </w:r>
          </w:p>
        </w:tc>
        <w:tc>
          <w:tcPr>
            <w:tcW w:w="845" w:type="pct"/>
          </w:tcPr>
          <w:p w14:paraId="38078200" w14:textId="0D667741" w:rsidR="00CB2414" w:rsidRPr="007439DE" w:rsidRDefault="00CB2414" w:rsidP="00631979">
            <w:pPr>
              <w:pStyle w:val="Tabletext"/>
              <w:jc w:val="center"/>
            </w:pPr>
            <w:r w:rsidRPr="007439DE">
              <w:t>$</w:t>
            </w:r>
            <w:r w:rsidR="00631979" w:rsidRPr="007439DE">
              <w:t>redacted</w:t>
            </w:r>
          </w:p>
        </w:tc>
        <w:tc>
          <w:tcPr>
            <w:tcW w:w="845" w:type="pct"/>
          </w:tcPr>
          <w:p w14:paraId="1313103F" w14:textId="2107AA8A" w:rsidR="00CB2414" w:rsidRPr="007439DE" w:rsidRDefault="00CB2414" w:rsidP="00631979">
            <w:pPr>
              <w:pStyle w:val="Tabletext"/>
              <w:jc w:val="center"/>
            </w:pPr>
            <w:r w:rsidRPr="007439DE">
              <w:t>$</w:t>
            </w:r>
            <w:r w:rsidR="00631979" w:rsidRPr="007439DE">
              <w:t>redacted</w:t>
            </w:r>
          </w:p>
        </w:tc>
        <w:tc>
          <w:tcPr>
            <w:tcW w:w="896" w:type="pct"/>
          </w:tcPr>
          <w:p w14:paraId="5D62F6FC" w14:textId="77777777" w:rsidR="00CB2414" w:rsidRPr="007439DE" w:rsidRDefault="00CB2414" w:rsidP="00CB2414">
            <w:pPr>
              <w:pStyle w:val="Tabletext"/>
              <w:jc w:val="center"/>
            </w:pPr>
            <w:r w:rsidRPr="007439DE">
              <w:t>A+B</w:t>
            </w:r>
          </w:p>
        </w:tc>
      </w:tr>
      <w:tr w:rsidR="00CB2414" w:rsidRPr="00631979" w14:paraId="3A1E2D35" w14:textId="77777777" w:rsidTr="00CB2414">
        <w:tc>
          <w:tcPr>
            <w:tcW w:w="312" w:type="pct"/>
          </w:tcPr>
          <w:p w14:paraId="6CF28D10" w14:textId="77777777" w:rsidR="00CB2414" w:rsidRPr="007439DE" w:rsidRDefault="00CB2414" w:rsidP="00CB2414">
            <w:pPr>
              <w:pStyle w:val="Tabletext"/>
              <w:rPr>
                <w:b/>
                <w:bCs/>
              </w:rPr>
            </w:pPr>
            <w:r w:rsidRPr="007439DE">
              <w:rPr>
                <w:b/>
                <w:bCs/>
              </w:rPr>
              <w:t>D</w:t>
            </w:r>
          </w:p>
        </w:tc>
        <w:tc>
          <w:tcPr>
            <w:tcW w:w="1256" w:type="pct"/>
          </w:tcPr>
          <w:p w14:paraId="301AA084" w14:textId="77777777" w:rsidR="00CB2414" w:rsidRPr="007439DE" w:rsidRDefault="00CB2414" w:rsidP="00CB2414">
            <w:pPr>
              <w:pStyle w:val="Tabletext"/>
              <w:rPr>
                <w:b/>
                <w:bCs/>
              </w:rPr>
            </w:pPr>
            <w:r w:rsidRPr="007439DE">
              <w:rPr>
                <w:b/>
                <w:bCs/>
              </w:rPr>
              <w:t>Incremental cost of T/EVAR +EA</w:t>
            </w:r>
            <w:r w:rsidRPr="007439DE">
              <w:rPr>
                <w:b/>
                <w:bCs/>
              </w:rPr>
              <w:br/>
              <w:t>(relative to comparator)</w:t>
            </w:r>
          </w:p>
        </w:tc>
        <w:tc>
          <w:tcPr>
            <w:tcW w:w="845" w:type="pct"/>
          </w:tcPr>
          <w:p w14:paraId="088CAB9E" w14:textId="77777777" w:rsidR="00CB2414" w:rsidRPr="007439DE" w:rsidRDefault="00CB2414" w:rsidP="00CB2414">
            <w:pPr>
              <w:pStyle w:val="Tabletext"/>
              <w:jc w:val="center"/>
              <w:rPr>
                <w:b/>
                <w:bCs/>
              </w:rPr>
            </w:pPr>
            <w:r w:rsidRPr="007439DE">
              <w:rPr>
                <w:b/>
                <w:bCs/>
              </w:rPr>
              <w:t>-</w:t>
            </w:r>
          </w:p>
        </w:tc>
        <w:tc>
          <w:tcPr>
            <w:tcW w:w="845" w:type="pct"/>
          </w:tcPr>
          <w:p w14:paraId="17A080B4" w14:textId="40068CA3" w:rsidR="00CB2414" w:rsidRPr="007439DE" w:rsidRDefault="00CB2414" w:rsidP="00631979">
            <w:pPr>
              <w:pStyle w:val="Tabletext"/>
              <w:jc w:val="center"/>
              <w:rPr>
                <w:b/>
                <w:bCs/>
              </w:rPr>
            </w:pPr>
            <w:r w:rsidRPr="007439DE">
              <w:rPr>
                <w:b/>
                <w:bCs/>
              </w:rPr>
              <w:t>$</w:t>
            </w:r>
            <w:r w:rsidR="00631979" w:rsidRPr="007439DE">
              <w:rPr>
                <w:b/>
                <w:bCs/>
              </w:rPr>
              <w:t>redacted</w:t>
            </w:r>
          </w:p>
        </w:tc>
        <w:tc>
          <w:tcPr>
            <w:tcW w:w="845" w:type="pct"/>
          </w:tcPr>
          <w:p w14:paraId="037624A1" w14:textId="3E80DC90" w:rsidR="00CB2414" w:rsidRPr="007439DE" w:rsidRDefault="00CB2414" w:rsidP="00631979">
            <w:pPr>
              <w:pStyle w:val="Tabletext"/>
              <w:jc w:val="center"/>
              <w:rPr>
                <w:b/>
                <w:bCs/>
              </w:rPr>
            </w:pPr>
            <w:r w:rsidRPr="007439DE">
              <w:rPr>
                <w:b/>
                <w:bCs/>
              </w:rPr>
              <w:t>$</w:t>
            </w:r>
            <w:r w:rsidR="00631979" w:rsidRPr="007439DE">
              <w:rPr>
                <w:b/>
                <w:bCs/>
              </w:rPr>
              <w:t>redacted</w:t>
            </w:r>
          </w:p>
        </w:tc>
        <w:tc>
          <w:tcPr>
            <w:tcW w:w="896" w:type="pct"/>
          </w:tcPr>
          <w:p w14:paraId="6667E08B" w14:textId="2B6F2589" w:rsidR="00CB2414" w:rsidRPr="007439DE" w:rsidRDefault="00CB2414" w:rsidP="00631979">
            <w:pPr>
              <w:pStyle w:val="Tabletext"/>
              <w:jc w:val="center"/>
              <w:rPr>
                <w:b/>
                <w:bCs/>
              </w:rPr>
            </w:pPr>
            <w:r w:rsidRPr="007439DE">
              <w:rPr>
                <w:b/>
                <w:bCs/>
              </w:rPr>
              <w:t>$</w:t>
            </w:r>
            <w:r w:rsidR="00631979" w:rsidRPr="007439DE">
              <w:rPr>
                <w:b/>
                <w:bCs/>
              </w:rPr>
              <w:t>redacted</w:t>
            </w:r>
            <w:r w:rsidRPr="007439DE">
              <w:rPr>
                <w:b/>
                <w:bCs/>
              </w:rPr>
              <w:t xml:space="preserve"> – C</w:t>
            </w:r>
          </w:p>
        </w:tc>
      </w:tr>
    </w:tbl>
    <w:p w14:paraId="32B915A2" w14:textId="77777777" w:rsidR="00CB2414" w:rsidRPr="00154A9C" w:rsidRDefault="00CB2414" w:rsidP="00CB2414">
      <w:pPr>
        <w:rPr>
          <w:rFonts w:ascii="Arial Narrow" w:hAnsi="Arial Narrow" w:cs="Arial"/>
          <w:snapToGrid w:val="0"/>
          <w:sz w:val="18"/>
          <w:lang w:eastAsia="en-US"/>
        </w:rPr>
      </w:pPr>
      <w:r w:rsidRPr="00154A9C">
        <w:rPr>
          <w:rFonts w:ascii="Arial Narrow" w:hAnsi="Arial Narrow" w:cs="Arial"/>
          <w:snapToGrid w:val="0"/>
          <w:sz w:val="18"/>
          <w:lang w:eastAsia="en-US"/>
        </w:rPr>
        <w:t>CHEVAR=Chimney endovascular aneurysm repair; EA=EndoAnchor; T/EVAR=Thoracic endovascular aneurysm repair</w:t>
      </w:r>
    </w:p>
    <w:p w14:paraId="017FB75B" w14:textId="77777777" w:rsidR="00CB2414" w:rsidRPr="00154A9C" w:rsidRDefault="00CB2414" w:rsidP="00CB2414">
      <w:pPr>
        <w:rPr>
          <w:lang w:eastAsia="en-US"/>
        </w:rPr>
      </w:pPr>
      <w:r w:rsidRPr="00154A9C">
        <w:rPr>
          <w:rFonts w:ascii="Arial Narrow" w:hAnsi="Arial Narrow" w:cs="Arial"/>
          <w:snapToGrid w:val="0"/>
          <w:sz w:val="18"/>
          <w:lang w:eastAsia="en-US"/>
        </w:rPr>
        <w:t xml:space="preserve">Source: Table 82, p209 of ADAR </w:t>
      </w:r>
    </w:p>
    <w:p w14:paraId="1BA9C6D2" w14:textId="127AB5DD" w:rsidR="00CB2414" w:rsidRDefault="00CB2414" w:rsidP="00CB2414">
      <w:pPr>
        <w:spacing w:before="200"/>
      </w:pPr>
      <w:r w:rsidRPr="00154A9C">
        <w:t>The commentary noted that</w:t>
      </w:r>
      <w:r w:rsidRPr="00154A9C">
        <w:rPr>
          <w:i/>
        </w:rPr>
        <w:t xml:space="preserve">, </w:t>
      </w:r>
      <w:r w:rsidRPr="00154A9C">
        <w:t xml:space="preserve">the cost of open repair does not account for hospital costs, or PBS costs (such as antibiotics), as these patients would be expected to stay in hospital for a longer period compared with EVAR+EA, due to the more invasive nature of the repair surgery. The main assumptions driving this cost-minimisation </w:t>
      </w:r>
      <w:r>
        <w:t xml:space="preserve">approach </w:t>
      </w:r>
      <w:r w:rsidRPr="00154A9C">
        <w:t xml:space="preserve">is the cost of the fenestrated graft, and whether a </w:t>
      </w:r>
      <w:r w:rsidRPr="007439DE">
        <w:t>cost of $</w:t>
      </w:r>
      <w:r w:rsidR="00631979" w:rsidRPr="007439DE">
        <w:rPr>
          <w:b/>
        </w:rPr>
        <w:t>redacted</w:t>
      </w:r>
      <w:r w:rsidRPr="00BA280D">
        <w:t xml:space="preserve"> </w:t>
      </w:r>
      <w:r w:rsidRPr="00154A9C">
        <w:t>is justified.</w:t>
      </w:r>
    </w:p>
    <w:p w14:paraId="56BE1B93" w14:textId="109E5D3B" w:rsidR="00CB2414" w:rsidRPr="00965A7E" w:rsidRDefault="008C548B" w:rsidP="00965A7E">
      <w:pPr>
        <w:spacing w:before="200"/>
        <w:rPr>
          <w:i/>
        </w:rPr>
      </w:pPr>
      <w:r>
        <w:t xml:space="preserve">In the pre-MSAC response, the applicant </w:t>
      </w:r>
      <w:r w:rsidRPr="008C548B">
        <w:t xml:space="preserve">acknowledged that hospital costs associated with open repair relative to complex endovascular procedures are likely underestimated. However, </w:t>
      </w:r>
      <w:r w:rsidR="00CB5E3D">
        <w:t xml:space="preserve">the applicant claimed </w:t>
      </w:r>
      <w:r w:rsidRPr="008C548B">
        <w:t xml:space="preserve">there is limited evidence regarding the difference in length of stay between EA+T/EVAR and open repair for revision of T/EVAR. Therefore, </w:t>
      </w:r>
      <w:r>
        <w:t xml:space="preserve">the applicant claimed </w:t>
      </w:r>
      <w:r w:rsidRPr="008C548B">
        <w:t>a conservative approach was taken in the ADAR in which hospitalisation costs were excluded from the analysis.</w:t>
      </w:r>
    </w:p>
    <w:p w14:paraId="42453F10" w14:textId="2093B8D1" w:rsidR="00CB2414" w:rsidRPr="00965A7E" w:rsidRDefault="00CB2414" w:rsidP="00965A7E">
      <w:pPr>
        <w:spacing w:before="240"/>
        <w:rPr>
          <w:lang w:eastAsia="en-US"/>
        </w:rPr>
      </w:pPr>
      <w:r w:rsidRPr="00154A9C">
        <w:t xml:space="preserve">No sensitivity analyses were provided. The economic evaluation is a simple cost comparison including device costs and medical service costs. The key driver of comparative cost results is device use. The ADAR acknowledged </w:t>
      </w:r>
      <w:r>
        <w:t xml:space="preserve">the current use of comparator </w:t>
      </w:r>
      <w:r w:rsidRPr="00154A9C">
        <w:t>device</w:t>
      </w:r>
      <w:r>
        <w:t>s</w:t>
      </w:r>
      <w:r w:rsidRPr="00154A9C">
        <w:t xml:space="preserve"> </w:t>
      </w:r>
      <w:r>
        <w:t xml:space="preserve">in </w:t>
      </w:r>
      <w:r w:rsidRPr="00154A9C">
        <w:t xml:space="preserve">each procedure is heterogenous and therefore uncertain. However, </w:t>
      </w:r>
      <w:r>
        <w:t xml:space="preserve">the applicant contends that the comparator </w:t>
      </w:r>
      <w:r w:rsidRPr="00154A9C">
        <w:t xml:space="preserve">device </w:t>
      </w:r>
      <w:r>
        <w:t>estimates</w:t>
      </w:r>
      <w:r w:rsidRPr="00154A9C">
        <w:t xml:space="preserve"> applied in the base case of the cost comparison reflects best available evidence.</w:t>
      </w:r>
      <w:bookmarkEnd w:id="29"/>
      <w:bookmarkEnd w:id="30"/>
    </w:p>
    <w:p w14:paraId="59087393" w14:textId="4964BAC5" w:rsidR="00CB2414" w:rsidRPr="00154A9C" w:rsidRDefault="00CB2414" w:rsidP="007439DE">
      <w:pPr>
        <w:tabs>
          <w:tab w:val="left" w:pos="720"/>
        </w:tabs>
        <w:spacing w:before="240"/>
      </w:pPr>
      <w:r w:rsidRPr="00154A9C">
        <w:t xml:space="preserve">In the pre-ESC response, the applicant highlighted that the analysis assumed wastage as stipulated in Section D.4.1 of the ADAR, with the number of packs of EndoAnchors </w:t>
      </w:r>
      <w:r w:rsidRPr="00154A9C">
        <w:lastRenderedPageBreak/>
        <w:t>estimated per procedure exceeding one across all populations. Should it be considered reasonable to assume no wastage, then the conducted analysis is conservative (i.e. overestimates the cost of helical anchors). The applicant stated wastage was accounted for in the analysis based on advice from clinicians that any remaining EndoAnchors in a pack will be discarded and as such will not be</w:t>
      </w:r>
      <w:r w:rsidR="00965A7E">
        <w:t xml:space="preserve"> used for the next patient. </w:t>
      </w:r>
    </w:p>
    <w:p w14:paraId="1920BCA0" w14:textId="28D995E8" w:rsidR="00003726" w:rsidRDefault="00CB2414" w:rsidP="00965A7E">
      <w:pPr>
        <w:tabs>
          <w:tab w:val="left" w:pos="720"/>
        </w:tabs>
        <w:spacing w:before="240"/>
      </w:pPr>
      <w:r w:rsidRPr="00154A9C">
        <w:t xml:space="preserve">The applicant agreed the underlying question for the economic evaluation is whether the clinical claim is upheld and reiterated that the ADAR presented data that supports non-inferiority of EVAR+EA versus its comparators. From this, the ADAR concluded that a clinical claim of non-inferiority is reasonable, and </w:t>
      </w:r>
      <w:r>
        <w:t>that a</w:t>
      </w:r>
      <w:r w:rsidRPr="00154A9C">
        <w:t xml:space="preserve"> cost-minimisation </w:t>
      </w:r>
      <w:r>
        <w:t xml:space="preserve">approach to the economic </w:t>
      </w:r>
      <w:r w:rsidRPr="00154A9C">
        <w:t>analysis is appropriate.</w:t>
      </w:r>
    </w:p>
    <w:p w14:paraId="1350D2DC" w14:textId="370910C8" w:rsidR="00003726" w:rsidRDefault="00003726" w:rsidP="00965A7E">
      <w:pPr>
        <w:tabs>
          <w:tab w:val="left" w:pos="720"/>
        </w:tabs>
        <w:spacing w:before="240"/>
      </w:pPr>
      <w:r>
        <w:t xml:space="preserve">In the pre-MSAC response, the applicant reiterated their claim that the proportions of use across the different settings are uncertain as current MBS items do not differentiate between T/EVAR procedures (i.e. standard T/, FEVAR or CHEVAR) or treatment setting (i.e. primary or revision). The applicant attempted to estimate the proportions of used based on </w:t>
      </w:r>
      <w:r w:rsidR="005D518B">
        <w:t xml:space="preserve">an </w:t>
      </w:r>
      <w:r>
        <w:t xml:space="preserve">estimated </w:t>
      </w:r>
      <w:r w:rsidR="00723317" w:rsidRPr="00723317">
        <w:rPr>
          <w:b/>
        </w:rPr>
        <w:t>redacted</w:t>
      </w:r>
      <w:r w:rsidR="00723317">
        <w:t xml:space="preserve"> </w:t>
      </w:r>
      <w:r>
        <w:t xml:space="preserve">complex EVAR procedures and </w:t>
      </w:r>
      <w:r w:rsidR="00723317" w:rsidRPr="00723317">
        <w:rPr>
          <w:b/>
        </w:rPr>
        <w:t>redacted</w:t>
      </w:r>
      <w:r w:rsidR="00723317">
        <w:t xml:space="preserve"> </w:t>
      </w:r>
      <w:r>
        <w:t>complex TEVAR p</w:t>
      </w:r>
      <w:r w:rsidR="005D518B">
        <w:t>rocedures occ</w:t>
      </w:r>
      <w:r w:rsidR="00F760DC">
        <w:t>ur</w:t>
      </w:r>
      <w:r w:rsidR="005D518B">
        <w:t>ring</w:t>
      </w:r>
      <w:r>
        <w:t xml:space="preserve"> in Year 1 (based on ADAR Table 95 pg. 223). Reintervention rates for primary complex T/EVAR procedures varied between 0 and 15% across EA+T/EVAR and complex T/EVAR studies included in Section B of the ADAR (ADAR Figures 23 pg. 155). Assuming a re</w:t>
      </w:r>
      <w:r w:rsidR="005D518B">
        <w:t>intervention rate of 7.5%, the applicant</w:t>
      </w:r>
      <w:r>
        <w:t xml:space="preserve"> estimated </w:t>
      </w:r>
      <w:r w:rsidR="00723317" w:rsidRPr="00F31BCD">
        <w:rPr>
          <w:b/>
        </w:rPr>
        <w:t>redacted</w:t>
      </w:r>
      <w:r>
        <w:t xml:space="preserve"> primary and </w:t>
      </w:r>
      <w:r w:rsidR="00723317" w:rsidRPr="00F31BCD">
        <w:rPr>
          <w:b/>
        </w:rPr>
        <w:t>redacted</w:t>
      </w:r>
      <w:r>
        <w:t xml:space="preserve"> revision complex EVAR procedures, and </w:t>
      </w:r>
      <w:r w:rsidR="00723317" w:rsidRPr="00F31BCD">
        <w:rPr>
          <w:b/>
        </w:rPr>
        <w:t>redacted</w:t>
      </w:r>
      <w:r>
        <w:t xml:space="preserve"> primary and </w:t>
      </w:r>
      <w:r w:rsidR="00723317" w:rsidRPr="00F31BCD">
        <w:rPr>
          <w:b/>
        </w:rPr>
        <w:t>redacted</w:t>
      </w:r>
      <w:r>
        <w:t xml:space="preserve"> revision complex TEVAR procedures will be performed in Year 1. As a result, it is estimated Population 1a accounts for 90.9% (</w:t>
      </w:r>
      <w:r w:rsidR="00723317" w:rsidRPr="00F31BCD">
        <w:rPr>
          <w:b/>
        </w:rPr>
        <w:t>redacted</w:t>
      </w:r>
      <w:r>
        <w:t>), Population 1b for 1.8% (</w:t>
      </w:r>
      <w:r w:rsidR="00723317" w:rsidRPr="00F31BCD">
        <w:rPr>
          <w:b/>
        </w:rPr>
        <w:t>redacted</w:t>
      </w:r>
      <w:r>
        <w:t>), Population 2a for 6.9% (</w:t>
      </w:r>
      <w:r w:rsidR="00723317" w:rsidRPr="00F31BCD">
        <w:rPr>
          <w:b/>
        </w:rPr>
        <w:t>redacted</w:t>
      </w:r>
      <w:r>
        <w:t>) and Population 2b for 0.4% (</w:t>
      </w:r>
      <w:r w:rsidR="00723317" w:rsidRPr="00F31BCD">
        <w:rPr>
          <w:b/>
        </w:rPr>
        <w:t>redacted</w:t>
      </w:r>
      <w:r>
        <w:t xml:space="preserve">) of all complex T/EVAR procedures. The applicant then applied this distribution to the results of the cost comparison presented in the ADAR (pg. 208-209) and claimed this results in an incremental cost </w:t>
      </w:r>
      <w:r w:rsidRPr="007439DE">
        <w:t>savings of $</w:t>
      </w:r>
      <w:r w:rsidR="00D66655" w:rsidRPr="007439DE">
        <w:rPr>
          <w:b/>
        </w:rPr>
        <w:t>redacted</w:t>
      </w:r>
      <w:r>
        <w:t xml:space="preserve"> for EA+T/EVAR versus complex T/EVAR, as presented below in</w:t>
      </w:r>
      <w:r w:rsidR="00E05271">
        <w:t xml:space="preserve"> </w:t>
      </w:r>
      <w:r w:rsidR="00E05271">
        <w:fldChar w:fldCharType="begin"/>
      </w:r>
      <w:r w:rsidR="00E05271">
        <w:instrText xml:space="preserve"> REF _Ref43985563 \h </w:instrText>
      </w:r>
      <w:r w:rsidR="00E05271">
        <w:fldChar w:fldCharType="separate"/>
      </w:r>
      <w:r w:rsidR="00E05271">
        <w:t xml:space="preserve">Table </w:t>
      </w:r>
      <w:r w:rsidR="00E05271">
        <w:rPr>
          <w:noProof/>
        </w:rPr>
        <w:t>11</w:t>
      </w:r>
      <w:r w:rsidR="00E05271">
        <w:fldChar w:fldCharType="end"/>
      </w:r>
      <w:r w:rsidR="00965A7E">
        <w:t>.</w:t>
      </w:r>
    </w:p>
    <w:p w14:paraId="1EB60A3B" w14:textId="652AA539" w:rsidR="00003726" w:rsidRDefault="00E05271" w:rsidP="00E05271">
      <w:pPr>
        <w:pStyle w:val="Style1"/>
        <w:spacing w:before="240"/>
      </w:pPr>
      <w:bookmarkStart w:id="37" w:name="_Ref43985563"/>
      <w:r>
        <w:t xml:space="preserve">Table </w:t>
      </w:r>
      <w:r w:rsidR="002665AC">
        <w:fldChar w:fldCharType="begin"/>
      </w:r>
      <w:r w:rsidR="002665AC">
        <w:instrText xml:space="preserve"> SEQ Table \* ARABIC </w:instrText>
      </w:r>
      <w:r w:rsidR="002665AC">
        <w:fldChar w:fldCharType="separate"/>
      </w:r>
      <w:r>
        <w:rPr>
          <w:noProof/>
        </w:rPr>
        <w:t>11</w:t>
      </w:r>
      <w:r w:rsidR="002665AC">
        <w:rPr>
          <w:noProof/>
        </w:rPr>
        <w:fldChar w:fldCharType="end"/>
      </w:r>
      <w:bookmarkEnd w:id="37"/>
      <w:r>
        <w:tab/>
      </w:r>
      <w:r w:rsidR="00003726">
        <w:t>Weighted average cost comparison across the four populations included in the ADAR</w:t>
      </w:r>
    </w:p>
    <w:tbl>
      <w:tblPr>
        <w:tblStyle w:val="TableGrid"/>
        <w:tblW w:w="5000" w:type="pct"/>
        <w:tblLook w:val="04A0" w:firstRow="1" w:lastRow="0" w:firstColumn="1" w:lastColumn="0" w:noHBand="0" w:noVBand="1"/>
        <w:tblDescription w:val="Weighted average cost comparison across the four populations included in the ADAR"/>
      </w:tblPr>
      <w:tblGrid>
        <w:gridCol w:w="563"/>
        <w:gridCol w:w="1813"/>
        <w:gridCol w:w="1055"/>
        <w:gridCol w:w="1065"/>
        <w:gridCol w:w="1065"/>
        <w:gridCol w:w="1065"/>
        <w:gridCol w:w="1066"/>
        <w:gridCol w:w="1324"/>
      </w:tblGrid>
      <w:tr w:rsidR="004F23C4" w:rsidRPr="007439DE" w14:paraId="75438362" w14:textId="77777777" w:rsidTr="00890A2A">
        <w:trPr>
          <w:tblHeader/>
        </w:trPr>
        <w:tc>
          <w:tcPr>
            <w:tcW w:w="279" w:type="pct"/>
          </w:tcPr>
          <w:p w14:paraId="48B337C6" w14:textId="77777777" w:rsidR="00003726" w:rsidRPr="007439DE" w:rsidRDefault="00003726" w:rsidP="002874EA">
            <w:pPr>
              <w:pStyle w:val="Tabletext"/>
              <w:rPr>
                <w:b/>
                <w:bCs/>
              </w:rPr>
            </w:pPr>
            <w:r w:rsidRPr="007439DE">
              <w:rPr>
                <w:b/>
              </w:rPr>
              <w:t>Row</w:t>
            </w:r>
          </w:p>
        </w:tc>
        <w:tc>
          <w:tcPr>
            <w:tcW w:w="1027" w:type="pct"/>
          </w:tcPr>
          <w:p w14:paraId="1E6F8591" w14:textId="77777777" w:rsidR="00003726" w:rsidRPr="007439DE" w:rsidRDefault="00003726" w:rsidP="002874EA">
            <w:pPr>
              <w:pStyle w:val="Tabletext"/>
              <w:rPr>
                <w:b/>
                <w:bCs/>
              </w:rPr>
            </w:pPr>
            <w:r w:rsidRPr="007439DE">
              <w:rPr>
                <w:b/>
              </w:rPr>
              <w:t>Cost item</w:t>
            </w:r>
          </w:p>
        </w:tc>
        <w:tc>
          <w:tcPr>
            <w:tcW w:w="489" w:type="pct"/>
          </w:tcPr>
          <w:p w14:paraId="3763CEF6" w14:textId="77777777" w:rsidR="00003726" w:rsidRPr="007439DE" w:rsidRDefault="00003726" w:rsidP="002874EA">
            <w:pPr>
              <w:pStyle w:val="Tabletext"/>
              <w:rPr>
                <w:b/>
                <w:bCs/>
              </w:rPr>
            </w:pPr>
            <w:r w:rsidRPr="007439DE">
              <w:rPr>
                <w:b/>
              </w:rPr>
              <w:t>Proportion</w:t>
            </w:r>
          </w:p>
        </w:tc>
        <w:tc>
          <w:tcPr>
            <w:tcW w:w="612" w:type="pct"/>
          </w:tcPr>
          <w:p w14:paraId="0B07918E" w14:textId="77777777" w:rsidR="00003726" w:rsidRPr="007439DE" w:rsidRDefault="00003726" w:rsidP="002874EA">
            <w:pPr>
              <w:pStyle w:val="Tabletext"/>
              <w:rPr>
                <w:b/>
                <w:bCs/>
              </w:rPr>
            </w:pPr>
            <w:r w:rsidRPr="007439DE">
              <w:rPr>
                <w:b/>
              </w:rPr>
              <w:t>EVAR+EA</w:t>
            </w:r>
          </w:p>
        </w:tc>
        <w:tc>
          <w:tcPr>
            <w:tcW w:w="612" w:type="pct"/>
          </w:tcPr>
          <w:p w14:paraId="3C67B46D" w14:textId="77777777" w:rsidR="00003726" w:rsidRPr="007439DE" w:rsidRDefault="00003726" w:rsidP="002874EA">
            <w:pPr>
              <w:pStyle w:val="Tabletext"/>
              <w:rPr>
                <w:b/>
                <w:bCs/>
              </w:rPr>
            </w:pPr>
            <w:r w:rsidRPr="007439DE">
              <w:rPr>
                <w:b/>
              </w:rPr>
              <w:t xml:space="preserve">Complex EVAR </w:t>
            </w:r>
            <w:r w:rsidRPr="007439DE">
              <w:rPr>
                <w:b/>
                <w:vertAlign w:val="superscript"/>
              </w:rPr>
              <w:t>a</w:t>
            </w:r>
          </w:p>
        </w:tc>
        <w:tc>
          <w:tcPr>
            <w:tcW w:w="612" w:type="pct"/>
          </w:tcPr>
          <w:p w14:paraId="71818A25" w14:textId="77777777" w:rsidR="00003726" w:rsidRPr="007439DE" w:rsidRDefault="00003726" w:rsidP="002874EA">
            <w:pPr>
              <w:pStyle w:val="Tabletext"/>
              <w:rPr>
                <w:b/>
                <w:bCs/>
              </w:rPr>
            </w:pPr>
            <w:r w:rsidRPr="007439DE">
              <w:rPr>
                <w:b/>
              </w:rPr>
              <w:t>FEVAR</w:t>
            </w:r>
          </w:p>
        </w:tc>
        <w:tc>
          <w:tcPr>
            <w:tcW w:w="613" w:type="pct"/>
          </w:tcPr>
          <w:p w14:paraId="119D9166" w14:textId="77777777" w:rsidR="00003726" w:rsidRPr="007439DE" w:rsidRDefault="00003726" w:rsidP="002874EA">
            <w:pPr>
              <w:pStyle w:val="Tabletext"/>
              <w:rPr>
                <w:b/>
                <w:bCs/>
              </w:rPr>
            </w:pPr>
            <w:r w:rsidRPr="007439DE">
              <w:rPr>
                <w:b/>
              </w:rPr>
              <w:t>CHEVAR</w:t>
            </w:r>
          </w:p>
        </w:tc>
        <w:tc>
          <w:tcPr>
            <w:tcW w:w="756" w:type="pct"/>
          </w:tcPr>
          <w:p w14:paraId="64DFB584" w14:textId="77777777" w:rsidR="00003726" w:rsidRPr="007439DE" w:rsidRDefault="00003726" w:rsidP="002874EA">
            <w:pPr>
              <w:pStyle w:val="Tabletext"/>
              <w:rPr>
                <w:b/>
                <w:bCs/>
              </w:rPr>
            </w:pPr>
            <w:r w:rsidRPr="007439DE">
              <w:rPr>
                <w:b/>
              </w:rPr>
              <w:t>Source / calculation</w:t>
            </w:r>
          </w:p>
        </w:tc>
      </w:tr>
      <w:tr w:rsidR="004F23C4" w:rsidRPr="007439DE" w14:paraId="3CCBD9EE" w14:textId="77777777" w:rsidTr="002874EA">
        <w:tc>
          <w:tcPr>
            <w:tcW w:w="279" w:type="pct"/>
          </w:tcPr>
          <w:p w14:paraId="3A143F29" w14:textId="77777777" w:rsidR="00003726" w:rsidRPr="007439DE" w:rsidRDefault="00003726" w:rsidP="002874EA">
            <w:pPr>
              <w:pStyle w:val="Tabletext"/>
            </w:pPr>
            <w:r w:rsidRPr="007439DE">
              <w:t>A</w:t>
            </w:r>
          </w:p>
        </w:tc>
        <w:tc>
          <w:tcPr>
            <w:tcW w:w="1027" w:type="pct"/>
          </w:tcPr>
          <w:p w14:paraId="35C7EBC6" w14:textId="77777777" w:rsidR="00003726" w:rsidRPr="007439DE" w:rsidRDefault="00003726" w:rsidP="002874EA">
            <w:pPr>
              <w:pStyle w:val="Tabletext"/>
            </w:pPr>
            <w:r w:rsidRPr="007439DE">
              <w:t>Population 1a</w:t>
            </w:r>
          </w:p>
        </w:tc>
        <w:tc>
          <w:tcPr>
            <w:tcW w:w="489" w:type="pct"/>
          </w:tcPr>
          <w:p w14:paraId="51ACE9A3" w14:textId="77777777" w:rsidR="00003726" w:rsidRPr="007439DE" w:rsidRDefault="00003726" w:rsidP="002874EA">
            <w:pPr>
              <w:pStyle w:val="Tabletext"/>
            </w:pPr>
            <w:r w:rsidRPr="007439DE">
              <w:t>90.9%</w:t>
            </w:r>
          </w:p>
        </w:tc>
        <w:tc>
          <w:tcPr>
            <w:tcW w:w="612" w:type="pct"/>
          </w:tcPr>
          <w:p w14:paraId="718C02D4" w14:textId="7862C62A" w:rsidR="00003726" w:rsidRPr="007439DE" w:rsidRDefault="00003726" w:rsidP="00D66655">
            <w:pPr>
              <w:pStyle w:val="Tabletext"/>
            </w:pPr>
            <w:r w:rsidRPr="007439DE">
              <w:t>$</w:t>
            </w:r>
            <w:r w:rsidR="00D66655" w:rsidRPr="007439DE">
              <w:t>redacted</w:t>
            </w:r>
          </w:p>
        </w:tc>
        <w:tc>
          <w:tcPr>
            <w:tcW w:w="612" w:type="pct"/>
          </w:tcPr>
          <w:p w14:paraId="23557F72" w14:textId="38B3CE9C" w:rsidR="00003726" w:rsidRPr="007439DE" w:rsidRDefault="00003726" w:rsidP="00D66655">
            <w:pPr>
              <w:pStyle w:val="Tabletext"/>
            </w:pPr>
            <w:r w:rsidRPr="007439DE">
              <w:t>$</w:t>
            </w:r>
            <w:r w:rsidR="00D66655" w:rsidRPr="007439DE">
              <w:t>redacted</w:t>
            </w:r>
          </w:p>
        </w:tc>
        <w:tc>
          <w:tcPr>
            <w:tcW w:w="612" w:type="pct"/>
          </w:tcPr>
          <w:p w14:paraId="2206F8C8" w14:textId="3A5DF2CE" w:rsidR="00003726" w:rsidRPr="007439DE" w:rsidRDefault="00003726" w:rsidP="004F23C4">
            <w:pPr>
              <w:pStyle w:val="Tabletext"/>
            </w:pPr>
            <w:r w:rsidRPr="007439DE">
              <w:t>$</w:t>
            </w:r>
            <w:r w:rsidR="004F23C4" w:rsidRPr="007439DE">
              <w:t>redacted</w:t>
            </w:r>
          </w:p>
        </w:tc>
        <w:tc>
          <w:tcPr>
            <w:tcW w:w="613" w:type="pct"/>
          </w:tcPr>
          <w:p w14:paraId="0082C543" w14:textId="64369C83" w:rsidR="00003726" w:rsidRPr="007439DE" w:rsidRDefault="00003726" w:rsidP="004F23C4">
            <w:pPr>
              <w:pStyle w:val="Tabletext"/>
            </w:pPr>
            <w:r w:rsidRPr="007439DE">
              <w:t>$</w:t>
            </w:r>
            <w:r w:rsidR="004F23C4" w:rsidRPr="007439DE">
              <w:t>redacted</w:t>
            </w:r>
          </w:p>
        </w:tc>
        <w:tc>
          <w:tcPr>
            <w:tcW w:w="756" w:type="pct"/>
          </w:tcPr>
          <w:p w14:paraId="33D63C16" w14:textId="77777777" w:rsidR="00003726" w:rsidRPr="007439DE" w:rsidRDefault="00003726" w:rsidP="002874EA">
            <w:pPr>
              <w:pStyle w:val="Tabletext"/>
            </w:pPr>
            <w:r w:rsidRPr="007439DE">
              <w:t>ADAR Table 79</w:t>
            </w:r>
          </w:p>
        </w:tc>
      </w:tr>
      <w:tr w:rsidR="004F23C4" w:rsidRPr="007439DE" w14:paraId="6EB236C2" w14:textId="77777777" w:rsidTr="002874EA">
        <w:tc>
          <w:tcPr>
            <w:tcW w:w="279" w:type="pct"/>
          </w:tcPr>
          <w:p w14:paraId="73745ECE" w14:textId="77777777" w:rsidR="00003726" w:rsidRPr="007439DE" w:rsidRDefault="00003726" w:rsidP="002874EA">
            <w:pPr>
              <w:pStyle w:val="Tabletext"/>
            </w:pPr>
            <w:r w:rsidRPr="007439DE">
              <w:t>B</w:t>
            </w:r>
          </w:p>
        </w:tc>
        <w:tc>
          <w:tcPr>
            <w:tcW w:w="1027" w:type="pct"/>
          </w:tcPr>
          <w:p w14:paraId="5265F72D" w14:textId="77777777" w:rsidR="00003726" w:rsidRPr="007439DE" w:rsidRDefault="00003726" w:rsidP="002874EA">
            <w:pPr>
              <w:pStyle w:val="Tabletext"/>
            </w:pPr>
            <w:r w:rsidRPr="007439DE">
              <w:t>Population 1b</w:t>
            </w:r>
          </w:p>
        </w:tc>
        <w:tc>
          <w:tcPr>
            <w:tcW w:w="489" w:type="pct"/>
          </w:tcPr>
          <w:p w14:paraId="2CC85A62" w14:textId="77777777" w:rsidR="00003726" w:rsidRPr="007439DE" w:rsidRDefault="00003726" w:rsidP="002874EA">
            <w:pPr>
              <w:pStyle w:val="Tabletext"/>
            </w:pPr>
            <w:r w:rsidRPr="007439DE">
              <w:t>1.8%</w:t>
            </w:r>
          </w:p>
        </w:tc>
        <w:tc>
          <w:tcPr>
            <w:tcW w:w="612" w:type="pct"/>
          </w:tcPr>
          <w:p w14:paraId="1D401DB2" w14:textId="1B84BD87" w:rsidR="00003726" w:rsidRPr="007439DE" w:rsidRDefault="00003726" w:rsidP="004F23C4">
            <w:pPr>
              <w:pStyle w:val="Tabletext"/>
            </w:pPr>
            <w:r w:rsidRPr="007439DE">
              <w:t>$</w:t>
            </w:r>
            <w:r w:rsidR="004F23C4" w:rsidRPr="007439DE">
              <w:t>redacted</w:t>
            </w:r>
          </w:p>
        </w:tc>
        <w:tc>
          <w:tcPr>
            <w:tcW w:w="612" w:type="pct"/>
          </w:tcPr>
          <w:p w14:paraId="3FC00311" w14:textId="23526109" w:rsidR="00003726" w:rsidRPr="007439DE" w:rsidRDefault="00003726" w:rsidP="004F23C4">
            <w:pPr>
              <w:pStyle w:val="Tabletext"/>
            </w:pPr>
            <w:r w:rsidRPr="007439DE">
              <w:t>$</w:t>
            </w:r>
            <w:r w:rsidR="004F23C4" w:rsidRPr="007439DE">
              <w:t>redacted</w:t>
            </w:r>
          </w:p>
        </w:tc>
        <w:tc>
          <w:tcPr>
            <w:tcW w:w="612" w:type="pct"/>
          </w:tcPr>
          <w:p w14:paraId="44426F01" w14:textId="74CC794B" w:rsidR="00003726" w:rsidRPr="007439DE" w:rsidRDefault="004F23C4" w:rsidP="002874EA">
            <w:pPr>
              <w:pStyle w:val="Tabletext"/>
            </w:pPr>
            <w:r w:rsidRPr="007439DE">
              <w:t>redacted</w:t>
            </w:r>
          </w:p>
        </w:tc>
        <w:tc>
          <w:tcPr>
            <w:tcW w:w="613" w:type="pct"/>
          </w:tcPr>
          <w:p w14:paraId="43A94C4F" w14:textId="07BA663E" w:rsidR="00003726" w:rsidRPr="007439DE" w:rsidRDefault="00003726" w:rsidP="004F23C4">
            <w:pPr>
              <w:pStyle w:val="Tabletext"/>
            </w:pPr>
            <w:r w:rsidRPr="007439DE">
              <w:t>$</w:t>
            </w:r>
            <w:r w:rsidR="004F23C4" w:rsidRPr="007439DE">
              <w:t>redacted</w:t>
            </w:r>
          </w:p>
        </w:tc>
        <w:tc>
          <w:tcPr>
            <w:tcW w:w="756" w:type="pct"/>
          </w:tcPr>
          <w:p w14:paraId="50E14F76" w14:textId="77777777" w:rsidR="00003726" w:rsidRPr="007439DE" w:rsidRDefault="00003726" w:rsidP="002874EA">
            <w:pPr>
              <w:pStyle w:val="Tabletext"/>
            </w:pPr>
            <w:r w:rsidRPr="007439DE">
              <w:t>ADAR Table 80</w:t>
            </w:r>
          </w:p>
        </w:tc>
      </w:tr>
      <w:tr w:rsidR="004F23C4" w:rsidRPr="007439DE" w14:paraId="0641C292" w14:textId="77777777" w:rsidTr="002874EA">
        <w:tc>
          <w:tcPr>
            <w:tcW w:w="279" w:type="pct"/>
          </w:tcPr>
          <w:p w14:paraId="45EBA8F6" w14:textId="77777777" w:rsidR="00003726" w:rsidRPr="007439DE" w:rsidRDefault="00003726" w:rsidP="002874EA">
            <w:pPr>
              <w:pStyle w:val="Tabletext"/>
            </w:pPr>
            <w:r w:rsidRPr="007439DE">
              <w:t>C</w:t>
            </w:r>
          </w:p>
        </w:tc>
        <w:tc>
          <w:tcPr>
            <w:tcW w:w="1027" w:type="pct"/>
          </w:tcPr>
          <w:p w14:paraId="7CBDC233" w14:textId="77777777" w:rsidR="00003726" w:rsidRPr="007439DE" w:rsidRDefault="00003726" w:rsidP="002874EA">
            <w:pPr>
              <w:pStyle w:val="Tabletext"/>
            </w:pPr>
            <w:r w:rsidRPr="007439DE">
              <w:t>Population 2a</w:t>
            </w:r>
          </w:p>
        </w:tc>
        <w:tc>
          <w:tcPr>
            <w:tcW w:w="489" w:type="pct"/>
          </w:tcPr>
          <w:p w14:paraId="16D020C1" w14:textId="77777777" w:rsidR="00003726" w:rsidRPr="007439DE" w:rsidRDefault="00003726" w:rsidP="002874EA">
            <w:pPr>
              <w:pStyle w:val="Tabletext"/>
            </w:pPr>
            <w:r w:rsidRPr="007439DE">
              <w:t>6.9%</w:t>
            </w:r>
          </w:p>
        </w:tc>
        <w:tc>
          <w:tcPr>
            <w:tcW w:w="612" w:type="pct"/>
          </w:tcPr>
          <w:p w14:paraId="49855A43" w14:textId="017DD33E" w:rsidR="00003726" w:rsidRPr="007439DE" w:rsidRDefault="00003726" w:rsidP="004F23C4">
            <w:pPr>
              <w:pStyle w:val="Tabletext"/>
            </w:pPr>
            <w:r w:rsidRPr="007439DE">
              <w:t>$</w:t>
            </w:r>
            <w:r w:rsidR="004F23C4" w:rsidRPr="007439DE">
              <w:t>redacted</w:t>
            </w:r>
          </w:p>
        </w:tc>
        <w:tc>
          <w:tcPr>
            <w:tcW w:w="612" w:type="pct"/>
          </w:tcPr>
          <w:p w14:paraId="1BE4A77D" w14:textId="6E39B521" w:rsidR="00003726" w:rsidRPr="007439DE" w:rsidRDefault="00003726" w:rsidP="004F23C4">
            <w:pPr>
              <w:pStyle w:val="Tabletext"/>
            </w:pPr>
            <w:r w:rsidRPr="007439DE">
              <w:t>$</w:t>
            </w:r>
            <w:r w:rsidR="004F23C4" w:rsidRPr="007439DE">
              <w:t>redacted</w:t>
            </w:r>
          </w:p>
        </w:tc>
        <w:tc>
          <w:tcPr>
            <w:tcW w:w="612" w:type="pct"/>
          </w:tcPr>
          <w:p w14:paraId="2DFA3683" w14:textId="11601E44" w:rsidR="00003726" w:rsidRPr="007439DE" w:rsidRDefault="00003726" w:rsidP="004F23C4">
            <w:pPr>
              <w:pStyle w:val="Tabletext"/>
            </w:pPr>
            <w:r w:rsidRPr="007439DE">
              <w:t>$</w:t>
            </w:r>
            <w:r w:rsidR="004F23C4" w:rsidRPr="007439DE">
              <w:t>redacted</w:t>
            </w:r>
          </w:p>
        </w:tc>
        <w:tc>
          <w:tcPr>
            <w:tcW w:w="613" w:type="pct"/>
          </w:tcPr>
          <w:p w14:paraId="7309F9BB" w14:textId="47913BD6" w:rsidR="00003726" w:rsidRPr="007439DE" w:rsidRDefault="00003726" w:rsidP="004F23C4">
            <w:pPr>
              <w:pStyle w:val="Tabletext"/>
            </w:pPr>
            <w:r w:rsidRPr="007439DE">
              <w:t>$</w:t>
            </w:r>
            <w:r w:rsidR="004F23C4" w:rsidRPr="007439DE">
              <w:t>redacted</w:t>
            </w:r>
          </w:p>
        </w:tc>
        <w:tc>
          <w:tcPr>
            <w:tcW w:w="756" w:type="pct"/>
          </w:tcPr>
          <w:p w14:paraId="60BE7956" w14:textId="77777777" w:rsidR="00003726" w:rsidRPr="007439DE" w:rsidRDefault="00003726" w:rsidP="002874EA">
            <w:pPr>
              <w:pStyle w:val="Tabletext"/>
            </w:pPr>
            <w:r w:rsidRPr="007439DE">
              <w:t>ADAR Table 81</w:t>
            </w:r>
          </w:p>
        </w:tc>
      </w:tr>
      <w:tr w:rsidR="004F23C4" w:rsidRPr="007439DE" w14:paraId="60BFE369" w14:textId="77777777" w:rsidTr="002874EA">
        <w:tc>
          <w:tcPr>
            <w:tcW w:w="279" w:type="pct"/>
          </w:tcPr>
          <w:p w14:paraId="23D204DA" w14:textId="77777777" w:rsidR="00003726" w:rsidRPr="007439DE" w:rsidRDefault="00003726" w:rsidP="002874EA">
            <w:pPr>
              <w:pStyle w:val="Tabletext"/>
            </w:pPr>
            <w:r w:rsidRPr="007439DE">
              <w:t>D</w:t>
            </w:r>
          </w:p>
        </w:tc>
        <w:tc>
          <w:tcPr>
            <w:tcW w:w="1027" w:type="pct"/>
          </w:tcPr>
          <w:p w14:paraId="4B10E04F" w14:textId="77777777" w:rsidR="00003726" w:rsidRPr="007439DE" w:rsidRDefault="00003726" w:rsidP="002874EA">
            <w:pPr>
              <w:pStyle w:val="Tabletext"/>
            </w:pPr>
            <w:r w:rsidRPr="007439DE">
              <w:t>Population 2b</w:t>
            </w:r>
          </w:p>
        </w:tc>
        <w:tc>
          <w:tcPr>
            <w:tcW w:w="489" w:type="pct"/>
          </w:tcPr>
          <w:p w14:paraId="617A0A9E" w14:textId="77777777" w:rsidR="00003726" w:rsidRPr="007439DE" w:rsidRDefault="00003726" w:rsidP="002874EA">
            <w:pPr>
              <w:pStyle w:val="Tabletext"/>
            </w:pPr>
            <w:r w:rsidRPr="007439DE">
              <w:t>0.4%</w:t>
            </w:r>
          </w:p>
        </w:tc>
        <w:tc>
          <w:tcPr>
            <w:tcW w:w="612" w:type="pct"/>
          </w:tcPr>
          <w:p w14:paraId="21F63A06" w14:textId="7D976C28" w:rsidR="00003726" w:rsidRPr="007439DE" w:rsidRDefault="00003726" w:rsidP="004F23C4">
            <w:pPr>
              <w:pStyle w:val="Tabletext"/>
            </w:pPr>
            <w:r w:rsidRPr="007439DE">
              <w:t>$</w:t>
            </w:r>
            <w:r w:rsidR="004F23C4" w:rsidRPr="007439DE">
              <w:t>redacted</w:t>
            </w:r>
          </w:p>
        </w:tc>
        <w:tc>
          <w:tcPr>
            <w:tcW w:w="612" w:type="pct"/>
          </w:tcPr>
          <w:p w14:paraId="7E1CBDDC" w14:textId="4C5261AB" w:rsidR="00003726" w:rsidRPr="007439DE" w:rsidRDefault="00003726" w:rsidP="004F23C4">
            <w:pPr>
              <w:pStyle w:val="Tabletext"/>
            </w:pPr>
            <w:r w:rsidRPr="007439DE">
              <w:t>$</w:t>
            </w:r>
            <w:r w:rsidR="004F23C4" w:rsidRPr="007439DE">
              <w:t>redacted</w:t>
            </w:r>
          </w:p>
        </w:tc>
        <w:tc>
          <w:tcPr>
            <w:tcW w:w="612" w:type="pct"/>
          </w:tcPr>
          <w:p w14:paraId="2FAC9E47" w14:textId="6DF9AE5E" w:rsidR="00003726" w:rsidRPr="007439DE" w:rsidRDefault="004F23C4" w:rsidP="002874EA">
            <w:pPr>
              <w:pStyle w:val="Tabletext"/>
            </w:pPr>
            <w:r w:rsidRPr="007439DE">
              <w:t>redacted</w:t>
            </w:r>
          </w:p>
        </w:tc>
        <w:tc>
          <w:tcPr>
            <w:tcW w:w="613" w:type="pct"/>
          </w:tcPr>
          <w:p w14:paraId="0C40DF4A" w14:textId="27EAAF49" w:rsidR="00003726" w:rsidRPr="007439DE" w:rsidRDefault="00003726" w:rsidP="004F23C4">
            <w:pPr>
              <w:pStyle w:val="Tabletext"/>
            </w:pPr>
            <w:r w:rsidRPr="007439DE">
              <w:t>$</w:t>
            </w:r>
            <w:r w:rsidR="004F23C4" w:rsidRPr="007439DE">
              <w:t>redacted</w:t>
            </w:r>
          </w:p>
        </w:tc>
        <w:tc>
          <w:tcPr>
            <w:tcW w:w="756" w:type="pct"/>
          </w:tcPr>
          <w:p w14:paraId="2FC2D707" w14:textId="77777777" w:rsidR="00003726" w:rsidRPr="007439DE" w:rsidRDefault="00003726" w:rsidP="002874EA">
            <w:pPr>
              <w:pStyle w:val="Tabletext"/>
            </w:pPr>
            <w:r w:rsidRPr="007439DE">
              <w:t>ADAR Table 82</w:t>
            </w:r>
          </w:p>
        </w:tc>
      </w:tr>
      <w:tr w:rsidR="004F23C4" w:rsidRPr="007439DE" w14:paraId="4FF7B35D" w14:textId="77777777" w:rsidTr="002874EA">
        <w:tc>
          <w:tcPr>
            <w:tcW w:w="279" w:type="pct"/>
          </w:tcPr>
          <w:p w14:paraId="3C841201" w14:textId="77777777" w:rsidR="00003726" w:rsidRPr="007439DE" w:rsidRDefault="00003726" w:rsidP="002874EA">
            <w:pPr>
              <w:pStyle w:val="Tabletext"/>
            </w:pPr>
            <w:r w:rsidRPr="007439DE">
              <w:t>E</w:t>
            </w:r>
          </w:p>
        </w:tc>
        <w:tc>
          <w:tcPr>
            <w:tcW w:w="1027" w:type="pct"/>
          </w:tcPr>
          <w:p w14:paraId="31B3888E" w14:textId="77777777" w:rsidR="00003726" w:rsidRPr="007439DE" w:rsidRDefault="00003726" w:rsidP="002874EA">
            <w:pPr>
              <w:pStyle w:val="Tabletext"/>
            </w:pPr>
            <w:r w:rsidRPr="007439DE">
              <w:t>Weighted average</w:t>
            </w:r>
          </w:p>
        </w:tc>
        <w:tc>
          <w:tcPr>
            <w:tcW w:w="489" w:type="pct"/>
          </w:tcPr>
          <w:p w14:paraId="4F8A8168" w14:textId="77777777" w:rsidR="00003726" w:rsidRPr="007439DE" w:rsidRDefault="00003726" w:rsidP="002874EA">
            <w:pPr>
              <w:pStyle w:val="Tabletext"/>
            </w:pPr>
            <w:r w:rsidRPr="007439DE">
              <w:t>-</w:t>
            </w:r>
          </w:p>
        </w:tc>
        <w:tc>
          <w:tcPr>
            <w:tcW w:w="612" w:type="pct"/>
          </w:tcPr>
          <w:p w14:paraId="0F935A1C" w14:textId="6519C0C8" w:rsidR="00003726" w:rsidRPr="007439DE" w:rsidRDefault="00003726" w:rsidP="004F23C4">
            <w:pPr>
              <w:pStyle w:val="Tabletext"/>
            </w:pPr>
            <w:r w:rsidRPr="007439DE">
              <w:t>$</w:t>
            </w:r>
            <w:r w:rsidR="004F23C4" w:rsidRPr="007439DE">
              <w:t>redacted</w:t>
            </w:r>
          </w:p>
        </w:tc>
        <w:tc>
          <w:tcPr>
            <w:tcW w:w="612" w:type="pct"/>
          </w:tcPr>
          <w:p w14:paraId="22F4AA28" w14:textId="3F676061" w:rsidR="00003726" w:rsidRPr="007439DE" w:rsidRDefault="00003726" w:rsidP="004F23C4">
            <w:pPr>
              <w:pStyle w:val="Tabletext"/>
            </w:pPr>
            <w:r w:rsidRPr="007439DE">
              <w:t>$</w:t>
            </w:r>
            <w:r w:rsidR="004F23C4" w:rsidRPr="007439DE">
              <w:t>redacted</w:t>
            </w:r>
          </w:p>
        </w:tc>
        <w:tc>
          <w:tcPr>
            <w:tcW w:w="612" w:type="pct"/>
          </w:tcPr>
          <w:p w14:paraId="1F308D09" w14:textId="1ED188D0" w:rsidR="00003726" w:rsidRPr="007439DE" w:rsidRDefault="004F23C4" w:rsidP="002874EA">
            <w:pPr>
              <w:pStyle w:val="Tabletext"/>
            </w:pPr>
            <w:r w:rsidRPr="007439DE">
              <w:t>redacted</w:t>
            </w:r>
          </w:p>
        </w:tc>
        <w:tc>
          <w:tcPr>
            <w:tcW w:w="613" w:type="pct"/>
          </w:tcPr>
          <w:p w14:paraId="249F5735" w14:textId="357D438C" w:rsidR="00003726" w:rsidRPr="007439DE" w:rsidRDefault="004F23C4" w:rsidP="002874EA">
            <w:pPr>
              <w:pStyle w:val="Tabletext"/>
            </w:pPr>
            <w:r w:rsidRPr="007439DE">
              <w:t>redacted</w:t>
            </w:r>
          </w:p>
        </w:tc>
        <w:tc>
          <w:tcPr>
            <w:tcW w:w="756" w:type="pct"/>
          </w:tcPr>
          <w:p w14:paraId="0FE143EE" w14:textId="77777777" w:rsidR="00003726" w:rsidRPr="007439DE" w:rsidRDefault="00003726" w:rsidP="002874EA">
            <w:pPr>
              <w:pStyle w:val="Tabletext"/>
            </w:pPr>
          </w:p>
        </w:tc>
      </w:tr>
      <w:tr w:rsidR="004F23C4" w:rsidRPr="00D66655" w14:paraId="46C867E1" w14:textId="77777777" w:rsidTr="002874EA">
        <w:tc>
          <w:tcPr>
            <w:tcW w:w="279" w:type="pct"/>
          </w:tcPr>
          <w:p w14:paraId="6CA8CF93" w14:textId="77777777" w:rsidR="00003726" w:rsidRPr="007439DE" w:rsidRDefault="00003726" w:rsidP="002874EA">
            <w:pPr>
              <w:pStyle w:val="Tabletext"/>
            </w:pPr>
            <w:r w:rsidRPr="007439DE">
              <w:t>F</w:t>
            </w:r>
          </w:p>
        </w:tc>
        <w:tc>
          <w:tcPr>
            <w:tcW w:w="1027" w:type="pct"/>
          </w:tcPr>
          <w:p w14:paraId="23301D9C" w14:textId="77777777" w:rsidR="00003726" w:rsidRPr="007439DE" w:rsidRDefault="00003726" w:rsidP="002874EA">
            <w:pPr>
              <w:pStyle w:val="Tabletext"/>
            </w:pPr>
            <w:r w:rsidRPr="007439DE">
              <w:t>Incremental cost of comparator relative to T/EVAR+EA</w:t>
            </w:r>
            <w:r w:rsidRPr="007439DE">
              <w:br/>
            </w:r>
          </w:p>
        </w:tc>
        <w:tc>
          <w:tcPr>
            <w:tcW w:w="489" w:type="pct"/>
          </w:tcPr>
          <w:p w14:paraId="07ECB009" w14:textId="77777777" w:rsidR="00003726" w:rsidRPr="007439DE" w:rsidRDefault="00003726" w:rsidP="002874EA">
            <w:pPr>
              <w:pStyle w:val="Tabletext"/>
            </w:pPr>
            <w:r w:rsidRPr="007439DE">
              <w:t>-</w:t>
            </w:r>
          </w:p>
        </w:tc>
        <w:tc>
          <w:tcPr>
            <w:tcW w:w="612" w:type="pct"/>
          </w:tcPr>
          <w:p w14:paraId="1E29EBE4" w14:textId="77777777" w:rsidR="00003726" w:rsidRPr="007439DE" w:rsidRDefault="00003726" w:rsidP="002874EA">
            <w:pPr>
              <w:pStyle w:val="Tabletext"/>
            </w:pPr>
            <w:r w:rsidRPr="007439DE">
              <w:t>-</w:t>
            </w:r>
          </w:p>
        </w:tc>
        <w:tc>
          <w:tcPr>
            <w:tcW w:w="612" w:type="pct"/>
          </w:tcPr>
          <w:p w14:paraId="494B3A28" w14:textId="5055A026" w:rsidR="00003726" w:rsidRPr="007439DE" w:rsidRDefault="00003726" w:rsidP="004F23C4">
            <w:pPr>
              <w:pStyle w:val="Tabletext"/>
            </w:pPr>
            <w:r w:rsidRPr="007439DE">
              <w:t>$</w:t>
            </w:r>
            <w:r w:rsidR="004F23C4" w:rsidRPr="007439DE">
              <w:t>redacted</w:t>
            </w:r>
          </w:p>
        </w:tc>
        <w:tc>
          <w:tcPr>
            <w:tcW w:w="612" w:type="pct"/>
          </w:tcPr>
          <w:p w14:paraId="6602F070" w14:textId="773F5B62" w:rsidR="00003726" w:rsidRPr="007439DE" w:rsidRDefault="004F23C4" w:rsidP="002874EA">
            <w:pPr>
              <w:pStyle w:val="Tabletext"/>
            </w:pPr>
            <w:r w:rsidRPr="007439DE">
              <w:t>redacted</w:t>
            </w:r>
          </w:p>
        </w:tc>
        <w:tc>
          <w:tcPr>
            <w:tcW w:w="613" w:type="pct"/>
          </w:tcPr>
          <w:p w14:paraId="19CEE5B6" w14:textId="57314D99" w:rsidR="00003726" w:rsidRPr="007439DE" w:rsidRDefault="004F23C4" w:rsidP="002874EA">
            <w:pPr>
              <w:pStyle w:val="Tabletext"/>
            </w:pPr>
            <w:r w:rsidRPr="007439DE">
              <w:t>redacted</w:t>
            </w:r>
          </w:p>
        </w:tc>
        <w:tc>
          <w:tcPr>
            <w:tcW w:w="756" w:type="pct"/>
          </w:tcPr>
          <w:p w14:paraId="314F359C" w14:textId="20061BE4" w:rsidR="00003726" w:rsidRPr="00D66655" w:rsidRDefault="00003726" w:rsidP="004F23C4">
            <w:pPr>
              <w:pStyle w:val="Tabletext"/>
            </w:pPr>
            <w:r w:rsidRPr="007439DE">
              <w:t>$</w:t>
            </w:r>
            <w:r w:rsidR="004F23C4" w:rsidRPr="007439DE">
              <w:t>redacted</w:t>
            </w:r>
          </w:p>
        </w:tc>
      </w:tr>
    </w:tbl>
    <w:p w14:paraId="11460426" w14:textId="77777777" w:rsidR="00003726" w:rsidRDefault="00003726" w:rsidP="00003726">
      <w:pPr>
        <w:pStyle w:val="Tablenote"/>
      </w:pPr>
      <w:r w:rsidRPr="000006EE">
        <w:rPr>
          <w:vertAlign w:val="superscript"/>
        </w:rPr>
        <w:t>a</w:t>
      </w:r>
      <w:r>
        <w:t xml:space="preserve"> Weighted average cost applying 80% FEVAR and 20% CHEVAR in Population 1a and 2a based on KoL opinion (see ADAR pg. 229), and CHEVAR only in Population 1b and 2b.</w:t>
      </w:r>
    </w:p>
    <w:p w14:paraId="6974E808" w14:textId="503E1F67" w:rsidR="00003726" w:rsidRPr="00154A9C" w:rsidRDefault="00003726" w:rsidP="00965A7E">
      <w:pPr>
        <w:pStyle w:val="Tablenote"/>
      </w:pPr>
      <w:r>
        <w:t>Source: Table 1, pre-MSAC response.</w:t>
      </w:r>
    </w:p>
    <w:p w14:paraId="44F66EF8" w14:textId="77777777" w:rsidR="00DE0A72" w:rsidRPr="00F715D1" w:rsidRDefault="00DE0A72" w:rsidP="00DE0A72">
      <w:pPr>
        <w:pStyle w:val="Heading1"/>
      </w:pPr>
      <w:r w:rsidRPr="00F715D1">
        <w:t>Financial/budgetary impacts</w:t>
      </w:r>
    </w:p>
    <w:p w14:paraId="1193DF93" w14:textId="57FACAE2" w:rsidR="007E6D4E" w:rsidRPr="00154A9C" w:rsidRDefault="007E6D4E" w:rsidP="007E6D4E">
      <w:r w:rsidRPr="00154A9C">
        <w:t xml:space="preserve">A hybrid epidemiological/market share approach was applied to estimate the utilisation and financial impact of MBS listing T/EVAR+EA across the proposed populations. A potential </w:t>
      </w:r>
      <w:r w:rsidRPr="00154A9C">
        <w:lastRenderedPageBreak/>
        <w:t xml:space="preserve">market was estimated based on the historical utilisation of MBS items for unruptured aortic aneurysm replacement; 33103, 33109, 33112, 33115, </w:t>
      </w:r>
      <w:r w:rsidR="00965A7E">
        <w:t xml:space="preserve">33116, 33118, 33119 and 33121. </w:t>
      </w:r>
    </w:p>
    <w:p w14:paraId="78CECAC7" w14:textId="076A4694" w:rsidR="007E6D4E" w:rsidRPr="00154A9C" w:rsidRDefault="007E6D4E" w:rsidP="00965A7E">
      <w:pPr>
        <w:spacing w:before="240"/>
      </w:pPr>
      <w:r w:rsidRPr="00154A9C">
        <w:t>The financial implications to the MBS resulting from the proposed listing of T/EVAR+EA summarised in the commentary are shown below in</w:t>
      </w:r>
      <w:r w:rsidR="00E05271">
        <w:t xml:space="preserve"> </w:t>
      </w:r>
      <w:r w:rsidR="00E05271">
        <w:fldChar w:fldCharType="begin"/>
      </w:r>
      <w:r w:rsidR="00E05271">
        <w:instrText xml:space="preserve"> REF _Ref43985598 \h </w:instrText>
      </w:r>
      <w:r w:rsidR="00E05271">
        <w:fldChar w:fldCharType="separate"/>
      </w:r>
      <w:r w:rsidR="00E05271">
        <w:t xml:space="preserve">Table </w:t>
      </w:r>
      <w:r w:rsidR="00E05271">
        <w:rPr>
          <w:noProof/>
        </w:rPr>
        <w:t>12</w:t>
      </w:r>
      <w:r w:rsidR="00E05271">
        <w:fldChar w:fldCharType="end"/>
      </w:r>
      <w:r w:rsidR="00965A7E">
        <w:t xml:space="preserve">. </w:t>
      </w:r>
    </w:p>
    <w:p w14:paraId="30462729" w14:textId="7F09C771" w:rsidR="007E6D4E" w:rsidRPr="00154A9C" w:rsidRDefault="00E05271" w:rsidP="00E05271">
      <w:pPr>
        <w:pStyle w:val="Style1"/>
        <w:spacing w:before="240"/>
      </w:pPr>
      <w:bookmarkStart w:id="38" w:name="_Ref43985598"/>
      <w:bookmarkStart w:id="39" w:name="_Toc393197779"/>
      <w:bookmarkStart w:id="40" w:name="_Toc393378192"/>
      <w:bookmarkStart w:id="41" w:name="_Toc399251128"/>
      <w:bookmarkStart w:id="42" w:name="_Toc30609775"/>
      <w:r>
        <w:t xml:space="preserve">Table </w:t>
      </w:r>
      <w:r w:rsidR="002665AC">
        <w:fldChar w:fldCharType="begin"/>
      </w:r>
      <w:r w:rsidR="002665AC">
        <w:instrText xml:space="preserve"> SEQ Table \* ARABIC </w:instrText>
      </w:r>
      <w:r w:rsidR="002665AC">
        <w:fldChar w:fldCharType="separate"/>
      </w:r>
      <w:r>
        <w:rPr>
          <w:noProof/>
        </w:rPr>
        <w:t>12</w:t>
      </w:r>
      <w:r w:rsidR="002665AC">
        <w:rPr>
          <w:noProof/>
        </w:rPr>
        <w:fldChar w:fldCharType="end"/>
      </w:r>
      <w:bookmarkEnd w:id="38"/>
      <w:r>
        <w:tab/>
      </w:r>
      <w:r w:rsidR="007E6D4E" w:rsidRPr="00154A9C">
        <w:t xml:space="preserve">Total costs to the MBS associated with </w:t>
      </w:r>
      <w:bookmarkEnd w:id="39"/>
      <w:bookmarkEnd w:id="40"/>
      <w:bookmarkEnd w:id="41"/>
      <w:r w:rsidR="007E6D4E" w:rsidRPr="00154A9C">
        <w:t>T/EVAR+EA</w:t>
      </w:r>
      <w:bookmarkEnd w:id="42"/>
    </w:p>
    <w:tbl>
      <w:tblPr>
        <w:tblStyle w:val="TableGrid1"/>
        <w:tblW w:w="5000" w:type="pct"/>
        <w:tblLayout w:type="fixed"/>
        <w:tblLook w:val="04A0" w:firstRow="1" w:lastRow="0" w:firstColumn="1" w:lastColumn="0" w:noHBand="0" w:noVBand="1"/>
        <w:tblCaption w:val="Table 10 "/>
        <w:tblDescription w:val="Total costs to the MBS associated with T/EVAR+EA"/>
      </w:tblPr>
      <w:tblGrid>
        <w:gridCol w:w="565"/>
        <w:gridCol w:w="2550"/>
        <w:gridCol w:w="968"/>
        <w:gridCol w:w="970"/>
        <w:gridCol w:w="970"/>
        <w:gridCol w:w="970"/>
        <w:gridCol w:w="970"/>
        <w:gridCol w:w="1053"/>
      </w:tblGrid>
      <w:tr w:rsidR="007E6D4E" w:rsidRPr="007439DE" w14:paraId="0E10C69B" w14:textId="77777777" w:rsidTr="00A0047D">
        <w:trPr>
          <w:cnfStyle w:val="100000000000" w:firstRow="1" w:lastRow="0" w:firstColumn="0" w:lastColumn="0" w:oddVBand="0" w:evenVBand="0" w:oddHBand="0" w:evenHBand="0" w:firstRowFirstColumn="0" w:firstRowLastColumn="0" w:lastRowFirstColumn="0" w:lastRowLastColumn="0"/>
          <w:cantSplit/>
          <w:tblHeader/>
        </w:trPr>
        <w:tc>
          <w:tcPr>
            <w:tcW w:w="313" w:type="pct"/>
          </w:tcPr>
          <w:p w14:paraId="0E5914E8" w14:textId="77777777" w:rsidR="007E6D4E" w:rsidRPr="007439DE" w:rsidRDefault="007E6D4E" w:rsidP="00A0047D">
            <w:pPr>
              <w:pStyle w:val="TableHeading"/>
            </w:pPr>
            <w:r w:rsidRPr="007439DE">
              <w:t>Row</w:t>
            </w:r>
          </w:p>
        </w:tc>
        <w:tc>
          <w:tcPr>
            <w:tcW w:w="1414" w:type="pct"/>
          </w:tcPr>
          <w:p w14:paraId="0A83C6ED" w14:textId="77777777" w:rsidR="007E6D4E" w:rsidRPr="007439DE" w:rsidRDefault="007E6D4E" w:rsidP="00A0047D">
            <w:pPr>
              <w:pStyle w:val="TableHeading"/>
            </w:pPr>
            <w:r w:rsidRPr="007439DE">
              <w:t>Parameter</w:t>
            </w:r>
          </w:p>
        </w:tc>
        <w:tc>
          <w:tcPr>
            <w:tcW w:w="537" w:type="pct"/>
          </w:tcPr>
          <w:p w14:paraId="7C731FE0" w14:textId="77777777" w:rsidR="007E6D4E" w:rsidRPr="007439DE" w:rsidRDefault="007E6D4E" w:rsidP="00A0047D">
            <w:pPr>
              <w:pStyle w:val="TableHeading"/>
              <w:jc w:val="center"/>
            </w:pPr>
            <w:r w:rsidRPr="007439DE">
              <w:t>Year 1</w:t>
            </w:r>
          </w:p>
        </w:tc>
        <w:tc>
          <w:tcPr>
            <w:tcW w:w="538" w:type="pct"/>
          </w:tcPr>
          <w:p w14:paraId="679AD3E7" w14:textId="77777777" w:rsidR="007E6D4E" w:rsidRPr="007439DE" w:rsidRDefault="007E6D4E" w:rsidP="00A0047D">
            <w:pPr>
              <w:pStyle w:val="TableHeading"/>
              <w:jc w:val="center"/>
            </w:pPr>
            <w:r w:rsidRPr="007439DE">
              <w:t>Year 2</w:t>
            </w:r>
          </w:p>
        </w:tc>
        <w:tc>
          <w:tcPr>
            <w:tcW w:w="538" w:type="pct"/>
          </w:tcPr>
          <w:p w14:paraId="39C024C1" w14:textId="77777777" w:rsidR="007E6D4E" w:rsidRPr="007439DE" w:rsidRDefault="007E6D4E" w:rsidP="00A0047D">
            <w:pPr>
              <w:pStyle w:val="TableHeading"/>
              <w:jc w:val="center"/>
            </w:pPr>
            <w:r w:rsidRPr="007439DE">
              <w:t>Year 3</w:t>
            </w:r>
          </w:p>
        </w:tc>
        <w:tc>
          <w:tcPr>
            <w:tcW w:w="538" w:type="pct"/>
          </w:tcPr>
          <w:p w14:paraId="1B4EBFCE" w14:textId="77777777" w:rsidR="007E6D4E" w:rsidRPr="007439DE" w:rsidRDefault="007E6D4E" w:rsidP="00A0047D">
            <w:pPr>
              <w:pStyle w:val="TableHeading"/>
              <w:jc w:val="center"/>
            </w:pPr>
            <w:r w:rsidRPr="007439DE">
              <w:t>Year 4</w:t>
            </w:r>
          </w:p>
        </w:tc>
        <w:tc>
          <w:tcPr>
            <w:tcW w:w="538" w:type="pct"/>
          </w:tcPr>
          <w:p w14:paraId="37210473" w14:textId="77777777" w:rsidR="007E6D4E" w:rsidRPr="007439DE" w:rsidRDefault="007E6D4E" w:rsidP="00A0047D">
            <w:pPr>
              <w:pStyle w:val="TableHeading"/>
              <w:jc w:val="center"/>
            </w:pPr>
            <w:r w:rsidRPr="007439DE">
              <w:t>Year 5</w:t>
            </w:r>
          </w:p>
        </w:tc>
        <w:tc>
          <w:tcPr>
            <w:tcW w:w="584" w:type="pct"/>
          </w:tcPr>
          <w:p w14:paraId="08B4759D" w14:textId="77777777" w:rsidR="007E6D4E" w:rsidRPr="007439DE" w:rsidRDefault="007E6D4E" w:rsidP="00A0047D">
            <w:pPr>
              <w:pStyle w:val="TableHeading"/>
              <w:jc w:val="center"/>
            </w:pPr>
            <w:r w:rsidRPr="007439DE">
              <w:t>Source</w:t>
            </w:r>
          </w:p>
        </w:tc>
      </w:tr>
      <w:tr w:rsidR="007E6D4E" w:rsidRPr="007439DE" w14:paraId="1292E201" w14:textId="77777777" w:rsidTr="00A0047D">
        <w:tc>
          <w:tcPr>
            <w:tcW w:w="313" w:type="pct"/>
          </w:tcPr>
          <w:p w14:paraId="349FCF1F" w14:textId="77777777" w:rsidR="007E6D4E" w:rsidRPr="007439DE" w:rsidRDefault="007E6D4E" w:rsidP="00A0047D">
            <w:pPr>
              <w:pStyle w:val="Tabletext"/>
              <w:ind w:left="22"/>
            </w:pPr>
            <w:r w:rsidRPr="007439DE">
              <w:t>A</w:t>
            </w:r>
          </w:p>
        </w:tc>
        <w:tc>
          <w:tcPr>
            <w:tcW w:w="1414" w:type="pct"/>
          </w:tcPr>
          <w:p w14:paraId="71D9B58B" w14:textId="77777777" w:rsidR="007E6D4E" w:rsidRPr="007439DE" w:rsidRDefault="007E6D4E" w:rsidP="00A0047D">
            <w:pPr>
              <w:pStyle w:val="Tabletext"/>
              <w:ind w:left="22"/>
            </w:pPr>
            <w:r w:rsidRPr="007439DE">
              <w:t>Number of procedures</w:t>
            </w:r>
          </w:p>
        </w:tc>
        <w:tc>
          <w:tcPr>
            <w:tcW w:w="537" w:type="pct"/>
          </w:tcPr>
          <w:p w14:paraId="48169B2B" w14:textId="77777777" w:rsidR="007E6D4E" w:rsidRPr="007439DE" w:rsidRDefault="007E6D4E" w:rsidP="00A0047D">
            <w:pPr>
              <w:pStyle w:val="Tabletext"/>
              <w:ind w:left="22"/>
              <w:jc w:val="center"/>
            </w:pPr>
            <w:r w:rsidRPr="007439DE">
              <w:t>54</w:t>
            </w:r>
          </w:p>
        </w:tc>
        <w:tc>
          <w:tcPr>
            <w:tcW w:w="538" w:type="pct"/>
          </w:tcPr>
          <w:p w14:paraId="264B9C43" w14:textId="77777777" w:rsidR="007E6D4E" w:rsidRPr="007439DE" w:rsidRDefault="007E6D4E" w:rsidP="00A0047D">
            <w:pPr>
              <w:pStyle w:val="Tabletext"/>
              <w:ind w:left="22"/>
              <w:jc w:val="center"/>
            </w:pPr>
            <w:r w:rsidRPr="007439DE">
              <w:t>81</w:t>
            </w:r>
          </w:p>
        </w:tc>
        <w:tc>
          <w:tcPr>
            <w:tcW w:w="538" w:type="pct"/>
          </w:tcPr>
          <w:p w14:paraId="3DB66F70" w14:textId="77777777" w:rsidR="007E6D4E" w:rsidRPr="007439DE" w:rsidRDefault="007E6D4E" w:rsidP="00A0047D">
            <w:pPr>
              <w:pStyle w:val="Tabletext"/>
              <w:ind w:left="22"/>
              <w:jc w:val="center"/>
            </w:pPr>
            <w:r w:rsidRPr="007439DE">
              <w:t>110</w:t>
            </w:r>
          </w:p>
        </w:tc>
        <w:tc>
          <w:tcPr>
            <w:tcW w:w="538" w:type="pct"/>
          </w:tcPr>
          <w:p w14:paraId="1ADDDEE7" w14:textId="77777777" w:rsidR="007E6D4E" w:rsidRPr="007439DE" w:rsidRDefault="007E6D4E" w:rsidP="00A0047D">
            <w:pPr>
              <w:pStyle w:val="Tabletext"/>
              <w:ind w:left="22"/>
              <w:jc w:val="center"/>
            </w:pPr>
            <w:r w:rsidRPr="007439DE">
              <w:t>110</w:t>
            </w:r>
          </w:p>
        </w:tc>
        <w:tc>
          <w:tcPr>
            <w:tcW w:w="538" w:type="pct"/>
          </w:tcPr>
          <w:p w14:paraId="4CBCF4C5" w14:textId="77777777" w:rsidR="007E6D4E" w:rsidRPr="007439DE" w:rsidRDefault="007E6D4E" w:rsidP="00A0047D">
            <w:pPr>
              <w:pStyle w:val="Tabletext"/>
              <w:ind w:left="22"/>
              <w:jc w:val="center"/>
            </w:pPr>
            <w:r w:rsidRPr="007439DE">
              <w:t>111</w:t>
            </w:r>
          </w:p>
        </w:tc>
        <w:tc>
          <w:tcPr>
            <w:tcW w:w="584" w:type="pct"/>
          </w:tcPr>
          <w:p w14:paraId="080713E5" w14:textId="77777777" w:rsidR="007E6D4E" w:rsidRPr="007439DE" w:rsidRDefault="007E6D4E" w:rsidP="00A0047D">
            <w:pPr>
              <w:pStyle w:val="Tabletext"/>
              <w:ind w:left="22"/>
              <w:jc w:val="center"/>
            </w:pPr>
            <w:r w:rsidRPr="007439DE">
              <w:t>Table 40</w:t>
            </w:r>
          </w:p>
        </w:tc>
      </w:tr>
      <w:tr w:rsidR="004F23C4" w:rsidRPr="007439DE" w14:paraId="260628C1" w14:textId="77777777" w:rsidTr="00A0047D">
        <w:tc>
          <w:tcPr>
            <w:tcW w:w="313" w:type="pct"/>
          </w:tcPr>
          <w:p w14:paraId="27F5017A" w14:textId="77777777" w:rsidR="004F23C4" w:rsidRPr="007439DE" w:rsidRDefault="004F23C4" w:rsidP="004F23C4">
            <w:pPr>
              <w:pStyle w:val="Tabletext"/>
              <w:ind w:left="22"/>
            </w:pPr>
            <w:r w:rsidRPr="007439DE">
              <w:t>B</w:t>
            </w:r>
          </w:p>
        </w:tc>
        <w:tc>
          <w:tcPr>
            <w:tcW w:w="1414" w:type="pct"/>
          </w:tcPr>
          <w:p w14:paraId="7D46793D" w14:textId="77777777" w:rsidR="004F23C4" w:rsidRPr="007439DE" w:rsidRDefault="004F23C4" w:rsidP="004F23C4">
            <w:pPr>
              <w:pStyle w:val="Tabletext"/>
              <w:ind w:left="22"/>
            </w:pPr>
            <w:r w:rsidRPr="007439DE">
              <w:t>Total cost of T/EVAR+EA procedures</w:t>
            </w:r>
          </w:p>
        </w:tc>
        <w:tc>
          <w:tcPr>
            <w:tcW w:w="537" w:type="pct"/>
          </w:tcPr>
          <w:p w14:paraId="13A603C9" w14:textId="60AB5683" w:rsidR="004F23C4" w:rsidRPr="007439DE" w:rsidRDefault="004F23C4" w:rsidP="004F23C4">
            <w:pPr>
              <w:pStyle w:val="Tabletext"/>
              <w:ind w:left="22"/>
              <w:jc w:val="center"/>
            </w:pPr>
            <w:r w:rsidRPr="007439DE">
              <w:t>$redacted</w:t>
            </w:r>
          </w:p>
        </w:tc>
        <w:tc>
          <w:tcPr>
            <w:tcW w:w="538" w:type="pct"/>
          </w:tcPr>
          <w:p w14:paraId="62EBFBC7" w14:textId="763ED7E0" w:rsidR="004F23C4" w:rsidRPr="007439DE" w:rsidRDefault="004F23C4" w:rsidP="004F23C4">
            <w:pPr>
              <w:pStyle w:val="Tabletext"/>
              <w:ind w:left="22"/>
              <w:jc w:val="center"/>
            </w:pPr>
            <w:r w:rsidRPr="007439DE">
              <w:t>$redacted</w:t>
            </w:r>
          </w:p>
        </w:tc>
        <w:tc>
          <w:tcPr>
            <w:tcW w:w="538" w:type="pct"/>
          </w:tcPr>
          <w:p w14:paraId="1226DF42" w14:textId="654220CE" w:rsidR="004F23C4" w:rsidRPr="007439DE" w:rsidRDefault="004F23C4" w:rsidP="004F23C4">
            <w:pPr>
              <w:pStyle w:val="Tabletext"/>
              <w:ind w:left="22"/>
              <w:jc w:val="center"/>
            </w:pPr>
            <w:r w:rsidRPr="007439DE">
              <w:t>$redacted</w:t>
            </w:r>
          </w:p>
        </w:tc>
        <w:tc>
          <w:tcPr>
            <w:tcW w:w="538" w:type="pct"/>
          </w:tcPr>
          <w:p w14:paraId="784F91E8" w14:textId="70842C3A" w:rsidR="004F23C4" w:rsidRPr="007439DE" w:rsidRDefault="004F23C4" w:rsidP="004F23C4">
            <w:pPr>
              <w:pStyle w:val="Tabletext"/>
              <w:ind w:left="22"/>
              <w:jc w:val="center"/>
            </w:pPr>
            <w:r w:rsidRPr="007439DE">
              <w:t>$redacted</w:t>
            </w:r>
          </w:p>
        </w:tc>
        <w:tc>
          <w:tcPr>
            <w:tcW w:w="538" w:type="pct"/>
          </w:tcPr>
          <w:p w14:paraId="1F9D748F" w14:textId="1F24C49D" w:rsidR="004F23C4" w:rsidRPr="007439DE" w:rsidRDefault="004F23C4" w:rsidP="004F23C4">
            <w:pPr>
              <w:pStyle w:val="Tabletext"/>
              <w:ind w:left="22"/>
              <w:jc w:val="center"/>
            </w:pPr>
            <w:r w:rsidRPr="007439DE">
              <w:t>$redacted</w:t>
            </w:r>
          </w:p>
        </w:tc>
        <w:tc>
          <w:tcPr>
            <w:tcW w:w="584" w:type="pct"/>
          </w:tcPr>
          <w:p w14:paraId="768D4E6A" w14:textId="77777777" w:rsidR="004F23C4" w:rsidRPr="007439DE" w:rsidRDefault="004F23C4" w:rsidP="004F23C4">
            <w:pPr>
              <w:pStyle w:val="Tabletext"/>
              <w:ind w:left="22"/>
              <w:jc w:val="center"/>
            </w:pPr>
            <w:r w:rsidRPr="007439DE">
              <w:t>Table 40</w:t>
            </w:r>
          </w:p>
        </w:tc>
      </w:tr>
      <w:tr w:rsidR="004F23C4" w:rsidRPr="007439DE" w14:paraId="49FEBFE0" w14:textId="77777777" w:rsidTr="00A0047D">
        <w:tc>
          <w:tcPr>
            <w:tcW w:w="313" w:type="pct"/>
          </w:tcPr>
          <w:p w14:paraId="55562B7C" w14:textId="77777777" w:rsidR="004F23C4" w:rsidRPr="007439DE" w:rsidRDefault="004F23C4" w:rsidP="004F23C4">
            <w:pPr>
              <w:pStyle w:val="Tabletext"/>
              <w:ind w:left="22"/>
            </w:pPr>
            <w:r w:rsidRPr="007439DE">
              <w:t>C</w:t>
            </w:r>
          </w:p>
        </w:tc>
        <w:tc>
          <w:tcPr>
            <w:tcW w:w="1414" w:type="pct"/>
          </w:tcPr>
          <w:p w14:paraId="65CF16CD" w14:textId="77777777" w:rsidR="004F23C4" w:rsidRPr="007439DE" w:rsidRDefault="004F23C4" w:rsidP="004F23C4">
            <w:pPr>
              <w:pStyle w:val="Tabletext"/>
              <w:ind w:left="22"/>
            </w:pPr>
            <w:r w:rsidRPr="007439DE">
              <w:t>-cost to MBS (75% rebate)</w:t>
            </w:r>
          </w:p>
        </w:tc>
        <w:tc>
          <w:tcPr>
            <w:tcW w:w="537" w:type="pct"/>
          </w:tcPr>
          <w:p w14:paraId="54AA9FBF" w14:textId="40B6CFAC" w:rsidR="004F23C4" w:rsidRPr="007439DE" w:rsidRDefault="004F23C4" w:rsidP="004F23C4">
            <w:pPr>
              <w:pStyle w:val="Tabletext"/>
              <w:ind w:left="22"/>
              <w:jc w:val="center"/>
            </w:pPr>
            <w:r w:rsidRPr="007439DE">
              <w:t>$redacted</w:t>
            </w:r>
          </w:p>
        </w:tc>
        <w:tc>
          <w:tcPr>
            <w:tcW w:w="538" w:type="pct"/>
          </w:tcPr>
          <w:p w14:paraId="30BF4418" w14:textId="0AAFF17E" w:rsidR="004F23C4" w:rsidRPr="007439DE" w:rsidRDefault="004F23C4" w:rsidP="004F23C4">
            <w:pPr>
              <w:pStyle w:val="Tabletext"/>
              <w:ind w:left="22"/>
              <w:jc w:val="center"/>
            </w:pPr>
            <w:r w:rsidRPr="007439DE">
              <w:t>$redacted</w:t>
            </w:r>
          </w:p>
        </w:tc>
        <w:tc>
          <w:tcPr>
            <w:tcW w:w="538" w:type="pct"/>
          </w:tcPr>
          <w:p w14:paraId="34A4212A" w14:textId="5EC1C049" w:rsidR="004F23C4" w:rsidRPr="007439DE" w:rsidRDefault="004F23C4" w:rsidP="004F23C4">
            <w:pPr>
              <w:pStyle w:val="Tabletext"/>
              <w:ind w:left="22"/>
              <w:jc w:val="center"/>
            </w:pPr>
            <w:r w:rsidRPr="007439DE">
              <w:t>$redacted</w:t>
            </w:r>
          </w:p>
        </w:tc>
        <w:tc>
          <w:tcPr>
            <w:tcW w:w="538" w:type="pct"/>
          </w:tcPr>
          <w:p w14:paraId="179916EF" w14:textId="4C96DB87" w:rsidR="004F23C4" w:rsidRPr="007439DE" w:rsidRDefault="004F23C4" w:rsidP="004F23C4">
            <w:pPr>
              <w:pStyle w:val="Tabletext"/>
              <w:ind w:left="22"/>
              <w:jc w:val="center"/>
            </w:pPr>
            <w:r w:rsidRPr="007439DE">
              <w:t>$redacted</w:t>
            </w:r>
          </w:p>
        </w:tc>
        <w:tc>
          <w:tcPr>
            <w:tcW w:w="538" w:type="pct"/>
          </w:tcPr>
          <w:p w14:paraId="67119E05" w14:textId="3C90A33D" w:rsidR="004F23C4" w:rsidRPr="007439DE" w:rsidRDefault="004F23C4" w:rsidP="004F23C4">
            <w:pPr>
              <w:pStyle w:val="Tabletext"/>
              <w:ind w:left="22"/>
              <w:jc w:val="center"/>
            </w:pPr>
            <w:r w:rsidRPr="007439DE">
              <w:t>$redacted</w:t>
            </w:r>
          </w:p>
        </w:tc>
        <w:tc>
          <w:tcPr>
            <w:tcW w:w="584" w:type="pct"/>
          </w:tcPr>
          <w:p w14:paraId="29E825CC" w14:textId="77777777" w:rsidR="004F23C4" w:rsidRPr="007439DE" w:rsidRDefault="004F23C4" w:rsidP="004F23C4">
            <w:pPr>
              <w:pStyle w:val="Tabletext"/>
              <w:ind w:left="22"/>
              <w:jc w:val="center"/>
            </w:pPr>
            <w:r w:rsidRPr="007439DE">
              <w:t>Table 40</w:t>
            </w:r>
          </w:p>
        </w:tc>
      </w:tr>
      <w:tr w:rsidR="004F23C4" w:rsidRPr="007439DE" w14:paraId="194F96DF" w14:textId="77777777" w:rsidTr="00A0047D">
        <w:tc>
          <w:tcPr>
            <w:tcW w:w="313" w:type="pct"/>
          </w:tcPr>
          <w:p w14:paraId="4D13DA21" w14:textId="77777777" w:rsidR="004F23C4" w:rsidRPr="007439DE" w:rsidRDefault="004F23C4" w:rsidP="004F23C4">
            <w:pPr>
              <w:pStyle w:val="Tabletext"/>
              <w:ind w:left="22"/>
            </w:pPr>
            <w:r w:rsidRPr="007439DE">
              <w:t>D</w:t>
            </w:r>
          </w:p>
        </w:tc>
        <w:tc>
          <w:tcPr>
            <w:tcW w:w="1414" w:type="pct"/>
          </w:tcPr>
          <w:p w14:paraId="0DA3F118" w14:textId="77777777" w:rsidR="004F23C4" w:rsidRPr="007439DE" w:rsidRDefault="004F23C4" w:rsidP="004F23C4">
            <w:pPr>
              <w:pStyle w:val="Tabletext"/>
              <w:ind w:left="22"/>
            </w:pPr>
            <w:r w:rsidRPr="007439DE">
              <w:t>-cost to patients</w:t>
            </w:r>
          </w:p>
        </w:tc>
        <w:tc>
          <w:tcPr>
            <w:tcW w:w="537" w:type="pct"/>
          </w:tcPr>
          <w:p w14:paraId="6564D5AC" w14:textId="580FD24D" w:rsidR="004F23C4" w:rsidRPr="007439DE" w:rsidRDefault="004F23C4" w:rsidP="004F23C4">
            <w:pPr>
              <w:pStyle w:val="Tabletext"/>
              <w:ind w:left="22"/>
              <w:jc w:val="center"/>
            </w:pPr>
            <w:r w:rsidRPr="007439DE">
              <w:t>$redacted</w:t>
            </w:r>
          </w:p>
        </w:tc>
        <w:tc>
          <w:tcPr>
            <w:tcW w:w="538" w:type="pct"/>
          </w:tcPr>
          <w:p w14:paraId="68660AE9" w14:textId="584019BE" w:rsidR="004F23C4" w:rsidRPr="007439DE" w:rsidRDefault="004F23C4" w:rsidP="004F23C4">
            <w:pPr>
              <w:pStyle w:val="Tabletext"/>
              <w:ind w:left="22"/>
              <w:jc w:val="center"/>
            </w:pPr>
            <w:r w:rsidRPr="007439DE">
              <w:t>$redacted</w:t>
            </w:r>
          </w:p>
        </w:tc>
        <w:tc>
          <w:tcPr>
            <w:tcW w:w="538" w:type="pct"/>
          </w:tcPr>
          <w:p w14:paraId="2DBD8E46" w14:textId="6346DD05" w:rsidR="004F23C4" w:rsidRPr="007439DE" w:rsidRDefault="004F23C4" w:rsidP="004F23C4">
            <w:pPr>
              <w:pStyle w:val="Tabletext"/>
              <w:ind w:left="22"/>
              <w:jc w:val="center"/>
            </w:pPr>
            <w:r w:rsidRPr="007439DE">
              <w:t>$redacted</w:t>
            </w:r>
          </w:p>
        </w:tc>
        <w:tc>
          <w:tcPr>
            <w:tcW w:w="538" w:type="pct"/>
          </w:tcPr>
          <w:p w14:paraId="5C07D00C" w14:textId="7B2B262D" w:rsidR="004F23C4" w:rsidRPr="007439DE" w:rsidRDefault="004F23C4" w:rsidP="004F23C4">
            <w:pPr>
              <w:pStyle w:val="Tabletext"/>
              <w:ind w:left="22"/>
              <w:jc w:val="center"/>
            </w:pPr>
            <w:r w:rsidRPr="007439DE">
              <w:t>$redacted</w:t>
            </w:r>
          </w:p>
        </w:tc>
        <w:tc>
          <w:tcPr>
            <w:tcW w:w="538" w:type="pct"/>
          </w:tcPr>
          <w:p w14:paraId="32C5342D" w14:textId="3A08A968" w:rsidR="004F23C4" w:rsidRPr="007439DE" w:rsidRDefault="004F23C4" w:rsidP="004F23C4">
            <w:pPr>
              <w:pStyle w:val="Tabletext"/>
              <w:ind w:left="22"/>
              <w:jc w:val="center"/>
            </w:pPr>
            <w:r w:rsidRPr="007439DE">
              <w:t>$redacted</w:t>
            </w:r>
          </w:p>
        </w:tc>
        <w:tc>
          <w:tcPr>
            <w:tcW w:w="584" w:type="pct"/>
          </w:tcPr>
          <w:p w14:paraId="526F77B1" w14:textId="77777777" w:rsidR="004F23C4" w:rsidRPr="007439DE" w:rsidRDefault="004F23C4" w:rsidP="004F23C4">
            <w:pPr>
              <w:pStyle w:val="Tabletext"/>
              <w:ind w:left="22"/>
              <w:jc w:val="center"/>
            </w:pPr>
            <w:r w:rsidRPr="007439DE">
              <w:t>Table 40</w:t>
            </w:r>
          </w:p>
        </w:tc>
      </w:tr>
      <w:tr w:rsidR="004F23C4" w:rsidRPr="007439DE" w14:paraId="5BB5EE27" w14:textId="77777777" w:rsidTr="00A0047D">
        <w:tc>
          <w:tcPr>
            <w:tcW w:w="313" w:type="pct"/>
          </w:tcPr>
          <w:p w14:paraId="1D5BAD20" w14:textId="77777777" w:rsidR="004F23C4" w:rsidRPr="007439DE" w:rsidRDefault="004F23C4" w:rsidP="004F23C4">
            <w:pPr>
              <w:pStyle w:val="Tabletext"/>
              <w:ind w:left="22"/>
            </w:pPr>
            <w:r w:rsidRPr="007439DE">
              <w:t>E</w:t>
            </w:r>
          </w:p>
        </w:tc>
        <w:tc>
          <w:tcPr>
            <w:tcW w:w="1414" w:type="pct"/>
          </w:tcPr>
          <w:p w14:paraId="610D5C5F" w14:textId="77777777" w:rsidR="004F23C4" w:rsidRPr="007439DE" w:rsidRDefault="004F23C4" w:rsidP="004F23C4">
            <w:pPr>
              <w:pStyle w:val="Tabletext"/>
              <w:ind w:left="22"/>
            </w:pPr>
            <w:r w:rsidRPr="007439DE">
              <w:t>Total cost of substituted T/EVAR procedures</w:t>
            </w:r>
          </w:p>
        </w:tc>
        <w:tc>
          <w:tcPr>
            <w:tcW w:w="537" w:type="pct"/>
          </w:tcPr>
          <w:p w14:paraId="589D87BF" w14:textId="5F94A980" w:rsidR="004F23C4" w:rsidRPr="007439DE" w:rsidRDefault="004F23C4" w:rsidP="004F23C4">
            <w:pPr>
              <w:pStyle w:val="Tabletext"/>
              <w:ind w:left="22"/>
              <w:jc w:val="center"/>
            </w:pPr>
            <w:r w:rsidRPr="007439DE">
              <w:t>$redacted</w:t>
            </w:r>
          </w:p>
        </w:tc>
        <w:tc>
          <w:tcPr>
            <w:tcW w:w="538" w:type="pct"/>
          </w:tcPr>
          <w:p w14:paraId="2E6D7F0F" w14:textId="0013312E" w:rsidR="004F23C4" w:rsidRPr="007439DE" w:rsidRDefault="004F23C4" w:rsidP="004F23C4">
            <w:pPr>
              <w:pStyle w:val="Tabletext"/>
              <w:ind w:left="22"/>
              <w:jc w:val="center"/>
            </w:pPr>
            <w:r w:rsidRPr="007439DE">
              <w:t>$redacted</w:t>
            </w:r>
          </w:p>
        </w:tc>
        <w:tc>
          <w:tcPr>
            <w:tcW w:w="538" w:type="pct"/>
          </w:tcPr>
          <w:p w14:paraId="39B01FAB" w14:textId="0E9E4564" w:rsidR="004F23C4" w:rsidRPr="007439DE" w:rsidRDefault="004F23C4" w:rsidP="004F23C4">
            <w:pPr>
              <w:pStyle w:val="Tabletext"/>
              <w:ind w:left="22"/>
              <w:jc w:val="center"/>
            </w:pPr>
            <w:r w:rsidRPr="007439DE">
              <w:t>$redacted</w:t>
            </w:r>
          </w:p>
        </w:tc>
        <w:tc>
          <w:tcPr>
            <w:tcW w:w="538" w:type="pct"/>
          </w:tcPr>
          <w:p w14:paraId="34BBA5F5" w14:textId="5A5FA0F1" w:rsidR="004F23C4" w:rsidRPr="007439DE" w:rsidRDefault="004F23C4" w:rsidP="004F23C4">
            <w:pPr>
              <w:pStyle w:val="Tabletext"/>
              <w:ind w:left="22"/>
              <w:jc w:val="center"/>
            </w:pPr>
            <w:r w:rsidRPr="007439DE">
              <w:t>$redacted</w:t>
            </w:r>
          </w:p>
        </w:tc>
        <w:tc>
          <w:tcPr>
            <w:tcW w:w="538" w:type="pct"/>
          </w:tcPr>
          <w:p w14:paraId="1DDA82BF" w14:textId="11E42989" w:rsidR="004F23C4" w:rsidRPr="007439DE" w:rsidRDefault="004F23C4" w:rsidP="004F23C4">
            <w:pPr>
              <w:pStyle w:val="Tabletext"/>
              <w:ind w:left="22"/>
              <w:jc w:val="center"/>
            </w:pPr>
            <w:r w:rsidRPr="007439DE">
              <w:t>$redacted</w:t>
            </w:r>
          </w:p>
        </w:tc>
        <w:tc>
          <w:tcPr>
            <w:tcW w:w="584" w:type="pct"/>
          </w:tcPr>
          <w:p w14:paraId="62D68B96" w14:textId="77777777" w:rsidR="004F23C4" w:rsidRPr="007439DE" w:rsidRDefault="004F23C4" w:rsidP="004F23C4">
            <w:pPr>
              <w:pStyle w:val="Tabletext"/>
              <w:ind w:left="22"/>
              <w:jc w:val="center"/>
            </w:pPr>
            <w:r w:rsidRPr="007439DE">
              <w:t>Table 41</w:t>
            </w:r>
          </w:p>
        </w:tc>
      </w:tr>
      <w:tr w:rsidR="004F23C4" w:rsidRPr="007439DE" w14:paraId="1DCAAE79" w14:textId="77777777" w:rsidTr="00A0047D">
        <w:tc>
          <w:tcPr>
            <w:tcW w:w="313" w:type="pct"/>
          </w:tcPr>
          <w:p w14:paraId="6D7E4740" w14:textId="77777777" w:rsidR="004F23C4" w:rsidRPr="007439DE" w:rsidRDefault="004F23C4" w:rsidP="004F23C4">
            <w:pPr>
              <w:pStyle w:val="Tabletext"/>
              <w:ind w:left="22"/>
            </w:pPr>
            <w:r w:rsidRPr="007439DE">
              <w:t>F</w:t>
            </w:r>
          </w:p>
        </w:tc>
        <w:tc>
          <w:tcPr>
            <w:tcW w:w="1414" w:type="pct"/>
          </w:tcPr>
          <w:p w14:paraId="20805079" w14:textId="77777777" w:rsidR="004F23C4" w:rsidRPr="007439DE" w:rsidRDefault="004F23C4" w:rsidP="004F23C4">
            <w:pPr>
              <w:pStyle w:val="Tabletext"/>
              <w:ind w:left="22"/>
            </w:pPr>
            <w:r w:rsidRPr="007439DE">
              <w:t>-cost to MBS (75% rebate)</w:t>
            </w:r>
          </w:p>
        </w:tc>
        <w:tc>
          <w:tcPr>
            <w:tcW w:w="537" w:type="pct"/>
          </w:tcPr>
          <w:p w14:paraId="759BECEC" w14:textId="79E34E05" w:rsidR="004F23C4" w:rsidRPr="007439DE" w:rsidRDefault="004F23C4" w:rsidP="004F23C4">
            <w:pPr>
              <w:pStyle w:val="Tabletext"/>
              <w:ind w:left="22"/>
              <w:jc w:val="center"/>
            </w:pPr>
            <w:r w:rsidRPr="007439DE">
              <w:t>$redacted</w:t>
            </w:r>
          </w:p>
        </w:tc>
        <w:tc>
          <w:tcPr>
            <w:tcW w:w="538" w:type="pct"/>
          </w:tcPr>
          <w:p w14:paraId="79DD180F" w14:textId="2F4F5579" w:rsidR="004F23C4" w:rsidRPr="007439DE" w:rsidRDefault="004F23C4" w:rsidP="004F23C4">
            <w:pPr>
              <w:pStyle w:val="Tabletext"/>
              <w:ind w:left="22"/>
              <w:jc w:val="center"/>
            </w:pPr>
            <w:r w:rsidRPr="007439DE">
              <w:t>$redacted</w:t>
            </w:r>
          </w:p>
        </w:tc>
        <w:tc>
          <w:tcPr>
            <w:tcW w:w="538" w:type="pct"/>
          </w:tcPr>
          <w:p w14:paraId="31F1013E" w14:textId="32BE52BA" w:rsidR="004F23C4" w:rsidRPr="007439DE" w:rsidRDefault="004F23C4" w:rsidP="004F23C4">
            <w:pPr>
              <w:pStyle w:val="Tabletext"/>
              <w:ind w:left="22"/>
              <w:jc w:val="center"/>
            </w:pPr>
            <w:r w:rsidRPr="007439DE">
              <w:t>$redacted</w:t>
            </w:r>
          </w:p>
        </w:tc>
        <w:tc>
          <w:tcPr>
            <w:tcW w:w="538" w:type="pct"/>
          </w:tcPr>
          <w:p w14:paraId="05C982DD" w14:textId="3CCB43AE" w:rsidR="004F23C4" w:rsidRPr="007439DE" w:rsidRDefault="004F23C4" w:rsidP="004F23C4">
            <w:pPr>
              <w:pStyle w:val="Tabletext"/>
              <w:ind w:left="22"/>
              <w:jc w:val="center"/>
            </w:pPr>
            <w:r w:rsidRPr="007439DE">
              <w:t>$redacted</w:t>
            </w:r>
          </w:p>
        </w:tc>
        <w:tc>
          <w:tcPr>
            <w:tcW w:w="538" w:type="pct"/>
          </w:tcPr>
          <w:p w14:paraId="1EAE1BDF" w14:textId="4DC265DD" w:rsidR="004F23C4" w:rsidRPr="007439DE" w:rsidRDefault="004F23C4" w:rsidP="004F23C4">
            <w:pPr>
              <w:pStyle w:val="Tabletext"/>
              <w:ind w:left="22"/>
              <w:jc w:val="center"/>
            </w:pPr>
            <w:r w:rsidRPr="007439DE">
              <w:t>$redacted</w:t>
            </w:r>
          </w:p>
        </w:tc>
        <w:tc>
          <w:tcPr>
            <w:tcW w:w="584" w:type="pct"/>
          </w:tcPr>
          <w:p w14:paraId="18700DB6" w14:textId="77777777" w:rsidR="004F23C4" w:rsidRPr="007439DE" w:rsidRDefault="004F23C4" w:rsidP="004F23C4">
            <w:pPr>
              <w:pStyle w:val="Tabletext"/>
              <w:ind w:left="22"/>
              <w:jc w:val="center"/>
            </w:pPr>
            <w:r w:rsidRPr="007439DE">
              <w:t>Table 41</w:t>
            </w:r>
          </w:p>
        </w:tc>
      </w:tr>
      <w:tr w:rsidR="004F23C4" w:rsidRPr="007439DE" w14:paraId="59BD2AF3" w14:textId="77777777" w:rsidTr="00A0047D">
        <w:tc>
          <w:tcPr>
            <w:tcW w:w="313" w:type="pct"/>
          </w:tcPr>
          <w:p w14:paraId="03942A02" w14:textId="77777777" w:rsidR="004F23C4" w:rsidRPr="007439DE" w:rsidRDefault="004F23C4" w:rsidP="004F23C4">
            <w:pPr>
              <w:pStyle w:val="Tabletext"/>
              <w:ind w:left="22"/>
            </w:pPr>
            <w:r w:rsidRPr="007439DE">
              <w:t>G</w:t>
            </w:r>
          </w:p>
        </w:tc>
        <w:tc>
          <w:tcPr>
            <w:tcW w:w="1414" w:type="pct"/>
          </w:tcPr>
          <w:p w14:paraId="661C3E3B" w14:textId="77777777" w:rsidR="004F23C4" w:rsidRPr="007439DE" w:rsidRDefault="004F23C4" w:rsidP="004F23C4">
            <w:pPr>
              <w:pStyle w:val="Tabletext"/>
              <w:ind w:left="22"/>
            </w:pPr>
            <w:r w:rsidRPr="007439DE">
              <w:t>-cost to patients</w:t>
            </w:r>
          </w:p>
        </w:tc>
        <w:tc>
          <w:tcPr>
            <w:tcW w:w="537" w:type="pct"/>
          </w:tcPr>
          <w:p w14:paraId="648C3D6A" w14:textId="53EE095E" w:rsidR="004F23C4" w:rsidRPr="007439DE" w:rsidRDefault="004F23C4" w:rsidP="004F23C4">
            <w:pPr>
              <w:pStyle w:val="Tabletext"/>
              <w:ind w:left="22"/>
              <w:jc w:val="center"/>
            </w:pPr>
            <w:r w:rsidRPr="007439DE">
              <w:t>$redacted</w:t>
            </w:r>
          </w:p>
        </w:tc>
        <w:tc>
          <w:tcPr>
            <w:tcW w:w="538" w:type="pct"/>
          </w:tcPr>
          <w:p w14:paraId="731CFF7E" w14:textId="63D4D99B" w:rsidR="004F23C4" w:rsidRPr="007439DE" w:rsidRDefault="004F23C4" w:rsidP="004F23C4">
            <w:pPr>
              <w:pStyle w:val="Tabletext"/>
              <w:ind w:left="22"/>
              <w:jc w:val="center"/>
            </w:pPr>
            <w:r w:rsidRPr="007439DE">
              <w:t>$redacted</w:t>
            </w:r>
          </w:p>
        </w:tc>
        <w:tc>
          <w:tcPr>
            <w:tcW w:w="538" w:type="pct"/>
          </w:tcPr>
          <w:p w14:paraId="3A828BDF" w14:textId="733AA7C6" w:rsidR="004F23C4" w:rsidRPr="007439DE" w:rsidRDefault="004F23C4" w:rsidP="004F23C4">
            <w:pPr>
              <w:pStyle w:val="Tabletext"/>
              <w:ind w:left="22"/>
              <w:jc w:val="center"/>
            </w:pPr>
            <w:r w:rsidRPr="007439DE">
              <w:t>$redacted</w:t>
            </w:r>
          </w:p>
        </w:tc>
        <w:tc>
          <w:tcPr>
            <w:tcW w:w="538" w:type="pct"/>
          </w:tcPr>
          <w:p w14:paraId="3D3CB0AB" w14:textId="16F03EE4" w:rsidR="004F23C4" w:rsidRPr="007439DE" w:rsidRDefault="004F23C4" w:rsidP="004F23C4">
            <w:pPr>
              <w:pStyle w:val="Tabletext"/>
              <w:ind w:left="22"/>
              <w:jc w:val="center"/>
            </w:pPr>
            <w:r w:rsidRPr="007439DE">
              <w:t>$redacted</w:t>
            </w:r>
          </w:p>
        </w:tc>
        <w:tc>
          <w:tcPr>
            <w:tcW w:w="538" w:type="pct"/>
          </w:tcPr>
          <w:p w14:paraId="5C5274F9" w14:textId="474FE3EE" w:rsidR="004F23C4" w:rsidRPr="007439DE" w:rsidRDefault="004F23C4" w:rsidP="004F23C4">
            <w:pPr>
              <w:pStyle w:val="Tabletext"/>
              <w:ind w:left="22"/>
              <w:jc w:val="center"/>
            </w:pPr>
            <w:r w:rsidRPr="007439DE">
              <w:t>$redacted</w:t>
            </w:r>
          </w:p>
        </w:tc>
        <w:tc>
          <w:tcPr>
            <w:tcW w:w="584" w:type="pct"/>
          </w:tcPr>
          <w:p w14:paraId="625E6107" w14:textId="77777777" w:rsidR="004F23C4" w:rsidRPr="007439DE" w:rsidRDefault="004F23C4" w:rsidP="004F23C4">
            <w:pPr>
              <w:pStyle w:val="Tabletext"/>
              <w:ind w:left="22"/>
              <w:jc w:val="center"/>
            </w:pPr>
            <w:r w:rsidRPr="007439DE">
              <w:t>Table 41</w:t>
            </w:r>
          </w:p>
        </w:tc>
      </w:tr>
      <w:tr w:rsidR="004F23C4" w:rsidRPr="007439DE" w14:paraId="52E8778B" w14:textId="77777777" w:rsidTr="00A0047D">
        <w:tc>
          <w:tcPr>
            <w:tcW w:w="313" w:type="pct"/>
          </w:tcPr>
          <w:p w14:paraId="49258B36" w14:textId="77777777" w:rsidR="004F23C4" w:rsidRPr="007439DE" w:rsidRDefault="004F23C4" w:rsidP="004F23C4">
            <w:pPr>
              <w:pStyle w:val="Tabletext"/>
              <w:ind w:left="22"/>
            </w:pPr>
            <w:r w:rsidRPr="007439DE">
              <w:t>H</w:t>
            </w:r>
          </w:p>
        </w:tc>
        <w:tc>
          <w:tcPr>
            <w:tcW w:w="1414" w:type="pct"/>
          </w:tcPr>
          <w:p w14:paraId="405A75C7" w14:textId="77777777" w:rsidR="004F23C4" w:rsidRPr="007439DE" w:rsidRDefault="004F23C4" w:rsidP="004F23C4">
            <w:pPr>
              <w:pStyle w:val="Tabletext"/>
              <w:ind w:left="22"/>
            </w:pPr>
            <w:r w:rsidRPr="007439DE">
              <w:t>Net financial impact of T/EVAR+EA listing</w:t>
            </w:r>
          </w:p>
        </w:tc>
        <w:tc>
          <w:tcPr>
            <w:tcW w:w="537" w:type="pct"/>
          </w:tcPr>
          <w:p w14:paraId="696520FE" w14:textId="78D1FD20" w:rsidR="004F23C4" w:rsidRPr="007439DE" w:rsidRDefault="004F23C4" w:rsidP="004F23C4">
            <w:pPr>
              <w:pStyle w:val="Tabletext"/>
              <w:ind w:left="22"/>
              <w:jc w:val="center"/>
            </w:pPr>
            <w:r w:rsidRPr="007439DE">
              <w:t>$redacted</w:t>
            </w:r>
          </w:p>
        </w:tc>
        <w:tc>
          <w:tcPr>
            <w:tcW w:w="538" w:type="pct"/>
          </w:tcPr>
          <w:p w14:paraId="67AF97F9" w14:textId="385B2787" w:rsidR="004F23C4" w:rsidRPr="007439DE" w:rsidRDefault="004F23C4" w:rsidP="004F23C4">
            <w:pPr>
              <w:pStyle w:val="Tabletext"/>
              <w:ind w:left="22"/>
              <w:jc w:val="center"/>
            </w:pPr>
            <w:r w:rsidRPr="007439DE">
              <w:t>$redacted</w:t>
            </w:r>
          </w:p>
        </w:tc>
        <w:tc>
          <w:tcPr>
            <w:tcW w:w="538" w:type="pct"/>
          </w:tcPr>
          <w:p w14:paraId="56661448" w14:textId="23EBFFC7" w:rsidR="004F23C4" w:rsidRPr="007439DE" w:rsidRDefault="004F23C4" w:rsidP="004F23C4">
            <w:pPr>
              <w:pStyle w:val="Tabletext"/>
              <w:ind w:left="22"/>
              <w:jc w:val="center"/>
            </w:pPr>
            <w:r w:rsidRPr="007439DE">
              <w:t>$redacted</w:t>
            </w:r>
          </w:p>
        </w:tc>
        <w:tc>
          <w:tcPr>
            <w:tcW w:w="538" w:type="pct"/>
          </w:tcPr>
          <w:p w14:paraId="2524EC6B" w14:textId="477DC7A5" w:rsidR="004F23C4" w:rsidRPr="007439DE" w:rsidRDefault="004F23C4" w:rsidP="004F23C4">
            <w:pPr>
              <w:pStyle w:val="Tabletext"/>
              <w:ind w:left="22"/>
              <w:jc w:val="center"/>
            </w:pPr>
            <w:r w:rsidRPr="007439DE">
              <w:t>$redacted</w:t>
            </w:r>
          </w:p>
        </w:tc>
        <w:tc>
          <w:tcPr>
            <w:tcW w:w="538" w:type="pct"/>
          </w:tcPr>
          <w:p w14:paraId="148E8BAE" w14:textId="06B0E076" w:rsidR="004F23C4" w:rsidRPr="007439DE" w:rsidRDefault="004F23C4" w:rsidP="004F23C4">
            <w:pPr>
              <w:pStyle w:val="Tabletext"/>
              <w:ind w:left="22"/>
              <w:jc w:val="center"/>
            </w:pPr>
            <w:r w:rsidRPr="007439DE">
              <w:t>$redacted</w:t>
            </w:r>
          </w:p>
        </w:tc>
        <w:tc>
          <w:tcPr>
            <w:tcW w:w="584" w:type="pct"/>
          </w:tcPr>
          <w:p w14:paraId="3B915EA3" w14:textId="77777777" w:rsidR="004F23C4" w:rsidRPr="007439DE" w:rsidRDefault="004F23C4" w:rsidP="004F23C4">
            <w:pPr>
              <w:pStyle w:val="Tabletext"/>
              <w:ind w:left="22"/>
              <w:jc w:val="center"/>
            </w:pPr>
            <w:r w:rsidRPr="007439DE">
              <w:t>B-E</w:t>
            </w:r>
          </w:p>
        </w:tc>
      </w:tr>
      <w:tr w:rsidR="004F23C4" w:rsidRPr="007439DE" w14:paraId="65425779" w14:textId="77777777" w:rsidTr="00A0047D">
        <w:tc>
          <w:tcPr>
            <w:tcW w:w="313" w:type="pct"/>
          </w:tcPr>
          <w:p w14:paraId="3B3EF1A7" w14:textId="77777777" w:rsidR="004F23C4" w:rsidRPr="007439DE" w:rsidRDefault="004F23C4" w:rsidP="004F23C4">
            <w:pPr>
              <w:pStyle w:val="Tabletext"/>
              <w:ind w:left="22"/>
            </w:pPr>
            <w:r w:rsidRPr="007439DE">
              <w:t>I</w:t>
            </w:r>
          </w:p>
        </w:tc>
        <w:tc>
          <w:tcPr>
            <w:tcW w:w="1414" w:type="pct"/>
          </w:tcPr>
          <w:p w14:paraId="78C96B8E" w14:textId="77777777" w:rsidR="004F23C4" w:rsidRPr="007439DE" w:rsidRDefault="004F23C4" w:rsidP="004F23C4">
            <w:pPr>
              <w:pStyle w:val="Tabletext"/>
              <w:ind w:left="22"/>
            </w:pPr>
            <w:r w:rsidRPr="007439DE">
              <w:t>-cost to MBS (75% rebate)</w:t>
            </w:r>
          </w:p>
        </w:tc>
        <w:tc>
          <w:tcPr>
            <w:tcW w:w="537" w:type="pct"/>
          </w:tcPr>
          <w:p w14:paraId="62302942" w14:textId="1B5B513F" w:rsidR="004F23C4" w:rsidRPr="007439DE" w:rsidRDefault="004F23C4" w:rsidP="004F23C4">
            <w:pPr>
              <w:pStyle w:val="Tabletext"/>
              <w:ind w:left="22"/>
              <w:jc w:val="center"/>
            </w:pPr>
            <w:r w:rsidRPr="007439DE">
              <w:t>$redacted</w:t>
            </w:r>
          </w:p>
        </w:tc>
        <w:tc>
          <w:tcPr>
            <w:tcW w:w="538" w:type="pct"/>
          </w:tcPr>
          <w:p w14:paraId="6CABC0C9" w14:textId="43204371" w:rsidR="004F23C4" w:rsidRPr="007439DE" w:rsidRDefault="004F23C4" w:rsidP="004F23C4">
            <w:pPr>
              <w:pStyle w:val="Tabletext"/>
              <w:ind w:left="22"/>
              <w:jc w:val="center"/>
            </w:pPr>
            <w:r w:rsidRPr="007439DE">
              <w:t>$redacted</w:t>
            </w:r>
          </w:p>
        </w:tc>
        <w:tc>
          <w:tcPr>
            <w:tcW w:w="538" w:type="pct"/>
          </w:tcPr>
          <w:p w14:paraId="140FC9DF" w14:textId="55535764" w:rsidR="004F23C4" w:rsidRPr="007439DE" w:rsidRDefault="004F23C4" w:rsidP="004F23C4">
            <w:pPr>
              <w:pStyle w:val="Tabletext"/>
              <w:ind w:left="22"/>
              <w:jc w:val="center"/>
            </w:pPr>
            <w:r w:rsidRPr="007439DE">
              <w:t>$redacted</w:t>
            </w:r>
          </w:p>
        </w:tc>
        <w:tc>
          <w:tcPr>
            <w:tcW w:w="538" w:type="pct"/>
          </w:tcPr>
          <w:p w14:paraId="3CC02463" w14:textId="57C8FA52" w:rsidR="004F23C4" w:rsidRPr="007439DE" w:rsidRDefault="004F23C4" w:rsidP="004F23C4">
            <w:pPr>
              <w:pStyle w:val="Tabletext"/>
              <w:ind w:left="22"/>
              <w:jc w:val="center"/>
            </w:pPr>
            <w:r w:rsidRPr="007439DE">
              <w:t>$redacted</w:t>
            </w:r>
          </w:p>
        </w:tc>
        <w:tc>
          <w:tcPr>
            <w:tcW w:w="538" w:type="pct"/>
          </w:tcPr>
          <w:p w14:paraId="3240C288" w14:textId="4486813D" w:rsidR="004F23C4" w:rsidRPr="007439DE" w:rsidRDefault="004F23C4" w:rsidP="004F23C4">
            <w:pPr>
              <w:pStyle w:val="Tabletext"/>
              <w:ind w:left="22"/>
              <w:jc w:val="center"/>
            </w:pPr>
            <w:r w:rsidRPr="007439DE">
              <w:t>$redacted</w:t>
            </w:r>
          </w:p>
        </w:tc>
        <w:tc>
          <w:tcPr>
            <w:tcW w:w="584" w:type="pct"/>
          </w:tcPr>
          <w:p w14:paraId="7973A9B4" w14:textId="77777777" w:rsidR="004F23C4" w:rsidRPr="007439DE" w:rsidRDefault="004F23C4" w:rsidP="004F23C4">
            <w:pPr>
              <w:pStyle w:val="Tabletext"/>
              <w:ind w:left="22"/>
              <w:jc w:val="center"/>
            </w:pPr>
            <w:r w:rsidRPr="007439DE">
              <w:t>C-F</w:t>
            </w:r>
          </w:p>
        </w:tc>
      </w:tr>
      <w:tr w:rsidR="004F23C4" w:rsidRPr="004F23C4" w14:paraId="5C0E3DA3" w14:textId="77777777" w:rsidTr="00A0047D">
        <w:tc>
          <w:tcPr>
            <w:tcW w:w="313" w:type="pct"/>
          </w:tcPr>
          <w:p w14:paraId="3D22AB2D" w14:textId="77777777" w:rsidR="004F23C4" w:rsidRPr="007439DE" w:rsidRDefault="004F23C4" w:rsidP="004F23C4">
            <w:pPr>
              <w:pStyle w:val="Tabletext"/>
              <w:keepNext/>
              <w:ind w:left="22"/>
            </w:pPr>
            <w:r w:rsidRPr="007439DE">
              <w:t>J</w:t>
            </w:r>
          </w:p>
        </w:tc>
        <w:tc>
          <w:tcPr>
            <w:tcW w:w="1414" w:type="pct"/>
          </w:tcPr>
          <w:p w14:paraId="760DBE9A" w14:textId="77777777" w:rsidR="004F23C4" w:rsidRPr="007439DE" w:rsidRDefault="004F23C4" w:rsidP="004F23C4">
            <w:pPr>
              <w:pStyle w:val="Tabletext"/>
              <w:keepNext/>
              <w:ind w:left="22"/>
            </w:pPr>
            <w:r w:rsidRPr="007439DE">
              <w:t>-cost to patients</w:t>
            </w:r>
          </w:p>
        </w:tc>
        <w:tc>
          <w:tcPr>
            <w:tcW w:w="537" w:type="pct"/>
          </w:tcPr>
          <w:p w14:paraId="0856114F" w14:textId="7D309EE6" w:rsidR="004F23C4" w:rsidRPr="007439DE" w:rsidRDefault="004F23C4" w:rsidP="004F23C4">
            <w:pPr>
              <w:pStyle w:val="Tabletext"/>
              <w:keepNext/>
              <w:ind w:left="22"/>
              <w:jc w:val="center"/>
            </w:pPr>
            <w:r w:rsidRPr="007439DE">
              <w:t>$redacted</w:t>
            </w:r>
          </w:p>
        </w:tc>
        <w:tc>
          <w:tcPr>
            <w:tcW w:w="538" w:type="pct"/>
          </w:tcPr>
          <w:p w14:paraId="68E2C4CF" w14:textId="302D2CCB" w:rsidR="004F23C4" w:rsidRPr="007439DE" w:rsidRDefault="004F23C4" w:rsidP="004F23C4">
            <w:pPr>
              <w:pStyle w:val="Tabletext"/>
              <w:keepNext/>
              <w:ind w:left="22"/>
              <w:jc w:val="center"/>
            </w:pPr>
            <w:r w:rsidRPr="007439DE">
              <w:t>$redacted</w:t>
            </w:r>
          </w:p>
        </w:tc>
        <w:tc>
          <w:tcPr>
            <w:tcW w:w="538" w:type="pct"/>
          </w:tcPr>
          <w:p w14:paraId="5EA5337B" w14:textId="360B9810" w:rsidR="004F23C4" w:rsidRPr="007439DE" w:rsidRDefault="004F23C4" w:rsidP="004F23C4">
            <w:pPr>
              <w:pStyle w:val="Tabletext"/>
              <w:keepNext/>
              <w:ind w:left="22"/>
              <w:jc w:val="center"/>
            </w:pPr>
            <w:r w:rsidRPr="007439DE">
              <w:t>$redacted</w:t>
            </w:r>
          </w:p>
        </w:tc>
        <w:tc>
          <w:tcPr>
            <w:tcW w:w="538" w:type="pct"/>
          </w:tcPr>
          <w:p w14:paraId="02B4E050" w14:textId="100610D7" w:rsidR="004F23C4" w:rsidRPr="007439DE" w:rsidRDefault="004F23C4" w:rsidP="004F23C4">
            <w:pPr>
              <w:pStyle w:val="Tabletext"/>
              <w:keepNext/>
              <w:ind w:left="22"/>
              <w:jc w:val="center"/>
            </w:pPr>
            <w:r w:rsidRPr="007439DE">
              <w:t>$redacted</w:t>
            </w:r>
          </w:p>
        </w:tc>
        <w:tc>
          <w:tcPr>
            <w:tcW w:w="538" w:type="pct"/>
          </w:tcPr>
          <w:p w14:paraId="700DFC61" w14:textId="5AD09DBB" w:rsidR="004F23C4" w:rsidRPr="007439DE" w:rsidRDefault="004F23C4" w:rsidP="004F23C4">
            <w:pPr>
              <w:pStyle w:val="Tabletext"/>
              <w:keepNext/>
              <w:ind w:left="22"/>
              <w:jc w:val="center"/>
            </w:pPr>
            <w:r w:rsidRPr="007439DE">
              <w:t>$redacted</w:t>
            </w:r>
          </w:p>
        </w:tc>
        <w:tc>
          <w:tcPr>
            <w:tcW w:w="584" w:type="pct"/>
          </w:tcPr>
          <w:p w14:paraId="63981298" w14:textId="77777777" w:rsidR="004F23C4" w:rsidRPr="004F23C4" w:rsidRDefault="004F23C4" w:rsidP="004F23C4">
            <w:pPr>
              <w:pStyle w:val="Tabletext"/>
              <w:keepNext/>
              <w:ind w:left="22"/>
              <w:jc w:val="center"/>
            </w:pPr>
            <w:r w:rsidRPr="007439DE">
              <w:t>D-G</w:t>
            </w:r>
          </w:p>
        </w:tc>
      </w:tr>
    </w:tbl>
    <w:p w14:paraId="295F900D" w14:textId="77777777" w:rsidR="007E6D4E" w:rsidRPr="00154A9C" w:rsidRDefault="007E6D4E" w:rsidP="007E6D4E">
      <w:pPr>
        <w:keepNext/>
        <w:rPr>
          <w:rFonts w:ascii="Arial Narrow" w:hAnsi="Arial Narrow" w:cs="Arial"/>
          <w:snapToGrid w:val="0"/>
          <w:sz w:val="18"/>
          <w:lang w:eastAsia="en-US"/>
        </w:rPr>
      </w:pPr>
      <w:r w:rsidRPr="00154A9C">
        <w:rPr>
          <w:rFonts w:ascii="Arial Narrow" w:hAnsi="Arial Narrow" w:cs="Arial"/>
          <w:snapToGrid w:val="0"/>
          <w:sz w:val="18"/>
          <w:lang w:eastAsia="en-US"/>
        </w:rPr>
        <w:t>EA=EndoAnchor; EVAR=Endovascular aneurysm repair; MBS=Medicare Benefits Schedule; T/EVAR=Thoracic endovascular aneurysm repair</w:t>
      </w:r>
    </w:p>
    <w:p w14:paraId="17627D2F" w14:textId="6D3DD00C" w:rsidR="007E6D4E" w:rsidRPr="00965A7E" w:rsidRDefault="007E6D4E" w:rsidP="00965A7E">
      <w:pPr>
        <w:keepNext/>
        <w:rPr>
          <w:rFonts w:ascii="Arial Narrow" w:hAnsi="Arial Narrow" w:cs="Arial"/>
          <w:snapToGrid w:val="0"/>
          <w:sz w:val="18"/>
          <w:lang w:eastAsia="en-US"/>
        </w:rPr>
      </w:pPr>
      <w:r w:rsidRPr="00154A9C">
        <w:rPr>
          <w:rFonts w:ascii="Arial Narrow" w:hAnsi="Arial Narrow" w:cs="Arial"/>
          <w:snapToGrid w:val="0"/>
          <w:sz w:val="18"/>
          <w:lang w:eastAsia="en-US"/>
        </w:rPr>
        <w:t>Source:</w:t>
      </w:r>
      <w:r w:rsidR="00965A7E">
        <w:rPr>
          <w:rFonts w:ascii="Arial Narrow" w:hAnsi="Arial Narrow" w:cs="Arial"/>
          <w:snapToGrid w:val="0"/>
          <w:sz w:val="18"/>
          <w:lang w:eastAsia="en-US"/>
        </w:rPr>
        <w:t xml:space="preserve"> Table 9, pxx of the commentary</w:t>
      </w:r>
    </w:p>
    <w:p w14:paraId="345BA6B1" w14:textId="5E817575" w:rsidR="007E6D4E" w:rsidRPr="00154A9C" w:rsidRDefault="007E6D4E" w:rsidP="00965A7E">
      <w:pPr>
        <w:spacing w:before="240"/>
      </w:pPr>
      <w:r w:rsidRPr="00154A9C">
        <w:t>The commentary noted that the financial implications did not take into consideration the increase in utilisation if T/EVAR+EA is recommended by MSAC and listed on the MBS and do not take into account private hospital usage, and therefore utilisation and cost</w:t>
      </w:r>
      <w:r w:rsidR="00965A7E">
        <w:t xml:space="preserve"> estimates are underestimated. </w:t>
      </w:r>
    </w:p>
    <w:p w14:paraId="3B169304" w14:textId="2CB27846" w:rsidR="007E6D4E" w:rsidRPr="00154A9C" w:rsidRDefault="007E6D4E" w:rsidP="00965A7E">
      <w:pPr>
        <w:spacing w:before="240"/>
        <w:rPr>
          <w:i/>
        </w:rPr>
      </w:pPr>
      <w:r w:rsidRPr="00154A9C">
        <w:t xml:space="preserve">The commentary noted that the financial impact model has used small uptake rates (between </w:t>
      </w:r>
      <w:r w:rsidR="00723317" w:rsidRPr="00F31BCD">
        <w:rPr>
          <w:b/>
        </w:rPr>
        <w:t>redacted</w:t>
      </w:r>
      <w:r w:rsidRPr="00154A9C">
        <w:t xml:space="preserve">% and </w:t>
      </w:r>
      <w:r w:rsidR="00723317" w:rsidRPr="00F31BCD">
        <w:rPr>
          <w:b/>
        </w:rPr>
        <w:t>redacted</w:t>
      </w:r>
      <w:r w:rsidRPr="00154A9C">
        <w:t xml:space="preserve">% for AAA and </w:t>
      </w:r>
      <w:r w:rsidR="00723317" w:rsidRPr="00F31BCD">
        <w:rPr>
          <w:b/>
        </w:rPr>
        <w:t>redacted</w:t>
      </w:r>
      <w:r w:rsidRPr="00154A9C">
        <w:t xml:space="preserve">% and </w:t>
      </w:r>
      <w:r w:rsidR="00723317" w:rsidRPr="00F31BCD">
        <w:rPr>
          <w:b/>
        </w:rPr>
        <w:t>redacted</w:t>
      </w:r>
      <w:r w:rsidRPr="00154A9C">
        <w:t>% for TAA), which are favourable for T/EVAR+EA, and would underestimate the real net cost to the MBS (when considering higher uptake rates). However, when assessing the broader impact to the MBS, and considering the reduction in the number of transluminal stent insertion services claimed under the MBS item 35309, the savings to the MBS are also increased.</w:t>
      </w:r>
    </w:p>
    <w:p w14:paraId="2A7E1EB9" w14:textId="08319BC7" w:rsidR="007E6D4E" w:rsidRPr="007439DE" w:rsidRDefault="007E6D4E" w:rsidP="00965A7E">
      <w:pPr>
        <w:spacing w:before="240"/>
        <w:rPr>
          <w:i/>
          <w:iCs/>
        </w:rPr>
      </w:pPr>
      <w:r w:rsidRPr="00154A9C">
        <w:t>The ADAR acknowledged there is the potential for use outside of the proposed restriction, with the procedure being used in patients without hostile neck anatomy, or a Type 1a Endoleak. The potential financial implications of this additional use were estimated by applying T/EVAR+EA uptake assumptions to total T/EVAR procedures, as opposed to only complex T/EVAR procedures in the base case.  The commentary considered that w</w:t>
      </w:r>
      <w:r w:rsidRPr="00154A9C">
        <w:rPr>
          <w:iCs/>
        </w:rPr>
        <w:t xml:space="preserve">hile this approach is acceptable, the same uptake rates were used in estimating use outside the </w:t>
      </w:r>
      <w:r w:rsidRPr="007439DE">
        <w:rPr>
          <w:iCs/>
        </w:rPr>
        <w:t>restriction, which again could underestimate any financial implications.</w:t>
      </w:r>
      <w:r w:rsidRPr="007439DE">
        <w:t xml:space="preserve"> </w:t>
      </w:r>
      <w:r w:rsidRPr="007439DE">
        <w:rPr>
          <w:iCs/>
        </w:rPr>
        <w:t xml:space="preserve">The incorporation of use outside the restriction into the financial impact estimates resulted in a cost to the MBS of </w:t>
      </w:r>
      <w:r w:rsidR="004F23C4" w:rsidRPr="007439DE">
        <w:t>$</w:t>
      </w:r>
      <w:r w:rsidR="004F23C4" w:rsidRPr="007439DE">
        <w:rPr>
          <w:b/>
        </w:rPr>
        <w:t>redacted</w:t>
      </w:r>
      <w:r w:rsidR="00A9387D" w:rsidRPr="007439DE">
        <w:rPr>
          <w:b/>
        </w:rPr>
        <w:t xml:space="preserve"> </w:t>
      </w:r>
      <w:r w:rsidRPr="007439DE">
        <w:rPr>
          <w:iCs/>
        </w:rPr>
        <w:t xml:space="preserve">in the first year increasing to </w:t>
      </w:r>
      <w:r w:rsidR="004F23C4" w:rsidRPr="007439DE">
        <w:t>$</w:t>
      </w:r>
      <w:r w:rsidR="004F23C4" w:rsidRPr="007439DE">
        <w:rPr>
          <w:b/>
        </w:rPr>
        <w:t>redacted</w:t>
      </w:r>
      <w:r w:rsidR="004F23C4" w:rsidRPr="007439DE" w:rsidDel="004F23C4">
        <w:rPr>
          <w:iCs/>
        </w:rPr>
        <w:t xml:space="preserve"> </w:t>
      </w:r>
      <w:r w:rsidRPr="007439DE">
        <w:rPr>
          <w:iCs/>
        </w:rPr>
        <w:t>in the fifth year.</w:t>
      </w:r>
      <w:r w:rsidR="00965A7E" w:rsidRPr="007439DE">
        <w:rPr>
          <w:i/>
          <w:iCs/>
        </w:rPr>
        <w:t xml:space="preserve"> </w:t>
      </w:r>
    </w:p>
    <w:p w14:paraId="54FB4A62" w14:textId="28A55B97" w:rsidR="007E6D4E" w:rsidRPr="00965A7E" w:rsidRDefault="007E6D4E" w:rsidP="00965A7E">
      <w:pPr>
        <w:spacing w:before="240"/>
        <w:rPr>
          <w:iCs/>
        </w:rPr>
      </w:pPr>
      <w:r w:rsidRPr="007439DE">
        <w:t xml:space="preserve">The impact of substituting the uptake rates to a maximum of 100%, to obtain the upper bound estimate (without use outside the restriction) is shown below in </w:t>
      </w:r>
      <w:r w:rsidR="00E05271" w:rsidRPr="007439DE">
        <w:fldChar w:fldCharType="begin"/>
      </w:r>
      <w:r w:rsidR="00E05271" w:rsidRPr="007439DE">
        <w:instrText xml:space="preserve"> REF _Ref43985640 \h </w:instrText>
      </w:r>
      <w:r w:rsidR="007439DE">
        <w:instrText xml:space="preserve"> \* MERGEFORMAT </w:instrText>
      </w:r>
      <w:r w:rsidR="00E05271" w:rsidRPr="007439DE">
        <w:fldChar w:fldCharType="separate"/>
      </w:r>
      <w:r w:rsidR="00E05271" w:rsidRPr="007439DE">
        <w:t xml:space="preserve">Table </w:t>
      </w:r>
      <w:r w:rsidR="00E05271" w:rsidRPr="007439DE">
        <w:rPr>
          <w:noProof/>
        </w:rPr>
        <w:t>13</w:t>
      </w:r>
      <w:r w:rsidR="00E05271" w:rsidRPr="007439DE">
        <w:fldChar w:fldCharType="end"/>
      </w:r>
      <w:r w:rsidRPr="007439DE">
        <w:t>.</w:t>
      </w:r>
      <w:r w:rsidRPr="007439DE">
        <w:rPr>
          <w:i/>
          <w:iCs/>
        </w:rPr>
        <w:t xml:space="preserve"> </w:t>
      </w:r>
      <w:r w:rsidRPr="007439DE">
        <w:rPr>
          <w:iCs/>
        </w:rPr>
        <w:t xml:space="preserve">This analysis indicated a saving to the MBS of </w:t>
      </w:r>
      <w:r w:rsidR="004F23C4" w:rsidRPr="007439DE">
        <w:t>$</w:t>
      </w:r>
      <w:r w:rsidR="004F23C4" w:rsidRPr="007439DE">
        <w:rPr>
          <w:b/>
        </w:rPr>
        <w:t>redacted</w:t>
      </w:r>
      <w:r w:rsidR="00A9387D" w:rsidRPr="007439DE">
        <w:rPr>
          <w:b/>
        </w:rPr>
        <w:t xml:space="preserve"> </w:t>
      </w:r>
      <w:r w:rsidRPr="007439DE">
        <w:rPr>
          <w:iCs/>
        </w:rPr>
        <w:t>in the</w:t>
      </w:r>
      <w:r w:rsidRPr="00154A9C">
        <w:rPr>
          <w:iCs/>
        </w:rPr>
        <w:t xml:space="preserve"> first year increasin</w:t>
      </w:r>
      <w:r w:rsidR="00DE4F02">
        <w:rPr>
          <w:iCs/>
        </w:rPr>
        <w:t xml:space="preserve">g </w:t>
      </w:r>
      <w:r w:rsidR="00DE4F02" w:rsidRPr="007439DE">
        <w:rPr>
          <w:iCs/>
        </w:rPr>
        <w:t xml:space="preserve">to </w:t>
      </w:r>
      <w:r w:rsidR="004F23C4" w:rsidRPr="007439DE">
        <w:t>$</w:t>
      </w:r>
      <w:r w:rsidR="004F23C4" w:rsidRPr="007439DE">
        <w:rPr>
          <w:b/>
        </w:rPr>
        <w:t>redacted</w:t>
      </w:r>
      <w:r w:rsidR="00A9387D" w:rsidRPr="007439DE">
        <w:rPr>
          <w:b/>
        </w:rPr>
        <w:t xml:space="preserve"> </w:t>
      </w:r>
      <w:r w:rsidR="00DE4F02" w:rsidRPr="007439DE">
        <w:rPr>
          <w:iCs/>
        </w:rPr>
        <w:t>in the</w:t>
      </w:r>
      <w:r w:rsidR="00DE4F02">
        <w:rPr>
          <w:iCs/>
        </w:rPr>
        <w:t xml:space="preserve"> fifth year</w:t>
      </w:r>
      <w:r w:rsidR="00965A7E">
        <w:rPr>
          <w:iCs/>
        </w:rPr>
        <w:t>.</w:t>
      </w:r>
    </w:p>
    <w:p w14:paraId="47616A17" w14:textId="445F42A9" w:rsidR="007E6D4E" w:rsidRPr="00154A9C" w:rsidRDefault="00E05271" w:rsidP="007439DE">
      <w:pPr>
        <w:pStyle w:val="Style1"/>
        <w:keepNext/>
        <w:keepLines/>
        <w:spacing w:before="240"/>
      </w:pPr>
      <w:bookmarkStart w:id="43" w:name="_Ref43985640"/>
      <w:bookmarkStart w:id="44" w:name="_Ref26391786"/>
      <w:bookmarkStart w:id="45" w:name="_Toc30609776"/>
      <w:r>
        <w:lastRenderedPageBreak/>
        <w:t xml:space="preserve">Table </w:t>
      </w:r>
      <w:r w:rsidR="002665AC">
        <w:fldChar w:fldCharType="begin"/>
      </w:r>
      <w:r w:rsidR="002665AC">
        <w:instrText xml:space="preserve"> SEQ Table \* ARABIC </w:instrText>
      </w:r>
      <w:r w:rsidR="002665AC">
        <w:fldChar w:fldCharType="separate"/>
      </w:r>
      <w:r>
        <w:rPr>
          <w:noProof/>
        </w:rPr>
        <w:t>13</w:t>
      </w:r>
      <w:r w:rsidR="002665AC">
        <w:rPr>
          <w:noProof/>
        </w:rPr>
        <w:fldChar w:fldCharType="end"/>
      </w:r>
      <w:bookmarkEnd w:id="43"/>
      <w:r>
        <w:tab/>
      </w:r>
      <w:r w:rsidR="007E6D4E" w:rsidRPr="00154A9C">
        <w:t xml:space="preserve">Total </w:t>
      </w:r>
      <w:bookmarkEnd w:id="44"/>
      <w:r w:rsidR="007E6D4E" w:rsidRPr="00154A9C">
        <w:t>to the MBS over five years with an uptake of 100% (not presented in ADAR)</w:t>
      </w:r>
      <w:bookmarkEnd w:id="45"/>
    </w:p>
    <w:tbl>
      <w:tblPr>
        <w:tblStyle w:val="TableGrid1"/>
        <w:tblW w:w="5000" w:type="pct"/>
        <w:tblLook w:val="04A0" w:firstRow="1" w:lastRow="0" w:firstColumn="1" w:lastColumn="0" w:noHBand="0" w:noVBand="1"/>
        <w:tblCaption w:val="Table 11 "/>
        <w:tblDescription w:val="Costs to the MBS over five years with an uptake of 100% (not presented in submission)"/>
      </w:tblPr>
      <w:tblGrid>
        <w:gridCol w:w="3483"/>
        <w:gridCol w:w="1106"/>
        <w:gridCol w:w="1106"/>
        <w:gridCol w:w="1107"/>
        <w:gridCol w:w="1107"/>
        <w:gridCol w:w="1107"/>
      </w:tblGrid>
      <w:tr w:rsidR="007E6D4E" w:rsidRPr="007439DE" w14:paraId="47AF4586" w14:textId="77777777" w:rsidTr="004F23C4">
        <w:trPr>
          <w:cnfStyle w:val="100000000000" w:firstRow="1" w:lastRow="0" w:firstColumn="0" w:lastColumn="0" w:oddVBand="0" w:evenVBand="0" w:oddHBand="0" w:evenHBand="0" w:firstRowFirstColumn="0" w:firstRowLastColumn="0" w:lastRowFirstColumn="0" w:lastRowLastColumn="0"/>
          <w:cantSplit/>
          <w:trHeight w:val="300"/>
          <w:tblHeader/>
        </w:trPr>
        <w:tc>
          <w:tcPr>
            <w:tcW w:w="1473" w:type="pct"/>
            <w:tcBorders>
              <w:bottom w:val="single" w:sz="4" w:space="0" w:color="auto"/>
            </w:tcBorders>
            <w:noWrap/>
          </w:tcPr>
          <w:p w14:paraId="7F2FE20C" w14:textId="77777777" w:rsidR="007E6D4E" w:rsidRPr="007439DE" w:rsidRDefault="007E6D4E" w:rsidP="007439DE">
            <w:pPr>
              <w:pStyle w:val="Tabletext"/>
              <w:keepNext/>
              <w:keepLines/>
              <w:rPr>
                <w:iCs/>
                <w:szCs w:val="20"/>
              </w:rPr>
            </w:pPr>
            <w:r w:rsidRPr="007439DE">
              <w:rPr>
                <w:b/>
                <w:bCs/>
                <w:iCs/>
                <w:szCs w:val="20"/>
              </w:rPr>
              <w:t>Parameter</w:t>
            </w:r>
          </w:p>
        </w:tc>
        <w:tc>
          <w:tcPr>
            <w:tcW w:w="705" w:type="pct"/>
            <w:tcBorders>
              <w:bottom w:val="single" w:sz="4" w:space="0" w:color="auto"/>
            </w:tcBorders>
            <w:noWrap/>
          </w:tcPr>
          <w:p w14:paraId="6AFFE390" w14:textId="77777777" w:rsidR="007E6D4E" w:rsidRPr="007439DE" w:rsidRDefault="007E6D4E" w:rsidP="007439DE">
            <w:pPr>
              <w:pStyle w:val="Tabletext"/>
              <w:keepNext/>
              <w:keepLines/>
              <w:jc w:val="center"/>
              <w:rPr>
                <w:b/>
                <w:bCs/>
                <w:iCs/>
                <w:szCs w:val="20"/>
              </w:rPr>
            </w:pPr>
            <w:r w:rsidRPr="007439DE">
              <w:rPr>
                <w:b/>
                <w:bCs/>
                <w:iCs/>
                <w:szCs w:val="20"/>
              </w:rPr>
              <w:t>Year 1</w:t>
            </w:r>
          </w:p>
        </w:tc>
        <w:tc>
          <w:tcPr>
            <w:tcW w:w="705" w:type="pct"/>
            <w:tcBorders>
              <w:bottom w:val="single" w:sz="4" w:space="0" w:color="auto"/>
            </w:tcBorders>
            <w:noWrap/>
          </w:tcPr>
          <w:p w14:paraId="75C9F93B" w14:textId="77777777" w:rsidR="007E6D4E" w:rsidRPr="007439DE" w:rsidRDefault="007E6D4E" w:rsidP="007439DE">
            <w:pPr>
              <w:pStyle w:val="Tabletext"/>
              <w:keepNext/>
              <w:keepLines/>
              <w:jc w:val="center"/>
              <w:rPr>
                <w:b/>
                <w:bCs/>
                <w:iCs/>
                <w:szCs w:val="20"/>
              </w:rPr>
            </w:pPr>
            <w:r w:rsidRPr="007439DE">
              <w:rPr>
                <w:b/>
                <w:bCs/>
                <w:iCs/>
                <w:szCs w:val="20"/>
              </w:rPr>
              <w:t>Year 2</w:t>
            </w:r>
          </w:p>
        </w:tc>
        <w:tc>
          <w:tcPr>
            <w:tcW w:w="705" w:type="pct"/>
            <w:tcBorders>
              <w:bottom w:val="single" w:sz="4" w:space="0" w:color="auto"/>
            </w:tcBorders>
            <w:noWrap/>
          </w:tcPr>
          <w:p w14:paraId="606B3841" w14:textId="77777777" w:rsidR="007E6D4E" w:rsidRPr="007439DE" w:rsidRDefault="007E6D4E" w:rsidP="007439DE">
            <w:pPr>
              <w:pStyle w:val="Tabletext"/>
              <w:keepNext/>
              <w:keepLines/>
              <w:jc w:val="center"/>
              <w:rPr>
                <w:b/>
                <w:bCs/>
                <w:iCs/>
                <w:szCs w:val="20"/>
              </w:rPr>
            </w:pPr>
            <w:r w:rsidRPr="007439DE">
              <w:rPr>
                <w:b/>
                <w:bCs/>
                <w:iCs/>
                <w:szCs w:val="20"/>
              </w:rPr>
              <w:t>Year 3</w:t>
            </w:r>
          </w:p>
        </w:tc>
        <w:tc>
          <w:tcPr>
            <w:tcW w:w="705" w:type="pct"/>
            <w:tcBorders>
              <w:bottom w:val="single" w:sz="4" w:space="0" w:color="auto"/>
            </w:tcBorders>
            <w:noWrap/>
          </w:tcPr>
          <w:p w14:paraId="0C59FE24" w14:textId="77777777" w:rsidR="007E6D4E" w:rsidRPr="007439DE" w:rsidRDefault="007E6D4E" w:rsidP="007439DE">
            <w:pPr>
              <w:pStyle w:val="Tabletext"/>
              <w:keepNext/>
              <w:keepLines/>
              <w:jc w:val="center"/>
              <w:rPr>
                <w:b/>
                <w:bCs/>
                <w:iCs/>
                <w:szCs w:val="20"/>
              </w:rPr>
            </w:pPr>
            <w:r w:rsidRPr="007439DE">
              <w:rPr>
                <w:b/>
                <w:bCs/>
                <w:iCs/>
                <w:szCs w:val="20"/>
              </w:rPr>
              <w:t>Year 4</w:t>
            </w:r>
          </w:p>
        </w:tc>
        <w:tc>
          <w:tcPr>
            <w:tcW w:w="705" w:type="pct"/>
            <w:tcBorders>
              <w:bottom w:val="single" w:sz="4" w:space="0" w:color="auto"/>
            </w:tcBorders>
            <w:noWrap/>
          </w:tcPr>
          <w:p w14:paraId="73776D76" w14:textId="77777777" w:rsidR="007E6D4E" w:rsidRPr="007439DE" w:rsidRDefault="007E6D4E" w:rsidP="007439DE">
            <w:pPr>
              <w:pStyle w:val="Tabletext"/>
              <w:keepNext/>
              <w:keepLines/>
              <w:jc w:val="center"/>
              <w:rPr>
                <w:b/>
                <w:bCs/>
                <w:iCs/>
                <w:szCs w:val="20"/>
              </w:rPr>
            </w:pPr>
            <w:r w:rsidRPr="007439DE">
              <w:rPr>
                <w:b/>
                <w:bCs/>
                <w:iCs/>
                <w:szCs w:val="20"/>
              </w:rPr>
              <w:t>Year 5</w:t>
            </w:r>
          </w:p>
        </w:tc>
      </w:tr>
      <w:tr w:rsidR="004F23C4" w:rsidRPr="007439DE" w14:paraId="28A3B700" w14:textId="77777777" w:rsidTr="004F23C4">
        <w:trPr>
          <w:trHeight w:val="300"/>
        </w:trPr>
        <w:tc>
          <w:tcPr>
            <w:tcW w:w="1473" w:type="pct"/>
            <w:tcBorders>
              <w:left w:val="single" w:sz="4" w:space="0" w:color="auto"/>
              <w:right w:val="single" w:sz="4" w:space="0" w:color="auto"/>
            </w:tcBorders>
            <w:noWrap/>
          </w:tcPr>
          <w:p w14:paraId="2A0AF0AF" w14:textId="77777777" w:rsidR="004F23C4" w:rsidRPr="007439DE" w:rsidRDefault="004F23C4" w:rsidP="007439DE">
            <w:pPr>
              <w:pStyle w:val="Tabletext"/>
              <w:keepNext/>
              <w:keepLines/>
              <w:rPr>
                <w:b/>
                <w:bCs/>
                <w:iCs/>
                <w:szCs w:val="20"/>
              </w:rPr>
            </w:pPr>
            <w:r w:rsidRPr="007439DE">
              <w:rPr>
                <w:b/>
                <w:bCs/>
                <w:szCs w:val="20"/>
              </w:rPr>
              <w:t>Base case cost to MBS (75% rebate)</w:t>
            </w:r>
          </w:p>
        </w:tc>
        <w:tc>
          <w:tcPr>
            <w:tcW w:w="705" w:type="pct"/>
            <w:tcBorders>
              <w:left w:val="single" w:sz="4" w:space="0" w:color="auto"/>
              <w:right w:val="single" w:sz="4" w:space="0" w:color="auto"/>
            </w:tcBorders>
            <w:noWrap/>
          </w:tcPr>
          <w:p w14:paraId="00C03C99" w14:textId="3CBF847A" w:rsidR="004F23C4" w:rsidRPr="007439DE" w:rsidRDefault="004F23C4" w:rsidP="007439DE">
            <w:pPr>
              <w:pStyle w:val="Tabletext"/>
              <w:keepNext/>
              <w:keepLines/>
              <w:jc w:val="center"/>
              <w:rPr>
                <w:iCs/>
                <w:strike/>
                <w:szCs w:val="20"/>
              </w:rPr>
            </w:pPr>
            <w:r w:rsidRPr="007439DE">
              <w:t>$redacted</w:t>
            </w:r>
          </w:p>
        </w:tc>
        <w:tc>
          <w:tcPr>
            <w:tcW w:w="705" w:type="pct"/>
            <w:tcBorders>
              <w:left w:val="single" w:sz="4" w:space="0" w:color="auto"/>
              <w:right w:val="single" w:sz="4" w:space="0" w:color="auto"/>
            </w:tcBorders>
            <w:noWrap/>
          </w:tcPr>
          <w:p w14:paraId="69E176F2" w14:textId="58F9BAAB" w:rsidR="004F23C4" w:rsidRPr="007439DE" w:rsidRDefault="004F23C4" w:rsidP="007439DE">
            <w:pPr>
              <w:pStyle w:val="Tabletext"/>
              <w:keepNext/>
              <w:keepLines/>
              <w:jc w:val="center"/>
              <w:rPr>
                <w:iCs/>
                <w:strike/>
                <w:szCs w:val="20"/>
              </w:rPr>
            </w:pPr>
            <w:r w:rsidRPr="007439DE">
              <w:t>$redacted</w:t>
            </w:r>
          </w:p>
        </w:tc>
        <w:tc>
          <w:tcPr>
            <w:tcW w:w="705" w:type="pct"/>
            <w:tcBorders>
              <w:left w:val="single" w:sz="4" w:space="0" w:color="auto"/>
              <w:right w:val="single" w:sz="4" w:space="0" w:color="auto"/>
            </w:tcBorders>
            <w:noWrap/>
          </w:tcPr>
          <w:p w14:paraId="099D190E" w14:textId="4EEAB977" w:rsidR="004F23C4" w:rsidRPr="007439DE" w:rsidRDefault="004F23C4" w:rsidP="007439DE">
            <w:pPr>
              <w:pStyle w:val="Tabletext"/>
              <w:keepNext/>
              <w:keepLines/>
              <w:jc w:val="center"/>
              <w:rPr>
                <w:iCs/>
                <w:strike/>
                <w:szCs w:val="20"/>
              </w:rPr>
            </w:pPr>
            <w:r w:rsidRPr="007439DE">
              <w:t>$redacted</w:t>
            </w:r>
          </w:p>
        </w:tc>
        <w:tc>
          <w:tcPr>
            <w:tcW w:w="705" w:type="pct"/>
            <w:tcBorders>
              <w:left w:val="single" w:sz="4" w:space="0" w:color="auto"/>
              <w:right w:val="single" w:sz="4" w:space="0" w:color="auto"/>
            </w:tcBorders>
            <w:noWrap/>
          </w:tcPr>
          <w:p w14:paraId="6AD6E5AE" w14:textId="1C4EB7E8" w:rsidR="004F23C4" w:rsidRPr="007439DE" w:rsidRDefault="004F23C4" w:rsidP="007439DE">
            <w:pPr>
              <w:pStyle w:val="Tabletext"/>
              <w:keepNext/>
              <w:keepLines/>
              <w:jc w:val="center"/>
              <w:rPr>
                <w:iCs/>
                <w:strike/>
                <w:szCs w:val="20"/>
              </w:rPr>
            </w:pPr>
            <w:r w:rsidRPr="007439DE">
              <w:t>$redacted</w:t>
            </w:r>
          </w:p>
        </w:tc>
        <w:tc>
          <w:tcPr>
            <w:tcW w:w="705" w:type="pct"/>
            <w:tcBorders>
              <w:left w:val="single" w:sz="4" w:space="0" w:color="auto"/>
              <w:right w:val="single" w:sz="4" w:space="0" w:color="auto"/>
            </w:tcBorders>
            <w:noWrap/>
          </w:tcPr>
          <w:p w14:paraId="51363BDF" w14:textId="6271BF5F" w:rsidR="004F23C4" w:rsidRPr="007439DE" w:rsidRDefault="004F23C4" w:rsidP="007439DE">
            <w:pPr>
              <w:pStyle w:val="Tabletext"/>
              <w:keepNext/>
              <w:keepLines/>
              <w:jc w:val="center"/>
              <w:rPr>
                <w:iCs/>
                <w:strike/>
                <w:szCs w:val="20"/>
              </w:rPr>
            </w:pPr>
            <w:r w:rsidRPr="007439DE">
              <w:t>$redacted</w:t>
            </w:r>
          </w:p>
        </w:tc>
      </w:tr>
      <w:tr w:rsidR="004F23C4" w:rsidRPr="007439DE" w14:paraId="5B70930F" w14:textId="77777777" w:rsidTr="004F23C4">
        <w:trPr>
          <w:trHeight w:val="300"/>
        </w:trPr>
        <w:tc>
          <w:tcPr>
            <w:tcW w:w="1473" w:type="pct"/>
            <w:tcBorders>
              <w:left w:val="single" w:sz="4" w:space="0" w:color="auto"/>
              <w:right w:val="single" w:sz="4" w:space="0" w:color="auto"/>
            </w:tcBorders>
            <w:noWrap/>
          </w:tcPr>
          <w:p w14:paraId="2BB03E70" w14:textId="77777777" w:rsidR="004F23C4" w:rsidRPr="007439DE" w:rsidRDefault="004F23C4" w:rsidP="007439DE">
            <w:pPr>
              <w:pStyle w:val="Tabletext"/>
              <w:keepNext/>
              <w:keepLines/>
              <w:rPr>
                <w:b/>
                <w:bCs/>
                <w:iCs/>
                <w:szCs w:val="20"/>
              </w:rPr>
            </w:pPr>
            <w:r w:rsidRPr="007439DE">
              <w:rPr>
                <w:b/>
                <w:bCs/>
                <w:szCs w:val="20"/>
              </w:rPr>
              <w:t>Base case (cost to patients)</w:t>
            </w:r>
          </w:p>
        </w:tc>
        <w:tc>
          <w:tcPr>
            <w:tcW w:w="705" w:type="pct"/>
            <w:tcBorders>
              <w:left w:val="single" w:sz="4" w:space="0" w:color="auto"/>
              <w:right w:val="single" w:sz="4" w:space="0" w:color="auto"/>
            </w:tcBorders>
            <w:noWrap/>
          </w:tcPr>
          <w:p w14:paraId="23581473" w14:textId="2441DFFE" w:rsidR="004F23C4" w:rsidRPr="007439DE" w:rsidRDefault="004F23C4" w:rsidP="007439DE">
            <w:pPr>
              <w:pStyle w:val="Tabletext"/>
              <w:keepNext/>
              <w:keepLines/>
              <w:jc w:val="center"/>
              <w:rPr>
                <w:iCs/>
                <w:strike/>
                <w:szCs w:val="20"/>
              </w:rPr>
            </w:pPr>
            <w:r w:rsidRPr="007439DE">
              <w:t>$redacted</w:t>
            </w:r>
          </w:p>
        </w:tc>
        <w:tc>
          <w:tcPr>
            <w:tcW w:w="705" w:type="pct"/>
            <w:tcBorders>
              <w:left w:val="single" w:sz="4" w:space="0" w:color="auto"/>
              <w:right w:val="single" w:sz="4" w:space="0" w:color="auto"/>
            </w:tcBorders>
            <w:noWrap/>
          </w:tcPr>
          <w:p w14:paraId="05153761" w14:textId="6FFC415B" w:rsidR="004F23C4" w:rsidRPr="007439DE" w:rsidRDefault="004F23C4" w:rsidP="007439DE">
            <w:pPr>
              <w:pStyle w:val="Tabletext"/>
              <w:keepNext/>
              <w:keepLines/>
              <w:jc w:val="center"/>
              <w:rPr>
                <w:iCs/>
                <w:strike/>
                <w:szCs w:val="20"/>
              </w:rPr>
            </w:pPr>
            <w:r w:rsidRPr="007439DE">
              <w:t>$redacted</w:t>
            </w:r>
          </w:p>
        </w:tc>
        <w:tc>
          <w:tcPr>
            <w:tcW w:w="705" w:type="pct"/>
            <w:tcBorders>
              <w:left w:val="single" w:sz="4" w:space="0" w:color="auto"/>
              <w:right w:val="single" w:sz="4" w:space="0" w:color="auto"/>
            </w:tcBorders>
            <w:noWrap/>
          </w:tcPr>
          <w:p w14:paraId="19FA2F2D" w14:textId="6A67B365" w:rsidR="004F23C4" w:rsidRPr="007439DE" w:rsidRDefault="004F23C4" w:rsidP="007439DE">
            <w:pPr>
              <w:pStyle w:val="Tabletext"/>
              <w:keepNext/>
              <w:keepLines/>
              <w:jc w:val="center"/>
              <w:rPr>
                <w:iCs/>
                <w:strike/>
                <w:szCs w:val="20"/>
              </w:rPr>
            </w:pPr>
            <w:r w:rsidRPr="007439DE">
              <w:t>$redacted</w:t>
            </w:r>
          </w:p>
        </w:tc>
        <w:tc>
          <w:tcPr>
            <w:tcW w:w="705" w:type="pct"/>
            <w:tcBorders>
              <w:left w:val="single" w:sz="4" w:space="0" w:color="auto"/>
              <w:right w:val="single" w:sz="4" w:space="0" w:color="auto"/>
            </w:tcBorders>
            <w:noWrap/>
          </w:tcPr>
          <w:p w14:paraId="2DF087E6" w14:textId="0BC01FC5" w:rsidR="004F23C4" w:rsidRPr="007439DE" w:rsidRDefault="004F23C4" w:rsidP="007439DE">
            <w:pPr>
              <w:pStyle w:val="Tabletext"/>
              <w:keepNext/>
              <w:keepLines/>
              <w:jc w:val="center"/>
              <w:rPr>
                <w:iCs/>
                <w:strike/>
                <w:szCs w:val="20"/>
              </w:rPr>
            </w:pPr>
            <w:r w:rsidRPr="007439DE">
              <w:t>$redacted</w:t>
            </w:r>
          </w:p>
        </w:tc>
        <w:tc>
          <w:tcPr>
            <w:tcW w:w="705" w:type="pct"/>
            <w:tcBorders>
              <w:left w:val="single" w:sz="4" w:space="0" w:color="auto"/>
              <w:right w:val="single" w:sz="4" w:space="0" w:color="auto"/>
            </w:tcBorders>
            <w:noWrap/>
          </w:tcPr>
          <w:p w14:paraId="7F9A3F05" w14:textId="033F7BC4" w:rsidR="004F23C4" w:rsidRPr="007439DE" w:rsidRDefault="004F23C4" w:rsidP="007439DE">
            <w:pPr>
              <w:pStyle w:val="Tabletext"/>
              <w:keepNext/>
              <w:keepLines/>
              <w:jc w:val="center"/>
              <w:rPr>
                <w:iCs/>
                <w:strike/>
                <w:szCs w:val="20"/>
              </w:rPr>
            </w:pPr>
            <w:r w:rsidRPr="007439DE">
              <w:t>$redacted</w:t>
            </w:r>
          </w:p>
        </w:tc>
      </w:tr>
      <w:tr w:rsidR="007E6D4E" w:rsidRPr="007439DE" w14:paraId="6E1D975F" w14:textId="77777777" w:rsidTr="004F23C4">
        <w:trPr>
          <w:trHeight w:val="300"/>
        </w:trPr>
        <w:tc>
          <w:tcPr>
            <w:tcW w:w="1473" w:type="pct"/>
            <w:tcBorders>
              <w:left w:val="single" w:sz="4" w:space="0" w:color="auto"/>
              <w:right w:val="nil"/>
            </w:tcBorders>
            <w:noWrap/>
          </w:tcPr>
          <w:p w14:paraId="08C68430" w14:textId="77777777" w:rsidR="007E6D4E" w:rsidRPr="007439DE" w:rsidRDefault="007E6D4E" w:rsidP="00A0047D">
            <w:pPr>
              <w:pStyle w:val="Tabletext"/>
              <w:keepNext/>
              <w:rPr>
                <w:iCs/>
                <w:szCs w:val="20"/>
              </w:rPr>
            </w:pPr>
            <w:r w:rsidRPr="007439DE">
              <w:rPr>
                <w:b/>
                <w:bCs/>
                <w:iCs/>
                <w:szCs w:val="20"/>
              </w:rPr>
              <w:t>Cost of EVAR+EA services</w:t>
            </w:r>
          </w:p>
        </w:tc>
        <w:tc>
          <w:tcPr>
            <w:tcW w:w="705" w:type="pct"/>
            <w:tcBorders>
              <w:left w:val="nil"/>
              <w:right w:val="nil"/>
            </w:tcBorders>
            <w:noWrap/>
          </w:tcPr>
          <w:p w14:paraId="42C9E1D4" w14:textId="77777777" w:rsidR="007E6D4E" w:rsidRPr="007439DE" w:rsidRDefault="007E6D4E" w:rsidP="00A0047D">
            <w:pPr>
              <w:pStyle w:val="Tabletext"/>
              <w:keepNext/>
              <w:jc w:val="center"/>
              <w:rPr>
                <w:iCs/>
                <w:strike/>
                <w:szCs w:val="20"/>
              </w:rPr>
            </w:pPr>
          </w:p>
        </w:tc>
        <w:tc>
          <w:tcPr>
            <w:tcW w:w="705" w:type="pct"/>
            <w:tcBorders>
              <w:left w:val="nil"/>
              <w:right w:val="nil"/>
            </w:tcBorders>
            <w:noWrap/>
          </w:tcPr>
          <w:p w14:paraId="55E96B4A" w14:textId="77777777" w:rsidR="007E6D4E" w:rsidRPr="007439DE" w:rsidRDefault="007E6D4E" w:rsidP="00A0047D">
            <w:pPr>
              <w:pStyle w:val="Tabletext"/>
              <w:keepNext/>
              <w:jc w:val="center"/>
              <w:rPr>
                <w:iCs/>
                <w:strike/>
                <w:szCs w:val="20"/>
              </w:rPr>
            </w:pPr>
          </w:p>
        </w:tc>
        <w:tc>
          <w:tcPr>
            <w:tcW w:w="705" w:type="pct"/>
            <w:tcBorders>
              <w:left w:val="nil"/>
              <w:right w:val="nil"/>
            </w:tcBorders>
            <w:noWrap/>
          </w:tcPr>
          <w:p w14:paraId="76C5D796" w14:textId="77777777" w:rsidR="007E6D4E" w:rsidRPr="007439DE" w:rsidRDefault="007E6D4E" w:rsidP="00A0047D">
            <w:pPr>
              <w:pStyle w:val="Tabletext"/>
              <w:keepNext/>
              <w:jc w:val="center"/>
              <w:rPr>
                <w:iCs/>
                <w:strike/>
                <w:szCs w:val="20"/>
              </w:rPr>
            </w:pPr>
          </w:p>
        </w:tc>
        <w:tc>
          <w:tcPr>
            <w:tcW w:w="705" w:type="pct"/>
            <w:tcBorders>
              <w:left w:val="nil"/>
              <w:right w:val="nil"/>
            </w:tcBorders>
            <w:noWrap/>
          </w:tcPr>
          <w:p w14:paraId="1EEC904D" w14:textId="77777777" w:rsidR="007E6D4E" w:rsidRPr="007439DE" w:rsidRDefault="007E6D4E" w:rsidP="00A0047D">
            <w:pPr>
              <w:pStyle w:val="Tabletext"/>
              <w:keepNext/>
              <w:jc w:val="center"/>
              <w:rPr>
                <w:iCs/>
                <w:strike/>
                <w:szCs w:val="20"/>
              </w:rPr>
            </w:pPr>
          </w:p>
        </w:tc>
        <w:tc>
          <w:tcPr>
            <w:tcW w:w="705" w:type="pct"/>
            <w:tcBorders>
              <w:left w:val="nil"/>
              <w:right w:val="single" w:sz="4" w:space="0" w:color="auto"/>
            </w:tcBorders>
            <w:noWrap/>
          </w:tcPr>
          <w:p w14:paraId="7468A8B8" w14:textId="77777777" w:rsidR="007E6D4E" w:rsidRPr="007439DE" w:rsidRDefault="007E6D4E" w:rsidP="00A0047D">
            <w:pPr>
              <w:pStyle w:val="Tabletext"/>
              <w:keepNext/>
              <w:jc w:val="center"/>
              <w:rPr>
                <w:iCs/>
                <w:strike/>
                <w:szCs w:val="20"/>
              </w:rPr>
            </w:pPr>
          </w:p>
        </w:tc>
      </w:tr>
      <w:tr w:rsidR="004F23C4" w:rsidRPr="007439DE" w14:paraId="51026A4E" w14:textId="77777777" w:rsidTr="004F23C4">
        <w:trPr>
          <w:trHeight w:val="300"/>
        </w:trPr>
        <w:tc>
          <w:tcPr>
            <w:tcW w:w="1473" w:type="pct"/>
            <w:noWrap/>
            <w:vAlign w:val="center"/>
          </w:tcPr>
          <w:p w14:paraId="00451386" w14:textId="77777777" w:rsidR="004F23C4" w:rsidRPr="007439DE" w:rsidRDefault="004F23C4" w:rsidP="004F23C4">
            <w:pPr>
              <w:keepNext/>
              <w:spacing w:after="40"/>
              <w:rPr>
                <w:iCs/>
              </w:rPr>
            </w:pPr>
            <w:r w:rsidRPr="007439DE">
              <w:rPr>
                <w:iCs/>
              </w:rPr>
              <w:t>Total cost of EVAR+EA procedures</w:t>
            </w:r>
          </w:p>
        </w:tc>
        <w:tc>
          <w:tcPr>
            <w:tcW w:w="705" w:type="pct"/>
            <w:noWrap/>
          </w:tcPr>
          <w:p w14:paraId="750AA077" w14:textId="26377105" w:rsidR="004F23C4" w:rsidRPr="007439DE" w:rsidRDefault="004F23C4" w:rsidP="004F23C4">
            <w:pPr>
              <w:keepNext/>
              <w:spacing w:after="40"/>
              <w:jc w:val="center"/>
              <w:rPr>
                <w:iCs/>
                <w:strike/>
              </w:rPr>
            </w:pPr>
            <w:r w:rsidRPr="007439DE">
              <w:t>$redacted</w:t>
            </w:r>
          </w:p>
        </w:tc>
        <w:tc>
          <w:tcPr>
            <w:tcW w:w="705" w:type="pct"/>
            <w:noWrap/>
          </w:tcPr>
          <w:p w14:paraId="33BAFC8E" w14:textId="2FA3BD75" w:rsidR="004F23C4" w:rsidRPr="007439DE" w:rsidRDefault="004F23C4" w:rsidP="004F23C4">
            <w:pPr>
              <w:keepNext/>
              <w:spacing w:after="40"/>
              <w:jc w:val="center"/>
              <w:rPr>
                <w:iCs/>
                <w:strike/>
              </w:rPr>
            </w:pPr>
            <w:r w:rsidRPr="007439DE">
              <w:t>$redacted</w:t>
            </w:r>
          </w:p>
        </w:tc>
        <w:tc>
          <w:tcPr>
            <w:tcW w:w="705" w:type="pct"/>
            <w:noWrap/>
          </w:tcPr>
          <w:p w14:paraId="27779719" w14:textId="727350C8" w:rsidR="004F23C4" w:rsidRPr="007439DE" w:rsidRDefault="004F23C4" w:rsidP="004F23C4">
            <w:pPr>
              <w:keepNext/>
              <w:spacing w:after="40"/>
              <w:jc w:val="center"/>
              <w:rPr>
                <w:iCs/>
                <w:strike/>
              </w:rPr>
            </w:pPr>
            <w:r w:rsidRPr="007439DE">
              <w:t>$redacted</w:t>
            </w:r>
          </w:p>
        </w:tc>
        <w:tc>
          <w:tcPr>
            <w:tcW w:w="705" w:type="pct"/>
            <w:noWrap/>
          </w:tcPr>
          <w:p w14:paraId="31EC66CF" w14:textId="5842979B" w:rsidR="004F23C4" w:rsidRPr="007439DE" w:rsidRDefault="004F23C4" w:rsidP="004F23C4">
            <w:pPr>
              <w:keepNext/>
              <w:spacing w:after="40"/>
              <w:jc w:val="center"/>
              <w:rPr>
                <w:iCs/>
                <w:strike/>
              </w:rPr>
            </w:pPr>
            <w:r w:rsidRPr="007439DE">
              <w:t>$redacted</w:t>
            </w:r>
          </w:p>
        </w:tc>
        <w:tc>
          <w:tcPr>
            <w:tcW w:w="705" w:type="pct"/>
            <w:noWrap/>
          </w:tcPr>
          <w:p w14:paraId="5530ED0A" w14:textId="099BA58F" w:rsidR="004F23C4" w:rsidRPr="007439DE" w:rsidRDefault="004F23C4" w:rsidP="004F23C4">
            <w:pPr>
              <w:keepNext/>
              <w:spacing w:after="40"/>
              <w:jc w:val="center"/>
              <w:rPr>
                <w:iCs/>
                <w:strike/>
              </w:rPr>
            </w:pPr>
            <w:r w:rsidRPr="007439DE">
              <w:t>$redacted</w:t>
            </w:r>
          </w:p>
        </w:tc>
      </w:tr>
      <w:tr w:rsidR="004F23C4" w:rsidRPr="007439DE" w14:paraId="44D71B7F" w14:textId="77777777" w:rsidTr="004F23C4">
        <w:trPr>
          <w:trHeight w:val="300"/>
        </w:trPr>
        <w:tc>
          <w:tcPr>
            <w:tcW w:w="1473" w:type="pct"/>
            <w:tcBorders>
              <w:bottom w:val="single" w:sz="4" w:space="0" w:color="auto"/>
            </w:tcBorders>
            <w:noWrap/>
            <w:vAlign w:val="center"/>
          </w:tcPr>
          <w:p w14:paraId="64B50BB9" w14:textId="77777777" w:rsidR="004F23C4" w:rsidRPr="007439DE" w:rsidRDefault="004F23C4" w:rsidP="004F23C4">
            <w:pPr>
              <w:keepNext/>
              <w:spacing w:after="40"/>
              <w:ind w:left="306"/>
              <w:rPr>
                <w:iCs/>
              </w:rPr>
            </w:pPr>
            <w:r w:rsidRPr="007439DE">
              <w:rPr>
                <w:iCs/>
              </w:rPr>
              <w:t>-cost to MBS (75% rebate)</w:t>
            </w:r>
          </w:p>
        </w:tc>
        <w:tc>
          <w:tcPr>
            <w:tcW w:w="705" w:type="pct"/>
            <w:tcBorders>
              <w:bottom w:val="single" w:sz="4" w:space="0" w:color="auto"/>
            </w:tcBorders>
            <w:noWrap/>
          </w:tcPr>
          <w:p w14:paraId="108FACCC" w14:textId="322E7C28" w:rsidR="004F23C4" w:rsidRPr="007439DE" w:rsidRDefault="004F23C4" w:rsidP="004F23C4">
            <w:pPr>
              <w:keepNext/>
              <w:spacing w:after="40"/>
              <w:jc w:val="center"/>
              <w:rPr>
                <w:iCs/>
                <w:strike/>
              </w:rPr>
            </w:pPr>
            <w:r w:rsidRPr="007439DE">
              <w:t>$redacted</w:t>
            </w:r>
          </w:p>
        </w:tc>
        <w:tc>
          <w:tcPr>
            <w:tcW w:w="705" w:type="pct"/>
            <w:tcBorders>
              <w:bottom w:val="single" w:sz="4" w:space="0" w:color="auto"/>
            </w:tcBorders>
            <w:noWrap/>
          </w:tcPr>
          <w:p w14:paraId="72E4D9DC" w14:textId="1E1CD7C7" w:rsidR="004F23C4" w:rsidRPr="007439DE" w:rsidRDefault="004F23C4" w:rsidP="004F23C4">
            <w:pPr>
              <w:keepNext/>
              <w:spacing w:after="40"/>
              <w:jc w:val="center"/>
              <w:rPr>
                <w:iCs/>
                <w:strike/>
              </w:rPr>
            </w:pPr>
            <w:r w:rsidRPr="007439DE">
              <w:t>$redacted</w:t>
            </w:r>
          </w:p>
        </w:tc>
        <w:tc>
          <w:tcPr>
            <w:tcW w:w="705" w:type="pct"/>
            <w:tcBorders>
              <w:bottom w:val="single" w:sz="4" w:space="0" w:color="auto"/>
            </w:tcBorders>
            <w:noWrap/>
          </w:tcPr>
          <w:p w14:paraId="5086BF43" w14:textId="75405B53" w:rsidR="004F23C4" w:rsidRPr="007439DE" w:rsidRDefault="004F23C4" w:rsidP="004F23C4">
            <w:pPr>
              <w:keepNext/>
              <w:spacing w:after="40"/>
              <w:jc w:val="center"/>
              <w:rPr>
                <w:iCs/>
                <w:strike/>
              </w:rPr>
            </w:pPr>
            <w:r w:rsidRPr="007439DE">
              <w:t>$redacted</w:t>
            </w:r>
          </w:p>
        </w:tc>
        <w:tc>
          <w:tcPr>
            <w:tcW w:w="705" w:type="pct"/>
            <w:tcBorders>
              <w:bottom w:val="single" w:sz="4" w:space="0" w:color="auto"/>
            </w:tcBorders>
            <w:noWrap/>
          </w:tcPr>
          <w:p w14:paraId="5C644E5F" w14:textId="7FA1496D" w:rsidR="004F23C4" w:rsidRPr="007439DE" w:rsidRDefault="004F23C4" w:rsidP="004F23C4">
            <w:pPr>
              <w:keepNext/>
              <w:spacing w:after="40"/>
              <w:jc w:val="center"/>
              <w:rPr>
                <w:iCs/>
                <w:strike/>
              </w:rPr>
            </w:pPr>
            <w:r w:rsidRPr="007439DE">
              <w:t>$redacted</w:t>
            </w:r>
          </w:p>
        </w:tc>
        <w:tc>
          <w:tcPr>
            <w:tcW w:w="705" w:type="pct"/>
            <w:tcBorders>
              <w:bottom w:val="single" w:sz="4" w:space="0" w:color="auto"/>
            </w:tcBorders>
            <w:noWrap/>
          </w:tcPr>
          <w:p w14:paraId="0F1F74F9" w14:textId="310461D5" w:rsidR="004F23C4" w:rsidRPr="007439DE" w:rsidRDefault="004F23C4" w:rsidP="004F23C4">
            <w:pPr>
              <w:keepNext/>
              <w:spacing w:after="40"/>
              <w:jc w:val="center"/>
              <w:rPr>
                <w:iCs/>
                <w:strike/>
              </w:rPr>
            </w:pPr>
            <w:r w:rsidRPr="007439DE">
              <w:t>$redacted</w:t>
            </w:r>
          </w:p>
        </w:tc>
      </w:tr>
      <w:tr w:rsidR="004F23C4" w:rsidRPr="007439DE" w14:paraId="773F13D9" w14:textId="77777777" w:rsidTr="004F23C4">
        <w:trPr>
          <w:trHeight w:val="300"/>
        </w:trPr>
        <w:tc>
          <w:tcPr>
            <w:tcW w:w="1473" w:type="pct"/>
            <w:tcBorders>
              <w:bottom w:val="single" w:sz="4" w:space="0" w:color="auto"/>
            </w:tcBorders>
            <w:noWrap/>
            <w:vAlign w:val="center"/>
          </w:tcPr>
          <w:p w14:paraId="0B46A2F8" w14:textId="77777777" w:rsidR="004F23C4" w:rsidRPr="007439DE" w:rsidRDefault="004F23C4" w:rsidP="004F23C4">
            <w:pPr>
              <w:spacing w:after="40"/>
              <w:ind w:left="306"/>
              <w:rPr>
                <w:iCs/>
              </w:rPr>
            </w:pPr>
            <w:r w:rsidRPr="007439DE">
              <w:rPr>
                <w:iCs/>
              </w:rPr>
              <w:t>-cost to patients</w:t>
            </w:r>
          </w:p>
        </w:tc>
        <w:tc>
          <w:tcPr>
            <w:tcW w:w="705" w:type="pct"/>
            <w:tcBorders>
              <w:bottom w:val="single" w:sz="4" w:space="0" w:color="auto"/>
            </w:tcBorders>
            <w:noWrap/>
          </w:tcPr>
          <w:p w14:paraId="2FE6B0AD" w14:textId="082DB666"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4014B99C" w14:textId="37F41A1A"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76216A90" w14:textId="1094E80B"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7B020ECB" w14:textId="72A26E0F"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18FE84F3" w14:textId="21214861" w:rsidR="004F23C4" w:rsidRPr="007439DE" w:rsidRDefault="004F23C4" w:rsidP="004F23C4">
            <w:pPr>
              <w:spacing w:after="40"/>
              <w:jc w:val="center"/>
              <w:rPr>
                <w:iCs/>
                <w:strike/>
              </w:rPr>
            </w:pPr>
            <w:r w:rsidRPr="007439DE">
              <w:t>$redacted</w:t>
            </w:r>
          </w:p>
        </w:tc>
      </w:tr>
      <w:tr w:rsidR="007E6D4E" w:rsidRPr="007439DE" w14:paraId="16E10ACB" w14:textId="77777777" w:rsidTr="004F23C4">
        <w:trPr>
          <w:trHeight w:val="300"/>
        </w:trPr>
        <w:tc>
          <w:tcPr>
            <w:tcW w:w="1473" w:type="pct"/>
            <w:tcBorders>
              <w:right w:val="nil"/>
            </w:tcBorders>
            <w:noWrap/>
            <w:vAlign w:val="center"/>
          </w:tcPr>
          <w:p w14:paraId="49E9672A" w14:textId="77777777" w:rsidR="007E6D4E" w:rsidRPr="007439DE" w:rsidRDefault="007E6D4E" w:rsidP="00A0047D">
            <w:pPr>
              <w:pStyle w:val="Tabletext"/>
              <w:rPr>
                <w:b/>
                <w:bCs/>
                <w:iCs/>
                <w:szCs w:val="20"/>
              </w:rPr>
            </w:pPr>
            <w:r w:rsidRPr="007439DE">
              <w:rPr>
                <w:b/>
                <w:bCs/>
                <w:iCs/>
                <w:szCs w:val="20"/>
              </w:rPr>
              <w:t>Substituted costs due to EVAR+EA listing</w:t>
            </w:r>
          </w:p>
        </w:tc>
        <w:tc>
          <w:tcPr>
            <w:tcW w:w="705" w:type="pct"/>
            <w:tcBorders>
              <w:left w:val="nil"/>
              <w:right w:val="nil"/>
            </w:tcBorders>
            <w:noWrap/>
            <w:vAlign w:val="center"/>
          </w:tcPr>
          <w:p w14:paraId="1A278F80" w14:textId="77777777" w:rsidR="007E6D4E" w:rsidRPr="007439DE" w:rsidRDefault="007E6D4E" w:rsidP="00A0047D">
            <w:pPr>
              <w:pStyle w:val="Tabletext"/>
              <w:jc w:val="center"/>
              <w:rPr>
                <w:b/>
                <w:bCs/>
                <w:iCs/>
                <w:strike/>
                <w:szCs w:val="20"/>
              </w:rPr>
            </w:pPr>
          </w:p>
        </w:tc>
        <w:tc>
          <w:tcPr>
            <w:tcW w:w="705" w:type="pct"/>
            <w:tcBorders>
              <w:left w:val="nil"/>
              <w:right w:val="nil"/>
            </w:tcBorders>
            <w:noWrap/>
            <w:vAlign w:val="center"/>
          </w:tcPr>
          <w:p w14:paraId="7AB8E1C9" w14:textId="77777777" w:rsidR="007E6D4E" w:rsidRPr="007439DE" w:rsidRDefault="007E6D4E" w:rsidP="00A0047D">
            <w:pPr>
              <w:pStyle w:val="Tabletext"/>
              <w:jc w:val="center"/>
              <w:rPr>
                <w:b/>
                <w:bCs/>
                <w:iCs/>
                <w:strike/>
                <w:szCs w:val="20"/>
              </w:rPr>
            </w:pPr>
          </w:p>
        </w:tc>
        <w:tc>
          <w:tcPr>
            <w:tcW w:w="705" w:type="pct"/>
            <w:tcBorders>
              <w:left w:val="nil"/>
              <w:right w:val="nil"/>
            </w:tcBorders>
            <w:noWrap/>
            <w:vAlign w:val="center"/>
          </w:tcPr>
          <w:p w14:paraId="21BAD661" w14:textId="77777777" w:rsidR="007E6D4E" w:rsidRPr="007439DE" w:rsidRDefault="007E6D4E" w:rsidP="00A0047D">
            <w:pPr>
              <w:pStyle w:val="Tabletext"/>
              <w:jc w:val="center"/>
              <w:rPr>
                <w:b/>
                <w:bCs/>
                <w:iCs/>
                <w:strike/>
                <w:szCs w:val="20"/>
              </w:rPr>
            </w:pPr>
          </w:p>
        </w:tc>
        <w:tc>
          <w:tcPr>
            <w:tcW w:w="705" w:type="pct"/>
            <w:tcBorders>
              <w:left w:val="nil"/>
              <w:right w:val="nil"/>
            </w:tcBorders>
            <w:noWrap/>
            <w:vAlign w:val="center"/>
          </w:tcPr>
          <w:p w14:paraId="17BF128B" w14:textId="77777777" w:rsidR="007E6D4E" w:rsidRPr="007439DE" w:rsidRDefault="007E6D4E" w:rsidP="00A0047D">
            <w:pPr>
              <w:pStyle w:val="Tabletext"/>
              <w:jc w:val="center"/>
              <w:rPr>
                <w:b/>
                <w:bCs/>
                <w:iCs/>
                <w:strike/>
                <w:szCs w:val="20"/>
              </w:rPr>
            </w:pPr>
          </w:p>
        </w:tc>
        <w:tc>
          <w:tcPr>
            <w:tcW w:w="705" w:type="pct"/>
            <w:tcBorders>
              <w:left w:val="nil"/>
            </w:tcBorders>
            <w:noWrap/>
            <w:vAlign w:val="center"/>
          </w:tcPr>
          <w:p w14:paraId="18372708" w14:textId="77777777" w:rsidR="007E6D4E" w:rsidRPr="007439DE" w:rsidRDefault="007E6D4E" w:rsidP="00A0047D">
            <w:pPr>
              <w:pStyle w:val="Tabletext"/>
              <w:jc w:val="center"/>
              <w:rPr>
                <w:b/>
                <w:bCs/>
                <w:iCs/>
                <w:strike/>
                <w:szCs w:val="20"/>
              </w:rPr>
            </w:pPr>
          </w:p>
        </w:tc>
      </w:tr>
      <w:tr w:rsidR="004F23C4" w:rsidRPr="007439DE" w14:paraId="44606736" w14:textId="77777777" w:rsidTr="007439DE">
        <w:trPr>
          <w:trHeight w:val="300"/>
        </w:trPr>
        <w:tc>
          <w:tcPr>
            <w:tcW w:w="1473" w:type="pct"/>
            <w:noWrap/>
            <w:vAlign w:val="center"/>
          </w:tcPr>
          <w:p w14:paraId="5267B9A7" w14:textId="77777777" w:rsidR="004F23C4" w:rsidRPr="007439DE" w:rsidRDefault="004F23C4" w:rsidP="004F23C4">
            <w:pPr>
              <w:spacing w:after="40"/>
              <w:rPr>
                <w:iCs/>
              </w:rPr>
            </w:pPr>
            <w:r w:rsidRPr="007439DE">
              <w:rPr>
                <w:iCs/>
              </w:rPr>
              <w:t>Total cost of EVAR+EA procedures</w:t>
            </w:r>
          </w:p>
        </w:tc>
        <w:tc>
          <w:tcPr>
            <w:tcW w:w="705" w:type="pct"/>
            <w:noWrap/>
          </w:tcPr>
          <w:p w14:paraId="704A2670" w14:textId="7EC9D4F1" w:rsidR="004F23C4" w:rsidRPr="007439DE" w:rsidRDefault="004F23C4" w:rsidP="004F23C4">
            <w:pPr>
              <w:spacing w:after="40"/>
              <w:jc w:val="center"/>
              <w:rPr>
                <w:iCs/>
                <w:strike/>
              </w:rPr>
            </w:pPr>
            <w:r w:rsidRPr="007439DE">
              <w:t>$redacted</w:t>
            </w:r>
          </w:p>
        </w:tc>
        <w:tc>
          <w:tcPr>
            <w:tcW w:w="705" w:type="pct"/>
            <w:noWrap/>
          </w:tcPr>
          <w:p w14:paraId="67B190AB" w14:textId="2FD092B0" w:rsidR="004F23C4" w:rsidRPr="007439DE" w:rsidRDefault="004F23C4" w:rsidP="004F23C4">
            <w:pPr>
              <w:spacing w:after="40"/>
              <w:jc w:val="center"/>
              <w:rPr>
                <w:iCs/>
                <w:strike/>
              </w:rPr>
            </w:pPr>
            <w:r w:rsidRPr="007439DE">
              <w:t>$redacted</w:t>
            </w:r>
          </w:p>
        </w:tc>
        <w:tc>
          <w:tcPr>
            <w:tcW w:w="705" w:type="pct"/>
            <w:noWrap/>
          </w:tcPr>
          <w:p w14:paraId="2207E53C" w14:textId="6C95919D" w:rsidR="004F23C4" w:rsidRPr="007439DE" w:rsidRDefault="004F23C4" w:rsidP="004F23C4">
            <w:pPr>
              <w:spacing w:after="40"/>
              <w:jc w:val="center"/>
              <w:rPr>
                <w:iCs/>
                <w:strike/>
              </w:rPr>
            </w:pPr>
            <w:r w:rsidRPr="007439DE">
              <w:t>$redacted</w:t>
            </w:r>
          </w:p>
        </w:tc>
        <w:tc>
          <w:tcPr>
            <w:tcW w:w="705" w:type="pct"/>
            <w:noWrap/>
          </w:tcPr>
          <w:p w14:paraId="23F204F7" w14:textId="46C62250" w:rsidR="004F23C4" w:rsidRPr="007439DE" w:rsidRDefault="004F23C4" w:rsidP="004F23C4">
            <w:pPr>
              <w:spacing w:after="40"/>
              <w:jc w:val="center"/>
              <w:rPr>
                <w:iCs/>
                <w:strike/>
              </w:rPr>
            </w:pPr>
            <w:r w:rsidRPr="007439DE">
              <w:t>$redacted</w:t>
            </w:r>
          </w:p>
        </w:tc>
        <w:tc>
          <w:tcPr>
            <w:tcW w:w="705" w:type="pct"/>
            <w:noWrap/>
          </w:tcPr>
          <w:p w14:paraId="16B54D3A" w14:textId="78E96554" w:rsidR="004F23C4" w:rsidRPr="007439DE" w:rsidRDefault="004F23C4" w:rsidP="004F23C4">
            <w:pPr>
              <w:spacing w:after="40"/>
              <w:jc w:val="center"/>
              <w:rPr>
                <w:iCs/>
                <w:strike/>
              </w:rPr>
            </w:pPr>
            <w:r w:rsidRPr="007439DE">
              <w:t>$redacted</w:t>
            </w:r>
          </w:p>
        </w:tc>
      </w:tr>
      <w:tr w:rsidR="004F23C4" w:rsidRPr="007439DE" w14:paraId="379C30F9" w14:textId="77777777" w:rsidTr="007439DE">
        <w:trPr>
          <w:trHeight w:val="300"/>
        </w:trPr>
        <w:tc>
          <w:tcPr>
            <w:tcW w:w="1473" w:type="pct"/>
            <w:noWrap/>
            <w:vAlign w:val="center"/>
          </w:tcPr>
          <w:p w14:paraId="416464D9" w14:textId="77777777" w:rsidR="004F23C4" w:rsidRPr="007439DE" w:rsidRDefault="004F23C4" w:rsidP="004F23C4">
            <w:pPr>
              <w:spacing w:after="40"/>
              <w:ind w:left="306"/>
              <w:rPr>
                <w:iCs/>
              </w:rPr>
            </w:pPr>
            <w:r w:rsidRPr="007439DE">
              <w:rPr>
                <w:iCs/>
              </w:rPr>
              <w:t>-cost to MBS (75% rebate)</w:t>
            </w:r>
          </w:p>
        </w:tc>
        <w:tc>
          <w:tcPr>
            <w:tcW w:w="705" w:type="pct"/>
            <w:noWrap/>
          </w:tcPr>
          <w:p w14:paraId="437DB7B1" w14:textId="65F67FD0" w:rsidR="004F23C4" w:rsidRPr="007439DE" w:rsidRDefault="004F23C4" w:rsidP="004F23C4">
            <w:pPr>
              <w:spacing w:after="40"/>
              <w:jc w:val="center"/>
              <w:rPr>
                <w:iCs/>
                <w:strike/>
              </w:rPr>
            </w:pPr>
            <w:r w:rsidRPr="007439DE">
              <w:t>$redacted</w:t>
            </w:r>
          </w:p>
        </w:tc>
        <w:tc>
          <w:tcPr>
            <w:tcW w:w="705" w:type="pct"/>
            <w:noWrap/>
          </w:tcPr>
          <w:p w14:paraId="48FCD97E" w14:textId="5A7DDF92" w:rsidR="004F23C4" w:rsidRPr="007439DE" w:rsidRDefault="004F23C4" w:rsidP="004F23C4">
            <w:pPr>
              <w:spacing w:after="40"/>
              <w:jc w:val="center"/>
              <w:rPr>
                <w:iCs/>
                <w:strike/>
              </w:rPr>
            </w:pPr>
            <w:r w:rsidRPr="007439DE">
              <w:t>$redacted</w:t>
            </w:r>
          </w:p>
        </w:tc>
        <w:tc>
          <w:tcPr>
            <w:tcW w:w="705" w:type="pct"/>
            <w:noWrap/>
          </w:tcPr>
          <w:p w14:paraId="27308899" w14:textId="5C5225C1" w:rsidR="004F23C4" w:rsidRPr="007439DE" w:rsidRDefault="004F23C4" w:rsidP="004F23C4">
            <w:pPr>
              <w:spacing w:after="40"/>
              <w:jc w:val="center"/>
              <w:rPr>
                <w:iCs/>
                <w:strike/>
              </w:rPr>
            </w:pPr>
            <w:r w:rsidRPr="007439DE">
              <w:t>$redacted</w:t>
            </w:r>
          </w:p>
        </w:tc>
        <w:tc>
          <w:tcPr>
            <w:tcW w:w="705" w:type="pct"/>
            <w:noWrap/>
          </w:tcPr>
          <w:p w14:paraId="0BF5168C" w14:textId="430DD448" w:rsidR="004F23C4" w:rsidRPr="007439DE" w:rsidRDefault="004F23C4" w:rsidP="004F23C4">
            <w:pPr>
              <w:spacing w:after="40"/>
              <w:jc w:val="center"/>
              <w:rPr>
                <w:iCs/>
                <w:strike/>
              </w:rPr>
            </w:pPr>
            <w:r w:rsidRPr="007439DE">
              <w:t>$redacted</w:t>
            </w:r>
          </w:p>
        </w:tc>
        <w:tc>
          <w:tcPr>
            <w:tcW w:w="705" w:type="pct"/>
            <w:noWrap/>
          </w:tcPr>
          <w:p w14:paraId="546EBED7" w14:textId="43C7D1B0" w:rsidR="004F23C4" w:rsidRPr="007439DE" w:rsidRDefault="004F23C4" w:rsidP="004F23C4">
            <w:pPr>
              <w:spacing w:after="40"/>
              <w:jc w:val="center"/>
              <w:rPr>
                <w:iCs/>
                <w:strike/>
              </w:rPr>
            </w:pPr>
            <w:r w:rsidRPr="007439DE">
              <w:t>$redacted</w:t>
            </w:r>
          </w:p>
        </w:tc>
      </w:tr>
      <w:tr w:rsidR="004F23C4" w:rsidRPr="007439DE" w14:paraId="453645F1" w14:textId="77777777" w:rsidTr="007439DE">
        <w:trPr>
          <w:trHeight w:val="300"/>
        </w:trPr>
        <w:tc>
          <w:tcPr>
            <w:tcW w:w="1473" w:type="pct"/>
            <w:tcBorders>
              <w:bottom w:val="single" w:sz="4" w:space="0" w:color="auto"/>
            </w:tcBorders>
            <w:noWrap/>
            <w:vAlign w:val="center"/>
          </w:tcPr>
          <w:p w14:paraId="7E0F8563" w14:textId="77777777" w:rsidR="004F23C4" w:rsidRPr="007439DE" w:rsidRDefault="004F23C4" w:rsidP="004F23C4">
            <w:pPr>
              <w:spacing w:after="40"/>
              <w:ind w:left="306"/>
              <w:rPr>
                <w:iCs/>
              </w:rPr>
            </w:pPr>
            <w:r w:rsidRPr="007439DE">
              <w:rPr>
                <w:iCs/>
              </w:rPr>
              <w:t>-cost to patients</w:t>
            </w:r>
          </w:p>
        </w:tc>
        <w:tc>
          <w:tcPr>
            <w:tcW w:w="705" w:type="pct"/>
            <w:tcBorders>
              <w:bottom w:val="single" w:sz="4" w:space="0" w:color="auto"/>
            </w:tcBorders>
            <w:noWrap/>
          </w:tcPr>
          <w:p w14:paraId="347D2B5D" w14:textId="0B5A48B5"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40F56720" w14:textId="5A17F451"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21821663" w14:textId="1DC60A8F"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16A18CB0" w14:textId="79C45E38"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4E9F02AB" w14:textId="7C84830C" w:rsidR="004F23C4" w:rsidRPr="007439DE" w:rsidRDefault="004F23C4" w:rsidP="004F23C4">
            <w:pPr>
              <w:spacing w:after="40"/>
              <w:jc w:val="center"/>
              <w:rPr>
                <w:iCs/>
                <w:strike/>
              </w:rPr>
            </w:pPr>
            <w:r w:rsidRPr="007439DE">
              <w:t>$redacted</w:t>
            </w:r>
          </w:p>
        </w:tc>
      </w:tr>
      <w:tr w:rsidR="007E6D4E" w:rsidRPr="007439DE" w14:paraId="6F63E205" w14:textId="77777777" w:rsidTr="004F23C4">
        <w:trPr>
          <w:trHeight w:val="300"/>
        </w:trPr>
        <w:tc>
          <w:tcPr>
            <w:tcW w:w="1473" w:type="pct"/>
            <w:tcBorders>
              <w:right w:val="nil"/>
            </w:tcBorders>
            <w:noWrap/>
            <w:vAlign w:val="center"/>
          </w:tcPr>
          <w:p w14:paraId="4E261700" w14:textId="77777777" w:rsidR="007E6D4E" w:rsidRPr="007439DE" w:rsidRDefault="007E6D4E" w:rsidP="00A0047D">
            <w:pPr>
              <w:pStyle w:val="Tabletext"/>
              <w:rPr>
                <w:b/>
                <w:bCs/>
                <w:iCs/>
                <w:szCs w:val="20"/>
              </w:rPr>
            </w:pPr>
            <w:r w:rsidRPr="007439DE">
              <w:rPr>
                <w:b/>
                <w:bCs/>
                <w:iCs/>
                <w:szCs w:val="20"/>
              </w:rPr>
              <w:t>Financial impact of EVAR+EA listing</w:t>
            </w:r>
          </w:p>
        </w:tc>
        <w:tc>
          <w:tcPr>
            <w:tcW w:w="705" w:type="pct"/>
            <w:tcBorders>
              <w:left w:val="nil"/>
              <w:right w:val="nil"/>
            </w:tcBorders>
            <w:noWrap/>
            <w:vAlign w:val="center"/>
          </w:tcPr>
          <w:p w14:paraId="264D3CC9" w14:textId="77777777" w:rsidR="007E6D4E" w:rsidRPr="007439DE" w:rsidRDefault="007E6D4E" w:rsidP="00A0047D">
            <w:pPr>
              <w:pStyle w:val="Tabletext"/>
              <w:jc w:val="center"/>
              <w:rPr>
                <w:b/>
                <w:bCs/>
                <w:iCs/>
                <w:strike/>
                <w:szCs w:val="20"/>
              </w:rPr>
            </w:pPr>
          </w:p>
        </w:tc>
        <w:tc>
          <w:tcPr>
            <w:tcW w:w="705" w:type="pct"/>
            <w:tcBorders>
              <w:left w:val="nil"/>
              <w:right w:val="nil"/>
            </w:tcBorders>
            <w:noWrap/>
            <w:vAlign w:val="center"/>
          </w:tcPr>
          <w:p w14:paraId="7C21A011" w14:textId="77777777" w:rsidR="007E6D4E" w:rsidRPr="007439DE" w:rsidRDefault="007E6D4E" w:rsidP="00A0047D">
            <w:pPr>
              <w:pStyle w:val="Tabletext"/>
              <w:jc w:val="center"/>
              <w:rPr>
                <w:b/>
                <w:bCs/>
                <w:iCs/>
                <w:strike/>
                <w:szCs w:val="20"/>
              </w:rPr>
            </w:pPr>
          </w:p>
        </w:tc>
        <w:tc>
          <w:tcPr>
            <w:tcW w:w="705" w:type="pct"/>
            <w:tcBorders>
              <w:left w:val="nil"/>
              <w:right w:val="nil"/>
            </w:tcBorders>
            <w:noWrap/>
            <w:vAlign w:val="center"/>
          </w:tcPr>
          <w:p w14:paraId="31069D18" w14:textId="77777777" w:rsidR="007E6D4E" w:rsidRPr="007439DE" w:rsidRDefault="007E6D4E" w:rsidP="00A0047D">
            <w:pPr>
              <w:pStyle w:val="Tabletext"/>
              <w:jc w:val="center"/>
              <w:rPr>
                <w:b/>
                <w:bCs/>
                <w:iCs/>
                <w:strike/>
                <w:szCs w:val="20"/>
              </w:rPr>
            </w:pPr>
          </w:p>
        </w:tc>
        <w:tc>
          <w:tcPr>
            <w:tcW w:w="705" w:type="pct"/>
            <w:tcBorders>
              <w:left w:val="nil"/>
              <w:right w:val="nil"/>
            </w:tcBorders>
            <w:noWrap/>
            <w:vAlign w:val="center"/>
          </w:tcPr>
          <w:p w14:paraId="65C5715E" w14:textId="77777777" w:rsidR="007E6D4E" w:rsidRPr="007439DE" w:rsidRDefault="007E6D4E" w:rsidP="00A0047D">
            <w:pPr>
              <w:pStyle w:val="Tabletext"/>
              <w:jc w:val="center"/>
              <w:rPr>
                <w:b/>
                <w:bCs/>
                <w:iCs/>
                <w:strike/>
                <w:szCs w:val="20"/>
              </w:rPr>
            </w:pPr>
          </w:p>
        </w:tc>
        <w:tc>
          <w:tcPr>
            <w:tcW w:w="705" w:type="pct"/>
            <w:tcBorders>
              <w:left w:val="nil"/>
            </w:tcBorders>
            <w:noWrap/>
            <w:vAlign w:val="center"/>
          </w:tcPr>
          <w:p w14:paraId="629B0035" w14:textId="77777777" w:rsidR="007E6D4E" w:rsidRPr="007439DE" w:rsidRDefault="007E6D4E" w:rsidP="00A0047D">
            <w:pPr>
              <w:pStyle w:val="Tabletext"/>
              <w:jc w:val="center"/>
              <w:rPr>
                <w:b/>
                <w:bCs/>
                <w:iCs/>
                <w:strike/>
                <w:szCs w:val="20"/>
              </w:rPr>
            </w:pPr>
          </w:p>
        </w:tc>
      </w:tr>
      <w:tr w:rsidR="004F23C4" w:rsidRPr="007439DE" w14:paraId="53CF5ABC" w14:textId="77777777" w:rsidTr="007439DE">
        <w:trPr>
          <w:trHeight w:val="300"/>
        </w:trPr>
        <w:tc>
          <w:tcPr>
            <w:tcW w:w="1473" w:type="pct"/>
            <w:noWrap/>
            <w:vAlign w:val="center"/>
          </w:tcPr>
          <w:p w14:paraId="65E2C1D1" w14:textId="77777777" w:rsidR="004F23C4" w:rsidRPr="007439DE" w:rsidRDefault="004F23C4" w:rsidP="004F23C4">
            <w:pPr>
              <w:spacing w:after="40"/>
              <w:rPr>
                <w:iCs/>
              </w:rPr>
            </w:pPr>
            <w:r w:rsidRPr="007439DE">
              <w:rPr>
                <w:iCs/>
              </w:rPr>
              <w:t>Net financial impact of T/EVAR+EA listing</w:t>
            </w:r>
          </w:p>
        </w:tc>
        <w:tc>
          <w:tcPr>
            <w:tcW w:w="705" w:type="pct"/>
            <w:noWrap/>
          </w:tcPr>
          <w:p w14:paraId="47324D43" w14:textId="2D5B2C7E" w:rsidR="004F23C4" w:rsidRPr="007439DE" w:rsidRDefault="004F23C4" w:rsidP="004F23C4">
            <w:pPr>
              <w:spacing w:after="40"/>
              <w:jc w:val="center"/>
              <w:rPr>
                <w:iCs/>
                <w:strike/>
              </w:rPr>
            </w:pPr>
            <w:r w:rsidRPr="007439DE">
              <w:t>$redacted</w:t>
            </w:r>
          </w:p>
        </w:tc>
        <w:tc>
          <w:tcPr>
            <w:tcW w:w="705" w:type="pct"/>
            <w:noWrap/>
          </w:tcPr>
          <w:p w14:paraId="6FCAD11D" w14:textId="1727E3DF" w:rsidR="004F23C4" w:rsidRPr="007439DE" w:rsidRDefault="004F23C4" w:rsidP="004F23C4">
            <w:pPr>
              <w:spacing w:after="40"/>
              <w:jc w:val="center"/>
              <w:rPr>
                <w:iCs/>
                <w:strike/>
              </w:rPr>
            </w:pPr>
            <w:r w:rsidRPr="007439DE">
              <w:t>$redacted</w:t>
            </w:r>
          </w:p>
        </w:tc>
        <w:tc>
          <w:tcPr>
            <w:tcW w:w="705" w:type="pct"/>
            <w:noWrap/>
          </w:tcPr>
          <w:p w14:paraId="52C53434" w14:textId="21EF60F6" w:rsidR="004F23C4" w:rsidRPr="007439DE" w:rsidRDefault="004F23C4" w:rsidP="004F23C4">
            <w:pPr>
              <w:spacing w:after="40"/>
              <w:jc w:val="center"/>
              <w:rPr>
                <w:iCs/>
                <w:strike/>
              </w:rPr>
            </w:pPr>
            <w:r w:rsidRPr="007439DE">
              <w:t>$redacted</w:t>
            </w:r>
          </w:p>
        </w:tc>
        <w:tc>
          <w:tcPr>
            <w:tcW w:w="705" w:type="pct"/>
            <w:noWrap/>
          </w:tcPr>
          <w:p w14:paraId="727093AB" w14:textId="65ADE93D" w:rsidR="004F23C4" w:rsidRPr="007439DE" w:rsidRDefault="004F23C4" w:rsidP="004F23C4">
            <w:pPr>
              <w:spacing w:after="40"/>
              <w:jc w:val="center"/>
              <w:rPr>
                <w:iCs/>
                <w:strike/>
              </w:rPr>
            </w:pPr>
            <w:r w:rsidRPr="007439DE">
              <w:t>$redacted</w:t>
            </w:r>
          </w:p>
        </w:tc>
        <w:tc>
          <w:tcPr>
            <w:tcW w:w="705" w:type="pct"/>
            <w:noWrap/>
          </w:tcPr>
          <w:p w14:paraId="63DDECB9" w14:textId="0AF4FEDD" w:rsidR="004F23C4" w:rsidRPr="007439DE" w:rsidRDefault="004F23C4" w:rsidP="004F23C4">
            <w:pPr>
              <w:spacing w:after="40"/>
              <w:jc w:val="center"/>
              <w:rPr>
                <w:iCs/>
                <w:strike/>
              </w:rPr>
            </w:pPr>
            <w:r w:rsidRPr="007439DE">
              <w:t>$redacted</w:t>
            </w:r>
          </w:p>
        </w:tc>
      </w:tr>
      <w:tr w:rsidR="004F23C4" w:rsidRPr="007439DE" w14:paraId="62E3BD64" w14:textId="77777777" w:rsidTr="007439DE">
        <w:trPr>
          <w:trHeight w:val="300"/>
        </w:trPr>
        <w:tc>
          <w:tcPr>
            <w:tcW w:w="1473" w:type="pct"/>
            <w:noWrap/>
            <w:vAlign w:val="center"/>
          </w:tcPr>
          <w:p w14:paraId="54D8BCDB" w14:textId="77777777" w:rsidR="004F23C4" w:rsidRPr="007439DE" w:rsidRDefault="004F23C4" w:rsidP="004F23C4">
            <w:pPr>
              <w:spacing w:after="40"/>
              <w:ind w:left="306"/>
              <w:rPr>
                <w:iCs/>
              </w:rPr>
            </w:pPr>
            <w:r w:rsidRPr="007439DE">
              <w:rPr>
                <w:iCs/>
              </w:rPr>
              <w:t>-cost to MBS (75% rebate)</w:t>
            </w:r>
          </w:p>
        </w:tc>
        <w:tc>
          <w:tcPr>
            <w:tcW w:w="705" w:type="pct"/>
            <w:noWrap/>
          </w:tcPr>
          <w:p w14:paraId="19D2003E" w14:textId="1E5E60E3" w:rsidR="004F23C4" w:rsidRPr="007439DE" w:rsidRDefault="004F23C4" w:rsidP="004F23C4">
            <w:pPr>
              <w:spacing w:after="40"/>
              <w:jc w:val="center"/>
              <w:rPr>
                <w:iCs/>
                <w:strike/>
              </w:rPr>
            </w:pPr>
            <w:r w:rsidRPr="007439DE">
              <w:t>$redacted</w:t>
            </w:r>
          </w:p>
        </w:tc>
        <w:tc>
          <w:tcPr>
            <w:tcW w:w="705" w:type="pct"/>
            <w:noWrap/>
          </w:tcPr>
          <w:p w14:paraId="28600678" w14:textId="1E0D4E2C" w:rsidR="004F23C4" w:rsidRPr="007439DE" w:rsidRDefault="004F23C4" w:rsidP="004F23C4">
            <w:pPr>
              <w:spacing w:after="40"/>
              <w:jc w:val="center"/>
              <w:rPr>
                <w:iCs/>
                <w:strike/>
              </w:rPr>
            </w:pPr>
            <w:r w:rsidRPr="007439DE">
              <w:t>$redacted</w:t>
            </w:r>
          </w:p>
        </w:tc>
        <w:tc>
          <w:tcPr>
            <w:tcW w:w="705" w:type="pct"/>
            <w:noWrap/>
          </w:tcPr>
          <w:p w14:paraId="06E4E910" w14:textId="3107B73E" w:rsidR="004F23C4" w:rsidRPr="007439DE" w:rsidRDefault="004F23C4" w:rsidP="004F23C4">
            <w:pPr>
              <w:spacing w:after="40"/>
              <w:jc w:val="center"/>
              <w:rPr>
                <w:iCs/>
                <w:strike/>
              </w:rPr>
            </w:pPr>
            <w:r w:rsidRPr="007439DE">
              <w:t>$redacted</w:t>
            </w:r>
          </w:p>
        </w:tc>
        <w:tc>
          <w:tcPr>
            <w:tcW w:w="705" w:type="pct"/>
            <w:noWrap/>
          </w:tcPr>
          <w:p w14:paraId="16CDB886" w14:textId="461C6E62" w:rsidR="004F23C4" w:rsidRPr="007439DE" w:rsidRDefault="004F23C4" w:rsidP="004F23C4">
            <w:pPr>
              <w:spacing w:after="40"/>
              <w:jc w:val="center"/>
              <w:rPr>
                <w:iCs/>
                <w:strike/>
              </w:rPr>
            </w:pPr>
            <w:r w:rsidRPr="007439DE">
              <w:t>$redacted</w:t>
            </w:r>
          </w:p>
        </w:tc>
        <w:tc>
          <w:tcPr>
            <w:tcW w:w="705" w:type="pct"/>
            <w:noWrap/>
          </w:tcPr>
          <w:p w14:paraId="6D2C9883" w14:textId="0748DF13" w:rsidR="004F23C4" w:rsidRPr="007439DE" w:rsidRDefault="004F23C4" w:rsidP="004F23C4">
            <w:pPr>
              <w:spacing w:after="40"/>
              <w:jc w:val="center"/>
              <w:rPr>
                <w:iCs/>
                <w:strike/>
              </w:rPr>
            </w:pPr>
            <w:r w:rsidRPr="007439DE">
              <w:t>$redacted</w:t>
            </w:r>
          </w:p>
        </w:tc>
      </w:tr>
      <w:tr w:rsidR="004F23C4" w:rsidRPr="007439DE" w14:paraId="0F21AE35" w14:textId="77777777" w:rsidTr="007439DE">
        <w:trPr>
          <w:trHeight w:val="300"/>
        </w:trPr>
        <w:tc>
          <w:tcPr>
            <w:tcW w:w="1473" w:type="pct"/>
            <w:tcBorders>
              <w:bottom w:val="single" w:sz="4" w:space="0" w:color="auto"/>
            </w:tcBorders>
            <w:noWrap/>
            <w:vAlign w:val="center"/>
          </w:tcPr>
          <w:p w14:paraId="55E5A36E" w14:textId="77777777" w:rsidR="004F23C4" w:rsidRPr="007439DE" w:rsidRDefault="004F23C4" w:rsidP="004F23C4">
            <w:pPr>
              <w:spacing w:after="40"/>
              <w:ind w:left="306"/>
              <w:rPr>
                <w:iCs/>
              </w:rPr>
            </w:pPr>
            <w:r w:rsidRPr="007439DE">
              <w:rPr>
                <w:iCs/>
              </w:rPr>
              <w:t>-cost to patients</w:t>
            </w:r>
          </w:p>
        </w:tc>
        <w:tc>
          <w:tcPr>
            <w:tcW w:w="705" w:type="pct"/>
            <w:tcBorders>
              <w:bottom w:val="single" w:sz="4" w:space="0" w:color="auto"/>
            </w:tcBorders>
            <w:noWrap/>
          </w:tcPr>
          <w:p w14:paraId="65BBA7B2" w14:textId="23B04522"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6B1D57B7" w14:textId="48EF4E53"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5FBAF194" w14:textId="018936AE"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21D29C66" w14:textId="58FC254E"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27C6C288" w14:textId="5FA284BD" w:rsidR="004F23C4" w:rsidRPr="007439DE" w:rsidRDefault="004F23C4" w:rsidP="004F23C4">
            <w:pPr>
              <w:spacing w:after="40"/>
              <w:jc w:val="center"/>
              <w:rPr>
                <w:iCs/>
                <w:strike/>
              </w:rPr>
            </w:pPr>
            <w:r w:rsidRPr="007439DE">
              <w:t>$redacted</w:t>
            </w:r>
          </w:p>
        </w:tc>
      </w:tr>
      <w:tr w:rsidR="007E6D4E" w:rsidRPr="007439DE" w14:paraId="2560FDCE" w14:textId="77777777" w:rsidTr="004F23C4">
        <w:trPr>
          <w:trHeight w:val="300"/>
        </w:trPr>
        <w:tc>
          <w:tcPr>
            <w:tcW w:w="1473" w:type="pct"/>
            <w:tcBorders>
              <w:right w:val="nil"/>
            </w:tcBorders>
            <w:noWrap/>
            <w:vAlign w:val="center"/>
          </w:tcPr>
          <w:p w14:paraId="1A24CFB8" w14:textId="77777777" w:rsidR="007E6D4E" w:rsidRPr="007439DE" w:rsidRDefault="007E6D4E" w:rsidP="00A0047D">
            <w:pPr>
              <w:pStyle w:val="Tabletext"/>
              <w:rPr>
                <w:b/>
                <w:bCs/>
                <w:iCs/>
                <w:szCs w:val="20"/>
              </w:rPr>
            </w:pPr>
            <w:r w:rsidRPr="007439DE">
              <w:rPr>
                <w:b/>
                <w:bCs/>
                <w:iCs/>
                <w:szCs w:val="20"/>
              </w:rPr>
              <w:t>Broader impact to the MBS</w:t>
            </w:r>
          </w:p>
        </w:tc>
        <w:tc>
          <w:tcPr>
            <w:tcW w:w="705" w:type="pct"/>
            <w:tcBorders>
              <w:left w:val="nil"/>
              <w:right w:val="nil"/>
            </w:tcBorders>
            <w:noWrap/>
            <w:vAlign w:val="center"/>
          </w:tcPr>
          <w:p w14:paraId="11417C9F" w14:textId="77777777" w:rsidR="007E6D4E" w:rsidRPr="007439DE" w:rsidRDefault="007E6D4E" w:rsidP="00A0047D">
            <w:pPr>
              <w:pStyle w:val="Tabletext"/>
              <w:jc w:val="center"/>
              <w:rPr>
                <w:b/>
                <w:bCs/>
                <w:iCs/>
                <w:strike/>
                <w:szCs w:val="20"/>
              </w:rPr>
            </w:pPr>
          </w:p>
        </w:tc>
        <w:tc>
          <w:tcPr>
            <w:tcW w:w="705" w:type="pct"/>
            <w:tcBorders>
              <w:left w:val="nil"/>
              <w:right w:val="nil"/>
            </w:tcBorders>
            <w:noWrap/>
            <w:vAlign w:val="center"/>
          </w:tcPr>
          <w:p w14:paraId="18568AC6" w14:textId="77777777" w:rsidR="007E6D4E" w:rsidRPr="007439DE" w:rsidRDefault="007E6D4E" w:rsidP="00A0047D">
            <w:pPr>
              <w:pStyle w:val="Tabletext"/>
              <w:jc w:val="center"/>
              <w:rPr>
                <w:b/>
                <w:bCs/>
                <w:iCs/>
                <w:strike/>
                <w:szCs w:val="20"/>
              </w:rPr>
            </w:pPr>
          </w:p>
        </w:tc>
        <w:tc>
          <w:tcPr>
            <w:tcW w:w="705" w:type="pct"/>
            <w:tcBorders>
              <w:left w:val="nil"/>
              <w:right w:val="nil"/>
            </w:tcBorders>
            <w:noWrap/>
            <w:vAlign w:val="center"/>
          </w:tcPr>
          <w:p w14:paraId="4B168B72" w14:textId="77777777" w:rsidR="007E6D4E" w:rsidRPr="007439DE" w:rsidRDefault="007E6D4E" w:rsidP="00A0047D">
            <w:pPr>
              <w:pStyle w:val="Tabletext"/>
              <w:jc w:val="center"/>
              <w:rPr>
                <w:b/>
                <w:bCs/>
                <w:iCs/>
                <w:strike/>
                <w:szCs w:val="20"/>
              </w:rPr>
            </w:pPr>
          </w:p>
        </w:tc>
        <w:tc>
          <w:tcPr>
            <w:tcW w:w="705" w:type="pct"/>
            <w:tcBorders>
              <w:left w:val="nil"/>
              <w:right w:val="nil"/>
            </w:tcBorders>
            <w:noWrap/>
            <w:vAlign w:val="center"/>
          </w:tcPr>
          <w:p w14:paraId="3AF07320" w14:textId="77777777" w:rsidR="007E6D4E" w:rsidRPr="007439DE" w:rsidRDefault="007E6D4E" w:rsidP="00A0047D">
            <w:pPr>
              <w:pStyle w:val="Tabletext"/>
              <w:jc w:val="center"/>
              <w:rPr>
                <w:b/>
                <w:bCs/>
                <w:iCs/>
                <w:strike/>
                <w:szCs w:val="20"/>
              </w:rPr>
            </w:pPr>
          </w:p>
        </w:tc>
        <w:tc>
          <w:tcPr>
            <w:tcW w:w="705" w:type="pct"/>
            <w:tcBorders>
              <w:left w:val="nil"/>
            </w:tcBorders>
            <w:noWrap/>
            <w:vAlign w:val="center"/>
          </w:tcPr>
          <w:p w14:paraId="357D5CE1" w14:textId="77777777" w:rsidR="007E6D4E" w:rsidRPr="007439DE" w:rsidRDefault="007E6D4E" w:rsidP="00A0047D">
            <w:pPr>
              <w:pStyle w:val="Tabletext"/>
              <w:jc w:val="center"/>
              <w:rPr>
                <w:b/>
                <w:bCs/>
                <w:iCs/>
                <w:strike/>
                <w:szCs w:val="20"/>
              </w:rPr>
            </w:pPr>
          </w:p>
        </w:tc>
      </w:tr>
      <w:tr w:rsidR="004F23C4" w:rsidRPr="007439DE" w14:paraId="3854AD51" w14:textId="77777777" w:rsidTr="007439DE">
        <w:trPr>
          <w:trHeight w:val="300"/>
        </w:trPr>
        <w:tc>
          <w:tcPr>
            <w:tcW w:w="1473" w:type="pct"/>
            <w:noWrap/>
            <w:vAlign w:val="center"/>
          </w:tcPr>
          <w:p w14:paraId="14F5880D" w14:textId="77777777" w:rsidR="004F23C4" w:rsidRPr="007439DE" w:rsidRDefault="004F23C4" w:rsidP="004F23C4">
            <w:pPr>
              <w:spacing w:after="40"/>
              <w:rPr>
                <w:iCs/>
              </w:rPr>
            </w:pPr>
            <w:r w:rsidRPr="007439DE">
              <w:rPr>
                <w:iCs/>
              </w:rPr>
              <w:t>Net financial impact of T/EVAR+EA listing</w:t>
            </w:r>
          </w:p>
        </w:tc>
        <w:tc>
          <w:tcPr>
            <w:tcW w:w="705" w:type="pct"/>
            <w:noWrap/>
          </w:tcPr>
          <w:p w14:paraId="2A7127C0" w14:textId="02B4F462" w:rsidR="004F23C4" w:rsidRPr="007439DE" w:rsidRDefault="004F23C4" w:rsidP="004F23C4">
            <w:pPr>
              <w:spacing w:after="40"/>
              <w:jc w:val="center"/>
              <w:rPr>
                <w:iCs/>
                <w:strike/>
              </w:rPr>
            </w:pPr>
            <w:r w:rsidRPr="007439DE">
              <w:t>$redacted</w:t>
            </w:r>
          </w:p>
        </w:tc>
        <w:tc>
          <w:tcPr>
            <w:tcW w:w="705" w:type="pct"/>
            <w:noWrap/>
          </w:tcPr>
          <w:p w14:paraId="520EC019" w14:textId="2C55D0BC" w:rsidR="004F23C4" w:rsidRPr="007439DE" w:rsidRDefault="004F23C4" w:rsidP="004F23C4">
            <w:pPr>
              <w:spacing w:after="40"/>
              <w:jc w:val="center"/>
              <w:rPr>
                <w:iCs/>
                <w:strike/>
              </w:rPr>
            </w:pPr>
            <w:r w:rsidRPr="007439DE">
              <w:t>$redacted</w:t>
            </w:r>
          </w:p>
        </w:tc>
        <w:tc>
          <w:tcPr>
            <w:tcW w:w="705" w:type="pct"/>
            <w:noWrap/>
          </w:tcPr>
          <w:p w14:paraId="1AEC66A3" w14:textId="211CE732" w:rsidR="004F23C4" w:rsidRPr="007439DE" w:rsidRDefault="004F23C4" w:rsidP="004F23C4">
            <w:pPr>
              <w:spacing w:after="40"/>
              <w:jc w:val="center"/>
              <w:rPr>
                <w:iCs/>
                <w:strike/>
              </w:rPr>
            </w:pPr>
            <w:r w:rsidRPr="007439DE">
              <w:t>$redacted</w:t>
            </w:r>
          </w:p>
        </w:tc>
        <w:tc>
          <w:tcPr>
            <w:tcW w:w="705" w:type="pct"/>
            <w:noWrap/>
          </w:tcPr>
          <w:p w14:paraId="7A2A2FBD" w14:textId="657AA06E" w:rsidR="004F23C4" w:rsidRPr="007439DE" w:rsidRDefault="004F23C4" w:rsidP="004F23C4">
            <w:pPr>
              <w:spacing w:after="40"/>
              <w:jc w:val="center"/>
              <w:rPr>
                <w:iCs/>
                <w:strike/>
              </w:rPr>
            </w:pPr>
            <w:r w:rsidRPr="007439DE">
              <w:t>$redacted</w:t>
            </w:r>
          </w:p>
        </w:tc>
        <w:tc>
          <w:tcPr>
            <w:tcW w:w="705" w:type="pct"/>
            <w:noWrap/>
          </w:tcPr>
          <w:p w14:paraId="3F764C2A" w14:textId="79525686" w:rsidR="004F23C4" w:rsidRPr="007439DE" w:rsidRDefault="004F23C4" w:rsidP="004F23C4">
            <w:pPr>
              <w:spacing w:after="40"/>
              <w:jc w:val="center"/>
              <w:rPr>
                <w:iCs/>
                <w:strike/>
              </w:rPr>
            </w:pPr>
            <w:r w:rsidRPr="007439DE">
              <w:t>$redacted</w:t>
            </w:r>
          </w:p>
        </w:tc>
      </w:tr>
      <w:tr w:rsidR="004F23C4" w:rsidRPr="007439DE" w14:paraId="45D067C2" w14:textId="77777777" w:rsidTr="007439DE">
        <w:trPr>
          <w:trHeight w:val="300"/>
        </w:trPr>
        <w:tc>
          <w:tcPr>
            <w:tcW w:w="1473" w:type="pct"/>
            <w:noWrap/>
            <w:vAlign w:val="center"/>
          </w:tcPr>
          <w:p w14:paraId="2389CFE6" w14:textId="77777777" w:rsidR="004F23C4" w:rsidRPr="007439DE" w:rsidRDefault="004F23C4" w:rsidP="004F23C4">
            <w:pPr>
              <w:spacing w:after="40"/>
              <w:ind w:left="306"/>
              <w:rPr>
                <w:iCs/>
              </w:rPr>
            </w:pPr>
            <w:r w:rsidRPr="007439DE">
              <w:rPr>
                <w:iCs/>
              </w:rPr>
              <w:t>-cost to MBS (75% rebate)</w:t>
            </w:r>
          </w:p>
        </w:tc>
        <w:tc>
          <w:tcPr>
            <w:tcW w:w="705" w:type="pct"/>
            <w:noWrap/>
          </w:tcPr>
          <w:p w14:paraId="78F96B5D" w14:textId="431955AD" w:rsidR="004F23C4" w:rsidRPr="007439DE" w:rsidRDefault="004F23C4" w:rsidP="004F23C4">
            <w:pPr>
              <w:spacing w:after="40"/>
              <w:jc w:val="center"/>
              <w:rPr>
                <w:iCs/>
                <w:strike/>
              </w:rPr>
            </w:pPr>
            <w:r w:rsidRPr="007439DE">
              <w:t>$redacted</w:t>
            </w:r>
          </w:p>
        </w:tc>
        <w:tc>
          <w:tcPr>
            <w:tcW w:w="705" w:type="pct"/>
            <w:noWrap/>
          </w:tcPr>
          <w:p w14:paraId="1398D390" w14:textId="1EF119F5" w:rsidR="004F23C4" w:rsidRPr="007439DE" w:rsidRDefault="004F23C4" w:rsidP="004F23C4">
            <w:pPr>
              <w:spacing w:after="40"/>
              <w:jc w:val="center"/>
              <w:rPr>
                <w:iCs/>
                <w:strike/>
              </w:rPr>
            </w:pPr>
            <w:r w:rsidRPr="007439DE">
              <w:t>$redacted</w:t>
            </w:r>
          </w:p>
        </w:tc>
        <w:tc>
          <w:tcPr>
            <w:tcW w:w="705" w:type="pct"/>
            <w:noWrap/>
          </w:tcPr>
          <w:p w14:paraId="68F8E9B1" w14:textId="52F2D247" w:rsidR="004F23C4" w:rsidRPr="007439DE" w:rsidRDefault="004F23C4" w:rsidP="004F23C4">
            <w:pPr>
              <w:spacing w:after="40"/>
              <w:jc w:val="center"/>
              <w:rPr>
                <w:iCs/>
                <w:strike/>
              </w:rPr>
            </w:pPr>
            <w:r w:rsidRPr="007439DE">
              <w:t>$redacted</w:t>
            </w:r>
          </w:p>
        </w:tc>
        <w:tc>
          <w:tcPr>
            <w:tcW w:w="705" w:type="pct"/>
            <w:noWrap/>
          </w:tcPr>
          <w:p w14:paraId="302A15DA" w14:textId="09E6B004" w:rsidR="004F23C4" w:rsidRPr="007439DE" w:rsidRDefault="004F23C4" w:rsidP="004F23C4">
            <w:pPr>
              <w:spacing w:after="40"/>
              <w:jc w:val="center"/>
              <w:rPr>
                <w:iCs/>
                <w:strike/>
              </w:rPr>
            </w:pPr>
            <w:r w:rsidRPr="007439DE">
              <w:t>$redacted</w:t>
            </w:r>
          </w:p>
        </w:tc>
        <w:tc>
          <w:tcPr>
            <w:tcW w:w="705" w:type="pct"/>
            <w:noWrap/>
          </w:tcPr>
          <w:p w14:paraId="59950AE9" w14:textId="668660F3" w:rsidR="004F23C4" w:rsidRPr="007439DE" w:rsidRDefault="004F23C4" w:rsidP="004F23C4">
            <w:pPr>
              <w:spacing w:after="40"/>
              <w:jc w:val="center"/>
              <w:rPr>
                <w:iCs/>
                <w:strike/>
              </w:rPr>
            </w:pPr>
            <w:r w:rsidRPr="007439DE">
              <w:t>$redacted</w:t>
            </w:r>
          </w:p>
        </w:tc>
      </w:tr>
      <w:tr w:rsidR="004F23C4" w:rsidRPr="00154A9C" w14:paraId="79B3556B" w14:textId="77777777" w:rsidTr="007439DE">
        <w:trPr>
          <w:trHeight w:val="300"/>
        </w:trPr>
        <w:tc>
          <w:tcPr>
            <w:tcW w:w="1473" w:type="pct"/>
            <w:tcBorders>
              <w:bottom w:val="single" w:sz="4" w:space="0" w:color="auto"/>
            </w:tcBorders>
            <w:noWrap/>
            <w:vAlign w:val="center"/>
          </w:tcPr>
          <w:p w14:paraId="67295285" w14:textId="77777777" w:rsidR="004F23C4" w:rsidRPr="007439DE" w:rsidRDefault="004F23C4" w:rsidP="004F23C4">
            <w:pPr>
              <w:spacing w:after="40"/>
              <w:ind w:left="306"/>
              <w:rPr>
                <w:iCs/>
              </w:rPr>
            </w:pPr>
            <w:r w:rsidRPr="007439DE">
              <w:rPr>
                <w:iCs/>
              </w:rPr>
              <w:t>-cost to patients</w:t>
            </w:r>
          </w:p>
        </w:tc>
        <w:tc>
          <w:tcPr>
            <w:tcW w:w="705" w:type="pct"/>
            <w:tcBorders>
              <w:bottom w:val="single" w:sz="4" w:space="0" w:color="auto"/>
            </w:tcBorders>
            <w:noWrap/>
          </w:tcPr>
          <w:p w14:paraId="374F9860" w14:textId="1173F0D4"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03956F79" w14:textId="5CAFE7E1"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16E22B35" w14:textId="7D0AA3B3"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7DA05735" w14:textId="2E1718BB" w:rsidR="004F23C4" w:rsidRPr="007439DE" w:rsidRDefault="004F23C4" w:rsidP="004F23C4">
            <w:pPr>
              <w:spacing w:after="40"/>
              <w:jc w:val="center"/>
              <w:rPr>
                <w:iCs/>
                <w:strike/>
              </w:rPr>
            </w:pPr>
            <w:r w:rsidRPr="007439DE">
              <w:t>$redacted</w:t>
            </w:r>
          </w:p>
        </w:tc>
        <w:tc>
          <w:tcPr>
            <w:tcW w:w="705" w:type="pct"/>
            <w:tcBorders>
              <w:bottom w:val="single" w:sz="4" w:space="0" w:color="auto"/>
            </w:tcBorders>
            <w:noWrap/>
          </w:tcPr>
          <w:p w14:paraId="0B3E8CFC" w14:textId="4C627AE7" w:rsidR="004F23C4" w:rsidRPr="007439DE" w:rsidRDefault="004F23C4" w:rsidP="004F23C4">
            <w:pPr>
              <w:spacing w:after="40"/>
              <w:jc w:val="center"/>
              <w:rPr>
                <w:iCs/>
                <w:strike/>
              </w:rPr>
            </w:pPr>
            <w:r w:rsidRPr="007439DE">
              <w:t>$redacted</w:t>
            </w:r>
          </w:p>
        </w:tc>
      </w:tr>
    </w:tbl>
    <w:p w14:paraId="6FE0DAB6" w14:textId="77777777" w:rsidR="007E6D4E" w:rsidRPr="00154A9C" w:rsidRDefault="007E6D4E" w:rsidP="007E6D4E">
      <w:pPr>
        <w:rPr>
          <w:rFonts w:ascii="Arial Narrow" w:hAnsi="Arial Narrow" w:cs="Arial"/>
          <w:snapToGrid w:val="0"/>
          <w:sz w:val="18"/>
          <w:lang w:eastAsia="en-US"/>
        </w:rPr>
      </w:pPr>
      <w:r w:rsidRPr="00154A9C">
        <w:rPr>
          <w:rFonts w:ascii="Arial Narrow" w:hAnsi="Arial Narrow" w:cs="Arial"/>
          <w:snapToGrid w:val="0"/>
          <w:sz w:val="18"/>
          <w:lang w:eastAsia="en-US"/>
        </w:rPr>
        <w:t>EA=EndoAnchor; EVAR=Endovascular aneurysm repair; MBS=Medicare Benefits Schedule; T/EVAR=Thoracic endovascular aneurysm repair</w:t>
      </w:r>
    </w:p>
    <w:p w14:paraId="6F0C5105" w14:textId="66309CDC" w:rsidR="007E6D4E" w:rsidRPr="00965A7E" w:rsidRDefault="007E6D4E" w:rsidP="007E6D4E">
      <w:pPr>
        <w:rPr>
          <w:rFonts w:ascii="Arial Narrow" w:hAnsi="Arial Narrow" w:cs="Arial"/>
          <w:snapToGrid w:val="0"/>
          <w:sz w:val="18"/>
          <w:lang w:eastAsia="en-US"/>
        </w:rPr>
      </w:pPr>
      <w:r w:rsidRPr="00154A9C">
        <w:rPr>
          <w:rFonts w:ascii="Arial Narrow" w:hAnsi="Arial Narrow" w:cs="Arial"/>
          <w:snapToGrid w:val="0"/>
          <w:sz w:val="18"/>
          <w:lang w:eastAsia="en-US"/>
        </w:rPr>
        <w:t xml:space="preserve">Source: </w:t>
      </w:r>
      <w:r w:rsidR="00965A7E">
        <w:rPr>
          <w:rFonts w:ascii="Arial Narrow" w:hAnsi="Arial Narrow" w:cs="Arial"/>
          <w:snapToGrid w:val="0"/>
          <w:sz w:val="18"/>
          <w:lang w:eastAsia="en-US"/>
        </w:rPr>
        <w:t>Table 47, p61 of the commentary</w:t>
      </w:r>
    </w:p>
    <w:p w14:paraId="2F13A103" w14:textId="3415340C" w:rsidR="007E6D4E" w:rsidRPr="00154A9C" w:rsidRDefault="007E6D4E" w:rsidP="00965A7E">
      <w:pPr>
        <w:widowControl w:val="0"/>
        <w:spacing w:before="240"/>
      </w:pPr>
      <w:r w:rsidRPr="00154A9C">
        <w:t>In the pre-ESC response, the applicant stated that the market share approach estimated T/EVAR+EA use as a function of the total T/EVAR market in a private setting, i.e. based on MBS statistics as detailed in Section E.1 (pg. 217 of the ADAR). This approach specifically accounts for private hospital usage and usage in private patients treated as such in public hospitals. Further, EVAR+EA offers an alternative treatment to complex EVAR, which is currently available to all patients for which EVAR + EA. Given the high risk of rupture in this population, it is not expected that there will be a large, prevalent pool of untreated patients. The applicant therefore claimed that MBS listing of EVAR+EA is not expected to increase the proportion of endovascularly treated patients requiring complex procedures (i</w:t>
      </w:r>
      <w:r w:rsidR="00965A7E">
        <w:t xml:space="preserve">.e. complex EVAR and EVAR+EA). </w:t>
      </w:r>
    </w:p>
    <w:p w14:paraId="1F14C775" w14:textId="45408A00" w:rsidR="005D518B" w:rsidRDefault="007E6D4E" w:rsidP="00965A7E">
      <w:pPr>
        <w:widowControl w:val="0"/>
        <w:spacing w:before="240"/>
      </w:pPr>
      <w:r w:rsidRPr="00154A9C">
        <w:t xml:space="preserve">The applicant also highlighted that the financial impact model applied uptake rates of </w:t>
      </w:r>
      <w:r w:rsidR="00723317" w:rsidRPr="00F31BCD">
        <w:rPr>
          <w:b/>
        </w:rPr>
        <w:t>redacted</w:t>
      </w:r>
      <w:r w:rsidRPr="00154A9C">
        <w:t xml:space="preserve">% in year 1 increasing to </w:t>
      </w:r>
      <w:r w:rsidR="00723317" w:rsidRPr="00F31BCD">
        <w:rPr>
          <w:b/>
        </w:rPr>
        <w:t>redacted</w:t>
      </w:r>
      <w:r w:rsidRPr="00154A9C">
        <w:t xml:space="preserve">% in year 3 in the complex infrarenal market, not </w:t>
      </w:r>
      <w:r w:rsidR="00723317" w:rsidRPr="00F31BCD">
        <w:rPr>
          <w:b/>
        </w:rPr>
        <w:t>redacted</w:t>
      </w:r>
      <w:r w:rsidRPr="00154A9C">
        <w:t xml:space="preserve">% as suggested by the commentary. The applicant argued that an uptake rate of </w:t>
      </w:r>
      <w:r w:rsidR="00723317" w:rsidRPr="00F31BCD">
        <w:rPr>
          <w:b/>
        </w:rPr>
        <w:t>redacted</w:t>
      </w:r>
      <w:r w:rsidRPr="00154A9C">
        <w:t xml:space="preserve">% is not necessarily ‘small’. The uptake rates in complex thoracic market is lower, ranging from </w:t>
      </w:r>
      <w:r w:rsidR="00723317" w:rsidRPr="00F31BCD">
        <w:rPr>
          <w:b/>
        </w:rPr>
        <w:t>redacted</w:t>
      </w:r>
      <w:r w:rsidRPr="00154A9C">
        <w:t xml:space="preserve">% in year 1 increasing to </w:t>
      </w:r>
      <w:r w:rsidR="00723317" w:rsidRPr="00F31BCD">
        <w:rPr>
          <w:b/>
        </w:rPr>
        <w:t>redacted</w:t>
      </w:r>
      <w:r w:rsidRPr="00154A9C">
        <w:t>% in year 5. The applicant acknowledged uptake rates of T/EVAR+EA are somewhat uncertain and reiterated that the impact of doubling the uptake rates in both populations were explored in sensitivity analyses (refer to Section E.6.2 of the ADAR) with results showing minimal impact on the estimated financial implications associated with MBS listing or T/EVAR+EA. The base case estimated that listing T/EVAR+</w:t>
      </w:r>
      <w:r w:rsidRPr="007439DE">
        <w:t xml:space="preserve">EA on the MBS would result in cost savings to the MBS of between </w:t>
      </w:r>
      <w:r w:rsidR="004F23C4" w:rsidRPr="007439DE">
        <w:t>$</w:t>
      </w:r>
      <w:r w:rsidR="004F23C4" w:rsidRPr="007439DE">
        <w:rPr>
          <w:b/>
        </w:rPr>
        <w:t>redacted</w:t>
      </w:r>
      <w:r w:rsidR="004F23C4" w:rsidRPr="007439DE" w:rsidDel="004F23C4">
        <w:t xml:space="preserve"> </w:t>
      </w:r>
      <w:r w:rsidRPr="007439DE">
        <w:t xml:space="preserve">in Year 1 and </w:t>
      </w:r>
      <w:r w:rsidR="004F23C4" w:rsidRPr="007439DE">
        <w:t>$</w:t>
      </w:r>
      <w:r w:rsidR="004F23C4" w:rsidRPr="007439DE">
        <w:rPr>
          <w:b/>
        </w:rPr>
        <w:t>redacted</w:t>
      </w:r>
      <w:r w:rsidR="00A9387D" w:rsidRPr="007439DE">
        <w:rPr>
          <w:b/>
        </w:rPr>
        <w:t xml:space="preserve"> </w:t>
      </w:r>
      <w:r w:rsidRPr="007439DE">
        <w:t xml:space="preserve">in Year 5, whilst doubling uptake rates results in estimated MBS savings of between </w:t>
      </w:r>
      <w:r w:rsidR="004F23C4" w:rsidRPr="007439DE">
        <w:t>$</w:t>
      </w:r>
      <w:r w:rsidR="004F23C4" w:rsidRPr="007439DE">
        <w:rPr>
          <w:b/>
        </w:rPr>
        <w:t>redacted</w:t>
      </w:r>
      <w:r w:rsidR="00A9387D" w:rsidRPr="007439DE">
        <w:rPr>
          <w:b/>
        </w:rPr>
        <w:t xml:space="preserve"> </w:t>
      </w:r>
      <w:r w:rsidRPr="007439DE">
        <w:t xml:space="preserve">in year 1 and </w:t>
      </w:r>
      <w:r w:rsidR="004F23C4" w:rsidRPr="007439DE">
        <w:t>$</w:t>
      </w:r>
      <w:r w:rsidR="004F23C4" w:rsidRPr="007439DE">
        <w:rPr>
          <w:b/>
        </w:rPr>
        <w:t>redacted</w:t>
      </w:r>
      <w:r w:rsidR="004F23C4" w:rsidRPr="007439DE" w:rsidDel="004F23C4">
        <w:t xml:space="preserve"> </w:t>
      </w:r>
      <w:r w:rsidRPr="007439DE">
        <w:t>in year</w:t>
      </w:r>
      <w:r w:rsidRPr="00154A9C">
        <w:t xml:space="preserve"> 5.</w:t>
      </w:r>
    </w:p>
    <w:p w14:paraId="7B34A566" w14:textId="77777777" w:rsidR="00DE0A72" w:rsidRPr="00F715D1" w:rsidRDefault="00DE0A72" w:rsidP="00DE0A72">
      <w:pPr>
        <w:pStyle w:val="Heading1"/>
      </w:pPr>
      <w:r w:rsidRPr="00F715D1">
        <w:lastRenderedPageBreak/>
        <w:t>Key issues from ESC for MSAC</w:t>
      </w:r>
    </w:p>
    <w:tbl>
      <w:tblPr>
        <w:tblStyle w:val="TableGrid1"/>
        <w:tblW w:w="9024" w:type="dxa"/>
        <w:tblLook w:val="04A0" w:firstRow="1" w:lastRow="0" w:firstColumn="1" w:lastColumn="0" w:noHBand="0" w:noVBand="1"/>
        <w:tblDescription w:val="Key issues raised by ESC for MSAC consideration"/>
      </w:tblPr>
      <w:tblGrid>
        <w:gridCol w:w="2220"/>
        <w:gridCol w:w="6804"/>
      </w:tblGrid>
      <w:tr w:rsidR="007E6D4E" w:rsidRPr="00154A9C" w14:paraId="079028D4" w14:textId="77777777" w:rsidTr="007E7F19">
        <w:trPr>
          <w:cnfStyle w:val="100000000000" w:firstRow="1" w:lastRow="0" w:firstColumn="0" w:lastColumn="0" w:oddVBand="0" w:evenVBand="0" w:oddHBand="0" w:evenHBand="0" w:firstRowFirstColumn="0" w:firstRowLastColumn="0" w:lastRowFirstColumn="0" w:lastRowLastColumn="0"/>
          <w:trHeight w:val="105"/>
          <w:tblHeader/>
        </w:trPr>
        <w:tc>
          <w:tcPr>
            <w:tcW w:w="2220" w:type="dxa"/>
            <w:hideMark/>
          </w:tcPr>
          <w:p w14:paraId="2DBA285A" w14:textId="77777777" w:rsidR="007E6D4E" w:rsidRPr="00154A9C" w:rsidRDefault="007E6D4E" w:rsidP="00A0047D">
            <w:pPr>
              <w:pStyle w:val="TableHeading"/>
            </w:pPr>
            <w:r w:rsidRPr="00154A9C">
              <w:t>ESC key issues</w:t>
            </w:r>
          </w:p>
        </w:tc>
        <w:tc>
          <w:tcPr>
            <w:tcW w:w="6804" w:type="dxa"/>
            <w:hideMark/>
          </w:tcPr>
          <w:p w14:paraId="59AAC68E" w14:textId="77777777" w:rsidR="007E6D4E" w:rsidRPr="00154A9C" w:rsidRDefault="007E6D4E" w:rsidP="00A0047D">
            <w:pPr>
              <w:pStyle w:val="TableHeading"/>
            </w:pPr>
            <w:r w:rsidRPr="00154A9C">
              <w:t>ESC advice to MSAC</w:t>
            </w:r>
          </w:p>
        </w:tc>
      </w:tr>
      <w:tr w:rsidR="007E6D4E" w:rsidRPr="00154A9C" w14:paraId="38EFE578" w14:textId="77777777" w:rsidTr="007E7F19">
        <w:trPr>
          <w:trHeight w:val="105"/>
        </w:trPr>
        <w:tc>
          <w:tcPr>
            <w:tcW w:w="2220" w:type="dxa"/>
            <w:hideMark/>
          </w:tcPr>
          <w:p w14:paraId="407B0E6E" w14:textId="77777777" w:rsidR="007E6D4E" w:rsidRPr="00154A9C" w:rsidRDefault="007E6D4E" w:rsidP="00A0047D">
            <w:pPr>
              <w:pStyle w:val="TableText1"/>
            </w:pPr>
            <w:r w:rsidRPr="00154A9C">
              <w:t>Very low-quality evidence</w:t>
            </w:r>
          </w:p>
        </w:tc>
        <w:tc>
          <w:tcPr>
            <w:tcW w:w="6804" w:type="dxa"/>
            <w:hideMark/>
          </w:tcPr>
          <w:p w14:paraId="4BE55B64" w14:textId="77777777" w:rsidR="007E6D4E" w:rsidRPr="00154A9C" w:rsidRDefault="007E6D4E" w:rsidP="00A0047D">
            <w:pPr>
              <w:pStyle w:val="TableText1"/>
            </w:pPr>
            <w:r>
              <w:t>ESC considered t</w:t>
            </w:r>
            <w:r w:rsidRPr="00154A9C">
              <w:t xml:space="preserve">he low confidence in the estimate </w:t>
            </w:r>
            <w:r>
              <w:t xml:space="preserve">of </w:t>
            </w:r>
            <w:r w:rsidRPr="00154A9C">
              <w:t>effect. The true effect may be substantially different from the estimate of effect</w:t>
            </w:r>
            <w:r>
              <w:t xml:space="preserve"> claimed by the applicant</w:t>
            </w:r>
            <w:r w:rsidRPr="00154A9C">
              <w:t>.</w:t>
            </w:r>
          </w:p>
        </w:tc>
      </w:tr>
      <w:tr w:rsidR="007E6D4E" w:rsidRPr="00154A9C" w14:paraId="51888E40" w14:textId="77777777" w:rsidTr="007E7F19">
        <w:trPr>
          <w:trHeight w:val="105"/>
        </w:trPr>
        <w:tc>
          <w:tcPr>
            <w:tcW w:w="2220" w:type="dxa"/>
            <w:hideMark/>
          </w:tcPr>
          <w:p w14:paraId="6642F3C6" w14:textId="77777777" w:rsidR="007E6D4E" w:rsidRPr="00154A9C" w:rsidRDefault="007E6D4E" w:rsidP="00A0047D">
            <w:pPr>
              <w:pStyle w:val="TableText1"/>
            </w:pPr>
            <w:r w:rsidRPr="00154A9C">
              <w:t>Safety and effectiveness</w:t>
            </w:r>
          </w:p>
        </w:tc>
        <w:tc>
          <w:tcPr>
            <w:tcW w:w="6804" w:type="dxa"/>
            <w:hideMark/>
          </w:tcPr>
          <w:p w14:paraId="318EE233" w14:textId="77777777" w:rsidR="007E6D4E" w:rsidRPr="00154A9C" w:rsidRDefault="007E6D4E" w:rsidP="00A0047D">
            <w:pPr>
              <w:pStyle w:val="TableText1"/>
            </w:pPr>
            <w:r w:rsidRPr="00154A9C">
              <w:t xml:space="preserve">For both populations, </w:t>
            </w:r>
            <w:r>
              <w:t xml:space="preserve">ESC considered that </w:t>
            </w:r>
            <w:r w:rsidRPr="00154A9C">
              <w:t xml:space="preserve">there is low confidence that </w:t>
            </w:r>
            <w:r>
              <w:t>T/</w:t>
            </w:r>
            <w:r w:rsidRPr="00154A9C">
              <w:t xml:space="preserve">EVAR+EA has non-inferior safety and non-inferior effectiveness relative to complex </w:t>
            </w:r>
            <w:r>
              <w:t>T/</w:t>
            </w:r>
            <w:r w:rsidRPr="00154A9C">
              <w:t>EVAR</w:t>
            </w:r>
            <w:r>
              <w:t xml:space="preserve"> (FEVAR or CHEVAR)</w:t>
            </w:r>
            <w:r w:rsidRPr="00154A9C">
              <w:t xml:space="preserve"> or other possible interventions.</w:t>
            </w:r>
          </w:p>
        </w:tc>
      </w:tr>
      <w:tr w:rsidR="007E6D4E" w:rsidRPr="00154A9C" w14:paraId="651D5A36" w14:textId="77777777" w:rsidTr="007E7F19">
        <w:trPr>
          <w:trHeight w:val="105"/>
        </w:trPr>
        <w:tc>
          <w:tcPr>
            <w:tcW w:w="2220" w:type="dxa"/>
            <w:hideMark/>
          </w:tcPr>
          <w:p w14:paraId="7EC61147" w14:textId="77777777" w:rsidR="007E6D4E" w:rsidRPr="00154A9C" w:rsidRDefault="007E6D4E" w:rsidP="00A0047D">
            <w:pPr>
              <w:pStyle w:val="TableText1"/>
            </w:pPr>
            <w:r w:rsidRPr="00154A9C">
              <w:t>No better-quality evidence on the horizon</w:t>
            </w:r>
          </w:p>
        </w:tc>
        <w:tc>
          <w:tcPr>
            <w:tcW w:w="6804" w:type="dxa"/>
            <w:hideMark/>
          </w:tcPr>
          <w:p w14:paraId="0F91BD71" w14:textId="77777777" w:rsidR="007E6D4E" w:rsidRPr="00154A9C" w:rsidRDefault="007E6D4E" w:rsidP="00A0047D">
            <w:pPr>
              <w:pStyle w:val="TableText1"/>
            </w:pPr>
            <w:r>
              <w:t>ESC noted that a</w:t>
            </w:r>
            <w:r w:rsidRPr="00154A9C">
              <w:t>part from</w:t>
            </w:r>
            <w:r>
              <w:t xml:space="preserve"> the</w:t>
            </w:r>
            <w:r w:rsidRPr="00154A9C">
              <w:t xml:space="preserve"> ANCHOR registry, there are no active studies and no clinical trials </w:t>
            </w:r>
            <w:r>
              <w:t xml:space="preserve">currently </w:t>
            </w:r>
            <w:r w:rsidRPr="00154A9C">
              <w:t>recruiting.</w:t>
            </w:r>
          </w:p>
        </w:tc>
      </w:tr>
      <w:tr w:rsidR="007E6D4E" w:rsidRPr="00154A9C" w14:paraId="4D7394FB" w14:textId="77777777" w:rsidTr="007E7F19">
        <w:trPr>
          <w:trHeight w:val="1195"/>
        </w:trPr>
        <w:tc>
          <w:tcPr>
            <w:tcW w:w="2220" w:type="dxa"/>
            <w:hideMark/>
          </w:tcPr>
          <w:p w14:paraId="321AB25E" w14:textId="77777777" w:rsidR="007E6D4E" w:rsidRPr="00154A9C" w:rsidRDefault="007E6D4E" w:rsidP="00A0047D">
            <w:pPr>
              <w:pStyle w:val="TableText1"/>
            </w:pPr>
            <w:r w:rsidRPr="00154A9C">
              <w:t>Assumption T/EVAR +EA is non-inferior to its comparators in each population</w:t>
            </w:r>
          </w:p>
        </w:tc>
        <w:tc>
          <w:tcPr>
            <w:tcW w:w="6804" w:type="dxa"/>
            <w:hideMark/>
          </w:tcPr>
          <w:p w14:paraId="45399771" w14:textId="77777777" w:rsidR="007E6D4E" w:rsidRPr="00154A9C" w:rsidRDefault="007E6D4E" w:rsidP="00A0047D">
            <w:pPr>
              <w:pStyle w:val="TableText1"/>
            </w:pPr>
            <w:r w:rsidRPr="00154A9C">
              <w:t>A</w:t>
            </w:r>
            <w:r>
              <w:t>ESC advised that</w:t>
            </w:r>
            <w:r w:rsidRPr="00154A9C">
              <w:t xml:space="preserve"> cost-minimisation </w:t>
            </w:r>
            <w:r>
              <w:t>approach</w:t>
            </w:r>
            <w:r w:rsidRPr="00154A9C">
              <w:t xml:space="preserve"> </w:t>
            </w:r>
            <w:r>
              <w:t xml:space="preserve">to the economic analysis </w:t>
            </w:r>
            <w:r w:rsidRPr="00154A9C">
              <w:t xml:space="preserve">is only appropriate if the clinical claim of non-inferiority is </w:t>
            </w:r>
            <w:r>
              <w:t>accepted</w:t>
            </w:r>
            <w:r w:rsidRPr="00154A9C">
              <w:t>.</w:t>
            </w:r>
          </w:p>
        </w:tc>
      </w:tr>
      <w:tr w:rsidR="007E6D4E" w:rsidRPr="00154A9C" w14:paraId="661336B3" w14:textId="77777777" w:rsidTr="007E7F19">
        <w:trPr>
          <w:trHeight w:val="1207"/>
        </w:trPr>
        <w:tc>
          <w:tcPr>
            <w:tcW w:w="2220" w:type="dxa"/>
            <w:hideMark/>
          </w:tcPr>
          <w:p w14:paraId="66272D3C" w14:textId="77777777" w:rsidR="007E6D4E" w:rsidRPr="00154A9C" w:rsidRDefault="007E6D4E" w:rsidP="00A0047D">
            <w:pPr>
              <w:pStyle w:val="TableText1"/>
            </w:pPr>
            <w:r w:rsidRPr="00154A9C">
              <w:t>The population has been split into abdominal and thoracic treatment/repair</w:t>
            </w:r>
          </w:p>
        </w:tc>
        <w:tc>
          <w:tcPr>
            <w:tcW w:w="6804" w:type="dxa"/>
            <w:hideMark/>
          </w:tcPr>
          <w:p w14:paraId="07FF3EA7" w14:textId="77777777" w:rsidR="007E6D4E" w:rsidRPr="00154A9C" w:rsidRDefault="007E6D4E" w:rsidP="00A0047D">
            <w:pPr>
              <w:pStyle w:val="TableText1"/>
            </w:pPr>
            <w:r w:rsidRPr="00154A9C">
              <w:t xml:space="preserve">The populations were appropriately split due to the difference in complexity and time required for each operation. However, </w:t>
            </w:r>
            <w:r>
              <w:t xml:space="preserve">ESC noted that </w:t>
            </w:r>
            <w:r w:rsidRPr="00154A9C">
              <w:t>the analysis failed to account for the cost of grafts associated with thoracoabdominal aortic aneurysms.</w:t>
            </w:r>
          </w:p>
        </w:tc>
      </w:tr>
      <w:tr w:rsidR="007E6D4E" w:rsidRPr="00154A9C" w14:paraId="3EB16B00" w14:textId="77777777" w:rsidTr="007E7F19">
        <w:trPr>
          <w:trHeight w:val="1207"/>
        </w:trPr>
        <w:tc>
          <w:tcPr>
            <w:tcW w:w="2220" w:type="dxa"/>
            <w:hideMark/>
          </w:tcPr>
          <w:p w14:paraId="0A266D69" w14:textId="77777777" w:rsidR="007E6D4E" w:rsidRPr="00154A9C" w:rsidRDefault="007E6D4E" w:rsidP="00A0047D">
            <w:pPr>
              <w:pStyle w:val="TableText1"/>
            </w:pPr>
            <w:r w:rsidRPr="00154A9C">
              <w:t>Comparator costs.</w:t>
            </w:r>
          </w:p>
        </w:tc>
        <w:tc>
          <w:tcPr>
            <w:tcW w:w="6804" w:type="dxa"/>
            <w:hideMark/>
          </w:tcPr>
          <w:p w14:paraId="7F401CB3" w14:textId="77777777" w:rsidR="007E6D4E" w:rsidRPr="00154A9C" w:rsidRDefault="007E6D4E" w:rsidP="00A0047D">
            <w:pPr>
              <w:pStyle w:val="TableText1"/>
            </w:pPr>
            <w:r>
              <w:t>ESC queried</w:t>
            </w:r>
            <w:r w:rsidRPr="00154A9C">
              <w:t xml:space="preserve"> a number of potential issues with the comparator costs included in the cost comparisons.</w:t>
            </w:r>
          </w:p>
          <w:p w14:paraId="5999EAC6" w14:textId="77777777" w:rsidR="007E6D4E" w:rsidRPr="00154A9C" w:rsidRDefault="007E6D4E" w:rsidP="007E6D4E">
            <w:pPr>
              <w:pStyle w:val="TableText1"/>
              <w:numPr>
                <w:ilvl w:val="0"/>
                <w:numId w:val="10"/>
              </w:numPr>
            </w:pPr>
            <w:r w:rsidRPr="00154A9C">
              <w:t>The cost for open repair may be underestimated</w:t>
            </w:r>
            <w:r>
              <w:t>.</w:t>
            </w:r>
            <w:r w:rsidRPr="00154A9C">
              <w:t xml:space="preserve"> </w:t>
            </w:r>
          </w:p>
          <w:p w14:paraId="00D08F91" w14:textId="77777777" w:rsidR="007E6D4E" w:rsidRDefault="007E6D4E" w:rsidP="007E6D4E">
            <w:pPr>
              <w:pStyle w:val="TableText1"/>
              <w:numPr>
                <w:ilvl w:val="0"/>
                <w:numId w:val="10"/>
              </w:numPr>
            </w:pPr>
            <w:r w:rsidRPr="00154A9C">
              <w:t>The cost for FEVAR in Populations 1a and 2a may be overestimated</w:t>
            </w:r>
            <w:r>
              <w:t>.</w:t>
            </w:r>
            <w:r w:rsidRPr="00154A9C">
              <w:t xml:space="preserve"> </w:t>
            </w:r>
          </w:p>
          <w:p w14:paraId="5C2054C9" w14:textId="77777777" w:rsidR="007E6D4E" w:rsidRDefault="007E6D4E" w:rsidP="007E6D4E">
            <w:pPr>
              <w:pStyle w:val="TableText1"/>
              <w:numPr>
                <w:ilvl w:val="0"/>
                <w:numId w:val="10"/>
              </w:numPr>
            </w:pPr>
            <w:r>
              <w:t>The cost for CHEVAR may be underestimated.</w:t>
            </w:r>
          </w:p>
          <w:p w14:paraId="5F619C2E" w14:textId="77777777" w:rsidR="007E6D4E" w:rsidRPr="00154A9C" w:rsidRDefault="007E6D4E" w:rsidP="007E6D4E">
            <w:pPr>
              <w:pStyle w:val="TableText1"/>
              <w:numPr>
                <w:ilvl w:val="0"/>
                <w:numId w:val="10"/>
              </w:numPr>
            </w:pPr>
            <w:r w:rsidRPr="00154A9C">
              <w:t>The assumed proportions of bare metal and covered stents used in the different sub-populations may vary in clinical practice.</w:t>
            </w:r>
          </w:p>
        </w:tc>
      </w:tr>
      <w:tr w:rsidR="007E6D4E" w:rsidRPr="00154A9C" w14:paraId="2CE35992" w14:textId="77777777" w:rsidTr="007E7F19">
        <w:trPr>
          <w:trHeight w:val="1289"/>
        </w:trPr>
        <w:tc>
          <w:tcPr>
            <w:tcW w:w="2220" w:type="dxa"/>
          </w:tcPr>
          <w:p w14:paraId="3762B41F" w14:textId="77777777" w:rsidR="007E6D4E" w:rsidRPr="00154A9C" w:rsidRDefault="007E6D4E" w:rsidP="00A0047D">
            <w:pPr>
              <w:pStyle w:val="TableText1"/>
            </w:pPr>
            <w:r w:rsidRPr="00154A9C">
              <w:t>Cost-minimisation claim</w:t>
            </w:r>
          </w:p>
        </w:tc>
        <w:tc>
          <w:tcPr>
            <w:tcW w:w="6804" w:type="dxa"/>
          </w:tcPr>
          <w:p w14:paraId="60A4C9EC" w14:textId="77777777" w:rsidR="007E6D4E" w:rsidRPr="00154A9C" w:rsidRDefault="007E6D4E" w:rsidP="00A0047D">
            <w:pPr>
              <w:pStyle w:val="TableText1"/>
            </w:pPr>
            <w:r>
              <w:t>ESC advised that a</w:t>
            </w:r>
            <w:r w:rsidRPr="00154A9C">
              <w:t xml:space="preserve"> claim of cost-minimisation cannot be supported by the </w:t>
            </w:r>
            <w:r>
              <w:t>economic analysis</w:t>
            </w:r>
            <w:r w:rsidRPr="00154A9C">
              <w:t xml:space="preserve"> presented. Based on the information included in the ADAR, the use of the intervention </w:t>
            </w:r>
            <w:r>
              <w:t xml:space="preserve">appears to be </w:t>
            </w:r>
            <w:r w:rsidRPr="00154A9C">
              <w:t>associated with a higher cost i</w:t>
            </w:r>
            <w:r>
              <w:t>n</w:t>
            </w:r>
            <w:r w:rsidRPr="00154A9C">
              <w:t xml:space="preserve"> some settings and </w:t>
            </w:r>
            <w:r>
              <w:t>to be</w:t>
            </w:r>
            <w:r w:rsidRPr="00154A9C">
              <w:t xml:space="preserve"> cost-saving in others. However, as the ADAR does not include information on the proportions of use in these different settings it is not possible to conclude whether the use of the intervention will </w:t>
            </w:r>
            <w:r>
              <w:t xml:space="preserve">be cost-neutral </w:t>
            </w:r>
            <w:r w:rsidRPr="00154A9C">
              <w:t xml:space="preserve">overall. </w:t>
            </w:r>
          </w:p>
        </w:tc>
      </w:tr>
      <w:tr w:rsidR="007E6D4E" w:rsidRPr="00154A9C" w14:paraId="5C3D7B82" w14:textId="77777777" w:rsidTr="007E7F19">
        <w:trPr>
          <w:trHeight w:val="1289"/>
        </w:trPr>
        <w:tc>
          <w:tcPr>
            <w:tcW w:w="2220" w:type="dxa"/>
            <w:hideMark/>
          </w:tcPr>
          <w:p w14:paraId="28F01307" w14:textId="77777777" w:rsidR="007E6D4E" w:rsidRPr="00154A9C" w:rsidRDefault="007E6D4E" w:rsidP="00A0047D">
            <w:pPr>
              <w:pStyle w:val="TableText1"/>
            </w:pPr>
            <w:r w:rsidRPr="00154A9C">
              <w:t>Cost of device/wastage</w:t>
            </w:r>
          </w:p>
        </w:tc>
        <w:tc>
          <w:tcPr>
            <w:tcW w:w="6804" w:type="dxa"/>
            <w:hideMark/>
          </w:tcPr>
          <w:p w14:paraId="1D16B6FB" w14:textId="62E6E040" w:rsidR="007E6D4E" w:rsidRPr="00154A9C" w:rsidRDefault="007E6D4E" w:rsidP="00A0047D">
            <w:pPr>
              <w:pStyle w:val="TableText1"/>
            </w:pPr>
            <w:r w:rsidRPr="00154A9C">
              <w:t xml:space="preserve">The applicant indicates it will seek a </w:t>
            </w:r>
            <w:r w:rsidRPr="007439DE">
              <w:t xml:space="preserve">Prostheses List benefit of </w:t>
            </w:r>
            <w:r w:rsidR="004F23C4" w:rsidRPr="007439DE">
              <w:t>$</w:t>
            </w:r>
            <w:r w:rsidR="004F23C4" w:rsidRPr="007439DE">
              <w:rPr>
                <w:b/>
              </w:rPr>
              <w:t>redacted</w:t>
            </w:r>
            <w:r w:rsidR="00F30E92" w:rsidRPr="007439DE">
              <w:rPr>
                <w:b/>
              </w:rPr>
              <w:t xml:space="preserve"> </w:t>
            </w:r>
            <w:r w:rsidRPr="007439DE">
              <w:t xml:space="preserve">for a pack of 10 abdominal helical anchors compared with </w:t>
            </w:r>
            <w:r w:rsidR="004F23C4" w:rsidRPr="007439DE">
              <w:t>$</w:t>
            </w:r>
            <w:r w:rsidR="004F23C4" w:rsidRPr="007439DE">
              <w:rPr>
                <w:b/>
              </w:rPr>
              <w:t>redacted</w:t>
            </w:r>
            <w:r w:rsidR="00F30E92" w:rsidRPr="007439DE">
              <w:rPr>
                <w:b/>
              </w:rPr>
              <w:t xml:space="preserve"> </w:t>
            </w:r>
            <w:r w:rsidRPr="007439DE">
              <w:t>for a pack of 10 thoracic helical anchors. If this differential pricing by indication is not</w:t>
            </w:r>
            <w:r>
              <w:t xml:space="preserve"> accepted it </w:t>
            </w:r>
            <w:r w:rsidRPr="00154A9C">
              <w:t xml:space="preserve">has an impact on the </w:t>
            </w:r>
            <w:r>
              <w:t>economic</w:t>
            </w:r>
            <w:r w:rsidRPr="00154A9C">
              <w:t xml:space="preserve"> analysis. </w:t>
            </w:r>
          </w:p>
          <w:p w14:paraId="0B7680F2" w14:textId="77777777" w:rsidR="007E6D4E" w:rsidRPr="00154A9C" w:rsidRDefault="007E6D4E" w:rsidP="00A0047D">
            <w:pPr>
              <w:pStyle w:val="TableText1"/>
            </w:pPr>
            <w:r w:rsidRPr="00154A9C">
              <w:t>ESC agreed with the pre-ESC response that the applicant’s analysis has appropriately dealt with wastage</w:t>
            </w:r>
            <w:r>
              <w:t>, noting that whilst each pack contains multiple devices, and some patients may require more than one pack, any unused devices are discarded and not used for other patients</w:t>
            </w:r>
            <w:r w:rsidRPr="00154A9C">
              <w:t>.</w:t>
            </w:r>
          </w:p>
        </w:tc>
      </w:tr>
      <w:tr w:rsidR="007E6D4E" w:rsidRPr="00154A9C" w14:paraId="7577EBB4" w14:textId="77777777" w:rsidTr="007E7F19">
        <w:trPr>
          <w:trHeight w:val="1289"/>
        </w:trPr>
        <w:tc>
          <w:tcPr>
            <w:tcW w:w="2220" w:type="dxa"/>
            <w:hideMark/>
          </w:tcPr>
          <w:p w14:paraId="3DB821E3" w14:textId="77777777" w:rsidR="007E6D4E" w:rsidRPr="00154A9C" w:rsidRDefault="007E6D4E" w:rsidP="00A0047D">
            <w:pPr>
              <w:pStyle w:val="TableText1"/>
            </w:pPr>
            <w:r w:rsidRPr="00154A9C">
              <w:t>Financial implications may be over or underestimated</w:t>
            </w:r>
          </w:p>
        </w:tc>
        <w:tc>
          <w:tcPr>
            <w:tcW w:w="6804" w:type="dxa"/>
            <w:hideMark/>
          </w:tcPr>
          <w:p w14:paraId="5BF8DE60" w14:textId="77777777" w:rsidR="007E6D4E" w:rsidRPr="00154A9C" w:rsidRDefault="007E6D4E" w:rsidP="00A0047D">
            <w:pPr>
              <w:pStyle w:val="TableText1"/>
            </w:pPr>
            <w:r>
              <w:t>ESC advised that t</w:t>
            </w:r>
            <w:r w:rsidRPr="00154A9C">
              <w:t>he uncertainties</w:t>
            </w:r>
            <w:r>
              <w:t xml:space="preserve"> in the</w:t>
            </w:r>
            <w:r w:rsidRPr="00154A9C">
              <w:t xml:space="preserve"> cost-minimisation </w:t>
            </w:r>
            <w:r>
              <w:t xml:space="preserve">approach to the economic </w:t>
            </w:r>
            <w:r w:rsidRPr="00154A9C">
              <w:t>analysis flow through to the financial estimates.</w:t>
            </w:r>
          </w:p>
        </w:tc>
      </w:tr>
    </w:tbl>
    <w:p w14:paraId="49BA8E91" w14:textId="6079FE73" w:rsidR="00965A7E" w:rsidRDefault="007E6D4E" w:rsidP="00965A7E">
      <w:pPr>
        <w:pStyle w:val="Tablenotes0"/>
        <w:rPr>
          <w:lang w:eastAsia="en-US"/>
        </w:rPr>
      </w:pPr>
      <w:r>
        <w:t>EVAR = E</w:t>
      </w:r>
      <w:r w:rsidRPr="0072529A">
        <w:t>ndovascular aneurysm repair</w:t>
      </w:r>
      <w:r>
        <w:t>,</w:t>
      </w:r>
      <w:r w:rsidRPr="0072529A">
        <w:t xml:space="preserve"> </w:t>
      </w:r>
      <w:r>
        <w:t>T/EVAR = T</w:t>
      </w:r>
      <w:r w:rsidRPr="0072529A">
        <w:t>horacic endovascular aneurysm repair</w:t>
      </w:r>
      <w:r>
        <w:t xml:space="preserve">, </w:t>
      </w:r>
      <w:r w:rsidRPr="00154A9C">
        <w:t>EA</w:t>
      </w:r>
      <w:r>
        <w:t xml:space="preserve"> =,E</w:t>
      </w:r>
      <w:r w:rsidRPr="00154A9C">
        <w:t>nd</w:t>
      </w:r>
      <w:r>
        <w:t>oA</w:t>
      </w:r>
      <w:r w:rsidRPr="00154A9C">
        <w:t>nchors</w:t>
      </w:r>
      <w:r>
        <w:t xml:space="preserve">, </w:t>
      </w:r>
      <w:r>
        <w:rPr>
          <w:lang w:eastAsia="en-US"/>
        </w:rPr>
        <w:t>FEVAR</w:t>
      </w:r>
      <w:r w:rsidRPr="00BF4EC6">
        <w:rPr>
          <w:lang w:eastAsia="en-US"/>
        </w:rPr>
        <w:t xml:space="preserve"> </w:t>
      </w:r>
      <w:r>
        <w:rPr>
          <w:lang w:eastAsia="en-US"/>
        </w:rPr>
        <w:t>= Fenestrated EVAR, CHEVAR = Chimney EVAR</w:t>
      </w:r>
      <w:r w:rsidR="00965A7E">
        <w:rPr>
          <w:lang w:eastAsia="en-US"/>
        </w:rPr>
        <w:br w:type="page"/>
      </w:r>
    </w:p>
    <w:p w14:paraId="4743F93F" w14:textId="1B533A88" w:rsidR="00AF2A17" w:rsidRPr="00965A7E" w:rsidRDefault="00DE0A72" w:rsidP="00965A7E">
      <w:pPr>
        <w:pStyle w:val="Heading2"/>
        <w:rPr>
          <w:b/>
          <w:i w:val="0"/>
          <w:u w:val="none"/>
        </w:rPr>
      </w:pPr>
      <w:r w:rsidRPr="007E6D4E">
        <w:rPr>
          <w:b/>
          <w:i w:val="0"/>
          <w:u w:val="none"/>
        </w:rPr>
        <w:lastRenderedPageBreak/>
        <w:t>ESC discussion</w:t>
      </w:r>
    </w:p>
    <w:p w14:paraId="2DC6F958" w14:textId="632CC537" w:rsidR="007E6D4E" w:rsidRPr="00154A9C" w:rsidRDefault="007E6D4E" w:rsidP="00965A7E">
      <w:pPr>
        <w:spacing w:before="240"/>
      </w:pPr>
      <w:r w:rsidRPr="00154A9C">
        <w:t xml:space="preserve">ESC noted the purpose of this application was to consider </w:t>
      </w:r>
      <w:r>
        <w:t>MBS</w:t>
      </w:r>
      <w:r w:rsidRPr="00154A9C">
        <w:t xml:space="preserve"> listing of transmural fixation of aortic endograft using helical anchors (EndoAnchors [EA]) to treat AAA and TAA adjunct to </w:t>
      </w:r>
      <w:r>
        <w:t>EVAR</w:t>
      </w:r>
      <w:r w:rsidR="00965A7E">
        <w:t>.</w:t>
      </w:r>
    </w:p>
    <w:p w14:paraId="6CFA7468" w14:textId="2BE948D5" w:rsidR="007E6D4E" w:rsidRPr="00154A9C" w:rsidRDefault="007E6D4E" w:rsidP="00965A7E">
      <w:pPr>
        <w:spacing w:before="240"/>
      </w:pPr>
      <w:r w:rsidRPr="00154A9C">
        <w:rPr>
          <w:lang w:eastAsia="en-US"/>
        </w:rPr>
        <w:t>ESC noted that the three MBS item descriptors</w:t>
      </w:r>
      <w:r w:rsidRPr="00154A9C">
        <w:t xml:space="preserve"> in the ADAR differed from the ratified PICO. However, ESC also noted that the applicant would support alternative arrangements and structuring of the proposed MBS items. The ESC noted the rationale for an increased fee was based on the increased length of the procedure. The ESC considered this may be reasonable, but would need to be considered by Government in the context of the overa</w:t>
      </w:r>
      <w:r w:rsidR="00965A7E">
        <w:t>ll policy for setting MBS fees.</w:t>
      </w:r>
    </w:p>
    <w:p w14:paraId="345568D1" w14:textId="48D62B32" w:rsidR="007E6D4E" w:rsidRPr="00154A9C" w:rsidRDefault="007E6D4E" w:rsidP="00965A7E">
      <w:pPr>
        <w:spacing w:before="240"/>
      </w:pPr>
      <w:r w:rsidRPr="00154A9C">
        <w:t xml:space="preserve">ESC noted there were some discrepancies in the calculations undertaken to justify the fee increase (time taken for thoracic endovascular aneurysm repair </w:t>
      </w:r>
      <w:r>
        <w:t>(</w:t>
      </w:r>
      <w:r w:rsidRPr="00154A9C">
        <w:t>T/EVAR</w:t>
      </w:r>
      <w:r>
        <w:t>)</w:t>
      </w:r>
      <w:r w:rsidRPr="00154A9C">
        <w:t xml:space="preserve"> + EA compared with time taken for T/EVAR). In one part the ADAR states the proposed new procedure takes 17% longer, but Table 83 in the ADAR quotes 16% and 11%. ESC </w:t>
      </w:r>
      <w:r>
        <w:t>requested that</w:t>
      </w:r>
      <w:r w:rsidRPr="00154A9C">
        <w:t xml:space="preserve"> the applicant clarif</w:t>
      </w:r>
      <w:r>
        <w:t>ies</w:t>
      </w:r>
      <w:r w:rsidR="00965A7E">
        <w:t xml:space="preserve"> this apparent discrepancy.</w:t>
      </w:r>
    </w:p>
    <w:p w14:paraId="42AE378F" w14:textId="4AD982C4" w:rsidR="007E6D4E" w:rsidRDefault="007E6D4E" w:rsidP="00965A7E">
      <w:pPr>
        <w:spacing w:before="240"/>
      </w:pPr>
      <w:r w:rsidRPr="00154A9C">
        <w:t>The ESC advised that these procedures appear, in the main, to require an overnight stay and to be performed under general anaesthetic or local anaesthesia with sedation. Therefore</w:t>
      </w:r>
      <w:r>
        <w:t>,</w:t>
      </w:r>
      <w:r w:rsidRPr="00154A9C">
        <w:t xml:space="preserve"> a Type A classification appears appropriate.  </w:t>
      </w:r>
      <w:r>
        <w:t>T</w:t>
      </w:r>
      <w:r w:rsidRPr="00154A9C">
        <w:t xml:space="preserve">he ESC also considered it </w:t>
      </w:r>
      <w:r>
        <w:t xml:space="preserve">may be </w:t>
      </w:r>
      <w:r w:rsidRPr="00154A9C">
        <w:t xml:space="preserve">appropriate for </w:t>
      </w:r>
      <w:r>
        <w:t xml:space="preserve">the items to include provisions for </w:t>
      </w:r>
      <w:r w:rsidRPr="00154A9C">
        <w:t>general anaesth</w:t>
      </w:r>
      <w:r>
        <w:t>esia</w:t>
      </w:r>
      <w:r w:rsidRPr="00154A9C">
        <w:t xml:space="preserve"> or local anaesthesia with sedation</w:t>
      </w:r>
      <w:r>
        <w:t xml:space="preserve"> and assistance at operation, if required</w:t>
      </w:r>
      <w:r w:rsidRPr="00154A9C">
        <w:t xml:space="preserve"> (noting this may have implications for the price of the procedure and the cost-minimisation </w:t>
      </w:r>
      <w:r>
        <w:t xml:space="preserve">approach to the economic </w:t>
      </w:r>
      <w:r w:rsidRPr="00154A9C">
        <w:t>analysis).</w:t>
      </w:r>
    </w:p>
    <w:p w14:paraId="11505CC1" w14:textId="0649B096" w:rsidR="007E6D4E" w:rsidRPr="00154A9C" w:rsidRDefault="007E6D4E" w:rsidP="00965A7E">
      <w:pPr>
        <w:spacing w:before="240"/>
      </w:pPr>
      <w:r>
        <w:t>ESC noted the possibility of restricting claiming of the items to vascular surgeons, but considered this may not be necessary. Most surgical items are not restricted to specific specialty groups.</w:t>
      </w:r>
    </w:p>
    <w:p w14:paraId="5303104F" w14:textId="77777777" w:rsidR="007E6D4E" w:rsidRPr="00154A9C" w:rsidRDefault="007E6D4E" w:rsidP="00965A7E">
      <w:pPr>
        <w:spacing w:before="240"/>
      </w:pPr>
      <w:r w:rsidRPr="00154A9C">
        <w:t xml:space="preserve">ESC advised </w:t>
      </w:r>
      <w:r>
        <w:t xml:space="preserve">that </w:t>
      </w:r>
      <w:r w:rsidRPr="00154A9C">
        <w:t xml:space="preserve">the applicant’s nominated comparators appear appropriate, </w:t>
      </w:r>
      <w:r>
        <w:t xml:space="preserve">but </w:t>
      </w:r>
      <w:r w:rsidRPr="00154A9C">
        <w:t>not</w:t>
      </w:r>
      <w:r>
        <w:t>ed</w:t>
      </w:r>
      <w:r w:rsidRPr="00154A9C">
        <w:t xml:space="preserve"> there is uncertainty in the </w:t>
      </w:r>
      <w:r>
        <w:t xml:space="preserve">relative </w:t>
      </w:r>
      <w:r w:rsidRPr="00154A9C">
        <w:t xml:space="preserve">proportions of patients in </w:t>
      </w:r>
      <w:r>
        <w:t>P</w:t>
      </w:r>
      <w:r w:rsidRPr="00154A9C">
        <w:t>opulation 2 who are managed through a revision aortic EVAR or T/EVAR or through open surgery.</w:t>
      </w:r>
    </w:p>
    <w:p w14:paraId="37958961" w14:textId="77777777" w:rsidR="007E6D4E" w:rsidRPr="00154A9C" w:rsidRDefault="007E6D4E" w:rsidP="007E6D4E">
      <w:pPr>
        <w:pStyle w:val="ListParagraph"/>
        <w:numPr>
          <w:ilvl w:val="0"/>
          <w:numId w:val="11"/>
        </w:numPr>
      </w:pPr>
      <w:r w:rsidRPr="00154A9C">
        <w:t xml:space="preserve">The comparator for Population 1 is use of complex grafts defined as fenestrated, branched or chimney grafts. </w:t>
      </w:r>
    </w:p>
    <w:p w14:paraId="7EC4308A" w14:textId="77777777" w:rsidR="007E6D4E" w:rsidRPr="00154A9C" w:rsidRDefault="007E6D4E" w:rsidP="007E6D4E">
      <w:pPr>
        <w:pStyle w:val="ListParagraph"/>
        <w:numPr>
          <w:ilvl w:val="0"/>
          <w:numId w:val="11"/>
        </w:numPr>
      </w:pPr>
      <w:r w:rsidRPr="00154A9C">
        <w:t>The comparators for Population 2 (both for Type Ia endoleak and migration) are:</w:t>
      </w:r>
    </w:p>
    <w:p w14:paraId="47872A53" w14:textId="77777777" w:rsidR="007E6D4E" w:rsidRPr="00154A9C" w:rsidRDefault="007E6D4E" w:rsidP="007E6D4E">
      <w:pPr>
        <w:pStyle w:val="ListParagraph"/>
        <w:numPr>
          <w:ilvl w:val="0"/>
          <w:numId w:val="12"/>
        </w:numPr>
      </w:pPr>
      <w:r w:rsidRPr="00154A9C">
        <w:t>Revision T/EVAR including addition of component pieces and/or repositioning of stent-graft, and/or aggressive ballooning i.e. angioplasty) or complex grafts,</w:t>
      </w:r>
    </w:p>
    <w:p w14:paraId="7C7FEAC5" w14:textId="4B80CBCD" w:rsidR="007E6D4E" w:rsidRDefault="007E6D4E" w:rsidP="007E6D4E">
      <w:pPr>
        <w:pStyle w:val="ListParagraph"/>
        <w:numPr>
          <w:ilvl w:val="0"/>
          <w:numId w:val="12"/>
        </w:numPr>
      </w:pPr>
      <w:r w:rsidRPr="00154A9C">
        <w:t>Open repair.</w:t>
      </w:r>
    </w:p>
    <w:p w14:paraId="106B983B" w14:textId="71215556" w:rsidR="007E6D4E" w:rsidRPr="00154A9C" w:rsidRDefault="007E6D4E" w:rsidP="00965A7E">
      <w:pPr>
        <w:spacing w:before="240"/>
      </w:pPr>
      <w:r>
        <w:t>T</w:t>
      </w:r>
      <w:r w:rsidRPr="00F154FF">
        <w:t>he</w:t>
      </w:r>
      <w:r>
        <w:t xml:space="preserve"> ESC noted the</w:t>
      </w:r>
      <w:r w:rsidRPr="00F154FF">
        <w:t xml:space="preserve"> analysis failed to account for the cost of grafts associated with thoracoabdominal aortic aneurysms</w:t>
      </w:r>
      <w:r>
        <w:t>.</w:t>
      </w:r>
    </w:p>
    <w:p w14:paraId="0ABBBAE5" w14:textId="77777777" w:rsidR="007E6D4E" w:rsidRPr="00154A9C" w:rsidRDefault="007E6D4E" w:rsidP="00965A7E">
      <w:pPr>
        <w:spacing w:before="240"/>
        <w:rPr>
          <w:lang w:eastAsia="en-US"/>
        </w:rPr>
      </w:pPr>
      <w:r w:rsidRPr="00154A9C">
        <w:rPr>
          <w:lang w:eastAsia="en-US"/>
        </w:rPr>
        <w:t xml:space="preserve">ESC noted that there are no </w:t>
      </w:r>
      <w:r>
        <w:rPr>
          <w:lang w:eastAsia="en-US"/>
        </w:rPr>
        <w:t xml:space="preserve">direct </w:t>
      </w:r>
      <w:r w:rsidRPr="00154A9C">
        <w:rPr>
          <w:lang w:eastAsia="en-US"/>
        </w:rPr>
        <w:t>comparative data in any population, so the evidence base presented by the applicant relies on naïve indirect comparisons of single-arm studies or single arm</w:t>
      </w:r>
      <w:r>
        <w:rPr>
          <w:lang w:eastAsia="en-US"/>
        </w:rPr>
        <w:t>s</w:t>
      </w:r>
      <w:r w:rsidRPr="00154A9C">
        <w:rPr>
          <w:lang w:eastAsia="en-US"/>
        </w:rPr>
        <w:t xml:space="preserve"> of comparative stud</w:t>
      </w:r>
      <w:r>
        <w:rPr>
          <w:lang w:eastAsia="en-US"/>
        </w:rPr>
        <w:t>ies against other comparators</w:t>
      </w:r>
      <w:r w:rsidRPr="00154A9C">
        <w:rPr>
          <w:lang w:eastAsia="en-US"/>
        </w:rPr>
        <w:t xml:space="preserve">. </w:t>
      </w:r>
    </w:p>
    <w:p w14:paraId="5EFDA427" w14:textId="77777777" w:rsidR="007E6D4E" w:rsidRPr="00154A9C" w:rsidRDefault="007E6D4E" w:rsidP="007E6D4E">
      <w:pPr>
        <w:pStyle w:val="ListParagraph"/>
        <w:numPr>
          <w:ilvl w:val="0"/>
          <w:numId w:val="11"/>
        </w:numPr>
        <w:rPr>
          <w:lang w:eastAsia="en-US"/>
        </w:rPr>
      </w:pPr>
      <w:r w:rsidRPr="00154A9C">
        <w:rPr>
          <w:lang w:eastAsia="en-US"/>
        </w:rPr>
        <w:t>seven (7) studies of EVAR + EA</w:t>
      </w:r>
    </w:p>
    <w:p w14:paraId="438F5884" w14:textId="77777777" w:rsidR="007E6D4E" w:rsidRPr="00154A9C" w:rsidRDefault="007E6D4E" w:rsidP="007E6D4E">
      <w:pPr>
        <w:pStyle w:val="ListParagraph"/>
        <w:numPr>
          <w:ilvl w:val="0"/>
          <w:numId w:val="11"/>
        </w:numPr>
        <w:rPr>
          <w:lang w:eastAsia="en-US"/>
        </w:rPr>
      </w:pPr>
      <w:r w:rsidRPr="00154A9C">
        <w:rPr>
          <w:lang w:eastAsia="en-US"/>
        </w:rPr>
        <w:t xml:space="preserve">eleven (11) studies of EVAR for </w:t>
      </w:r>
      <w:r>
        <w:rPr>
          <w:lang w:eastAsia="en-US"/>
        </w:rPr>
        <w:t>P</w:t>
      </w:r>
      <w:r w:rsidRPr="00154A9C">
        <w:rPr>
          <w:lang w:eastAsia="en-US"/>
        </w:rPr>
        <w:t>opulation 1</w:t>
      </w:r>
    </w:p>
    <w:p w14:paraId="53702970" w14:textId="75B6FD9E" w:rsidR="007E6D4E" w:rsidRPr="00154A9C" w:rsidRDefault="007E6D4E" w:rsidP="007E6D4E">
      <w:pPr>
        <w:pStyle w:val="ListParagraph"/>
        <w:numPr>
          <w:ilvl w:val="0"/>
          <w:numId w:val="11"/>
        </w:numPr>
        <w:rPr>
          <w:lang w:eastAsia="en-US"/>
        </w:rPr>
      </w:pPr>
      <w:r w:rsidRPr="00154A9C">
        <w:rPr>
          <w:lang w:eastAsia="en-US"/>
        </w:rPr>
        <w:t xml:space="preserve">fourteen (14) studies of revision EVAR or open surgery in </w:t>
      </w:r>
      <w:r>
        <w:rPr>
          <w:lang w:eastAsia="en-US"/>
        </w:rPr>
        <w:t>P</w:t>
      </w:r>
      <w:r w:rsidRPr="00154A9C">
        <w:rPr>
          <w:lang w:eastAsia="en-US"/>
        </w:rPr>
        <w:t>opulation 2.</w:t>
      </w:r>
    </w:p>
    <w:p w14:paraId="43E71079" w14:textId="3ED08D2B" w:rsidR="007E6D4E" w:rsidRPr="00154A9C" w:rsidRDefault="007E6D4E" w:rsidP="00965A7E">
      <w:pPr>
        <w:spacing w:before="240"/>
        <w:rPr>
          <w:lang w:eastAsia="en-US"/>
        </w:rPr>
      </w:pPr>
      <w:r w:rsidRPr="00154A9C">
        <w:rPr>
          <w:lang w:eastAsia="en-US"/>
        </w:rPr>
        <w:t xml:space="preserve">The ESC noted that the assessment of exchangeability of the studies was limited by the information provided. Although acknowledging the applicant’s </w:t>
      </w:r>
      <w:r>
        <w:rPr>
          <w:lang w:eastAsia="en-US"/>
        </w:rPr>
        <w:t>p</w:t>
      </w:r>
      <w:r w:rsidRPr="00154A9C">
        <w:rPr>
          <w:lang w:eastAsia="en-US"/>
        </w:rPr>
        <w:t>re</w:t>
      </w:r>
      <w:r>
        <w:rPr>
          <w:lang w:eastAsia="en-US"/>
        </w:rPr>
        <w:t>-</w:t>
      </w:r>
      <w:r w:rsidRPr="00154A9C">
        <w:rPr>
          <w:lang w:eastAsia="en-US"/>
        </w:rPr>
        <w:t xml:space="preserve">ESC response that, in its selection of studies for inclusion in the assessment, the applicant ensured both sets of data </w:t>
      </w:r>
      <w:r w:rsidRPr="00154A9C">
        <w:rPr>
          <w:lang w:eastAsia="en-US"/>
        </w:rPr>
        <w:lastRenderedPageBreak/>
        <w:t xml:space="preserve">enrolled patients with aneurysm characteristics overlapping with the proposed populations, the ESC considered concerns about the exchangeability of the trial data remain a key </w:t>
      </w:r>
      <w:r>
        <w:rPr>
          <w:lang w:eastAsia="en-US"/>
        </w:rPr>
        <w:t>source of clinical uncertainty.</w:t>
      </w:r>
      <w:r w:rsidRPr="00154A9C">
        <w:rPr>
          <w:lang w:eastAsia="en-US"/>
        </w:rPr>
        <w:t xml:space="preserve"> </w:t>
      </w:r>
      <w:r>
        <w:rPr>
          <w:lang w:eastAsia="en-US"/>
        </w:rPr>
        <w:t xml:space="preserve">ESC noted that the relevant </w:t>
      </w:r>
      <w:r w:rsidRPr="00154A9C">
        <w:rPr>
          <w:lang w:eastAsia="en-US"/>
        </w:rPr>
        <w:t xml:space="preserve">Clinical Advisory Group </w:t>
      </w:r>
      <w:r>
        <w:rPr>
          <w:lang w:eastAsia="en-US"/>
        </w:rPr>
        <w:t xml:space="preserve">(CAG) of the </w:t>
      </w:r>
      <w:r w:rsidRPr="00154A9C">
        <w:rPr>
          <w:lang w:eastAsia="en-US"/>
        </w:rPr>
        <w:t xml:space="preserve">Prosthesis List Advisory Committee </w:t>
      </w:r>
      <w:r>
        <w:rPr>
          <w:lang w:eastAsia="en-US"/>
        </w:rPr>
        <w:t xml:space="preserve">(PLAC) </w:t>
      </w:r>
      <w:r w:rsidRPr="00154A9C">
        <w:rPr>
          <w:lang w:eastAsia="en-US"/>
        </w:rPr>
        <w:t xml:space="preserve">may be able to </w:t>
      </w:r>
      <w:r>
        <w:rPr>
          <w:lang w:eastAsia="en-US"/>
        </w:rPr>
        <w:t xml:space="preserve">provide advice </w:t>
      </w:r>
      <w:r w:rsidRPr="00154A9C">
        <w:rPr>
          <w:lang w:eastAsia="en-US"/>
        </w:rPr>
        <w:t>in this rega</w:t>
      </w:r>
      <w:r w:rsidR="00965A7E">
        <w:rPr>
          <w:lang w:eastAsia="en-US"/>
        </w:rPr>
        <w:t>rd.</w:t>
      </w:r>
    </w:p>
    <w:p w14:paraId="65C1E497" w14:textId="4EF8B057" w:rsidR="007E6D4E" w:rsidRPr="00154A9C" w:rsidRDefault="007E6D4E" w:rsidP="00965A7E">
      <w:pPr>
        <w:spacing w:before="240"/>
        <w:rPr>
          <w:lang w:eastAsia="en-US"/>
        </w:rPr>
      </w:pPr>
      <w:r>
        <w:rPr>
          <w:lang w:eastAsia="en-US"/>
        </w:rPr>
        <w:t xml:space="preserve">Thus, </w:t>
      </w:r>
      <w:r w:rsidRPr="00154A9C">
        <w:rPr>
          <w:lang w:eastAsia="en-US"/>
        </w:rPr>
        <w:t xml:space="preserve">ESC advised MSAC </w:t>
      </w:r>
      <w:r>
        <w:rPr>
          <w:lang w:eastAsia="en-US"/>
        </w:rPr>
        <w:t xml:space="preserve">that </w:t>
      </w:r>
      <w:r w:rsidRPr="00154A9C">
        <w:rPr>
          <w:lang w:eastAsia="en-US"/>
        </w:rPr>
        <w:t xml:space="preserve">the main issue in relation to </w:t>
      </w:r>
      <w:r>
        <w:rPr>
          <w:lang w:eastAsia="en-US"/>
        </w:rPr>
        <w:t xml:space="preserve">the </w:t>
      </w:r>
      <w:r w:rsidRPr="00154A9C">
        <w:rPr>
          <w:lang w:eastAsia="en-US"/>
        </w:rPr>
        <w:t xml:space="preserve">clinical claim is the inherent risk of bias and uncertainty of study comparability </w:t>
      </w:r>
      <w:r>
        <w:rPr>
          <w:lang w:eastAsia="en-US"/>
        </w:rPr>
        <w:t>associated with</w:t>
      </w:r>
      <w:r w:rsidRPr="00154A9C">
        <w:rPr>
          <w:lang w:eastAsia="en-US"/>
        </w:rPr>
        <w:t xml:space="preserve"> naïve comparisons. Although as noted by the applicant in its pre-</w:t>
      </w:r>
      <w:r>
        <w:rPr>
          <w:lang w:eastAsia="en-US"/>
        </w:rPr>
        <w:t>ESC</w:t>
      </w:r>
      <w:r w:rsidRPr="00154A9C">
        <w:rPr>
          <w:lang w:eastAsia="en-US"/>
        </w:rPr>
        <w:t xml:space="preserve"> response,</w:t>
      </w:r>
      <w:r w:rsidRPr="00E66A29">
        <w:t xml:space="preserve"> </w:t>
      </w:r>
      <w:r w:rsidRPr="00E66A29">
        <w:rPr>
          <w:lang w:eastAsia="en-US"/>
        </w:rPr>
        <w:t xml:space="preserve">this is the best evidence available, </w:t>
      </w:r>
      <w:r w:rsidRPr="00154A9C">
        <w:rPr>
          <w:lang w:eastAsia="en-US"/>
        </w:rPr>
        <w:t xml:space="preserve">this </w:t>
      </w:r>
      <w:r>
        <w:rPr>
          <w:lang w:eastAsia="en-US"/>
        </w:rPr>
        <w:t xml:space="preserve">issue </w:t>
      </w:r>
      <w:r w:rsidRPr="00154A9C">
        <w:rPr>
          <w:lang w:eastAsia="en-US"/>
        </w:rPr>
        <w:t>means it is difficult to be confident in the estimated effect, and there is potential the true effect could be substantially different from the estimate presented. However, acknowledging the limitations of the evidence presented, the available data do not indicate that helical anchors are inferior in terms of safety and effectiveness compared with the comparators. ESC also noted that there are no clinical trials on the horizon comparin</w:t>
      </w:r>
      <w:r w:rsidR="00965A7E">
        <w:rPr>
          <w:lang w:eastAsia="en-US"/>
        </w:rPr>
        <w:t xml:space="preserve">g the two approaches directly. </w:t>
      </w:r>
    </w:p>
    <w:p w14:paraId="648B33BE" w14:textId="49954E64" w:rsidR="007E6D4E" w:rsidRPr="00154A9C" w:rsidRDefault="007E6D4E" w:rsidP="00965A7E">
      <w:pPr>
        <w:spacing w:before="240"/>
        <w:rPr>
          <w:lang w:eastAsia="en-US"/>
        </w:rPr>
      </w:pPr>
      <w:r w:rsidRPr="00154A9C">
        <w:rPr>
          <w:lang w:eastAsia="en-US"/>
        </w:rPr>
        <w:t xml:space="preserve">ESC noted the cost-minimisation </w:t>
      </w:r>
      <w:r>
        <w:rPr>
          <w:lang w:eastAsia="en-US"/>
        </w:rPr>
        <w:t xml:space="preserve">approach to the economic </w:t>
      </w:r>
      <w:r w:rsidRPr="00154A9C">
        <w:rPr>
          <w:lang w:eastAsia="en-US"/>
        </w:rPr>
        <w:t xml:space="preserve">analysis presented by the applicant can more properly </w:t>
      </w:r>
      <w:r>
        <w:rPr>
          <w:lang w:eastAsia="en-US"/>
        </w:rPr>
        <w:t xml:space="preserve">be </w:t>
      </w:r>
      <w:r w:rsidRPr="00154A9C">
        <w:rPr>
          <w:lang w:eastAsia="en-US"/>
        </w:rPr>
        <w:t>described as a costing study of EVAR + EA versus comparator treatments, with the comparator treatments in each Population further divided</w:t>
      </w:r>
      <w:r>
        <w:rPr>
          <w:lang w:eastAsia="en-US"/>
        </w:rPr>
        <w:t>,</w:t>
      </w:r>
      <w:r w:rsidRPr="00154A9C">
        <w:rPr>
          <w:lang w:eastAsia="en-US"/>
        </w:rPr>
        <w:t xml:space="preserve"> </w:t>
      </w:r>
      <w:r>
        <w:rPr>
          <w:lang w:eastAsia="en-US"/>
        </w:rPr>
        <w:t xml:space="preserve">resulting in </w:t>
      </w:r>
      <w:r w:rsidRPr="00154A9C">
        <w:rPr>
          <w:lang w:eastAsia="en-US"/>
        </w:rPr>
        <w:t>eight (8) separate cos</w:t>
      </w:r>
      <w:r w:rsidR="00965A7E">
        <w:rPr>
          <w:lang w:eastAsia="en-US"/>
        </w:rPr>
        <w:t xml:space="preserve">t-comparisons (see Table 11).  </w:t>
      </w:r>
    </w:p>
    <w:p w14:paraId="4B4CFD14" w14:textId="77777777" w:rsidR="007E6D4E" w:rsidRPr="00154A9C" w:rsidRDefault="007E6D4E" w:rsidP="00965A7E">
      <w:pPr>
        <w:spacing w:before="240"/>
        <w:rPr>
          <w:lang w:eastAsia="en-US"/>
        </w:rPr>
      </w:pPr>
      <w:r w:rsidRPr="00154A9C">
        <w:rPr>
          <w:lang w:eastAsia="en-US"/>
        </w:rPr>
        <w:t>The ESC noted that some of the inputs in the individual cost-comparisons may not be correct. These include</w:t>
      </w:r>
    </w:p>
    <w:p w14:paraId="6395C82C" w14:textId="4B67AE47" w:rsidR="007E6D4E" w:rsidRPr="00154A9C" w:rsidRDefault="007E6D4E" w:rsidP="007E6D4E">
      <w:pPr>
        <w:pStyle w:val="ListParagraph"/>
        <w:numPr>
          <w:ilvl w:val="0"/>
          <w:numId w:val="11"/>
        </w:numPr>
        <w:rPr>
          <w:lang w:eastAsia="en-US"/>
        </w:rPr>
      </w:pPr>
      <w:r w:rsidRPr="00154A9C">
        <w:rPr>
          <w:lang w:eastAsia="en-US"/>
        </w:rPr>
        <w:t xml:space="preserve">The cost for open repair may be underestimated as it does not appear to account for </w:t>
      </w:r>
      <w:r>
        <w:rPr>
          <w:lang w:eastAsia="en-US"/>
        </w:rPr>
        <w:t xml:space="preserve">the likely </w:t>
      </w:r>
      <w:r w:rsidRPr="00154A9C">
        <w:rPr>
          <w:lang w:eastAsia="en-US"/>
        </w:rPr>
        <w:t>hospital or PBS costs</w:t>
      </w:r>
      <w:r>
        <w:rPr>
          <w:lang w:eastAsia="en-US"/>
        </w:rPr>
        <w:t xml:space="preserve"> that would accrue to this group</w:t>
      </w:r>
      <w:r w:rsidR="0097315C">
        <w:rPr>
          <w:lang w:eastAsia="en-US"/>
        </w:rPr>
        <w:t>.</w:t>
      </w:r>
    </w:p>
    <w:p w14:paraId="042D2D02" w14:textId="493D0D3F" w:rsidR="007E6D4E" w:rsidRPr="007439DE" w:rsidRDefault="007E6D4E" w:rsidP="007E6D4E">
      <w:pPr>
        <w:pStyle w:val="ListParagraph"/>
        <w:numPr>
          <w:ilvl w:val="0"/>
          <w:numId w:val="11"/>
        </w:numPr>
        <w:rPr>
          <w:lang w:eastAsia="en-US"/>
        </w:rPr>
      </w:pPr>
      <w:r w:rsidRPr="00154A9C">
        <w:rPr>
          <w:lang w:eastAsia="en-US"/>
        </w:rPr>
        <w:t>The cost for Fenestrated EV</w:t>
      </w:r>
      <w:r>
        <w:rPr>
          <w:lang w:eastAsia="en-US"/>
        </w:rPr>
        <w:t>A</w:t>
      </w:r>
      <w:r w:rsidRPr="00154A9C">
        <w:rPr>
          <w:lang w:eastAsia="en-US"/>
        </w:rPr>
        <w:t xml:space="preserve">R (FEVAR) in Populations 1a and 2a may be overestimated as it </w:t>
      </w:r>
      <w:r w:rsidRPr="007439DE">
        <w:rPr>
          <w:lang w:eastAsia="en-US"/>
        </w:rPr>
        <w:t xml:space="preserve">appears to assume all procedures will use fenestrated stent-grafts at a Prosthesis List (PL) price of </w:t>
      </w:r>
      <w:r w:rsidR="004F23C4" w:rsidRPr="007439DE">
        <w:t>$</w:t>
      </w:r>
      <w:r w:rsidR="004F23C4" w:rsidRPr="007439DE">
        <w:rPr>
          <w:b/>
        </w:rPr>
        <w:t>redacted</w:t>
      </w:r>
      <w:r w:rsidR="00F30E92" w:rsidRPr="007439DE">
        <w:rPr>
          <w:b/>
        </w:rPr>
        <w:t xml:space="preserve"> </w:t>
      </w:r>
      <w:r w:rsidRPr="007439DE">
        <w:rPr>
          <w:lang w:eastAsia="en-US"/>
        </w:rPr>
        <w:t xml:space="preserve">when there are other less expensive fenestrated stent-grafts (other graft prices range from </w:t>
      </w:r>
      <w:r w:rsidR="004F23C4" w:rsidRPr="007439DE">
        <w:t>$</w:t>
      </w:r>
      <w:r w:rsidR="004F23C4" w:rsidRPr="007439DE">
        <w:rPr>
          <w:b/>
        </w:rPr>
        <w:t>redacted</w:t>
      </w:r>
      <w:r w:rsidRPr="007439DE">
        <w:rPr>
          <w:lang w:eastAsia="en-US"/>
        </w:rPr>
        <w:t>) on the PL.</w:t>
      </w:r>
    </w:p>
    <w:p w14:paraId="54246437" w14:textId="77777777" w:rsidR="007E6D4E" w:rsidRPr="00154A9C" w:rsidRDefault="007E6D4E" w:rsidP="007E6D4E">
      <w:pPr>
        <w:pStyle w:val="ListParagraph"/>
        <w:numPr>
          <w:ilvl w:val="0"/>
          <w:numId w:val="11"/>
        </w:numPr>
        <w:rPr>
          <w:lang w:eastAsia="en-US"/>
        </w:rPr>
      </w:pPr>
      <w:r w:rsidRPr="007439DE">
        <w:rPr>
          <w:lang w:eastAsia="en-US"/>
        </w:rPr>
        <w:t>The cost for Chimney EVAR (CHEVAR) may be underestimated</w:t>
      </w:r>
      <w:r w:rsidRPr="00154A9C">
        <w:rPr>
          <w:lang w:eastAsia="en-US"/>
        </w:rPr>
        <w:t>, as it does not appear to take account of any grafting costs.</w:t>
      </w:r>
    </w:p>
    <w:p w14:paraId="2074C8A2" w14:textId="37E68839" w:rsidR="007E6D4E" w:rsidRPr="00154A9C" w:rsidRDefault="007E6D4E" w:rsidP="007E6D4E">
      <w:pPr>
        <w:pStyle w:val="ListParagraph"/>
        <w:numPr>
          <w:ilvl w:val="0"/>
          <w:numId w:val="11"/>
        </w:numPr>
        <w:rPr>
          <w:lang w:eastAsia="en-US"/>
        </w:rPr>
      </w:pPr>
      <w:r w:rsidRPr="00154A9C">
        <w:rPr>
          <w:lang w:eastAsia="en-US"/>
        </w:rPr>
        <w:t>The cost of covered stents is significantly higher than bare stents, which increases the cost of the comparators FEVAR and CHEVAR.</w:t>
      </w:r>
    </w:p>
    <w:p w14:paraId="60C0B964" w14:textId="3410443D" w:rsidR="007E6D4E" w:rsidRPr="00154A9C" w:rsidRDefault="007E6D4E" w:rsidP="00965A7E">
      <w:pPr>
        <w:spacing w:before="240"/>
        <w:rPr>
          <w:lang w:eastAsia="en-US"/>
        </w:rPr>
      </w:pPr>
      <w:r w:rsidRPr="00154A9C">
        <w:rPr>
          <w:lang w:eastAsia="en-US"/>
        </w:rPr>
        <w:t xml:space="preserve">The ESC also noted the Applicant’s premise that listing this procedure on the MBS (and the device on the </w:t>
      </w:r>
      <w:r w:rsidR="00240136">
        <w:rPr>
          <w:lang w:eastAsia="en-US"/>
        </w:rPr>
        <w:t>PL</w:t>
      </w:r>
      <w:r w:rsidRPr="00154A9C">
        <w:rPr>
          <w:lang w:eastAsia="en-US"/>
        </w:rPr>
        <w:t xml:space="preserve">) will be cost-neutral overall, and </w:t>
      </w:r>
      <w:r>
        <w:rPr>
          <w:lang w:eastAsia="en-US"/>
        </w:rPr>
        <w:t>hence</w:t>
      </w:r>
      <w:r w:rsidRPr="00154A9C">
        <w:rPr>
          <w:lang w:eastAsia="en-US"/>
        </w:rPr>
        <w:t xml:space="preserve"> that a cost-minimisation </w:t>
      </w:r>
      <w:r>
        <w:rPr>
          <w:lang w:eastAsia="en-US"/>
        </w:rPr>
        <w:t xml:space="preserve">approach to the economic </w:t>
      </w:r>
      <w:r w:rsidRPr="00154A9C">
        <w:rPr>
          <w:lang w:eastAsia="en-US"/>
        </w:rPr>
        <w:t xml:space="preserve">analysis is appropriate, cannot be verified on the basis of the cost comparisons presented in the application. This is because some of the cost-comparisons suggest the new procedure will be more expensive and some show it will be cost-saving, </w:t>
      </w:r>
      <w:r>
        <w:rPr>
          <w:lang w:eastAsia="en-US"/>
        </w:rPr>
        <w:t xml:space="preserve">relative to the comparators. </w:t>
      </w:r>
      <w:r w:rsidRPr="006F5CD6">
        <w:rPr>
          <w:lang w:eastAsia="en-US"/>
        </w:rPr>
        <w:t xml:space="preserve">But the applicant </w:t>
      </w:r>
      <w:r w:rsidR="00240136" w:rsidRPr="006F5CD6">
        <w:rPr>
          <w:lang w:eastAsia="en-US"/>
        </w:rPr>
        <w:t xml:space="preserve">did </w:t>
      </w:r>
      <w:r w:rsidRPr="006F5CD6">
        <w:rPr>
          <w:lang w:eastAsia="en-US"/>
        </w:rPr>
        <w:t>not provide any information on the expected proportions of patients in each of the 8 sub-populations for which a cost-comparison ha</w:t>
      </w:r>
      <w:r w:rsidR="00240136" w:rsidRPr="006F5CD6">
        <w:rPr>
          <w:lang w:eastAsia="en-US"/>
        </w:rPr>
        <w:t>d</w:t>
      </w:r>
      <w:r w:rsidRPr="006F5CD6">
        <w:rPr>
          <w:lang w:eastAsia="en-US"/>
        </w:rPr>
        <w:t xml:space="preserve"> been presented, so it </w:t>
      </w:r>
      <w:r w:rsidR="00240136" w:rsidRPr="006F5CD6">
        <w:rPr>
          <w:lang w:eastAsia="en-US"/>
        </w:rPr>
        <w:t>was</w:t>
      </w:r>
      <w:r w:rsidRPr="006F5CD6">
        <w:rPr>
          <w:lang w:eastAsia="en-US"/>
        </w:rPr>
        <w:t xml:space="preserve"> not possible to estimate the overall comparative costs of the proposed new procedure/device with current procedures/devices</w:t>
      </w:r>
      <w:r w:rsidR="00367D3D" w:rsidRPr="006F5CD6">
        <w:rPr>
          <w:lang w:eastAsia="en-US"/>
        </w:rPr>
        <w:t>.</w:t>
      </w:r>
    </w:p>
    <w:p w14:paraId="60C85507" w14:textId="0BBBB851" w:rsidR="007E6D4E" w:rsidRPr="00154A9C" w:rsidRDefault="007E6D4E" w:rsidP="00965A7E">
      <w:pPr>
        <w:spacing w:before="240" w:after="240"/>
        <w:rPr>
          <w:lang w:eastAsia="en-US"/>
        </w:rPr>
      </w:pPr>
      <w:r w:rsidRPr="00154A9C">
        <w:rPr>
          <w:lang w:eastAsia="en-US"/>
        </w:rPr>
        <w:t xml:space="preserve">ESC noted the applicant’s pre-ESC response in relation to the wastage issue raised in the commentary. </w:t>
      </w:r>
      <w:r w:rsidRPr="00154A9C">
        <w:t>The ESC agreed with the pre-ESC response that the applicant’s analysis has appropriately dealt with wastage with the number of packs of EndoAnchors estimated per procedure exceeding one across all populations to allow for the estimated proportion of patients in whom a second pack of anchors will be used. The ESC agreed that any EndoAnchors remaining in a pack at the end of a procedure will need to be discarded and will not be available for use in another patient.</w:t>
      </w:r>
      <w:r w:rsidR="00965A7E">
        <w:rPr>
          <w:lang w:eastAsia="en-US"/>
        </w:rPr>
        <w:t xml:space="preserve"> </w:t>
      </w:r>
    </w:p>
    <w:p w14:paraId="5096B268" w14:textId="18F74351" w:rsidR="007E6D4E" w:rsidRPr="00154A9C" w:rsidRDefault="007E6D4E" w:rsidP="007E6D4E">
      <w:pPr>
        <w:rPr>
          <w:lang w:eastAsia="en-US"/>
        </w:rPr>
      </w:pPr>
      <w:r w:rsidRPr="00154A9C">
        <w:lastRenderedPageBreak/>
        <w:t xml:space="preserve">Finally, ESC noted the applicant has indicated </w:t>
      </w:r>
      <w:r w:rsidRPr="007439DE">
        <w:t xml:space="preserve">it will seek a </w:t>
      </w:r>
      <w:r w:rsidR="00240136" w:rsidRPr="007439DE">
        <w:rPr>
          <w:lang w:eastAsia="en-US"/>
        </w:rPr>
        <w:t>PL</w:t>
      </w:r>
      <w:r w:rsidRPr="007439DE">
        <w:rPr>
          <w:lang w:eastAsia="en-US"/>
        </w:rPr>
        <w:t xml:space="preserve"> benefit of </w:t>
      </w:r>
      <w:r w:rsidR="004F23C4" w:rsidRPr="007439DE">
        <w:t>$</w:t>
      </w:r>
      <w:r w:rsidR="004F23C4" w:rsidRPr="007439DE">
        <w:rPr>
          <w:b/>
        </w:rPr>
        <w:t>redacted</w:t>
      </w:r>
      <w:r w:rsidR="00F30E92" w:rsidRPr="007439DE">
        <w:rPr>
          <w:b/>
        </w:rPr>
        <w:t xml:space="preserve"> </w:t>
      </w:r>
      <w:r w:rsidRPr="007439DE">
        <w:rPr>
          <w:lang w:eastAsia="en-US"/>
        </w:rPr>
        <w:t xml:space="preserve">for a pack of 10 abdominal helical anchors compared with </w:t>
      </w:r>
      <w:r w:rsidR="004F23C4" w:rsidRPr="007439DE">
        <w:t>$</w:t>
      </w:r>
      <w:r w:rsidR="004F23C4" w:rsidRPr="007439DE">
        <w:rPr>
          <w:b/>
        </w:rPr>
        <w:t>redacted</w:t>
      </w:r>
      <w:r w:rsidR="00F30E92" w:rsidRPr="007439DE">
        <w:t xml:space="preserve"> </w:t>
      </w:r>
      <w:r w:rsidRPr="007439DE">
        <w:rPr>
          <w:lang w:eastAsia="en-US"/>
        </w:rPr>
        <w:t>for a pack of 10 thoracic helical anchor</w:t>
      </w:r>
      <w:r w:rsidR="00335A50" w:rsidRPr="007439DE">
        <w:rPr>
          <w:lang w:eastAsia="en-US"/>
        </w:rPr>
        <w:t>s</w:t>
      </w:r>
      <w:r w:rsidRPr="007439DE">
        <w:rPr>
          <w:lang w:eastAsia="en-US"/>
        </w:rPr>
        <w:t>. ESC noted that the absence of rationale for this differential pricing provided by the applicant. Given that the pack sizes and products are identical</w:t>
      </w:r>
      <w:r>
        <w:rPr>
          <w:lang w:eastAsia="en-US"/>
        </w:rPr>
        <w:t xml:space="preserve"> across the different indications ESC felt that this request for differential pricing should be brought to the attention of the</w:t>
      </w:r>
      <w:r w:rsidRPr="00DA19D7">
        <w:rPr>
          <w:lang w:eastAsia="en-US"/>
        </w:rPr>
        <w:t xml:space="preserve"> </w:t>
      </w:r>
      <w:r>
        <w:rPr>
          <w:lang w:eastAsia="en-US"/>
        </w:rPr>
        <w:t>PLAC</w:t>
      </w:r>
      <w:r w:rsidRPr="00DA19D7">
        <w:rPr>
          <w:lang w:eastAsia="en-US"/>
        </w:rPr>
        <w:t>.</w:t>
      </w:r>
    </w:p>
    <w:p w14:paraId="40472CF4" w14:textId="77777777" w:rsidR="007E6D4E" w:rsidRPr="00154A9C" w:rsidRDefault="007E6D4E" w:rsidP="00965A7E">
      <w:pPr>
        <w:spacing w:before="240"/>
        <w:rPr>
          <w:lang w:eastAsia="en-US"/>
        </w:rPr>
      </w:pPr>
      <w:r w:rsidRPr="00154A9C">
        <w:rPr>
          <w:lang w:eastAsia="en-US"/>
        </w:rPr>
        <w:t xml:space="preserve">ESC noted the uncertainties </w:t>
      </w:r>
      <w:r>
        <w:rPr>
          <w:lang w:eastAsia="en-US"/>
        </w:rPr>
        <w:t xml:space="preserve">in the </w:t>
      </w:r>
      <w:r w:rsidRPr="00154A9C">
        <w:rPr>
          <w:lang w:eastAsia="en-US"/>
        </w:rPr>
        <w:t xml:space="preserve">cost-minimisation </w:t>
      </w:r>
      <w:r>
        <w:rPr>
          <w:lang w:eastAsia="en-US"/>
        </w:rPr>
        <w:t xml:space="preserve">approach to the economic </w:t>
      </w:r>
      <w:r w:rsidRPr="00154A9C">
        <w:rPr>
          <w:lang w:eastAsia="en-US"/>
        </w:rPr>
        <w:t>analysis flow through to the financial estimates.</w:t>
      </w:r>
    </w:p>
    <w:p w14:paraId="05946489" w14:textId="77777777" w:rsidR="00DE0A72" w:rsidRPr="00F715D1" w:rsidRDefault="00DE0A72" w:rsidP="00DE0A72">
      <w:pPr>
        <w:pStyle w:val="Heading1"/>
      </w:pPr>
      <w:r w:rsidRPr="00F715D1">
        <w:t>Other significant factors</w:t>
      </w:r>
    </w:p>
    <w:p w14:paraId="28E191B8" w14:textId="77777777" w:rsidR="00DE0A72" w:rsidRPr="005A4362" w:rsidRDefault="00DE0A72" w:rsidP="00DE0A72">
      <w:pPr>
        <w:spacing w:after="240"/>
        <w:rPr>
          <w:i/>
          <w:szCs w:val="24"/>
        </w:rPr>
      </w:pPr>
      <w:r w:rsidRPr="00367D3D">
        <w:rPr>
          <w:szCs w:val="24"/>
        </w:rPr>
        <w:t>Nil</w:t>
      </w:r>
    </w:p>
    <w:p w14:paraId="70A0114A" w14:textId="41AEA6F0" w:rsidR="00DE0A72" w:rsidRDefault="00DE0A72" w:rsidP="00DE0A72">
      <w:pPr>
        <w:pStyle w:val="Heading1"/>
      </w:pPr>
      <w:r>
        <w:t>Applicant</w:t>
      </w:r>
      <w:r w:rsidRPr="00F715D1">
        <w:t xml:space="preserve"> comments on MSAC’s Public Summary Document</w:t>
      </w:r>
    </w:p>
    <w:p w14:paraId="64471C1A" w14:textId="49933F7A" w:rsidR="001408EE" w:rsidRPr="007439DE" w:rsidRDefault="001408EE" w:rsidP="00E05271">
      <w:r w:rsidRPr="007439DE">
        <w:t>The Applicant is disappointed with MSAC’s decision to not support public funding for Transmural fixation of aortic endograft adjunct to endovascular aneurysm repair using helical anchors. The applicant acknowledges MSACs commentary that the main limitation of the comparative safety and efficacy assessment is the lack of direct comparative evidence. The Applicant acknowledges the lack of direct evidence as a limitation, however notes that the evidence presented represents the best level evidence available for this adjunct device and reflects the management of TAA/AAA on a case by case basis with individual anatomical characteristics and comorbidities considered in determining the suitable treatment option. However, the Applicant is pleased that MSAC acknowledged that using helical anchors with an off-the-shelf tube or bifurcated graft offered the possibility of a more timely intervention for population 1 than use of a custom made fenestrated or branch graft that can take 1–2 months to manufacture. The applicant notes that MSAC considered that further defining the patient population to identify patients who are most likely to benefit from the intervention may provide a way forward for the applicant and will work with MSAC to clarify this consideration. The adoption of Heli-FX within Australia demonstrates the belief and value Vascular Surgeons see in this technology. The applicant is fully committed to supporting surgeons and patients with this important innovation with continued focus on evidence generation.</w:t>
      </w:r>
    </w:p>
    <w:p w14:paraId="155344BA" w14:textId="4B9BD637" w:rsidR="004F23C4" w:rsidRPr="004F23C4" w:rsidRDefault="001408EE" w:rsidP="001408EE">
      <w:pPr>
        <w:pStyle w:val="Heading1"/>
      </w:pPr>
      <w:r w:rsidRPr="001408EE">
        <w:t>Further information on MSAC</w:t>
      </w:r>
    </w:p>
    <w:p w14:paraId="1C874C7F" w14:textId="04CC95EF" w:rsidR="004F23C4" w:rsidRPr="00965A7E" w:rsidRDefault="001408EE" w:rsidP="00965A7E">
      <w:pPr>
        <w:spacing w:after="240"/>
        <w:rPr>
          <w:szCs w:val="24"/>
        </w:rPr>
      </w:pPr>
      <w:r w:rsidRPr="00F715D1">
        <w:rPr>
          <w:szCs w:val="24"/>
        </w:rPr>
        <w:t xml:space="preserve">MSAC Terms of Reference and other information are available on the MSAC Website: </w:t>
      </w:r>
      <w:r>
        <w:rPr>
          <w:szCs w:val="24"/>
        </w:rPr>
        <w:br/>
      </w:r>
      <w:hyperlink r:id="rId12" w:tooltip="Link to Medical Services Advisory Committee website" w:history="1">
        <w:r w:rsidRPr="00F715D1">
          <w:rPr>
            <w:rStyle w:val="Hyperlink"/>
            <w:szCs w:val="24"/>
          </w:rPr>
          <w:t>visit the MSAC website</w:t>
        </w:r>
      </w:hyperlink>
    </w:p>
    <w:sectPr w:rsidR="004F23C4" w:rsidRPr="00965A7E" w:rsidSect="00CB2414">
      <w:footerReference w:type="default" r:id="rId1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4E402" w14:textId="77777777" w:rsidR="007E7F19" w:rsidRDefault="007E7F19">
      <w:r>
        <w:separator/>
      </w:r>
    </w:p>
  </w:endnote>
  <w:endnote w:type="continuationSeparator" w:id="0">
    <w:p w14:paraId="40EFEE92" w14:textId="77777777" w:rsidR="007E7F19" w:rsidRDefault="007E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Semibold">
    <w:charset w:val="80"/>
    <w:family w:val="swiss"/>
    <w:pitch w:val="variable"/>
    <w:sig w:usb0="E00002FF" w:usb1="2AC7FDFF" w:usb2="00000016"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E09F94B" w14:textId="252EF072" w:rsidR="007E7F19" w:rsidRDefault="007E7F19">
        <w:pPr>
          <w:pStyle w:val="Footer"/>
          <w:jc w:val="right"/>
        </w:pPr>
        <w:r>
          <w:fldChar w:fldCharType="begin"/>
        </w:r>
        <w:r>
          <w:instrText xml:space="preserve"> PAGE   \* MERGEFORMAT </w:instrText>
        </w:r>
        <w:r>
          <w:fldChar w:fldCharType="separate"/>
        </w:r>
        <w:r w:rsidR="002665AC">
          <w:rPr>
            <w:noProof/>
          </w:rPr>
          <w:t>14</w:t>
        </w:r>
        <w:r>
          <w:rPr>
            <w:noProof/>
          </w:rPr>
          <w:fldChar w:fldCharType="end"/>
        </w:r>
      </w:p>
    </w:sdtContent>
  </w:sdt>
  <w:p w14:paraId="6FAD8D82" w14:textId="77777777" w:rsidR="007E7F19" w:rsidRDefault="007E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ABA2" w14:textId="77777777" w:rsidR="007E7F19" w:rsidRDefault="007E7F19">
      <w:r>
        <w:separator/>
      </w:r>
    </w:p>
  </w:footnote>
  <w:footnote w:type="continuationSeparator" w:id="0">
    <w:p w14:paraId="1DD9A28C" w14:textId="77777777" w:rsidR="007E7F19" w:rsidRDefault="007E7F19">
      <w:r>
        <w:continuationSeparator/>
      </w:r>
    </w:p>
  </w:footnote>
  <w:footnote w:id="1">
    <w:p w14:paraId="56D0FBD4" w14:textId="77777777" w:rsidR="007E7F19" w:rsidRDefault="007E7F19">
      <w:pPr>
        <w:pStyle w:val="FootnoteText"/>
      </w:pPr>
      <w:r>
        <w:rPr>
          <w:rStyle w:val="FootnoteReference"/>
        </w:rPr>
        <w:footnoteRef/>
      </w:r>
      <w:r>
        <w:t xml:space="preserve"> Population, Intervention, Comparator and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AB2"/>
    <w:multiLevelType w:val="hybridMultilevel"/>
    <w:tmpl w:val="5298F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17A93"/>
    <w:multiLevelType w:val="hybridMultilevel"/>
    <w:tmpl w:val="D96EE948"/>
    <w:lvl w:ilvl="0" w:tplc="EC90ED86">
      <w:start w:val="40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017ACC"/>
    <w:multiLevelType w:val="hybridMultilevel"/>
    <w:tmpl w:val="7C46061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54C13A43"/>
    <w:multiLevelType w:val="hybridMultilevel"/>
    <w:tmpl w:val="94EE1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7471E1"/>
    <w:multiLevelType w:val="hybridMultilevel"/>
    <w:tmpl w:val="286AB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804652"/>
    <w:multiLevelType w:val="hybridMultilevel"/>
    <w:tmpl w:val="11C4F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E776F1"/>
    <w:multiLevelType w:val="hybridMultilevel"/>
    <w:tmpl w:val="8D3E2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BA0B51"/>
    <w:multiLevelType w:val="hybridMultilevel"/>
    <w:tmpl w:val="D2D4B15C"/>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BF598E"/>
    <w:multiLevelType w:val="hybridMultilevel"/>
    <w:tmpl w:val="C5BA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5377F5"/>
    <w:multiLevelType w:val="hybridMultilevel"/>
    <w:tmpl w:val="841A81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73734184"/>
    <w:multiLevelType w:val="hybridMultilevel"/>
    <w:tmpl w:val="5922F6F2"/>
    <w:lvl w:ilvl="0" w:tplc="3B3E22EE">
      <w:start w:val="1"/>
      <w:numFmt w:val="decimal"/>
      <w:pStyle w:val="Tabletitle"/>
      <w:lvlText w:val="Table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8"/>
  </w:num>
  <w:num w:numId="5">
    <w:abstractNumId w:val="10"/>
  </w:num>
  <w:num w:numId="6">
    <w:abstractNumId w:val="6"/>
  </w:num>
  <w:num w:numId="7">
    <w:abstractNumId w:val="9"/>
  </w:num>
  <w:num w:numId="8">
    <w:abstractNumId w:val="5"/>
  </w:num>
  <w:num w:numId="9">
    <w:abstractNumId w:val="7"/>
  </w:num>
  <w:num w:numId="10">
    <w:abstractNumId w:val="0"/>
  </w:num>
  <w:num w:numId="11">
    <w:abstractNumId w:val="11"/>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72"/>
    <w:rsid w:val="00003726"/>
    <w:rsid w:val="00061B4D"/>
    <w:rsid w:val="00093813"/>
    <w:rsid w:val="00113898"/>
    <w:rsid w:val="00125194"/>
    <w:rsid w:val="00125319"/>
    <w:rsid w:val="00136FCC"/>
    <w:rsid w:val="001408EE"/>
    <w:rsid w:val="00160194"/>
    <w:rsid w:val="00166E97"/>
    <w:rsid w:val="001D15D4"/>
    <w:rsid w:val="001D6374"/>
    <w:rsid w:val="001E4FA6"/>
    <w:rsid w:val="002318BE"/>
    <w:rsid w:val="00240136"/>
    <w:rsid w:val="00251162"/>
    <w:rsid w:val="002665AC"/>
    <w:rsid w:val="002762A4"/>
    <w:rsid w:val="00280050"/>
    <w:rsid w:val="002874EA"/>
    <w:rsid w:val="002A482D"/>
    <w:rsid w:val="002A659A"/>
    <w:rsid w:val="00335A50"/>
    <w:rsid w:val="00367D3D"/>
    <w:rsid w:val="00395A8A"/>
    <w:rsid w:val="003A0F5E"/>
    <w:rsid w:val="003C5417"/>
    <w:rsid w:val="003C7818"/>
    <w:rsid w:val="003C7ED2"/>
    <w:rsid w:val="004304E5"/>
    <w:rsid w:val="00441753"/>
    <w:rsid w:val="004522EC"/>
    <w:rsid w:val="00482CCF"/>
    <w:rsid w:val="004C13DA"/>
    <w:rsid w:val="004F23C4"/>
    <w:rsid w:val="005064DF"/>
    <w:rsid w:val="0051407F"/>
    <w:rsid w:val="0058027B"/>
    <w:rsid w:val="00590DFD"/>
    <w:rsid w:val="0059664E"/>
    <w:rsid w:val="005B16AE"/>
    <w:rsid w:val="005D518B"/>
    <w:rsid w:val="005F40D7"/>
    <w:rsid w:val="005F7095"/>
    <w:rsid w:val="0061794D"/>
    <w:rsid w:val="00621EA2"/>
    <w:rsid w:val="00631979"/>
    <w:rsid w:val="006663AE"/>
    <w:rsid w:val="00670C9D"/>
    <w:rsid w:val="006B315A"/>
    <w:rsid w:val="006F4416"/>
    <w:rsid w:val="006F5CD6"/>
    <w:rsid w:val="00717183"/>
    <w:rsid w:val="00723317"/>
    <w:rsid w:val="00723956"/>
    <w:rsid w:val="007328EB"/>
    <w:rsid w:val="00732A99"/>
    <w:rsid w:val="007439DE"/>
    <w:rsid w:val="00746ED3"/>
    <w:rsid w:val="007549FF"/>
    <w:rsid w:val="007B0B41"/>
    <w:rsid w:val="007C0398"/>
    <w:rsid w:val="007D695A"/>
    <w:rsid w:val="007E6D4E"/>
    <w:rsid w:val="007E7F19"/>
    <w:rsid w:val="00844D09"/>
    <w:rsid w:val="00875308"/>
    <w:rsid w:val="00880181"/>
    <w:rsid w:val="00890A2A"/>
    <w:rsid w:val="008931C0"/>
    <w:rsid w:val="008952F1"/>
    <w:rsid w:val="008B6FC6"/>
    <w:rsid w:val="008C548B"/>
    <w:rsid w:val="008D79CB"/>
    <w:rsid w:val="008F72AD"/>
    <w:rsid w:val="008F7BE5"/>
    <w:rsid w:val="00912A5A"/>
    <w:rsid w:val="00913274"/>
    <w:rsid w:val="00916873"/>
    <w:rsid w:val="0094755C"/>
    <w:rsid w:val="00965A7E"/>
    <w:rsid w:val="00965F54"/>
    <w:rsid w:val="0097315C"/>
    <w:rsid w:val="00987B4D"/>
    <w:rsid w:val="009944B5"/>
    <w:rsid w:val="009E6378"/>
    <w:rsid w:val="009F2A4A"/>
    <w:rsid w:val="009F3DF6"/>
    <w:rsid w:val="00A0047D"/>
    <w:rsid w:val="00A172DC"/>
    <w:rsid w:val="00A43461"/>
    <w:rsid w:val="00A452CE"/>
    <w:rsid w:val="00A85573"/>
    <w:rsid w:val="00A91B72"/>
    <w:rsid w:val="00A9387D"/>
    <w:rsid w:val="00AA2980"/>
    <w:rsid w:val="00AB2364"/>
    <w:rsid w:val="00AC456D"/>
    <w:rsid w:val="00AD66FF"/>
    <w:rsid w:val="00AE1C35"/>
    <w:rsid w:val="00AF2A17"/>
    <w:rsid w:val="00AF6D57"/>
    <w:rsid w:val="00B1241F"/>
    <w:rsid w:val="00B26336"/>
    <w:rsid w:val="00B600D1"/>
    <w:rsid w:val="00B703F8"/>
    <w:rsid w:val="00B83DB9"/>
    <w:rsid w:val="00BA0530"/>
    <w:rsid w:val="00BA280D"/>
    <w:rsid w:val="00BA2BBD"/>
    <w:rsid w:val="00BB68BB"/>
    <w:rsid w:val="00BD0A66"/>
    <w:rsid w:val="00BE2AA9"/>
    <w:rsid w:val="00BF7E30"/>
    <w:rsid w:val="00CB2414"/>
    <w:rsid w:val="00CB2C61"/>
    <w:rsid w:val="00CB3BC6"/>
    <w:rsid w:val="00CB5E3D"/>
    <w:rsid w:val="00CC0E1E"/>
    <w:rsid w:val="00CE5EF6"/>
    <w:rsid w:val="00D11032"/>
    <w:rsid w:val="00D20789"/>
    <w:rsid w:val="00D66655"/>
    <w:rsid w:val="00D7124F"/>
    <w:rsid w:val="00D81317"/>
    <w:rsid w:val="00D96E38"/>
    <w:rsid w:val="00DB4009"/>
    <w:rsid w:val="00DD079A"/>
    <w:rsid w:val="00DE0A72"/>
    <w:rsid w:val="00DE4F02"/>
    <w:rsid w:val="00DF0F74"/>
    <w:rsid w:val="00E05271"/>
    <w:rsid w:val="00E22195"/>
    <w:rsid w:val="00E66C91"/>
    <w:rsid w:val="00EA3639"/>
    <w:rsid w:val="00EB67B4"/>
    <w:rsid w:val="00EC6C0D"/>
    <w:rsid w:val="00ED7E88"/>
    <w:rsid w:val="00F121AD"/>
    <w:rsid w:val="00F14D6C"/>
    <w:rsid w:val="00F30E92"/>
    <w:rsid w:val="00F50029"/>
    <w:rsid w:val="00F760DC"/>
    <w:rsid w:val="00F94BBA"/>
    <w:rsid w:val="00FB4D70"/>
    <w:rsid w:val="00FC3BE5"/>
    <w:rsid w:val="00FD2CBA"/>
    <w:rsid w:val="00FD2E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1C2E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72"/>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DE0A72"/>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CB2414"/>
    <w:pPr>
      <w:keepNext/>
      <w:keepLines/>
      <w:spacing w:before="40"/>
      <w:outlineLvl w:val="1"/>
    </w:pPr>
    <w:rPr>
      <w:rFonts w:eastAsiaTheme="majorEastAsia" w:cstheme="majorBidi"/>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0A72"/>
    <w:rPr>
      <w:rFonts w:ascii="Arial" w:eastAsia="Times New Roman" w:hAnsi="Arial"/>
      <w:b/>
      <w:bCs/>
      <w:szCs w:val="28"/>
      <w:lang w:eastAsia="en-AU"/>
    </w:rPr>
  </w:style>
  <w:style w:type="character" w:styleId="Hyperlink">
    <w:name w:val="Hyperlink"/>
    <w:basedOn w:val="DefaultParagraphFont"/>
    <w:uiPriority w:val="99"/>
    <w:rsid w:val="00DE0A72"/>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DE0A72"/>
    <w:pPr>
      <w:ind w:left="720"/>
      <w:contextualSpacing/>
    </w:pPr>
  </w:style>
  <w:style w:type="paragraph" w:styleId="Footer">
    <w:name w:val="footer"/>
    <w:basedOn w:val="Normal"/>
    <w:link w:val="FooterChar"/>
    <w:uiPriority w:val="99"/>
    <w:rsid w:val="00DE0A72"/>
    <w:pPr>
      <w:tabs>
        <w:tab w:val="center" w:pos="4513"/>
        <w:tab w:val="right" w:pos="9026"/>
      </w:tabs>
    </w:pPr>
  </w:style>
  <w:style w:type="character" w:customStyle="1" w:styleId="FooterChar">
    <w:name w:val="Footer Char"/>
    <w:basedOn w:val="DefaultParagraphFont"/>
    <w:link w:val="Footer"/>
    <w:uiPriority w:val="99"/>
    <w:rsid w:val="00DE0A72"/>
    <w:rPr>
      <w:rFonts w:eastAsia="Times New Roman"/>
      <w:szCs w:val="20"/>
      <w:lang w:eastAsia="en-AU"/>
    </w:rPr>
  </w:style>
  <w:style w:type="paragraph" w:customStyle="1" w:styleId="Default">
    <w:name w:val="Default"/>
    <w:rsid w:val="00DE0A72"/>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DE0A72"/>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DE0A72"/>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DE0A72"/>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DE0A72"/>
    <w:rPr>
      <w:rFonts w:ascii="Arial" w:eastAsia="Times New Roman" w:hAnsi="Arial" w:cs="Arial"/>
      <w:b/>
      <w:bCs/>
      <w:i/>
      <w:color w:val="000080"/>
      <w:sz w:val="28"/>
      <w:szCs w:val="28"/>
      <w:lang w:eastAsia="en-AU"/>
    </w:rPr>
  </w:style>
  <w:style w:type="table" w:styleId="TableGrid">
    <w:name w:val="Table Grid"/>
    <w:aliases w:val="Summary box,Table Gridbeth"/>
    <w:basedOn w:val="TableNormal"/>
    <w:uiPriority w:val="59"/>
    <w:rsid w:val="00DE0A72"/>
    <w:pPr>
      <w:spacing w:after="0" w:line="240" w:lineRule="auto"/>
    </w:pPr>
    <w:rPr>
      <w:rFonts w:eastAsia="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CB2414"/>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CB2414"/>
    <w:rPr>
      <w:rFonts w:ascii="Arial Narrow" w:eastAsia="Times New Roman" w:hAnsi="Arial Narrow"/>
      <w:sz w:val="20"/>
    </w:rPr>
  </w:style>
  <w:style w:type="paragraph" w:customStyle="1" w:styleId="TableHeading">
    <w:name w:val="TableHeading"/>
    <w:basedOn w:val="TableNotes"/>
    <w:link w:val="TableHeadingChar"/>
    <w:qFormat/>
    <w:rsid w:val="00CB2414"/>
    <w:pPr>
      <w:keepNext/>
      <w:spacing w:before="40" w:after="40"/>
      <w:outlineLvl w:val="3"/>
    </w:pPr>
    <w:rPr>
      <w:rFonts w:cs="Tahoma"/>
      <w:b/>
      <w:sz w:val="20"/>
    </w:rPr>
  </w:style>
  <w:style w:type="character" w:customStyle="1" w:styleId="TableHeadingChar">
    <w:name w:val="TableHeading Char"/>
    <w:link w:val="TableHeading"/>
    <w:rsid w:val="00CB2414"/>
    <w:rPr>
      <w:rFonts w:ascii="Arial Narrow" w:eastAsia="Times New Roman" w:hAnsi="Arial Narrow" w:cs="Tahoma"/>
      <w:b/>
      <w:sz w:val="20"/>
      <w:szCs w:val="20"/>
      <w:lang w:eastAsia="en-AU"/>
    </w:rPr>
  </w:style>
  <w:style w:type="paragraph" w:customStyle="1" w:styleId="TableNotes">
    <w:name w:val="Table Notes"/>
    <w:basedOn w:val="Normal"/>
    <w:link w:val="TableNotesChar"/>
    <w:qFormat/>
    <w:rsid w:val="00CB2414"/>
    <w:pPr>
      <w:spacing w:after="240"/>
      <w:contextualSpacing/>
    </w:pPr>
    <w:rPr>
      <w:rFonts w:ascii="Arial Narrow" w:hAnsi="Arial Narrow"/>
      <w:sz w:val="18"/>
    </w:rPr>
  </w:style>
  <w:style w:type="character" w:customStyle="1" w:styleId="TableNotesChar">
    <w:name w:val="Table Notes Char"/>
    <w:basedOn w:val="DefaultParagraphFont"/>
    <w:link w:val="TableNotes"/>
    <w:rsid w:val="00CB2414"/>
    <w:rPr>
      <w:rFonts w:ascii="Arial Narrow" w:eastAsia="Times New Roman" w:hAnsi="Arial Narrow"/>
      <w:sz w:val="18"/>
      <w:szCs w:val="20"/>
      <w:lang w:eastAsia="en-AU"/>
    </w:rPr>
  </w:style>
  <w:style w:type="table" w:customStyle="1" w:styleId="TableGrid1">
    <w:name w:val="Table Grid1"/>
    <w:basedOn w:val="TableNormal"/>
    <w:next w:val="TableGrid"/>
    <w:rsid w:val="00CB2414"/>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StylePr>
  </w:style>
  <w:style w:type="character" w:customStyle="1" w:styleId="ListParagraphChar">
    <w:name w:val="List Paragraph Char"/>
    <w:aliases w:val="Styl moj Char,Akapit z listą1 Char,Akapit z listą11 Char"/>
    <w:link w:val="ListParagraph"/>
    <w:uiPriority w:val="34"/>
    <w:rsid w:val="00CB2414"/>
    <w:rPr>
      <w:rFonts w:eastAsia="Times New Roman"/>
      <w:szCs w:val="20"/>
      <w:lang w:eastAsia="en-AU"/>
    </w:rPr>
  </w:style>
  <w:style w:type="paragraph" w:customStyle="1" w:styleId="Tablenotes0">
    <w:name w:val="Table notes"/>
    <w:basedOn w:val="Tabletext"/>
    <w:link w:val="TablenotesChar0"/>
    <w:qFormat/>
    <w:rsid w:val="00CB2414"/>
    <w:rPr>
      <w:rFonts w:cs="Tahoma"/>
      <w:sz w:val="18"/>
      <w:szCs w:val="20"/>
      <w:lang w:eastAsia="en-AU"/>
    </w:rPr>
  </w:style>
  <w:style w:type="character" w:customStyle="1" w:styleId="TablenotesChar0">
    <w:name w:val="Table notes Char"/>
    <w:basedOn w:val="TabletextChar"/>
    <w:link w:val="Tablenotes0"/>
    <w:rsid w:val="00CB2414"/>
    <w:rPr>
      <w:rFonts w:ascii="Arial Narrow" w:eastAsia="Times New Roman" w:hAnsi="Arial Narrow" w:cs="Tahoma"/>
      <w:sz w:val="18"/>
      <w:szCs w:val="20"/>
      <w:lang w:eastAsia="en-AU"/>
    </w:rPr>
  </w:style>
  <w:style w:type="character" w:customStyle="1" w:styleId="Heading2Char">
    <w:name w:val="Heading 2 Char"/>
    <w:basedOn w:val="DefaultParagraphFont"/>
    <w:link w:val="Heading2"/>
    <w:uiPriority w:val="9"/>
    <w:rsid w:val="00CB2414"/>
    <w:rPr>
      <w:rFonts w:eastAsiaTheme="majorEastAsia" w:cstheme="majorBidi"/>
      <w:i/>
      <w:szCs w:val="26"/>
      <w:u w:val="single"/>
      <w:lang w:eastAsia="en-AU"/>
    </w:rPr>
  </w:style>
  <w:style w:type="character" w:customStyle="1" w:styleId="highlight">
    <w:name w:val="highlight"/>
    <w:basedOn w:val="DefaultParagraphFont"/>
    <w:rsid w:val="00CB2414"/>
  </w:style>
  <w:style w:type="paragraph" w:customStyle="1" w:styleId="TableText0">
    <w:name w:val="Table Text"/>
    <w:basedOn w:val="Normal"/>
    <w:link w:val="TableTextChar0"/>
    <w:rsid w:val="00CB2414"/>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CB2414"/>
    <w:rPr>
      <w:rFonts w:ascii="Arial Narrow" w:eastAsia="Times New Roman" w:hAnsi="Arial Narrow" w:cs="Tahoma"/>
      <w:sz w:val="20"/>
      <w:szCs w:val="22"/>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TableHeading"/>
    <w:next w:val="Normal"/>
    <w:link w:val="CaptionChar"/>
    <w:unhideWhenUsed/>
    <w:qFormat/>
    <w:rsid w:val="00CB2414"/>
    <w:pPr>
      <w:jc w:val="both"/>
      <w:outlineLvl w:val="4"/>
    </w:pPr>
    <w:rPr>
      <w:rFonts w:cs="Arial"/>
      <w:bCs/>
      <w:iCs/>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B2414"/>
    <w:rPr>
      <w:rFonts w:ascii="Arial Narrow" w:eastAsia="Times New Roman" w:hAnsi="Arial Narrow" w:cs="Arial"/>
      <w:b/>
      <w:bCs/>
      <w:iCs/>
      <w:sz w:val="20"/>
      <w:szCs w:val="20"/>
    </w:rPr>
  </w:style>
  <w:style w:type="paragraph" w:customStyle="1" w:styleId="Tableheading0">
    <w:name w:val="Table heading"/>
    <w:basedOn w:val="Normal"/>
    <w:link w:val="TableheadingChar0"/>
    <w:qFormat/>
    <w:rsid w:val="00CB2414"/>
    <w:rPr>
      <w:rFonts w:ascii="Arial Narrow" w:eastAsia="Calibri" w:hAnsi="Arial Narrow"/>
      <w:b/>
      <w:sz w:val="20"/>
      <w:lang w:eastAsia="en-US"/>
    </w:rPr>
  </w:style>
  <w:style w:type="character" w:customStyle="1" w:styleId="TableheadingChar0">
    <w:name w:val="Table heading Char"/>
    <w:basedOn w:val="DefaultParagraphFont"/>
    <w:link w:val="Tableheading0"/>
    <w:rsid w:val="00CB2414"/>
    <w:rPr>
      <w:rFonts w:ascii="Arial Narrow" w:eastAsia="Calibri" w:hAnsi="Arial Narrow"/>
      <w:b/>
      <w:sz w:val="20"/>
      <w:szCs w:val="20"/>
    </w:rPr>
  </w:style>
  <w:style w:type="paragraph" w:customStyle="1" w:styleId="TableText1">
    <w:name w:val="TableText"/>
    <w:basedOn w:val="Normal"/>
    <w:rsid w:val="007E6D4E"/>
    <w:pPr>
      <w:keepNext/>
      <w:spacing w:before="60" w:after="60"/>
    </w:pPr>
    <w:rPr>
      <w:color w:val="000000"/>
      <w:sz w:val="21"/>
      <w:szCs w:val="21"/>
    </w:rPr>
  </w:style>
  <w:style w:type="character" w:styleId="CommentReference">
    <w:name w:val="annotation reference"/>
    <w:basedOn w:val="DefaultParagraphFont"/>
    <w:uiPriority w:val="99"/>
    <w:semiHidden/>
    <w:unhideWhenUsed/>
    <w:rsid w:val="007E6D4E"/>
    <w:rPr>
      <w:sz w:val="16"/>
      <w:szCs w:val="16"/>
    </w:rPr>
  </w:style>
  <w:style w:type="paragraph" w:styleId="CommentText">
    <w:name w:val="annotation text"/>
    <w:basedOn w:val="Normal"/>
    <w:link w:val="CommentTextChar"/>
    <w:uiPriority w:val="99"/>
    <w:unhideWhenUsed/>
    <w:rsid w:val="007E6D4E"/>
    <w:rPr>
      <w:sz w:val="20"/>
    </w:rPr>
  </w:style>
  <w:style w:type="character" w:customStyle="1" w:styleId="CommentTextChar">
    <w:name w:val="Comment Text Char"/>
    <w:basedOn w:val="DefaultParagraphFont"/>
    <w:link w:val="CommentText"/>
    <w:uiPriority w:val="99"/>
    <w:rsid w:val="007E6D4E"/>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E6D4E"/>
    <w:rPr>
      <w:b/>
      <w:bCs/>
    </w:rPr>
  </w:style>
  <w:style w:type="character" w:customStyle="1" w:styleId="CommentSubjectChar">
    <w:name w:val="Comment Subject Char"/>
    <w:basedOn w:val="CommentTextChar"/>
    <w:link w:val="CommentSubject"/>
    <w:uiPriority w:val="99"/>
    <w:semiHidden/>
    <w:rsid w:val="007E6D4E"/>
    <w:rPr>
      <w:rFonts w:eastAsia="Times New Roman"/>
      <w:b/>
      <w:bCs/>
      <w:sz w:val="20"/>
      <w:szCs w:val="20"/>
      <w:lang w:eastAsia="en-AU"/>
    </w:rPr>
  </w:style>
  <w:style w:type="paragraph" w:styleId="BalloonText">
    <w:name w:val="Balloon Text"/>
    <w:basedOn w:val="Normal"/>
    <w:link w:val="BalloonTextChar"/>
    <w:uiPriority w:val="99"/>
    <w:semiHidden/>
    <w:unhideWhenUsed/>
    <w:rsid w:val="007E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4E"/>
    <w:rPr>
      <w:rFonts w:ascii="Segoe UI" w:eastAsia="Times New Roman" w:hAnsi="Segoe UI" w:cs="Segoe UI"/>
      <w:sz w:val="18"/>
      <w:szCs w:val="18"/>
      <w:lang w:eastAsia="en-AU"/>
    </w:rPr>
  </w:style>
  <w:style w:type="paragraph" w:styleId="FootnoteText">
    <w:name w:val="footnote text"/>
    <w:basedOn w:val="Normal"/>
    <w:link w:val="FootnoteTextChar"/>
    <w:uiPriority w:val="99"/>
    <w:semiHidden/>
    <w:unhideWhenUsed/>
    <w:rsid w:val="007E6D4E"/>
    <w:rPr>
      <w:sz w:val="20"/>
    </w:rPr>
  </w:style>
  <w:style w:type="character" w:customStyle="1" w:styleId="FootnoteTextChar">
    <w:name w:val="Footnote Text Char"/>
    <w:basedOn w:val="DefaultParagraphFont"/>
    <w:link w:val="FootnoteText"/>
    <w:uiPriority w:val="99"/>
    <w:semiHidden/>
    <w:rsid w:val="007E6D4E"/>
    <w:rPr>
      <w:rFonts w:eastAsia="Times New Roman"/>
      <w:sz w:val="20"/>
      <w:szCs w:val="20"/>
      <w:lang w:eastAsia="en-AU"/>
    </w:rPr>
  </w:style>
  <w:style w:type="character" w:styleId="FootnoteReference">
    <w:name w:val="footnote reference"/>
    <w:basedOn w:val="DefaultParagraphFont"/>
    <w:uiPriority w:val="99"/>
    <w:semiHidden/>
    <w:unhideWhenUsed/>
    <w:rsid w:val="007E6D4E"/>
    <w:rPr>
      <w:vertAlign w:val="superscript"/>
    </w:rPr>
  </w:style>
  <w:style w:type="paragraph" w:customStyle="1" w:styleId="Tablenote">
    <w:name w:val="Table note"/>
    <w:basedOn w:val="Normal"/>
    <w:link w:val="TablenoteChar"/>
    <w:qFormat/>
    <w:rsid w:val="00003726"/>
    <w:pPr>
      <w:contextualSpacing/>
    </w:pPr>
    <w:rPr>
      <w:rFonts w:asciiTheme="majorHAnsi" w:eastAsia="Batang" w:hAnsiTheme="majorHAnsi" w:cstheme="minorHAnsi"/>
      <w:sz w:val="16"/>
      <w:szCs w:val="16"/>
      <w:lang w:val="en-GB" w:eastAsia="en-US"/>
    </w:rPr>
  </w:style>
  <w:style w:type="character" w:customStyle="1" w:styleId="TablenoteChar">
    <w:name w:val="Table note Char"/>
    <w:basedOn w:val="DefaultParagraphFont"/>
    <w:link w:val="Tablenote"/>
    <w:rsid w:val="00003726"/>
    <w:rPr>
      <w:rFonts w:asciiTheme="majorHAnsi" w:eastAsia="Batang" w:hAnsiTheme="majorHAnsi" w:cstheme="minorHAnsi"/>
      <w:sz w:val="16"/>
      <w:szCs w:val="16"/>
      <w:lang w:val="en-GB"/>
    </w:rPr>
  </w:style>
  <w:style w:type="paragraph" w:customStyle="1" w:styleId="Tabletitle">
    <w:name w:val="Table title"/>
    <w:basedOn w:val="TableHeading"/>
    <w:link w:val="TabletitleChar"/>
    <w:qFormat/>
    <w:rsid w:val="00CC0E1E"/>
    <w:pPr>
      <w:numPr>
        <w:numId w:val="14"/>
      </w:numPr>
      <w:spacing w:after="0"/>
      <w:ind w:left="0" w:firstLine="0"/>
    </w:pPr>
  </w:style>
  <w:style w:type="character" w:customStyle="1" w:styleId="TabletitleChar">
    <w:name w:val="Table title Char"/>
    <w:basedOn w:val="TableHeadingChar"/>
    <w:link w:val="Tabletitle"/>
    <w:rsid w:val="00CC0E1E"/>
    <w:rPr>
      <w:rFonts w:ascii="Arial Narrow" w:eastAsia="Times New Roman" w:hAnsi="Arial Narrow" w:cs="Tahoma"/>
      <w:b/>
      <w:sz w:val="20"/>
      <w:szCs w:val="20"/>
      <w:lang w:eastAsia="en-AU"/>
    </w:rPr>
  </w:style>
  <w:style w:type="paragraph" w:styleId="Header">
    <w:name w:val="header"/>
    <w:basedOn w:val="Normal"/>
    <w:link w:val="HeaderChar"/>
    <w:uiPriority w:val="99"/>
    <w:unhideWhenUsed/>
    <w:rsid w:val="00717183"/>
    <w:pPr>
      <w:tabs>
        <w:tab w:val="center" w:pos="4513"/>
        <w:tab w:val="right" w:pos="9026"/>
      </w:tabs>
    </w:pPr>
  </w:style>
  <w:style w:type="character" w:customStyle="1" w:styleId="HeaderChar">
    <w:name w:val="Header Char"/>
    <w:basedOn w:val="DefaultParagraphFont"/>
    <w:link w:val="Header"/>
    <w:uiPriority w:val="99"/>
    <w:rsid w:val="00717183"/>
    <w:rPr>
      <w:rFonts w:eastAsia="Times New Roman"/>
      <w:szCs w:val="20"/>
      <w:lang w:eastAsia="en-AU"/>
    </w:rPr>
  </w:style>
  <w:style w:type="paragraph" w:customStyle="1" w:styleId="Style1">
    <w:name w:val="Style1"/>
    <w:basedOn w:val="Normal"/>
    <w:link w:val="Style1Char"/>
    <w:qFormat/>
    <w:rsid w:val="00061B4D"/>
    <w:rPr>
      <w:rFonts w:ascii="Arial Narrow" w:hAnsi="Arial Narrow"/>
      <w:b/>
      <w:sz w:val="20"/>
    </w:rPr>
  </w:style>
  <w:style w:type="character" w:customStyle="1" w:styleId="Style1Char">
    <w:name w:val="Style1 Char"/>
    <w:basedOn w:val="DefaultParagraphFont"/>
    <w:link w:val="Style1"/>
    <w:rsid w:val="00061B4D"/>
    <w:rPr>
      <w:rFonts w:ascii="Arial Narrow" w:eastAsia="Times New Roman" w:hAnsi="Arial Narrow"/>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8FCC4-15CE-4A30-BF79-5543824B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11961</Words>
  <Characters>67944</Characters>
  <Application>Microsoft Office Word</Application>
  <DocSecurity>0</DocSecurity>
  <Lines>1509</Lines>
  <Paragraphs>887</Paragraphs>
  <ScaleCrop>false</ScaleCrop>
  <Company/>
  <LinksUpToDate>false</LinksUpToDate>
  <CharactersWithSpaces>79018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2020-07-09T23:17:00Z</dcterms:created>
  <dcterms:modified xsi:type="dcterms:W3CDTF">2020-07-09T23:17:00Z</dcterms:modified>
</cp:coreProperties>
</file>